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3" w:type="dxa"/>
        <w:tblLayout w:type="fixed"/>
        <w:tblCellMar>
          <w:left w:w="0" w:type="dxa"/>
          <w:right w:w="0" w:type="dxa"/>
        </w:tblCellMar>
        <w:tblLook w:val="01E0" w:firstRow="1" w:lastRow="1" w:firstColumn="1" w:lastColumn="1" w:noHBand="0" w:noVBand="0"/>
      </w:tblPr>
      <w:tblGrid>
        <w:gridCol w:w="8973"/>
      </w:tblGrid>
      <w:tr w:rsidR="000969BF" w:rsidRPr="00080443" w14:paraId="01852C31" w14:textId="77777777" w:rsidTr="00915B1C">
        <w:tc>
          <w:tcPr>
            <w:tcW w:w="8973" w:type="dxa"/>
            <w:shd w:val="clear" w:color="auto" w:fill="auto"/>
          </w:tcPr>
          <w:p w14:paraId="78A8DF23" w14:textId="77777777" w:rsidR="000969BF" w:rsidRPr="00080443" w:rsidRDefault="00A42479" w:rsidP="000915ED">
            <w:pPr>
              <w:pStyle w:val="ReportTitle"/>
              <w:rPr>
                <w:rFonts w:cs="Arial"/>
              </w:rPr>
            </w:pPr>
            <w:bookmarkStart w:id="0" w:name="_GoBack"/>
            <w:bookmarkEnd w:id="0"/>
            <w:r w:rsidRPr="00080443">
              <w:rPr>
                <w:rFonts w:cs="Arial"/>
              </w:rPr>
              <w:t>Digital dividend auction, April 2013</w:t>
            </w:r>
          </w:p>
        </w:tc>
      </w:tr>
      <w:tr w:rsidR="000969BF" w:rsidRPr="00080443" w14:paraId="03CBB7D2" w14:textId="77777777" w:rsidTr="00915B1C">
        <w:tc>
          <w:tcPr>
            <w:tcW w:w="8973" w:type="dxa"/>
            <w:shd w:val="clear" w:color="auto" w:fill="auto"/>
            <w:tcMar>
              <w:bottom w:w="232" w:type="dxa"/>
            </w:tcMar>
          </w:tcPr>
          <w:p w14:paraId="6CFD0B9F" w14:textId="77777777" w:rsidR="000969BF" w:rsidRDefault="00A42479" w:rsidP="0078123F">
            <w:pPr>
              <w:pStyle w:val="ReportSubtitle"/>
              <w:rPr>
                <w:rFonts w:cs="Arial"/>
              </w:rPr>
            </w:pPr>
            <w:r w:rsidRPr="00080443">
              <w:rPr>
                <w:rFonts w:cs="Arial"/>
              </w:rPr>
              <w:t>A</w:t>
            </w:r>
            <w:r w:rsidR="0078123F" w:rsidRPr="00080443">
              <w:rPr>
                <w:rFonts w:cs="Arial"/>
              </w:rPr>
              <w:t>uction guide</w:t>
            </w:r>
          </w:p>
          <w:p w14:paraId="42B3B8F7" w14:textId="77777777" w:rsidR="009D2A3A" w:rsidRPr="00080443" w:rsidRDefault="009D2A3A" w:rsidP="009D2A3A">
            <w:pPr>
              <w:pStyle w:val="ReportDate"/>
              <w:spacing w:before="240"/>
            </w:pPr>
            <w:r>
              <w:t>Revised version: Published 20 March 2013</w:t>
            </w:r>
          </w:p>
        </w:tc>
      </w:tr>
      <w:tr w:rsidR="000969BF" w:rsidRPr="00080443" w14:paraId="74014F39" w14:textId="77777777" w:rsidTr="00915B1C">
        <w:tc>
          <w:tcPr>
            <w:tcW w:w="8973" w:type="dxa"/>
            <w:shd w:val="clear" w:color="auto" w:fill="auto"/>
          </w:tcPr>
          <w:p w14:paraId="3957AFD5" w14:textId="77777777" w:rsidR="000969BF" w:rsidRPr="00080443" w:rsidRDefault="000969BF" w:rsidP="005D2502">
            <w:pPr>
              <w:pStyle w:val="ReportDate"/>
              <w:rPr>
                <w:rFonts w:cs="Arial"/>
              </w:rPr>
            </w:pPr>
          </w:p>
        </w:tc>
      </w:tr>
    </w:tbl>
    <w:p w14:paraId="71493D88" w14:textId="77777777" w:rsidR="000969BF" w:rsidRPr="00080443" w:rsidRDefault="000969BF" w:rsidP="000969BF">
      <w:pPr>
        <w:rPr>
          <w:rFonts w:cs="Arial"/>
        </w:rPr>
      </w:pPr>
    </w:p>
    <w:p w14:paraId="21CA861D" w14:textId="77777777" w:rsidR="004E39D3" w:rsidRPr="00080443" w:rsidRDefault="004E39D3" w:rsidP="0041071D">
      <w:pPr>
        <w:rPr>
          <w:rFonts w:cs="Arial"/>
        </w:rPr>
      </w:pPr>
    </w:p>
    <w:p w14:paraId="7187DC2D" w14:textId="77777777" w:rsidR="00C97736" w:rsidRPr="00080443" w:rsidRDefault="00C97736" w:rsidP="0041071D">
      <w:pPr>
        <w:rPr>
          <w:rFonts w:cs="Arial"/>
        </w:rPr>
      </w:pPr>
    </w:p>
    <w:p w14:paraId="04169BCB" w14:textId="77777777" w:rsidR="00C97736" w:rsidRPr="00080443" w:rsidRDefault="00C97736" w:rsidP="0041071D">
      <w:pPr>
        <w:rPr>
          <w:rFonts w:cs="Arial"/>
        </w:rPr>
        <w:sectPr w:rsidR="00C97736" w:rsidRPr="00080443" w:rsidSect="00A74B5E">
          <w:headerReference w:type="default" r:id="rId12"/>
          <w:footerReference w:type="default" r:id="rId13"/>
          <w:headerReference w:type="first" r:id="rId14"/>
          <w:pgSz w:w="11906" w:h="16838" w:code="9"/>
          <w:pgMar w:top="3924" w:right="1797" w:bottom="1440" w:left="1132" w:header="709" w:footer="709" w:gutter="0"/>
          <w:cols w:space="708"/>
          <w:docGrid w:linePitch="360"/>
        </w:sectPr>
      </w:pPr>
    </w:p>
    <w:tbl>
      <w:tblPr>
        <w:tblW w:w="8987" w:type="dxa"/>
        <w:tblLayout w:type="fixed"/>
        <w:tblCellMar>
          <w:left w:w="0" w:type="dxa"/>
          <w:right w:w="0" w:type="dxa"/>
        </w:tblCellMar>
        <w:tblLook w:val="01E0" w:firstRow="1" w:lastRow="1" w:firstColumn="1" w:lastColumn="1" w:noHBand="0" w:noVBand="0"/>
      </w:tblPr>
      <w:tblGrid>
        <w:gridCol w:w="8987"/>
      </w:tblGrid>
      <w:tr w:rsidR="00C64CD0" w:rsidRPr="00080443" w14:paraId="4D892BDB" w14:textId="77777777" w:rsidTr="006E4B1B">
        <w:trPr>
          <w:trHeight w:val="5897"/>
        </w:trPr>
        <w:tc>
          <w:tcPr>
            <w:tcW w:w="8987" w:type="dxa"/>
            <w:shd w:val="clear" w:color="auto" w:fill="auto"/>
          </w:tcPr>
          <w:tbl>
            <w:tblPr>
              <w:tblW w:w="0" w:type="auto"/>
              <w:tblLayout w:type="fixed"/>
              <w:tblCellMar>
                <w:left w:w="0" w:type="dxa"/>
                <w:right w:w="0" w:type="dxa"/>
              </w:tblCellMar>
              <w:tblLook w:val="01E0" w:firstRow="1" w:lastRow="1" w:firstColumn="1" w:lastColumn="1" w:noHBand="0" w:noVBand="0"/>
            </w:tblPr>
            <w:tblGrid>
              <w:gridCol w:w="1491"/>
              <w:gridCol w:w="1694"/>
              <w:gridCol w:w="1764"/>
              <w:gridCol w:w="2011"/>
              <w:gridCol w:w="2012"/>
            </w:tblGrid>
            <w:tr w:rsidR="004151A7" w:rsidRPr="00080443" w14:paraId="44B2468E" w14:textId="77777777" w:rsidTr="00915B1C">
              <w:tc>
                <w:tcPr>
                  <w:tcW w:w="1491" w:type="dxa"/>
                  <w:shd w:val="clear" w:color="auto" w:fill="auto"/>
                  <w:tcMar>
                    <w:top w:w="28" w:type="dxa"/>
                  </w:tcMar>
                </w:tcPr>
                <w:p w14:paraId="72636E85" w14:textId="77777777" w:rsidR="004151A7" w:rsidRPr="00080443" w:rsidRDefault="004151A7" w:rsidP="004151A7">
                  <w:pPr>
                    <w:pStyle w:val="CorporateAddresses"/>
                    <w:rPr>
                      <w:rFonts w:cs="Arial"/>
                      <w:b/>
                    </w:rPr>
                  </w:pPr>
                  <w:r w:rsidRPr="00080443">
                    <w:rPr>
                      <w:rFonts w:cs="Arial"/>
                      <w:b/>
                    </w:rPr>
                    <w:lastRenderedPageBreak/>
                    <w:t>Canberra</w:t>
                  </w:r>
                </w:p>
                <w:p w14:paraId="6B93D1DC" w14:textId="77777777" w:rsidR="004151A7" w:rsidRPr="00080443" w:rsidRDefault="004151A7" w:rsidP="004151A7">
                  <w:pPr>
                    <w:pStyle w:val="CorporateAddresses"/>
                    <w:rPr>
                      <w:rFonts w:cs="Arial"/>
                    </w:rPr>
                  </w:pPr>
                  <w:r w:rsidRPr="00080443">
                    <w:rPr>
                      <w:rFonts w:cs="Arial"/>
                    </w:rPr>
                    <w:t>Purple Building</w:t>
                  </w:r>
                  <w:r w:rsidR="0027165D" w:rsidRPr="00080443">
                    <w:rPr>
                      <w:rFonts w:cs="Arial"/>
                    </w:rPr>
                    <w:t xml:space="preserve"> </w:t>
                  </w:r>
                </w:p>
                <w:p w14:paraId="20E6D458" w14:textId="77777777" w:rsidR="004151A7" w:rsidRPr="00080443" w:rsidRDefault="004151A7" w:rsidP="004151A7">
                  <w:pPr>
                    <w:pStyle w:val="CorporateAddresses"/>
                    <w:rPr>
                      <w:rFonts w:cs="Arial"/>
                    </w:rPr>
                  </w:pPr>
                  <w:r w:rsidRPr="00080443">
                    <w:rPr>
                      <w:rFonts w:cs="Arial"/>
                    </w:rPr>
                    <w:t>Benjamin Offices</w:t>
                  </w:r>
                </w:p>
                <w:p w14:paraId="526CEB57" w14:textId="77777777" w:rsidR="004151A7" w:rsidRPr="00080443" w:rsidRDefault="004151A7" w:rsidP="004151A7">
                  <w:pPr>
                    <w:pStyle w:val="CorporateAddresses"/>
                    <w:rPr>
                      <w:rFonts w:cs="Arial"/>
                    </w:rPr>
                  </w:pPr>
                  <w:r w:rsidRPr="00080443">
                    <w:rPr>
                      <w:rFonts w:cs="Arial"/>
                    </w:rPr>
                    <w:t xml:space="preserve">Chan Street </w:t>
                  </w:r>
                </w:p>
                <w:p w14:paraId="378D4B5D" w14:textId="77777777" w:rsidR="004151A7" w:rsidRPr="00080443" w:rsidRDefault="004151A7" w:rsidP="004151A7">
                  <w:pPr>
                    <w:pStyle w:val="CorporateAddresses"/>
                    <w:rPr>
                      <w:rFonts w:cs="Arial"/>
                    </w:rPr>
                  </w:pPr>
                  <w:r w:rsidRPr="00080443">
                    <w:rPr>
                      <w:rFonts w:cs="Arial"/>
                    </w:rPr>
                    <w:t>Belconnen ACT</w:t>
                  </w:r>
                </w:p>
                <w:p w14:paraId="4290F1B2" w14:textId="77777777" w:rsidR="004151A7" w:rsidRPr="00080443" w:rsidRDefault="004151A7" w:rsidP="004151A7">
                  <w:pPr>
                    <w:pStyle w:val="CorporateAddresses"/>
                    <w:rPr>
                      <w:rFonts w:cs="Arial"/>
                    </w:rPr>
                  </w:pPr>
                </w:p>
                <w:p w14:paraId="4D951B5F" w14:textId="77777777" w:rsidR="004151A7" w:rsidRPr="00080443" w:rsidRDefault="004151A7" w:rsidP="004151A7">
                  <w:pPr>
                    <w:pStyle w:val="CorporateAddresses"/>
                    <w:rPr>
                      <w:rFonts w:cs="Arial"/>
                    </w:rPr>
                  </w:pPr>
                  <w:r w:rsidRPr="00080443">
                    <w:rPr>
                      <w:rFonts w:cs="Arial"/>
                    </w:rPr>
                    <w:t>PO Box 78</w:t>
                  </w:r>
                </w:p>
                <w:p w14:paraId="6C47DFF4" w14:textId="77777777" w:rsidR="004151A7" w:rsidRPr="00080443" w:rsidRDefault="004151A7" w:rsidP="004151A7">
                  <w:pPr>
                    <w:pStyle w:val="CorporateAddresses"/>
                    <w:rPr>
                      <w:rFonts w:cs="Arial"/>
                    </w:rPr>
                  </w:pPr>
                  <w:r w:rsidRPr="00080443">
                    <w:rPr>
                      <w:rFonts w:cs="Arial"/>
                    </w:rPr>
                    <w:t>Belconnen ACT 2616</w:t>
                  </w:r>
                </w:p>
                <w:p w14:paraId="1C6788AE" w14:textId="77777777" w:rsidR="004151A7" w:rsidRPr="00080443" w:rsidRDefault="004151A7" w:rsidP="004151A7">
                  <w:pPr>
                    <w:pStyle w:val="CorporateAddresses"/>
                    <w:rPr>
                      <w:rFonts w:cs="Arial"/>
                    </w:rPr>
                  </w:pPr>
                </w:p>
                <w:p w14:paraId="4AF34A8F" w14:textId="77777777" w:rsidR="002B381A" w:rsidRPr="00080443" w:rsidRDefault="002B381A" w:rsidP="004151A7">
                  <w:pPr>
                    <w:pStyle w:val="CorporateAddresses"/>
                    <w:rPr>
                      <w:rFonts w:cs="Arial"/>
                    </w:rPr>
                  </w:pPr>
                </w:p>
                <w:p w14:paraId="7280377F" w14:textId="77777777" w:rsidR="004151A7" w:rsidRPr="00080443" w:rsidRDefault="004151A7" w:rsidP="004151A7">
                  <w:pPr>
                    <w:pStyle w:val="CorporateAddresses"/>
                    <w:rPr>
                      <w:rFonts w:cs="Arial"/>
                    </w:rPr>
                  </w:pPr>
                  <w:proofErr w:type="gramStart"/>
                  <w:r w:rsidRPr="00080443">
                    <w:rPr>
                      <w:rFonts w:cs="Arial"/>
                    </w:rPr>
                    <w:t xml:space="preserve">T </w:t>
                  </w:r>
                  <w:r w:rsidR="00111FCE" w:rsidRPr="00080443">
                    <w:rPr>
                      <w:rFonts w:cs="Arial"/>
                    </w:rPr>
                    <w:t xml:space="preserve"> </w:t>
                  </w:r>
                  <w:r w:rsidRPr="00080443">
                    <w:rPr>
                      <w:rFonts w:cs="Arial"/>
                    </w:rPr>
                    <w:t>+</w:t>
                  </w:r>
                  <w:proofErr w:type="gramEnd"/>
                  <w:r w:rsidRPr="00080443">
                    <w:rPr>
                      <w:rFonts w:cs="Arial"/>
                    </w:rPr>
                    <w:t>61 2 6219 5555</w:t>
                  </w:r>
                </w:p>
                <w:p w14:paraId="3BDE0463" w14:textId="77777777" w:rsidR="004151A7" w:rsidRPr="00080443" w:rsidRDefault="004151A7" w:rsidP="004151A7">
                  <w:pPr>
                    <w:pStyle w:val="CorporateAddresses"/>
                    <w:rPr>
                      <w:rFonts w:cs="Arial"/>
                    </w:rPr>
                  </w:pPr>
                  <w:proofErr w:type="gramStart"/>
                  <w:r w:rsidRPr="00080443">
                    <w:rPr>
                      <w:rFonts w:cs="Arial"/>
                    </w:rPr>
                    <w:t xml:space="preserve">F </w:t>
                  </w:r>
                  <w:r w:rsidR="00111FCE" w:rsidRPr="00080443">
                    <w:rPr>
                      <w:rFonts w:cs="Arial"/>
                    </w:rPr>
                    <w:t xml:space="preserve"> </w:t>
                  </w:r>
                  <w:r w:rsidRPr="00080443">
                    <w:rPr>
                      <w:rFonts w:cs="Arial"/>
                    </w:rPr>
                    <w:t>+</w:t>
                  </w:r>
                  <w:proofErr w:type="gramEnd"/>
                  <w:r w:rsidRPr="00080443">
                    <w:rPr>
                      <w:rFonts w:cs="Arial"/>
                    </w:rPr>
                    <w:t>61 2 6219 5353</w:t>
                  </w:r>
                </w:p>
              </w:tc>
              <w:tc>
                <w:tcPr>
                  <w:tcW w:w="1694" w:type="dxa"/>
                  <w:shd w:val="clear" w:color="auto" w:fill="auto"/>
                </w:tcPr>
                <w:p w14:paraId="4F5B308B" w14:textId="77777777" w:rsidR="004151A7" w:rsidRPr="00080443" w:rsidRDefault="004151A7" w:rsidP="004151A7">
                  <w:pPr>
                    <w:pStyle w:val="CorporateAddresses"/>
                    <w:rPr>
                      <w:rFonts w:cs="Arial"/>
                      <w:b/>
                    </w:rPr>
                  </w:pPr>
                  <w:r w:rsidRPr="00080443">
                    <w:rPr>
                      <w:rFonts w:cs="Arial"/>
                      <w:b/>
                    </w:rPr>
                    <w:t>Melbourne</w:t>
                  </w:r>
                </w:p>
                <w:p w14:paraId="78621185" w14:textId="77777777" w:rsidR="004151A7" w:rsidRPr="00080443" w:rsidRDefault="004151A7" w:rsidP="004151A7">
                  <w:pPr>
                    <w:pStyle w:val="CorporateAddresses"/>
                    <w:rPr>
                      <w:rFonts w:cs="Arial"/>
                    </w:rPr>
                  </w:pPr>
                  <w:r w:rsidRPr="00080443">
                    <w:rPr>
                      <w:rFonts w:cs="Arial"/>
                    </w:rPr>
                    <w:t>Level 44</w:t>
                  </w:r>
                  <w:r w:rsidR="0027165D" w:rsidRPr="00080443">
                    <w:rPr>
                      <w:rFonts w:cs="Arial"/>
                    </w:rPr>
                    <w:t xml:space="preserve"> </w:t>
                  </w:r>
                </w:p>
                <w:p w14:paraId="65471107" w14:textId="77777777" w:rsidR="004151A7" w:rsidRPr="00080443" w:rsidRDefault="004151A7" w:rsidP="004151A7">
                  <w:pPr>
                    <w:pStyle w:val="CorporateAddresses"/>
                    <w:rPr>
                      <w:rFonts w:cs="Arial"/>
                    </w:rPr>
                  </w:pPr>
                  <w:r w:rsidRPr="00080443">
                    <w:rPr>
                      <w:rFonts w:cs="Arial"/>
                    </w:rPr>
                    <w:t>Melbourne Central Tower</w:t>
                  </w:r>
                </w:p>
                <w:p w14:paraId="7265212B" w14:textId="77777777" w:rsidR="004151A7" w:rsidRPr="00080443" w:rsidRDefault="00E110E0" w:rsidP="004151A7">
                  <w:pPr>
                    <w:pStyle w:val="CorporateAddresses"/>
                    <w:rPr>
                      <w:rFonts w:cs="Arial"/>
                    </w:rPr>
                  </w:pPr>
                  <w:r w:rsidRPr="00080443">
                    <w:rPr>
                      <w:rFonts w:cs="Arial"/>
                    </w:rPr>
                    <w:t xml:space="preserve">360 Elizabeth Street </w:t>
                  </w:r>
                  <w:r w:rsidR="004151A7" w:rsidRPr="00080443">
                    <w:rPr>
                      <w:rFonts w:cs="Arial"/>
                    </w:rPr>
                    <w:t>Melbourne VIC</w:t>
                  </w:r>
                </w:p>
                <w:p w14:paraId="2CB6507B" w14:textId="77777777" w:rsidR="004151A7" w:rsidRPr="00080443" w:rsidRDefault="004151A7" w:rsidP="004151A7">
                  <w:pPr>
                    <w:pStyle w:val="CorporateAddresses"/>
                    <w:rPr>
                      <w:rFonts w:cs="Arial"/>
                    </w:rPr>
                  </w:pPr>
                </w:p>
                <w:p w14:paraId="693A3AD9" w14:textId="77777777" w:rsidR="004151A7" w:rsidRPr="00080443" w:rsidRDefault="004151A7" w:rsidP="004151A7">
                  <w:pPr>
                    <w:pStyle w:val="CorporateAddresses"/>
                    <w:rPr>
                      <w:rFonts w:cs="Arial"/>
                    </w:rPr>
                  </w:pPr>
                  <w:r w:rsidRPr="00080443">
                    <w:rPr>
                      <w:rFonts w:cs="Arial"/>
                    </w:rPr>
                    <w:t>PO Box 13112</w:t>
                  </w:r>
                </w:p>
                <w:p w14:paraId="79F09190" w14:textId="77777777" w:rsidR="004151A7" w:rsidRPr="00080443" w:rsidRDefault="004151A7" w:rsidP="004151A7">
                  <w:pPr>
                    <w:pStyle w:val="CorporateAddresses"/>
                    <w:rPr>
                      <w:rFonts w:cs="Arial"/>
                    </w:rPr>
                  </w:pPr>
                  <w:r w:rsidRPr="00080443">
                    <w:rPr>
                      <w:rFonts w:cs="Arial"/>
                    </w:rPr>
                    <w:t>Law Courts</w:t>
                  </w:r>
                  <w:r w:rsidR="0027165D" w:rsidRPr="00080443">
                    <w:rPr>
                      <w:rFonts w:cs="Arial"/>
                    </w:rPr>
                    <w:t xml:space="preserve"> </w:t>
                  </w:r>
                </w:p>
                <w:p w14:paraId="1D0D2F62" w14:textId="77777777" w:rsidR="004151A7" w:rsidRPr="00080443" w:rsidRDefault="004151A7" w:rsidP="004151A7">
                  <w:pPr>
                    <w:pStyle w:val="CorporateAddresses"/>
                    <w:rPr>
                      <w:rFonts w:cs="Arial"/>
                    </w:rPr>
                  </w:pPr>
                  <w:r w:rsidRPr="00080443">
                    <w:rPr>
                      <w:rFonts w:cs="Arial"/>
                    </w:rPr>
                    <w:t>Melbourne VIC 8010</w:t>
                  </w:r>
                </w:p>
                <w:p w14:paraId="1DDF9600" w14:textId="77777777" w:rsidR="004151A7" w:rsidRPr="00080443" w:rsidRDefault="004151A7" w:rsidP="004151A7">
                  <w:pPr>
                    <w:pStyle w:val="CorporateAddresses"/>
                    <w:rPr>
                      <w:rFonts w:cs="Arial"/>
                    </w:rPr>
                  </w:pPr>
                </w:p>
                <w:p w14:paraId="258A37D9" w14:textId="77777777" w:rsidR="004151A7" w:rsidRPr="00080443" w:rsidRDefault="004151A7" w:rsidP="004151A7">
                  <w:pPr>
                    <w:pStyle w:val="CorporateAddresses"/>
                    <w:rPr>
                      <w:rFonts w:cs="Arial"/>
                    </w:rPr>
                  </w:pPr>
                  <w:proofErr w:type="gramStart"/>
                  <w:r w:rsidRPr="00080443">
                    <w:rPr>
                      <w:rFonts w:cs="Arial"/>
                    </w:rPr>
                    <w:t xml:space="preserve">T </w:t>
                  </w:r>
                  <w:r w:rsidR="00111FCE" w:rsidRPr="00080443">
                    <w:rPr>
                      <w:rFonts w:cs="Arial"/>
                    </w:rPr>
                    <w:t xml:space="preserve"> </w:t>
                  </w:r>
                  <w:r w:rsidRPr="00080443">
                    <w:rPr>
                      <w:rFonts w:cs="Arial"/>
                    </w:rPr>
                    <w:t>+</w:t>
                  </w:r>
                  <w:proofErr w:type="gramEnd"/>
                  <w:r w:rsidRPr="00080443">
                    <w:rPr>
                      <w:rFonts w:cs="Arial"/>
                    </w:rPr>
                    <w:t>61 3 9963 6800</w:t>
                  </w:r>
                </w:p>
                <w:p w14:paraId="428D3C00" w14:textId="77777777" w:rsidR="004151A7" w:rsidRPr="00080443" w:rsidRDefault="004151A7" w:rsidP="004151A7">
                  <w:pPr>
                    <w:pStyle w:val="CorporateAddresses"/>
                    <w:rPr>
                      <w:rFonts w:cs="Arial"/>
                    </w:rPr>
                  </w:pPr>
                  <w:proofErr w:type="gramStart"/>
                  <w:r w:rsidRPr="00080443">
                    <w:rPr>
                      <w:rFonts w:cs="Arial"/>
                    </w:rPr>
                    <w:t xml:space="preserve">F </w:t>
                  </w:r>
                  <w:r w:rsidR="00111FCE" w:rsidRPr="00080443">
                    <w:rPr>
                      <w:rFonts w:cs="Arial"/>
                    </w:rPr>
                    <w:t xml:space="preserve"> </w:t>
                  </w:r>
                  <w:r w:rsidRPr="00080443">
                    <w:rPr>
                      <w:rFonts w:cs="Arial"/>
                    </w:rPr>
                    <w:t>+</w:t>
                  </w:r>
                  <w:proofErr w:type="gramEnd"/>
                  <w:r w:rsidRPr="00080443">
                    <w:rPr>
                      <w:rFonts w:cs="Arial"/>
                    </w:rPr>
                    <w:t>61 3 9963 6899</w:t>
                  </w:r>
                </w:p>
              </w:tc>
              <w:tc>
                <w:tcPr>
                  <w:tcW w:w="1764" w:type="dxa"/>
                  <w:shd w:val="clear" w:color="auto" w:fill="auto"/>
                </w:tcPr>
                <w:p w14:paraId="3F43A05F" w14:textId="77777777" w:rsidR="004151A7" w:rsidRPr="00080443" w:rsidRDefault="004151A7" w:rsidP="004151A7">
                  <w:pPr>
                    <w:pStyle w:val="CorporateAddresses"/>
                    <w:rPr>
                      <w:rFonts w:cs="Arial"/>
                      <w:b/>
                    </w:rPr>
                  </w:pPr>
                  <w:r w:rsidRPr="00080443">
                    <w:rPr>
                      <w:rFonts w:cs="Arial"/>
                      <w:b/>
                    </w:rPr>
                    <w:t>Sydney</w:t>
                  </w:r>
                </w:p>
                <w:p w14:paraId="206C2438" w14:textId="77777777" w:rsidR="004151A7" w:rsidRPr="00080443" w:rsidRDefault="00AF63E7" w:rsidP="004151A7">
                  <w:pPr>
                    <w:pStyle w:val="CorporateAddresses"/>
                    <w:rPr>
                      <w:rFonts w:cs="Arial"/>
                    </w:rPr>
                  </w:pPr>
                  <w:r w:rsidRPr="00080443">
                    <w:rPr>
                      <w:rFonts w:cs="Arial"/>
                    </w:rPr>
                    <w:t>Level 5</w:t>
                  </w:r>
                  <w:r w:rsidR="00E110E0" w:rsidRPr="00080443">
                    <w:rPr>
                      <w:rFonts w:cs="Arial"/>
                    </w:rPr>
                    <w:t xml:space="preserve"> </w:t>
                  </w:r>
                </w:p>
                <w:p w14:paraId="6FB64BA9" w14:textId="77777777" w:rsidR="004151A7" w:rsidRPr="00080443" w:rsidRDefault="00AF63E7" w:rsidP="004151A7">
                  <w:pPr>
                    <w:pStyle w:val="CorporateAddresses"/>
                    <w:rPr>
                      <w:rFonts w:cs="Arial"/>
                    </w:rPr>
                  </w:pPr>
                  <w:r w:rsidRPr="00080443">
                    <w:rPr>
                      <w:rFonts w:cs="Arial"/>
                    </w:rPr>
                    <w:t>The Bay Centre</w:t>
                  </w:r>
                </w:p>
                <w:p w14:paraId="3F8191FF" w14:textId="77777777" w:rsidR="004151A7" w:rsidRPr="00080443" w:rsidRDefault="00AF63E7" w:rsidP="004151A7">
                  <w:pPr>
                    <w:pStyle w:val="CorporateAddresses"/>
                    <w:rPr>
                      <w:rFonts w:cs="Arial"/>
                    </w:rPr>
                  </w:pPr>
                  <w:r w:rsidRPr="00080443">
                    <w:rPr>
                      <w:rFonts w:cs="Arial"/>
                    </w:rPr>
                    <w:t>65 Pirrama Road</w:t>
                  </w:r>
                  <w:r w:rsidR="00E110E0" w:rsidRPr="00080443">
                    <w:rPr>
                      <w:rFonts w:cs="Arial"/>
                    </w:rPr>
                    <w:t xml:space="preserve"> </w:t>
                  </w:r>
                </w:p>
                <w:p w14:paraId="68CACA5C" w14:textId="77777777" w:rsidR="004151A7" w:rsidRPr="00080443" w:rsidRDefault="00AF63E7" w:rsidP="004151A7">
                  <w:pPr>
                    <w:pStyle w:val="CorporateAddresses"/>
                    <w:rPr>
                      <w:rFonts w:cs="Arial"/>
                    </w:rPr>
                  </w:pPr>
                  <w:r w:rsidRPr="00080443">
                    <w:rPr>
                      <w:rFonts w:cs="Arial"/>
                    </w:rPr>
                    <w:t>Pyrmont</w:t>
                  </w:r>
                  <w:r w:rsidR="004151A7" w:rsidRPr="00080443">
                    <w:rPr>
                      <w:rFonts w:cs="Arial"/>
                    </w:rPr>
                    <w:t xml:space="preserve"> NSW</w:t>
                  </w:r>
                </w:p>
                <w:p w14:paraId="46C22CBF" w14:textId="77777777" w:rsidR="004151A7" w:rsidRPr="00080443" w:rsidRDefault="004151A7" w:rsidP="004151A7">
                  <w:pPr>
                    <w:pStyle w:val="CorporateAddresses"/>
                    <w:rPr>
                      <w:rFonts w:cs="Arial"/>
                    </w:rPr>
                  </w:pPr>
                </w:p>
                <w:p w14:paraId="223B88DC" w14:textId="77777777" w:rsidR="004151A7" w:rsidRPr="00080443" w:rsidRDefault="004151A7" w:rsidP="004151A7">
                  <w:pPr>
                    <w:pStyle w:val="CorporateAddresses"/>
                    <w:rPr>
                      <w:rFonts w:cs="Arial"/>
                    </w:rPr>
                  </w:pPr>
                  <w:r w:rsidRPr="00080443">
                    <w:rPr>
                      <w:rFonts w:cs="Arial"/>
                    </w:rPr>
                    <w:t>PO Box Q500</w:t>
                  </w:r>
                </w:p>
                <w:p w14:paraId="60FE21DB" w14:textId="77777777" w:rsidR="004151A7" w:rsidRPr="00080443" w:rsidRDefault="00E110E0" w:rsidP="004151A7">
                  <w:pPr>
                    <w:pStyle w:val="CorporateAddresses"/>
                    <w:rPr>
                      <w:rFonts w:cs="Arial"/>
                    </w:rPr>
                  </w:pPr>
                  <w:r w:rsidRPr="00080443">
                    <w:rPr>
                      <w:rFonts w:cs="Arial"/>
                    </w:rPr>
                    <w:t xml:space="preserve">Queen Victoria Building </w:t>
                  </w:r>
                </w:p>
                <w:p w14:paraId="1065C8C5" w14:textId="77777777" w:rsidR="004151A7" w:rsidRPr="00080443" w:rsidRDefault="004151A7" w:rsidP="004151A7">
                  <w:pPr>
                    <w:pStyle w:val="CorporateAddresses"/>
                    <w:rPr>
                      <w:rFonts w:cs="Arial"/>
                    </w:rPr>
                  </w:pPr>
                  <w:r w:rsidRPr="00080443">
                    <w:rPr>
                      <w:rFonts w:cs="Arial"/>
                    </w:rPr>
                    <w:t>NSW 1230</w:t>
                  </w:r>
                </w:p>
                <w:p w14:paraId="2BD3EADC" w14:textId="77777777" w:rsidR="004151A7" w:rsidRPr="00080443" w:rsidRDefault="004151A7" w:rsidP="004151A7">
                  <w:pPr>
                    <w:pStyle w:val="CorporateAddresses"/>
                    <w:rPr>
                      <w:rFonts w:cs="Arial"/>
                    </w:rPr>
                  </w:pPr>
                </w:p>
                <w:p w14:paraId="7BE5C3B9" w14:textId="77777777" w:rsidR="004151A7" w:rsidRPr="00080443" w:rsidRDefault="004151A7" w:rsidP="004151A7">
                  <w:pPr>
                    <w:pStyle w:val="CorporateAddresses"/>
                    <w:rPr>
                      <w:rFonts w:cs="Arial"/>
                    </w:rPr>
                  </w:pPr>
                  <w:proofErr w:type="gramStart"/>
                  <w:r w:rsidRPr="00080443">
                    <w:rPr>
                      <w:rFonts w:cs="Arial"/>
                    </w:rPr>
                    <w:t xml:space="preserve">T </w:t>
                  </w:r>
                  <w:r w:rsidR="00111FCE" w:rsidRPr="00080443">
                    <w:rPr>
                      <w:rFonts w:cs="Arial"/>
                    </w:rPr>
                    <w:t xml:space="preserve"> </w:t>
                  </w:r>
                  <w:r w:rsidR="00E110E0" w:rsidRPr="00080443">
                    <w:rPr>
                      <w:rFonts w:cs="Arial"/>
                    </w:rPr>
                    <w:t>+</w:t>
                  </w:r>
                  <w:proofErr w:type="gramEnd"/>
                  <w:r w:rsidR="00E110E0" w:rsidRPr="00080443">
                    <w:rPr>
                      <w:rFonts w:cs="Arial"/>
                    </w:rPr>
                    <w:t xml:space="preserve">61 2 9334 7700 </w:t>
                  </w:r>
                </w:p>
                <w:p w14:paraId="38928D30" w14:textId="77777777" w:rsidR="004151A7" w:rsidRPr="00080443" w:rsidRDefault="00111FCE" w:rsidP="00915B1C">
                  <w:pPr>
                    <w:pStyle w:val="CorporateAddresses"/>
                    <w:spacing w:after="28"/>
                    <w:rPr>
                      <w:rFonts w:cs="Arial"/>
                    </w:rPr>
                  </w:pPr>
                  <w:r w:rsidRPr="00080443">
                    <w:rPr>
                      <w:rFonts w:cs="Arial"/>
                    </w:rPr>
                    <w:t xml:space="preserve">    </w:t>
                  </w:r>
                  <w:r w:rsidR="004151A7" w:rsidRPr="00080443">
                    <w:rPr>
                      <w:rFonts w:cs="Arial"/>
                    </w:rPr>
                    <w:t>1800 226 667</w:t>
                  </w:r>
                </w:p>
                <w:p w14:paraId="693F4360" w14:textId="77777777" w:rsidR="004151A7" w:rsidRPr="00080443" w:rsidRDefault="004151A7" w:rsidP="004151A7">
                  <w:pPr>
                    <w:pStyle w:val="CorporateAddresses"/>
                    <w:rPr>
                      <w:rFonts w:cs="Arial"/>
                    </w:rPr>
                  </w:pPr>
                  <w:proofErr w:type="gramStart"/>
                  <w:r w:rsidRPr="00080443">
                    <w:rPr>
                      <w:rFonts w:cs="Arial"/>
                    </w:rPr>
                    <w:t xml:space="preserve">F </w:t>
                  </w:r>
                  <w:r w:rsidR="00111FCE" w:rsidRPr="00080443">
                    <w:rPr>
                      <w:rFonts w:cs="Arial"/>
                    </w:rPr>
                    <w:t xml:space="preserve"> </w:t>
                  </w:r>
                  <w:r w:rsidRPr="00080443">
                    <w:rPr>
                      <w:rFonts w:cs="Arial"/>
                    </w:rPr>
                    <w:t>+</w:t>
                  </w:r>
                  <w:proofErr w:type="gramEnd"/>
                  <w:r w:rsidRPr="00080443">
                    <w:rPr>
                      <w:rFonts w:cs="Arial"/>
                    </w:rPr>
                    <w:t>61 2 9334 7799</w:t>
                  </w:r>
                </w:p>
              </w:tc>
              <w:tc>
                <w:tcPr>
                  <w:tcW w:w="2011" w:type="dxa"/>
                  <w:shd w:val="clear" w:color="auto" w:fill="auto"/>
                </w:tcPr>
                <w:p w14:paraId="3B08AB04" w14:textId="77777777" w:rsidR="004151A7" w:rsidRPr="00080443" w:rsidRDefault="004151A7" w:rsidP="004151A7">
                  <w:pPr>
                    <w:pStyle w:val="CorporateAddresses"/>
                    <w:rPr>
                      <w:rFonts w:cs="Arial"/>
                    </w:rPr>
                  </w:pPr>
                </w:p>
              </w:tc>
              <w:tc>
                <w:tcPr>
                  <w:tcW w:w="2012" w:type="dxa"/>
                  <w:shd w:val="clear" w:color="auto" w:fill="auto"/>
                </w:tcPr>
                <w:p w14:paraId="56959CEE" w14:textId="77777777" w:rsidR="004151A7" w:rsidRPr="00080443" w:rsidRDefault="004151A7" w:rsidP="004151A7">
                  <w:pPr>
                    <w:pStyle w:val="CorporateAddresses"/>
                    <w:rPr>
                      <w:rFonts w:cs="Arial"/>
                    </w:rPr>
                  </w:pPr>
                </w:p>
              </w:tc>
            </w:tr>
          </w:tbl>
          <w:p w14:paraId="0649853D" w14:textId="77777777" w:rsidR="00C64CD0" w:rsidRPr="00080443" w:rsidRDefault="00C64CD0" w:rsidP="004151A7">
            <w:pPr>
              <w:pStyle w:val="CorporateAddresses"/>
              <w:rPr>
                <w:rFonts w:cs="Arial"/>
              </w:rPr>
            </w:pPr>
          </w:p>
        </w:tc>
      </w:tr>
      <w:tr w:rsidR="00745A5C" w:rsidRPr="00080443" w14:paraId="677D4B9C" w14:textId="77777777" w:rsidTr="006E4B1B">
        <w:trPr>
          <w:trHeight w:hRule="exact" w:val="6080"/>
        </w:trPr>
        <w:tc>
          <w:tcPr>
            <w:tcW w:w="8987" w:type="dxa"/>
            <w:shd w:val="clear" w:color="auto" w:fill="auto"/>
            <w:vAlign w:val="bottom"/>
          </w:tcPr>
          <w:p w14:paraId="22646154" w14:textId="77777777" w:rsidR="00745A5C" w:rsidRPr="00080443" w:rsidRDefault="00745A5C" w:rsidP="004151A7">
            <w:pPr>
              <w:pStyle w:val="Copyright"/>
              <w:rPr>
                <w:rFonts w:cs="Arial"/>
              </w:rPr>
            </w:pPr>
            <w:r w:rsidRPr="00080443">
              <w:rPr>
                <w:rFonts w:cs="Arial"/>
              </w:rPr>
              <w:t xml:space="preserve">© Commonwealth of Australia </w:t>
            </w:r>
            <w:r w:rsidR="008A60B8" w:rsidRPr="00080443">
              <w:rPr>
                <w:rFonts w:cs="Arial"/>
              </w:rPr>
              <w:t>201</w:t>
            </w:r>
            <w:r w:rsidR="0065228B" w:rsidRPr="00080443">
              <w:rPr>
                <w:rFonts w:cs="Arial"/>
              </w:rPr>
              <w:t>3</w:t>
            </w:r>
          </w:p>
          <w:p w14:paraId="7FF69526" w14:textId="77777777" w:rsidR="00745A5C" w:rsidRPr="00080443" w:rsidRDefault="00745A5C" w:rsidP="004151A7">
            <w:pPr>
              <w:pStyle w:val="Copyright"/>
              <w:rPr>
                <w:rFonts w:cs="Arial"/>
              </w:rPr>
            </w:pPr>
            <w:r w:rsidRPr="00080443">
              <w:rPr>
                <w:rFonts w:cs="Arial"/>
              </w:rPr>
              <w:t xml:space="preserve">This work is copyright. Apart from any use as permitted under the </w:t>
            </w:r>
            <w:r w:rsidRPr="00080443">
              <w:rPr>
                <w:rFonts w:cs="Arial"/>
                <w:i/>
              </w:rPr>
              <w:t>Copyright Act 1968</w:t>
            </w:r>
            <w:r w:rsidR="00E110E0" w:rsidRPr="00080443">
              <w:rPr>
                <w:rFonts w:cs="Arial"/>
              </w:rPr>
              <w:t>, no part may be reproduced</w:t>
            </w:r>
            <w:r w:rsidRPr="00080443">
              <w:rPr>
                <w:rFonts w:cs="Arial"/>
              </w:rPr>
              <w:t xml:space="preserve"> </w:t>
            </w:r>
          </w:p>
          <w:p w14:paraId="31C4D781" w14:textId="77777777" w:rsidR="00745A5C" w:rsidRPr="00080443" w:rsidRDefault="00745A5C" w:rsidP="004151A7">
            <w:pPr>
              <w:pStyle w:val="Copyright"/>
              <w:rPr>
                <w:rFonts w:cs="Arial"/>
              </w:rPr>
            </w:pPr>
            <w:r w:rsidRPr="00080443">
              <w:rPr>
                <w:rFonts w:cs="Arial"/>
              </w:rPr>
              <w:t xml:space="preserve">by any process without prior written permission from </w:t>
            </w:r>
            <w:r w:rsidR="00E110E0" w:rsidRPr="00080443">
              <w:rPr>
                <w:rFonts w:cs="Arial"/>
              </w:rPr>
              <w:t>the Commonwealth. Requests and e</w:t>
            </w:r>
            <w:r w:rsidRPr="00080443">
              <w:rPr>
                <w:rFonts w:cs="Arial"/>
              </w:rPr>
              <w:t>nq</w:t>
            </w:r>
            <w:r w:rsidR="00E110E0" w:rsidRPr="00080443">
              <w:rPr>
                <w:rFonts w:cs="Arial"/>
              </w:rPr>
              <w:t xml:space="preserve">uiries concerning reproduction </w:t>
            </w:r>
          </w:p>
          <w:p w14:paraId="678C3DB6" w14:textId="77777777" w:rsidR="00745A5C" w:rsidRPr="00080443" w:rsidRDefault="00745A5C" w:rsidP="004151A7">
            <w:pPr>
              <w:pStyle w:val="Copyright"/>
              <w:rPr>
                <w:rFonts w:cs="Arial"/>
              </w:rPr>
            </w:pPr>
            <w:r w:rsidRPr="00080443">
              <w:rPr>
                <w:rFonts w:cs="Arial"/>
              </w:rPr>
              <w:t xml:space="preserve">and rights should be addressed to the Manager, </w:t>
            </w:r>
            <w:r w:rsidR="00E110E0" w:rsidRPr="00080443">
              <w:rPr>
                <w:rFonts w:cs="Arial"/>
              </w:rPr>
              <w:t>Editorial Services</w:t>
            </w:r>
            <w:r w:rsidRPr="00080443">
              <w:rPr>
                <w:rFonts w:cs="Arial"/>
              </w:rPr>
              <w:t>, Australian Commu</w:t>
            </w:r>
            <w:r w:rsidR="00E110E0" w:rsidRPr="00080443">
              <w:rPr>
                <w:rFonts w:cs="Arial"/>
              </w:rPr>
              <w:t xml:space="preserve">nications and Media Authority, </w:t>
            </w:r>
          </w:p>
          <w:p w14:paraId="0A2864C2" w14:textId="77777777" w:rsidR="00745A5C" w:rsidRPr="00080443" w:rsidRDefault="00745A5C" w:rsidP="004151A7">
            <w:pPr>
              <w:pStyle w:val="Copyright"/>
              <w:rPr>
                <w:rFonts w:cs="Arial"/>
              </w:rPr>
            </w:pPr>
            <w:r w:rsidRPr="00080443">
              <w:rPr>
                <w:rFonts w:cs="Arial"/>
              </w:rPr>
              <w:t>PO Box 13112 Law Courts, Melbourne Vic 8010.</w:t>
            </w:r>
          </w:p>
          <w:p w14:paraId="4AAE20B2" w14:textId="77777777" w:rsidR="00745A5C" w:rsidRPr="00080443" w:rsidRDefault="00745A5C" w:rsidP="004151A7">
            <w:pPr>
              <w:pStyle w:val="Copyright"/>
              <w:rPr>
                <w:rFonts w:cs="Arial"/>
              </w:rPr>
            </w:pPr>
          </w:p>
          <w:p w14:paraId="15292BAD" w14:textId="77777777" w:rsidR="00745A5C" w:rsidRPr="00080443" w:rsidRDefault="00745A5C" w:rsidP="004151A7">
            <w:pPr>
              <w:pStyle w:val="Copyright"/>
              <w:rPr>
                <w:rFonts w:cs="Arial"/>
              </w:rPr>
            </w:pPr>
            <w:r w:rsidRPr="00080443">
              <w:rPr>
                <w:rFonts w:cs="Arial"/>
              </w:rPr>
              <w:t>Published by the Australian Communications and Media Authority</w:t>
            </w:r>
            <w:r w:rsidR="00E110E0" w:rsidRPr="00080443">
              <w:rPr>
                <w:rFonts w:cs="Arial"/>
              </w:rPr>
              <w:t>.</w:t>
            </w:r>
          </w:p>
        </w:tc>
      </w:tr>
    </w:tbl>
    <w:p w14:paraId="4CCA8F9D" w14:textId="77777777" w:rsidR="00745A5C" w:rsidRPr="00080443" w:rsidRDefault="00745A5C" w:rsidP="0041071D">
      <w:pPr>
        <w:rPr>
          <w:rFonts w:cs="Arial"/>
          <w:sz w:val="10"/>
          <w:szCs w:val="10"/>
        </w:rPr>
      </w:pPr>
    </w:p>
    <w:p w14:paraId="11F4621D" w14:textId="77777777" w:rsidR="00FE1823" w:rsidRPr="00080443" w:rsidRDefault="00FE1823" w:rsidP="0041071D">
      <w:pPr>
        <w:rPr>
          <w:rFonts w:cs="Arial"/>
        </w:rPr>
        <w:sectPr w:rsidR="00FE1823" w:rsidRPr="00080443" w:rsidSect="00A74B5E">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764B179" w14:textId="77777777" w:rsidR="004D411C" w:rsidRPr="00080443" w:rsidRDefault="00724CDB">
      <w:pPr>
        <w:pStyle w:val="TOC1"/>
        <w:rPr>
          <w:rFonts w:ascii="Arial" w:eastAsiaTheme="minorEastAsia" w:hAnsi="Arial" w:cs="Arial"/>
          <w:b w:val="0"/>
          <w:color w:val="auto"/>
          <w:spacing w:val="0"/>
          <w:sz w:val="22"/>
          <w:szCs w:val="22"/>
        </w:rPr>
      </w:pPr>
      <w:r w:rsidRPr="00080443">
        <w:rPr>
          <w:rFonts w:ascii="Arial" w:hAnsi="Arial" w:cs="Arial"/>
        </w:rPr>
        <w:lastRenderedPageBreak/>
        <w:fldChar w:fldCharType="begin"/>
      </w:r>
      <w:r w:rsidR="00777BA2" w:rsidRPr="00080443">
        <w:rPr>
          <w:rFonts w:ascii="Arial" w:hAnsi="Arial" w:cs="Arial"/>
        </w:rPr>
        <w:instrText xml:space="preserve"> TOC \o "1-3</w:instrText>
      </w:r>
      <w:r w:rsidR="00262128" w:rsidRPr="00080443">
        <w:rPr>
          <w:rFonts w:ascii="Arial" w:hAnsi="Arial" w:cs="Arial"/>
        </w:rPr>
        <w:instrText>" \t "Exec Summary H</w:instrText>
      </w:r>
      <w:r w:rsidR="00777BA2" w:rsidRPr="00080443">
        <w:rPr>
          <w:rFonts w:ascii="Arial" w:hAnsi="Arial" w:cs="Arial"/>
        </w:rPr>
        <w:instrText>eading,</w:instrText>
      </w:r>
      <w:r w:rsidR="00D6507F" w:rsidRPr="00080443">
        <w:rPr>
          <w:rFonts w:ascii="Arial" w:hAnsi="Arial" w:cs="Arial"/>
        </w:rPr>
        <w:instrText>9</w:instrText>
      </w:r>
      <w:r w:rsidR="00262128" w:rsidRPr="00080443">
        <w:rPr>
          <w:rFonts w:ascii="Arial" w:hAnsi="Arial" w:cs="Arial"/>
        </w:rPr>
        <w:instrText xml:space="preserve">" </w:instrText>
      </w:r>
      <w:r w:rsidRPr="00080443">
        <w:rPr>
          <w:rFonts w:ascii="Arial" w:hAnsi="Arial" w:cs="Arial"/>
        </w:rPr>
        <w:fldChar w:fldCharType="separate"/>
      </w:r>
      <w:r w:rsidR="004D411C" w:rsidRPr="00080443">
        <w:rPr>
          <w:rFonts w:ascii="Arial" w:hAnsi="Arial" w:cs="Arial"/>
        </w:rPr>
        <w:t>Important notice and disclaimer</w:t>
      </w:r>
      <w:r w:rsidR="004D411C" w:rsidRPr="00080443">
        <w:rPr>
          <w:rFonts w:ascii="Arial" w:hAnsi="Arial" w:cs="Arial"/>
        </w:rPr>
        <w:tab/>
      </w:r>
      <w:r w:rsidRPr="00080443">
        <w:rPr>
          <w:rFonts w:ascii="Arial" w:hAnsi="Arial" w:cs="Arial"/>
        </w:rPr>
        <w:fldChar w:fldCharType="begin"/>
      </w:r>
      <w:r w:rsidR="004D411C" w:rsidRPr="00080443">
        <w:rPr>
          <w:rFonts w:ascii="Arial" w:hAnsi="Arial" w:cs="Arial"/>
        </w:rPr>
        <w:instrText xml:space="preserve"> PAGEREF _Toc343780428 \h </w:instrText>
      </w:r>
      <w:r w:rsidRPr="00080443">
        <w:rPr>
          <w:rFonts w:ascii="Arial" w:hAnsi="Arial" w:cs="Arial"/>
        </w:rPr>
      </w:r>
      <w:r w:rsidRPr="00080443">
        <w:rPr>
          <w:rFonts w:ascii="Arial" w:hAnsi="Arial" w:cs="Arial"/>
        </w:rPr>
        <w:fldChar w:fldCharType="separate"/>
      </w:r>
      <w:r w:rsidR="00080443" w:rsidRPr="00080443">
        <w:rPr>
          <w:rFonts w:ascii="Arial" w:hAnsi="Arial" w:cs="Arial"/>
        </w:rPr>
        <w:t>2</w:t>
      </w:r>
      <w:r w:rsidRPr="00080443">
        <w:rPr>
          <w:rFonts w:ascii="Arial" w:hAnsi="Arial" w:cs="Arial"/>
        </w:rPr>
        <w:fldChar w:fldCharType="end"/>
      </w:r>
    </w:p>
    <w:p w14:paraId="1CF95EFA" w14:textId="77777777" w:rsidR="004D411C" w:rsidRPr="00080443" w:rsidRDefault="004D411C">
      <w:pPr>
        <w:pStyle w:val="TOC1"/>
        <w:rPr>
          <w:rFonts w:ascii="Arial" w:eastAsiaTheme="minorEastAsia" w:hAnsi="Arial" w:cs="Arial"/>
          <w:b w:val="0"/>
          <w:color w:val="auto"/>
          <w:spacing w:val="0"/>
          <w:sz w:val="22"/>
          <w:szCs w:val="22"/>
        </w:rPr>
      </w:pPr>
      <w:r w:rsidRPr="00080443">
        <w:rPr>
          <w:rFonts w:ascii="Arial" w:hAnsi="Arial" w:cs="Arial"/>
        </w:rPr>
        <w:t>Auction Q&amp;A</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_Toc343780429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6</w:t>
      </w:r>
      <w:r w:rsidR="00724CDB" w:rsidRPr="00080443">
        <w:rPr>
          <w:rFonts w:ascii="Arial" w:hAnsi="Arial" w:cs="Arial"/>
        </w:rPr>
        <w:fldChar w:fldCharType="end"/>
      </w:r>
    </w:p>
    <w:p w14:paraId="25BD6581" w14:textId="77777777" w:rsidR="004D411C" w:rsidRPr="00080443" w:rsidRDefault="004D411C">
      <w:pPr>
        <w:pStyle w:val="TOC1"/>
        <w:rPr>
          <w:rFonts w:ascii="Arial" w:eastAsiaTheme="minorEastAsia" w:hAnsi="Arial" w:cs="Arial"/>
          <w:b w:val="0"/>
          <w:color w:val="auto"/>
          <w:spacing w:val="0"/>
          <w:sz w:val="22"/>
          <w:szCs w:val="22"/>
        </w:rPr>
      </w:pPr>
      <w:r w:rsidRPr="00080443">
        <w:rPr>
          <w:rFonts w:ascii="Arial" w:hAnsi="Arial" w:cs="Arial"/>
        </w:rPr>
        <w:t>Key dates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_Toc343780430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9</w:t>
      </w:r>
      <w:r w:rsidR="00724CDB" w:rsidRPr="00080443">
        <w:rPr>
          <w:rFonts w:ascii="Arial" w:hAnsi="Arial" w:cs="Arial"/>
        </w:rPr>
        <w:fldChar w:fldCharType="end"/>
      </w:r>
    </w:p>
    <w:p w14:paraId="6DEBC0AE" w14:textId="77777777" w:rsidR="004D411C" w:rsidRPr="00080443" w:rsidRDefault="00080443">
      <w:pPr>
        <w:pStyle w:val="TOC9"/>
        <w:rPr>
          <w:rFonts w:ascii="Arial" w:eastAsiaTheme="minorEastAsia" w:hAnsi="Arial" w:cs="Arial"/>
          <w:b w:val="0"/>
          <w:color w:val="auto"/>
          <w:sz w:val="22"/>
          <w:szCs w:val="22"/>
        </w:rPr>
      </w:pPr>
      <w:r>
        <w:rPr>
          <w:rFonts w:ascii="Arial" w:hAnsi="Arial" w:cs="Arial"/>
        </w:rPr>
        <w:t>Part one—</w:t>
      </w:r>
      <w:r w:rsidR="004D411C" w:rsidRPr="00080443">
        <w:rPr>
          <w:rFonts w:ascii="Arial" w:hAnsi="Arial" w:cs="Arial"/>
        </w:rPr>
        <w:t>Understanding the auction process</w:t>
      </w:r>
      <w:r w:rsidR="004D411C" w:rsidRPr="00080443">
        <w:rPr>
          <w:rFonts w:ascii="Arial" w:hAnsi="Arial" w:cs="Arial"/>
        </w:rPr>
        <w:tab/>
      </w:r>
      <w:r w:rsidR="00724CDB" w:rsidRPr="00080443">
        <w:rPr>
          <w:rFonts w:ascii="Arial" w:hAnsi="Arial" w:cs="Arial"/>
        </w:rPr>
        <w:fldChar w:fldCharType="begin"/>
      </w:r>
      <w:r w:rsidR="004D411C" w:rsidRPr="00080443">
        <w:rPr>
          <w:rFonts w:ascii="Arial" w:hAnsi="Arial" w:cs="Arial"/>
        </w:rPr>
        <w:instrText xml:space="preserve"> PAGEREF _Toc343780431 \h </w:instrText>
      </w:r>
      <w:r w:rsidR="00724CDB" w:rsidRPr="00080443">
        <w:rPr>
          <w:rFonts w:ascii="Arial" w:hAnsi="Arial" w:cs="Arial"/>
        </w:rPr>
      </w:r>
      <w:r w:rsidR="00724CDB" w:rsidRPr="00080443">
        <w:rPr>
          <w:rFonts w:ascii="Arial" w:hAnsi="Arial" w:cs="Arial"/>
        </w:rPr>
        <w:fldChar w:fldCharType="separate"/>
      </w:r>
      <w:r w:rsidRPr="00080443">
        <w:rPr>
          <w:rFonts w:ascii="Arial" w:hAnsi="Arial" w:cs="Arial"/>
        </w:rPr>
        <w:t>11</w:t>
      </w:r>
      <w:r w:rsidR="00724CDB" w:rsidRPr="00080443">
        <w:rPr>
          <w:rFonts w:ascii="Arial" w:hAnsi="Arial" w:cs="Arial"/>
        </w:rPr>
        <w:fldChar w:fldCharType="end"/>
      </w:r>
    </w:p>
    <w:p w14:paraId="084BC39B" w14:textId="77777777" w:rsidR="004D411C" w:rsidRPr="00080443" w:rsidRDefault="004D411C">
      <w:pPr>
        <w:pStyle w:val="TOC1"/>
        <w:tabs>
          <w:tab w:val="left" w:pos="885"/>
        </w:tabs>
        <w:rPr>
          <w:rFonts w:ascii="Arial" w:eastAsiaTheme="minorEastAsia" w:hAnsi="Arial" w:cs="Arial"/>
          <w:b w:val="0"/>
          <w:color w:val="auto"/>
          <w:spacing w:val="0"/>
          <w:sz w:val="22"/>
          <w:szCs w:val="22"/>
        </w:rPr>
      </w:pPr>
      <w:r w:rsidRPr="00080443">
        <w:rPr>
          <w:rFonts w:ascii="Arial" w:hAnsi="Arial" w:cs="Arial"/>
        </w:rPr>
        <w:t>1.</w:t>
      </w:r>
      <w:r w:rsidRPr="00080443">
        <w:rPr>
          <w:rFonts w:ascii="Arial" w:eastAsiaTheme="minorEastAsia" w:hAnsi="Arial" w:cs="Arial"/>
          <w:b w:val="0"/>
          <w:color w:val="auto"/>
          <w:spacing w:val="0"/>
          <w:sz w:val="22"/>
          <w:szCs w:val="22"/>
        </w:rPr>
        <w:tab/>
      </w:r>
      <w:r w:rsidRPr="00080443">
        <w:rPr>
          <w:rFonts w:ascii="Arial" w:hAnsi="Arial" w:cs="Arial"/>
        </w:rPr>
        <w:t>What is the digital dividend auction?</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_Toc343780432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12</w:t>
      </w:r>
      <w:r w:rsidR="00724CDB" w:rsidRPr="00080443">
        <w:rPr>
          <w:rFonts w:ascii="Arial" w:hAnsi="Arial" w:cs="Arial"/>
        </w:rPr>
        <w:fldChar w:fldCharType="end"/>
      </w:r>
    </w:p>
    <w:p w14:paraId="5D9BD677"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1.1</w:t>
      </w:r>
      <w:r w:rsidRPr="00080443">
        <w:rPr>
          <w:rFonts w:ascii="Arial" w:eastAsiaTheme="minorEastAsia" w:hAnsi="Arial" w:cs="Arial"/>
          <w:color w:val="auto"/>
          <w:spacing w:val="0"/>
          <w:sz w:val="22"/>
          <w:szCs w:val="22"/>
        </w:rPr>
        <w:tab/>
      </w:r>
      <w:r w:rsidRPr="00080443">
        <w:rPr>
          <w:rFonts w:ascii="Arial" w:hAnsi="Arial" w:cs="Arial"/>
        </w:rPr>
        <w:t>Overview</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_Toc343780433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13</w:t>
      </w:r>
      <w:r w:rsidR="00724CDB" w:rsidRPr="00080443">
        <w:rPr>
          <w:rFonts w:ascii="Arial" w:hAnsi="Arial" w:cs="Arial"/>
        </w:rPr>
        <w:fldChar w:fldCharType="end"/>
      </w:r>
    </w:p>
    <w:p w14:paraId="3E7F862C"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1.2</w:t>
      </w:r>
      <w:r w:rsidRPr="00080443">
        <w:rPr>
          <w:rFonts w:ascii="Arial" w:eastAsiaTheme="minorEastAsia" w:hAnsi="Arial" w:cs="Arial"/>
          <w:color w:val="auto"/>
          <w:spacing w:val="0"/>
          <w:sz w:val="22"/>
          <w:szCs w:val="22"/>
        </w:rPr>
        <w:tab/>
      </w:r>
      <w:r w:rsidRPr="00080443">
        <w:rPr>
          <w:rFonts w:ascii="Arial" w:hAnsi="Arial" w:cs="Arial"/>
        </w:rPr>
        <w:t>Reallocation of the 700 MHz and 2.5 GHz bands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_Toc343780434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14</w:t>
      </w:r>
      <w:r w:rsidR="00724CDB" w:rsidRPr="00080443">
        <w:rPr>
          <w:rFonts w:ascii="Arial" w:hAnsi="Arial" w:cs="Arial"/>
        </w:rPr>
        <w:fldChar w:fldCharType="end"/>
      </w:r>
    </w:p>
    <w:p w14:paraId="3D4B11E3" w14:textId="77777777" w:rsidR="004D411C" w:rsidRPr="00080443" w:rsidRDefault="004D411C">
      <w:pPr>
        <w:pStyle w:val="TOC3"/>
        <w:tabs>
          <w:tab w:val="left" w:pos="885"/>
        </w:tabs>
        <w:rPr>
          <w:rFonts w:eastAsiaTheme="minorEastAsia" w:cs="Arial"/>
          <w:color w:val="auto"/>
        </w:rPr>
      </w:pPr>
      <w:r w:rsidRPr="00080443">
        <w:rPr>
          <w:rFonts w:cs="Arial"/>
        </w:rPr>
        <w:t>1.2.1</w:t>
      </w:r>
      <w:r w:rsidRPr="00080443">
        <w:rPr>
          <w:rFonts w:eastAsiaTheme="minorEastAsia" w:cs="Arial"/>
          <w:color w:val="auto"/>
        </w:rPr>
        <w:tab/>
      </w:r>
      <w:r w:rsidRPr="00080443">
        <w:rPr>
          <w:rFonts w:cs="Arial"/>
        </w:rPr>
        <w:t>Ministerial spectrum reallocation declarations</w:t>
      </w:r>
      <w:r w:rsidRPr="00080443">
        <w:rPr>
          <w:rFonts w:cs="Arial"/>
        </w:rPr>
        <w:tab/>
      </w:r>
      <w:r w:rsidR="00724CDB" w:rsidRPr="00080443">
        <w:rPr>
          <w:rFonts w:cs="Arial"/>
        </w:rPr>
        <w:fldChar w:fldCharType="begin"/>
      </w:r>
      <w:r w:rsidRPr="00080443">
        <w:rPr>
          <w:rFonts w:cs="Arial"/>
        </w:rPr>
        <w:instrText xml:space="preserve"> PAGEREF _Toc343780435 \h </w:instrText>
      </w:r>
      <w:r w:rsidR="00724CDB" w:rsidRPr="00080443">
        <w:rPr>
          <w:rFonts w:cs="Arial"/>
        </w:rPr>
      </w:r>
      <w:r w:rsidR="00724CDB" w:rsidRPr="00080443">
        <w:rPr>
          <w:rFonts w:cs="Arial"/>
        </w:rPr>
        <w:fldChar w:fldCharType="separate"/>
      </w:r>
      <w:r w:rsidR="00080443" w:rsidRPr="00080443">
        <w:rPr>
          <w:rFonts w:cs="Arial"/>
        </w:rPr>
        <w:t>14</w:t>
      </w:r>
      <w:r w:rsidR="00724CDB" w:rsidRPr="00080443">
        <w:rPr>
          <w:rFonts w:cs="Arial"/>
        </w:rPr>
        <w:fldChar w:fldCharType="end"/>
      </w:r>
    </w:p>
    <w:p w14:paraId="03FA0B62" w14:textId="77777777" w:rsidR="004D411C" w:rsidRPr="00080443" w:rsidRDefault="004D411C">
      <w:pPr>
        <w:pStyle w:val="TOC3"/>
        <w:tabs>
          <w:tab w:val="left" w:pos="885"/>
        </w:tabs>
        <w:rPr>
          <w:rFonts w:eastAsiaTheme="minorEastAsia" w:cs="Arial"/>
          <w:color w:val="auto"/>
        </w:rPr>
      </w:pPr>
      <w:r w:rsidRPr="00080443">
        <w:rPr>
          <w:rFonts w:cs="Arial"/>
        </w:rPr>
        <w:t>1.2.2</w:t>
      </w:r>
      <w:r w:rsidRPr="00080443">
        <w:rPr>
          <w:rFonts w:eastAsiaTheme="minorEastAsia" w:cs="Arial"/>
          <w:color w:val="auto"/>
        </w:rPr>
        <w:tab/>
      </w:r>
      <w:r w:rsidRPr="00080443">
        <w:rPr>
          <w:rFonts w:cs="Arial"/>
        </w:rPr>
        <w:t>Effect of a reallocation declaration</w:t>
      </w:r>
      <w:r w:rsidRPr="00080443">
        <w:rPr>
          <w:rFonts w:cs="Arial"/>
        </w:rPr>
        <w:tab/>
      </w:r>
      <w:r w:rsidR="00724CDB" w:rsidRPr="00080443">
        <w:rPr>
          <w:rFonts w:cs="Arial"/>
        </w:rPr>
        <w:fldChar w:fldCharType="begin"/>
      </w:r>
      <w:r w:rsidRPr="00080443">
        <w:rPr>
          <w:rFonts w:cs="Arial"/>
        </w:rPr>
        <w:instrText xml:space="preserve"> PAGEREF _Toc343780436 \h </w:instrText>
      </w:r>
      <w:r w:rsidR="00724CDB" w:rsidRPr="00080443">
        <w:rPr>
          <w:rFonts w:cs="Arial"/>
        </w:rPr>
      </w:r>
      <w:r w:rsidR="00724CDB" w:rsidRPr="00080443">
        <w:rPr>
          <w:rFonts w:cs="Arial"/>
        </w:rPr>
        <w:fldChar w:fldCharType="separate"/>
      </w:r>
      <w:r w:rsidR="00080443" w:rsidRPr="00080443">
        <w:rPr>
          <w:rFonts w:cs="Arial"/>
        </w:rPr>
        <w:t>14</w:t>
      </w:r>
      <w:r w:rsidR="00724CDB" w:rsidRPr="00080443">
        <w:rPr>
          <w:rFonts w:cs="Arial"/>
        </w:rPr>
        <w:fldChar w:fldCharType="end"/>
      </w:r>
    </w:p>
    <w:p w14:paraId="2A9360E1" w14:textId="77777777" w:rsidR="004D411C" w:rsidRPr="00080443" w:rsidRDefault="004D411C">
      <w:pPr>
        <w:pStyle w:val="TOC3"/>
        <w:tabs>
          <w:tab w:val="left" w:pos="885"/>
        </w:tabs>
        <w:rPr>
          <w:rFonts w:eastAsiaTheme="minorEastAsia" w:cs="Arial"/>
          <w:color w:val="auto"/>
        </w:rPr>
      </w:pPr>
      <w:r w:rsidRPr="00080443">
        <w:rPr>
          <w:rFonts w:cs="Arial"/>
        </w:rPr>
        <w:t>1.2.3</w:t>
      </w:r>
      <w:r w:rsidRPr="00080443">
        <w:rPr>
          <w:rFonts w:eastAsiaTheme="minorEastAsia" w:cs="Arial"/>
          <w:color w:val="auto"/>
        </w:rPr>
        <w:tab/>
      </w:r>
      <w:r w:rsidRPr="00080443">
        <w:rPr>
          <w:rFonts w:cs="Arial"/>
        </w:rPr>
        <w:t>Licences to be cleared from the declared spectrum</w:t>
      </w:r>
      <w:r w:rsidRPr="00080443">
        <w:rPr>
          <w:rFonts w:cs="Arial"/>
        </w:rPr>
        <w:tab/>
      </w:r>
      <w:r w:rsidR="00724CDB" w:rsidRPr="00080443">
        <w:rPr>
          <w:rFonts w:cs="Arial"/>
        </w:rPr>
        <w:fldChar w:fldCharType="begin"/>
      </w:r>
      <w:r w:rsidRPr="00080443">
        <w:rPr>
          <w:rFonts w:cs="Arial"/>
        </w:rPr>
        <w:instrText xml:space="preserve"> PAGEREF _Toc343780437 \h </w:instrText>
      </w:r>
      <w:r w:rsidR="00724CDB" w:rsidRPr="00080443">
        <w:rPr>
          <w:rFonts w:cs="Arial"/>
        </w:rPr>
      </w:r>
      <w:r w:rsidR="00724CDB" w:rsidRPr="00080443">
        <w:rPr>
          <w:rFonts w:cs="Arial"/>
        </w:rPr>
        <w:fldChar w:fldCharType="separate"/>
      </w:r>
      <w:r w:rsidR="00080443" w:rsidRPr="00080443">
        <w:rPr>
          <w:rFonts w:cs="Arial"/>
        </w:rPr>
        <w:t>15</w:t>
      </w:r>
      <w:r w:rsidR="00724CDB" w:rsidRPr="00080443">
        <w:rPr>
          <w:rFonts w:cs="Arial"/>
        </w:rPr>
        <w:fldChar w:fldCharType="end"/>
      </w:r>
    </w:p>
    <w:p w14:paraId="72F86D01" w14:textId="77777777" w:rsidR="004D411C" w:rsidRPr="00080443" w:rsidRDefault="004D411C">
      <w:pPr>
        <w:pStyle w:val="TOC3"/>
        <w:tabs>
          <w:tab w:val="left" w:pos="885"/>
        </w:tabs>
        <w:rPr>
          <w:rFonts w:eastAsiaTheme="minorEastAsia" w:cs="Arial"/>
          <w:color w:val="auto"/>
        </w:rPr>
      </w:pPr>
      <w:r w:rsidRPr="00080443">
        <w:rPr>
          <w:rFonts w:cs="Arial"/>
        </w:rPr>
        <w:t>1.2.4</w:t>
      </w:r>
      <w:r w:rsidRPr="00080443">
        <w:rPr>
          <w:rFonts w:eastAsiaTheme="minorEastAsia" w:cs="Arial"/>
          <w:color w:val="auto"/>
        </w:rPr>
        <w:tab/>
      </w:r>
      <w:r w:rsidRPr="00080443">
        <w:rPr>
          <w:rFonts w:cs="Arial"/>
        </w:rPr>
        <w:t>Clearance of the declared spectrum—2.5 GHz band</w:t>
      </w:r>
      <w:r w:rsidRPr="00080443">
        <w:rPr>
          <w:rFonts w:cs="Arial"/>
        </w:rPr>
        <w:tab/>
      </w:r>
      <w:r w:rsidR="00724CDB" w:rsidRPr="00080443">
        <w:rPr>
          <w:rFonts w:cs="Arial"/>
        </w:rPr>
        <w:fldChar w:fldCharType="begin"/>
      </w:r>
      <w:r w:rsidRPr="00080443">
        <w:rPr>
          <w:rFonts w:cs="Arial"/>
        </w:rPr>
        <w:instrText xml:space="preserve"> PAGEREF _Toc343780438 \h </w:instrText>
      </w:r>
      <w:r w:rsidR="00724CDB" w:rsidRPr="00080443">
        <w:rPr>
          <w:rFonts w:cs="Arial"/>
        </w:rPr>
      </w:r>
      <w:r w:rsidR="00724CDB" w:rsidRPr="00080443">
        <w:rPr>
          <w:rFonts w:cs="Arial"/>
        </w:rPr>
        <w:fldChar w:fldCharType="separate"/>
      </w:r>
      <w:r w:rsidR="00080443" w:rsidRPr="00080443">
        <w:rPr>
          <w:rFonts w:cs="Arial"/>
        </w:rPr>
        <w:t>15</w:t>
      </w:r>
      <w:r w:rsidR="00724CDB" w:rsidRPr="00080443">
        <w:rPr>
          <w:rFonts w:cs="Arial"/>
        </w:rPr>
        <w:fldChar w:fldCharType="end"/>
      </w:r>
    </w:p>
    <w:p w14:paraId="3F7AB454" w14:textId="77777777" w:rsidR="004D411C" w:rsidRPr="00080443" w:rsidRDefault="004D411C">
      <w:pPr>
        <w:pStyle w:val="TOC3"/>
        <w:tabs>
          <w:tab w:val="left" w:pos="885"/>
        </w:tabs>
        <w:rPr>
          <w:rFonts w:eastAsiaTheme="minorEastAsia" w:cs="Arial"/>
          <w:color w:val="auto"/>
        </w:rPr>
      </w:pPr>
      <w:r w:rsidRPr="00080443">
        <w:rPr>
          <w:rFonts w:cs="Arial"/>
        </w:rPr>
        <w:t>1.2.5</w:t>
      </w:r>
      <w:r w:rsidRPr="00080443">
        <w:rPr>
          <w:rFonts w:eastAsiaTheme="minorEastAsia" w:cs="Arial"/>
          <w:color w:val="auto"/>
        </w:rPr>
        <w:tab/>
      </w:r>
      <w:r w:rsidRPr="00080443">
        <w:rPr>
          <w:rFonts w:cs="Arial"/>
        </w:rPr>
        <w:t>Clearance of the declared spectrum—700 MHz band</w:t>
      </w:r>
      <w:r w:rsidRPr="00080443">
        <w:rPr>
          <w:rFonts w:cs="Arial"/>
        </w:rPr>
        <w:tab/>
      </w:r>
      <w:r w:rsidR="00724CDB" w:rsidRPr="00080443">
        <w:rPr>
          <w:rFonts w:cs="Arial"/>
        </w:rPr>
        <w:fldChar w:fldCharType="begin"/>
      </w:r>
      <w:r w:rsidRPr="00080443">
        <w:rPr>
          <w:rFonts w:cs="Arial"/>
        </w:rPr>
        <w:instrText xml:space="preserve"> PAGEREF _Toc343780439 \h </w:instrText>
      </w:r>
      <w:r w:rsidR="00724CDB" w:rsidRPr="00080443">
        <w:rPr>
          <w:rFonts w:cs="Arial"/>
        </w:rPr>
      </w:r>
      <w:r w:rsidR="00724CDB" w:rsidRPr="00080443">
        <w:rPr>
          <w:rFonts w:cs="Arial"/>
        </w:rPr>
        <w:fldChar w:fldCharType="separate"/>
      </w:r>
      <w:r w:rsidR="00080443" w:rsidRPr="00080443">
        <w:rPr>
          <w:rFonts w:cs="Arial"/>
        </w:rPr>
        <w:t>15</w:t>
      </w:r>
      <w:r w:rsidR="00724CDB" w:rsidRPr="00080443">
        <w:rPr>
          <w:rFonts w:cs="Arial"/>
        </w:rPr>
        <w:fldChar w:fldCharType="end"/>
      </w:r>
    </w:p>
    <w:p w14:paraId="6164C2D2" w14:textId="77777777" w:rsidR="004D411C" w:rsidRPr="00080443" w:rsidRDefault="004D411C">
      <w:pPr>
        <w:pStyle w:val="TOC3"/>
        <w:tabs>
          <w:tab w:val="left" w:pos="885"/>
        </w:tabs>
        <w:rPr>
          <w:rFonts w:eastAsiaTheme="minorEastAsia" w:cs="Arial"/>
          <w:color w:val="auto"/>
        </w:rPr>
      </w:pPr>
      <w:r w:rsidRPr="00080443">
        <w:rPr>
          <w:rFonts w:cs="Arial"/>
        </w:rPr>
        <w:t>1.2.6</w:t>
      </w:r>
      <w:r w:rsidRPr="00080443">
        <w:rPr>
          <w:rFonts w:eastAsiaTheme="minorEastAsia" w:cs="Arial"/>
          <w:color w:val="auto"/>
        </w:rPr>
        <w:tab/>
      </w:r>
      <w:r w:rsidRPr="00080443">
        <w:rPr>
          <w:rFonts w:cs="Arial"/>
        </w:rPr>
        <w:t>Contingency planning for possible delay to restack process</w:t>
      </w:r>
      <w:r w:rsidRPr="00080443">
        <w:rPr>
          <w:rFonts w:cs="Arial"/>
        </w:rPr>
        <w:tab/>
      </w:r>
      <w:r w:rsidR="00724CDB" w:rsidRPr="00080443">
        <w:rPr>
          <w:rFonts w:cs="Arial"/>
        </w:rPr>
        <w:fldChar w:fldCharType="begin"/>
      </w:r>
      <w:r w:rsidRPr="00080443">
        <w:rPr>
          <w:rFonts w:cs="Arial"/>
        </w:rPr>
        <w:instrText xml:space="preserve"> PAGEREF _Toc343780440 \h </w:instrText>
      </w:r>
      <w:r w:rsidR="00724CDB" w:rsidRPr="00080443">
        <w:rPr>
          <w:rFonts w:cs="Arial"/>
        </w:rPr>
      </w:r>
      <w:r w:rsidR="00724CDB" w:rsidRPr="00080443">
        <w:rPr>
          <w:rFonts w:cs="Arial"/>
        </w:rPr>
        <w:fldChar w:fldCharType="separate"/>
      </w:r>
      <w:r w:rsidR="00080443" w:rsidRPr="00080443">
        <w:rPr>
          <w:rFonts w:cs="Arial"/>
        </w:rPr>
        <w:t>17</w:t>
      </w:r>
      <w:r w:rsidR="00724CDB" w:rsidRPr="00080443">
        <w:rPr>
          <w:rFonts w:cs="Arial"/>
        </w:rPr>
        <w:fldChar w:fldCharType="end"/>
      </w:r>
    </w:p>
    <w:p w14:paraId="7192D6FD" w14:textId="77777777" w:rsidR="004D411C" w:rsidRPr="00080443" w:rsidRDefault="004D411C" w:rsidP="004D411C">
      <w:pPr>
        <w:pStyle w:val="TOC3"/>
        <w:tabs>
          <w:tab w:val="left" w:pos="885"/>
        </w:tabs>
        <w:ind w:left="885" w:hanging="885"/>
        <w:rPr>
          <w:rFonts w:eastAsiaTheme="minorEastAsia" w:cs="Arial"/>
          <w:color w:val="auto"/>
        </w:rPr>
      </w:pPr>
      <w:r w:rsidRPr="00080443">
        <w:rPr>
          <w:rFonts w:cs="Arial"/>
        </w:rPr>
        <w:t>1.2.7</w:t>
      </w:r>
      <w:r w:rsidRPr="00080443">
        <w:rPr>
          <w:rFonts w:eastAsiaTheme="minorEastAsia" w:cs="Arial"/>
          <w:color w:val="auto"/>
        </w:rPr>
        <w:tab/>
      </w:r>
      <w:r w:rsidRPr="00080443">
        <w:rPr>
          <w:rFonts w:cs="Arial"/>
        </w:rPr>
        <w:t>Excision of declared 700 MHz band spectrum from broadcasting services bands</w:t>
      </w:r>
      <w:r w:rsidRPr="00080443">
        <w:rPr>
          <w:rFonts w:cs="Arial"/>
        </w:rPr>
        <w:tab/>
      </w:r>
      <w:r w:rsidR="00724CDB" w:rsidRPr="00080443">
        <w:rPr>
          <w:rFonts w:cs="Arial"/>
        </w:rPr>
        <w:fldChar w:fldCharType="begin"/>
      </w:r>
      <w:r w:rsidRPr="00080443">
        <w:rPr>
          <w:rFonts w:cs="Arial"/>
        </w:rPr>
        <w:instrText xml:space="preserve"> PAGEREF _Toc343780441 \h </w:instrText>
      </w:r>
      <w:r w:rsidR="00724CDB" w:rsidRPr="00080443">
        <w:rPr>
          <w:rFonts w:cs="Arial"/>
        </w:rPr>
      </w:r>
      <w:r w:rsidR="00724CDB" w:rsidRPr="00080443">
        <w:rPr>
          <w:rFonts w:cs="Arial"/>
        </w:rPr>
        <w:fldChar w:fldCharType="separate"/>
      </w:r>
      <w:r w:rsidR="00080443" w:rsidRPr="00080443">
        <w:rPr>
          <w:rFonts w:cs="Arial"/>
        </w:rPr>
        <w:t>18</w:t>
      </w:r>
      <w:r w:rsidR="00724CDB" w:rsidRPr="00080443">
        <w:rPr>
          <w:rFonts w:cs="Arial"/>
        </w:rPr>
        <w:fldChar w:fldCharType="end"/>
      </w:r>
    </w:p>
    <w:p w14:paraId="294EACE9"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1.3</w:t>
      </w:r>
      <w:r w:rsidRPr="00080443">
        <w:rPr>
          <w:rFonts w:ascii="Arial" w:eastAsiaTheme="minorEastAsia" w:hAnsi="Arial" w:cs="Arial"/>
          <w:color w:val="auto"/>
          <w:spacing w:val="0"/>
          <w:sz w:val="22"/>
          <w:szCs w:val="22"/>
        </w:rPr>
        <w:tab/>
      </w:r>
      <w:r w:rsidRPr="00080443">
        <w:rPr>
          <w:rFonts w:ascii="Arial" w:hAnsi="Arial" w:cs="Arial"/>
        </w:rPr>
        <w:t>Allocating the 700 MHz and 2.5 GHz bands through a single auction</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_Toc343780442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18</w:t>
      </w:r>
      <w:r w:rsidR="00724CDB" w:rsidRPr="00080443">
        <w:rPr>
          <w:rFonts w:ascii="Arial" w:hAnsi="Arial" w:cs="Arial"/>
        </w:rPr>
        <w:fldChar w:fldCharType="end"/>
      </w:r>
    </w:p>
    <w:p w14:paraId="4A4C2A01"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1.4</w:t>
      </w:r>
      <w:r w:rsidRPr="00080443">
        <w:rPr>
          <w:rFonts w:ascii="Arial" w:eastAsiaTheme="minorEastAsia" w:hAnsi="Arial" w:cs="Arial"/>
          <w:color w:val="auto"/>
          <w:spacing w:val="0"/>
          <w:sz w:val="22"/>
          <w:szCs w:val="22"/>
        </w:rPr>
        <w:tab/>
      </w:r>
      <w:r w:rsidRPr="00080443">
        <w:rPr>
          <w:rFonts w:ascii="Arial" w:hAnsi="Arial" w:cs="Arial"/>
        </w:rPr>
        <w:t>Legislative framework</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_Toc343780443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19</w:t>
      </w:r>
      <w:r w:rsidR="00724CDB" w:rsidRPr="00080443">
        <w:rPr>
          <w:rFonts w:ascii="Arial" w:hAnsi="Arial" w:cs="Arial"/>
        </w:rPr>
        <w:fldChar w:fldCharType="end"/>
      </w:r>
    </w:p>
    <w:p w14:paraId="66F44D84" w14:textId="77777777" w:rsidR="004D411C" w:rsidRPr="00080443" w:rsidRDefault="004D411C">
      <w:pPr>
        <w:pStyle w:val="TOC3"/>
        <w:tabs>
          <w:tab w:val="left" w:pos="885"/>
        </w:tabs>
        <w:rPr>
          <w:rFonts w:eastAsiaTheme="minorEastAsia" w:cs="Arial"/>
          <w:color w:val="auto"/>
        </w:rPr>
      </w:pPr>
      <w:r w:rsidRPr="00080443">
        <w:rPr>
          <w:rFonts w:cs="Arial"/>
        </w:rPr>
        <w:t>1.4.1</w:t>
      </w:r>
      <w:r w:rsidRPr="00080443">
        <w:rPr>
          <w:rFonts w:eastAsiaTheme="minorEastAsia" w:cs="Arial"/>
          <w:color w:val="auto"/>
        </w:rPr>
        <w:tab/>
      </w:r>
      <w:r w:rsidRPr="00080443">
        <w:rPr>
          <w:rFonts w:cs="Arial"/>
        </w:rPr>
        <w:t>Allocation determination</w:t>
      </w:r>
      <w:r w:rsidRPr="00080443">
        <w:rPr>
          <w:rFonts w:cs="Arial"/>
        </w:rPr>
        <w:tab/>
      </w:r>
      <w:r w:rsidR="00724CDB" w:rsidRPr="00080443">
        <w:rPr>
          <w:rFonts w:cs="Arial"/>
        </w:rPr>
        <w:fldChar w:fldCharType="begin"/>
      </w:r>
      <w:r w:rsidRPr="00080443">
        <w:rPr>
          <w:rFonts w:cs="Arial"/>
        </w:rPr>
        <w:instrText xml:space="preserve"> PAGEREF _Toc343780444 \h </w:instrText>
      </w:r>
      <w:r w:rsidR="00724CDB" w:rsidRPr="00080443">
        <w:rPr>
          <w:rFonts w:cs="Arial"/>
        </w:rPr>
      </w:r>
      <w:r w:rsidR="00724CDB" w:rsidRPr="00080443">
        <w:rPr>
          <w:rFonts w:cs="Arial"/>
        </w:rPr>
        <w:fldChar w:fldCharType="separate"/>
      </w:r>
      <w:r w:rsidR="00080443" w:rsidRPr="00080443">
        <w:rPr>
          <w:rFonts w:cs="Arial"/>
        </w:rPr>
        <w:t>19</w:t>
      </w:r>
      <w:r w:rsidR="00724CDB" w:rsidRPr="00080443">
        <w:rPr>
          <w:rFonts w:cs="Arial"/>
        </w:rPr>
        <w:fldChar w:fldCharType="end"/>
      </w:r>
    </w:p>
    <w:p w14:paraId="454EA309" w14:textId="77777777" w:rsidR="004D411C" w:rsidRPr="00080443" w:rsidRDefault="004D411C">
      <w:pPr>
        <w:pStyle w:val="TOC3"/>
        <w:tabs>
          <w:tab w:val="left" w:pos="885"/>
        </w:tabs>
        <w:rPr>
          <w:rFonts w:eastAsiaTheme="minorEastAsia" w:cs="Arial"/>
          <w:color w:val="auto"/>
        </w:rPr>
      </w:pPr>
      <w:r w:rsidRPr="00080443">
        <w:rPr>
          <w:rFonts w:cs="Arial"/>
        </w:rPr>
        <w:t>1.4.2</w:t>
      </w:r>
      <w:r w:rsidRPr="00080443">
        <w:rPr>
          <w:rFonts w:eastAsiaTheme="minorEastAsia" w:cs="Arial"/>
          <w:color w:val="auto"/>
        </w:rPr>
        <w:tab/>
      </w:r>
      <w:r w:rsidRPr="00080443">
        <w:rPr>
          <w:rFonts w:cs="Arial"/>
        </w:rPr>
        <w:t>Marketing plans</w:t>
      </w:r>
      <w:r w:rsidRPr="00080443">
        <w:rPr>
          <w:rFonts w:cs="Arial"/>
        </w:rPr>
        <w:tab/>
      </w:r>
      <w:r w:rsidR="00724CDB" w:rsidRPr="00080443">
        <w:rPr>
          <w:rFonts w:cs="Arial"/>
        </w:rPr>
        <w:fldChar w:fldCharType="begin"/>
      </w:r>
      <w:r w:rsidRPr="00080443">
        <w:rPr>
          <w:rFonts w:cs="Arial"/>
        </w:rPr>
        <w:instrText xml:space="preserve"> PAGEREF _Toc343780445 \h </w:instrText>
      </w:r>
      <w:r w:rsidR="00724CDB" w:rsidRPr="00080443">
        <w:rPr>
          <w:rFonts w:cs="Arial"/>
        </w:rPr>
      </w:r>
      <w:r w:rsidR="00724CDB" w:rsidRPr="00080443">
        <w:rPr>
          <w:rFonts w:cs="Arial"/>
        </w:rPr>
        <w:fldChar w:fldCharType="separate"/>
      </w:r>
      <w:r w:rsidR="00080443" w:rsidRPr="00080443">
        <w:rPr>
          <w:rFonts w:cs="Arial"/>
        </w:rPr>
        <w:t>19</w:t>
      </w:r>
      <w:r w:rsidR="00724CDB" w:rsidRPr="00080443">
        <w:rPr>
          <w:rFonts w:cs="Arial"/>
        </w:rPr>
        <w:fldChar w:fldCharType="end"/>
      </w:r>
    </w:p>
    <w:p w14:paraId="74D16130" w14:textId="77777777" w:rsidR="004D411C" w:rsidRPr="00080443" w:rsidRDefault="004D411C">
      <w:pPr>
        <w:pStyle w:val="TOC3"/>
        <w:tabs>
          <w:tab w:val="left" w:pos="885"/>
        </w:tabs>
        <w:rPr>
          <w:rFonts w:eastAsiaTheme="minorEastAsia" w:cs="Arial"/>
          <w:color w:val="auto"/>
        </w:rPr>
      </w:pPr>
      <w:r w:rsidRPr="00080443">
        <w:rPr>
          <w:rFonts w:cs="Arial"/>
        </w:rPr>
        <w:t>1.4.3</w:t>
      </w:r>
      <w:r w:rsidRPr="00080443">
        <w:rPr>
          <w:rFonts w:eastAsiaTheme="minorEastAsia" w:cs="Arial"/>
          <w:color w:val="auto"/>
        </w:rPr>
        <w:tab/>
      </w:r>
      <w:r w:rsidRPr="00080443">
        <w:rPr>
          <w:rFonts w:cs="Arial"/>
        </w:rPr>
        <w:t>Technical instruments</w:t>
      </w:r>
      <w:r w:rsidRPr="00080443">
        <w:rPr>
          <w:rFonts w:cs="Arial"/>
        </w:rPr>
        <w:tab/>
      </w:r>
      <w:r w:rsidR="00724CDB" w:rsidRPr="00080443">
        <w:rPr>
          <w:rFonts w:cs="Arial"/>
        </w:rPr>
        <w:fldChar w:fldCharType="begin"/>
      </w:r>
      <w:r w:rsidRPr="00080443">
        <w:rPr>
          <w:rFonts w:cs="Arial"/>
        </w:rPr>
        <w:instrText xml:space="preserve"> PAGEREF _Toc343780446 \h </w:instrText>
      </w:r>
      <w:r w:rsidR="00724CDB" w:rsidRPr="00080443">
        <w:rPr>
          <w:rFonts w:cs="Arial"/>
        </w:rPr>
      </w:r>
      <w:r w:rsidR="00724CDB" w:rsidRPr="00080443">
        <w:rPr>
          <w:rFonts w:cs="Arial"/>
        </w:rPr>
        <w:fldChar w:fldCharType="separate"/>
      </w:r>
      <w:r w:rsidR="00080443" w:rsidRPr="00080443">
        <w:rPr>
          <w:rFonts w:cs="Arial"/>
        </w:rPr>
        <w:t>19</w:t>
      </w:r>
      <w:r w:rsidR="00724CDB" w:rsidRPr="00080443">
        <w:rPr>
          <w:rFonts w:cs="Arial"/>
        </w:rPr>
        <w:fldChar w:fldCharType="end"/>
      </w:r>
    </w:p>
    <w:p w14:paraId="1F8A753C"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1.5</w:t>
      </w:r>
      <w:r w:rsidRPr="00080443">
        <w:rPr>
          <w:rFonts w:ascii="Arial" w:eastAsiaTheme="minorEastAsia" w:hAnsi="Arial" w:cs="Arial"/>
          <w:color w:val="auto"/>
          <w:spacing w:val="0"/>
          <w:sz w:val="22"/>
          <w:szCs w:val="22"/>
        </w:rPr>
        <w:tab/>
      </w:r>
      <w:r w:rsidRPr="00080443">
        <w:rPr>
          <w:rFonts w:ascii="Arial" w:hAnsi="Arial" w:cs="Arial"/>
        </w:rPr>
        <w:t>Stakeholder consultation</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_Toc343780447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20</w:t>
      </w:r>
      <w:r w:rsidR="00724CDB" w:rsidRPr="00080443">
        <w:rPr>
          <w:rFonts w:ascii="Arial" w:hAnsi="Arial" w:cs="Arial"/>
        </w:rPr>
        <w:fldChar w:fldCharType="end"/>
      </w:r>
    </w:p>
    <w:p w14:paraId="1DC04FF2" w14:textId="77777777" w:rsidR="004D411C" w:rsidRPr="00080443" w:rsidRDefault="004D411C">
      <w:pPr>
        <w:pStyle w:val="TOC1"/>
        <w:tabs>
          <w:tab w:val="left" w:pos="885"/>
        </w:tabs>
        <w:rPr>
          <w:rFonts w:ascii="Arial" w:eastAsiaTheme="minorEastAsia" w:hAnsi="Arial" w:cs="Arial"/>
          <w:b w:val="0"/>
          <w:color w:val="auto"/>
          <w:spacing w:val="0"/>
          <w:sz w:val="22"/>
          <w:szCs w:val="22"/>
        </w:rPr>
      </w:pPr>
      <w:r w:rsidRPr="00080443">
        <w:rPr>
          <w:rFonts w:ascii="Arial" w:hAnsi="Arial" w:cs="Arial"/>
        </w:rPr>
        <w:t>2.</w:t>
      </w:r>
      <w:r w:rsidRPr="00080443">
        <w:rPr>
          <w:rFonts w:ascii="Arial" w:eastAsiaTheme="minorEastAsia" w:hAnsi="Arial" w:cs="Arial"/>
          <w:b w:val="0"/>
          <w:color w:val="auto"/>
          <w:spacing w:val="0"/>
          <w:sz w:val="22"/>
          <w:szCs w:val="22"/>
        </w:rPr>
        <w:tab/>
      </w:r>
      <w:r w:rsidRPr="00080443">
        <w:rPr>
          <w:rFonts w:ascii="Arial" w:hAnsi="Arial" w:cs="Arial"/>
        </w:rPr>
        <w:t>What is being offered in the auction?</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_Toc343780448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22</w:t>
      </w:r>
      <w:r w:rsidR="00724CDB" w:rsidRPr="00080443">
        <w:rPr>
          <w:rFonts w:ascii="Arial" w:hAnsi="Arial" w:cs="Arial"/>
        </w:rPr>
        <w:fldChar w:fldCharType="end"/>
      </w:r>
    </w:p>
    <w:p w14:paraId="75C7C5E3"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2.1</w:t>
      </w:r>
      <w:r w:rsidRPr="00080443">
        <w:rPr>
          <w:rFonts w:ascii="Arial" w:eastAsiaTheme="minorEastAsia" w:hAnsi="Arial" w:cs="Arial"/>
          <w:color w:val="auto"/>
          <w:spacing w:val="0"/>
          <w:sz w:val="22"/>
          <w:szCs w:val="22"/>
        </w:rPr>
        <w:tab/>
      </w:r>
      <w:r w:rsidRPr="00080443">
        <w:rPr>
          <w:rFonts w:ascii="Arial" w:hAnsi="Arial" w:cs="Arial"/>
        </w:rPr>
        <w:t>Available spectrum</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_Toc343780449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23</w:t>
      </w:r>
      <w:r w:rsidR="00724CDB" w:rsidRPr="00080443">
        <w:rPr>
          <w:rFonts w:ascii="Arial" w:hAnsi="Arial" w:cs="Arial"/>
        </w:rPr>
        <w:fldChar w:fldCharType="end"/>
      </w:r>
    </w:p>
    <w:p w14:paraId="0BFF808A"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2.2</w:t>
      </w:r>
      <w:r w:rsidRPr="00080443">
        <w:rPr>
          <w:rFonts w:ascii="Arial" w:eastAsiaTheme="minorEastAsia" w:hAnsi="Arial" w:cs="Arial"/>
          <w:color w:val="auto"/>
          <w:spacing w:val="0"/>
          <w:sz w:val="22"/>
          <w:szCs w:val="22"/>
        </w:rPr>
        <w:tab/>
      </w:r>
      <w:r w:rsidRPr="00080443">
        <w:rPr>
          <w:rFonts w:ascii="Arial" w:hAnsi="Arial" w:cs="Arial"/>
        </w:rPr>
        <w:t>Spectrum auction lots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_Toc343780450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23</w:t>
      </w:r>
      <w:r w:rsidR="00724CDB" w:rsidRPr="00080443">
        <w:rPr>
          <w:rFonts w:ascii="Arial" w:hAnsi="Arial" w:cs="Arial"/>
        </w:rPr>
        <w:fldChar w:fldCharType="end"/>
      </w:r>
    </w:p>
    <w:p w14:paraId="63F2F756" w14:textId="77777777" w:rsidR="004D411C" w:rsidRPr="00080443" w:rsidRDefault="004D411C">
      <w:pPr>
        <w:pStyle w:val="TOC3"/>
        <w:tabs>
          <w:tab w:val="left" w:pos="885"/>
        </w:tabs>
        <w:rPr>
          <w:rFonts w:eastAsiaTheme="minorEastAsia" w:cs="Arial"/>
          <w:color w:val="auto"/>
        </w:rPr>
      </w:pPr>
      <w:r w:rsidRPr="00080443">
        <w:rPr>
          <w:rFonts w:cs="Arial"/>
        </w:rPr>
        <w:t>2.2.1</w:t>
      </w:r>
      <w:r w:rsidRPr="00080443">
        <w:rPr>
          <w:rFonts w:eastAsiaTheme="minorEastAsia" w:cs="Arial"/>
          <w:color w:val="auto"/>
        </w:rPr>
        <w:tab/>
      </w:r>
      <w:r w:rsidRPr="00080443">
        <w:rPr>
          <w:rFonts w:cs="Arial"/>
        </w:rPr>
        <w:t>Lot configuration in the 700 MHz band</w:t>
      </w:r>
      <w:r w:rsidRPr="00080443">
        <w:rPr>
          <w:rFonts w:cs="Arial"/>
        </w:rPr>
        <w:tab/>
      </w:r>
      <w:r w:rsidR="00724CDB" w:rsidRPr="00080443">
        <w:rPr>
          <w:rFonts w:cs="Arial"/>
        </w:rPr>
        <w:fldChar w:fldCharType="begin"/>
      </w:r>
      <w:r w:rsidRPr="00080443">
        <w:rPr>
          <w:rFonts w:cs="Arial"/>
        </w:rPr>
        <w:instrText xml:space="preserve"> PAGEREF _Toc343780451 \h </w:instrText>
      </w:r>
      <w:r w:rsidR="00724CDB" w:rsidRPr="00080443">
        <w:rPr>
          <w:rFonts w:cs="Arial"/>
        </w:rPr>
      </w:r>
      <w:r w:rsidR="00724CDB" w:rsidRPr="00080443">
        <w:rPr>
          <w:rFonts w:cs="Arial"/>
        </w:rPr>
        <w:fldChar w:fldCharType="separate"/>
      </w:r>
      <w:r w:rsidR="00080443" w:rsidRPr="00080443">
        <w:rPr>
          <w:rFonts w:cs="Arial"/>
        </w:rPr>
        <w:t>23</w:t>
      </w:r>
      <w:r w:rsidR="00724CDB" w:rsidRPr="00080443">
        <w:rPr>
          <w:rFonts w:cs="Arial"/>
        </w:rPr>
        <w:fldChar w:fldCharType="end"/>
      </w:r>
    </w:p>
    <w:p w14:paraId="7B0789D6" w14:textId="77777777" w:rsidR="004D411C" w:rsidRPr="00080443" w:rsidRDefault="004D411C">
      <w:pPr>
        <w:pStyle w:val="TOC3"/>
        <w:tabs>
          <w:tab w:val="left" w:pos="885"/>
        </w:tabs>
        <w:rPr>
          <w:rFonts w:eastAsiaTheme="minorEastAsia" w:cs="Arial"/>
          <w:color w:val="auto"/>
        </w:rPr>
      </w:pPr>
      <w:r w:rsidRPr="00080443">
        <w:rPr>
          <w:rFonts w:cs="Arial"/>
        </w:rPr>
        <w:t>2.2.2</w:t>
      </w:r>
      <w:r w:rsidRPr="00080443">
        <w:rPr>
          <w:rFonts w:eastAsiaTheme="minorEastAsia" w:cs="Arial"/>
          <w:color w:val="auto"/>
        </w:rPr>
        <w:tab/>
      </w:r>
      <w:r w:rsidRPr="00080443">
        <w:rPr>
          <w:rFonts w:cs="Arial"/>
        </w:rPr>
        <w:t>Lot configuration in the 2.5 GHz band</w:t>
      </w:r>
      <w:r w:rsidRPr="00080443">
        <w:rPr>
          <w:rFonts w:cs="Arial"/>
        </w:rPr>
        <w:tab/>
      </w:r>
      <w:r w:rsidR="00724CDB" w:rsidRPr="00080443">
        <w:rPr>
          <w:rFonts w:cs="Arial"/>
        </w:rPr>
        <w:fldChar w:fldCharType="begin"/>
      </w:r>
      <w:r w:rsidRPr="00080443">
        <w:rPr>
          <w:rFonts w:cs="Arial"/>
        </w:rPr>
        <w:instrText xml:space="preserve"> PAGEREF _Toc343780452 \h </w:instrText>
      </w:r>
      <w:r w:rsidR="00724CDB" w:rsidRPr="00080443">
        <w:rPr>
          <w:rFonts w:cs="Arial"/>
        </w:rPr>
      </w:r>
      <w:r w:rsidR="00724CDB" w:rsidRPr="00080443">
        <w:rPr>
          <w:rFonts w:cs="Arial"/>
        </w:rPr>
        <w:fldChar w:fldCharType="separate"/>
      </w:r>
      <w:r w:rsidR="00080443" w:rsidRPr="00080443">
        <w:rPr>
          <w:rFonts w:cs="Arial"/>
        </w:rPr>
        <w:t>24</w:t>
      </w:r>
      <w:r w:rsidR="00724CDB" w:rsidRPr="00080443">
        <w:rPr>
          <w:rFonts w:cs="Arial"/>
        </w:rPr>
        <w:fldChar w:fldCharType="end"/>
      </w:r>
    </w:p>
    <w:p w14:paraId="6B3FD0A6" w14:textId="77777777" w:rsidR="004D411C" w:rsidRPr="00080443" w:rsidRDefault="004D411C">
      <w:pPr>
        <w:pStyle w:val="TOC3"/>
        <w:tabs>
          <w:tab w:val="left" w:pos="885"/>
        </w:tabs>
        <w:rPr>
          <w:rFonts w:eastAsiaTheme="minorEastAsia" w:cs="Arial"/>
          <w:color w:val="auto"/>
        </w:rPr>
      </w:pPr>
      <w:r w:rsidRPr="00080443">
        <w:rPr>
          <w:rFonts w:cs="Arial"/>
        </w:rPr>
        <w:t>2.2.3</w:t>
      </w:r>
      <w:r w:rsidRPr="00080443">
        <w:rPr>
          <w:rFonts w:eastAsiaTheme="minorEastAsia" w:cs="Arial"/>
          <w:color w:val="auto"/>
        </w:rPr>
        <w:tab/>
      </w:r>
      <w:r w:rsidRPr="00080443">
        <w:rPr>
          <w:rFonts w:cs="Arial"/>
        </w:rPr>
        <w:t>Summary of lots on offer</w:t>
      </w:r>
      <w:r w:rsidRPr="00080443">
        <w:rPr>
          <w:rFonts w:cs="Arial"/>
        </w:rPr>
        <w:tab/>
      </w:r>
      <w:r w:rsidR="00724CDB" w:rsidRPr="00080443">
        <w:rPr>
          <w:rFonts w:cs="Arial"/>
        </w:rPr>
        <w:fldChar w:fldCharType="begin"/>
      </w:r>
      <w:r w:rsidRPr="00080443">
        <w:rPr>
          <w:rFonts w:cs="Arial"/>
        </w:rPr>
        <w:instrText xml:space="preserve"> PAGEREF _Toc343780453 \h </w:instrText>
      </w:r>
      <w:r w:rsidR="00724CDB" w:rsidRPr="00080443">
        <w:rPr>
          <w:rFonts w:cs="Arial"/>
        </w:rPr>
      </w:r>
      <w:r w:rsidR="00724CDB" w:rsidRPr="00080443">
        <w:rPr>
          <w:rFonts w:cs="Arial"/>
        </w:rPr>
        <w:fldChar w:fldCharType="separate"/>
      </w:r>
      <w:r w:rsidR="00080443" w:rsidRPr="00080443">
        <w:rPr>
          <w:rFonts w:cs="Arial"/>
        </w:rPr>
        <w:t>27</w:t>
      </w:r>
      <w:r w:rsidR="00724CDB" w:rsidRPr="00080443">
        <w:rPr>
          <w:rFonts w:cs="Arial"/>
        </w:rPr>
        <w:fldChar w:fldCharType="end"/>
      </w:r>
    </w:p>
    <w:p w14:paraId="0A345E87"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2.3</w:t>
      </w:r>
      <w:r w:rsidRPr="00080443">
        <w:rPr>
          <w:rFonts w:ascii="Arial" w:eastAsiaTheme="minorEastAsia" w:hAnsi="Arial" w:cs="Arial"/>
          <w:color w:val="auto"/>
          <w:spacing w:val="0"/>
          <w:sz w:val="22"/>
          <w:szCs w:val="22"/>
        </w:rPr>
        <w:tab/>
      </w:r>
      <w:r w:rsidRPr="00080443">
        <w:rPr>
          <w:rFonts w:ascii="Arial" w:hAnsi="Arial" w:cs="Arial"/>
        </w:rPr>
        <w:t>Key issues affecting the use of the spectrum</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_Toc343780454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27</w:t>
      </w:r>
      <w:r w:rsidR="00724CDB" w:rsidRPr="00080443">
        <w:rPr>
          <w:rFonts w:ascii="Arial" w:hAnsi="Arial" w:cs="Arial"/>
        </w:rPr>
        <w:fldChar w:fldCharType="end"/>
      </w:r>
    </w:p>
    <w:p w14:paraId="161B1C04" w14:textId="77777777" w:rsidR="004D411C" w:rsidRPr="00080443" w:rsidRDefault="004D411C">
      <w:pPr>
        <w:pStyle w:val="TOC3"/>
        <w:tabs>
          <w:tab w:val="left" w:pos="885"/>
        </w:tabs>
        <w:rPr>
          <w:rFonts w:eastAsiaTheme="minorEastAsia" w:cs="Arial"/>
          <w:color w:val="auto"/>
        </w:rPr>
      </w:pPr>
      <w:r w:rsidRPr="00080443">
        <w:rPr>
          <w:rFonts w:cs="Arial"/>
        </w:rPr>
        <w:t>2.3.1</w:t>
      </w:r>
      <w:r w:rsidRPr="00080443">
        <w:rPr>
          <w:rFonts w:eastAsiaTheme="minorEastAsia" w:cs="Arial"/>
          <w:color w:val="auto"/>
        </w:rPr>
        <w:tab/>
      </w:r>
      <w:r w:rsidRPr="00080443">
        <w:rPr>
          <w:rFonts w:cs="Arial"/>
        </w:rPr>
        <w:t>Spectrum to be allocated as spectrum licences</w:t>
      </w:r>
      <w:r w:rsidRPr="00080443">
        <w:rPr>
          <w:rFonts w:cs="Arial"/>
        </w:rPr>
        <w:tab/>
      </w:r>
      <w:r w:rsidR="00724CDB" w:rsidRPr="00080443">
        <w:rPr>
          <w:rFonts w:cs="Arial"/>
        </w:rPr>
        <w:fldChar w:fldCharType="begin"/>
      </w:r>
      <w:r w:rsidRPr="00080443">
        <w:rPr>
          <w:rFonts w:cs="Arial"/>
        </w:rPr>
        <w:instrText xml:space="preserve"> PAGEREF _Toc343780455 \h </w:instrText>
      </w:r>
      <w:r w:rsidR="00724CDB" w:rsidRPr="00080443">
        <w:rPr>
          <w:rFonts w:cs="Arial"/>
        </w:rPr>
      </w:r>
      <w:r w:rsidR="00724CDB" w:rsidRPr="00080443">
        <w:rPr>
          <w:rFonts w:cs="Arial"/>
        </w:rPr>
        <w:fldChar w:fldCharType="separate"/>
      </w:r>
      <w:r w:rsidR="00080443" w:rsidRPr="00080443">
        <w:rPr>
          <w:rFonts w:cs="Arial"/>
        </w:rPr>
        <w:t>27</w:t>
      </w:r>
      <w:r w:rsidR="00724CDB" w:rsidRPr="00080443">
        <w:rPr>
          <w:rFonts w:cs="Arial"/>
        </w:rPr>
        <w:fldChar w:fldCharType="end"/>
      </w:r>
    </w:p>
    <w:p w14:paraId="290E770F" w14:textId="77777777" w:rsidR="004D411C" w:rsidRPr="00080443" w:rsidRDefault="004D411C">
      <w:pPr>
        <w:pStyle w:val="TOC3"/>
        <w:tabs>
          <w:tab w:val="left" w:pos="885"/>
        </w:tabs>
        <w:rPr>
          <w:rFonts w:eastAsiaTheme="minorEastAsia" w:cs="Arial"/>
          <w:color w:val="auto"/>
        </w:rPr>
      </w:pPr>
      <w:r w:rsidRPr="00080443">
        <w:rPr>
          <w:rFonts w:cs="Arial"/>
        </w:rPr>
        <w:t>2.3.2</w:t>
      </w:r>
      <w:r w:rsidRPr="00080443">
        <w:rPr>
          <w:rFonts w:eastAsiaTheme="minorEastAsia" w:cs="Arial"/>
          <w:color w:val="auto"/>
        </w:rPr>
        <w:tab/>
      </w:r>
      <w:r w:rsidRPr="00080443">
        <w:rPr>
          <w:rFonts w:cs="Arial"/>
        </w:rPr>
        <w:t>Licence commencement</w:t>
      </w:r>
      <w:r w:rsidRPr="00080443">
        <w:rPr>
          <w:rFonts w:cs="Arial"/>
        </w:rPr>
        <w:tab/>
      </w:r>
      <w:r w:rsidR="00724CDB" w:rsidRPr="00080443">
        <w:rPr>
          <w:rFonts w:cs="Arial"/>
        </w:rPr>
        <w:fldChar w:fldCharType="begin"/>
      </w:r>
      <w:r w:rsidRPr="00080443">
        <w:rPr>
          <w:rFonts w:cs="Arial"/>
        </w:rPr>
        <w:instrText xml:space="preserve"> PAGEREF _Toc343780456 \h </w:instrText>
      </w:r>
      <w:r w:rsidR="00724CDB" w:rsidRPr="00080443">
        <w:rPr>
          <w:rFonts w:cs="Arial"/>
        </w:rPr>
      </w:r>
      <w:r w:rsidR="00724CDB" w:rsidRPr="00080443">
        <w:rPr>
          <w:rFonts w:cs="Arial"/>
        </w:rPr>
        <w:fldChar w:fldCharType="separate"/>
      </w:r>
      <w:r w:rsidR="00080443" w:rsidRPr="00080443">
        <w:rPr>
          <w:rFonts w:cs="Arial"/>
        </w:rPr>
        <w:t>28</w:t>
      </w:r>
      <w:r w:rsidR="00724CDB" w:rsidRPr="00080443">
        <w:rPr>
          <w:rFonts w:cs="Arial"/>
        </w:rPr>
        <w:fldChar w:fldCharType="end"/>
      </w:r>
    </w:p>
    <w:p w14:paraId="2AFA375E" w14:textId="77777777" w:rsidR="004D411C" w:rsidRPr="00080443" w:rsidRDefault="004D411C">
      <w:pPr>
        <w:pStyle w:val="TOC3"/>
        <w:tabs>
          <w:tab w:val="left" w:pos="885"/>
        </w:tabs>
        <w:rPr>
          <w:rFonts w:eastAsiaTheme="minorEastAsia" w:cs="Arial"/>
          <w:color w:val="auto"/>
        </w:rPr>
      </w:pPr>
      <w:r w:rsidRPr="00080443">
        <w:rPr>
          <w:rFonts w:cs="Arial"/>
        </w:rPr>
        <w:t>2.3.3</w:t>
      </w:r>
      <w:r w:rsidRPr="00080443">
        <w:rPr>
          <w:rFonts w:eastAsiaTheme="minorEastAsia" w:cs="Arial"/>
          <w:color w:val="auto"/>
        </w:rPr>
        <w:tab/>
      </w:r>
      <w:r w:rsidRPr="00080443">
        <w:rPr>
          <w:rFonts w:cs="Arial"/>
        </w:rPr>
        <w:t>Licence duration and expiry</w:t>
      </w:r>
      <w:r w:rsidRPr="00080443">
        <w:rPr>
          <w:rFonts w:cs="Arial"/>
        </w:rPr>
        <w:tab/>
      </w:r>
      <w:r w:rsidR="00724CDB" w:rsidRPr="00080443">
        <w:rPr>
          <w:rFonts w:cs="Arial"/>
        </w:rPr>
        <w:fldChar w:fldCharType="begin"/>
      </w:r>
      <w:r w:rsidRPr="00080443">
        <w:rPr>
          <w:rFonts w:cs="Arial"/>
        </w:rPr>
        <w:instrText xml:space="preserve"> PAGEREF _Toc343780457 \h </w:instrText>
      </w:r>
      <w:r w:rsidR="00724CDB" w:rsidRPr="00080443">
        <w:rPr>
          <w:rFonts w:cs="Arial"/>
        </w:rPr>
      </w:r>
      <w:r w:rsidR="00724CDB" w:rsidRPr="00080443">
        <w:rPr>
          <w:rFonts w:cs="Arial"/>
        </w:rPr>
        <w:fldChar w:fldCharType="separate"/>
      </w:r>
      <w:r w:rsidR="00080443" w:rsidRPr="00080443">
        <w:rPr>
          <w:rFonts w:cs="Arial"/>
        </w:rPr>
        <w:t>28</w:t>
      </w:r>
      <w:r w:rsidR="00724CDB" w:rsidRPr="00080443">
        <w:rPr>
          <w:rFonts w:cs="Arial"/>
        </w:rPr>
        <w:fldChar w:fldCharType="end"/>
      </w:r>
    </w:p>
    <w:p w14:paraId="5C2ADE79" w14:textId="77777777" w:rsidR="004D411C" w:rsidRPr="00080443" w:rsidRDefault="004D411C">
      <w:pPr>
        <w:pStyle w:val="TOC3"/>
        <w:tabs>
          <w:tab w:val="left" w:pos="885"/>
        </w:tabs>
        <w:rPr>
          <w:rFonts w:eastAsiaTheme="minorEastAsia" w:cs="Arial"/>
          <w:color w:val="auto"/>
        </w:rPr>
      </w:pPr>
      <w:r w:rsidRPr="00080443">
        <w:rPr>
          <w:rFonts w:cs="Arial"/>
        </w:rPr>
        <w:t>2.3.4</w:t>
      </w:r>
      <w:r w:rsidRPr="00080443">
        <w:rPr>
          <w:rFonts w:eastAsiaTheme="minorEastAsia" w:cs="Arial"/>
          <w:color w:val="auto"/>
        </w:rPr>
        <w:tab/>
      </w:r>
      <w:r w:rsidRPr="00080443">
        <w:rPr>
          <w:rFonts w:cs="Arial"/>
        </w:rPr>
        <w:t>Potential access to spectrum prior to licence commencement</w:t>
      </w:r>
      <w:r w:rsidRPr="00080443">
        <w:rPr>
          <w:rFonts w:cs="Arial"/>
        </w:rPr>
        <w:tab/>
      </w:r>
      <w:r w:rsidR="00724CDB" w:rsidRPr="00080443">
        <w:rPr>
          <w:rFonts w:cs="Arial"/>
        </w:rPr>
        <w:fldChar w:fldCharType="begin"/>
      </w:r>
      <w:r w:rsidRPr="00080443">
        <w:rPr>
          <w:rFonts w:cs="Arial"/>
        </w:rPr>
        <w:instrText xml:space="preserve"> PAGEREF _Toc343780458 \h </w:instrText>
      </w:r>
      <w:r w:rsidR="00724CDB" w:rsidRPr="00080443">
        <w:rPr>
          <w:rFonts w:cs="Arial"/>
        </w:rPr>
      </w:r>
      <w:r w:rsidR="00724CDB" w:rsidRPr="00080443">
        <w:rPr>
          <w:rFonts w:cs="Arial"/>
        </w:rPr>
        <w:fldChar w:fldCharType="separate"/>
      </w:r>
      <w:r w:rsidR="00080443" w:rsidRPr="00080443">
        <w:rPr>
          <w:rFonts w:cs="Arial"/>
        </w:rPr>
        <w:t>29</w:t>
      </w:r>
      <w:r w:rsidR="00724CDB" w:rsidRPr="00080443">
        <w:rPr>
          <w:rFonts w:cs="Arial"/>
        </w:rPr>
        <w:fldChar w:fldCharType="end"/>
      </w:r>
    </w:p>
    <w:p w14:paraId="73A5B32D" w14:textId="77777777" w:rsidR="004D411C" w:rsidRPr="00080443" w:rsidRDefault="004D411C" w:rsidP="00080443">
      <w:pPr>
        <w:pStyle w:val="TOC3"/>
        <w:tabs>
          <w:tab w:val="left" w:pos="885"/>
        </w:tabs>
        <w:ind w:left="885" w:hanging="885"/>
        <w:rPr>
          <w:rFonts w:eastAsiaTheme="minorEastAsia" w:cs="Arial"/>
          <w:color w:val="auto"/>
        </w:rPr>
      </w:pPr>
      <w:r w:rsidRPr="00080443">
        <w:rPr>
          <w:rFonts w:cs="Arial"/>
        </w:rPr>
        <w:t>2.3.5</w:t>
      </w:r>
      <w:r w:rsidRPr="00080443">
        <w:rPr>
          <w:rFonts w:eastAsiaTheme="minorEastAsia" w:cs="Arial"/>
          <w:color w:val="auto"/>
        </w:rPr>
        <w:tab/>
      </w:r>
      <w:r w:rsidRPr="00080443">
        <w:rPr>
          <w:rFonts w:cs="Arial"/>
        </w:rPr>
        <w:t xml:space="preserve">Managing interference with broadcasting services and </w:t>
      </w:r>
      <w:r w:rsidR="00080443">
        <w:rPr>
          <w:rFonts w:cs="Arial"/>
        </w:rPr>
        <w:br/>
      </w:r>
      <w:r w:rsidRPr="00080443">
        <w:rPr>
          <w:rFonts w:cs="Arial"/>
        </w:rPr>
        <w:t>retransmission services (700 MHz band)</w:t>
      </w:r>
      <w:r w:rsidRPr="00080443">
        <w:rPr>
          <w:rFonts w:cs="Arial"/>
        </w:rPr>
        <w:tab/>
      </w:r>
      <w:r w:rsidR="00724CDB" w:rsidRPr="00080443">
        <w:rPr>
          <w:rFonts w:cs="Arial"/>
        </w:rPr>
        <w:fldChar w:fldCharType="begin"/>
      </w:r>
      <w:r w:rsidRPr="00080443">
        <w:rPr>
          <w:rFonts w:cs="Arial"/>
        </w:rPr>
        <w:instrText xml:space="preserve"> PAGEREF _Toc343780459 \h </w:instrText>
      </w:r>
      <w:r w:rsidR="00724CDB" w:rsidRPr="00080443">
        <w:rPr>
          <w:rFonts w:cs="Arial"/>
        </w:rPr>
      </w:r>
      <w:r w:rsidR="00724CDB" w:rsidRPr="00080443">
        <w:rPr>
          <w:rFonts w:cs="Arial"/>
        </w:rPr>
        <w:fldChar w:fldCharType="separate"/>
      </w:r>
      <w:r w:rsidR="00080443" w:rsidRPr="00080443">
        <w:rPr>
          <w:rFonts w:cs="Arial"/>
        </w:rPr>
        <w:t>30</w:t>
      </w:r>
      <w:r w:rsidR="00724CDB" w:rsidRPr="00080443">
        <w:rPr>
          <w:rFonts w:cs="Arial"/>
        </w:rPr>
        <w:fldChar w:fldCharType="end"/>
      </w:r>
    </w:p>
    <w:p w14:paraId="36D7C2C7" w14:textId="77777777" w:rsidR="004D411C" w:rsidRPr="00080443" w:rsidRDefault="004D411C">
      <w:pPr>
        <w:pStyle w:val="TOC3"/>
        <w:tabs>
          <w:tab w:val="left" w:pos="885"/>
        </w:tabs>
        <w:rPr>
          <w:rFonts w:eastAsiaTheme="minorEastAsia" w:cs="Arial"/>
          <w:color w:val="auto"/>
        </w:rPr>
      </w:pPr>
      <w:r w:rsidRPr="00080443">
        <w:rPr>
          <w:rFonts w:cs="Arial"/>
        </w:rPr>
        <w:t>2.3.6</w:t>
      </w:r>
      <w:r w:rsidRPr="00080443">
        <w:rPr>
          <w:rFonts w:eastAsiaTheme="minorEastAsia" w:cs="Arial"/>
          <w:color w:val="auto"/>
        </w:rPr>
        <w:tab/>
      </w:r>
      <w:r w:rsidRPr="00080443">
        <w:rPr>
          <w:rFonts w:cs="Arial"/>
        </w:rPr>
        <w:t>Datacasting licence conditions (700 MHz band)</w:t>
      </w:r>
      <w:r w:rsidRPr="00080443">
        <w:rPr>
          <w:rFonts w:cs="Arial"/>
        </w:rPr>
        <w:tab/>
      </w:r>
      <w:r w:rsidR="00724CDB" w:rsidRPr="00080443">
        <w:rPr>
          <w:rFonts w:cs="Arial"/>
        </w:rPr>
        <w:fldChar w:fldCharType="begin"/>
      </w:r>
      <w:r w:rsidRPr="00080443">
        <w:rPr>
          <w:rFonts w:cs="Arial"/>
        </w:rPr>
        <w:instrText xml:space="preserve"> PAGEREF _Toc343780460 \h </w:instrText>
      </w:r>
      <w:r w:rsidR="00724CDB" w:rsidRPr="00080443">
        <w:rPr>
          <w:rFonts w:cs="Arial"/>
        </w:rPr>
      </w:r>
      <w:r w:rsidR="00724CDB" w:rsidRPr="00080443">
        <w:rPr>
          <w:rFonts w:cs="Arial"/>
        </w:rPr>
        <w:fldChar w:fldCharType="separate"/>
      </w:r>
      <w:r w:rsidR="00080443" w:rsidRPr="00080443">
        <w:rPr>
          <w:rFonts w:cs="Arial"/>
        </w:rPr>
        <w:t>31</w:t>
      </w:r>
      <w:r w:rsidR="00724CDB" w:rsidRPr="00080443">
        <w:rPr>
          <w:rFonts w:cs="Arial"/>
        </w:rPr>
        <w:fldChar w:fldCharType="end"/>
      </w:r>
    </w:p>
    <w:p w14:paraId="0E5828D5" w14:textId="77777777" w:rsidR="004D411C" w:rsidRPr="00080443" w:rsidRDefault="00080443" w:rsidP="004D411C">
      <w:pPr>
        <w:pStyle w:val="TOC9"/>
        <w:keepNext/>
        <w:rPr>
          <w:rFonts w:ascii="Arial" w:eastAsiaTheme="minorEastAsia" w:hAnsi="Arial" w:cs="Arial"/>
          <w:b w:val="0"/>
          <w:color w:val="auto"/>
          <w:sz w:val="22"/>
          <w:szCs w:val="22"/>
        </w:rPr>
      </w:pPr>
      <w:r>
        <w:rPr>
          <w:rFonts w:ascii="Arial" w:hAnsi="Arial" w:cs="Arial"/>
        </w:rPr>
        <w:lastRenderedPageBreak/>
        <w:t>Part two—</w:t>
      </w:r>
      <w:r w:rsidR="004D411C" w:rsidRPr="00080443">
        <w:rPr>
          <w:rFonts w:ascii="Arial" w:hAnsi="Arial" w:cs="Arial"/>
        </w:rPr>
        <w:t>Participating in the auction</w:t>
      </w:r>
      <w:r w:rsidR="004D411C" w:rsidRPr="00080443">
        <w:rPr>
          <w:rFonts w:ascii="Arial" w:hAnsi="Arial" w:cs="Arial"/>
        </w:rPr>
        <w:tab/>
      </w:r>
      <w:r w:rsidR="00724CDB" w:rsidRPr="00080443">
        <w:rPr>
          <w:rFonts w:ascii="Arial" w:hAnsi="Arial" w:cs="Arial"/>
        </w:rPr>
        <w:fldChar w:fldCharType="begin"/>
      </w:r>
      <w:r w:rsidR="004D411C" w:rsidRPr="00080443">
        <w:rPr>
          <w:rFonts w:ascii="Arial" w:hAnsi="Arial" w:cs="Arial"/>
        </w:rPr>
        <w:instrText xml:space="preserve"> PAGEREF _Toc343780461 \h </w:instrText>
      </w:r>
      <w:r w:rsidR="00724CDB" w:rsidRPr="00080443">
        <w:rPr>
          <w:rFonts w:ascii="Arial" w:hAnsi="Arial" w:cs="Arial"/>
        </w:rPr>
      </w:r>
      <w:r w:rsidR="00724CDB" w:rsidRPr="00080443">
        <w:rPr>
          <w:rFonts w:ascii="Arial" w:hAnsi="Arial" w:cs="Arial"/>
        </w:rPr>
        <w:fldChar w:fldCharType="separate"/>
      </w:r>
      <w:r w:rsidRPr="00080443">
        <w:rPr>
          <w:rFonts w:ascii="Arial" w:hAnsi="Arial" w:cs="Arial"/>
        </w:rPr>
        <w:t>33</w:t>
      </w:r>
      <w:r w:rsidR="00724CDB" w:rsidRPr="00080443">
        <w:rPr>
          <w:rFonts w:ascii="Arial" w:hAnsi="Arial" w:cs="Arial"/>
        </w:rPr>
        <w:fldChar w:fldCharType="end"/>
      </w:r>
    </w:p>
    <w:p w14:paraId="6723335E" w14:textId="77777777" w:rsidR="004D411C" w:rsidRPr="00080443" w:rsidRDefault="004D411C">
      <w:pPr>
        <w:pStyle w:val="TOC1"/>
        <w:tabs>
          <w:tab w:val="left" w:pos="885"/>
        </w:tabs>
        <w:rPr>
          <w:rFonts w:ascii="Arial" w:eastAsiaTheme="minorEastAsia" w:hAnsi="Arial" w:cs="Arial"/>
          <w:b w:val="0"/>
          <w:color w:val="auto"/>
          <w:spacing w:val="0"/>
          <w:sz w:val="22"/>
          <w:szCs w:val="22"/>
        </w:rPr>
      </w:pPr>
      <w:r w:rsidRPr="00080443">
        <w:rPr>
          <w:rFonts w:ascii="Arial" w:hAnsi="Arial" w:cs="Arial"/>
        </w:rPr>
        <w:t>3.</w:t>
      </w:r>
      <w:r w:rsidRPr="00080443">
        <w:rPr>
          <w:rFonts w:ascii="Arial" w:eastAsiaTheme="minorEastAsia" w:hAnsi="Arial" w:cs="Arial"/>
          <w:b w:val="0"/>
          <w:color w:val="auto"/>
          <w:spacing w:val="0"/>
          <w:sz w:val="22"/>
          <w:szCs w:val="22"/>
        </w:rPr>
        <w:tab/>
      </w:r>
      <w:r w:rsidRPr="00080443">
        <w:rPr>
          <w:rFonts w:ascii="Arial" w:hAnsi="Arial" w:cs="Arial"/>
        </w:rPr>
        <w:t>How will the auction be conducted?</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_Toc343780462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34</w:t>
      </w:r>
      <w:r w:rsidR="00724CDB" w:rsidRPr="00080443">
        <w:rPr>
          <w:rFonts w:ascii="Arial" w:hAnsi="Arial" w:cs="Arial"/>
        </w:rPr>
        <w:fldChar w:fldCharType="end"/>
      </w:r>
    </w:p>
    <w:p w14:paraId="4C767BA2"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3.1</w:t>
      </w:r>
      <w:r w:rsidRPr="00080443">
        <w:rPr>
          <w:rFonts w:ascii="Arial" w:eastAsiaTheme="minorEastAsia" w:hAnsi="Arial" w:cs="Arial"/>
          <w:color w:val="auto"/>
          <w:spacing w:val="0"/>
          <w:sz w:val="22"/>
          <w:szCs w:val="22"/>
        </w:rPr>
        <w:tab/>
      </w:r>
      <w:r w:rsidRPr="00080443">
        <w:rPr>
          <w:rFonts w:ascii="Arial" w:hAnsi="Arial" w:cs="Arial"/>
        </w:rPr>
        <w:t>The combinatorial clock auction (CCA) format</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_Toc343780463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35</w:t>
      </w:r>
      <w:r w:rsidR="00724CDB" w:rsidRPr="00080443">
        <w:rPr>
          <w:rFonts w:ascii="Arial" w:hAnsi="Arial" w:cs="Arial"/>
        </w:rPr>
        <w:fldChar w:fldCharType="end"/>
      </w:r>
    </w:p>
    <w:p w14:paraId="7871D190" w14:textId="77777777" w:rsidR="004D411C" w:rsidRPr="00080443" w:rsidRDefault="004D411C">
      <w:pPr>
        <w:pStyle w:val="TOC3"/>
        <w:tabs>
          <w:tab w:val="left" w:pos="885"/>
        </w:tabs>
        <w:rPr>
          <w:rFonts w:eastAsiaTheme="minorEastAsia" w:cs="Arial"/>
          <w:color w:val="auto"/>
        </w:rPr>
      </w:pPr>
      <w:r w:rsidRPr="00080443">
        <w:rPr>
          <w:rFonts w:cs="Arial"/>
        </w:rPr>
        <w:t>3.1.1</w:t>
      </w:r>
      <w:r w:rsidRPr="00080443">
        <w:rPr>
          <w:rFonts w:eastAsiaTheme="minorEastAsia" w:cs="Arial"/>
          <w:color w:val="auto"/>
        </w:rPr>
        <w:tab/>
      </w:r>
      <w:r w:rsidRPr="00080443">
        <w:rPr>
          <w:rFonts w:cs="Arial"/>
        </w:rPr>
        <w:t>Adoption of the CCA format</w:t>
      </w:r>
      <w:r w:rsidRPr="00080443">
        <w:rPr>
          <w:rFonts w:cs="Arial"/>
        </w:rPr>
        <w:tab/>
      </w:r>
      <w:r w:rsidR="00724CDB" w:rsidRPr="00080443">
        <w:rPr>
          <w:rFonts w:cs="Arial"/>
        </w:rPr>
        <w:fldChar w:fldCharType="begin"/>
      </w:r>
      <w:r w:rsidRPr="00080443">
        <w:rPr>
          <w:rFonts w:cs="Arial"/>
        </w:rPr>
        <w:instrText xml:space="preserve"> PAGEREF _Toc343780464 \h </w:instrText>
      </w:r>
      <w:r w:rsidR="00724CDB" w:rsidRPr="00080443">
        <w:rPr>
          <w:rFonts w:cs="Arial"/>
        </w:rPr>
      </w:r>
      <w:r w:rsidR="00724CDB" w:rsidRPr="00080443">
        <w:rPr>
          <w:rFonts w:cs="Arial"/>
        </w:rPr>
        <w:fldChar w:fldCharType="separate"/>
      </w:r>
      <w:r w:rsidR="00080443" w:rsidRPr="00080443">
        <w:rPr>
          <w:rFonts w:cs="Arial"/>
        </w:rPr>
        <w:t>35</w:t>
      </w:r>
      <w:r w:rsidR="00724CDB" w:rsidRPr="00080443">
        <w:rPr>
          <w:rFonts w:cs="Arial"/>
        </w:rPr>
        <w:fldChar w:fldCharType="end"/>
      </w:r>
    </w:p>
    <w:p w14:paraId="418167BD" w14:textId="77777777" w:rsidR="004D411C" w:rsidRPr="00080443" w:rsidRDefault="004D411C">
      <w:pPr>
        <w:pStyle w:val="TOC3"/>
        <w:tabs>
          <w:tab w:val="left" w:pos="885"/>
        </w:tabs>
        <w:rPr>
          <w:rFonts w:eastAsiaTheme="minorEastAsia" w:cs="Arial"/>
          <w:color w:val="auto"/>
        </w:rPr>
      </w:pPr>
      <w:r w:rsidRPr="00080443">
        <w:rPr>
          <w:rFonts w:cs="Arial"/>
        </w:rPr>
        <w:t>3.1.2</w:t>
      </w:r>
      <w:r w:rsidRPr="00080443">
        <w:rPr>
          <w:rFonts w:eastAsiaTheme="minorEastAsia" w:cs="Arial"/>
          <w:color w:val="auto"/>
        </w:rPr>
        <w:tab/>
      </w:r>
      <w:r w:rsidRPr="00080443">
        <w:rPr>
          <w:rFonts w:cs="Arial"/>
        </w:rPr>
        <w:t>Overview of CCA procedures</w:t>
      </w:r>
      <w:r w:rsidRPr="00080443">
        <w:rPr>
          <w:rFonts w:cs="Arial"/>
        </w:rPr>
        <w:tab/>
      </w:r>
      <w:r w:rsidR="00724CDB" w:rsidRPr="00080443">
        <w:rPr>
          <w:rFonts w:cs="Arial"/>
        </w:rPr>
        <w:fldChar w:fldCharType="begin"/>
      </w:r>
      <w:r w:rsidRPr="00080443">
        <w:rPr>
          <w:rFonts w:cs="Arial"/>
        </w:rPr>
        <w:instrText xml:space="preserve"> PAGEREF _Toc343780465 \h </w:instrText>
      </w:r>
      <w:r w:rsidR="00724CDB" w:rsidRPr="00080443">
        <w:rPr>
          <w:rFonts w:cs="Arial"/>
        </w:rPr>
      </w:r>
      <w:r w:rsidR="00724CDB" w:rsidRPr="00080443">
        <w:rPr>
          <w:rFonts w:cs="Arial"/>
        </w:rPr>
        <w:fldChar w:fldCharType="separate"/>
      </w:r>
      <w:r w:rsidR="00080443" w:rsidRPr="00080443">
        <w:rPr>
          <w:rFonts w:cs="Arial"/>
        </w:rPr>
        <w:t>36</w:t>
      </w:r>
      <w:r w:rsidR="00724CDB" w:rsidRPr="00080443">
        <w:rPr>
          <w:rFonts w:cs="Arial"/>
        </w:rPr>
        <w:fldChar w:fldCharType="end"/>
      </w:r>
    </w:p>
    <w:p w14:paraId="1C75A331"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3.2</w:t>
      </w:r>
      <w:r w:rsidRPr="00080443">
        <w:rPr>
          <w:rFonts w:ascii="Arial" w:eastAsiaTheme="minorEastAsia" w:hAnsi="Arial" w:cs="Arial"/>
          <w:color w:val="auto"/>
          <w:spacing w:val="0"/>
          <w:sz w:val="22"/>
          <w:szCs w:val="22"/>
        </w:rPr>
        <w:tab/>
      </w:r>
      <w:r w:rsidRPr="00080443">
        <w:rPr>
          <w:rFonts w:ascii="Arial" w:hAnsi="Arial" w:cs="Arial"/>
        </w:rPr>
        <w:t>Other key auction procedures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_Toc343780466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44</w:t>
      </w:r>
      <w:r w:rsidR="00724CDB" w:rsidRPr="00080443">
        <w:rPr>
          <w:rFonts w:ascii="Arial" w:hAnsi="Arial" w:cs="Arial"/>
        </w:rPr>
        <w:fldChar w:fldCharType="end"/>
      </w:r>
    </w:p>
    <w:p w14:paraId="680246FF" w14:textId="77777777" w:rsidR="004D411C" w:rsidRPr="00080443" w:rsidRDefault="004D411C">
      <w:pPr>
        <w:pStyle w:val="TOC3"/>
        <w:tabs>
          <w:tab w:val="left" w:pos="885"/>
        </w:tabs>
        <w:rPr>
          <w:rFonts w:eastAsiaTheme="minorEastAsia" w:cs="Arial"/>
          <w:color w:val="auto"/>
        </w:rPr>
      </w:pPr>
      <w:r w:rsidRPr="00080443">
        <w:rPr>
          <w:rFonts w:cs="Arial"/>
        </w:rPr>
        <w:t>3.2.1</w:t>
      </w:r>
      <w:r w:rsidRPr="00080443">
        <w:rPr>
          <w:rFonts w:eastAsiaTheme="minorEastAsia" w:cs="Arial"/>
          <w:color w:val="auto"/>
        </w:rPr>
        <w:tab/>
      </w:r>
      <w:r w:rsidRPr="00080443">
        <w:rPr>
          <w:rFonts w:cs="Arial"/>
        </w:rPr>
        <w:t>Bidder registration</w:t>
      </w:r>
      <w:r w:rsidRPr="00080443">
        <w:rPr>
          <w:rFonts w:cs="Arial"/>
        </w:rPr>
        <w:tab/>
      </w:r>
      <w:r w:rsidR="00724CDB" w:rsidRPr="00080443">
        <w:rPr>
          <w:rFonts w:cs="Arial"/>
        </w:rPr>
        <w:fldChar w:fldCharType="begin"/>
      </w:r>
      <w:r w:rsidRPr="00080443">
        <w:rPr>
          <w:rFonts w:cs="Arial"/>
        </w:rPr>
        <w:instrText xml:space="preserve"> PAGEREF _Toc343780467 \h </w:instrText>
      </w:r>
      <w:r w:rsidR="00724CDB" w:rsidRPr="00080443">
        <w:rPr>
          <w:rFonts w:cs="Arial"/>
        </w:rPr>
      </w:r>
      <w:r w:rsidR="00724CDB" w:rsidRPr="00080443">
        <w:rPr>
          <w:rFonts w:cs="Arial"/>
        </w:rPr>
        <w:fldChar w:fldCharType="separate"/>
      </w:r>
      <w:r w:rsidR="00080443" w:rsidRPr="00080443">
        <w:rPr>
          <w:rFonts w:cs="Arial"/>
        </w:rPr>
        <w:t>44</w:t>
      </w:r>
      <w:r w:rsidR="00724CDB" w:rsidRPr="00080443">
        <w:rPr>
          <w:rFonts w:cs="Arial"/>
        </w:rPr>
        <w:fldChar w:fldCharType="end"/>
      </w:r>
    </w:p>
    <w:p w14:paraId="3A6A8751" w14:textId="77777777" w:rsidR="004D411C" w:rsidRPr="00080443" w:rsidRDefault="004D411C">
      <w:pPr>
        <w:pStyle w:val="TOC3"/>
        <w:tabs>
          <w:tab w:val="left" w:pos="885"/>
        </w:tabs>
        <w:rPr>
          <w:rFonts w:eastAsiaTheme="minorEastAsia" w:cs="Arial"/>
          <w:color w:val="auto"/>
        </w:rPr>
      </w:pPr>
      <w:r w:rsidRPr="00080443">
        <w:rPr>
          <w:rFonts w:cs="Arial"/>
        </w:rPr>
        <w:t>3.2.2</w:t>
      </w:r>
      <w:r w:rsidRPr="00080443">
        <w:rPr>
          <w:rFonts w:eastAsiaTheme="minorEastAsia" w:cs="Arial"/>
          <w:color w:val="auto"/>
        </w:rPr>
        <w:tab/>
      </w:r>
      <w:r w:rsidRPr="00080443">
        <w:rPr>
          <w:rFonts w:cs="Arial"/>
        </w:rPr>
        <w:t>Withdrawal from the auction</w:t>
      </w:r>
      <w:r w:rsidRPr="00080443">
        <w:rPr>
          <w:rFonts w:cs="Arial"/>
        </w:rPr>
        <w:tab/>
      </w:r>
      <w:r w:rsidR="00724CDB" w:rsidRPr="00080443">
        <w:rPr>
          <w:rFonts w:cs="Arial"/>
        </w:rPr>
        <w:fldChar w:fldCharType="begin"/>
      </w:r>
      <w:r w:rsidRPr="00080443">
        <w:rPr>
          <w:rFonts w:cs="Arial"/>
        </w:rPr>
        <w:instrText xml:space="preserve"> PAGEREF _Toc343780468 \h </w:instrText>
      </w:r>
      <w:r w:rsidR="00724CDB" w:rsidRPr="00080443">
        <w:rPr>
          <w:rFonts w:cs="Arial"/>
        </w:rPr>
      </w:r>
      <w:r w:rsidR="00724CDB" w:rsidRPr="00080443">
        <w:rPr>
          <w:rFonts w:cs="Arial"/>
        </w:rPr>
        <w:fldChar w:fldCharType="separate"/>
      </w:r>
      <w:r w:rsidR="00080443" w:rsidRPr="00080443">
        <w:rPr>
          <w:rFonts w:cs="Arial"/>
        </w:rPr>
        <w:t>44</w:t>
      </w:r>
      <w:r w:rsidR="00724CDB" w:rsidRPr="00080443">
        <w:rPr>
          <w:rFonts w:cs="Arial"/>
        </w:rPr>
        <w:fldChar w:fldCharType="end"/>
      </w:r>
    </w:p>
    <w:p w14:paraId="23D610BC" w14:textId="77777777" w:rsidR="004D411C" w:rsidRPr="00080443" w:rsidRDefault="004D411C">
      <w:pPr>
        <w:pStyle w:val="TOC3"/>
        <w:tabs>
          <w:tab w:val="left" w:pos="885"/>
        </w:tabs>
        <w:rPr>
          <w:rFonts w:eastAsiaTheme="minorEastAsia" w:cs="Arial"/>
          <w:color w:val="auto"/>
        </w:rPr>
      </w:pPr>
      <w:r w:rsidRPr="00080443">
        <w:rPr>
          <w:rFonts w:cs="Arial"/>
        </w:rPr>
        <w:t>3.2.3</w:t>
      </w:r>
      <w:r w:rsidRPr="00080443">
        <w:rPr>
          <w:rFonts w:eastAsiaTheme="minorEastAsia" w:cs="Arial"/>
          <w:color w:val="auto"/>
        </w:rPr>
        <w:tab/>
      </w:r>
      <w:r w:rsidRPr="00080443">
        <w:rPr>
          <w:rFonts w:cs="Arial"/>
        </w:rPr>
        <w:t>Lot ratings</w:t>
      </w:r>
      <w:r w:rsidRPr="00080443">
        <w:rPr>
          <w:rFonts w:cs="Arial"/>
        </w:rPr>
        <w:tab/>
      </w:r>
      <w:r w:rsidR="00724CDB" w:rsidRPr="00080443">
        <w:rPr>
          <w:rFonts w:cs="Arial"/>
        </w:rPr>
        <w:fldChar w:fldCharType="begin"/>
      </w:r>
      <w:r w:rsidRPr="00080443">
        <w:rPr>
          <w:rFonts w:cs="Arial"/>
        </w:rPr>
        <w:instrText xml:space="preserve"> PAGEREF _Toc343780469 \h </w:instrText>
      </w:r>
      <w:r w:rsidR="00724CDB" w:rsidRPr="00080443">
        <w:rPr>
          <w:rFonts w:cs="Arial"/>
        </w:rPr>
      </w:r>
      <w:r w:rsidR="00724CDB" w:rsidRPr="00080443">
        <w:rPr>
          <w:rFonts w:cs="Arial"/>
        </w:rPr>
        <w:fldChar w:fldCharType="separate"/>
      </w:r>
      <w:r w:rsidR="00080443" w:rsidRPr="00080443">
        <w:rPr>
          <w:rFonts w:cs="Arial"/>
        </w:rPr>
        <w:t>44</w:t>
      </w:r>
      <w:r w:rsidR="00724CDB" w:rsidRPr="00080443">
        <w:rPr>
          <w:rFonts w:cs="Arial"/>
        </w:rPr>
        <w:fldChar w:fldCharType="end"/>
      </w:r>
    </w:p>
    <w:p w14:paraId="664CBBC2" w14:textId="77777777" w:rsidR="004D411C" w:rsidRPr="00080443" w:rsidRDefault="004D411C">
      <w:pPr>
        <w:pStyle w:val="TOC3"/>
        <w:tabs>
          <w:tab w:val="left" w:pos="885"/>
        </w:tabs>
        <w:rPr>
          <w:rFonts w:eastAsiaTheme="minorEastAsia" w:cs="Arial"/>
          <w:color w:val="auto"/>
        </w:rPr>
      </w:pPr>
      <w:r w:rsidRPr="00080443">
        <w:rPr>
          <w:rFonts w:cs="Arial"/>
        </w:rPr>
        <w:t>3.2.4</w:t>
      </w:r>
      <w:r w:rsidRPr="00080443">
        <w:rPr>
          <w:rFonts w:eastAsiaTheme="minorEastAsia" w:cs="Arial"/>
          <w:color w:val="auto"/>
        </w:rPr>
        <w:tab/>
      </w:r>
      <w:r w:rsidRPr="00080443">
        <w:rPr>
          <w:rFonts w:cs="Arial"/>
        </w:rPr>
        <w:t>Initial (reserve) prices</w:t>
      </w:r>
      <w:r w:rsidRPr="00080443">
        <w:rPr>
          <w:rFonts w:cs="Arial"/>
        </w:rPr>
        <w:tab/>
      </w:r>
      <w:r w:rsidR="00724CDB" w:rsidRPr="00080443">
        <w:rPr>
          <w:rFonts w:cs="Arial"/>
        </w:rPr>
        <w:fldChar w:fldCharType="begin"/>
      </w:r>
      <w:r w:rsidRPr="00080443">
        <w:rPr>
          <w:rFonts w:cs="Arial"/>
        </w:rPr>
        <w:instrText xml:space="preserve"> PAGEREF _Toc343780470 \h </w:instrText>
      </w:r>
      <w:r w:rsidR="00724CDB" w:rsidRPr="00080443">
        <w:rPr>
          <w:rFonts w:cs="Arial"/>
        </w:rPr>
      </w:r>
      <w:r w:rsidR="00724CDB" w:rsidRPr="00080443">
        <w:rPr>
          <w:rFonts w:cs="Arial"/>
        </w:rPr>
        <w:fldChar w:fldCharType="separate"/>
      </w:r>
      <w:r w:rsidR="00080443" w:rsidRPr="00080443">
        <w:rPr>
          <w:rFonts w:cs="Arial"/>
        </w:rPr>
        <w:t>45</w:t>
      </w:r>
      <w:r w:rsidR="00724CDB" w:rsidRPr="00080443">
        <w:rPr>
          <w:rFonts w:cs="Arial"/>
        </w:rPr>
        <w:fldChar w:fldCharType="end"/>
      </w:r>
    </w:p>
    <w:p w14:paraId="28CBFBE9" w14:textId="77777777" w:rsidR="004D411C" w:rsidRPr="00080443" w:rsidRDefault="004D411C">
      <w:pPr>
        <w:pStyle w:val="TOC3"/>
        <w:tabs>
          <w:tab w:val="left" w:pos="885"/>
        </w:tabs>
        <w:rPr>
          <w:rFonts w:eastAsiaTheme="minorEastAsia" w:cs="Arial"/>
          <w:color w:val="auto"/>
        </w:rPr>
      </w:pPr>
      <w:r w:rsidRPr="00080443">
        <w:rPr>
          <w:rFonts w:cs="Arial"/>
        </w:rPr>
        <w:t>3.2.5</w:t>
      </w:r>
      <w:r w:rsidRPr="00080443">
        <w:rPr>
          <w:rFonts w:eastAsiaTheme="minorEastAsia" w:cs="Arial"/>
          <w:color w:val="auto"/>
        </w:rPr>
        <w:tab/>
      </w:r>
      <w:r w:rsidRPr="00080443">
        <w:rPr>
          <w:rFonts w:cs="Arial"/>
        </w:rPr>
        <w:t>Allocation limits</w:t>
      </w:r>
      <w:r w:rsidRPr="00080443">
        <w:rPr>
          <w:rFonts w:cs="Arial"/>
        </w:rPr>
        <w:tab/>
      </w:r>
      <w:r w:rsidR="00724CDB" w:rsidRPr="00080443">
        <w:rPr>
          <w:rFonts w:cs="Arial"/>
        </w:rPr>
        <w:fldChar w:fldCharType="begin"/>
      </w:r>
      <w:r w:rsidRPr="00080443">
        <w:rPr>
          <w:rFonts w:cs="Arial"/>
        </w:rPr>
        <w:instrText xml:space="preserve"> PAGEREF _Toc343780471 \h </w:instrText>
      </w:r>
      <w:r w:rsidR="00724CDB" w:rsidRPr="00080443">
        <w:rPr>
          <w:rFonts w:cs="Arial"/>
        </w:rPr>
      </w:r>
      <w:r w:rsidR="00724CDB" w:rsidRPr="00080443">
        <w:rPr>
          <w:rFonts w:cs="Arial"/>
        </w:rPr>
        <w:fldChar w:fldCharType="separate"/>
      </w:r>
      <w:r w:rsidR="00080443" w:rsidRPr="00080443">
        <w:rPr>
          <w:rFonts w:cs="Arial"/>
        </w:rPr>
        <w:t>46</w:t>
      </w:r>
      <w:r w:rsidR="00724CDB" w:rsidRPr="00080443">
        <w:rPr>
          <w:rFonts w:cs="Arial"/>
        </w:rPr>
        <w:fldChar w:fldCharType="end"/>
      </w:r>
    </w:p>
    <w:p w14:paraId="348BEBD8" w14:textId="77777777" w:rsidR="004D411C" w:rsidRPr="00080443" w:rsidRDefault="004D411C">
      <w:pPr>
        <w:pStyle w:val="TOC3"/>
        <w:tabs>
          <w:tab w:val="left" w:pos="885"/>
        </w:tabs>
        <w:rPr>
          <w:rFonts w:eastAsiaTheme="minorEastAsia" w:cs="Arial"/>
          <w:color w:val="auto"/>
        </w:rPr>
      </w:pPr>
      <w:r w:rsidRPr="00080443">
        <w:rPr>
          <w:rFonts w:cs="Arial"/>
        </w:rPr>
        <w:t>3.2.6</w:t>
      </w:r>
      <w:r w:rsidRPr="00080443">
        <w:rPr>
          <w:rFonts w:eastAsiaTheme="minorEastAsia" w:cs="Arial"/>
          <w:color w:val="auto"/>
        </w:rPr>
        <w:tab/>
      </w:r>
      <w:r w:rsidRPr="00080443">
        <w:rPr>
          <w:rFonts w:cs="Arial"/>
        </w:rPr>
        <w:t>Affiliations</w:t>
      </w:r>
      <w:r w:rsidRPr="00080443">
        <w:rPr>
          <w:rFonts w:cs="Arial"/>
        </w:rPr>
        <w:tab/>
      </w:r>
      <w:r w:rsidR="00724CDB" w:rsidRPr="00080443">
        <w:rPr>
          <w:rFonts w:cs="Arial"/>
        </w:rPr>
        <w:fldChar w:fldCharType="begin"/>
      </w:r>
      <w:r w:rsidRPr="00080443">
        <w:rPr>
          <w:rFonts w:cs="Arial"/>
        </w:rPr>
        <w:instrText xml:space="preserve"> PAGEREF _Toc343780472 \h </w:instrText>
      </w:r>
      <w:r w:rsidR="00724CDB" w:rsidRPr="00080443">
        <w:rPr>
          <w:rFonts w:cs="Arial"/>
        </w:rPr>
      </w:r>
      <w:r w:rsidR="00724CDB" w:rsidRPr="00080443">
        <w:rPr>
          <w:rFonts w:cs="Arial"/>
        </w:rPr>
        <w:fldChar w:fldCharType="separate"/>
      </w:r>
      <w:r w:rsidR="00080443" w:rsidRPr="00080443">
        <w:rPr>
          <w:rFonts w:cs="Arial"/>
        </w:rPr>
        <w:t>46</w:t>
      </w:r>
      <w:r w:rsidR="00724CDB" w:rsidRPr="00080443">
        <w:rPr>
          <w:rFonts w:cs="Arial"/>
        </w:rPr>
        <w:fldChar w:fldCharType="end"/>
      </w:r>
    </w:p>
    <w:p w14:paraId="76E37AE8" w14:textId="77777777" w:rsidR="004D411C" w:rsidRPr="00080443" w:rsidRDefault="004D411C">
      <w:pPr>
        <w:pStyle w:val="TOC3"/>
        <w:tabs>
          <w:tab w:val="left" w:pos="885"/>
        </w:tabs>
        <w:rPr>
          <w:rFonts w:eastAsiaTheme="minorEastAsia" w:cs="Arial"/>
          <w:color w:val="auto"/>
        </w:rPr>
      </w:pPr>
      <w:r w:rsidRPr="00080443">
        <w:rPr>
          <w:rFonts w:cs="Arial"/>
        </w:rPr>
        <w:t>3.2.7</w:t>
      </w:r>
      <w:r w:rsidRPr="00080443">
        <w:rPr>
          <w:rFonts w:eastAsiaTheme="minorEastAsia" w:cs="Arial"/>
          <w:color w:val="auto"/>
        </w:rPr>
        <w:tab/>
      </w:r>
      <w:r w:rsidRPr="00080443">
        <w:rPr>
          <w:rFonts w:cs="Arial"/>
        </w:rPr>
        <w:t>Confidentiality</w:t>
      </w:r>
      <w:r w:rsidRPr="00080443">
        <w:rPr>
          <w:rFonts w:cs="Arial"/>
        </w:rPr>
        <w:tab/>
      </w:r>
      <w:r w:rsidR="00724CDB" w:rsidRPr="00080443">
        <w:rPr>
          <w:rFonts w:cs="Arial"/>
        </w:rPr>
        <w:fldChar w:fldCharType="begin"/>
      </w:r>
      <w:r w:rsidRPr="00080443">
        <w:rPr>
          <w:rFonts w:cs="Arial"/>
        </w:rPr>
        <w:instrText xml:space="preserve"> PAGEREF _Toc343780473 \h </w:instrText>
      </w:r>
      <w:r w:rsidR="00724CDB" w:rsidRPr="00080443">
        <w:rPr>
          <w:rFonts w:cs="Arial"/>
        </w:rPr>
      </w:r>
      <w:r w:rsidR="00724CDB" w:rsidRPr="00080443">
        <w:rPr>
          <w:rFonts w:cs="Arial"/>
        </w:rPr>
        <w:fldChar w:fldCharType="separate"/>
      </w:r>
      <w:r w:rsidR="00080443" w:rsidRPr="00080443">
        <w:rPr>
          <w:rFonts w:cs="Arial"/>
        </w:rPr>
        <w:t>47</w:t>
      </w:r>
      <w:r w:rsidR="00724CDB" w:rsidRPr="00080443">
        <w:rPr>
          <w:rFonts w:cs="Arial"/>
        </w:rPr>
        <w:fldChar w:fldCharType="end"/>
      </w:r>
    </w:p>
    <w:p w14:paraId="0FEF1464" w14:textId="77777777" w:rsidR="004D411C" w:rsidRPr="00080443" w:rsidRDefault="004D411C">
      <w:pPr>
        <w:pStyle w:val="TOC3"/>
        <w:tabs>
          <w:tab w:val="left" w:pos="885"/>
        </w:tabs>
        <w:rPr>
          <w:rFonts w:eastAsiaTheme="minorEastAsia" w:cs="Arial"/>
          <w:color w:val="auto"/>
        </w:rPr>
      </w:pPr>
      <w:r w:rsidRPr="00080443">
        <w:rPr>
          <w:rFonts w:cs="Arial"/>
        </w:rPr>
        <w:t>3.2.8</w:t>
      </w:r>
      <w:r w:rsidRPr="00080443">
        <w:rPr>
          <w:rFonts w:eastAsiaTheme="minorEastAsia" w:cs="Arial"/>
          <w:color w:val="auto"/>
        </w:rPr>
        <w:tab/>
      </w:r>
      <w:r w:rsidRPr="00080443">
        <w:rPr>
          <w:rFonts w:cs="Arial"/>
        </w:rPr>
        <w:t>Breaches of the auction procedures</w:t>
      </w:r>
      <w:r w:rsidRPr="00080443">
        <w:rPr>
          <w:rFonts w:cs="Arial"/>
        </w:rPr>
        <w:tab/>
      </w:r>
      <w:r w:rsidR="00724CDB" w:rsidRPr="00080443">
        <w:rPr>
          <w:rFonts w:cs="Arial"/>
        </w:rPr>
        <w:fldChar w:fldCharType="begin"/>
      </w:r>
      <w:r w:rsidRPr="00080443">
        <w:rPr>
          <w:rFonts w:cs="Arial"/>
        </w:rPr>
        <w:instrText xml:space="preserve"> PAGEREF _Toc343780474 \h </w:instrText>
      </w:r>
      <w:r w:rsidR="00724CDB" w:rsidRPr="00080443">
        <w:rPr>
          <w:rFonts w:cs="Arial"/>
        </w:rPr>
      </w:r>
      <w:r w:rsidR="00724CDB" w:rsidRPr="00080443">
        <w:rPr>
          <w:rFonts w:cs="Arial"/>
        </w:rPr>
        <w:fldChar w:fldCharType="separate"/>
      </w:r>
      <w:r w:rsidR="00080443" w:rsidRPr="00080443">
        <w:rPr>
          <w:rFonts w:cs="Arial"/>
        </w:rPr>
        <w:t>48</w:t>
      </w:r>
      <w:r w:rsidR="00724CDB" w:rsidRPr="00080443">
        <w:rPr>
          <w:rFonts w:cs="Arial"/>
        </w:rPr>
        <w:fldChar w:fldCharType="end"/>
      </w:r>
    </w:p>
    <w:p w14:paraId="61EDE86A" w14:textId="77777777" w:rsidR="004D411C" w:rsidRPr="00080443" w:rsidRDefault="004D411C">
      <w:pPr>
        <w:pStyle w:val="TOC3"/>
        <w:tabs>
          <w:tab w:val="left" w:pos="885"/>
        </w:tabs>
        <w:rPr>
          <w:rFonts w:eastAsiaTheme="minorEastAsia" w:cs="Arial"/>
          <w:color w:val="auto"/>
        </w:rPr>
      </w:pPr>
      <w:r w:rsidRPr="00080443">
        <w:rPr>
          <w:rFonts w:cs="Arial"/>
        </w:rPr>
        <w:t>3.2.9</w:t>
      </w:r>
      <w:r w:rsidRPr="00080443">
        <w:rPr>
          <w:rFonts w:eastAsiaTheme="minorEastAsia" w:cs="Arial"/>
          <w:color w:val="auto"/>
        </w:rPr>
        <w:tab/>
      </w:r>
      <w:r w:rsidRPr="00080443">
        <w:rPr>
          <w:rFonts w:cs="Arial"/>
        </w:rPr>
        <w:t>Procedures if there is only one bidder</w:t>
      </w:r>
      <w:r w:rsidRPr="00080443">
        <w:rPr>
          <w:rFonts w:cs="Arial"/>
        </w:rPr>
        <w:tab/>
      </w:r>
      <w:r w:rsidR="00724CDB" w:rsidRPr="00080443">
        <w:rPr>
          <w:rFonts w:cs="Arial"/>
        </w:rPr>
        <w:fldChar w:fldCharType="begin"/>
      </w:r>
      <w:r w:rsidRPr="00080443">
        <w:rPr>
          <w:rFonts w:cs="Arial"/>
        </w:rPr>
        <w:instrText xml:space="preserve"> PAGEREF _Toc343780475 \h </w:instrText>
      </w:r>
      <w:r w:rsidR="00724CDB" w:rsidRPr="00080443">
        <w:rPr>
          <w:rFonts w:cs="Arial"/>
        </w:rPr>
      </w:r>
      <w:r w:rsidR="00724CDB" w:rsidRPr="00080443">
        <w:rPr>
          <w:rFonts w:cs="Arial"/>
        </w:rPr>
        <w:fldChar w:fldCharType="separate"/>
      </w:r>
      <w:r w:rsidR="00080443" w:rsidRPr="00080443">
        <w:rPr>
          <w:rFonts w:cs="Arial"/>
        </w:rPr>
        <w:t>48</w:t>
      </w:r>
      <w:r w:rsidR="00724CDB" w:rsidRPr="00080443">
        <w:rPr>
          <w:rFonts w:cs="Arial"/>
        </w:rPr>
        <w:fldChar w:fldCharType="end"/>
      </w:r>
    </w:p>
    <w:p w14:paraId="7EFA0B29" w14:textId="77777777" w:rsidR="004D411C" w:rsidRPr="00080443" w:rsidRDefault="004D411C">
      <w:pPr>
        <w:pStyle w:val="TOC3"/>
        <w:tabs>
          <w:tab w:val="left" w:pos="885"/>
        </w:tabs>
        <w:rPr>
          <w:rFonts w:eastAsiaTheme="minorEastAsia" w:cs="Arial"/>
          <w:color w:val="auto"/>
        </w:rPr>
      </w:pPr>
      <w:r w:rsidRPr="00080443">
        <w:rPr>
          <w:rFonts w:cs="Arial"/>
        </w:rPr>
        <w:t>3.2.10</w:t>
      </w:r>
      <w:r w:rsidRPr="00080443">
        <w:rPr>
          <w:rFonts w:eastAsiaTheme="minorEastAsia" w:cs="Arial"/>
          <w:color w:val="auto"/>
        </w:rPr>
        <w:tab/>
      </w:r>
      <w:r w:rsidRPr="00080443">
        <w:rPr>
          <w:rFonts w:cs="Arial"/>
        </w:rPr>
        <w:t>Publication of auction results</w:t>
      </w:r>
      <w:r w:rsidRPr="00080443">
        <w:rPr>
          <w:rFonts w:cs="Arial"/>
        </w:rPr>
        <w:tab/>
      </w:r>
      <w:r w:rsidR="00724CDB" w:rsidRPr="00080443">
        <w:rPr>
          <w:rFonts w:cs="Arial"/>
        </w:rPr>
        <w:fldChar w:fldCharType="begin"/>
      </w:r>
      <w:r w:rsidRPr="00080443">
        <w:rPr>
          <w:rFonts w:cs="Arial"/>
        </w:rPr>
        <w:instrText xml:space="preserve"> PAGEREF _Toc343780476 \h </w:instrText>
      </w:r>
      <w:r w:rsidR="00724CDB" w:rsidRPr="00080443">
        <w:rPr>
          <w:rFonts w:cs="Arial"/>
        </w:rPr>
      </w:r>
      <w:r w:rsidR="00724CDB" w:rsidRPr="00080443">
        <w:rPr>
          <w:rFonts w:cs="Arial"/>
        </w:rPr>
        <w:fldChar w:fldCharType="separate"/>
      </w:r>
      <w:r w:rsidR="00080443" w:rsidRPr="00080443">
        <w:rPr>
          <w:rFonts w:cs="Arial"/>
        </w:rPr>
        <w:t>48</w:t>
      </w:r>
      <w:r w:rsidR="00724CDB" w:rsidRPr="00080443">
        <w:rPr>
          <w:rFonts w:cs="Arial"/>
        </w:rPr>
        <w:fldChar w:fldCharType="end"/>
      </w:r>
    </w:p>
    <w:p w14:paraId="598B303C" w14:textId="77777777" w:rsidR="004D411C" w:rsidRPr="00080443" w:rsidRDefault="004D411C">
      <w:pPr>
        <w:pStyle w:val="TOC3"/>
        <w:tabs>
          <w:tab w:val="left" w:pos="885"/>
        </w:tabs>
        <w:rPr>
          <w:rFonts w:eastAsiaTheme="minorEastAsia" w:cs="Arial"/>
          <w:color w:val="auto"/>
        </w:rPr>
      </w:pPr>
      <w:r w:rsidRPr="00080443">
        <w:rPr>
          <w:rFonts w:cs="Arial"/>
        </w:rPr>
        <w:t>3.2.11</w:t>
      </w:r>
      <w:r w:rsidRPr="00080443">
        <w:rPr>
          <w:rFonts w:eastAsiaTheme="minorEastAsia" w:cs="Arial"/>
          <w:color w:val="auto"/>
        </w:rPr>
        <w:tab/>
      </w:r>
      <w:r w:rsidRPr="00080443">
        <w:rPr>
          <w:rFonts w:cs="Arial"/>
        </w:rPr>
        <w:t>Payment of winning prices and issue of licences</w:t>
      </w:r>
      <w:r w:rsidRPr="00080443">
        <w:rPr>
          <w:rFonts w:cs="Arial"/>
        </w:rPr>
        <w:tab/>
      </w:r>
      <w:r w:rsidR="00724CDB" w:rsidRPr="00080443">
        <w:rPr>
          <w:rFonts w:cs="Arial"/>
        </w:rPr>
        <w:fldChar w:fldCharType="begin"/>
      </w:r>
      <w:r w:rsidRPr="00080443">
        <w:rPr>
          <w:rFonts w:cs="Arial"/>
        </w:rPr>
        <w:instrText xml:space="preserve"> PAGEREF _Toc343780477 \h </w:instrText>
      </w:r>
      <w:r w:rsidR="00724CDB" w:rsidRPr="00080443">
        <w:rPr>
          <w:rFonts w:cs="Arial"/>
        </w:rPr>
      </w:r>
      <w:r w:rsidR="00724CDB" w:rsidRPr="00080443">
        <w:rPr>
          <w:rFonts w:cs="Arial"/>
        </w:rPr>
        <w:fldChar w:fldCharType="separate"/>
      </w:r>
      <w:r w:rsidR="00080443" w:rsidRPr="00080443">
        <w:rPr>
          <w:rFonts w:cs="Arial"/>
        </w:rPr>
        <w:t>49</w:t>
      </w:r>
      <w:r w:rsidR="00724CDB" w:rsidRPr="00080443">
        <w:rPr>
          <w:rFonts w:cs="Arial"/>
        </w:rPr>
        <w:fldChar w:fldCharType="end"/>
      </w:r>
    </w:p>
    <w:p w14:paraId="4BC64FE1" w14:textId="77777777" w:rsidR="004D411C" w:rsidRPr="00080443" w:rsidRDefault="004D411C">
      <w:pPr>
        <w:pStyle w:val="TOC3"/>
        <w:tabs>
          <w:tab w:val="left" w:pos="885"/>
        </w:tabs>
        <w:rPr>
          <w:rFonts w:eastAsiaTheme="minorEastAsia" w:cs="Arial"/>
          <w:color w:val="auto"/>
        </w:rPr>
      </w:pPr>
      <w:r w:rsidRPr="00080443">
        <w:rPr>
          <w:rFonts w:cs="Arial"/>
        </w:rPr>
        <w:t>3.2.12</w:t>
      </w:r>
      <w:r w:rsidRPr="00080443">
        <w:rPr>
          <w:rFonts w:eastAsiaTheme="minorEastAsia" w:cs="Arial"/>
          <w:color w:val="auto"/>
        </w:rPr>
        <w:tab/>
      </w:r>
      <w:r w:rsidRPr="00080443">
        <w:rPr>
          <w:rFonts w:cs="Arial"/>
        </w:rPr>
        <w:t>Refunds</w:t>
      </w:r>
      <w:r w:rsidRPr="00080443">
        <w:rPr>
          <w:rFonts w:cs="Arial"/>
        </w:rPr>
        <w:tab/>
      </w:r>
      <w:r w:rsidR="00724CDB" w:rsidRPr="00080443">
        <w:rPr>
          <w:rFonts w:cs="Arial"/>
        </w:rPr>
        <w:fldChar w:fldCharType="begin"/>
      </w:r>
      <w:r w:rsidRPr="00080443">
        <w:rPr>
          <w:rFonts w:cs="Arial"/>
        </w:rPr>
        <w:instrText xml:space="preserve"> PAGEREF _Toc343780478 \h </w:instrText>
      </w:r>
      <w:r w:rsidR="00724CDB" w:rsidRPr="00080443">
        <w:rPr>
          <w:rFonts w:cs="Arial"/>
        </w:rPr>
      </w:r>
      <w:r w:rsidR="00724CDB" w:rsidRPr="00080443">
        <w:rPr>
          <w:rFonts w:cs="Arial"/>
        </w:rPr>
        <w:fldChar w:fldCharType="separate"/>
      </w:r>
      <w:r w:rsidR="00080443" w:rsidRPr="00080443">
        <w:rPr>
          <w:rFonts w:cs="Arial"/>
        </w:rPr>
        <w:t>49</w:t>
      </w:r>
      <w:r w:rsidR="00724CDB" w:rsidRPr="00080443">
        <w:rPr>
          <w:rFonts w:cs="Arial"/>
        </w:rPr>
        <w:fldChar w:fldCharType="end"/>
      </w:r>
    </w:p>
    <w:p w14:paraId="11F33BAA" w14:textId="77777777" w:rsidR="004D411C" w:rsidRPr="00080443" w:rsidRDefault="004D411C">
      <w:pPr>
        <w:pStyle w:val="TOC3"/>
        <w:tabs>
          <w:tab w:val="left" w:pos="885"/>
        </w:tabs>
        <w:rPr>
          <w:rFonts w:eastAsiaTheme="minorEastAsia" w:cs="Arial"/>
          <w:color w:val="auto"/>
        </w:rPr>
      </w:pPr>
      <w:r w:rsidRPr="00080443">
        <w:rPr>
          <w:rFonts w:cs="Arial"/>
        </w:rPr>
        <w:t>3.2.13</w:t>
      </w:r>
      <w:r w:rsidRPr="00080443">
        <w:rPr>
          <w:rFonts w:eastAsiaTheme="minorEastAsia" w:cs="Arial"/>
          <w:color w:val="auto"/>
        </w:rPr>
        <w:tab/>
      </w:r>
      <w:r w:rsidRPr="00080443">
        <w:rPr>
          <w:rFonts w:cs="Arial"/>
        </w:rPr>
        <w:t>Unallocated spectrum</w:t>
      </w:r>
      <w:r w:rsidRPr="00080443">
        <w:rPr>
          <w:rFonts w:cs="Arial"/>
        </w:rPr>
        <w:tab/>
      </w:r>
      <w:r w:rsidR="00724CDB" w:rsidRPr="00080443">
        <w:rPr>
          <w:rFonts w:cs="Arial"/>
        </w:rPr>
        <w:fldChar w:fldCharType="begin"/>
      </w:r>
      <w:r w:rsidRPr="00080443">
        <w:rPr>
          <w:rFonts w:cs="Arial"/>
        </w:rPr>
        <w:instrText xml:space="preserve"> PAGEREF _Toc343780479 \h </w:instrText>
      </w:r>
      <w:r w:rsidR="00724CDB" w:rsidRPr="00080443">
        <w:rPr>
          <w:rFonts w:cs="Arial"/>
        </w:rPr>
      </w:r>
      <w:r w:rsidR="00724CDB" w:rsidRPr="00080443">
        <w:rPr>
          <w:rFonts w:cs="Arial"/>
        </w:rPr>
        <w:fldChar w:fldCharType="separate"/>
      </w:r>
      <w:r w:rsidR="00080443" w:rsidRPr="00080443">
        <w:rPr>
          <w:rFonts w:cs="Arial"/>
        </w:rPr>
        <w:t>49</w:t>
      </w:r>
      <w:r w:rsidR="00724CDB" w:rsidRPr="00080443">
        <w:rPr>
          <w:rFonts w:cs="Arial"/>
        </w:rPr>
        <w:fldChar w:fldCharType="end"/>
      </w:r>
    </w:p>
    <w:p w14:paraId="3B44A2D4" w14:textId="77777777" w:rsidR="004D411C" w:rsidRPr="00080443" w:rsidRDefault="004D411C">
      <w:pPr>
        <w:pStyle w:val="TOC3"/>
        <w:tabs>
          <w:tab w:val="left" w:pos="885"/>
        </w:tabs>
        <w:rPr>
          <w:rFonts w:eastAsiaTheme="minorEastAsia" w:cs="Arial"/>
          <w:color w:val="auto"/>
        </w:rPr>
      </w:pPr>
      <w:r w:rsidRPr="00080443">
        <w:rPr>
          <w:rFonts w:cs="Arial"/>
        </w:rPr>
        <w:t>3.2.14</w:t>
      </w:r>
      <w:r w:rsidRPr="00080443">
        <w:rPr>
          <w:rFonts w:eastAsiaTheme="minorEastAsia" w:cs="Arial"/>
          <w:color w:val="auto"/>
        </w:rPr>
        <w:tab/>
      </w:r>
      <w:r w:rsidRPr="00080443">
        <w:rPr>
          <w:rFonts w:cs="Arial"/>
        </w:rPr>
        <w:t>Auction manager</w:t>
      </w:r>
      <w:r w:rsidRPr="00080443">
        <w:rPr>
          <w:rFonts w:cs="Arial"/>
        </w:rPr>
        <w:tab/>
      </w:r>
      <w:r w:rsidR="00724CDB" w:rsidRPr="00080443">
        <w:rPr>
          <w:rFonts w:cs="Arial"/>
        </w:rPr>
        <w:fldChar w:fldCharType="begin"/>
      </w:r>
      <w:r w:rsidRPr="00080443">
        <w:rPr>
          <w:rFonts w:cs="Arial"/>
        </w:rPr>
        <w:instrText xml:space="preserve"> PAGEREF _Toc343780480 \h </w:instrText>
      </w:r>
      <w:r w:rsidR="00724CDB" w:rsidRPr="00080443">
        <w:rPr>
          <w:rFonts w:cs="Arial"/>
        </w:rPr>
      </w:r>
      <w:r w:rsidR="00724CDB" w:rsidRPr="00080443">
        <w:rPr>
          <w:rFonts w:cs="Arial"/>
        </w:rPr>
        <w:fldChar w:fldCharType="separate"/>
      </w:r>
      <w:r w:rsidR="00080443" w:rsidRPr="00080443">
        <w:rPr>
          <w:rFonts w:cs="Arial"/>
        </w:rPr>
        <w:t>49</w:t>
      </w:r>
      <w:r w:rsidR="00724CDB" w:rsidRPr="00080443">
        <w:rPr>
          <w:rFonts w:cs="Arial"/>
        </w:rPr>
        <w:fldChar w:fldCharType="end"/>
      </w:r>
    </w:p>
    <w:p w14:paraId="53277016" w14:textId="77777777" w:rsidR="004D411C" w:rsidRPr="00080443" w:rsidRDefault="004D411C">
      <w:pPr>
        <w:pStyle w:val="TOC3"/>
        <w:tabs>
          <w:tab w:val="left" w:pos="885"/>
        </w:tabs>
        <w:rPr>
          <w:rFonts w:eastAsiaTheme="minorEastAsia" w:cs="Arial"/>
          <w:color w:val="auto"/>
        </w:rPr>
      </w:pPr>
      <w:r w:rsidRPr="00080443">
        <w:rPr>
          <w:rFonts w:cs="Arial"/>
        </w:rPr>
        <w:t>3.2.15</w:t>
      </w:r>
      <w:r w:rsidRPr="00080443">
        <w:rPr>
          <w:rFonts w:eastAsiaTheme="minorEastAsia" w:cs="Arial"/>
          <w:color w:val="auto"/>
        </w:rPr>
        <w:tab/>
      </w:r>
      <w:r w:rsidRPr="00080443">
        <w:rPr>
          <w:rFonts w:cs="Arial"/>
        </w:rPr>
        <w:t>Communicating with the auction manager</w:t>
      </w:r>
      <w:r w:rsidRPr="00080443">
        <w:rPr>
          <w:rFonts w:cs="Arial"/>
        </w:rPr>
        <w:tab/>
      </w:r>
      <w:r w:rsidR="00724CDB" w:rsidRPr="00080443">
        <w:rPr>
          <w:rFonts w:cs="Arial"/>
        </w:rPr>
        <w:fldChar w:fldCharType="begin"/>
      </w:r>
      <w:r w:rsidRPr="00080443">
        <w:rPr>
          <w:rFonts w:cs="Arial"/>
        </w:rPr>
        <w:instrText xml:space="preserve"> PAGEREF _Toc343780481 \h </w:instrText>
      </w:r>
      <w:r w:rsidR="00724CDB" w:rsidRPr="00080443">
        <w:rPr>
          <w:rFonts w:cs="Arial"/>
        </w:rPr>
      </w:r>
      <w:r w:rsidR="00724CDB" w:rsidRPr="00080443">
        <w:rPr>
          <w:rFonts w:cs="Arial"/>
        </w:rPr>
        <w:fldChar w:fldCharType="separate"/>
      </w:r>
      <w:r w:rsidR="00080443" w:rsidRPr="00080443">
        <w:rPr>
          <w:rFonts w:cs="Arial"/>
        </w:rPr>
        <w:t>50</w:t>
      </w:r>
      <w:r w:rsidR="00724CDB" w:rsidRPr="00080443">
        <w:rPr>
          <w:rFonts w:cs="Arial"/>
        </w:rPr>
        <w:fldChar w:fldCharType="end"/>
      </w:r>
    </w:p>
    <w:p w14:paraId="2B03EA5D"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3.3</w:t>
      </w:r>
      <w:r w:rsidRPr="00080443">
        <w:rPr>
          <w:rFonts w:ascii="Arial" w:eastAsiaTheme="minorEastAsia" w:hAnsi="Arial" w:cs="Arial"/>
          <w:color w:val="auto"/>
          <w:spacing w:val="0"/>
          <w:sz w:val="22"/>
          <w:szCs w:val="22"/>
        </w:rPr>
        <w:tab/>
      </w:r>
      <w:r w:rsidRPr="00080443">
        <w:rPr>
          <w:rFonts w:ascii="Arial" w:hAnsi="Arial" w:cs="Arial"/>
        </w:rPr>
        <w:t>Online auction system</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_Toc343780482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50</w:t>
      </w:r>
      <w:r w:rsidR="00724CDB" w:rsidRPr="00080443">
        <w:rPr>
          <w:rFonts w:ascii="Arial" w:hAnsi="Arial" w:cs="Arial"/>
        </w:rPr>
        <w:fldChar w:fldCharType="end"/>
      </w:r>
    </w:p>
    <w:p w14:paraId="5042BA9D" w14:textId="77777777" w:rsidR="004D411C" w:rsidRPr="00080443" w:rsidRDefault="004D411C">
      <w:pPr>
        <w:pStyle w:val="TOC3"/>
        <w:tabs>
          <w:tab w:val="left" w:pos="885"/>
        </w:tabs>
        <w:rPr>
          <w:rFonts w:eastAsiaTheme="minorEastAsia" w:cs="Arial"/>
          <w:color w:val="auto"/>
        </w:rPr>
      </w:pPr>
      <w:r w:rsidRPr="00080443">
        <w:rPr>
          <w:rFonts w:cs="Arial"/>
        </w:rPr>
        <w:t>3.3.1</w:t>
      </w:r>
      <w:r w:rsidRPr="00080443">
        <w:rPr>
          <w:rFonts w:eastAsiaTheme="minorEastAsia" w:cs="Arial"/>
          <w:color w:val="auto"/>
        </w:rPr>
        <w:tab/>
      </w:r>
      <w:r w:rsidRPr="00080443">
        <w:rPr>
          <w:rFonts w:cs="Arial"/>
        </w:rPr>
        <w:t>Accessing and using the auction system</w:t>
      </w:r>
      <w:r w:rsidRPr="00080443">
        <w:rPr>
          <w:rFonts w:cs="Arial"/>
        </w:rPr>
        <w:tab/>
      </w:r>
      <w:r w:rsidR="00724CDB" w:rsidRPr="00080443">
        <w:rPr>
          <w:rFonts w:cs="Arial"/>
        </w:rPr>
        <w:fldChar w:fldCharType="begin"/>
      </w:r>
      <w:r w:rsidRPr="00080443">
        <w:rPr>
          <w:rFonts w:cs="Arial"/>
        </w:rPr>
        <w:instrText xml:space="preserve"> PAGEREF _Toc343780483 \h </w:instrText>
      </w:r>
      <w:r w:rsidR="00724CDB" w:rsidRPr="00080443">
        <w:rPr>
          <w:rFonts w:cs="Arial"/>
        </w:rPr>
      </w:r>
      <w:r w:rsidR="00724CDB" w:rsidRPr="00080443">
        <w:rPr>
          <w:rFonts w:cs="Arial"/>
        </w:rPr>
        <w:fldChar w:fldCharType="separate"/>
      </w:r>
      <w:r w:rsidR="00080443" w:rsidRPr="00080443">
        <w:rPr>
          <w:rFonts w:cs="Arial"/>
        </w:rPr>
        <w:t>51</w:t>
      </w:r>
      <w:r w:rsidR="00724CDB" w:rsidRPr="00080443">
        <w:rPr>
          <w:rFonts w:cs="Arial"/>
        </w:rPr>
        <w:fldChar w:fldCharType="end"/>
      </w:r>
    </w:p>
    <w:p w14:paraId="2AFE0828" w14:textId="77777777" w:rsidR="004D411C" w:rsidRPr="00080443" w:rsidRDefault="004D411C">
      <w:pPr>
        <w:pStyle w:val="TOC3"/>
        <w:tabs>
          <w:tab w:val="left" w:pos="885"/>
        </w:tabs>
        <w:rPr>
          <w:rFonts w:eastAsiaTheme="minorEastAsia" w:cs="Arial"/>
          <w:color w:val="auto"/>
        </w:rPr>
      </w:pPr>
      <w:r w:rsidRPr="00080443">
        <w:rPr>
          <w:rFonts w:cs="Arial"/>
        </w:rPr>
        <w:t>3.3.2</w:t>
      </w:r>
      <w:r w:rsidRPr="00080443">
        <w:rPr>
          <w:rFonts w:eastAsiaTheme="minorEastAsia" w:cs="Arial"/>
          <w:color w:val="auto"/>
        </w:rPr>
        <w:tab/>
      </w:r>
      <w:r w:rsidRPr="00080443">
        <w:rPr>
          <w:rFonts w:cs="Arial"/>
        </w:rPr>
        <w:t>User system requirements</w:t>
      </w:r>
      <w:r w:rsidRPr="00080443">
        <w:rPr>
          <w:rFonts w:cs="Arial"/>
        </w:rPr>
        <w:tab/>
      </w:r>
      <w:r w:rsidR="00724CDB" w:rsidRPr="00080443">
        <w:rPr>
          <w:rFonts w:cs="Arial"/>
        </w:rPr>
        <w:fldChar w:fldCharType="begin"/>
      </w:r>
      <w:r w:rsidRPr="00080443">
        <w:rPr>
          <w:rFonts w:cs="Arial"/>
        </w:rPr>
        <w:instrText xml:space="preserve"> PAGEREF _Toc343780484 \h </w:instrText>
      </w:r>
      <w:r w:rsidR="00724CDB" w:rsidRPr="00080443">
        <w:rPr>
          <w:rFonts w:cs="Arial"/>
        </w:rPr>
      </w:r>
      <w:r w:rsidR="00724CDB" w:rsidRPr="00080443">
        <w:rPr>
          <w:rFonts w:cs="Arial"/>
        </w:rPr>
        <w:fldChar w:fldCharType="separate"/>
      </w:r>
      <w:r w:rsidR="00080443" w:rsidRPr="00080443">
        <w:rPr>
          <w:rFonts w:cs="Arial"/>
        </w:rPr>
        <w:t>51</w:t>
      </w:r>
      <w:r w:rsidR="00724CDB" w:rsidRPr="00080443">
        <w:rPr>
          <w:rFonts w:cs="Arial"/>
        </w:rPr>
        <w:fldChar w:fldCharType="end"/>
      </w:r>
    </w:p>
    <w:p w14:paraId="6E8BA851" w14:textId="77777777" w:rsidR="004D411C" w:rsidRPr="00080443" w:rsidRDefault="004D411C">
      <w:pPr>
        <w:pStyle w:val="TOC3"/>
        <w:tabs>
          <w:tab w:val="left" w:pos="885"/>
        </w:tabs>
        <w:rPr>
          <w:rFonts w:eastAsiaTheme="minorEastAsia" w:cs="Arial"/>
          <w:color w:val="auto"/>
        </w:rPr>
      </w:pPr>
      <w:r w:rsidRPr="00080443">
        <w:rPr>
          <w:rFonts w:cs="Arial"/>
        </w:rPr>
        <w:t>3.3.3</w:t>
      </w:r>
      <w:r w:rsidRPr="00080443">
        <w:rPr>
          <w:rFonts w:eastAsiaTheme="minorEastAsia" w:cs="Arial"/>
          <w:color w:val="auto"/>
        </w:rPr>
        <w:tab/>
      </w:r>
      <w:r w:rsidRPr="00080443">
        <w:rPr>
          <w:rFonts w:cs="Arial"/>
        </w:rPr>
        <w:t>Development of the auction system</w:t>
      </w:r>
      <w:r w:rsidRPr="00080443">
        <w:rPr>
          <w:rFonts w:cs="Arial"/>
        </w:rPr>
        <w:tab/>
      </w:r>
      <w:r w:rsidR="00724CDB" w:rsidRPr="00080443">
        <w:rPr>
          <w:rFonts w:cs="Arial"/>
        </w:rPr>
        <w:fldChar w:fldCharType="begin"/>
      </w:r>
      <w:r w:rsidRPr="00080443">
        <w:rPr>
          <w:rFonts w:cs="Arial"/>
        </w:rPr>
        <w:instrText xml:space="preserve"> PAGEREF _Toc343780485 \h </w:instrText>
      </w:r>
      <w:r w:rsidR="00724CDB" w:rsidRPr="00080443">
        <w:rPr>
          <w:rFonts w:cs="Arial"/>
        </w:rPr>
      </w:r>
      <w:r w:rsidR="00724CDB" w:rsidRPr="00080443">
        <w:rPr>
          <w:rFonts w:cs="Arial"/>
        </w:rPr>
        <w:fldChar w:fldCharType="separate"/>
      </w:r>
      <w:r w:rsidR="00080443" w:rsidRPr="00080443">
        <w:rPr>
          <w:rFonts w:cs="Arial"/>
        </w:rPr>
        <w:t>52</w:t>
      </w:r>
      <w:r w:rsidR="00724CDB" w:rsidRPr="00080443">
        <w:rPr>
          <w:rFonts w:cs="Arial"/>
        </w:rPr>
        <w:fldChar w:fldCharType="end"/>
      </w:r>
    </w:p>
    <w:p w14:paraId="7EC517B2" w14:textId="77777777" w:rsidR="004D411C" w:rsidRPr="00080443" w:rsidRDefault="004D411C" w:rsidP="00080443">
      <w:pPr>
        <w:pStyle w:val="TOC3"/>
        <w:tabs>
          <w:tab w:val="left" w:pos="885"/>
        </w:tabs>
        <w:ind w:left="885" w:hanging="885"/>
        <w:rPr>
          <w:rFonts w:eastAsiaTheme="minorEastAsia" w:cs="Arial"/>
          <w:color w:val="auto"/>
        </w:rPr>
      </w:pPr>
      <w:r w:rsidRPr="00080443">
        <w:rPr>
          <w:rFonts w:cs="Arial"/>
        </w:rPr>
        <w:t>3.3.4</w:t>
      </w:r>
      <w:r w:rsidRPr="00080443">
        <w:rPr>
          <w:rFonts w:eastAsiaTheme="minorEastAsia" w:cs="Arial"/>
          <w:color w:val="auto"/>
        </w:rPr>
        <w:tab/>
      </w:r>
      <w:r w:rsidRPr="00080443">
        <w:rPr>
          <w:rFonts w:cs="Arial"/>
        </w:rPr>
        <w:t xml:space="preserve">Independent verification of results produced by the auction </w:t>
      </w:r>
      <w:r w:rsidR="00080443">
        <w:rPr>
          <w:rFonts w:cs="Arial"/>
        </w:rPr>
        <w:br/>
      </w:r>
      <w:r w:rsidRPr="00080443">
        <w:rPr>
          <w:rFonts w:cs="Arial"/>
        </w:rPr>
        <w:t>system</w:t>
      </w:r>
      <w:r w:rsidRPr="00080443">
        <w:rPr>
          <w:rFonts w:cs="Arial"/>
        </w:rPr>
        <w:tab/>
      </w:r>
      <w:r w:rsidR="00724CDB" w:rsidRPr="00080443">
        <w:rPr>
          <w:rFonts w:cs="Arial"/>
        </w:rPr>
        <w:fldChar w:fldCharType="begin"/>
      </w:r>
      <w:r w:rsidRPr="00080443">
        <w:rPr>
          <w:rFonts w:cs="Arial"/>
        </w:rPr>
        <w:instrText xml:space="preserve"> PAGEREF _Toc343780486 \h </w:instrText>
      </w:r>
      <w:r w:rsidR="00724CDB" w:rsidRPr="00080443">
        <w:rPr>
          <w:rFonts w:cs="Arial"/>
        </w:rPr>
      </w:r>
      <w:r w:rsidR="00724CDB" w:rsidRPr="00080443">
        <w:rPr>
          <w:rFonts w:cs="Arial"/>
        </w:rPr>
        <w:fldChar w:fldCharType="separate"/>
      </w:r>
      <w:r w:rsidR="00080443" w:rsidRPr="00080443">
        <w:rPr>
          <w:rFonts w:cs="Arial"/>
        </w:rPr>
        <w:t>52</w:t>
      </w:r>
      <w:r w:rsidR="00724CDB" w:rsidRPr="00080443">
        <w:rPr>
          <w:rFonts w:cs="Arial"/>
        </w:rPr>
        <w:fldChar w:fldCharType="end"/>
      </w:r>
    </w:p>
    <w:p w14:paraId="6A2AF3A2"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3.4</w:t>
      </w:r>
      <w:r w:rsidRPr="00080443">
        <w:rPr>
          <w:rFonts w:ascii="Arial" w:eastAsiaTheme="minorEastAsia" w:hAnsi="Arial" w:cs="Arial"/>
          <w:color w:val="auto"/>
          <w:spacing w:val="0"/>
          <w:sz w:val="22"/>
          <w:szCs w:val="22"/>
        </w:rPr>
        <w:tab/>
      </w:r>
      <w:r w:rsidRPr="00080443">
        <w:rPr>
          <w:rFonts w:ascii="Arial" w:hAnsi="Arial" w:cs="Arial"/>
        </w:rPr>
        <w:t>Bidder support and training</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_Toc343780487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52</w:t>
      </w:r>
      <w:r w:rsidR="00724CDB" w:rsidRPr="00080443">
        <w:rPr>
          <w:rFonts w:ascii="Arial" w:hAnsi="Arial" w:cs="Arial"/>
        </w:rPr>
        <w:fldChar w:fldCharType="end"/>
      </w:r>
    </w:p>
    <w:p w14:paraId="0CD18451" w14:textId="77777777" w:rsidR="004D411C" w:rsidRPr="00080443" w:rsidRDefault="004D411C">
      <w:pPr>
        <w:pStyle w:val="TOC1"/>
        <w:tabs>
          <w:tab w:val="left" w:pos="885"/>
        </w:tabs>
        <w:rPr>
          <w:rFonts w:ascii="Arial" w:eastAsiaTheme="minorEastAsia" w:hAnsi="Arial" w:cs="Arial"/>
          <w:b w:val="0"/>
          <w:color w:val="auto"/>
          <w:spacing w:val="0"/>
          <w:sz w:val="22"/>
          <w:szCs w:val="22"/>
        </w:rPr>
      </w:pPr>
      <w:r w:rsidRPr="00080443">
        <w:rPr>
          <w:rFonts w:ascii="Arial" w:hAnsi="Arial" w:cs="Arial"/>
        </w:rPr>
        <w:t>4.</w:t>
      </w:r>
      <w:r w:rsidRPr="00080443">
        <w:rPr>
          <w:rFonts w:ascii="Arial" w:eastAsiaTheme="minorEastAsia" w:hAnsi="Arial" w:cs="Arial"/>
          <w:b w:val="0"/>
          <w:color w:val="auto"/>
          <w:spacing w:val="0"/>
          <w:sz w:val="22"/>
          <w:szCs w:val="22"/>
        </w:rPr>
        <w:tab/>
      </w:r>
      <w:r w:rsidRPr="00080443">
        <w:rPr>
          <w:rFonts w:ascii="Arial" w:hAnsi="Arial" w:cs="Arial"/>
        </w:rPr>
        <w:t>How do I participate in the auction?</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_Toc343780488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54</w:t>
      </w:r>
      <w:r w:rsidR="00724CDB" w:rsidRPr="00080443">
        <w:rPr>
          <w:rFonts w:ascii="Arial" w:hAnsi="Arial" w:cs="Arial"/>
        </w:rPr>
        <w:fldChar w:fldCharType="end"/>
      </w:r>
    </w:p>
    <w:p w14:paraId="5CCDD192" w14:textId="77777777" w:rsidR="004D411C" w:rsidRPr="00080443" w:rsidRDefault="004D411C">
      <w:pPr>
        <w:pStyle w:val="TOC2"/>
        <w:rPr>
          <w:rFonts w:ascii="Arial" w:hAnsi="Arial" w:cs="Arial"/>
        </w:rPr>
      </w:pPr>
      <w:r w:rsidRPr="00080443">
        <w:rPr>
          <w:rFonts w:ascii="Arial" w:hAnsi="Arial" w:cs="Arial"/>
        </w:rPr>
        <w:t>4.1</w:t>
      </w:r>
      <w:r w:rsidRPr="00080443">
        <w:rPr>
          <w:rFonts w:ascii="Arial" w:hAnsi="Arial" w:cs="Arial"/>
        </w:rPr>
        <w:tab/>
        <w:t>Step 1—Consider the AIP and monitor developments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_Toc343780489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56</w:t>
      </w:r>
      <w:r w:rsidR="00724CDB" w:rsidRPr="00080443">
        <w:rPr>
          <w:rFonts w:ascii="Arial" w:hAnsi="Arial" w:cs="Arial"/>
        </w:rPr>
        <w:fldChar w:fldCharType="end"/>
      </w:r>
    </w:p>
    <w:p w14:paraId="5EEDA614" w14:textId="77777777" w:rsidR="004D411C" w:rsidRPr="00080443" w:rsidRDefault="004D411C">
      <w:pPr>
        <w:pStyle w:val="TOC2"/>
        <w:rPr>
          <w:rFonts w:ascii="Arial" w:hAnsi="Arial" w:cs="Arial"/>
        </w:rPr>
      </w:pPr>
      <w:r w:rsidRPr="00080443">
        <w:rPr>
          <w:rFonts w:ascii="Arial" w:hAnsi="Arial" w:cs="Arial"/>
        </w:rPr>
        <w:t>4.2</w:t>
      </w:r>
      <w:r w:rsidRPr="00080443">
        <w:rPr>
          <w:rFonts w:ascii="Arial" w:hAnsi="Arial" w:cs="Arial"/>
        </w:rPr>
        <w:tab/>
        <w:t>Step 2—Access bidder training</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_Toc343780490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56</w:t>
      </w:r>
      <w:r w:rsidR="00724CDB" w:rsidRPr="00080443">
        <w:rPr>
          <w:rFonts w:ascii="Arial" w:hAnsi="Arial" w:cs="Arial"/>
        </w:rPr>
        <w:fldChar w:fldCharType="end"/>
      </w:r>
    </w:p>
    <w:p w14:paraId="5E093783" w14:textId="77777777" w:rsidR="004D411C" w:rsidRPr="00080443" w:rsidRDefault="004D411C">
      <w:pPr>
        <w:pStyle w:val="TOC2"/>
        <w:rPr>
          <w:rFonts w:ascii="Arial" w:hAnsi="Arial" w:cs="Arial"/>
        </w:rPr>
      </w:pPr>
      <w:r w:rsidRPr="00080443">
        <w:rPr>
          <w:rFonts w:ascii="Arial" w:hAnsi="Arial" w:cs="Arial"/>
        </w:rPr>
        <w:t>4.3</w:t>
      </w:r>
      <w:r w:rsidRPr="00080443">
        <w:rPr>
          <w:rFonts w:ascii="Arial" w:hAnsi="Arial" w:cs="Arial"/>
        </w:rPr>
        <w:tab/>
        <w:t>Step 3—Register as a bidder</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_Toc343780491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56</w:t>
      </w:r>
      <w:r w:rsidR="00724CDB" w:rsidRPr="00080443">
        <w:rPr>
          <w:rFonts w:ascii="Arial" w:hAnsi="Arial" w:cs="Arial"/>
        </w:rPr>
        <w:fldChar w:fldCharType="end"/>
      </w:r>
    </w:p>
    <w:p w14:paraId="22A38C29" w14:textId="77777777" w:rsidR="004D411C" w:rsidRPr="00080443" w:rsidRDefault="004D411C">
      <w:pPr>
        <w:pStyle w:val="TOC3"/>
        <w:tabs>
          <w:tab w:val="left" w:pos="885"/>
        </w:tabs>
        <w:rPr>
          <w:rFonts w:eastAsiaTheme="minorEastAsia" w:cs="Arial"/>
          <w:color w:val="auto"/>
        </w:rPr>
      </w:pPr>
      <w:r w:rsidRPr="00080443">
        <w:rPr>
          <w:rFonts w:cs="Arial"/>
        </w:rPr>
        <w:t>4.3.1</w:t>
      </w:r>
      <w:r w:rsidRPr="00080443">
        <w:rPr>
          <w:rFonts w:eastAsiaTheme="minorEastAsia" w:cs="Arial"/>
          <w:color w:val="auto"/>
        </w:rPr>
        <w:tab/>
      </w:r>
      <w:r w:rsidRPr="00080443">
        <w:rPr>
          <w:rFonts w:cs="Arial"/>
        </w:rPr>
        <w:t>Stage A—Lodge an application</w:t>
      </w:r>
      <w:r w:rsidRPr="00080443">
        <w:rPr>
          <w:rFonts w:cs="Arial"/>
        </w:rPr>
        <w:tab/>
      </w:r>
      <w:r w:rsidR="00724CDB" w:rsidRPr="00080443">
        <w:rPr>
          <w:rFonts w:cs="Arial"/>
        </w:rPr>
        <w:fldChar w:fldCharType="begin"/>
      </w:r>
      <w:r w:rsidRPr="00080443">
        <w:rPr>
          <w:rFonts w:cs="Arial"/>
        </w:rPr>
        <w:instrText xml:space="preserve"> PAGEREF _Toc343780492 \h </w:instrText>
      </w:r>
      <w:r w:rsidR="00724CDB" w:rsidRPr="00080443">
        <w:rPr>
          <w:rFonts w:cs="Arial"/>
        </w:rPr>
      </w:r>
      <w:r w:rsidR="00724CDB" w:rsidRPr="00080443">
        <w:rPr>
          <w:rFonts w:cs="Arial"/>
        </w:rPr>
        <w:fldChar w:fldCharType="separate"/>
      </w:r>
      <w:r w:rsidR="00080443" w:rsidRPr="00080443">
        <w:rPr>
          <w:rFonts w:cs="Arial"/>
        </w:rPr>
        <w:t>57</w:t>
      </w:r>
      <w:r w:rsidR="00724CDB" w:rsidRPr="00080443">
        <w:rPr>
          <w:rFonts w:cs="Arial"/>
        </w:rPr>
        <w:fldChar w:fldCharType="end"/>
      </w:r>
    </w:p>
    <w:p w14:paraId="7744C620" w14:textId="77777777" w:rsidR="004D411C" w:rsidRPr="00080443" w:rsidRDefault="004D411C" w:rsidP="004D411C">
      <w:pPr>
        <w:pStyle w:val="TOC3"/>
        <w:tabs>
          <w:tab w:val="left" w:pos="885"/>
        </w:tabs>
        <w:ind w:left="885" w:hanging="885"/>
        <w:rPr>
          <w:rFonts w:eastAsiaTheme="minorEastAsia" w:cs="Arial"/>
          <w:color w:val="auto"/>
        </w:rPr>
      </w:pPr>
      <w:r w:rsidRPr="00080443">
        <w:rPr>
          <w:rFonts w:cs="Arial"/>
        </w:rPr>
        <w:t>4.3.2</w:t>
      </w:r>
      <w:r w:rsidRPr="00080443">
        <w:rPr>
          <w:rFonts w:eastAsiaTheme="minorEastAsia" w:cs="Arial"/>
          <w:color w:val="auto"/>
        </w:rPr>
        <w:tab/>
      </w:r>
      <w:r w:rsidRPr="00080443">
        <w:rPr>
          <w:rFonts w:cs="Arial"/>
        </w:rPr>
        <w:t xml:space="preserve">Stage B—Provide statutory declaration about affiliations with </w:t>
      </w:r>
      <w:r w:rsidR="00080443">
        <w:rPr>
          <w:rFonts w:cs="Arial"/>
        </w:rPr>
        <w:br/>
      </w:r>
      <w:r w:rsidRPr="00080443">
        <w:rPr>
          <w:rFonts w:cs="Arial"/>
        </w:rPr>
        <w:t>other applicants</w:t>
      </w:r>
      <w:r w:rsidRPr="00080443">
        <w:rPr>
          <w:rFonts w:cs="Arial"/>
        </w:rPr>
        <w:tab/>
      </w:r>
      <w:r w:rsidR="00724CDB" w:rsidRPr="00080443">
        <w:rPr>
          <w:rFonts w:cs="Arial"/>
        </w:rPr>
        <w:fldChar w:fldCharType="begin"/>
      </w:r>
      <w:r w:rsidRPr="00080443">
        <w:rPr>
          <w:rFonts w:cs="Arial"/>
        </w:rPr>
        <w:instrText xml:space="preserve"> PAGEREF _Toc343780493 \h </w:instrText>
      </w:r>
      <w:r w:rsidR="00724CDB" w:rsidRPr="00080443">
        <w:rPr>
          <w:rFonts w:cs="Arial"/>
        </w:rPr>
      </w:r>
      <w:r w:rsidR="00724CDB" w:rsidRPr="00080443">
        <w:rPr>
          <w:rFonts w:cs="Arial"/>
        </w:rPr>
        <w:fldChar w:fldCharType="separate"/>
      </w:r>
      <w:r w:rsidR="00080443" w:rsidRPr="00080443">
        <w:rPr>
          <w:rFonts w:cs="Arial"/>
        </w:rPr>
        <w:t>58</w:t>
      </w:r>
      <w:r w:rsidR="00724CDB" w:rsidRPr="00080443">
        <w:rPr>
          <w:rFonts w:cs="Arial"/>
        </w:rPr>
        <w:fldChar w:fldCharType="end"/>
      </w:r>
    </w:p>
    <w:p w14:paraId="2471B389" w14:textId="77777777" w:rsidR="004D411C" w:rsidRPr="00080443" w:rsidRDefault="004D411C">
      <w:pPr>
        <w:pStyle w:val="TOC3"/>
        <w:tabs>
          <w:tab w:val="left" w:pos="885"/>
        </w:tabs>
        <w:rPr>
          <w:rFonts w:eastAsiaTheme="minorEastAsia" w:cs="Arial"/>
          <w:color w:val="auto"/>
        </w:rPr>
      </w:pPr>
      <w:r w:rsidRPr="00080443">
        <w:rPr>
          <w:rFonts w:cs="Arial"/>
        </w:rPr>
        <w:t>4.3.3</w:t>
      </w:r>
      <w:r w:rsidRPr="00080443">
        <w:rPr>
          <w:rFonts w:eastAsiaTheme="minorEastAsia" w:cs="Arial"/>
          <w:color w:val="auto"/>
        </w:rPr>
        <w:tab/>
      </w:r>
      <w:r w:rsidRPr="00080443">
        <w:rPr>
          <w:rFonts w:cs="Arial"/>
        </w:rPr>
        <w:t>Stage C—Nominate and secure initial eligibility points</w:t>
      </w:r>
      <w:r w:rsidRPr="00080443">
        <w:rPr>
          <w:rFonts w:cs="Arial"/>
        </w:rPr>
        <w:tab/>
      </w:r>
      <w:r w:rsidR="00724CDB" w:rsidRPr="00080443">
        <w:rPr>
          <w:rFonts w:cs="Arial"/>
        </w:rPr>
        <w:fldChar w:fldCharType="begin"/>
      </w:r>
      <w:r w:rsidRPr="00080443">
        <w:rPr>
          <w:rFonts w:cs="Arial"/>
        </w:rPr>
        <w:instrText xml:space="preserve"> PAGEREF _Toc343780494 \h </w:instrText>
      </w:r>
      <w:r w:rsidR="00724CDB" w:rsidRPr="00080443">
        <w:rPr>
          <w:rFonts w:cs="Arial"/>
        </w:rPr>
      </w:r>
      <w:r w:rsidR="00724CDB" w:rsidRPr="00080443">
        <w:rPr>
          <w:rFonts w:cs="Arial"/>
        </w:rPr>
        <w:fldChar w:fldCharType="separate"/>
      </w:r>
      <w:r w:rsidR="00080443" w:rsidRPr="00080443">
        <w:rPr>
          <w:rFonts w:cs="Arial"/>
        </w:rPr>
        <w:t>59</w:t>
      </w:r>
      <w:r w:rsidR="00724CDB" w:rsidRPr="00080443">
        <w:rPr>
          <w:rFonts w:cs="Arial"/>
        </w:rPr>
        <w:fldChar w:fldCharType="end"/>
      </w:r>
    </w:p>
    <w:p w14:paraId="390156A0" w14:textId="77777777" w:rsidR="004D411C" w:rsidRPr="00080443" w:rsidRDefault="004D411C">
      <w:pPr>
        <w:pStyle w:val="TOC3"/>
        <w:tabs>
          <w:tab w:val="left" w:pos="885"/>
        </w:tabs>
        <w:rPr>
          <w:rFonts w:eastAsiaTheme="minorEastAsia" w:cs="Arial"/>
          <w:color w:val="auto"/>
        </w:rPr>
      </w:pPr>
      <w:r w:rsidRPr="00080443">
        <w:rPr>
          <w:rFonts w:cs="Arial"/>
        </w:rPr>
        <w:t>4.3.4</w:t>
      </w:r>
      <w:r w:rsidRPr="00080443">
        <w:rPr>
          <w:rFonts w:eastAsiaTheme="minorEastAsia" w:cs="Arial"/>
          <w:color w:val="auto"/>
        </w:rPr>
        <w:tab/>
      </w:r>
      <w:r w:rsidRPr="00080443">
        <w:rPr>
          <w:rFonts w:cs="Arial"/>
        </w:rPr>
        <w:t>ACMA confirms registration and provides information</w:t>
      </w:r>
      <w:r w:rsidRPr="00080443">
        <w:rPr>
          <w:rFonts w:cs="Arial"/>
        </w:rPr>
        <w:tab/>
      </w:r>
      <w:r w:rsidR="00724CDB" w:rsidRPr="00080443">
        <w:rPr>
          <w:rFonts w:cs="Arial"/>
        </w:rPr>
        <w:fldChar w:fldCharType="begin"/>
      </w:r>
      <w:r w:rsidRPr="00080443">
        <w:rPr>
          <w:rFonts w:cs="Arial"/>
        </w:rPr>
        <w:instrText xml:space="preserve"> PAGEREF _Toc343780495 \h </w:instrText>
      </w:r>
      <w:r w:rsidR="00724CDB" w:rsidRPr="00080443">
        <w:rPr>
          <w:rFonts w:cs="Arial"/>
        </w:rPr>
      </w:r>
      <w:r w:rsidR="00724CDB" w:rsidRPr="00080443">
        <w:rPr>
          <w:rFonts w:cs="Arial"/>
        </w:rPr>
        <w:fldChar w:fldCharType="separate"/>
      </w:r>
      <w:r w:rsidR="00080443" w:rsidRPr="00080443">
        <w:rPr>
          <w:rFonts w:cs="Arial"/>
        </w:rPr>
        <w:t>60</w:t>
      </w:r>
      <w:r w:rsidR="00724CDB" w:rsidRPr="00080443">
        <w:rPr>
          <w:rFonts w:cs="Arial"/>
        </w:rPr>
        <w:fldChar w:fldCharType="end"/>
      </w:r>
    </w:p>
    <w:p w14:paraId="03651963" w14:textId="77777777" w:rsidR="004D411C" w:rsidRPr="00080443" w:rsidRDefault="004D411C">
      <w:pPr>
        <w:pStyle w:val="TOC2"/>
        <w:rPr>
          <w:rFonts w:ascii="Arial" w:hAnsi="Arial" w:cs="Arial"/>
        </w:rPr>
      </w:pPr>
      <w:r w:rsidRPr="00080443">
        <w:rPr>
          <w:rFonts w:ascii="Arial" w:hAnsi="Arial" w:cs="Arial"/>
        </w:rPr>
        <w:t>4.4</w:t>
      </w:r>
      <w:r w:rsidRPr="00080443">
        <w:rPr>
          <w:rFonts w:ascii="Arial" w:hAnsi="Arial" w:cs="Arial"/>
        </w:rPr>
        <w:tab/>
        <w:t>Step 4—Bid in the auction</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_Toc343780496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60</w:t>
      </w:r>
      <w:r w:rsidR="00724CDB" w:rsidRPr="00080443">
        <w:rPr>
          <w:rFonts w:ascii="Arial" w:hAnsi="Arial" w:cs="Arial"/>
        </w:rPr>
        <w:fldChar w:fldCharType="end"/>
      </w:r>
    </w:p>
    <w:p w14:paraId="588B9599" w14:textId="77777777" w:rsidR="004D411C" w:rsidRPr="00080443" w:rsidRDefault="004D411C">
      <w:pPr>
        <w:pStyle w:val="TOC3"/>
        <w:tabs>
          <w:tab w:val="left" w:pos="885"/>
        </w:tabs>
        <w:rPr>
          <w:rFonts w:eastAsiaTheme="minorEastAsia" w:cs="Arial"/>
          <w:color w:val="auto"/>
        </w:rPr>
      </w:pPr>
      <w:r w:rsidRPr="00080443">
        <w:rPr>
          <w:rFonts w:cs="Arial"/>
        </w:rPr>
        <w:t>4.4.1</w:t>
      </w:r>
      <w:r w:rsidRPr="00080443">
        <w:rPr>
          <w:rFonts w:eastAsiaTheme="minorEastAsia" w:cs="Arial"/>
          <w:color w:val="auto"/>
        </w:rPr>
        <w:tab/>
      </w:r>
      <w:r w:rsidRPr="00080443">
        <w:rPr>
          <w:rFonts w:cs="Arial"/>
        </w:rPr>
        <w:t>Allocation stage (clock and supplementary rounds)</w:t>
      </w:r>
      <w:r w:rsidRPr="00080443">
        <w:rPr>
          <w:rFonts w:cs="Arial"/>
        </w:rPr>
        <w:tab/>
      </w:r>
      <w:r w:rsidR="00724CDB" w:rsidRPr="00080443">
        <w:rPr>
          <w:rFonts w:cs="Arial"/>
        </w:rPr>
        <w:fldChar w:fldCharType="begin"/>
      </w:r>
      <w:r w:rsidRPr="00080443">
        <w:rPr>
          <w:rFonts w:cs="Arial"/>
        </w:rPr>
        <w:instrText xml:space="preserve"> PAGEREF _Toc343780497 \h </w:instrText>
      </w:r>
      <w:r w:rsidR="00724CDB" w:rsidRPr="00080443">
        <w:rPr>
          <w:rFonts w:cs="Arial"/>
        </w:rPr>
      </w:r>
      <w:r w:rsidR="00724CDB" w:rsidRPr="00080443">
        <w:rPr>
          <w:rFonts w:cs="Arial"/>
        </w:rPr>
        <w:fldChar w:fldCharType="separate"/>
      </w:r>
      <w:r w:rsidR="00080443" w:rsidRPr="00080443">
        <w:rPr>
          <w:rFonts w:cs="Arial"/>
        </w:rPr>
        <w:t>61</w:t>
      </w:r>
      <w:r w:rsidR="00724CDB" w:rsidRPr="00080443">
        <w:rPr>
          <w:rFonts w:cs="Arial"/>
        </w:rPr>
        <w:fldChar w:fldCharType="end"/>
      </w:r>
    </w:p>
    <w:p w14:paraId="7DF6F5FB" w14:textId="77777777" w:rsidR="004D411C" w:rsidRPr="00080443" w:rsidRDefault="004D411C">
      <w:pPr>
        <w:pStyle w:val="TOC3"/>
        <w:tabs>
          <w:tab w:val="left" w:pos="885"/>
        </w:tabs>
        <w:rPr>
          <w:rFonts w:eastAsiaTheme="minorEastAsia" w:cs="Arial"/>
          <w:color w:val="auto"/>
        </w:rPr>
      </w:pPr>
      <w:r w:rsidRPr="00080443">
        <w:rPr>
          <w:rFonts w:cs="Arial"/>
        </w:rPr>
        <w:t>4.4.2</w:t>
      </w:r>
      <w:r w:rsidRPr="00080443">
        <w:rPr>
          <w:rFonts w:eastAsiaTheme="minorEastAsia" w:cs="Arial"/>
          <w:color w:val="auto"/>
        </w:rPr>
        <w:tab/>
      </w:r>
      <w:r w:rsidRPr="00080443">
        <w:rPr>
          <w:rFonts w:cs="Arial"/>
        </w:rPr>
        <w:t>Assignment stage</w:t>
      </w:r>
      <w:r w:rsidRPr="00080443">
        <w:rPr>
          <w:rFonts w:cs="Arial"/>
        </w:rPr>
        <w:tab/>
      </w:r>
      <w:r w:rsidR="00724CDB" w:rsidRPr="00080443">
        <w:rPr>
          <w:rFonts w:cs="Arial"/>
        </w:rPr>
        <w:fldChar w:fldCharType="begin"/>
      </w:r>
      <w:r w:rsidRPr="00080443">
        <w:rPr>
          <w:rFonts w:cs="Arial"/>
        </w:rPr>
        <w:instrText xml:space="preserve"> PAGEREF _Toc343780498 \h </w:instrText>
      </w:r>
      <w:r w:rsidR="00724CDB" w:rsidRPr="00080443">
        <w:rPr>
          <w:rFonts w:cs="Arial"/>
        </w:rPr>
      </w:r>
      <w:r w:rsidR="00724CDB" w:rsidRPr="00080443">
        <w:rPr>
          <w:rFonts w:cs="Arial"/>
        </w:rPr>
        <w:fldChar w:fldCharType="separate"/>
      </w:r>
      <w:r w:rsidR="00080443" w:rsidRPr="00080443">
        <w:rPr>
          <w:rFonts w:cs="Arial"/>
        </w:rPr>
        <w:t>62</w:t>
      </w:r>
      <w:r w:rsidR="00724CDB" w:rsidRPr="00080443">
        <w:rPr>
          <w:rFonts w:cs="Arial"/>
        </w:rPr>
        <w:fldChar w:fldCharType="end"/>
      </w:r>
    </w:p>
    <w:p w14:paraId="06479181" w14:textId="77777777" w:rsidR="004D411C" w:rsidRPr="00080443" w:rsidRDefault="004D411C">
      <w:pPr>
        <w:pStyle w:val="TOC2"/>
        <w:rPr>
          <w:rFonts w:ascii="Arial" w:hAnsi="Arial" w:cs="Arial"/>
        </w:rPr>
      </w:pPr>
      <w:r w:rsidRPr="00080443">
        <w:rPr>
          <w:rFonts w:ascii="Arial" w:hAnsi="Arial" w:cs="Arial"/>
        </w:rPr>
        <w:t>4.5</w:t>
      </w:r>
      <w:r w:rsidRPr="00080443">
        <w:rPr>
          <w:rFonts w:ascii="Arial" w:hAnsi="Arial" w:cs="Arial"/>
        </w:rPr>
        <w:tab/>
        <w:t>Step 5—Verification and publication of auction results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_Toc343780499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62</w:t>
      </w:r>
      <w:r w:rsidR="00724CDB" w:rsidRPr="00080443">
        <w:rPr>
          <w:rFonts w:ascii="Arial" w:hAnsi="Arial" w:cs="Arial"/>
        </w:rPr>
        <w:fldChar w:fldCharType="end"/>
      </w:r>
    </w:p>
    <w:p w14:paraId="02A5A3F6" w14:textId="77777777" w:rsidR="004D411C" w:rsidRPr="00080443" w:rsidRDefault="004D411C">
      <w:pPr>
        <w:pStyle w:val="TOC2"/>
        <w:rPr>
          <w:rFonts w:ascii="Arial" w:hAnsi="Arial" w:cs="Arial"/>
        </w:rPr>
      </w:pPr>
      <w:r w:rsidRPr="00080443">
        <w:rPr>
          <w:rFonts w:ascii="Arial" w:hAnsi="Arial" w:cs="Arial"/>
        </w:rPr>
        <w:t>4.6</w:t>
      </w:r>
      <w:r w:rsidRPr="00080443">
        <w:rPr>
          <w:rFonts w:ascii="Arial" w:hAnsi="Arial" w:cs="Arial"/>
        </w:rPr>
        <w:tab/>
        <w:t>Step 6—Post-auction procedures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_Toc343780500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63</w:t>
      </w:r>
      <w:r w:rsidR="00724CDB" w:rsidRPr="00080443">
        <w:rPr>
          <w:rFonts w:ascii="Arial" w:hAnsi="Arial" w:cs="Arial"/>
        </w:rPr>
        <w:fldChar w:fldCharType="end"/>
      </w:r>
    </w:p>
    <w:p w14:paraId="278FBA48" w14:textId="77777777" w:rsidR="004D411C" w:rsidRPr="00080443" w:rsidRDefault="004D411C">
      <w:pPr>
        <w:pStyle w:val="TOC3"/>
        <w:tabs>
          <w:tab w:val="left" w:pos="885"/>
        </w:tabs>
        <w:rPr>
          <w:rFonts w:eastAsiaTheme="minorEastAsia" w:cs="Arial"/>
          <w:color w:val="auto"/>
        </w:rPr>
      </w:pPr>
      <w:r w:rsidRPr="00080443">
        <w:rPr>
          <w:rFonts w:cs="Arial"/>
        </w:rPr>
        <w:lastRenderedPageBreak/>
        <w:t>4.6.1</w:t>
      </w:r>
      <w:r w:rsidRPr="00080443">
        <w:rPr>
          <w:rFonts w:eastAsiaTheme="minorEastAsia" w:cs="Arial"/>
          <w:color w:val="auto"/>
        </w:rPr>
        <w:tab/>
      </w:r>
      <w:r w:rsidRPr="00080443">
        <w:rPr>
          <w:rFonts w:cs="Arial"/>
        </w:rPr>
        <w:t>Winning bidders</w:t>
      </w:r>
      <w:r w:rsidRPr="00080443">
        <w:rPr>
          <w:rFonts w:cs="Arial"/>
        </w:rPr>
        <w:tab/>
      </w:r>
      <w:r w:rsidR="00724CDB" w:rsidRPr="00080443">
        <w:rPr>
          <w:rFonts w:cs="Arial"/>
        </w:rPr>
        <w:fldChar w:fldCharType="begin"/>
      </w:r>
      <w:r w:rsidRPr="00080443">
        <w:rPr>
          <w:rFonts w:cs="Arial"/>
        </w:rPr>
        <w:instrText xml:space="preserve"> PAGEREF _Toc343780501 \h </w:instrText>
      </w:r>
      <w:r w:rsidR="00724CDB" w:rsidRPr="00080443">
        <w:rPr>
          <w:rFonts w:cs="Arial"/>
        </w:rPr>
      </w:r>
      <w:r w:rsidR="00724CDB" w:rsidRPr="00080443">
        <w:rPr>
          <w:rFonts w:cs="Arial"/>
        </w:rPr>
        <w:fldChar w:fldCharType="separate"/>
      </w:r>
      <w:r w:rsidR="00080443" w:rsidRPr="00080443">
        <w:rPr>
          <w:rFonts w:cs="Arial"/>
        </w:rPr>
        <w:t>63</w:t>
      </w:r>
      <w:r w:rsidR="00724CDB" w:rsidRPr="00080443">
        <w:rPr>
          <w:rFonts w:cs="Arial"/>
        </w:rPr>
        <w:fldChar w:fldCharType="end"/>
      </w:r>
    </w:p>
    <w:p w14:paraId="4FEA328D" w14:textId="77777777" w:rsidR="004D411C" w:rsidRPr="00080443" w:rsidRDefault="004D411C">
      <w:pPr>
        <w:pStyle w:val="TOC3"/>
        <w:tabs>
          <w:tab w:val="left" w:pos="885"/>
        </w:tabs>
        <w:rPr>
          <w:rFonts w:eastAsiaTheme="minorEastAsia" w:cs="Arial"/>
          <w:color w:val="auto"/>
        </w:rPr>
      </w:pPr>
      <w:r w:rsidRPr="00080443">
        <w:rPr>
          <w:rFonts w:cs="Arial"/>
        </w:rPr>
        <w:t>4.6.2</w:t>
      </w:r>
      <w:r w:rsidRPr="00080443">
        <w:rPr>
          <w:rFonts w:eastAsiaTheme="minorEastAsia" w:cs="Arial"/>
          <w:color w:val="auto"/>
        </w:rPr>
        <w:tab/>
      </w:r>
      <w:r w:rsidRPr="00080443">
        <w:rPr>
          <w:rFonts w:cs="Arial"/>
        </w:rPr>
        <w:t>Unsuccessful bidders</w:t>
      </w:r>
      <w:r w:rsidRPr="00080443">
        <w:rPr>
          <w:rFonts w:cs="Arial"/>
        </w:rPr>
        <w:tab/>
      </w:r>
      <w:r w:rsidR="00724CDB" w:rsidRPr="00080443">
        <w:rPr>
          <w:rFonts w:cs="Arial"/>
        </w:rPr>
        <w:fldChar w:fldCharType="begin"/>
      </w:r>
      <w:r w:rsidRPr="00080443">
        <w:rPr>
          <w:rFonts w:cs="Arial"/>
        </w:rPr>
        <w:instrText xml:space="preserve"> PAGEREF _Toc343780502 \h </w:instrText>
      </w:r>
      <w:r w:rsidR="00724CDB" w:rsidRPr="00080443">
        <w:rPr>
          <w:rFonts w:cs="Arial"/>
        </w:rPr>
      </w:r>
      <w:r w:rsidR="00724CDB" w:rsidRPr="00080443">
        <w:rPr>
          <w:rFonts w:cs="Arial"/>
        </w:rPr>
        <w:fldChar w:fldCharType="separate"/>
      </w:r>
      <w:r w:rsidR="00080443" w:rsidRPr="00080443">
        <w:rPr>
          <w:rFonts w:cs="Arial"/>
        </w:rPr>
        <w:t>64</w:t>
      </w:r>
      <w:r w:rsidR="00724CDB" w:rsidRPr="00080443">
        <w:rPr>
          <w:rFonts w:cs="Arial"/>
        </w:rPr>
        <w:fldChar w:fldCharType="end"/>
      </w:r>
    </w:p>
    <w:p w14:paraId="66A22642" w14:textId="77777777" w:rsidR="004D411C" w:rsidRPr="00080443" w:rsidRDefault="004D411C">
      <w:pPr>
        <w:pStyle w:val="TOC3"/>
        <w:tabs>
          <w:tab w:val="left" w:pos="885"/>
        </w:tabs>
        <w:rPr>
          <w:rFonts w:eastAsiaTheme="minorEastAsia" w:cs="Arial"/>
          <w:color w:val="auto"/>
        </w:rPr>
      </w:pPr>
      <w:r w:rsidRPr="00080443">
        <w:rPr>
          <w:rFonts w:cs="Arial"/>
        </w:rPr>
        <w:t>4.6.3</w:t>
      </w:r>
      <w:r w:rsidRPr="00080443">
        <w:rPr>
          <w:rFonts w:eastAsiaTheme="minorEastAsia" w:cs="Arial"/>
          <w:color w:val="auto"/>
        </w:rPr>
        <w:tab/>
      </w:r>
      <w:r w:rsidRPr="00080443">
        <w:rPr>
          <w:rFonts w:cs="Arial"/>
        </w:rPr>
        <w:t>Withdrawn applicants</w:t>
      </w:r>
      <w:r w:rsidRPr="00080443">
        <w:rPr>
          <w:rFonts w:cs="Arial"/>
        </w:rPr>
        <w:tab/>
      </w:r>
      <w:r w:rsidR="00724CDB" w:rsidRPr="00080443">
        <w:rPr>
          <w:rFonts w:cs="Arial"/>
        </w:rPr>
        <w:fldChar w:fldCharType="begin"/>
      </w:r>
      <w:r w:rsidRPr="00080443">
        <w:rPr>
          <w:rFonts w:cs="Arial"/>
        </w:rPr>
        <w:instrText xml:space="preserve"> PAGEREF _Toc343780503 \h </w:instrText>
      </w:r>
      <w:r w:rsidR="00724CDB" w:rsidRPr="00080443">
        <w:rPr>
          <w:rFonts w:cs="Arial"/>
        </w:rPr>
      </w:r>
      <w:r w:rsidR="00724CDB" w:rsidRPr="00080443">
        <w:rPr>
          <w:rFonts w:cs="Arial"/>
        </w:rPr>
        <w:fldChar w:fldCharType="separate"/>
      </w:r>
      <w:r w:rsidR="00080443" w:rsidRPr="00080443">
        <w:rPr>
          <w:rFonts w:cs="Arial"/>
        </w:rPr>
        <w:t>64</w:t>
      </w:r>
      <w:r w:rsidR="00724CDB" w:rsidRPr="00080443">
        <w:rPr>
          <w:rFonts w:cs="Arial"/>
        </w:rPr>
        <w:fldChar w:fldCharType="end"/>
      </w:r>
    </w:p>
    <w:p w14:paraId="75A2A66A" w14:textId="77777777" w:rsidR="004D411C" w:rsidRPr="00080443" w:rsidRDefault="00080443">
      <w:pPr>
        <w:pStyle w:val="TOC9"/>
        <w:rPr>
          <w:rFonts w:ascii="Arial" w:eastAsiaTheme="minorEastAsia" w:hAnsi="Arial" w:cs="Arial"/>
          <w:b w:val="0"/>
          <w:color w:val="auto"/>
          <w:sz w:val="22"/>
          <w:szCs w:val="22"/>
        </w:rPr>
      </w:pPr>
      <w:r>
        <w:rPr>
          <w:rFonts w:ascii="Arial" w:hAnsi="Arial" w:cs="Arial"/>
        </w:rPr>
        <w:t>Part three—</w:t>
      </w:r>
      <w:r w:rsidR="004D411C" w:rsidRPr="00080443">
        <w:rPr>
          <w:rFonts w:ascii="Arial" w:hAnsi="Arial" w:cs="Arial"/>
        </w:rPr>
        <w:t>Understanding spectrum licences</w:t>
      </w:r>
      <w:r w:rsidR="004D411C" w:rsidRPr="00080443">
        <w:rPr>
          <w:rFonts w:ascii="Arial" w:hAnsi="Arial" w:cs="Arial"/>
        </w:rPr>
        <w:tab/>
      </w:r>
      <w:r w:rsidR="00724CDB" w:rsidRPr="00080443">
        <w:rPr>
          <w:rFonts w:ascii="Arial" w:hAnsi="Arial" w:cs="Arial"/>
        </w:rPr>
        <w:fldChar w:fldCharType="begin"/>
      </w:r>
      <w:r w:rsidR="004D411C" w:rsidRPr="00080443">
        <w:rPr>
          <w:rFonts w:ascii="Arial" w:hAnsi="Arial" w:cs="Arial"/>
        </w:rPr>
        <w:instrText xml:space="preserve"> PAGEREF _Toc343780504 \h </w:instrText>
      </w:r>
      <w:r w:rsidR="00724CDB" w:rsidRPr="00080443">
        <w:rPr>
          <w:rFonts w:ascii="Arial" w:hAnsi="Arial" w:cs="Arial"/>
        </w:rPr>
      </w:r>
      <w:r w:rsidR="00724CDB" w:rsidRPr="00080443">
        <w:rPr>
          <w:rFonts w:ascii="Arial" w:hAnsi="Arial" w:cs="Arial"/>
        </w:rPr>
        <w:fldChar w:fldCharType="separate"/>
      </w:r>
      <w:r w:rsidRPr="00080443">
        <w:rPr>
          <w:rFonts w:ascii="Arial" w:hAnsi="Arial" w:cs="Arial"/>
        </w:rPr>
        <w:t>65</w:t>
      </w:r>
      <w:r w:rsidR="00724CDB" w:rsidRPr="00080443">
        <w:rPr>
          <w:rFonts w:ascii="Arial" w:hAnsi="Arial" w:cs="Arial"/>
        </w:rPr>
        <w:fldChar w:fldCharType="end"/>
      </w:r>
    </w:p>
    <w:p w14:paraId="7BD714AF" w14:textId="77777777" w:rsidR="004D411C" w:rsidRPr="00080443" w:rsidRDefault="004D411C">
      <w:pPr>
        <w:pStyle w:val="TOC1"/>
        <w:tabs>
          <w:tab w:val="left" w:pos="885"/>
        </w:tabs>
        <w:rPr>
          <w:rFonts w:ascii="Arial" w:eastAsiaTheme="minorEastAsia" w:hAnsi="Arial" w:cs="Arial"/>
          <w:b w:val="0"/>
          <w:color w:val="auto"/>
          <w:spacing w:val="0"/>
          <w:sz w:val="22"/>
          <w:szCs w:val="22"/>
        </w:rPr>
      </w:pPr>
      <w:r w:rsidRPr="00080443">
        <w:rPr>
          <w:rFonts w:ascii="Arial" w:hAnsi="Arial" w:cs="Arial"/>
        </w:rPr>
        <w:t>5.</w:t>
      </w:r>
      <w:r w:rsidRPr="00080443">
        <w:rPr>
          <w:rFonts w:ascii="Arial" w:eastAsiaTheme="minorEastAsia" w:hAnsi="Arial" w:cs="Arial"/>
          <w:b w:val="0"/>
          <w:color w:val="auto"/>
          <w:spacing w:val="0"/>
          <w:sz w:val="22"/>
          <w:szCs w:val="22"/>
        </w:rPr>
        <w:tab/>
      </w:r>
      <w:r w:rsidRPr="00080443">
        <w:rPr>
          <w:rFonts w:ascii="Arial" w:hAnsi="Arial" w:cs="Arial"/>
        </w:rPr>
        <w:t>Spectrum licensing and technical framework</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_Toc343780505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66</w:t>
      </w:r>
      <w:r w:rsidR="00724CDB" w:rsidRPr="00080443">
        <w:rPr>
          <w:rFonts w:ascii="Arial" w:hAnsi="Arial" w:cs="Arial"/>
        </w:rPr>
        <w:fldChar w:fldCharType="end"/>
      </w:r>
    </w:p>
    <w:p w14:paraId="0541783C"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5.1</w:t>
      </w:r>
      <w:r w:rsidRPr="00080443">
        <w:rPr>
          <w:rFonts w:ascii="Arial" w:eastAsiaTheme="minorEastAsia" w:hAnsi="Arial" w:cs="Arial"/>
          <w:color w:val="auto"/>
          <w:spacing w:val="0"/>
          <w:sz w:val="22"/>
          <w:szCs w:val="22"/>
        </w:rPr>
        <w:tab/>
      </w:r>
      <w:r w:rsidRPr="00080443">
        <w:rPr>
          <w:rFonts w:ascii="Arial" w:hAnsi="Arial" w:cs="Arial"/>
        </w:rPr>
        <w:t>Spectrum licensing</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_Toc343780506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67</w:t>
      </w:r>
      <w:r w:rsidR="00724CDB" w:rsidRPr="00080443">
        <w:rPr>
          <w:rFonts w:ascii="Arial" w:hAnsi="Arial" w:cs="Arial"/>
        </w:rPr>
        <w:fldChar w:fldCharType="end"/>
      </w:r>
    </w:p>
    <w:p w14:paraId="3BAE569C"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5.2</w:t>
      </w:r>
      <w:r w:rsidRPr="00080443">
        <w:rPr>
          <w:rFonts w:ascii="Arial" w:eastAsiaTheme="minorEastAsia" w:hAnsi="Arial" w:cs="Arial"/>
          <w:color w:val="auto"/>
          <w:spacing w:val="0"/>
          <w:sz w:val="22"/>
          <w:szCs w:val="22"/>
        </w:rPr>
        <w:tab/>
      </w:r>
      <w:r w:rsidRPr="00080443">
        <w:rPr>
          <w:rFonts w:ascii="Arial" w:hAnsi="Arial" w:cs="Arial"/>
        </w:rPr>
        <w:t>The technical framework</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_Toc343780507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68</w:t>
      </w:r>
      <w:r w:rsidR="00724CDB" w:rsidRPr="00080443">
        <w:rPr>
          <w:rFonts w:ascii="Arial" w:hAnsi="Arial" w:cs="Arial"/>
        </w:rPr>
        <w:fldChar w:fldCharType="end"/>
      </w:r>
    </w:p>
    <w:p w14:paraId="2A3D7D15"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5.3</w:t>
      </w:r>
      <w:r w:rsidRPr="00080443">
        <w:rPr>
          <w:rFonts w:ascii="Arial" w:eastAsiaTheme="minorEastAsia" w:hAnsi="Arial" w:cs="Arial"/>
          <w:color w:val="auto"/>
          <w:spacing w:val="0"/>
          <w:sz w:val="22"/>
          <w:szCs w:val="22"/>
        </w:rPr>
        <w:tab/>
      </w:r>
      <w:r w:rsidRPr="00080443">
        <w:rPr>
          <w:rFonts w:ascii="Arial" w:hAnsi="Arial" w:cs="Arial"/>
        </w:rPr>
        <w:t>Core conditions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_Toc343780508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69</w:t>
      </w:r>
      <w:r w:rsidR="00724CDB" w:rsidRPr="00080443">
        <w:rPr>
          <w:rFonts w:ascii="Arial" w:hAnsi="Arial" w:cs="Arial"/>
        </w:rPr>
        <w:fldChar w:fldCharType="end"/>
      </w:r>
    </w:p>
    <w:p w14:paraId="13F46360" w14:textId="77777777" w:rsidR="004D411C" w:rsidRPr="00080443" w:rsidRDefault="004D411C">
      <w:pPr>
        <w:pStyle w:val="TOC3"/>
        <w:tabs>
          <w:tab w:val="left" w:pos="885"/>
        </w:tabs>
        <w:rPr>
          <w:rFonts w:eastAsiaTheme="minorEastAsia" w:cs="Arial"/>
          <w:color w:val="auto"/>
        </w:rPr>
      </w:pPr>
      <w:r w:rsidRPr="00080443">
        <w:rPr>
          <w:rFonts w:cs="Arial"/>
        </w:rPr>
        <w:t>5.3.1</w:t>
      </w:r>
      <w:r w:rsidRPr="00080443">
        <w:rPr>
          <w:rFonts w:eastAsiaTheme="minorEastAsia" w:cs="Arial"/>
          <w:color w:val="auto"/>
        </w:rPr>
        <w:tab/>
      </w:r>
      <w:r w:rsidRPr="00080443">
        <w:rPr>
          <w:rFonts w:cs="Arial"/>
        </w:rPr>
        <w:t>Area of operation</w:t>
      </w:r>
      <w:r w:rsidRPr="00080443">
        <w:rPr>
          <w:rFonts w:cs="Arial"/>
        </w:rPr>
        <w:tab/>
      </w:r>
      <w:r w:rsidR="00724CDB" w:rsidRPr="00080443">
        <w:rPr>
          <w:rFonts w:cs="Arial"/>
        </w:rPr>
        <w:fldChar w:fldCharType="begin"/>
      </w:r>
      <w:r w:rsidRPr="00080443">
        <w:rPr>
          <w:rFonts w:cs="Arial"/>
        </w:rPr>
        <w:instrText xml:space="preserve"> PAGEREF _Toc343780509 \h </w:instrText>
      </w:r>
      <w:r w:rsidR="00724CDB" w:rsidRPr="00080443">
        <w:rPr>
          <w:rFonts w:cs="Arial"/>
        </w:rPr>
      </w:r>
      <w:r w:rsidR="00724CDB" w:rsidRPr="00080443">
        <w:rPr>
          <w:rFonts w:cs="Arial"/>
        </w:rPr>
        <w:fldChar w:fldCharType="separate"/>
      </w:r>
      <w:r w:rsidR="00080443" w:rsidRPr="00080443">
        <w:rPr>
          <w:rFonts w:cs="Arial"/>
        </w:rPr>
        <w:t>69</w:t>
      </w:r>
      <w:r w:rsidR="00724CDB" w:rsidRPr="00080443">
        <w:rPr>
          <w:rFonts w:cs="Arial"/>
        </w:rPr>
        <w:fldChar w:fldCharType="end"/>
      </w:r>
    </w:p>
    <w:p w14:paraId="21951E10" w14:textId="77777777" w:rsidR="004D411C" w:rsidRPr="00080443" w:rsidRDefault="004D411C">
      <w:pPr>
        <w:pStyle w:val="TOC3"/>
        <w:tabs>
          <w:tab w:val="left" w:pos="885"/>
        </w:tabs>
        <w:rPr>
          <w:rFonts w:eastAsiaTheme="minorEastAsia" w:cs="Arial"/>
          <w:color w:val="auto"/>
        </w:rPr>
      </w:pPr>
      <w:r w:rsidRPr="00080443">
        <w:rPr>
          <w:rFonts w:cs="Arial"/>
        </w:rPr>
        <w:t>5.3.2</w:t>
      </w:r>
      <w:r w:rsidRPr="00080443">
        <w:rPr>
          <w:rFonts w:eastAsiaTheme="minorEastAsia" w:cs="Arial"/>
          <w:color w:val="auto"/>
        </w:rPr>
        <w:tab/>
      </w:r>
      <w:r w:rsidRPr="00080443">
        <w:rPr>
          <w:rFonts w:cs="Arial"/>
        </w:rPr>
        <w:t>Frequency band of operation</w:t>
      </w:r>
      <w:r w:rsidRPr="00080443">
        <w:rPr>
          <w:rFonts w:cs="Arial"/>
        </w:rPr>
        <w:tab/>
      </w:r>
      <w:r w:rsidR="00724CDB" w:rsidRPr="00080443">
        <w:rPr>
          <w:rFonts w:cs="Arial"/>
        </w:rPr>
        <w:fldChar w:fldCharType="begin"/>
      </w:r>
      <w:r w:rsidRPr="00080443">
        <w:rPr>
          <w:rFonts w:cs="Arial"/>
        </w:rPr>
        <w:instrText xml:space="preserve"> PAGEREF _Toc343780510 \h </w:instrText>
      </w:r>
      <w:r w:rsidR="00724CDB" w:rsidRPr="00080443">
        <w:rPr>
          <w:rFonts w:cs="Arial"/>
        </w:rPr>
      </w:r>
      <w:r w:rsidR="00724CDB" w:rsidRPr="00080443">
        <w:rPr>
          <w:rFonts w:cs="Arial"/>
        </w:rPr>
        <w:fldChar w:fldCharType="separate"/>
      </w:r>
      <w:r w:rsidR="00080443" w:rsidRPr="00080443">
        <w:rPr>
          <w:rFonts w:cs="Arial"/>
        </w:rPr>
        <w:t>69</w:t>
      </w:r>
      <w:r w:rsidR="00724CDB" w:rsidRPr="00080443">
        <w:rPr>
          <w:rFonts w:cs="Arial"/>
        </w:rPr>
        <w:fldChar w:fldCharType="end"/>
      </w:r>
    </w:p>
    <w:p w14:paraId="70AF0A86" w14:textId="77777777" w:rsidR="004D411C" w:rsidRPr="00080443" w:rsidRDefault="004D411C">
      <w:pPr>
        <w:pStyle w:val="TOC3"/>
        <w:tabs>
          <w:tab w:val="left" w:pos="885"/>
        </w:tabs>
        <w:rPr>
          <w:rFonts w:eastAsiaTheme="minorEastAsia" w:cs="Arial"/>
          <w:color w:val="auto"/>
        </w:rPr>
      </w:pPr>
      <w:r w:rsidRPr="00080443">
        <w:rPr>
          <w:rFonts w:cs="Arial"/>
        </w:rPr>
        <w:t>5.3.3</w:t>
      </w:r>
      <w:r w:rsidRPr="00080443">
        <w:rPr>
          <w:rFonts w:eastAsiaTheme="minorEastAsia" w:cs="Arial"/>
          <w:color w:val="auto"/>
        </w:rPr>
        <w:tab/>
      </w:r>
      <w:r w:rsidRPr="00080443">
        <w:rPr>
          <w:rFonts w:cs="Arial"/>
        </w:rPr>
        <w:t>Outside-the-area emission limits</w:t>
      </w:r>
      <w:r w:rsidRPr="00080443">
        <w:rPr>
          <w:rFonts w:cs="Arial"/>
        </w:rPr>
        <w:tab/>
      </w:r>
      <w:r w:rsidR="00724CDB" w:rsidRPr="00080443">
        <w:rPr>
          <w:rFonts w:cs="Arial"/>
        </w:rPr>
        <w:fldChar w:fldCharType="begin"/>
      </w:r>
      <w:r w:rsidRPr="00080443">
        <w:rPr>
          <w:rFonts w:cs="Arial"/>
        </w:rPr>
        <w:instrText xml:space="preserve"> PAGEREF _Toc343780511 \h </w:instrText>
      </w:r>
      <w:r w:rsidR="00724CDB" w:rsidRPr="00080443">
        <w:rPr>
          <w:rFonts w:cs="Arial"/>
        </w:rPr>
      </w:r>
      <w:r w:rsidR="00724CDB" w:rsidRPr="00080443">
        <w:rPr>
          <w:rFonts w:cs="Arial"/>
        </w:rPr>
        <w:fldChar w:fldCharType="separate"/>
      </w:r>
      <w:r w:rsidR="00080443" w:rsidRPr="00080443">
        <w:rPr>
          <w:rFonts w:cs="Arial"/>
        </w:rPr>
        <w:t>69</w:t>
      </w:r>
      <w:r w:rsidR="00724CDB" w:rsidRPr="00080443">
        <w:rPr>
          <w:rFonts w:cs="Arial"/>
        </w:rPr>
        <w:fldChar w:fldCharType="end"/>
      </w:r>
    </w:p>
    <w:p w14:paraId="0633B829" w14:textId="77777777" w:rsidR="004D411C" w:rsidRPr="00080443" w:rsidRDefault="004D411C">
      <w:pPr>
        <w:pStyle w:val="TOC3"/>
        <w:tabs>
          <w:tab w:val="left" w:pos="885"/>
        </w:tabs>
        <w:rPr>
          <w:rFonts w:eastAsiaTheme="minorEastAsia" w:cs="Arial"/>
          <w:color w:val="auto"/>
        </w:rPr>
      </w:pPr>
      <w:r w:rsidRPr="00080443">
        <w:rPr>
          <w:rFonts w:cs="Arial"/>
        </w:rPr>
        <w:t>5.3.4</w:t>
      </w:r>
      <w:r w:rsidRPr="00080443">
        <w:rPr>
          <w:rFonts w:eastAsiaTheme="minorEastAsia" w:cs="Arial"/>
          <w:color w:val="auto"/>
        </w:rPr>
        <w:tab/>
      </w:r>
      <w:r w:rsidRPr="00080443">
        <w:rPr>
          <w:rFonts w:cs="Arial"/>
        </w:rPr>
        <w:t>Outside-the-band emission limits</w:t>
      </w:r>
      <w:r w:rsidRPr="00080443">
        <w:rPr>
          <w:rFonts w:cs="Arial"/>
        </w:rPr>
        <w:tab/>
      </w:r>
      <w:r w:rsidR="00724CDB" w:rsidRPr="00080443">
        <w:rPr>
          <w:rFonts w:cs="Arial"/>
        </w:rPr>
        <w:fldChar w:fldCharType="begin"/>
      </w:r>
      <w:r w:rsidRPr="00080443">
        <w:rPr>
          <w:rFonts w:cs="Arial"/>
        </w:rPr>
        <w:instrText xml:space="preserve"> PAGEREF _Toc343780512 \h </w:instrText>
      </w:r>
      <w:r w:rsidR="00724CDB" w:rsidRPr="00080443">
        <w:rPr>
          <w:rFonts w:cs="Arial"/>
        </w:rPr>
      </w:r>
      <w:r w:rsidR="00724CDB" w:rsidRPr="00080443">
        <w:rPr>
          <w:rFonts w:cs="Arial"/>
        </w:rPr>
        <w:fldChar w:fldCharType="separate"/>
      </w:r>
      <w:r w:rsidR="00080443" w:rsidRPr="00080443">
        <w:rPr>
          <w:rFonts w:cs="Arial"/>
        </w:rPr>
        <w:t>70</w:t>
      </w:r>
      <w:r w:rsidR="00724CDB" w:rsidRPr="00080443">
        <w:rPr>
          <w:rFonts w:cs="Arial"/>
        </w:rPr>
        <w:fldChar w:fldCharType="end"/>
      </w:r>
    </w:p>
    <w:p w14:paraId="092CAB94"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5.4</w:t>
      </w:r>
      <w:r w:rsidRPr="00080443">
        <w:rPr>
          <w:rFonts w:ascii="Arial" w:eastAsiaTheme="minorEastAsia" w:hAnsi="Arial" w:cs="Arial"/>
          <w:color w:val="auto"/>
          <w:spacing w:val="0"/>
          <w:sz w:val="22"/>
          <w:szCs w:val="22"/>
        </w:rPr>
        <w:tab/>
      </w:r>
      <w:r w:rsidRPr="00080443">
        <w:rPr>
          <w:rFonts w:ascii="Arial" w:hAnsi="Arial" w:cs="Arial"/>
        </w:rPr>
        <w:t xml:space="preserve">The unacceptable levels of interference determination </w:t>
      </w:r>
      <w:r w:rsidR="00080443">
        <w:rPr>
          <w:rFonts w:ascii="Arial" w:hAnsi="Arial" w:cs="Arial"/>
        </w:rPr>
        <w:br/>
      </w:r>
      <w:r w:rsidRPr="00080443">
        <w:rPr>
          <w:rFonts w:ascii="Arial" w:hAnsi="Arial" w:cs="Arial"/>
        </w:rPr>
        <w:t>(subsection 145(4))</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_Toc343780513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70</w:t>
      </w:r>
      <w:r w:rsidR="00724CDB" w:rsidRPr="00080443">
        <w:rPr>
          <w:rFonts w:ascii="Arial" w:hAnsi="Arial" w:cs="Arial"/>
        </w:rPr>
        <w:fldChar w:fldCharType="end"/>
      </w:r>
    </w:p>
    <w:p w14:paraId="11BF0677" w14:textId="77777777" w:rsidR="004D411C" w:rsidRPr="00080443" w:rsidRDefault="004D411C">
      <w:pPr>
        <w:pStyle w:val="TOC3"/>
        <w:tabs>
          <w:tab w:val="left" w:pos="885"/>
        </w:tabs>
        <w:rPr>
          <w:rFonts w:eastAsiaTheme="minorEastAsia" w:cs="Arial"/>
          <w:color w:val="auto"/>
        </w:rPr>
      </w:pPr>
      <w:r w:rsidRPr="00080443">
        <w:rPr>
          <w:rFonts w:cs="Arial"/>
        </w:rPr>
        <w:t>5.4.1</w:t>
      </w:r>
      <w:r w:rsidRPr="00080443">
        <w:rPr>
          <w:rFonts w:eastAsiaTheme="minorEastAsia" w:cs="Arial"/>
          <w:color w:val="auto"/>
        </w:rPr>
        <w:tab/>
      </w:r>
      <w:r w:rsidRPr="00080443">
        <w:rPr>
          <w:rFonts w:cs="Arial"/>
        </w:rPr>
        <w:t>Device boundary criteria</w:t>
      </w:r>
      <w:r w:rsidRPr="00080443">
        <w:rPr>
          <w:rFonts w:cs="Arial"/>
        </w:rPr>
        <w:tab/>
      </w:r>
      <w:r w:rsidR="00724CDB" w:rsidRPr="00080443">
        <w:rPr>
          <w:rFonts w:cs="Arial"/>
        </w:rPr>
        <w:fldChar w:fldCharType="begin"/>
      </w:r>
      <w:r w:rsidRPr="00080443">
        <w:rPr>
          <w:rFonts w:cs="Arial"/>
        </w:rPr>
        <w:instrText xml:space="preserve"> PAGEREF _Toc343780514 \h </w:instrText>
      </w:r>
      <w:r w:rsidR="00724CDB" w:rsidRPr="00080443">
        <w:rPr>
          <w:rFonts w:cs="Arial"/>
        </w:rPr>
      </w:r>
      <w:r w:rsidR="00724CDB" w:rsidRPr="00080443">
        <w:rPr>
          <w:rFonts w:cs="Arial"/>
        </w:rPr>
        <w:fldChar w:fldCharType="separate"/>
      </w:r>
      <w:r w:rsidR="00080443" w:rsidRPr="00080443">
        <w:rPr>
          <w:rFonts w:cs="Arial"/>
        </w:rPr>
        <w:t>71</w:t>
      </w:r>
      <w:r w:rsidR="00724CDB" w:rsidRPr="00080443">
        <w:rPr>
          <w:rFonts w:cs="Arial"/>
        </w:rPr>
        <w:fldChar w:fldCharType="end"/>
      </w:r>
    </w:p>
    <w:p w14:paraId="6867B176" w14:textId="77777777" w:rsidR="004D411C" w:rsidRPr="00080443" w:rsidRDefault="004D411C">
      <w:pPr>
        <w:pStyle w:val="TOC3"/>
        <w:tabs>
          <w:tab w:val="left" w:pos="885"/>
        </w:tabs>
        <w:rPr>
          <w:rFonts w:eastAsiaTheme="minorEastAsia" w:cs="Arial"/>
          <w:color w:val="auto"/>
        </w:rPr>
      </w:pPr>
      <w:r w:rsidRPr="00080443">
        <w:rPr>
          <w:rFonts w:cs="Arial"/>
        </w:rPr>
        <w:t>5.4.2</w:t>
      </w:r>
      <w:r w:rsidRPr="00080443">
        <w:rPr>
          <w:rFonts w:eastAsiaTheme="minorEastAsia" w:cs="Arial"/>
          <w:color w:val="auto"/>
        </w:rPr>
        <w:tab/>
      </w:r>
      <w:r w:rsidRPr="00080443">
        <w:rPr>
          <w:rFonts w:cs="Arial"/>
        </w:rPr>
        <w:t>Deployment constraints</w:t>
      </w:r>
      <w:r w:rsidRPr="00080443">
        <w:rPr>
          <w:rFonts w:cs="Arial"/>
        </w:rPr>
        <w:tab/>
      </w:r>
      <w:r w:rsidR="00724CDB" w:rsidRPr="00080443">
        <w:rPr>
          <w:rFonts w:cs="Arial"/>
        </w:rPr>
        <w:fldChar w:fldCharType="begin"/>
      </w:r>
      <w:r w:rsidRPr="00080443">
        <w:rPr>
          <w:rFonts w:cs="Arial"/>
        </w:rPr>
        <w:instrText xml:space="preserve"> PAGEREF _Toc343780515 \h </w:instrText>
      </w:r>
      <w:r w:rsidR="00724CDB" w:rsidRPr="00080443">
        <w:rPr>
          <w:rFonts w:cs="Arial"/>
        </w:rPr>
      </w:r>
      <w:r w:rsidR="00724CDB" w:rsidRPr="00080443">
        <w:rPr>
          <w:rFonts w:cs="Arial"/>
        </w:rPr>
        <w:fldChar w:fldCharType="separate"/>
      </w:r>
      <w:r w:rsidR="00080443" w:rsidRPr="00080443">
        <w:rPr>
          <w:rFonts w:cs="Arial"/>
        </w:rPr>
        <w:t>71</w:t>
      </w:r>
      <w:r w:rsidR="00724CDB" w:rsidRPr="00080443">
        <w:rPr>
          <w:rFonts w:cs="Arial"/>
        </w:rPr>
        <w:fldChar w:fldCharType="end"/>
      </w:r>
    </w:p>
    <w:p w14:paraId="6D0FD87A" w14:textId="77777777" w:rsidR="004D411C" w:rsidRPr="00080443" w:rsidRDefault="004D411C">
      <w:pPr>
        <w:pStyle w:val="TOC3"/>
        <w:tabs>
          <w:tab w:val="left" w:pos="885"/>
        </w:tabs>
        <w:rPr>
          <w:rFonts w:eastAsiaTheme="minorEastAsia" w:cs="Arial"/>
          <w:color w:val="auto"/>
        </w:rPr>
      </w:pPr>
      <w:r w:rsidRPr="00080443">
        <w:rPr>
          <w:rFonts w:cs="Arial"/>
        </w:rPr>
        <w:t>5.4.3</w:t>
      </w:r>
      <w:r w:rsidRPr="00080443">
        <w:rPr>
          <w:rFonts w:eastAsiaTheme="minorEastAsia" w:cs="Arial"/>
          <w:color w:val="auto"/>
        </w:rPr>
        <w:tab/>
      </w:r>
      <w:r w:rsidRPr="00080443">
        <w:rPr>
          <w:rFonts w:cs="Arial"/>
        </w:rPr>
        <w:t>Registration of devices</w:t>
      </w:r>
      <w:r w:rsidRPr="00080443">
        <w:rPr>
          <w:rFonts w:cs="Arial"/>
        </w:rPr>
        <w:tab/>
      </w:r>
      <w:r w:rsidR="00724CDB" w:rsidRPr="00080443">
        <w:rPr>
          <w:rFonts w:cs="Arial"/>
        </w:rPr>
        <w:fldChar w:fldCharType="begin"/>
      </w:r>
      <w:r w:rsidRPr="00080443">
        <w:rPr>
          <w:rFonts w:cs="Arial"/>
        </w:rPr>
        <w:instrText xml:space="preserve"> PAGEREF _Toc343780516 \h </w:instrText>
      </w:r>
      <w:r w:rsidR="00724CDB" w:rsidRPr="00080443">
        <w:rPr>
          <w:rFonts w:cs="Arial"/>
        </w:rPr>
      </w:r>
      <w:r w:rsidR="00724CDB" w:rsidRPr="00080443">
        <w:rPr>
          <w:rFonts w:cs="Arial"/>
        </w:rPr>
        <w:fldChar w:fldCharType="separate"/>
      </w:r>
      <w:r w:rsidR="00080443" w:rsidRPr="00080443">
        <w:rPr>
          <w:rFonts w:cs="Arial"/>
        </w:rPr>
        <w:t>72</w:t>
      </w:r>
      <w:r w:rsidR="00724CDB" w:rsidRPr="00080443">
        <w:rPr>
          <w:rFonts w:cs="Arial"/>
        </w:rPr>
        <w:fldChar w:fldCharType="end"/>
      </w:r>
    </w:p>
    <w:p w14:paraId="13F0ADA5" w14:textId="77777777" w:rsidR="004D411C" w:rsidRPr="00080443" w:rsidRDefault="004D411C">
      <w:pPr>
        <w:pStyle w:val="TOC3"/>
        <w:tabs>
          <w:tab w:val="left" w:pos="885"/>
        </w:tabs>
        <w:rPr>
          <w:rFonts w:eastAsiaTheme="minorEastAsia" w:cs="Arial"/>
          <w:color w:val="auto"/>
        </w:rPr>
      </w:pPr>
      <w:r w:rsidRPr="00080443">
        <w:rPr>
          <w:rFonts w:cs="Arial"/>
        </w:rPr>
        <w:t>5.4.4</w:t>
      </w:r>
      <w:r w:rsidRPr="00080443">
        <w:rPr>
          <w:rFonts w:eastAsiaTheme="minorEastAsia" w:cs="Arial"/>
          <w:color w:val="auto"/>
        </w:rPr>
        <w:tab/>
      </w:r>
      <w:r w:rsidRPr="00080443">
        <w:rPr>
          <w:rFonts w:cs="Arial"/>
        </w:rPr>
        <w:t>Interference impact certificates</w:t>
      </w:r>
      <w:r w:rsidRPr="00080443">
        <w:rPr>
          <w:rFonts w:cs="Arial"/>
        </w:rPr>
        <w:tab/>
      </w:r>
      <w:r w:rsidR="00724CDB" w:rsidRPr="00080443">
        <w:rPr>
          <w:rFonts w:cs="Arial"/>
        </w:rPr>
        <w:fldChar w:fldCharType="begin"/>
      </w:r>
      <w:r w:rsidRPr="00080443">
        <w:rPr>
          <w:rFonts w:cs="Arial"/>
        </w:rPr>
        <w:instrText xml:space="preserve"> PAGEREF _Toc343780517 \h </w:instrText>
      </w:r>
      <w:r w:rsidR="00724CDB" w:rsidRPr="00080443">
        <w:rPr>
          <w:rFonts w:cs="Arial"/>
        </w:rPr>
      </w:r>
      <w:r w:rsidR="00724CDB" w:rsidRPr="00080443">
        <w:rPr>
          <w:rFonts w:cs="Arial"/>
        </w:rPr>
        <w:fldChar w:fldCharType="separate"/>
      </w:r>
      <w:r w:rsidR="00080443" w:rsidRPr="00080443">
        <w:rPr>
          <w:rFonts w:cs="Arial"/>
        </w:rPr>
        <w:t>72</w:t>
      </w:r>
      <w:r w:rsidR="00724CDB" w:rsidRPr="00080443">
        <w:rPr>
          <w:rFonts w:cs="Arial"/>
        </w:rPr>
        <w:fldChar w:fldCharType="end"/>
      </w:r>
    </w:p>
    <w:p w14:paraId="13424705" w14:textId="77777777" w:rsidR="004D411C" w:rsidRPr="00080443" w:rsidRDefault="004D411C">
      <w:pPr>
        <w:pStyle w:val="TOC3"/>
        <w:tabs>
          <w:tab w:val="left" w:pos="885"/>
        </w:tabs>
        <w:rPr>
          <w:rFonts w:eastAsiaTheme="minorEastAsia" w:cs="Arial"/>
          <w:color w:val="auto"/>
        </w:rPr>
      </w:pPr>
      <w:r w:rsidRPr="00080443">
        <w:rPr>
          <w:rFonts w:cs="Arial"/>
        </w:rPr>
        <w:t>5.4.5</w:t>
      </w:r>
      <w:r w:rsidRPr="00080443">
        <w:rPr>
          <w:rFonts w:eastAsiaTheme="minorEastAsia" w:cs="Arial"/>
          <w:color w:val="auto"/>
        </w:rPr>
        <w:tab/>
      </w:r>
      <w:r w:rsidRPr="00080443">
        <w:rPr>
          <w:rFonts w:cs="Arial"/>
        </w:rPr>
        <w:t>Core condition agreements</w:t>
      </w:r>
      <w:r w:rsidRPr="00080443">
        <w:rPr>
          <w:rFonts w:cs="Arial"/>
        </w:rPr>
        <w:tab/>
      </w:r>
      <w:r w:rsidR="00724CDB" w:rsidRPr="00080443">
        <w:rPr>
          <w:rFonts w:cs="Arial"/>
        </w:rPr>
        <w:fldChar w:fldCharType="begin"/>
      </w:r>
      <w:r w:rsidRPr="00080443">
        <w:rPr>
          <w:rFonts w:cs="Arial"/>
        </w:rPr>
        <w:instrText xml:space="preserve"> PAGEREF _Toc343780518 \h </w:instrText>
      </w:r>
      <w:r w:rsidR="00724CDB" w:rsidRPr="00080443">
        <w:rPr>
          <w:rFonts w:cs="Arial"/>
        </w:rPr>
      </w:r>
      <w:r w:rsidR="00724CDB" w:rsidRPr="00080443">
        <w:rPr>
          <w:rFonts w:cs="Arial"/>
        </w:rPr>
        <w:fldChar w:fldCharType="separate"/>
      </w:r>
      <w:r w:rsidR="00080443" w:rsidRPr="00080443">
        <w:rPr>
          <w:rFonts w:cs="Arial"/>
        </w:rPr>
        <w:t>73</w:t>
      </w:r>
      <w:r w:rsidR="00724CDB" w:rsidRPr="00080443">
        <w:rPr>
          <w:rFonts w:cs="Arial"/>
        </w:rPr>
        <w:fldChar w:fldCharType="end"/>
      </w:r>
    </w:p>
    <w:p w14:paraId="70AB4781" w14:textId="77777777" w:rsidR="004D411C" w:rsidRPr="00080443" w:rsidRDefault="004D411C">
      <w:pPr>
        <w:pStyle w:val="TOC3"/>
        <w:tabs>
          <w:tab w:val="left" w:pos="885"/>
        </w:tabs>
        <w:rPr>
          <w:rFonts w:eastAsiaTheme="minorEastAsia" w:cs="Arial"/>
          <w:color w:val="auto"/>
        </w:rPr>
      </w:pPr>
      <w:r w:rsidRPr="00080443">
        <w:rPr>
          <w:rFonts w:cs="Arial"/>
        </w:rPr>
        <w:t>5.4.6</w:t>
      </w:r>
      <w:r w:rsidRPr="00080443">
        <w:rPr>
          <w:rFonts w:eastAsiaTheme="minorEastAsia" w:cs="Arial"/>
          <w:color w:val="auto"/>
        </w:rPr>
        <w:tab/>
      </w:r>
      <w:r w:rsidRPr="00080443">
        <w:rPr>
          <w:rFonts w:cs="Arial"/>
        </w:rPr>
        <w:t>Registering groups of transmitters and receivers</w:t>
      </w:r>
      <w:r w:rsidRPr="00080443">
        <w:rPr>
          <w:rFonts w:cs="Arial"/>
        </w:rPr>
        <w:tab/>
      </w:r>
      <w:r w:rsidR="00724CDB" w:rsidRPr="00080443">
        <w:rPr>
          <w:rFonts w:cs="Arial"/>
        </w:rPr>
        <w:fldChar w:fldCharType="begin"/>
      </w:r>
      <w:r w:rsidRPr="00080443">
        <w:rPr>
          <w:rFonts w:cs="Arial"/>
        </w:rPr>
        <w:instrText xml:space="preserve"> PAGEREF _Toc343780519 \h </w:instrText>
      </w:r>
      <w:r w:rsidR="00724CDB" w:rsidRPr="00080443">
        <w:rPr>
          <w:rFonts w:cs="Arial"/>
        </w:rPr>
      </w:r>
      <w:r w:rsidR="00724CDB" w:rsidRPr="00080443">
        <w:rPr>
          <w:rFonts w:cs="Arial"/>
        </w:rPr>
        <w:fldChar w:fldCharType="separate"/>
      </w:r>
      <w:r w:rsidR="00080443" w:rsidRPr="00080443">
        <w:rPr>
          <w:rFonts w:cs="Arial"/>
        </w:rPr>
        <w:t>73</w:t>
      </w:r>
      <w:r w:rsidR="00724CDB" w:rsidRPr="00080443">
        <w:rPr>
          <w:rFonts w:cs="Arial"/>
        </w:rPr>
        <w:fldChar w:fldCharType="end"/>
      </w:r>
    </w:p>
    <w:p w14:paraId="75E32502" w14:textId="77777777" w:rsidR="004D411C" w:rsidRPr="00080443" w:rsidRDefault="004D411C">
      <w:pPr>
        <w:pStyle w:val="TOC3"/>
        <w:tabs>
          <w:tab w:val="left" w:pos="885"/>
        </w:tabs>
        <w:rPr>
          <w:rFonts w:eastAsiaTheme="minorEastAsia" w:cs="Arial"/>
          <w:color w:val="auto"/>
        </w:rPr>
      </w:pPr>
      <w:r w:rsidRPr="00080443">
        <w:rPr>
          <w:rFonts w:cs="Arial"/>
        </w:rPr>
        <w:t>5.4.7</w:t>
      </w:r>
      <w:r w:rsidRPr="00080443">
        <w:rPr>
          <w:rFonts w:eastAsiaTheme="minorEastAsia" w:cs="Arial"/>
          <w:color w:val="auto"/>
        </w:rPr>
        <w:tab/>
      </w:r>
      <w:r w:rsidRPr="00080443">
        <w:rPr>
          <w:rFonts w:cs="Arial"/>
        </w:rPr>
        <w:t>Registration exemptions</w:t>
      </w:r>
      <w:r w:rsidRPr="00080443">
        <w:rPr>
          <w:rFonts w:cs="Arial"/>
        </w:rPr>
        <w:tab/>
      </w:r>
      <w:r w:rsidR="00724CDB" w:rsidRPr="00080443">
        <w:rPr>
          <w:rFonts w:cs="Arial"/>
        </w:rPr>
        <w:fldChar w:fldCharType="begin"/>
      </w:r>
      <w:r w:rsidRPr="00080443">
        <w:rPr>
          <w:rFonts w:cs="Arial"/>
        </w:rPr>
        <w:instrText xml:space="preserve"> PAGEREF _Toc343780520 \h </w:instrText>
      </w:r>
      <w:r w:rsidR="00724CDB" w:rsidRPr="00080443">
        <w:rPr>
          <w:rFonts w:cs="Arial"/>
        </w:rPr>
      </w:r>
      <w:r w:rsidR="00724CDB" w:rsidRPr="00080443">
        <w:rPr>
          <w:rFonts w:cs="Arial"/>
        </w:rPr>
        <w:fldChar w:fldCharType="separate"/>
      </w:r>
      <w:r w:rsidR="00080443" w:rsidRPr="00080443">
        <w:rPr>
          <w:rFonts w:cs="Arial"/>
        </w:rPr>
        <w:t>73</w:t>
      </w:r>
      <w:r w:rsidR="00724CDB" w:rsidRPr="00080443">
        <w:rPr>
          <w:rFonts w:cs="Arial"/>
        </w:rPr>
        <w:fldChar w:fldCharType="end"/>
      </w:r>
    </w:p>
    <w:p w14:paraId="260FB564" w14:textId="77777777" w:rsidR="004D411C" w:rsidRPr="00080443" w:rsidRDefault="004D411C">
      <w:pPr>
        <w:pStyle w:val="TOC3"/>
        <w:tabs>
          <w:tab w:val="left" w:pos="885"/>
        </w:tabs>
        <w:rPr>
          <w:rFonts w:eastAsiaTheme="minorEastAsia" w:cs="Arial"/>
          <w:color w:val="auto"/>
        </w:rPr>
      </w:pPr>
      <w:r w:rsidRPr="00080443">
        <w:rPr>
          <w:rFonts w:cs="Arial"/>
        </w:rPr>
        <w:t>5.4.8</w:t>
      </w:r>
      <w:r w:rsidRPr="00080443">
        <w:rPr>
          <w:rFonts w:eastAsiaTheme="minorEastAsia" w:cs="Arial"/>
          <w:color w:val="auto"/>
        </w:rPr>
        <w:tab/>
      </w:r>
      <w:r w:rsidRPr="00080443">
        <w:rPr>
          <w:rFonts w:cs="Arial"/>
        </w:rPr>
        <w:t>Labelling requirements for transmitters</w:t>
      </w:r>
      <w:r w:rsidRPr="00080443">
        <w:rPr>
          <w:rFonts w:cs="Arial"/>
        </w:rPr>
        <w:tab/>
      </w:r>
      <w:r w:rsidR="00724CDB" w:rsidRPr="00080443">
        <w:rPr>
          <w:rFonts w:cs="Arial"/>
        </w:rPr>
        <w:fldChar w:fldCharType="begin"/>
      </w:r>
      <w:r w:rsidRPr="00080443">
        <w:rPr>
          <w:rFonts w:cs="Arial"/>
        </w:rPr>
        <w:instrText xml:space="preserve"> PAGEREF _Toc343780521 \h </w:instrText>
      </w:r>
      <w:r w:rsidR="00724CDB" w:rsidRPr="00080443">
        <w:rPr>
          <w:rFonts w:cs="Arial"/>
        </w:rPr>
      </w:r>
      <w:r w:rsidR="00724CDB" w:rsidRPr="00080443">
        <w:rPr>
          <w:rFonts w:cs="Arial"/>
        </w:rPr>
        <w:fldChar w:fldCharType="separate"/>
      </w:r>
      <w:r w:rsidR="00080443" w:rsidRPr="00080443">
        <w:rPr>
          <w:rFonts w:cs="Arial"/>
        </w:rPr>
        <w:t>73</w:t>
      </w:r>
      <w:r w:rsidR="00724CDB" w:rsidRPr="00080443">
        <w:rPr>
          <w:rFonts w:cs="Arial"/>
        </w:rPr>
        <w:fldChar w:fldCharType="end"/>
      </w:r>
    </w:p>
    <w:p w14:paraId="43AE73F3"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5.5</w:t>
      </w:r>
      <w:r w:rsidRPr="00080443">
        <w:rPr>
          <w:rFonts w:ascii="Arial" w:eastAsiaTheme="minorEastAsia" w:hAnsi="Arial" w:cs="Arial"/>
          <w:color w:val="auto"/>
          <w:spacing w:val="0"/>
          <w:sz w:val="22"/>
          <w:szCs w:val="22"/>
        </w:rPr>
        <w:tab/>
      </w:r>
      <w:r w:rsidRPr="00080443">
        <w:rPr>
          <w:rFonts w:ascii="Arial" w:hAnsi="Arial" w:cs="Arial"/>
        </w:rPr>
        <w:t>Radiocommunications advisory guidelines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_Toc343780522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73</w:t>
      </w:r>
      <w:r w:rsidR="00724CDB" w:rsidRPr="00080443">
        <w:rPr>
          <w:rFonts w:ascii="Arial" w:hAnsi="Arial" w:cs="Arial"/>
        </w:rPr>
        <w:fldChar w:fldCharType="end"/>
      </w:r>
    </w:p>
    <w:p w14:paraId="16A31B14" w14:textId="77777777" w:rsidR="004D411C" w:rsidRPr="00080443" w:rsidRDefault="004D411C">
      <w:pPr>
        <w:pStyle w:val="TOC3"/>
        <w:tabs>
          <w:tab w:val="left" w:pos="885"/>
        </w:tabs>
        <w:rPr>
          <w:rFonts w:eastAsiaTheme="minorEastAsia" w:cs="Arial"/>
          <w:color w:val="auto"/>
        </w:rPr>
      </w:pPr>
      <w:r w:rsidRPr="00080443">
        <w:rPr>
          <w:rFonts w:cs="Arial"/>
        </w:rPr>
        <w:t>5.5.1</w:t>
      </w:r>
      <w:r w:rsidRPr="00080443">
        <w:rPr>
          <w:rFonts w:eastAsiaTheme="minorEastAsia" w:cs="Arial"/>
          <w:color w:val="auto"/>
        </w:rPr>
        <w:tab/>
      </w:r>
      <w:r w:rsidRPr="00080443">
        <w:rPr>
          <w:rFonts w:cs="Arial"/>
        </w:rPr>
        <w:t>Managing interference to spectrum-licensed receivers</w:t>
      </w:r>
      <w:r w:rsidRPr="00080443">
        <w:rPr>
          <w:rFonts w:cs="Arial"/>
        </w:rPr>
        <w:tab/>
      </w:r>
      <w:r w:rsidR="00724CDB" w:rsidRPr="00080443">
        <w:rPr>
          <w:rFonts w:cs="Arial"/>
        </w:rPr>
        <w:fldChar w:fldCharType="begin"/>
      </w:r>
      <w:r w:rsidRPr="00080443">
        <w:rPr>
          <w:rFonts w:cs="Arial"/>
        </w:rPr>
        <w:instrText xml:space="preserve"> PAGEREF _Toc343780523 \h </w:instrText>
      </w:r>
      <w:r w:rsidR="00724CDB" w:rsidRPr="00080443">
        <w:rPr>
          <w:rFonts w:cs="Arial"/>
        </w:rPr>
      </w:r>
      <w:r w:rsidR="00724CDB" w:rsidRPr="00080443">
        <w:rPr>
          <w:rFonts w:cs="Arial"/>
        </w:rPr>
        <w:fldChar w:fldCharType="separate"/>
      </w:r>
      <w:r w:rsidR="00080443" w:rsidRPr="00080443">
        <w:rPr>
          <w:rFonts w:cs="Arial"/>
        </w:rPr>
        <w:t>74</w:t>
      </w:r>
      <w:r w:rsidR="00724CDB" w:rsidRPr="00080443">
        <w:rPr>
          <w:rFonts w:cs="Arial"/>
        </w:rPr>
        <w:fldChar w:fldCharType="end"/>
      </w:r>
    </w:p>
    <w:p w14:paraId="0A529407" w14:textId="77777777" w:rsidR="004D411C" w:rsidRPr="00080443" w:rsidRDefault="004D411C" w:rsidP="004D411C">
      <w:pPr>
        <w:pStyle w:val="TOC3"/>
        <w:tabs>
          <w:tab w:val="left" w:pos="885"/>
        </w:tabs>
        <w:ind w:left="885" w:hanging="885"/>
        <w:rPr>
          <w:rFonts w:eastAsiaTheme="minorEastAsia" w:cs="Arial"/>
          <w:color w:val="auto"/>
        </w:rPr>
      </w:pPr>
      <w:r w:rsidRPr="00080443">
        <w:rPr>
          <w:rFonts w:cs="Arial"/>
        </w:rPr>
        <w:t>5.5.2</w:t>
      </w:r>
      <w:r w:rsidRPr="00080443">
        <w:rPr>
          <w:rFonts w:eastAsiaTheme="minorEastAsia" w:cs="Arial"/>
          <w:color w:val="auto"/>
        </w:rPr>
        <w:tab/>
      </w:r>
      <w:r w:rsidRPr="00080443">
        <w:rPr>
          <w:rFonts w:cs="Arial"/>
        </w:rPr>
        <w:t xml:space="preserve">Managing interference from spectrum-licensed transmitters to </w:t>
      </w:r>
      <w:r w:rsidR="00080443">
        <w:rPr>
          <w:rFonts w:cs="Arial"/>
        </w:rPr>
        <w:br/>
      </w:r>
      <w:r w:rsidRPr="00080443">
        <w:rPr>
          <w:rFonts w:cs="Arial"/>
        </w:rPr>
        <w:t>other services</w:t>
      </w:r>
      <w:r w:rsidRPr="00080443">
        <w:rPr>
          <w:rFonts w:cs="Arial"/>
        </w:rPr>
        <w:tab/>
      </w:r>
      <w:r w:rsidR="00724CDB" w:rsidRPr="00080443">
        <w:rPr>
          <w:rFonts w:cs="Arial"/>
        </w:rPr>
        <w:fldChar w:fldCharType="begin"/>
      </w:r>
      <w:r w:rsidRPr="00080443">
        <w:rPr>
          <w:rFonts w:cs="Arial"/>
        </w:rPr>
        <w:instrText xml:space="preserve"> PAGEREF _Toc343780524 \h </w:instrText>
      </w:r>
      <w:r w:rsidR="00724CDB" w:rsidRPr="00080443">
        <w:rPr>
          <w:rFonts w:cs="Arial"/>
        </w:rPr>
      </w:r>
      <w:r w:rsidR="00724CDB" w:rsidRPr="00080443">
        <w:rPr>
          <w:rFonts w:cs="Arial"/>
        </w:rPr>
        <w:fldChar w:fldCharType="separate"/>
      </w:r>
      <w:r w:rsidR="00080443" w:rsidRPr="00080443">
        <w:rPr>
          <w:rFonts w:cs="Arial"/>
        </w:rPr>
        <w:t>75</w:t>
      </w:r>
      <w:r w:rsidR="00724CDB" w:rsidRPr="00080443">
        <w:rPr>
          <w:rFonts w:cs="Arial"/>
        </w:rPr>
        <w:fldChar w:fldCharType="end"/>
      </w:r>
    </w:p>
    <w:p w14:paraId="1D058824"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5.6</w:t>
      </w:r>
      <w:r w:rsidRPr="00080443">
        <w:rPr>
          <w:rFonts w:ascii="Arial" w:eastAsiaTheme="minorEastAsia" w:hAnsi="Arial" w:cs="Arial"/>
          <w:color w:val="auto"/>
          <w:spacing w:val="0"/>
          <w:sz w:val="22"/>
          <w:szCs w:val="22"/>
        </w:rPr>
        <w:tab/>
      </w:r>
      <w:r w:rsidRPr="00080443">
        <w:rPr>
          <w:rFonts w:ascii="Arial" w:hAnsi="Arial" w:cs="Arial"/>
        </w:rPr>
        <w:t>Statutory licence conditions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_Toc343780525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75</w:t>
      </w:r>
      <w:r w:rsidR="00724CDB" w:rsidRPr="00080443">
        <w:rPr>
          <w:rFonts w:ascii="Arial" w:hAnsi="Arial" w:cs="Arial"/>
        </w:rPr>
        <w:fldChar w:fldCharType="end"/>
      </w:r>
    </w:p>
    <w:p w14:paraId="78449E5F" w14:textId="77777777" w:rsidR="004D411C" w:rsidRPr="00080443" w:rsidRDefault="004D411C">
      <w:pPr>
        <w:pStyle w:val="TOC3"/>
        <w:tabs>
          <w:tab w:val="left" w:pos="885"/>
        </w:tabs>
        <w:rPr>
          <w:rFonts w:eastAsiaTheme="minorEastAsia" w:cs="Arial"/>
          <w:color w:val="auto"/>
        </w:rPr>
      </w:pPr>
      <w:r w:rsidRPr="00080443">
        <w:rPr>
          <w:rFonts w:cs="Arial"/>
        </w:rPr>
        <w:t>5.6.1</w:t>
      </w:r>
      <w:r w:rsidRPr="00080443">
        <w:rPr>
          <w:rFonts w:eastAsiaTheme="minorEastAsia" w:cs="Arial"/>
          <w:color w:val="auto"/>
        </w:rPr>
        <w:tab/>
      </w:r>
      <w:r w:rsidRPr="00080443">
        <w:rPr>
          <w:rFonts w:cs="Arial"/>
        </w:rPr>
        <w:t>Payment of charges</w:t>
      </w:r>
      <w:r w:rsidRPr="00080443">
        <w:rPr>
          <w:rFonts w:cs="Arial"/>
        </w:rPr>
        <w:tab/>
      </w:r>
      <w:r w:rsidR="00724CDB" w:rsidRPr="00080443">
        <w:rPr>
          <w:rFonts w:cs="Arial"/>
        </w:rPr>
        <w:fldChar w:fldCharType="begin"/>
      </w:r>
      <w:r w:rsidRPr="00080443">
        <w:rPr>
          <w:rFonts w:cs="Arial"/>
        </w:rPr>
        <w:instrText xml:space="preserve"> PAGEREF _Toc343780526 \h </w:instrText>
      </w:r>
      <w:r w:rsidR="00724CDB" w:rsidRPr="00080443">
        <w:rPr>
          <w:rFonts w:cs="Arial"/>
        </w:rPr>
      </w:r>
      <w:r w:rsidR="00724CDB" w:rsidRPr="00080443">
        <w:rPr>
          <w:rFonts w:cs="Arial"/>
        </w:rPr>
        <w:fldChar w:fldCharType="separate"/>
      </w:r>
      <w:r w:rsidR="00080443" w:rsidRPr="00080443">
        <w:rPr>
          <w:rFonts w:cs="Arial"/>
        </w:rPr>
        <w:t>75</w:t>
      </w:r>
      <w:r w:rsidR="00724CDB" w:rsidRPr="00080443">
        <w:rPr>
          <w:rFonts w:cs="Arial"/>
        </w:rPr>
        <w:fldChar w:fldCharType="end"/>
      </w:r>
    </w:p>
    <w:p w14:paraId="7B7CA5C8" w14:textId="77777777" w:rsidR="004D411C" w:rsidRPr="00080443" w:rsidRDefault="004D411C">
      <w:pPr>
        <w:pStyle w:val="TOC3"/>
        <w:tabs>
          <w:tab w:val="left" w:pos="885"/>
        </w:tabs>
        <w:rPr>
          <w:rFonts w:eastAsiaTheme="minorEastAsia" w:cs="Arial"/>
          <w:color w:val="auto"/>
        </w:rPr>
      </w:pPr>
      <w:r w:rsidRPr="00080443">
        <w:rPr>
          <w:rFonts w:cs="Arial"/>
        </w:rPr>
        <w:t>5.6.2</w:t>
      </w:r>
      <w:r w:rsidRPr="00080443">
        <w:rPr>
          <w:rFonts w:eastAsiaTheme="minorEastAsia" w:cs="Arial"/>
          <w:color w:val="auto"/>
        </w:rPr>
        <w:tab/>
      </w:r>
      <w:r w:rsidRPr="00080443">
        <w:rPr>
          <w:rFonts w:cs="Arial"/>
        </w:rPr>
        <w:t>Authorisation of third parties</w:t>
      </w:r>
      <w:r w:rsidRPr="00080443">
        <w:rPr>
          <w:rFonts w:cs="Arial"/>
        </w:rPr>
        <w:tab/>
      </w:r>
      <w:r w:rsidR="00724CDB" w:rsidRPr="00080443">
        <w:rPr>
          <w:rFonts w:cs="Arial"/>
        </w:rPr>
        <w:fldChar w:fldCharType="begin"/>
      </w:r>
      <w:r w:rsidRPr="00080443">
        <w:rPr>
          <w:rFonts w:cs="Arial"/>
        </w:rPr>
        <w:instrText xml:space="preserve"> PAGEREF _Toc343780527 \h </w:instrText>
      </w:r>
      <w:r w:rsidR="00724CDB" w:rsidRPr="00080443">
        <w:rPr>
          <w:rFonts w:cs="Arial"/>
        </w:rPr>
      </w:r>
      <w:r w:rsidR="00724CDB" w:rsidRPr="00080443">
        <w:rPr>
          <w:rFonts w:cs="Arial"/>
        </w:rPr>
        <w:fldChar w:fldCharType="separate"/>
      </w:r>
      <w:r w:rsidR="00080443" w:rsidRPr="00080443">
        <w:rPr>
          <w:rFonts w:cs="Arial"/>
        </w:rPr>
        <w:t>75</w:t>
      </w:r>
      <w:r w:rsidR="00724CDB" w:rsidRPr="00080443">
        <w:rPr>
          <w:rFonts w:cs="Arial"/>
        </w:rPr>
        <w:fldChar w:fldCharType="end"/>
      </w:r>
    </w:p>
    <w:p w14:paraId="77F0F2D9" w14:textId="77777777" w:rsidR="004D411C" w:rsidRPr="00080443" w:rsidRDefault="004D411C">
      <w:pPr>
        <w:pStyle w:val="TOC3"/>
        <w:tabs>
          <w:tab w:val="left" w:pos="885"/>
        </w:tabs>
        <w:rPr>
          <w:rFonts w:eastAsiaTheme="minorEastAsia" w:cs="Arial"/>
          <w:color w:val="auto"/>
        </w:rPr>
      </w:pPr>
      <w:r w:rsidRPr="00080443">
        <w:rPr>
          <w:rFonts w:cs="Arial"/>
        </w:rPr>
        <w:t>5.6.3</w:t>
      </w:r>
      <w:r w:rsidRPr="00080443">
        <w:rPr>
          <w:rFonts w:eastAsiaTheme="minorEastAsia" w:cs="Arial"/>
          <w:color w:val="auto"/>
        </w:rPr>
        <w:tab/>
      </w:r>
      <w:r w:rsidRPr="00080443">
        <w:rPr>
          <w:rFonts w:cs="Arial"/>
          <w:lang w:val="en-US"/>
        </w:rPr>
        <w:t>Registration of radiocommunications transmitters</w:t>
      </w:r>
      <w:r w:rsidRPr="00080443">
        <w:rPr>
          <w:rFonts w:cs="Arial"/>
        </w:rPr>
        <w:tab/>
      </w:r>
      <w:r w:rsidR="00724CDB" w:rsidRPr="00080443">
        <w:rPr>
          <w:rFonts w:cs="Arial"/>
        </w:rPr>
        <w:fldChar w:fldCharType="begin"/>
      </w:r>
      <w:r w:rsidRPr="00080443">
        <w:rPr>
          <w:rFonts w:cs="Arial"/>
        </w:rPr>
        <w:instrText xml:space="preserve"> PAGEREF _Toc343780528 \h </w:instrText>
      </w:r>
      <w:r w:rsidR="00724CDB" w:rsidRPr="00080443">
        <w:rPr>
          <w:rFonts w:cs="Arial"/>
        </w:rPr>
      </w:r>
      <w:r w:rsidR="00724CDB" w:rsidRPr="00080443">
        <w:rPr>
          <w:rFonts w:cs="Arial"/>
        </w:rPr>
        <w:fldChar w:fldCharType="separate"/>
      </w:r>
      <w:r w:rsidR="00080443" w:rsidRPr="00080443">
        <w:rPr>
          <w:rFonts w:cs="Arial"/>
        </w:rPr>
        <w:t>75</w:t>
      </w:r>
      <w:r w:rsidR="00724CDB" w:rsidRPr="00080443">
        <w:rPr>
          <w:rFonts w:cs="Arial"/>
        </w:rPr>
        <w:fldChar w:fldCharType="end"/>
      </w:r>
    </w:p>
    <w:p w14:paraId="71A15F26" w14:textId="77777777" w:rsidR="004D411C" w:rsidRPr="00080443" w:rsidRDefault="004D411C">
      <w:pPr>
        <w:pStyle w:val="TOC3"/>
        <w:tabs>
          <w:tab w:val="left" w:pos="885"/>
        </w:tabs>
        <w:rPr>
          <w:rFonts w:eastAsiaTheme="minorEastAsia" w:cs="Arial"/>
          <w:color w:val="auto"/>
        </w:rPr>
      </w:pPr>
      <w:r w:rsidRPr="00080443">
        <w:rPr>
          <w:rFonts w:cs="Arial"/>
        </w:rPr>
        <w:t>5.6.4</w:t>
      </w:r>
      <w:r w:rsidRPr="00080443">
        <w:rPr>
          <w:rFonts w:eastAsiaTheme="minorEastAsia" w:cs="Arial"/>
          <w:color w:val="auto"/>
        </w:rPr>
        <w:tab/>
      </w:r>
      <w:r w:rsidRPr="00080443">
        <w:rPr>
          <w:rFonts w:cs="Arial"/>
          <w:lang w:val="en-US"/>
        </w:rPr>
        <w:t>Residency</w:t>
      </w:r>
      <w:r w:rsidRPr="00080443">
        <w:rPr>
          <w:rFonts w:cs="Arial"/>
        </w:rPr>
        <w:tab/>
      </w:r>
      <w:r w:rsidR="00724CDB" w:rsidRPr="00080443">
        <w:rPr>
          <w:rFonts w:cs="Arial"/>
        </w:rPr>
        <w:fldChar w:fldCharType="begin"/>
      </w:r>
      <w:r w:rsidRPr="00080443">
        <w:rPr>
          <w:rFonts w:cs="Arial"/>
        </w:rPr>
        <w:instrText xml:space="preserve"> PAGEREF _Toc343780529 \h </w:instrText>
      </w:r>
      <w:r w:rsidR="00724CDB" w:rsidRPr="00080443">
        <w:rPr>
          <w:rFonts w:cs="Arial"/>
        </w:rPr>
      </w:r>
      <w:r w:rsidR="00724CDB" w:rsidRPr="00080443">
        <w:rPr>
          <w:rFonts w:cs="Arial"/>
        </w:rPr>
        <w:fldChar w:fldCharType="separate"/>
      </w:r>
      <w:r w:rsidR="00080443" w:rsidRPr="00080443">
        <w:rPr>
          <w:rFonts w:cs="Arial"/>
        </w:rPr>
        <w:t>76</w:t>
      </w:r>
      <w:r w:rsidR="00724CDB" w:rsidRPr="00080443">
        <w:rPr>
          <w:rFonts w:cs="Arial"/>
        </w:rPr>
        <w:fldChar w:fldCharType="end"/>
      </w:r>
    </w:p>
    <w:p w14:paraId="56CC196F" w14:textId="77777777" w:rsidR="004D411C" w:rsidRPr="00080443" w:rsidRDefault="004D411C">
      <w:pPr>
        <w:pStyle w:val="TOC2"/>
        <w:rPr>
          <w:rFonts w:ascii="Arial" w:hAnsi="Arial" w:cs="Arial"/>
        </w:rPr>
      </w:pPr>
      <w:r w:rsidRPr="00080443">
        <w:rPr>
          <w:rFonts w:ascii="Arial" w:hAnsi="Arial" w:cs="Arial"/>
        </w:rPr>
        <w:t>5.7</w:t>
      </w:r>
      <w:r w:rsidRPr="00080443">
        <w:rPr>
          <w:rFonts w:ascii="Arial" w:hAnsi="Arial" w:cs="Arial"/>
        </w:rPr>
        <w:tab/>
        <w:t>Licence conditions included by the ACMA</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_Toc343780530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76</w:t>
      </w:r>
      <w:r w:rsidR="00724CDB" w:rsidRPr="00080443">
        <w:rPr>
          <w:rFonts w:ascii="Arial" w:hAnsi="Arial" w:cs="Arial"/>
        </w:rPr>
        <w:fldChar w:fldCharType="end"/>
      </w:r>
    </w:p>
    <w:p w14:paraId="6EF88F10" w14:textId="77777777" w:rsidR="004D411C" w:rsidRPr="00080443" w:rsidRDefault="004D411C">
      <w:pPr>
        <w:pStyle w:val="TOC3"/>
        <w:tabs>
          <w:tab w:val="left" w:pos="885"/>
        </w:tabs>
        <w:rPr>
          <w:rFonts w:eastAsiaTheme="minorEastAsia" w:cs="Arial"/>
          <w:color w:val="auto"/>
        </w:rPr>
      </w:pPr>
      <w:r w:rsidRPr="00080443">
        <w:rPr>
          <w:rFonts w:cs="Arial"/>
        </w:rPr>
        <w:t>5.7.1</w:t>
      </w:r>
      <w:r w:rsidRPr="00080443">
        <w:rPr>
          <w:rFonts w:eastAsiaTheme="minorEastAsia" w:cs="Arial"/>
          <w:color w:val="auto"/>
        </w:rPr>
        <w:tab/>
      </w:r>
      <w:r w:rsidRPr="00080443">
        <w:rPr>
          <w:rFonts w:cs="Arial"/>
        </w:rPr>
        <w:t>Information for the RRL</w:t>
      </w:r>
      <w:r w:rsidRPr="00080443">
        <w:rPr>
          <w:rFonts w:cs="Arial"/>
        </w:rPr>
        <w:tab/>
      </w:r>
      <w:r w:rsidR="00724CDB" w:rsidRPr="00080443">
        <w:rPr>
          <w:rFonts w:cs="Arial"/>
        </w:rPr>
        <w:fldChar w:fldCharType="begin"/>
      </w:r>
      <w:r w:rsidRPr="00080443">
        <w:rPr>
          <w:rFonts w:cs="Arial"/>
        </w:rPr>
        <w:instrText xml:space="preserve"> PAGEREF _Toc343780531 \h </w:instrText>
      </w:r>
      <w:r w:rsidR="00724CDB" w:rsidRPr="00080443">
        <w:rPr>
          <w:rFonts w:cs="Arial"/>
        </w:rPr>
      </w:r>
      <w:r w:rsidR="00724CDB" w:rsidRPr="00080443">
        <w:rPr>
          <w:rFonts w:cs="Arial"/>
        </w:rPr>
        <w:fldChar w:fldCharType="separate"/>
      </w:r>
      <w:r w:rsidR="00080443" w:rsidRPr="00080443">
        <w:rPr>
          <w:rFonts w:cs="Arial"/>
        </w:rPr>
        <w:t>76</w:t>
      </w:r>
      <w:r w:rsidR="00724CDB" w:rsidRPr="00080443">
        <w:rPr>
          <w:rFonts w:cs="Arial"/>
        </w:rPr>
        <w:fldChar w:fldCharType="end"/>
      </w:r>
    </w:p>
    <w:p w14:paraId="50954D8D" w14:textId="77777777" w:rsidR="004D411C" w:rsidRPr="00080443" w:rsidRDefault="004D411C">
      <w:pPr>
        <w:pStyle w:val="TOC3"/>
        <w:tabs>
          <w:tab w:val="left" w:pos="885"/>
        </w:tabs>
        <w:rPr>
          <w:rFonts w:eastAsiaTheme="minorEastAsia" w:cs="Arial"/>
          <w:color w:val="auto"/>
        </w:rPr>
      </w:pPr>
      <w:r w:rsidRPr="00080443">
        <w:rPr>
          <w:rFonts w:cs="Arial"/>
        </w:rPr>
        <w:t>5.7.2</w:t>
      </w:r>
      <w:r w:rsidRPr="00080443">
        <w:rPr>
          <w:rFonts w:eastAsiaTheme="minorEastAsia" w:cs="Arial"/>
          <w:color w:val="auto"/>
        </w:rPr>
        <w:tab/>
      </w:r>
      <w:r w:rsidRPr="00080443">
        <w:rPr>
          <w:rFonts w:cs="Arial"/>
        </w:rPr>
        <w:t>International coordination</w:t>
      </w:r>
      <w:r w:rsidRPr="00080443">
        <w:rPr>
          <w:rFonts w:cs="Arial"/>
        </w:rPr>
        <w:tab/>
      </w:r>
      <w:r w:rsidR="00724CDB" w:rsidRPr="00080443">
        <w:rPr>
          <w:rFonts w:cs="Arial"/>
        </w:rPr>
        <w:fldChar w:fldCharType="begin"/>
      </w:r>
      <w:r w:rsidRPr="00080443">
        <w:rPr>
          <w:rFonts w:cs="Arial"/>
        </w:rPr>
        <w:instrText xml:space="preserve"> PAGEREF _Toc343780532 \h </w:instrText>
      </w:r>
      <w:r w:rsidR="00724CDB" w:rsidRPr="00080443">
        <w:rPr>
          <w:rFonts w:cs="Arial"/>
        </w:rPr>
      </w:r>
      <w:r w:rsidR="00724CDB" w:rsidRPr="00080443">
        <w:rPr>
          <w:rFonts w:cs="Arial"/>
        </w:rPr>
        <w:fldChar w:fldCharType="separate"/>
      </w:r>
      <w:r w:rsidR="00080443" w:rsidRPr="00080443">
        <w:rPr>
          <w:rFonts w:cs="Arial"/>
        </w:rPr>
        <w:t>76</w:t>
      </w:r>
      <w:r w:rsidR="00724CDB" w:rsidRPr="00080443">
        <w:rPr>
          <w:rFonts w:cs="Arial"/>
        </w:rPr>
        <w:fldChar w:fldCharType="end"/>
      </w:r>
    </w:p>
    <w:p w14:paraId="0ACCF411" w14:textId="77777777" w:rsidR="004D411C" w:rsidRPr="00080443" w:rsidRDefault="004D411C">
      <w:pPr>
        <w:pStyle w:val="TOC3"/>
        <w:tabs>
          <w:tab w:val="left" w:pos="885"/>
        </w:tabs>
        <w:rPr>
          <w:rFonts w:eastAsiaTheme="minorEastAsia" w:cs="Arial"/>
          <w:color w:val="auto"/>
        </w:rPr>
      </w:pPr>
      <w:r w:rsidRPr="00080443">
        <w:rPr>
          <w:rFonts w:cs="Arial"/>
        </w:rPr>
        <w:t>5.7.3</w:t>
      </w:r>
      <w:r w:rsidRPr="00080443">
        <w:rPr>
          <w:rFonts w:eastAsiaTheme="minorEastAsia" w:cs="Arial"/>
          <w:color w:val="auto"/>
        </w:rPr>
        <w:tab/>
      </w:r>
      <w:r w:rsidRPr="00080443">
        <w:rPr>
          <w:rFonts w:cs="Arial"/>
        </w:rPr>
        <w:t>Electromagnetic energy requirements</w:t>
      </w:r>
      <w:r w:rsidRPr="00080443">
        <w:rPr>
          <w:rFonts w:cs="Arial"/>
        </w:rPr>
        <w:tab/>
      </w:r>
      <w:r w:rsidR="00724CDB" w:rsidRPr="00080443">
        <w:rPr>
          <w:rFonts w:cs="Arial"/>
        </w:rPr>
        <w:fldChar w:fldCharType="begin"/>
      </w:r>
      <w:r w:rsidRPr="00080443">
        <w:rPr>
          <w:rFonts w:cs="Arial"/>
        </w:rPr>
        <w:instrText xml:space="preserve"> PAGEREF _Toc343780533 \h </w:instrText>
      </w:r>
      <w:r w:rsidR="00724CDB" w:rsidRPr="00080443">
        <w:rPr>
          <w:rFonts w:cs="Arial"/>
        </w:rPr>
      </w:r>
      <w:r w:rsidR="00724CDB" w:rsidRPr="00080443">
        <w:rPr>
          <w:rFonts w:cs="Arial"/>
        </w:rPr>
        <w:fldChar w:fldCharType="separate"/>
      </w:r>
      <w:r w:rsidR="00080443" w:rsidRPr="00080443">
        <w:rPr>
          <w:rFonts w:cs="Arial"/>
        </w:rPr>
        <w:t>76</w:t>
      </w:r>
      <w:r w:rsidR="00724CDB" w:rsidRPr="00080443">
        <w:rPr>
          <w:rFonts w:cs="Arial"/>
        </w:rPr>
        <w:fldChar w:fldCharType="end"/>
      </w:r>
    </w:p>
    <w:p w14:paraId="73BBDB7B" w14:textId="77777777" w:rsidR="004D411C" w:rsidRPr="00080443" w:rsidRDefault="004D411C">
      <w:pPr>
        <w:pStyle w:val="TOC3"/>
        <w:tabs>
          <w:tab w:val="left" w:pos="885"/>
        </w:tabs>
        <w:rPr>
          <w:rFonts w:eastAsiaTheme="minorEastAsia" w:cs="Arial"/>
          <w:color w:val="auto"/>
        </w:rPr>
      </w:pPr>
      <w:r w:rsidRPr="00080443">
        <w:rPr>
          <w:rFonts w:cs="Arial"/>
        </w:rPr>
        <w:t>5.7.4</w:t>
      </w:r>
      <w:r w:rsidRPr="00080443">
        <w:rPr>
          <w:rFonts w:eastAsiaTheme="minorEastAsia" w:cs="Arial"/>
          <w:color w:val="auto"/>
        </w:rPr>
        <w:tab/>
      </w:r>
      <w:r w:rsidRPr="00080443">
        <w:rPr>
          <w:rFonts w:cs="Arial"/>
        </w:rPr>
        <w:t>Protection of the Mid-west RQZ</w:t>
      </w:r>
      <w:r w:rsidRPr="00080443">
        <w:rPr>
          <w:rFonts w:cs="Arial"/>
        </w:rPr>
        <w:tab/>
      </w:r>
      <w:r w:rsidR="00724CDB" w:rsidRPr="00080443">
        <w:rPr>
          <w:rFonts w:cs="Arial"/>
        </w:rPr>
        <w:fldChar w:fldCharType="begin"/>
      </w:r>
      <w:r w:rsidRPr="00080443">
        <w:rPr>
          <w:rFonts w:cs="Arial"/>
        </w:rPr>
        <w:instrText xml:space="preserve"> PAGEREF _Toc343780534 \h </w:instrText>
      </w:r>
      <w:r w:rsidR="00724CDB" w:rsidRPr="00080443">
        <w:rPr>
          <w:rFonts w:cs="Arial"/>
        </w:rPr>
      </w:r>
      <w:r w:rsidR="00724CDB" w:rsidRPr="00080443">
        <w:rPr>
          <w:rFonts w:cs="Arial"/>
        </w:rPr>
        <w:fldChar w:fldCharType="separate"/>
      </w:r>
      <w:r w:rsidR="00080443" w:rsidRPr="00080443">
        <w:rPr>
          <w:rFonts w:cs="Arial"/>
        </w:rPr>
        <w:t>76</w:t>
      </w:r>
      <w:r w:rsidR="00724CDB" w:rsidRPr="00080443">
        <w:rPr>
          <w:rFonts w:cs="Arial"/>
        </w:rPr>
        <w:fldChar w:fldCharType="end"/>
      </w:r>
    </w:p>
    <w:p w14:paraId="08DFFD71" w14:textId="77777777" w:rsidR="004D411C" w:rsidRPr="00080443" w:rsidRDefault="004D411C" w:rsidP="004D411C">
      <w:pPr>
        <w:pStyle w:val="TOC3"/>
        <w:tabs>
          <w:tab w:val="left" w:pos="885"/>
        </w:tabs>
        <w:ind w:left="885" w:hanging="885"/>
        <w:rPr>
          <w:rFonts w:eastAsiaTheme="minorEastAsia" w:cs="Arial"/>
          <w:color w:val="auto"/>
        </w:rPr>
      </w:pPr>
      <w:r w:rsidRPr="00080443">
        <w:rPr>
          <w:rFonts w:cs="Arial"/>
          <w:lang w:val="en-US"/>
        </w:rPr>
        <w:t>5.7.5</w:t>
      </w:r>
      <w:r w:rsidRPr="00080443">
        <w:rPr>
          <w:rFonts w:eastAsiaTheme="minorEastAsia" w:cs="Arial"/>
          <w:color w:val="auto"/>
        </w:rPr>
        <w:tab/>
      </w:r>
      <w:r w:rsidRPr="00080443">
        <w:rPr>
          <w:rFonts w:cs="Arial"/>
          <w:lang w:val="en-US"/>
        </w:rPr>
        <w:t>Management of interference with broadcasting and retransmission services (700 MHz band only)</w:t>
      </w:r>
      <w:r w:rsidRPr="00080443">
        <w:rPr>
          <w:rFonts w:cs="Arial"/>
        </w:rPr>
        <w:tab/>
      </w:r>
      <w:r w:rsidR="00724CDB" w:rsidRPr="00080443">
        <w:rPr>
          <w:rFonts w:cs="Arial"/>
        </w:rPr>
        <w:fldChar w:fldCharType="begin"/>
      </w:r>
      <w:r w:rsidRPr="00080443">
        <w:rPr>
          <w:rFonts w:cs="Arial"/>
        </w:rPr>
        <w:instrText xml:space="preserve"> PAGEREF _Toc343780535 \h </w:instrText>
      </w:r>
      <w:r w:rsidR="00724CDB" w:rsidRPr="00080443">
        <w:rPr>
          <w:rFonts w:cs="Arial"/>
        </w:rPr>
      </w:r>
      <w:r w:rsidR="00724CDB" w:rsidRPr="00080443">
        <w:rPr>
          <w:rFonts w:cs="Arial"/>
        </w:rPr>
        <w:fldChar w:fldCharType="separate"/>
      </w:r>
      <w:r w:rsidR="00080443" w:rsidRPr="00080443">
        <w:rPr>
          <w:rFonts w:cs="Arial"/>
        </w:rPr>
        <w:t>76</w:t>
      </w:r>
      <w:r w:rsidR="00724CDB" w:rsidRPr="00080443">
        <w:rPr>
          <w:rFonts w:cs="Arial"/>
        </w:rPr>
        <w:fldChar w:fldCharType="end"/>
      </w:r>
    </w:p>
    <w:p w14:paraId="140A7FFE"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5.8</w:t>
      </w:r>
      <w:r w:rsidRPr="00080443">
        <w:rPr>
          <w:rFonts w:ascii="Arial" w:eastAsiaTheme="minorEastAsia" w:hAnsi="Arial" w:cs="Arial"/>
          <w:color w:val="auto"/>
          <w:spacing w:val="0"/>
          <w:sz w:val="22"/>
          <w:szCs w:val="22"/>
        </w:rPr>
        <w:tab/>
      </w:r>
      <w:r w:rsidRPr="00080443">
        <w:rPr>
          <w:rFonts w:ascii="Arial" w:hAnsi="Arial" w:cs="Arial"/>
        </w:rPr>
        <w:t>Other information</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_Toc343780536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77</w:t>
      </w:r>
      <w:r w:rsidR="00724CDB" w:rsidRPr="00080443">
        <w:rPr>
          <w:rFonts w:ascii="Arial" w:hAnsi="Arial" w:cs="Arial"/>
        </w:rPr>
        <w:fldChar w:fldCharType="end"/>
      </w:r>
    </w:p>
    <w:p w14:paraId="71DCDFA1" w14:textId="77777777" w:rsidR="004D411C" w:rsidRPr="00080443" w:rsidRDefault="004D411C">
      <w:pPr>
        <w:pStyle w:val="TOC3"/>
        <w:tabs>
          <w:tab w:val="left" w:pos="885"/>
        </w:tabs>
        <w:rPr>
          <w:rFonts w:eastAsiaTheme="minorEastAsia" w:cs="Arial"/>
          <w:color w:val="auto"/>
        </w:rPr>
      </w:pPr>
      <w:r w:rsidRPr="00080443">
        <w:rPr>
          <w:rFonts w:cs="Arial"/>
        </w:rPr>
        <w:t>5.8.1</w:t>
      </w:r>
      <w:r w:rsidRPr="00080443">
        <w:rPr>
          <w:rFonts w:eastAsiaTheme="minorEastAsia" w:cs="Arial"/>
          <w:color w:val="auto"/>
        </w:rPr>
        <w:tab/>
      </w:r>
      <w:r w:rsidRPr="00080443">
        <w:rPr>
          <w:rFonts w:cs="Arial"/>
        </w:rPr>
        <w:t>Flexibility of a spectrum licence</w:t>
      </w:r>
      <w:r w:rsidRPr="00080443">
        <w:rPr>
          <w:rFonts w:cs="Arial"/>
        </w:rPr>
        <w:tab/>
      </w:r>
      <w:r w:rsidR="00724CDB" w:rsidRPr="00080443">
        <w:rPr>
          <w:rFonts w:cs="Arial"/>
        </w:rPr>
        <w:fldChar w:fldCharType="begin"/>
      </w:r>
      <w:r w:rsidRPr="00080443">
        <w:rPr>
          <w:rFonts w:cs="Arial"/>
        </w:rPr>
        <w:instrText xml:space="preserve"> PAGEREF _Toc343780537 \h </w:instrText>
      </w:r>
      <w:r w:rsidR="00724CDB" w:rsidRPr="00080443">
        <w:rPr>
          <w:rFonts w:cs="Arial"/>
        </w:rPr>
      </w:r>
      <w:r w:rsidR="00724CDB" w:rsidRPr="00080443">
        <w:rPr>
          <w:rFonts w:cs="Arial"/>
        </w:rPr>
        <w:fldChar w:fldCharType="separate"/>
      </w:r>
      <w:r w:rsidR="00080443" w:rsidRPr="00080443">
        <w:rPr>
          <w:rFonts w:cs="Arial"/>
        </w:rPr>
        <w:t>77</w:t>
      </w:r>
      <w:r w:rsidR="00724CDB" w:rsidRPr="00080443">
        <w:rPr>
          <w:rFonts w:cs="Arial"/>
        </w:rPr>
        <w:fldChar w:fldCharType="end"/>
      </w:r>
    </w:p>
    <w:p w14:paraId="417C11B5" w14:textId="77777777" w:rsidR="004D411C" w:rsidRPr="00080443" w:rsidRDefault="004D411C">
      <w:pPr>
        <w:pStyle w:val="TOC3"/>
        <w:tabs>
          <w:tab w:val="left" w:pos="885"/>
        </w:tabs>
        <w:rPr>
          <w:rFonts w:eastAsiaTheme="minorEastAsia" w:cs="Arial"/>
          <w:color w:val="auto"/>
        </w:rPr>
      </w:pPr>
      <w:r w:rsidRPr="00080443">
        <w:rPr>
          <w:rFonts w:cs="Arial"/>
        </w:rPr>
        <w:t>5.8.2</w:t>
      </w:r>
      <w:r w:rsidRPr="00080443">
        <w:rPr>
          <w:rFonts w:eastAsiaTheme="minorEastAsia" w:cs="Arial"/>
          <w:color w:val="auto"/>
        </w:rPr>
        <w:tab/>
      </w:r>
      <w:r w:rsidRPr="00080443">
        <w:rPr>
          <w:rFonts w:cs="Arial"/>
        </w:rPr>
        <w:t>Spectrum trading</w:t>
      </w:r>
      <w:r w:rsidRPr="00080443">
        <w:rPr>
          <w:rFonts w:cs="Arial"/>
        </w:rPr>
        <w:tab/>
      </w:r>
      <w:r w:rsidR="00724CDB" w:rsidRPr="00080443">
        <w:rPr>
          <w:rFonts w:cs="Arial"/>
        </w:rPr>
        <w:fldChar w:fldCharType="begin"/>
      </w:r>
      <w:r w:rsidRPr="00080443">
        <w:rPr>
          <w:rFonts w:cs="Arial"/>
        </w:rPr>
        <w:instrText xml:space="preserve"> PAGEREF _Toc343780538 \h </w:instrText>
      </w:r>
      <w:r w:rsidR="00724CDB" w:rsidRPr="00080443">
        <w:rPr>
          <w:rFonts w:cs="Arial"/>
        </w:rPr>
      </w:r>
      <w:r w:rsidR="00724CDB" w:rsidRPr="00080443">
        <w:rPr>
          <w:rFonts w:cs="Arial"/>
        </w:rPr>
        <w:fldChar w:fldCharType="separate"/>
      </w:r>
      <w:r w:rsidR="00080443" w:rsidRPr="00080443">
        <w:rPr>
          <w:rFonts w:cs="Arial"/>
        </w:rPr>
        <w:t>77</w:t>
      </w:r>
      <w:r w:rsidR="00724CDB" w:rsidRPr="00080443">
        <w:rPr>
          <w:rFonts w:cs="Arial"/>
        </w:rPr>
        <w:fldChar w:fldCharType="end"/>
      </w:r>
    </w:p>
    <w:p w14:paraId="4FC02E16" w14:textId="77777777" w:rsidR="004D411C" w:rsidRPr="00080443" w:rsidRDefault="004D411C">
      <w:pPr>
        <w:pStyle w:val="TOC3"/>
        <w:tabs>
          <w:tab w:val="left" w:pos="885"/>
        </w:tabs>
        <w:rPr>
          <w:rFonts w:eastAsiaTheme="minorEastAsia" w:cs="Arial"/>
          <w:color w:val="auto"/>
        </w:rPr>
      </w:pPr>
      <w:r w:rsidRPr="00080443">
        <w:rPr>
          <w:rFonts w:cs="Arial"/>
        </w:rPr>
        <w:t>5.8.3</w:t>
      </w:r>
      <w:r w:rsidRPr="00080443">
        <w:rPr>
          <w:rFonts w:eastAsiaTheme="minorEastAsia" w:cs="Arial"/>
          <w:color w:val="auto"/>
        </w:rPr>
        <w:tab/>
      </w:r>
      <w:r w:rsidRPr="00080443">
        <w:rPr>
          <w:rFonts w:cs="Arial"/>
        </w:rPr>
        <w:t>Suspension and cancellation of spectrum licences</w:t>
      </w:r>
      <w:r w:rsidRPr="00080443">
        <w:rPr>
          <w:rFonts w:cs="Arial"/>
        </w:rPr>
        <w:tab/>
      </w:r>
      <w:r w:rsidR="00724CDB" w:rsidRPr="00080443">
        <w:rPr>
          <w:rFonts w:cs="Arial"/>
        </w:rPr>
        <w:fldChar w:fldCharType="begin"/>
      </w:r>
      <w:r w:rsidRPr="00080443">
        <w:rPr>
          <w:rFonts w:cs="Arial"/>
        </w:rPr>
        <w:instrText xml:space="preserve"> PAGEREF _Toc343780539 \h </w:instrText>
      </w:r>
      <w:r w:rsidR="00724CDB" w:rsidRPr="00080443">
        <w:rPr>
          <w:rFonts w:cs="Arial"/>
        </w:rPr>
      </w:r>
      <w:r w:rsidR="00724CDB" w:rsidRPr="00080443">
        <w:rPr>
          <w:rFonts w:cs="Arial"/>
        </w:rPr>
        <w:fldChar w:fldCharType="separate"/>
      </w:r>
      <w:r w:rsidR="00080443" w:rsidRPr="00080443">
        <w:rPr>
          <w:rFonts w:cs="Arial"/>
        </w:rPr>
        <w:t>77</w:t>
      </w:r>
      <w:r w:rsidR="00724CDB" w:rsidRPr="00080443">
        <w:rPr>
          <w:rFonts w:cs="Arial"/>
        </w:rPr>
        <w:fldChar w:fldCharType="end"/>
      </w:r>
    </w:p>
    <w:p w14:paraId="1AB4D9F6" w14:textId="77777777" w:rsidR="004D411C" w:rsidRPr="00080443" w:rsidRDefault="004D411C">
      <w:pPr>
        <w:pStyle w:val="TOC3"/>
        <w:tabs>
          <w:tab w:val="left" w:pos="885"/>
        </w:tabs>
        <w:rPr>
          <w:rFonts w:eastAsiaTheme="minorEastAsia" w:cs="Arial"/>
          <w:color w:val="auto"/>
        </w:rPr>
      </w:pPr>
      <w:r w:rsidRPr="00080443">
        <w:rPr>
          <w:rFonts w:cs="Arial"/>
        </w:rPr>
        <w:t>5.8.4</w:t>
      </w:r>
      <w:r w:rsidRPr="00080443">
        <w:rPr>
          <w:rFonts w:eastAsiaTheme="minorEastAsia" w:cs="Arial"/>
          <w:color w:val="auto"/>
        </w:rPr>
        <w:tab/>
      </w:r>
      <w:r w:rsidRPr="00080443">
        <w:rPr>
          <w:rFonts w:cs="Arial"/>
        </w:rPr>
        <w:t>Interference that the technical framework does not prevent</w:t>
      </w:r>
      <w:r w:rsidRPr="00080443">
        <w:rPr>
          <w:rFonts w:cs="Arial"/>
        </w:rPr>
        <w:tab/>
      </w:r>
      <w:r w:rsidR="00724CDB" w:rsidRPr="00080443">
        <w:rPr>
          <w:rFonts w:cs="Arial"/>
        </w:rPr>
        <w:fldChar w:fldCharType="begin"/>
      </w:r>
      <w:r w:rsidRPr="00080443">
        <w:rPr>
          <w:rFonts w:cs="Arial"/>
        </w:rPr>
        <w:instrText xml:space="preserve"> PAGEREF _Toc343780540 \h </w:instrText>
      </w:r>
      <w:r w:rsidR="00724CDB" w:rsidRPr="00080443">
        <w:rPr>
          <w:rFonts w:cs="Arial"/>
        </w:rPr>
      </w:r>
      <w:r w:rsidR="00724CDB" w:rsidRPr="00080443">
        <w:rPr>
          <w:rFonts w:cs="Arial"/>
        </w:rPr>
        <w:fldChar w:fldCharType="separate"/>
      </w:r>
      <w:r w:rsidR="00080443" w:rsidRPr="00080443">
        <w:rPr>
          <w:rFonts w:cs="Arial"/>
        </w:rPr>
        <w:t>78</w:t>
      </w:r>
      <w:r w:rsidR="00724CDB" w:rsidRPr="00080443">
        <w:rPr>
          <w:rFonts w:cs="Arial"/>
        </w:rPr>
        <w:fldChar w:fldCharType="end"/>
      </w:r>
    </w:p>
    <w:p w14:paraId="271A6F49" w14:textId="77777777" w:rsidR="004D411C" w:rsidRPr="00080443" w:rsidRDefault="004D411C">
      <w:pPr>
        <w:pStyle w:val="TOC3"/>
        <w:tabs>
          <w:tab w:val="left" w:pos="885"/>
        </w:tabs>
        <w:rPr>
          <w:rFonts w:eastAsiaTheme="minorEastAsia" w:cs="Arial"/>
          <w:color w:val="auto"/>
        </w:rPr>
      </w:pPr>
      <w:r w:rsidRPr="00080443">
        <w:rPr>
          <w:rFonts w:cs="Arial"/>
        </w:rPr>
        <w:t>5.8.5</w:t>
      </w:r>
      <w:r w:rsidRPr="00080443">
        <w:rPr>
          <w:rFonts w:eastAsiaTheme="minorEastAsia" w:cs="Arial"/>
          <w:color w:val="auto"/>
        </w:rPr>
        <w:tab/>
      </w:r>
      <w:r w:rsidRPr="00080443">
        <w:rPr>
          <w:rFonts w:cs="Arial"/>
        </w:rPr>
        <w:t>International coordination</w:t>
      </w:r>
      <w:r w:rsidRPr="00080443">
        <w:rPr>
          <w:rFonts w:cs="Arial"/>
        </w:rPr>
        <w:tab/>
      </w:r>
      <w:r w:rsidR="00724CDB" w:rsidRPr="00080443">
        <w:rPr>
          <w:rFonts w:cs="Arial"/>
        </w:rPr>
        <w:fldChar w:fldCharType="begin"/>
      </w:r>
      <w:r w:rsidRPr="00080443">
        <w:rPr>
          <w:rFonts w:cs="Arial"/>
        </w:rPr>
        <w:instrText xml:space="preserve"> PAGEREF _Toc343780541 \h </w:instrText>
      </w:r>
      <w:r w:rsidR="00724CDB" w:rsidRPr="00080443">
        <w:rPr>
          <w:rFonts w:cs="Arial"/>
        </w:rPr>
      </w:r>
      <w:r w:rsidR="00724CDB" w:rsidRPr="00080443">
        <w:rPr>
          <w:rFonts w:cs="Arial"/>
        </w:rPr>
        <w:fldChar w:fldCharType="separate"/>
      </w:r>
      <w:r w:rsidR="00080443" w:rsidRPr="00080443">
        <w:rPr>
          <w:rFonts w:cs="Arial"/>
        </w:rPr>
        <w:t>78</w:t>
      </w:r>
      <w:r w:rsidR="00724CDB" w:rsidRPr="00080443">
        <w:rPr>
          <w:rFonts w:cs="Arial"/>
        </w:rPr>
        <w:fldChar w:fldCharType="end"/>
      </w:r>
    </w:p>
    <w:p w14:paraId="3C2C10D9" w14:textId="77777777" w:rsidR="004D411C" w:rsidRPr="00080443" w:rsidRDefault="004D411C">
      <w:pPr>
        <w:pStyle w:val="TOC3"/>
        <w:tabs>
          <w:tab w:val="left" w:pos="885"/>
        </w:tabs>
        <w:rPr>
          <w:rFonts w:eastAsiaTheme="minorEastAsia" w:cs="Arial"/>
          <w:color w:val="auto"/>
        </w:rPr>
      </w:pPr>
      <w:r w:rsidRPr="00080443">
        <w:rPr>
          <w:rFonts w:cs="Arial"/>
        </w:rPr>
        <w:lastRenderedPageBreak/>
        <w:t>5.8.6</w:t>
      </w:r>
      <w:r w:rsidRPr="00080443">
        <w:rPr>
          <w:rFonts w:eastAsiaTheme="minorEastAsia" w:cs="Arial"/>
          <w:color w:val="auto"/>
        </w:rPr>
        <w:tab/>
      </w:r>
      <w:r w:rsidRPr="00080443">
        <w:rPr>
          <w:rFonts w:cs="Arial"/>
        </w:rPr>
        <w:t>Health and safety</w:t>
      </w:r>
      <w:r w:rsidRPr="00080443">
        <w:rPr>
          <w:rFonts w:cs="Arial"/>
        </w:rPr>
        <w:tab/>
      </w:r>
      <w:r w:rsidR="00724CDB" w:rsidRPr="00080443">
        <w:rPr>
          <w:rFonts w:cs="Arial"/>
        </w:rPr>
        <w:fldChar w:fldCharType="begin"/>
      </w:r>
      <w:r w:rsidRPr="00080443">
        <w:rPr>
          <w:rFonts w:cs="Arial"/>
        </w:rPr>
        <w:instrText xml:space="preserve"> PAGEREF _Toc343780542 \h </w:instrText>
      </w:r>
      <w:r w:rsidR="00724CDB" w:rsidRPr="00080443">
        <w:rPr>
          <w:rFonts w:cs="Arial"/>
        </w:rPr>
      </w:r>
      <w:r w:rsidR="00724CDB" w:rsidRPr="00080443">
        <w:rPr>
          <w:rFonts w:cs="Arial"/>
        </w:rPr>
        <w:fldChar w:fldCharType="separate"/>
      </w:r>
      <w:r w:rsidR="00080443" w:rsidRPr="00080443">
        <w:rPr>
          <w:rFonts w:cs="Arial"/>
        </w:rPr>
        <w:t>78</w:t>
      </w:r>
      <w:r w:rsidR="00724CDB" w:rsidRPr="00080443">
        <w:rPr>
          <w:rFonts w:cs="Arial"/>
        </w:rPr>
        <w:fldChar w:fldCharType="end"/>
      </w:r>
    </w:p>
    <w:p w14:paraId="018F19B2" w14:textId="77777777" w:rsidR="004D411C" w:rsidRPr="00080443" w:rsidRDefault="004D411C">
      <w:pPr>
        <w:pStyle w:val="TOC3"/>
        <w:tabs>
          <w:tab w:val="left" w:pos="885"/>
        </w:tabs>
        <w:rPr>
          <w:rFonts w:eastAsiaTheme="minorEastAsia" w:cs="Arial"/>
          <w:color w:val="auto"/>
        </w:rPr>
      </w:pPr>
      <w:r w:rsidRPr="00080443">
        <w:rPr>
          <w:rFonts w:cs="Arial"/>
        </w:rPr>
        <w:t>5.8.7</w:t>
      </w:r>
      <w:r w:rsidRPr="00080443">
        <w:rPr>
          <w:rFonts w:eastAsiaTheme="minorEastAsia" w:cs="Arial"/>
          <w:color w:val="auto"/>
        </w:rPr>
        <w:tab/>
      </w:r>
      <w:r w:rsidRPr="00080443">
        <w:rPr>
          <w:rFonts w:cs="Arial"/>
        </w:rPr>
        <w:t>Environmental and other considerations</w:t>
      </w:r>
      <w:r w:rsidRPr="00080443">
        <w:rPr>
          <w:rFonts w:cs="Arial"/>
        </w:rPr>
        <w:tab/>
      </w:r>
      <w:r w:rsidR="00724CDB" w:rsidRPr="00080443">
        <w:rPr>
          <w:rFonts w:cs="Arial"/>
        </w:rPr>
        <w:fldChar w:fldCharType="begin"/>
      </w:r>
      <w:r w:rsidRPr="00080443">
        <w:rPr>
          <w:rFonts w:cs="Arial"/>
        </w:rPr>
        <w:instrText xml:space="preserve"> PAGEREF _Toc343780543 \h </w:instrText>
      </w:r>
      <w:r w:rsidR="00724CDB" w:rsidRPr="00080443">
        <w:rPr>
          <w:rFonts w:cs="Arial"/>
        </w:rPr>
      </w:r>
      <w:r w:rsidR="00724CDB" w:rsidRPr="00080443">
        <w:rPr>
          <w:rFonts w:cs="Arial"/>
        </w:rPr>
        <w:fldChar w:fldCharType="separate"/>
      </w:r>
      <w:r w:rsidR="00080443" w:rsidRPr="00080443">
        <w:rPr>
          <w:rFonts w:cs="Arial"/>
        </w:rPr>
        <w:t>78</w:t>
      </w:r>
      <w:r w:rsidR="00724CDB" w:rsidRPr="00080443">
        <w:rPr>
          <w:rFonts w:cs="Arial"/>
        </w:rPr>
        <w:fldChar w:fldCharType="end"/>
      </w:r>
    </w:p>
    <w:p w14:paraId="69D9725D" w14:textId="77777777" w:rsidR="004D411C" w:rsidRPr="00080443" w:rsidRDefault="004D411C">
      <w:pPr>
        <w:pStyle w:val="TOC3"/>
        <w:tabs>
          <w:tab w:val="left" w:pos="885"/>
        </w:tabs>
        <w:rPr>
          <w:rFonts w:eastAsiaTheme="minorEastAsia" w:cs="Arial"/>
          <w:color w:val="auto"/>
        </w:rPr>
      </w:pPr>
      <w:r w:rsidRPr="00080443">
        <w:rPr>
          <w:rFonts w:cs="Arial"/>
        </w:rPr>
        <w:t>5.8.8</w:t>
      </w:r>
      <w:r w:rsidRPr="00080443">
        <w:rPr>
          <w:rFonts w:eastAsiaTheme="minorEastAsia" w:cs="Arial"/>
          <w:color w:val="auto"/>
        </w:rPr>
        <w:tab/>
      </w:r>
      <w:r w:rsidRPr="00080443">
        <w:rPr>
          <w:rFonts w:cs="Arial"/>
        </w:rPr>
        <w:t>Obtaining a permit to operate non-standard devices</w:t>
      </w:r>
      <w:r w:rsidRPr="00080443">
        <w:rPr>
          <w:rFonts w:cs="Arial"/>
        </w:rPr>
        <w:tab/>
      </w:r>
      <w:r w:rsidR="00724CDB" w:rsidRPr="00080443">
        <w:rPr>
          <w:rFonts w:cs="Arial"/>
        </w:rPr>
        <w:fldChar w:fldCharType="begin"/>
      </w:r>
      <w:r w:rsidRPr="00080443">
        <w:rPr>
          <w:rFonts w:cs="Arial"/>
        </w:rPr>
        <w:instrText xml:space="preserve"> PAGEREF _Toc343780544 \h </w:instrText>
      </w:r>
      <w:r w:rsidR="00724CDB" w:rsidRPr="00080443">
        <w:rPr>
          <w:rFonts w:cs="Arial"/>
        </w:rPr>
      </w:r>
      <w:r w:rsidR="00724CDB" w:rsidRPr="00080443">
        <w:rPr>
          <w:rFonts w:cs="Arial"/>
        </w:rPr>
        <w:fldChar w:fldCharType="separate"/>
      </w:r>
      <w:r w:rsidR="00080443" w:rsidRPr="00080443">
        <w:rPr>
          <w:rFonts w:cs="Arial"/>
        </w:rPr>
        <w:t>78</w:t>
      </w:r>
      <w:r w:rsidR="00724CDB" w:rsidRPr="00080443">
        <w:rPr>
          <w:rFonts w:cs="Arial"/>
        </w:rPr>
        <w:fldChar w:fldCharType="end"/>
      </w:r>
    </w:p>
    <w:p w14:paraId="56055C89" w14:textId="77777777" w:rsidR="004D411C" w:rsidRPr="00080443" w:rsidRDefault="00080443">
      <w:pPr>
        <w:pStyle w:val="TOC9"/>
        <w:rPr>
          <w:rFonts w:ascii="Arial" w:eastAsiaTheme="minorEastAsia" w:hAnsi="Arial" w:cs="Arial"/>
          <w:b w:val="0"/>
          <w:color w:val="auto"/>
          <w:sz w:val="22"/>
          <w:szCs w:val="22"/>
        </w:rPr>
      </w:pPr>
      <w:r>
        <w:rPr>
          <w:rFonts w:ascii="Arial" w:hAnsi="Arial" w:cs="Arial"/>
        </w:rPr>
        <w:t>Part four—</w:t>
      </w:r>
      <w:r w:rsidR="004D411C" w:rsidRPr="00080443">
        <w:rPr>
          <w:rFonts w:ascii="Arial" w:hAnsi="Arial" w:cs="Arial"/>
        </w:rPr>
        <w:t>Communicating with the ACMA</w:t>
      </w:r>
      <w:r w:rsidR="004D411C" w:rsidRPr="00080443">
        <w:rPr>
          <w:rFonts w:ascii="Arial" w:hAnsi="Arial" w:cs="Arial"/>
        </w:rPr>
        <w:tab/>
      </w:r>
      <w:r w:rsidR="00724CDB" w:rsidRPr="00080443">
        <w:rPr>
          <w:rFonts w:ascii="Arial" w:hAnsi="Arial" w:cs="Arial"/>
        </w:rPr>
        <w:fldChar w:fldCharType="begin"/>
      </w:r>
      <w:r w:rsidR="004D411C" w:rsidRPr="00080443">
        <w:rPr>
          <w:rFonts w:ascii="Arial" w:hAnsi="Arial" w:cs="Arial"/>
        </w:rPr>
        <w:instrText xml:space="preserve"> PAGEREF _Toc343780545 \h </w:instrText>
      </w:r>
      <w:r w:rsidR="00724CDB" w:rsidRPr="00080443">
        <w:rPr>
          <w:rFonts w:ascii="Arial" w:hAnsi="Arial" w:cs="Arial"/>
        </w:rPr>
      </w:r>
      <w:r w:rsidR="00724CDB" w:rsidRPr="00080443">
        <w:rPr>
          <w:rFonts w:ascii="Arial" w:hAnsi="Arial" w:cs="Arial"/>
        </w:rPr>
        <w:fldChar w:fldCharType="separate"/>
      </w:r>
      <w:r w:rsidRPr="00080443">
        <w:rPr>
          <w:rFonts w:ascii="Arial" w:hAnsi="Arial" w:cs="Arial"/>
        </w:rPr>
        <w:t>79</w:t>
      </w:r>
      <w:r w:rsidR="00724CDB" w:rsidRPr="00080443">
        <w:rPr>
          <w:rFonts w:ascii="Arial" w:hAnsi="Arial" w:cs="Arial"/>
        </w:rPr>
        <w:fldChar w:fldCharType="end"/>
      </w:r>
    </w:p>
    <w:p w14:paraId="26BBD7A7" w14:textId="77777777" w:rsidR="004D411C" w:rsidRPr="00080443" w:rsidRDefault="004D411C">
      <w:pPr>
        <w:pStyle w:val="TOC1"/>
        <w:tabs>
          <w:tab w:val="left" w:pos="885"/>
        </w:tabs>
        <w:rPr>
          <w:rFonts w:ascii="Arial" w:eastAsiaTheme="minorEastAsia" w:hAnsi="Arial" w:cs="Arial"/>
          <w:b w:val="0"/>
          <w:color w:val="auto"/>
          <w:spacing w:val="0"/>
          <w:sz w:val="22"/>
          <w:szCs w:val="22"/>
        </w:rPr>
      </w:pPr>
      <w:r w:rsidRPr="00080443">
        <w:rPr>
          <w:rFonts w:ascii="Arial" w:hAnsi="Arial" w:cs="Arial"/>
        </w:rPr>
        <w:t>6.</w:t>
      </w:r>
      <w:r w:rsidRPr="00080443">
        <w:rPr>
          <w:rFonts w:ascii="Arial" w:eastAsiaTheme="minorEastAsia" w:hAnsi="Arial" w:cs="Arial"/>
          <w:b w:val="0"/>
          <w:color w:val="auto"/>
          <w:spacing w:val="0"/>
          <w:sz w:val="22"/>
          <w:szCs w:val="22"/>
        </w:rPr>
        <w:tab/>
      </w:r>
      <w:r w:rsidRPr="00080443">
        <w:rPr>
          <w:rFonts w:ascii="Arial" w:hAnsi="Arial" w:cs="Arial"/>
        </w:rPr>
        <w:t>Updates, queries, lodgements and payments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_Toc343780546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80</w:t>
      </w:r>
      <w:r w:rsidR="00724CDB" w:rsidRPr="00080443">
        <w:rPr>
          <w:rFonts w:ascii="Arial" w:hAnsi="Arial" w:cs="Arial"/>
        </w:rPr>
        <w:fldChar w:fldCharType="end"/>
      </w:r>
    </w:p>
    <w:p w14:paraId="0F4CDA04"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6.1</w:t>
      </w:r>
      <w:r w:rsidRPr="00080443">
        <w:rPr>
          <w:rFonts w:ascii="Arial" w:eastAsiaTheme="minorEastAsia" w:hAnsi="Arial" w:cs="Arial"/>
          <w:color w:val="auto"/>
          <w:spacing w:val="0"/>
          <w:sz w:val="22"/>
          <w:szCs w:val="22"/>
        </w:rPr>
        <w:tab/>
      </w:r>
      <w:r w:rsidRPr="00080443">
        <w:rPr>
          <w:rFonts w:ascii="Arial" w:hAnsi="Arial" w:cs="Arial"/>
        </w:rPr>
        <w:t>Updates and announcements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_Toc343780547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81</w:t>
      </w:r>
      <w:r w:rsidR="00724CDB" w:rsidRPr="00080443">
        <w:rPr>
          <w:rFonts w:ascii="Arial" w:hAnsi="Arial" w:cs="Arial"/>
        </w:rPr>
        <w:fldChar w:fldCharType="end"/>
      </w:r>
    </w:p>
    <w:p w14:paraId="125495B6"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6.2</w:t>
      </w:r>
      <w:r w:rsidRPr="00080443">
        <w:rPr>
          <w:rFonts w:ascii="Arial" w:eastAsiaTheme="minorEastAsia" w:hAnsi="Arial" w:cs="Arial"/>
          <w:color w:val="auto"/>
          <w:spacing w:val="0"/>
          <w:sz w:val="22"/>
          <w:szCs w:val="22"/>
        </w:rPr>
        <w:tab/>
      </w:r>
      <w:r w:rsidRPr="00080443">
        <w:rPr>
          <w:rFonts w:ascii="Arial" w:hAnsi="Arial" w:cs="Arial"/>
        </w:rPr>
        <w:t>Queries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_Toc343780548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81</w:t>
      </w:r>
      <w:r w:rsidR="00724CDB" w:rsidRPr="00080443">
        <w:rPr>
          <w:rFonts w:ascii="Arial" w:hAnsi="Arial" w:cs="Arial"/>
        </w:rPr>
        <w:fldChar w:fldCharType="end"/>
      </w:r>
    </w:p>
    <w:p w14:paraId="52001AD1"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6.3</w:t>
      </w:r>
      <w:r w:rsidRPr="00080443">
        <w:rPr>
          <w:rFonts w:ascii="Arial" w:eastAsiaTheme="minorEastAsia" w:hAnsi="Arial" w:cs="Arial"/>
          <w:color w:val="auto"/>
          <w:spacing w:val="0"/>
          <w:sz w:val="22"/>
          <w:szCs w:val="22"/>
        </w:rPr>
        <w:tab/>
      </w:r>
      <w:r w:rsidRPr="00080443">
        <w:rPr>
          <w:rFonts w:ascii="Arial" w:hAnsi="Arial" w:cs="Arial"/>
        </w:rPr>
        <w:t>Lodging documents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_Toc343780549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81</w:t>
      </w:r>
      <w:r w:rsidR="00724CDB" w:rsidRPr="00080443">
        <w:rPr>
          <w:rFonts w:ascii="Arial" w:hAnsi="Arial" w:cs="Arial"/>
        </w:rPr>
        <w:fldChar w:fldCharType="end"/>
      </w:r>
    </w:p>
    <w:p w14:paraId="6911AA80"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6.4</w:t>
      </w:r>
      <w:r w:rsidRPr="00080443">
        <w:rPr>
          <w:rFonts w:ascii="Arial" w:eastAsiaTheme="minorEastAsia" w:hAnsi="Arial" w:cs="Arial"/>
          <w:color w:val="auto"/>
          <w:spacing w:val="0"/>
          <w:sz w:val="22"/>
          <w:szCs w:val="22"/>
        </w:rPr>
        <w:tab/>
      </w:r>
      <w:r w:rsidRPr="00080443">
        <w:rPr>
          <w:rFonts w:ascii="Arial" w:hAnsi="Arial" w:cs="Arial"/>
        </w:rPr>
        <w:t>Making payments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_Toc343780550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82</w:t>
      </w:r>
      <w:r w:rsidR="00724CDB" w:rsidRPr="00080443">
        <w:rPr>
          <w:rFonts w:ascii="Arial" w:hAnsi="Arial" w:cs="Arial"/>
        </w:rPr>
        <w:fldChar w:fldCharType="end"/>
      </w:r>
    </w:p>
    <w:p w14:paraId="65C6E3E3" w14:textId="77777777" w:rsidR="004D411C" w:rsidRPr="00080443" w:rsidRDefault="004D411C">
      <w:pPr>
        <w:pStyle w:val="TOC1"/>
        <w:rPr>
          <w:rFonts w:ascii="Arial" w:eastAsiaTheme="minorEastAsia" w:hAnsi="Arial" w:cs="Arial"/>
          <w:b w:val="0"/>
          <w:color w:val="auto"/>
          <w:spacing w:val="0"/>
          <w:sz w:val="22"/>
          <w:szCs w:val="22"/>
        </w:rPr>
      </w:pPr>
      <w:r w:rsidRPr="00080443">
        <w:rPr>
          <w:rFonts w:ascii="Arial" w:hAnsi="Arial" w:cs="Arial"/>
        </w:rPr>
        <w:t>Auction documents—attachments A to R</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_Toc343780551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84</w:t>
      </w:r>
      <w:r w:rsidR="00724CDB" w:rsidRPr="00080443">
        <w:rPr>
          <w:rFonts w:ascii="Arial" w:hAnsi="Arial" w:cs="Arial"/>
        </w:rPr>
        <w:fldChar w:fldCharType="end"/>
      </w:r>
    </w:p>
    <w:p w14:paraId="1A21712E"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Allocation determination</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_Toc343780552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84</w:t>
      </w:r>
      <w:r w:rsidR="00724CDB" w:rsidRPr="00080443">
        <w:rPr>
          <w:rFonts w:ascii="Arial" w:hAnsi="Arial" w:cs="Arial"/>
        </w:rPr>
        <w:fldChar w:fldCharType="end"/>
      </w:r>
    </w:p>
    <w:p w14:paraId="0FFFB2E7"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Marketing plans and technical framework instruments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_Toc343780553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84</w:t>
      </w:r>
      <w:r w:rsidR="00724CDB" w:rsidRPr="00080443">
        <w:rPr>
          <w:rFonts w:ascii="Arial" w:hAnsi="Arial" w:cs="Arial"/>
        </w:rPr>
        <w:fldChar w:fldCharType="end"/>
      </w:r>
    </w:p>
    <w:p w14:paraId="5F7EFC71" w14:textId="77777777" w:rsidR="004D411C" w:rsidRPr="00080443" w:rsidRDefault="004D411C">
      <w:pPr>
        <w:pStyle w:val="TOC3"/>
        <w:rPr>
          <w:rFonts w:eastAsiaTheme="minorEastAsia" w:cs="Arial"/>
          <w:color w:val="auto"/>
        </w:rPr>
      </w:pPr>
      <w:r w:rsidRPr="00080443">
        <w:rPr>
          <w:rFonts w:cs="Arial"/>
        </w:rPr>
        <w:t>Marketing plan and technical framework instruments for 700 MHz band</w:t>
      </w:r>
      <w:r w:rsidRPr="00080443">
        <w:rPr>
          <w:rFonts w:cs="Arial"/>
        </w:rPr>
        <w:tab/>
      </w:r>
      <w:r w:rsidR="00724CDB" w:rsidRPr="00080443">
        <w:rPr>
          <w:rFonts w:cs="Arial"/>
        </w:rPr>
        <w:fldChar w:fldCharType="begin"/>
      </w:r>
      <w:r w:rsidRPr="00080443">
        <w:rPr>
          <w:rFonts w:cs="Arial"/>
        </w:rPr>
        <w:instrText xml:space="preserve"> PAGEREF _Toc343780554 \h </w:instrText>
      </w:r>
      <w:r w:rsidR="00724CDB" w:rsidRPr="00080443">
        <w:rPr>
          <w:rFonts w:cs="Arial"/>
        </w:rPr>
      </w:r>
      <w:r w:rsidR="00724CDB" w:rsidRPr="00080443">
        <w:rPr>
          <w:rFonts w:cs="Arial"/>
        </w:rPr>
        <w:fldChar w:fldCharType="separate"/>
      </w:r>
      <w:r w:rsidR="00080443" w:rsidRPr="00080443">
        <w:rPr>
          <w:rFonts w:cs="Arial"/>
        </w:rPr>
        <w:t>84</w:t>
      </w:r>
      <w:r w:rsidR="00724CDB" w:rsidRPr="00080443">
        <w:rPr>
          <w:rFonts w:cs="Arial"/>
        </w:rPr>
        <w:fldChar w:fldCharType="end"/>
      </w:r>
    </w:p>
    <w:p w14:paraId="25A7618E" w14:textId="77777777" w:rsidR="004D411C" w:rsidRPr="00080443" w:rsidRDefault="004D411C">
      <w:pPr>
        <w:pStyle w:val="TOC3"/>
        <w:rPr>
          <w:rFonts w:eastAsiaTheme="minorEastAsia" w:cs="Arial"/>
          <w:color w:val="auto"/>
        </w:rPr>
      </w:pPr>
      <w:r w:rsidRPr="00080443">
        <w:rPr>
          <w:rFonts w:cs="Arial"/>
        </w:rPr>
        <w:t>Marketing plan and technical framework instruments for 2.5 GHz band</w:t>
      </w:r>
      <w:r w:rsidRPr="00080443">
        <w:rPr>
          <w:rFonts w:cs="Arial"/>
        </w:rPr>
        <w:tab/>
      </w:r>
      <w:r w:rsidR="00724CDB" w:rsidRPr="00080443">
        <w:rPr>
          <w:rFonts w:cs="Arial"/>
        </w:rPr>
        <w:fldChar w:fldCharType="begin"/>
      </w:r>
      <w:r w:rsidRPr="00080443">
        <w:rPr>
          <w:rFonts w:cs="Arial"/>
        </w:rPr>
        <w:instrText xml:space="preserve"> PAGEREF _Toc343780555 \h </w:instrText>
      </w:r>
      <w:r w:rsidR="00724CDB" w:rsidRPr="00080443">
        <w:rPr>
          <w:rFonts w:cs="Arial"/>
        </w:rPr>
      </w:r>
      <w:r w:rsidR="00724CDB" w:rsidRPr="00080443">
        <w:rPr>
          <w:rFonts w:cs="Arial"/>
        </w:rPr>
        <w:fldChar w:fldCharType="separate"/>
      </w:r>
      <w:r w:rsidR="00080443" w:rsidRPr="00080443">
        <w:rPr>
          <w:rFonts w:cs="Arial"/>
        </w:rPr>
        <w:t>84</w:t>
      </w:r>
      <w:r w:rsidR="00724CDB" w:rsidRPr="00080443">
        <w:rPr>
          <w:rFonts w:cs="Arial"/>
        </w:rPr>
        <w:fldChar w:fldCharType="end"/>
      </w:r>
    </w:p>
    <w:p w14:paraId="21564AA5"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Spectrum reallocation declarations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_Toc343780556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84</w:t>
      </w:r>
      <w:r w:rsidR="00724CDB" w:rsidRPr="00080443">
        <w:rPr>
          <w:rFonts w:ascii="Arial" w:hAnsi="Arial" w:cs="Arial"/>
        </w:rPr>
        <w:fldChar w:fldCharType="end"/>
      </w:r>
    </w:p>
    <w:p w14:paraId="067A6F6A"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Allocation limit directions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_Toc343780557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84</w:t>
      </w:r>
      <w:r w:rsidR="00724CDB" w:rsidRPr="00080443">
        <w:rPr>
          <w:rFonts w:ascii="Arial" w:hAnsi="Arial" w:cs="Arial"/>
        </w:rPr>
        <w:fldChar w:fldCharType="end"/>
      </w:r>
    </w:p>
    <w:p w14:paraId="2210F653"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Initial (reserve) prices direction</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_Toc343780558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85</w:t>
      </w:r>
      <w:r w:rsidR="00724CDB" w:rsidRPr="00080443">
        <w:rPr>
          <w:rFonts w:ascii="Arial" w:hAnsi="Arial" w:cs="Arial"/>
        </w:rPr>
        <w:fldChar w:fldCharType="end"/>
      </w:r>
    </w:p>
    <w:p w14:paraId="7FC68632" w14:textId="77777777" w:rsidR="004D411C" w:rsidRPr="00080443" w:rsidRDefault="004D411C">
      <w:pPr>
        <w:pStyle w:val="TOC2"/>
        <w:rPr>
          <w:rFonts w:ascii="Arial" w:eastAsiaTheme="minorEastAsia" w:hAnsi="Arial" w:cs="Arial"/>
          <w:color w:val="auto"/>
          <w:spacing w:val="0"/>
          <w:sz w:val="22"/>
          <w:szCs w:val="22"/>
        </w:rPr>
      </w:pPr>
      <w:r w:rsidRPr="00080443">
        <w:rPr>
          <w:rFonts w:ascii="Arial" w:hAnsi="Arial" w:cs="Arial"/>
        </w:rPr>
        <w:t>Auction matters determined by the ACMA</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_Toc343780559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85</w:t>
      </w:r>
      <w:r w:rsidR="00724CDB" w:rsidRPr="00080443">
        <w:rPr>
          <w:rFonts w:ascii="Arial" w:hAnsi="Arial" w:cs="Arial"/>
        </w:rPr>
        <w:fldChar w:fldCharType="end"/>
      </w:r>
    </w:p>
    <w:p w14:paraId="7E172745" w14:textId="77777777" w:rsidR="004D411C" w:rsidRPr="00080443" w:rsidRDefault="004D411C">
      <w:pPr>
        <w:pStyle w:val="TOC1"/>
        <w:rPr>
          <w:rFonts w:ascii="Arial" w:eastAsiaTheme="minorEastAsia" w:hAnsi="Arial" w:cs="Arial"/>
          <w:b w:val="0"/>
          <w:color w:val="auto"/>
          <w:spacing w:val="0"/>
          <w:sz w:val="22"/>
          <w:szCs w:val="22"/>
        </w:rPr>
      </w:pPr>
      <w:r w:rsidRPr="00080443">
        <w:rPr>
          <w:rFonts w:ascii="Arial" w:hAnsi="Arial" w:cs="Arial"/>
        </w:rPr>
        <w:t>Auction forms</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_Toc343780560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86</w:t>
      </w:r>
      <w:r w:rsidR="00724CDB" w:rsidRPr="00080443">
        <w:rPr>
          <w:rFonts w:ascii="Arial" w:hAnsi="Arial" w:cs="Arial"/>
        </w:rPr>
        <w:fldChar w:fldCharType="end"/>
      </w:r>
    </w:p>
    <w:p w14:paraId="594A6CB0" w14:textId="77777777" w:rsidR="004D411C" w:rsidRPr="00080443" w:rsidRDefault="004D411C">
      <w:pPr>
        <w:pStyle w:val="TOC1"/>
        <w:rPr>
          <w:rFonts w:ascii="Arial" w:eastAsiaTheme="minorEastAsia" w:hAnsi="Arial" w:cs="Arial"/>
          <w:b w:val="0"/>
          <w:color w:val="auto"/>
          <w:spacing w:val="0"/>
          <w:sz w:val="22"/>
          <w:szCs w:val="22"/>
        </w:rPr>
      </w:pPr>
      <w:r w:rsidRPr="00080443">
        <w:rPr>
          <w:rFonts w:ascii="Arial" w:hAnsi="Arial" w:cs="Arial"/>
        </w:rPr>
        <w:t>Glossary</w:t>
      </w:r>
      <w:r w:rsidRPr="00080443">
        <w:rPr>
          <w:rFonts w:ascii="Arial" w:hAnsi="Arial" w:cs="Arial"/>
        </w:rPr>
        <w:tab/>
      </w:r>
      <w:r w:rsidR="00724CDB" w:rsidRPr="00080443">
        <w:rPr>
          <w:rFonts w:ascii="Arial" w:hAnsi="Arial" w:cs="Arial"/>
        </w:rPr>
        <w:fldChar w:fldCharType="begin"/>
      </w:r>
      <w:r w:rsidRPr="00080443">
        <w:rPr>
          <w:rFonts w:ascii="Arial" w:hAnsi="Arial" w:cs="Arial"/>
        </w:rPr>
        <w:instrText xml:space="preserve"> PAGEREF _Toc343780561 \h </w:instrText>
      </w:r>
      <w:r w:rsidR="00724CDB" w:rsidRPr="00080443">
        <w:rPr>
          <w:rFonts w:ascii="Arial" w:hAnsi="Arial" w:cs="Arial"/>
        </w:rPr>
      </w:r>
      <w:r w:rsidR="00724CDB" w:rsidRPr="00080443">
        <w:rPr>
          <w:rFonts w:ascii="Arial" w:hAnsi="Arial" w:cs="Arial"/>
        </w:rPr>
        <w:fldChar w:fldCharType="separate"/>
      </w:r>
      <w:r w:rsidR="00080443" w:rsidRPr="00080443">
        <w:rPr>
          <w:rFonts w:ascii="Arial" w:hAnsi="Arial" w:cs="Arial"/>
        </w:rPr>
        <w:t>87</w:t>
      </w:r>
      <w:r w:rsidR="00724CDB" w:rsidRPr="00080443">
        <w:rPr>
          <w:rFonts w:ascii="Arial" w:hAnsi="Arial" w:cs="Arial"/>
        </w:rPr>
        <w:fldChar w:fldCharType="end"/>
      </w:r>
    </w:p>
    <w:p w14:paraId="17388810" w14:textId="77777777" w:rsidR="00152903" w:rsidRPr="00080443" w:rsidRDefault="00724CDB" w:rsidP="00332011">
      <w:pPr>
        <w:rPr>
          <w:rFonts w:cs="Arial"/>
        </w:rPr>
      </w:pPr>
      <w:r w:rsidRPr="00080443">
        <w:rPr>
          <w:rFonts w:cs="Arial"/>
        </w:rPr>
        <w:fldChar w:fldCharType="end"/>
      </w:r>
    </w:p>
    <w:p w14:paraId="6EC88568" w14:textId="77777777" w:rsidR="000A4A51" w:rsidRPr="00080443" w:rsidRDefault="000A4A51">
      <w:pPr>
        <w:rPr>
          <w:rFonts w:cs="Arial"/>
        </w:rPr>
      </w:pPr>
    </w:p>
    <w:p w14:paraId="1DB2DE72" w14:textId="77777777" w:rsidR="00716205" w:rsidRPr="00080443" w:rsidRDefault="00716205">
      <w:pPr>
        <w:rPr>
          <w:rFonts w:cs="Arial"/>
        </w:rPr>
        <w:sectPr w:rsidR="00716205" w:rsidRPr="00080443" w:rsidSect="00BE4C11">
          <w:headerReference w:type="even" r:id="rId19"/>
          <w:headerReference w:type="default" r:id="rId20"/>
          <w:footerReference w:type="even" r:id="rId21"/>
          <w:footerReference w:type="default" r:id="rId22"/>
          <w:footerReference w:type="first" r:id="rId23"/>
          <w:pgSz w:w="11906" w:h="16838" w:code="9"/>
          <w:pgMar w:top="3646" w:right="3102" w:bottom="868" w:left="1134" w:header="709" w:footer="119" w:gutter="0"/>
          <w:cols w:space="708"/>
          <w:titlePg/>
          <w:docGrid w:linePitch="360"/>
        </w:sectPr>
      </w:pPr>
    </w:p>
    <w:p w14:paraId="720C7209" w14:textId="77777777" w:rsidR="00F47365" w:rsidRPr="00080443" w:rsidRDefault="00F47365" w:rsidP="009D609F">
      <w:pPr>
        <w:rPr>
          <w:rFonts w:cs="Arial"/>
          <w:lang w:val="en-US"/>
        </w:rPr>
      </w:pPr>
      <w:r w:rsidRPr="00080443">
        <w:rPr>
          <w:rFonts w:cs="Arial"/>
          <w:lang w:val="en-US"/>
        </w:rPr>
        <w:lastRenderedPageBreak/>
        <w:t>Dear prospective bidder</w:t>
      </w:r>
    </w:p>
    <w:p w14:paraId="627FAD11" w14:textId="77777777" w:rsidR="009D609F" w:rsidRPr="00080443" w:rsidRDefault="009D609F" w:rsidP="009D609F">
      <w:pPr>
        <w:rPr>
          <w:rFonts w:cs="Arial"/>
          <w:lang w:val="en-US"/>
        </w:rPr>
      </w:pPr>
    </w:p>
    <w:p w14:paraId="571F514C" w14:textId="77777777" w:rsidR="00F47365" w:rsidRPr="00080443" w:rsidRDefault="00F47365" w:rsidP="009D609F">
      <w:pPr>
        <w:rPr>
          <w:rFonts w:cs="Arial"/>
          <w:lang w:val="en-US"/>
        </w:rPr>
      </w:pPr>
      <w:r w:rsidRPr="00080443">
        <w:rPr>
          <w:rFonts w:cs="Arial"/>
          <w:lang w:val="en-US"/>
        </w:rPr>
        <w:t>On behalf of the Australian Communications and Media Authority</w:t>
      </w:r>
      <w:r w:rsidR="00890665" w:rsidRPr="00080443">
        <w:rPr>
          <w:rFonts w:cs="Arial"/>
          <w:lang w:val="en-US"/>
        </w:rPr>
        <w:t xml:space="preserve"> (the ACMA)</w:t>
      </w:r>
      <w:r w:rsidRPr="00080443">
        <w:rPr>
          <w:rFonts w:cs="Arial"/>
          <w:lang w:val="en-US"/>
        </w:rPr>
        <w:t xml:space="preserve">, it gives me great pleasure to invite you to apply to take part in the 2013 digital dividend spectrum auction—one of the largest spectrum auctions to be held in Australia.  </w:t>
      </w:r>
    </w:p>
    <w:p w14:paraId="677EAE91" w14:textId="77777777" w:rsidR="009D609F" w:rsidRPr="00080443" w:rsidRDefault="009D609F" w:rsidP="009D609F">
      <w:pPr>
        <w:rPr>
          <w:rFonts w:cs="Arial"/>
          <w:lang w:val="en-US"/>
        </w:rPr>
      </w:pPr>
    </w:p>
    <w:p w14:paraId="01FBE857" w14:textId="77777777" w:rsidR="00F47365" w:rsidRPr="00080443" w:rsidRDefault="00F47365" w:rsidP="009D609F">
      <w:pPr>
        <w:rPr>
          <w:rFonts w:cs="Arial"/>
          <w:lang w:val="en-US"/>
        </w:rPr>
      </w:pPr>
      <w:r w:rsidRPr="00080443">
        <w:rPr>
          <w:rFonts w:cs="Arial"/>
          <w:lang w:val="en-US"/>
        </w:rPr>
        <w:t xml:space="preserve">The auction of the 700 MHz and 2.5 GHz bands is </w:t>
      </w:r>
      <w:r w:rsidR="007F055A" w:rsidRPr="00080443">
        <w:rPr>
          <w:rFonts w:cs="Arial"/>
          <w:lang w:val="en-US"/>
        </w:rPr>
        <w:t xml:space="preserve">part of the Australian Government’s </w:t>
      </w:r>
      <w:r w:rsidR="006D6B51" w:rsidRPr="00080443">
        <w:rPr>
          <w:rFonts w:cs="Arial"/>
          <w:lang w:val="en-US"/>
        </w:rPr>
        <w:t>strategy to meet indust</w:t>
      </w:r>
      <w:r w:rsidRPr="00080443">
        <w:rPr>
          <w:rFonts w:cs="Arial"/>
          <w:lang w:val="en-US"/>
        </w:rPr>
        <w:t xml:space="preserve">ry demand for spectrum for wireless broadband and other </w:t>
      </w:r>
      <w:proofErr w:type="gramStart"/>
      <w:r w:rsidRPr="00080443">
        <w:rPr>
          <w:rFonts w:cs="Arial"/>
          <w:lang w:val="en-US"/>
        </w:rPr>
        <w:t>applications, and</w:t>
      </w:r>
      <w:proofErr w:type="gramEnd"/>
      <w:r w:rsidRPr="00080443">
        <w:rPr>
          <w:rFonts w:cs="Arial"/>
          <w:lang w:val="en-US"/>
        </w:rPr>
        <w:t xml:space="preserve"> will provide valuable opportunities to bring new and improved services to the Australian market—such as 4th generation (4G) mobile services. Allocating the two bands through this single auction process, using the combinatorial clock auction format, will </w:t>
      </w:r>
      <w:r w:rsidR="00870A01" w:rsidRPr="00080443">
        <w:rPr>
          <w:rFonts w:cs="Arial"/>
          <w:lang w:val="en-US"/>
        </w:rPr>
        <w:t xml:space="preserve">assist prospective bidders to plan for advanced mobile telecommunications services by allowing them to bid for packages of spectrum lots from each of the two bands. </w:t>
      </w:r>
      <w:r w:rsidRPr="00080443">
        <w:rPr>
          <w:rFonts w:cs="Arial"/>
          <w:lang w:val="en-US"/>
        </w:rPr>
        <w:t xml:space="preserve"> </w:t>
      </w:r>
    </w:p>
    <w:p w14:paraId="380D0827" w14:textId="77777777" w:rsidR="009D609F" w:rsidRPr="00080443" w:rsidRDefault="009D609F" w:rsidP="009D609F">
      <w:pPr>
        <w:rPr>
          <w:rFonts w:cs="Arial"/>
          <w:lang w:val="en-US"/>
        </w:rPr>
      </w:pPr>
    </w:p>
    <w:p w14:paraId="66FEA300" w14:textId="77777777" w:rsidR="00F47365" w:rsidRPr="00080443" w:rsidRDefault="00F47365" w:rsidP="009D609F">
      <w:pPr>
        <w:rPr>
          <w:rFonts w:cs="Arial"/>
          <w:lang w:val="en-US"/>
        </w:rPr>
      </w:pPr>
      <w:r w:rsidRPr="00080443">
        <w:rPr>
          <w:rFonts w:cs="Arial"/>
          <w:lang w:val="en-US"/>
        </w:rPr>
        <w:t xml:space="preserve">This </w:t>
      </w:r>
      <w:r w:rsidR="00A319F0" w:rsidRPr="00080443">
        <w:rPr>
          <w:rFonts w:cs="Arial"/>
          <w:i/>
          <w:lang w:val="en-US"/>
        </w:rPr>
        <w:t>A</w:t>
      </w:r>
      <w:r w:rsidR="008D119A" w:rsidRPr="00080443">
        <w:rPr>
          <w:rFonts w:cs="Arial"/>
          <w:i/>
          <w:lang w:val="en-US"/>
        </w:rPr>
        <w:t>uction guide</w:t>
      </w:r>
      <w:r w:rsidR="008D119A" w:rsidRPr="00080443">
        <w:rPr>
          <w:rFonts w:cs="Arial"/>
          <w:lang w:val="en-US"/>
        </w:rPr>
        <w:t xml:space="preserve"> </w:t>
      </w:r>
      <w:r w:rsidRPr="00080443">
        <w:rPr>
          <w:rFonts w:cs="Arial"/>
          <w:lang w:val="en-US"/>
        </w:rPr>
        <w:t xml:space="preserve">provides information to help you decide whether to apply to take part in the auction—and, if you wish to take part, how to do so. The </w:t>
      </w:r>
      <w:r w:rsidR="00A319F0" w:rsidRPr="00080443">
        <w:rPr>
          <w:rFonts w:cs="Arial"/>
          <w:i/>
          <w:lang w:val="en-US"/>
        </w:rPr>
        <w:t>A</w:t>
      </w:r>
      <w:r w:rsidR="008D119A" w:rsidRPr="00080443">
        <w:rPr>
          <w:rFonts w:cs="Arial"/>
          <w:i/>
          <w:lang w:val="en-US"/>
        </w:rPr>
        <w:t>uction guide</w:t>
      </w:r>
      <w:r w:rsidR="008D119A" w:rsidRPr="00080443">
        <w:rPr>
          <w:rFonts w:cs="Arial"/>
          <w:lang w:val="en-US"/>
        </w:rPr>
        <w:t xml:space="preserve"> </w:t>
      </w:r>
      <w:r w:rsidRPr="00080443">
        <w:rPr>
          <w:rFonts w:cs="Arial"/>
          <w:lang w:val="en-US"/>
        </w:rPr>
        <w:t>contains information about:</w:t>
      </w:r>
    </w:p>
    <w:p w14:paraId="51C017E2" w14:textId="77777777" w:rsidR="00F47365" w:rsidRPr="00080443" w:rsidRDefault="00F47365" w:rsidP="00AB56ED">
      <w:pPr>
        <w:numPr>
          <w:ilvl w:val="0"/>
          <w:numId w:val="5"/>
        </w:numPr>
        <w:spacing w:before="80" w:after="120"/>
        <w:ind w:left="426" w:hanging="426"/>
        <w:rPr>
          <w:rFonts w:cs="Arial"/>
          <w:lang w:val="en-US"/>
        </w:rPr>
      </w:pPr>
      <w:r w:rsidRPr="00080443">
        <w:rPr>
          <w:rFonts w:cs="Arial"/>
          <w:lang w:val="en-US"/>
        </w:rPr>
        <w:t>the spectrum being offered</w:t>
      </w:r>
    </w:p>
    <w:p w14:paraId="51610D9F" w14:textId="77777777" w:rsidR="00F47365" w:rsidRPr="00080443" w:rsidRDefault="00F47365" w:rsidP="00AB56ED">
      <w:pPr>
        <w:numPr>
          <w:ilvl w:val="0"/>
          <w:numId w:val="5"/>
        </w:numPr>
        <w:spacing w:before="80" w:after="120"/>
        <w:ind w:left="426" w:hanging="426"/>
        <w:rPr>
          <w:rFonts w:cs="Arial"/>
          <w:lang w:val="en-US"/>
        </w:rPr>
      </w:pPr>
      <w:r w:rsidRPr="00080443">
        <w:rPr>
          <w:rFonts w:cs="Arial"/>
          <w:lang w:val="en-US"/>
        </w:rPr>
        <w:t>how the auction will be conducted</w:t>
      </w:r>
    </w:p>
    <w:p w14:paraId="13546268" w14:textId="77777777" w:rsidR="00F47365" w:rsidRPr="00080443" w:rsidRDefault="00F47365" w:rsidP="00AB56ED">
      <w:pPr>
        <w:numPr>
          <w:ilvl w:val="0"/>
          <w:numId w:val="5"/>
        </w:numPr>
        <w:spacing w:before="80" w:after="120"/>
        <w:ind w:left="426" w:hanging="426"/>
        <w:rPr>
          <w:rFonts w:cs="Arial"/>
          <w:lang w:val="en-US"/>
        </w:rPr>
      </w:pPr>
      <w:r w:rsidRPr="00080443">
        <w:rPr>
          <w:rFonts w:cs="Arial"/>
          <w:lang w:val="en-US"/>
        </w:rPr>
        <w:t>how to participate in the auction</w:t>
      </w:r>
    </w:p>
    <w:p w14:paraId="274FFADC" w14:textId="77777777" w:rsidR="00F47365" w:rsidRPr="00080443" w:rsidRDefault="00F47365" w:rsidP="00AB56ED">
      <w:pPr>
        <w:numPr>
          <w:ilvl w:val="0"/>
          <w:numId w:val="5"/>
        </w:numPr>
        <w:spacing w:before="80" w:after="240"/>
        <w:ind w:left="426" w:hanging="426"/>
        <w:rPr>
          <w:rFonts w:cs="Arial"/>
          <w:lang w:val="en-US"/>
        </w:rPr>
      </w:pPr>
      <w:r w:rsidRPr="00080443">
        <w:rPr>
          <w:rFonts w:cs="Arial"/>
          <w:lang w:val="en-US"/>
        </w:rPr>
        <w:t xml:space="preserve">the licensing and technical arrangements applicable to the spectrum on offer. </w:t>
      </w:r>
    </w:p>
    <w:p w14:paraId="4257A3E9" w14:textId="77777777" w:rsidR="008D119A" w:rsidRPr="00080443" w:rsidRDefault="00E135EA" w:rsidP="009D609F">
      <w:pPr>
        <w:rPr>
          <w:rFonts w:cs="Arial"/>
          <w:lang w:val="en-US"/>
        </w:rPr>
      </w:pPr>
      <w:r w:rsidRPr="00080443">
        <w:rPr>
          <w:rFonts w:cs="Arial"/>
          <w:lang w:val="en-US"/>
        </w:rPr>
        <w:t xml:space="preserve">Attachments to the </w:t>
      </w:r>
      <w:r w:rsidR="00A319F0" w:rsidRPr="00080443">
        <w:rPr>
          <w:rFonts w:cs="Arial"/>
          <w:i/>
          <w:lang w:val="en-US"/>
        </w:rPr>
        <w:t>A</w:t>
      </w:r>
      <w:r w:rsidRPr="00080443">
        <w:rPr>
          <w:rFonts w:cs="Arial"/>
          <w:i/>
          <w:lang w:val="en-US"/>
        </w:rPr>
        <w:t>uction guide</w:t>
      </w:r>
      <w:r w:rsidRPr="00080443">
        <w:rPr>
          <w:rFonts w:cs="Arial"/>
          <w:lang w:val="en-US"/>
        </w:rPr>
        <w:t xml:space="preserve"> include the instruments that provide the legal basis for the auction and the operation of radiocommunications devices in the spectrum won at auction, and forms that auction participants may be required to complete. Collectively, the </w:t>
      </w:r>
      <w:r w:rsidR="00A319F0" w:rsidRPr="00080443">
        <w:rPr>
          <w:rFonts w:cs="Arial"/>
          <w:i/>
          <w:lang w:val="en-US"/>
        </w:rPr>
        <w:t>A</w:t>
      </w:r>
      <w:r w:rsidRPr="00080443">
        <w:rPr>
          <w:rFonts w:cs="Arial"/>
          <w:i/>
          <w:lang w:val="en-US"/>
        </w:rPr>
        <w:t>uction guide</w:t>
      </w:r>
      <w:r w:rsidRPr="00080443">
        <w:rPr>
          <w:rFonts w:cs="Arial"/>
          <w:lang w:val="en-US"/>
        </w:rPr>
        <w:t xml:space="preserve"> and its attachments </w:t>
      </w:r>
      <w:r w:rsidR="0078123F" w:rsidRPr="00080443">
        <w:rPr>
          <w:rFonts w:cs="Arial"/>
          <w:lang w:val="en-US"/>
        </w:rPr>
        <w:t xml:space="preserve">form </w:t>
      </w:r>
      <w:r w:rsidRPr="00080443">
        <w:rPr>
          <w:rFonts w:cs="Arial"/>
          <w:lang w:val="en-US"/>
        </w:rPr>
        <w:t xml:space="preserve">the </w:t>
      </w:r>
      <w:r w:rsidR="00A319F0" w:rsidRPr="00080443">
        <w:rPr>
          <w:rFonts w:cs="Arial"/>
          <w:i/>
          <w:lang w:val="en-US"/>
        </w:rPr>
        <w:t>A</w:t>
      </w:r>
      <w:r w:rsidRPr="00080443">
        <w:rPr>
          <w:rFonts w:cs="Arial"/>
          <w:i/>
          <w:lang w:val="en-US"/>
        </w:rPr>
        <w:t>pplicant information package</w:t>
      </w:r>
      <w:r w:rsidR="0078123F" w:rsidRPr="00080443">
        <w:rPr>
          <w:rFonts w:cs="Arial"/>
          <w:lang w:val="en-US"/>
        </w:rPr>
        <w:t xml:space="preserve"> </w:t>
      </w:r>
      <w:r w:rsidR="00861EB7" w:rsidRPr="00080443">
        <w:rPr>
          <w:rFonts w:cs="Arial"/>
          <w:lang w:val="en-US"/>
        </w:rPr>
        <w:t xml:space="preserve">(AIP) </w:t>
      </w:r>
      <w:r w:rsidR="0078123F" w:rsidRPr="00080443">
        <w:rPr>
          <w:rFonts w:cs="Arial"/>
          <w:lang w:val="en-US"/>
        </w:rPr>
        <w:t>for the auction.</w:t>
      </w:r>
    </w:p>
    <w:p w14:paraId="37380141" w14:textId="77777777" w:rsidR="009D609F" w:rsidRPr="00080443" w:rsidRDefault="009D609F" w:rsidP="009D609F">
      <w:pPr>
        <w:rPr>
          <w:rFonts w:cs="Arial"/>
          <w:lang w:val="en-US"/>
        </w:rPr>
      </w:pPr>
    </w:p>
    <w:p w14:paraId="7A94EBC2" w14:textId="77777777" w:rsidR="00F47365" w:rsidRPr="00080443" w:rsidRDefault="00F47365" w:rsidP="009D609F">
      <w:pPr>
        <w:rPr>
          <w:rFonts w:cs="Arial"/>
          <w:lang w:val="en-US"/>
        </w:rPr>
      </w:pPr>
      <w:r w:rsidRPr="00080443">
        <w:rPr>
          <w:rFonts w:cs="Arial"/>
          <w:lang w:val="en-US"/>
        </w:rPr>
        <w:t xml:space="preserve">Many aspects of the auction arrangements were developed by the ACMA in consultation with industry throughout 2012. I thank industry stakeholders for their sustained engagement and invaluable input. I believe the resulting arrangements provide a solid basis for the auction. </w:t>
      </w:r>
    </w:p>
    <w:p w14:paraId="3E2566D1" w14:textId="77777777" w:rsidR="009D609F" w:rsidRPr="00080443" w:rsidRDefault="009D609F" w:rsidP="009D609F">
      <w:pPr>
        <w:rPr>
          <w:rFonts w:cs="Arial"/>
          <w:lang w:val="en-US"/>
        </w:rPr>
      </w:pPr>
    </w:p>
    <w:p w14:paraId="3BE624C9" w14:textId="77777777" w:rsidR="00F47365" w:rsidRPr="00080443" w:rsidRDefault="00F47365" w:rsidP="009D609F">
      <w:pPr>
        <w:rPr>
          <w:rFonts w:cs="Arial"/>
          <w:lang w:val="en-US"/>
        </w:rPr>
      </w:pPr>
      <w:r w:rsidRPr="00080443">
        <w:rPr>
          <w:rFonts w:cs="Arial"/>
          <w:lang w:val="en-US"/>
        </w:rPr>
        <w:t xml:space="preserve">I encourage you to read the AIP carefully in its entirety before deciding whether to apply for registration as a bidder. I also encourage you to keep abreast of the most current auction related information by frequently visiting the ACMA’s </w:t>
      </w:r>
      <w:r w:rsidRPr="00080443">
        <w:rPr>
          <w:rFonts w:cs="Arial"/>
          <w:i/>
          <w:lang w:val="en-US"/>
        </w:rPr>
        <w:t>engage</w:t>
      </w:r>
      <w:r w:rsidRPr="00080443">
        <w:rPr>
          <w:rFonts w:cs="Arial"/>
          <w:lang w:val="en-US"/>
        </w:rPr>
        <w:t xml:space="preserve"> website and subscribing to the </w:t>
      </w:r>
      <w:r w:rsidRPr="00080443">
        <w:rPr>
          <w:rFonts w:cs="Arial"/>
          <w:i/>
          <w:lang w:val="en-US"/>
        </w:rPr>
        <w:t>Spectrum auction e-bulletin</w:t>
      </w:r>
      <w:r w:rsidRPr="00080443">
        <w:rPr>
          <w:rFonts w:cs="Arial"/>
          <w:lang w:val="en-US"/>
        </w:rPr>
        <w:t xml:space="preserve"> (see details </w:t>
      </w:r>
      <w:r w:rsidR="00DF49D9" w:rsidRPr="00080443">
        <w:rPr>
          <w:rFonts w:cs="Arial"/>
          <w:lang w:val="en-US"/>
        </w:rPr>
        <w:t>under heading 6.1</w:t>
      </w:r>
      <w:r w:rsidRPr="00080443">
        <w:rPr>
          <w:rFonts w:cs="Arial"/>
          <w:lang w:val="en-US"/>
        </w:rPr>
        <w:t xml:space="preserve">). </w:t>
      </w:r>
    </w:p>
    <w:p w14:paraId="071E0A17" w14:textId="77777777" w:rsidR="009D609F" w:rsidRPr="00080443" w:rsidRDefault="009D609F" w:rsidP="009D609F">
      <w:pPr>
        <w:rPr>
          <w:rFonts w:cs="Arial"/>
          <w:lang w:val="en-US"/>
        </w:rPr>
      </w:pPr>
    </w:p>
    <w:p w14:paraId="2675CA61" w14:textId="77777777" w:rsidR="00F47365" w:rsidRPr="00080443" w:rsidRDefault="00F47365" w:rsidP="009D609F">
      <w:pPr>
        <w:rPr>
          <w:rFonts w:cs="Arial"/>
          <w:lang w:val="en-US"/>
        </w:rPr>
      </w:pPr>
      <w:r w:rsidRPr="00080443">
        <w:rPr>
          <w:rFonts w:cs="Arial"/>
          <w:lang w:val="en-US"/>
        </w:rPr>
        <w:t xml:space="preserve">If you have any questions about the auction process, please feel free to contact the ACMA’s Allocation Liaison Officer through the channels listed </w:t>
      </w:r>
      <w:r w:rsidR="00DF49D9" w:rsidRPr="00080443">
        <w:rPr>
          <w:rFonts w:cs="Arial"/>
          <w:lang w:val="en-US"/>
        </w:rPr>
        <w:t>under heading 6.2</w:t>
      </w:r>
      <w:r w:rsidRPr="00080443">
        <w:rPr>
          <w:rFonts w:cs="Arial"/>
          <w:lang w:val="en-US"/>
        </w:rPr>
        <w:t xml:space="preserve">. </w:t>
      </w:r>
    </w:p>
    <w:p w14:paraId="0FE1C3A8" w14:textId="77777777" w:rsidR="009D609F" w:rsidRPr="00080443" w:rsidRDefault="009D609F" w:rsidP="009D609F">
      <w:pPr>
        <w:rPr>
          <w:rFonts w:cs="Arial"/>
          <w:lang w:val="en-US"/>
        </w:rPr>
      </w:pPr>
    </w:p>
    <w:p w14:paraId="631BC465" w14:textId="77777777" w:rsidR="00F47365" w:rsidRPr="00080443" w:rsidRDefault="00F47365" w:rsidP="009D609F">
      <w:pPr>
        <w:rPr>
          <w:rFonts w:cs="Arial"/>
          <w:lang w:val="en-US"/>
        </w:rPr>
      </w:pPr>
      <w:r w:rsidRPr="00080443">
        <w:rPr>
          <w:rFonts w:cs="Arial"/>
          <w:lang w:val="en-US"/>
        </w:rPr>
        <w:t xml:space="preserve">I look forward to welcoming you as a bidder in what I’m confident will be a successful auction—both for the communications industry </w:t>
      </w:r>
      <w:r w:rsidRPr="00080443">
        <w:rPr>
          <w:rFonts w:cs="Arial"/>
          <w:i/>
          <w:lang w:val="en-US"/>
        </w:rPr>
        <w:t>and</w:t>
      </w:r>
      <w:r w:rsidRPr="00080443">
        <w:rPr>
          <w:rFonts w:cs="Arial"/>
          <w:lang w:val="en-US"/>
        </w:rPr>
        <w:t xml:space="preserve"> the Australian public.</w:t>
      </w:r>
    </w:p>
    <w:p w14:paraId="3B4A31A8" w14:textId="77777777" w:rsidR="009D609F" w:rsidRPr="00080443" w:rsidRDefault="009D609F" w:rsidP="009D609F">
      <w:pPr>
        <w:rPr>
          <w:rFonts w:cs="Arial"/>
          <w:lang w:val="en-US"/>
        </w:rPr>
      </w:pPr>
    </w:p>
    <w:p w14:paraId="285FC124" w14:textId="77777777" w:rsidR="00F47365" w:rsidRPr="00080443" w:rsidRDefault="00F47365" w:rsidP="009D609F">
      <w:pPr>
        <w:rPr>
          <w:rFonts w:cs="Arial"/>
        </w:rPr>
      </w:pPr>
      <w:r w:rsidRPr="00080443">
        <w:rPr>
          <w:rFonts w:cs="Arial"/>
        </w:rPr>
        <w:t>Yours sincerely</w:t>
      </w:r>
    </w:p>
    <w:p w14:paraId="7C814403" w14:textId="77777777" w:rsidR="00F47365" w:rsidRPr="00080443" w:rsidRDefault="00F47365" w:rsidP="00AB56ED">
      <w:pPr>
        <w:spacing w:before="80" w:after="120"/>
        <w:rPr>
          <w:rFonts w:cs="Arial"/>
        </w:rPr>
      </w:pPr>
    </w:p>
    <w:p w14:paraId="061B214D" w14:textId="77777777" w:rsidR="00F47365" w:rsidRPr="00080443" w:rsidRDefault="00F47365" w:rsidP="00AB56ED">
      <w:pPr>
        <w:spacing w:before="80" w:after="120"/>
        <w:rPr>
          <w:rFonts w:cs="Arial"/>
        </w:rPr>
      </w:pPr>
    </w:p>
    <w:p w14:paraId="59D94456" w14:textId="77777777" w:rsidR="00336C04" w:rsidRPr="00080443" w:rsidRDefault="00F47365" w:rsidP="009D609F">
      <w:pPr>
        <w:spacing w:before="80" w:after="120"/>
        <w:rPr>
          <w:rFonts w:cs="Arial"/>
        </w:rPr>
      </w:pPr>
      <w:r w:rsidRPr="00080443">
        <w:rPr>
          <w:rFonts w:cs="Arial"/>
        </w:rPr>
        <w:t>Chris Chapman</w:t>
      </w:r>
      <w:r w:rsidRPr="00080443">
        <w:rPr>
          <w:rFonts w:cs="Arial"/>
        </w:rPr>
        <w:br/>
        <w:t>Chairman</w:t>
      </w:r>
      <w:r w:rsidR="00336C04" w:rsidRPr="00080443">
        <w:rPr>
          <w:rFonts w:cs="Arial"/>
        </w:rPr>
        <w:br w:type="page"/>
      </w:r>
    </w:p>
    <w:p w14:paraId="7F1F8E60" w14:textId="77777777" w:rsidR="009D6C71" w:rsidRPr="00080443" w:rsidRDefault="008A60B8" w:rsidP="005662A7">
      <w:pPr>
        <w:pStyle w:val="Heading1"/>
        <w:numPr>
          <w:ilvl w:val="0"/>
          <w:numId w:val="0"/>
        </w:numPr>
        <w:ind w:left="432" w:hanging="432"/>
      </w:pPr>
      <w:bookmarkStart w:id="1" w:name="_Toc335246218"/>
      <w:bookmarkStart w:id="2" w:name="_Toc343780428"/>
      <w:r w:rsidRPr="00080443">
        <w:lastRenderedPageBreak/>
        <w:t>Important notice</w:t>
      </w:r>
      <w:r w:rsidR="00AA2BCE" w:rsidRPr="00080443">
        <w:t xml:space="preserve"> and disclaimer</w:t>
      </w:r>
      <w:bookmarkEnd w:id="1"/>
      <w:bookmarkEnd w:id="2"/>
    </w:p>
    <w:p w14:paraId="78A5F1BB" w14:textId="77777777" w:rsidR="00277739" w:rsidRPr="00080443" w:rsidRDefault="00F916B7" w:rsidP="00277739">
      <w:pPr>
        <w:rPr>
          <w:rFonts w:cs="Arial"/>
        </w:rPr>
      </w:pPr>
      <w:r w:rsidRPr="00080443">
        <w:rPr>
          <w:rFonts w:cs="Arial"/>
        </w:rPr>
        <w:t xml:space="preserve">This </w:t>
      </w:r>
      <w:r w:rsidRPr="00080443">
        <w:rPr>
          <w:rFonts w:cs="Arial"/>
          <w:i/>
        </w:rPr>
        <w:t>Applicant information package</w:t>
      </w:r>
      <w:r w:rsidRPr="00080443">
        <w:rPr>
          <w:rFonts w:cs="Arial"/>
        </w:rPr>
        <w:t xml:space="preserve"> (AIP) has been prepared by the ACMA in connection with the proposed reallocation of spectrum in the 700 MHz and 2.5 GHz bands by auction. The AIP comprises this </w:t>
      </w:r>
      <w:r w:rsidRPr="00080443">
        <w:rPr>
          <w:rFonts w:cs="Arial"/>
          <w:i/>
        </w:rPr>
        <w:t>Auction guide</w:t>
      </w:r>
      <w:r w:rsidRPr="00080443">
        <w:rPr>
          <w:rFonts w:cs="Arial"/>
        </w:rPr>
        <w:t xml:space="preserve"> and the instruments, explanatory statements and other material provided as attachments to the guide, as well as the </w:t>
      </w:r>
      <w:r w:rsidRPr="00080443">
        <w:rPr>
          <w:rFonts w:cs="Arial"/>
          <w:i/>
        </w:rPr>
        <w:t>Auction forms</w:t>
      </w:r>
      <w:r w:rsidRPr="00080443">
        <w:rPr>
          <w:rFonts w:cs="Arial"/>
        </w:rPr>
        <w:t xml:space="preserve"> booklet.</w:t>
      </w:r>
    </w:p>
    <w:p w14:paraId="113792B1" w14:textId="77777777" w:rsidR="00F916B7" w:rsidRPr="00080443" w:rsidRDefault="00F916B7" w:rsidP="00277739">
      <w:pPr>
        <w:rPr>
          <w:rFonts w:cs="Arial"/>
        </w:rPr>
      </w:pPr>
    </w:p>
    <w:p w14:paraId="1C03383D" w14:textId="77777777" w:rsidR="00277739" w:rsidRPr="00080443" w:rsidRDefault="00277739" w:rsidP="00277739">
      <w:pPr>
        <w:rPr>
          <w:rFonts w:cs="Arial"/>
        </w:rPr>
      </w:pPr>
      <w:r w:rsidRPr="00080443">
        <w:rPr>
          <w:rFonts w:cs="Arial"/>
        </w:rPr>
        <w:t xml:space="preserve">The ACMA must perform its spectrum allocation and management functions in accordance with relevant legislation; </w:t>
      </w:r>
      <w:proofErr w:type="gramStart"/>
      <w:r w:rsidRPr="00080443">
        <w:rPr>
          <w:rFonts w:cs="Arial"/>
        </w:rPr>
        <w:t>in particular, the</w:t>
      </w:r>
      <w:proofErr w:type="gramEnd"/>
      <w:r w:rsidRPr="00080443">
        <w:rPr>
          <w:rFonts w:cs="Arial"/>
        </w:rPr>
        <w:t xml:space="preserve"> </w:t>
      </w:r>
      <w:r w:rsidRPr="00080443">
        <w:rPr>
          <w:rFonts w:cs="Arial"/>
          <w:i/>
        </w:rPr>
        <w:t>Radiocommunications Act 1992</w:t>
      </w:r>
      <w:r w:rsidRPr="00080443">
        <w:rPr>
          <w:rFonts w:cs="Arial"/>
        </w:rPr>
        <w:t xml:space="preserve"> (the Act). An auction process (the auction process) will be conducted in accordance with the rules and procedures made by the ACMA, pursuant to powers under sections 39A, 60 and 294 of the Act. The subsequent issue of spectrum licences will be made under section 62 of the Act.</w:t>
      </w:r>
    </w:p>
    <w:p w14:paraId="42914EE2" w14:textId="77777777" w:rsidR="00277739" w:rsidRPr="00080443" w:rsidRDefault="00277739" w:rsidP="00277739">
      <w:pPr>
        <w:rPr>
          <w:rFonts w:cs="Arial"/>
        </w:rPr>
      </w:pPr>
    </w:p>
    <w:p w14:paraId="5B8BFBF5" w14:textId="77777777" w:rsidR="00825B93" w:rsidRPr="00080443" w:rsidRDefault="00277739" w:rsidP="00825B93">
      <w:pPr>
        <w:spacing w:after="80"/>
        <w:rPr>
          <w:rFonts w:cs="Arial"/>
        </w:rPr>
      </w:pPr>
      <w:r w:rsidRPr="00080443">
        <w:rPr>
          <w:rFonts w:cs="Arial"/>
        </w:rPr>
        <w:t xml:space="preserve">The rules and procedures made by the ACMA for the auction process are set out </w:t>
      </w:r>
      <w:r w:rsidR="00080443">
        <w:rPr>
          <w:rFonts w:cs="Arial"/>
        </w:rPr>
        <w:br/>
      </w:r>
      <w:r w:rsidRPr="00080443">
        <w:rPr>
          <w:rFonts w:cs="Arial"/>
        </w:rPr>
        <w:t>in the</w:t>
      </w:r>
      <w:r w:rsidR="00825B93" w:rsidRPr="00080443">
        <w:rPr>
          <w:rFonts w:cs="Arial"/>
        </w:rPr>
        <w:t>:</w:t>
      </w:r>
    </w:p>
    <w:p w14:paraId="244DC743" w14:textId="77777777" w:rsidR="00BC1129" w:rsidRPr="00080443" w:rsidRDefault="00FC7F99">
      <w:pPr>
        <w:numPr>
          <w:ilvl w:val="0"/>
          <w:numId w:val="5"/>
        </w:numPr>
        <w:spacing w:before="80" w:after="120"/>
        <w:ind w:left="426" w:hanging="426"/>
        <w:rPr>
          <w:rFonts w:cs="Arial"/>
        </w:rPr>
      </w:pPr>
      <w:r w:rsidRPr="00080443">
        <w:rPr>
          <w:rFonts w:cs="Arial"/>
        </w:rPr>
        <w:t>Radiocommunications (Spectrum Licence Allocation – Combinatorial Clock Auction) Determination 2012</w:t>
      </w:r>
      <w:r w:rsidR="00277739" w:rsidRPr="00080443">
        <w:rPr>
          <w:rFonts w:cs="Arial"/>
        </w:rPr>
        <w:t xml:space="preserve"> (the allocation determination)</w:t>
      </w:r>
    </w:p>
    <w:p w14:paraId="56E22656" w14:textId="77777777" w:rsidR="00BC1129" w:rsidRPr="00080443" w:rsidRDefault="00FC7F99">
      <w:pPr>
        <w:numPr>
          <w:ilvl w:val="0"/>
          <w:numId w:val="5"/>
        </w:numPr>
        <w:spacing w:before="80" w:after="120"/>
        <w:ind w:left="426" w:hanging="426"/>
        <w:rPr>
          <w:rFonts w:cs="Arial"/>
        </w:rPr>
      </w:pPr>
      <w:r w:rsidRPr="00080443">
        <w:rPr>
          <w:rFonts w:cs="Arial"/>
        </w:rPr>
        <w:t>Radiocommunications Spectrum Marketing Plan (700 MHz Band) 2012</w:t>
      </w:r>
      <w:r w:rsidR="00277739" w:rsidRPr="00080443">
        <w:rPr>
          <w:rFonts w:cs="Arial"/>
        </w:rPr>
        <w:t xml:space="preserve"> (the 700 MHz band marketing plan)</w:t>
      </w:r>
    </w:p>
    <w:p w14:paraId="3CE598A5" w14:textId="77777777" w:rsidR="00BC1129" w:rsidRPr="00080443" w:rsidRDefault="00FC7F99">
      <w:pPr>
        <w:numPr>
          <w:ilvl w:val="0"/>
          <w:numId w:val="5"/>
        </w:numPr>
        <w:spacing w:before="80" w:after="240"/>
        <w:ind w:left="426" w:hanging="426"/>
        <w:rPr>
          <w:rFonts w:cs="Arial"/>
        </w:rPr>
      </w:pPr>
      <w:r w:rsidRPr="00080443">
        <w:rPr>
          <w:rFonts w:cs="Arial"/>
        </w:rPr>
        <w:t>Radiocommunications Spectrum Marketing Plan (2.5 GHz Band) 2012</w:t>
      </w:r>
      <w:r w:rsidR="00277739" w:rsidRPr="00080443">
        <w:rPr>
          <w:rFonts w:cs="Arial"/>
        </w:rPr>
        <w:t xml:space="preserve"> (the 2.5 GHz band marketing plan)</w:t>
      </w:r>
      <w:r w:rsidR="00825B93" w:rsidRPr="00080443">
        <w:rPr>
          <w:rFonts w:cs="Arial"/>
        </w:rPr>
        <w:t>.</w:t>
      </w:r>
    </w:p>
    <w:p w14:paraId="4F1DBEE4" w14:textId="77777777" w:rsidR="00277739" w:rsidRPr="00080443" w:rsidRDefault="00825B93" w:rsidP="00825B93">
      <w:pPr>
        <w:rPr>
          <w:rFonts w:cs="Arial"/>
        </w:rPr>
      </w:pPr>
      <w:r w:rsidRPr="00080443">
        <w:rPr>
          <w:rFonts w:cs="Arial"/>
        </w:rPr>
        <w:t xml:space="preserve">These </w:t>
      </w:r>
      <w:r w:rsidR="009D3C99" w:rsidRPr="00080443">
        <w:rPr>
          <w:rFonts w:cs="Arial"/>
        </w:rPr>
        <w:t xml:space="preserve">are </w:t>
      </w:r>
      <w:r w:rsidR="00277739" w:rsidRPr="00080443">
        <w:rPr>
          <w:rFonts w:cs="Arial"/>
        </w:rPr>
        <w:t>collectively</w:t>
      </w:r>
      <w:r w:rsidR="009D3C99" w:rsidRPr="00080443">
        <w:rPr>
          <w:rFonts w:cs="Arial"/>
        </w:rPr>
        <w:t xml:space="preserve"> known as</w:t>
      </w:r>
      <w:r w:rsidR="00277739" w:rsidRPr="00080443">
        <w:rPr>
          <w:rFonts w:cs="Arial"/>
        </w:rPr>
        <w:t xml:space="preserve"> the allocation instruments. Copies are included as attachments in this AIP. Interested persons should note that the allocation instruments have legal effect and are registered as legislative instruments on the Federal Register of Legislative Instruments. In the event of any difference between the provisions of the allocation instruments and any other written or oral information made available, the allocation instruments are definitive.</w:t>
      </w:r>
    </w:p>
    <w:p w14:paraId="43311F93" w14:textId="77777777" w:rsidR="00277739" w:rsidRPr="00080443" w:rsidRDefault="00277739" w:rsidP="00277739">
      <w:pPr>
        <w:rPr>
          <w:rFonts w:cs="Arial"/>
        </w:rPr>
      </w:pPr>
    </w:p>
    <w:p w14:paraId="4E950FB6" w14:textId="77777777" w:rsidR="00277739" w:rsidRPr="00080443" w:rsidRDefault="00277739" w:rsidP="00277739">
      <w:pPr>
        <w:rPr>
          <w:rFonts w:cs="Arial"/>
        </w:rPr>
      </w:pPr>
      <w:r w:rsidRPr="00080443">
        <w:rPr>
          <w:rFonts w:cs="Arial"/>
        </w:rPr>
        <w:t>The material contai</w:t>
      </w:r>
      <w:r w:rsidR="00A319F0" w:rsidRPr="00080443">
        <w:rPr>
          <w:rFonts w:cs="Arial"/>
        </w:rPr>
        <w:t xml:space="preserve">ned in this AIP, including the </w:t>
      </w:r>
      <w:r w:rsidR="00A319F0" w:rsidRPr="00080443">
        <w:rPr>
          <w:rFonts w:cs="Arial"/>
          <w:i/>
        </w:rPr>
        <w:t>A</w:t>
      </w:r>
      <w:r w:rsidRPr="00080443">
        <w:rPr>
          <w:rFonts w:cs="Arial"/>
          <w:i/>
        </w:rPr>
        <w:t>uction guide</w:t>
      </w:r>
      <w:r w:rsidRPr="00080443">
        <w:rPr>
          <w:rFonts w:cs="Arial"/>
        </w:rPr>
        <w:t>, is for information purposes only, and should not be used as a substitute for independent advice on participating in the auction process</w:t>
      </w:r>
      <w:r w:rsidR="009D3C99" w:rsidRPr="00080443">
        <w:rPr>
          <w:rFonts w:cs="Arial"/>
        </w:rPr>
        <w:t>,</w:t>
      </w:r>
      <w:r w:rsidRPr="00080443">
        <w:rPr>
          <w:rFonts w:cs="Arial"/>
        </w:rPr>
        <w:t xml:space="preserve"> or the rights or regulatory responsibilities that attach to any spectrum licences that may be obtained. The AIP does not, and does not purport to, contain all the information that may be required to evaluate any auction process or spectrum licence</w:t>
      </w:r>
      <w:r w:rsidR="00AB2FC7" w:rsidRPr="00080443">
        <w:rPr>
          <w:rFonts w:cs="Arial"/>
        </w:rPr>
        <w:t>, or rights and obligations under the associated legislative instruments or applicable regulatory framework</w:t>
      </w:r>
      <w:r w:rsidRPr="00080443">
        <w:rPr>
          <w:rFonts w:cs="Arial"/>
        </w:rPr>
        <w:t>.</w:t>
      </w:r>
    </w:p>
    <w:p w14:paraId="478893A1" w14:textId="77777777" w:rsidR="00277739" w:rsidRPr="00080443" w:rsidRDefault="00277739" w:rsidP="00277739">
      <w:pPr>
        <w:rPr>
          <w:rFonts w:cs="Arial"/>
        </w:rPr>
      </w:pPr>
    </w:p>
    <w:p w14:paraId="5D947183" w14:textId="77777777" w:rsidR="00277739" w:rsidRPr="00080443" w:rsidRDefault="00277739" w:rsidP="00277739">
      <w:pPr>
        <w:rPr>
          <w:rFonts w:cs="Arial"/>
        </w:rPr>
      </w:pPr>
      <w:r w:rsidRPr="00080443">
        <w:rPr>
          <w:rFonts w:cs="Arial"/>
        </w:rPr>
        <w:t xml:space="preserve">Nothing in this </w:t>
      </w:r>
      <w:r w:rsidR="007B1373" w:rsidRPr="00080443">
        <w:rPr>
          <w:rFonts w:cs="Arial"/>
          <w:i/>
        </w:rPr>
        <w:t>A</w:t>
      </w:r>
      <w:r w:rsidRPr="00080443">
        <w:rPr>
          <w:rFonts w:cs="Arial"/>
          <w:i/>
        </w:rPr>
        <w:t>uction guide</w:t>
      </w:r>
      <w:r w:rsidRPr="00080443">
        <w:rPr>
          <w:rFonts w:cs="Arial"/>
        </w:rPr>
        <w:t xml:space="preserve"> should be taken to bind the ACMA to any </w:t>
      </w:r>
      <w:proofErr w:type="gramStart"/>
      <w:r w:rsidRPr="00080443">
        <w:rPr>
          <w:rFonts w:cs="Arial"/>
        </w:rPr>
        <w:t>particular course</w:t>
      </w:r>
      <w:proofErr w:type="gramEnd"/>
      <w:r w:rsidRPr="00080443">
        <w:rPr>
          <w:rFonts w:cs="Arial"/>
        </w:rPr>
        <w:t xml:space="preserve"> of action in the allocation of spectrum licences in the 700 MHz and 2.5 GHz bands. The ACMA may vary or revoke a legislative instrument at any time, as permitted at law. The </w:t>
      </w:r>
      <w:r w:rsidR="00CB566E" w:rsidRPr="00080443">
        <w:rPr>
          <w:rFonts w:cs="Arial"/>
        </w:rPr>
        <w:t xml:space="preserve">auction manager </w:t>
      </w:r>
      <w:r w:rsidRPr="00080443">
        <w:rPr>
          <w:rFonts w:cs="Arial"/>
        </w:rPr>
        <w:t>has the power under the allocation determination to</w:t>
      </w:r>
      <w:r w:rsidR="00DE1DF5" w:rsidRPr="00080443">
        <w:rPr>
          <w:rFonts w:cs="Arial"/>
        </w:rPr>
        <w:t xml:space="preserve"> </w:t>
      </w:r>
      <w:r w:rsidRPr="00080443">
        <w:rPr>
          <w:rFonts w:cs="Arial"/>
        </w:rPr>
        <w:t>stop a round of the auction, cancel the result of a round of the auction, restart the auction or stop the entire auction</w:t>
      </w:r>
      <w:r w:rsidR="00DE1DF5" w:rsidRPr="00080443">
        <w:rPr>
          <w:rFonts w:cs="Arial"/>
        </w:rPr>
        <w:t xml:space="preserve"> if he or she is satisfied that the auction is affected by exceptional circumstances</w:t>
      </w:r>
      <w:r w:rsidR="007F055A" w:rsidRPr="00080443">
        <w:rPr>
          <w:rFonts w:cs="Arial"/>
        </w:rPr>
        <w:t>.</w:t>
      </w:r>
    </w:p>
    <w:p w14:paraId="22D38941" w14:textId="77777777" w:rsidR="00277739" w:rsidRPr="00080443" w:rsidRDefault="00277739" w:rsidP="00277739">
      <w:pPr>
        <w:rPr>
          <w:rFonts w:cs="Arial"/>
        </w:rPr>
      </w:pPr>
    </w:p>
    <w:p w14:paraId="28455436" w14:textId="77777777" w:rsidR="00277739" w:rsidRPr="00080443" w:rsidRDefault="00277739" w:rsidP="009D3C99">
      <w:pPr>
        <w:spacing w:after="80"/>
        <w:rPr>
          <w:rFonts w:cs="Arial"/>
        </w:rPr>
      </w:pPr>
      <w:r w:rsidRPr="00080443">
        <w:rPr>
          <w:rFonts w:cs="Arial"/>
        </w:rPr>
        <w:t xml:space="preserve">The AIP and its contents do not constitute or form part of any offer, contract, agreement or other legal obligation. This AIP is not intended to form any part of the basis of any investment decision or other evaluation by any </w:t>
      </w:r>
      <w:proofErr w:type="gramStart"/>
      <w:r w:rsidRPr="00080443">
        <w:rPr>
          <w:rFonts w:cs="Arial"/>
        </w:rPr>
        <w:t>person, and</w:t>
      </w:r>
      <w:proofErr w:type="gramEnd"/>
      <w:r w:rsidRPr="00080443">
        <w:rPr>
          <w:rFonts w:cs="Arial"/>
        </w:rPr>
        <w:t xml:space="preserve"> should not be considered as a recommendation by the ACMA to participate in the auction process. It is the responsibility of each recipient of this AIP to make </w:t>
      </w:r>
      <w:r w:rsidR="00DE1DF5" w:rsidRPr="00080443">
        <w:rPr>
          <w:rFonts w:cs="Arial"/>
        </w:rPr>
        <w:t>its</w:t>
      </w:r>
      <w:r w:rsidRPr="00080443">
        <w:rPr>
          <w:rFonts w:cs="Arial"/>
        </w:rPr>
        <w:t xml:space="preserve"> own independent investigation, review and assessment of:</w:t>
      </w:r>
    </w:p>
    <w:p w14:paraId="06BC6E0B" w14:textId="77777777" w:rsidR="00277739" w:rsidRPr="00080443" w:rsidRDefault="00277739" w:rsidP="004D411C">
      <w:pPr>
        <w:keepNext/>
        <w:numPr>
          <w:ilvl w:val="0"/>
          <w:numId w:val="5"/>
        </w:numPr>
        <w:spacing w:before="80" w:after="120"/>
        <w:ind w:left="425" w:hanging="425"/>
        <w:rPr>
          <w:rFonts w:cs="Arial"/>
          <w:lang w:val="en-US"/>
        </w:rPr>
      </w:pPr>
      <w:r w:rsidRPr="00080443">
        <w:rPr>
          <w:rFonts w:cs="Arial"/>
          <w:lang w:val="en-US"/>
        </w:rPr>
        <w:lastRenderedPageBreak/>
        <w:t xml:space="preserve">the proposed allocation of spectrum </w:t>
      </w:r>
      <w:proofErr w:type="spellStart"/>
      <w:r w:rsidRPr="00080443">
        <w:rPr>
          <w:rFonts w:cs="Arial"/>
          <w:lang w:val="en-US"/>
        </w:rPr>
        <w:t>licences</w:t>
      </w:r>
      <w:proofErr w:type="spellEnd"/>
      <w:r w:rsidRPr="00080443">
        <w:rPr>
          <w:rFonts w:cs="Arial"/>
          <w:lang w:val="en-US"/>
        </w:rPr>
        <w:t xml:space="preserve"> and the auction process</w:t>
      </w:r>
    </w:p>
    <w:p w14:paraId="05D647FC" w14:textId="77777777" w:rsidR="00277739" w:rsidRPr="00080443" w:rsidRDefault="00277739" w:rsidP="009D3C99">
      <w:pPr>
        <w:numPr>
          <w:ilvl w:val="0"/>
          <w:numId w:val="5"/>
        </w:numPr>
        <w:spacing w:before="80" w:after="120"/>
        <w:ind w:left="426" w:hanging="426"/>
        <w:rPr>
          <w:rFonts w:cs="Arial"/>
          <w:lang w:val="en-US"/>
        </w:rPr>
      </w:pPr>
      <w:r w:rsidRPr="00080443">
        <w:rPr>
          <w:rFonts w:cs="Arial"/>
          <w:lang w:val="en-US"/>
        </w:rPr>
        <w:t xml:space="preserve">rights and responsibilities under spectrum </w:t>
      </w:r>
      <w:proofErr w:type="spellStart"/>
      <w:r w:rsidRPr="00080443">
        <w:rPr>
          <w:rFonts w:cs="Arial"/>
          <w:lang w:val="en-US"/>
        </w:rPr>
        <w:t>licences</w:t>
      </w:r>
      <w:proofErr w:type="spellEnd"/>
      <w:r w:rsidRPr="00080443">
        <w:rPr>
          <w:rFonts w:cs="Arial"/>
          <w:lang w:val="en-US"/>
        </w:rPr>
        <w:t xml:space="preserve"> issued as a result of the auction</w:t>
      </w:r>
    </w:p>
    <w:p w14:paraId="08943391" w14:textId="77777777" w:rsidR="00277739" w:rsidRPr="00080443" w:rsidRDefault="00277739" w:rsidP="009D3C99">
      <w:pPr>
        <w:numPr>
          <w:ilvl w:val="0"/>
          <w:numId w:val="5"/>
        </w:numPr>
        <w:spacing w:before="80" w:after="120"/>
        <w:ind w:left="426" w:hanging="426"/>
        <w:rPr>
          <w:rFonts w:cs="Arial"/>
          <w:lang w:val="en-US"/>
        </w:rPr>
      </w:pPr>
      <w:r w:rsidRPr="00080443">
        <w:rPr>
          <w:rFonts w:cs="Arial"/>
          <w:lang w:val="en-US"/>
        </w:rPr>
        <w:t xml:space="preserve">the potential cost and value of a </w:t>
      </w:r>
      <w:proofErr w:type="spellStart"/>
      <w:r w:rsidRPr="00080443">
        <w:rPr>
          <w:rFonts w:cs="Arial"/>
          <w:lang w:val="en-US"/>
        </w:rPr>
        <w:t>licence</w:t>
      </w:r>
      <w:proofErr w:type="spellEnd"/>
    </w:p>
    <w:p w14:paraId="388AEAD0" w14:textId="77777777" w:rsidR="00277739" w:rsidRPr="00080443" w:rsidRDefault="00277739" w:rsidP="009D3C99">
      <w:pPr>
        <w:numPr>
          <w:ilvl w:val="0"/>
          <w:numId w:val="5"/>
        </w:numPr>
        <w:spacing w:before="80" w:after="240"/>
        <w:ind w:left="426" w:hanging="426"/>
        <w:rPr>
          <w:rFonts w:cs="Arial"/>
          <w:lang w:val="en-US"/>
        </w:rPr>
      </w:pPr>
      <w:r w:rsidRPr="00080443">
        <w:rPr>
          <w:rFonts w:cs="Arial"/>
          <w:lang w:val="en-US"/>
        </w:rPr>
        <w:t xml:space="preserve">whether to participate in the auction process.  </w:t>
      </w:r>
    </w:p>
    <w:p w14:paraId="445EFCB0" w14:textId="77777777" w:rsidR="00277739" w:rsidRPr="00080443" w:rsidRDefault="00277739" w:rsidP="00277739">
      <w:pPr>
        <w:rPr>
          <w:rFonts w:cs="Arial"/>
        </w:rPr>
      </w:pPr>
      <w:r w:rsidRPr="00080443">
        <w:rPr>
          <w:rFonts w:cs="Arial"/>
        </w:rPr>
        <w:t xml:space="preserve">By virtue of clause 19 of the deed of acknowledgment form executed by applicants, the liability of the ACMA, the auction manager, the Commonwealth, and their officers, employees, agents, </w:t>
      </w:r>
      <w:r w:rsidR="006D6B51" w:rsidRPr="00080443">
        <w:rPr>
          <w:rFonts w:cs="Arial"/>
        </w:rPr>
        <w:t>contractors, subcontractors</w:t>
      </w:r>
      <w:r w:rsidRPr="00080443">
        <w:rPr>
          <w:rFonts w:cs="Arial"/>
        </w:rPr>
        <w:t>, associates and delegates in connection w</w:t>
      </w:r>
      <w:r w:rsidR="006D6B51" w:rsidRPr="00080443">
        <w:rPr>
          <w:rFonts w:cs="Arial"/>
        </w:rPr>
        <w:t>ith the auction process or delays in access to spectrum caused by the restack process is excluded</w:t>
      </w:r>
      <w:r w:rsidRPr="00080443">
        <w:rPr>
          <w:rFonts w:cs="Arial"/>
        </w:rPr>
        <w:t>.</w:t>
      </w:r>
      <w:r w:rsidR="00F84FFD" w:rsidRPr="00080443">
        <w:rPr>
          <w:rFonts w:cs="Arial"/>
        </w:rPr>
        <w:t xml:space="preserve"> Completion of the deed of acknowledgement is a requirement </w:t>
      </w:r>
      <w:r w:rsidR="00BE53FD" w:rsidRPr="00080443">
        <w:rPr>
          <w:rFonts w:cs="Arial"/>
        </w:rPr>
        <w:t>for anyone wishing to participate in the auction. Plea</w:t>
      </w:r>
      <w:r w:rsidR="007B1373" w:rsidRPr="00080443">
        <w:rPr>
          <w:rFonts w:cs="Arial"/>
        </w:rPr>
        <w:t xml:space="preserve">se refer to heading 4.3 of the </w:t>
      </w:r>
      <w:r w:rsidR="007B1373" w:rsidRPr="00080443">
        <w:rPr>
          <w:rFonts w:cs="Arial"/>
          <w:i/>
        </w:rPr>
        <w:t>A</w:t>
      </w:r>
      <w:r w:rsidR="00BE53FD" w:rsidRPr="00080443">
        <w:rPr>
          <w:rFonts w:cs="Arial"/>
          <w:i/>
        </w:rPr>
        <w:t xml:space="preserve">uction </w:t>
      </w:r>
      <w:proofErr w:type="gramStart"/>
      <w:r w:rsidR="00BE53FD" w:rsidRPr="00080443">
        <w:rPr>
          <w:rFonts w:cs="Arial"/>
          <w:i/>
        </w:rPr>
        <w:t>guide</w:t>
      </w:r>
      <w:proofErr w:type="gramEnd"/>
      <w:r w:rsidR="00BE53FD" w:rsidRPr="00080443">
        <w:rPr>
          <w:rFonts w:cs="Arial"/>
        </w:rPr>
        <w:t xml:space="preserve"> for further information about application and registration requirements. </w:t>
      </w:r>
    </w:p>
    <w:p w14:paraId="0B10BE96" w14:textId="77777777" w:rsidR="00277739" w:rsidRPr="00080443" w:rsidRDefault="00277739" w:rsidP="00277739">
      <w:pPr>
        <w:rPr>
          <w:rFonts w:cs="Arial"/>
        </w:rPr>
      </w:pPr>
    </w:p>
    <w:p w14:paraId="1C6C4162" w14:textId="77777777" w:rsidR="00277739" w:rsidRPr="00080443" w:rsidRDefault="00277739" w:rsidP="00277739">
      <w:pPr>
        <w:rPr>
          <w:rFonts w:cs="Arial"/>
        </w:rPr>
      </w:pPr>
      <w:r w:rsidRPr="00080443">
        <w:rPr>
          <w:rFonts w:cs="Arial"/>
        </w:rPr>
        <w:t>The information contained in this AIP is presented in good faith</w:t>
      </w:r>
      <w:r w:rsidR="009D3C99" w:rsidRPr="00080443">
        <w:rPr>
          <w:rFonts w:cs="Arial"/>
        </w:rPr>
        <w:t xml:space="preserve"> and </w:t>
      </w:r>
      <w:r w:rsidRPr="00080443">
        <w:rPr>
          <w:rFonts w:cs="Arial"/>
        </w:rPr>
        <w:t xml:space="preserve">is believed to be accurate at the time of publication. However, all such information is subject to amendment. It is the responsibility of the recipient, at its own cost, to verify to its own satisfaction the accuracy, currency, reliability and completeness of any of the information contained in or any matter referred to in this </w:t>
      </w:r>
      <w:proofErr w:type="gramStart"/>
      <w:r w:rsidRPr="00080443">
        <w:rPr>
          <w:rFonts w:cs="Arial"/>
        </w:rPr>
        <w:t>AIP, and</w:t>
      </w:r>
      <w:proofErr w:type="gramEnd"/>
      <w:r w:rsidRPr="00080443">
        <w:rPr>
          <w:rFonts w:cs="Arial"/>
        </w:rPr>
        <w:t xml:space="preserve"> obtain independent advice from appropriate experts. The ACMA has not authorised any person to make any statements or representations on its behalf </w:t>
      </w:r>
      <w:r w:rsidR="009D3C99" w:rsidRPr="00080443">
        <w:rPr>
          <w:rFonts w:cs="Arial"/>
        </w:rPr>
        <w:t xml:space="preserve">that </w:t>
      </w:r>
      <w:r w:rsidRPr="00080443">
        <w:rPr>
          <w:rFonts w:cs="Arial"/>
        </w:rPr>
        <w:t xml:space="preserve">are not expressly contained in or contemplated by this AIP. </w:t>
      </w:r>
    </w:p>
    <w:p w14:paraId="00150B9F" w14:textId="77777777" w:rsidR="00277739" w:rsidRPr="00080443" w:rsidRDefault="00277739" w:rsidP="00277739">
      <w:pPr>
        <w:rPr>
          <w:rFonts w:cs="Arial"/>
        </w:rPr>
      </w:pPr>
    </w:p>
    <w:p w14:paraId="426B7D05" w14:textId="77777777" w:rsidR="00277739" w:rsidRPr="00080443" w:rsidRDefault="00277739" w:rsidP="00277739">
      <w:pPr>
        <w:rPr>
          <w:rFonts w:cs="Arial"/>
        </w:rPr>
      </w:pPr>
      <w:r w:rsidRPr="00080443">
        <w:rPr>
          <w:rFonts w:cs="Arial"/>
        </w:rPr>
        <w:t xml:space="preserve">Recipients and interested persons should not rely </w:t>
      </w:r>
      <w:r w:rsidR="007217FF" w:rsidRPr="00080443">
        <w:rPr>
          <w:rFonts w:cs="Arial"/>
        </w:rPr>
        <w:t xml:space="preserve">solely </w:t>
      </w:r>
      <w:r w:rsidRPr="00080443">
        <w:rPr>
          <w:rFonts w:cs="Arial"/>
        </w:rPr>
        <w:t xml:space="preserve">on any statement, opinion or information set out in this AIP, including any statements about the policies that may be followed by other authorities nor about the effect of any legislation, but should take what steps they consider necessary to inform themselves on those matters independently of the ACMA. The comments made in this AIP about the ACMA’s functions and powers reflect the present policies of the ACMA.  </w:t>
      </w:r>
    </w:p>
    <w:p w14:paraId="30A813BE" w14:textId="77777777" w:rsidR="00277739" w:rsidRPr="00080443" w:rsidRDefault="00277739" w:rsidP="00277739">
      <w:pPr>
        <w:rPr>
          <w:rFonts w:cs="Arial"/>
        </w:rPr>
      </w:pPr>
    </w:p>
    <w:p w14:paraId="3B0A28DB" w14:textId="77777777" w:rsidR="00277739" w:rsidRPr="00080443" w:rsidRDefault="00277739" w:rsidP="00277739">
      <w:pPr>
        <w:rPr>
          <w:rFonts w:cs="Arial"/>
        </w:rPr>
      </w:pPr>
      <w:r w:rsidRPr="00080443">
        <w:rPr>
          <w:rFonts w:cs="Arial"/>
        </w:rPr>
        <w:t xml:space="preserve">Prospective applicants should, on their own responsibility, take whatever steps they consider necessary to obtain access to appropriate technical or other specialist advice independently of the ACMA concerning their application, the regulation and operation of radiocommunications devices and services, or any other matters relevant to the proposed spectrum licence allocation system. Applicants are also advised to seek advice independently of the ACMA on the treatment of spectrum licences and other investments under Australian taxation laws, and on the operation of foreign investment laws and policy on proposed investment in communications in </w:t>
      </w:r>
      <w:smartTag w:uri="urn:schemas-microsoft-com:office:smarttags" w:element="country-region">
        <w:smartTag w:uri="urn:schemas-microsoft-com:office:smarttags" w:element="place">
          <w:r w:rsidRPr="00080443">
            <w:rPr>
              <w:rFonts w:cs="Arial"/>
            </w:rPr>
            <w:t>Australia</w:t>
          </w:r>
        </w:smartTag>
      </w:smartTag>
      <w:r w:rsidRPr="00080443">
        <w:rPr>
          <w:rFonts w:cs="Arial"/>
        </w:rPr>
        <w:t>.</w:t>
      </w:r>
    </w:p>
    <w:p w14:paraId="0FCE2251" w14:textId="77777777" w:rsidR="00277739" w:rsidRPr="00080443" w:rsidRDefault="00277739" w:rsidP="00277739">
      <w:pPr>
        <w:rPr>
          <w:rFonts w:cs="Arial"/>
        </w:rPr>
      </w:pPr>
    </w:p>
    <w:p w14:paraId="72073F36" w14:textId="77777777" w:rsidR="00277739" w:rsidRPr="00080443" w:rsidRDefault="00277739" w:rsidP="00277739">
      <w:pPr>
        <w:rPr>
          <w:rFonts w:cs="Arial"/>
        </w:rPr>
      </w:pPr>
      <w:r w:rsidRPr="00080443">
        <w:rPr>
          <w:rFonts w:cs="Arial"/>
        </w:rPr>
        <w:t xml:space="preserve">Prospective applicants are urged to familiarise themselves with all the provisions of the Act, not just those pertaining to spectrum licensing, and should be aware that activities associated with radiocommunications may also be regulated by the </w:t>
      </w:r>
      <w:r w:rsidRPr="00080443">
        <w:rPr>
          <w:rFonts w:cs="Arial"/>
          <w:i/>
          <w:iCs/>
        </w:rPr>
        <w:t xml:space="preserve">Competition and Consumer Act 2010 </w:t>
      </w:r>
      <w:r w:rsidRPr="00080443">
        <w:rPr>
          <w:rFonts w:cs="Arial"/>
          <w:iCs/>
        </w:rPr>
        <w:t>(the Competition and Consumer Act)</w:t>
      </w:r>
      <w:r w:rsidRPr="00080443">
        <w:rPr>
          <w:rFonts w:cs="Arial"/>
        </w:rPr>
        <w:t xml:space="preserve">, the </w:t>
      </w:r>
      <w:r w:rsidRPr="00080443">
        <w:rPr>
          <w:rFonts w:cs="Arial"/>
          <w:i/>
          <w:iCs/>
        </w:rPr>
        <w:t xml:space="preserve">Broadcasting Services Act 1992 </w:t>
      </w:r>
      <w:r w:rsidRPr="00080443">
        <w:rPr>
          <w:rFonts w:cs="Arial"/>
          <w:iCs/>
        </w:rPr>
        <w:t>(the Broadcasting Services Act)</w:t>
      </w:r>
      <w:r w:rsidRPr="00080443">
        <w:rPr>
          <w:rFonts w:cs="Arial"/>
          <w:i/>
          <w:iCs/>
        </w:rPr>
        <w:t xml:space="preserve"> </w:t>
      </w:r>
      <w:r w:rsidRPr="00080443">
        <w:rPr>
          <w:rFonts w:cs="Arial"/>
        </w:rPr>
        <w:t xml:space="preserve">and the </w:t>
      </w:r>
      <w:r w:rsidRPr="00080443">
        <w:rPr>
          <w:rFonts w:cs="Arial"/>
          <w:i/>
        </w:rPr>
        <w:t xml:space="preserve">Telecommunications Act 1997 </w:t>
      </w:r>
      <w:r w:rsidRPr="00080443">
        <w:rPr>
          <w:rFonts w:cs="Arial"/>
          <w:iCs/>
        </w:rPr>
        <w:t>(the Telecommunications Act)</w:t>
      </w:r>
      <w:r w:rsidRPr="00080443">
        <w:rPr>
          <w:rFonts w:cs="Arial"/>
        </w:rPr>
        <w:t xml:space="preserve">. Depending on the activity undertaken when using the spectrum under a licence, other Commonwealth, </w:t>
      </w:r>
      <w:r w:rsidR="009D3C99" w:rsidRPr="00080443">
        <w:rPr>
          <w:rFonts w:cs="Arial"/>
        </w:rPr>
        <w:t>s</w:t>
      </w:r>
      <w:r w:rsidRPr="00080443">
        <w:rPr>
          <w:rFonts w:cs="Arial"/>
        </w:rPr>
        <w:t xml:space="preserve">tate and </w:t>
      </w:r>
      <w:r w:rsidR="009D3C99" w:rsidRPr="00080443">
        <w:rPr>
          <w:rFonts w:cs="Arial"/>
        </w:rPr>
        <w:t>t</w:t>
      </w:r>
      <w:r w:rsidRPr="00080443">
        <w:rPr>
          <w:rFonts w:cs="Arial"/>
        </w:rPr>
        <w:t>erritory laws may apply.</w:t>
      </w:r>
    </w:p>
    <w:p w14:paraId="1B10E6E4" w14:textId="77777777" w:rsidR="00277739" w:rsidRPr="00080443" w:rsidRDefault="00277739" w:rsidP="00277739">
      <w:pPr>
        <w:rPr>
          <w:rFonts w:cs="Arial"/>
        </w:rPr>
      </w:pPr>
    </w:p>
    <w:p w14:paraId="72767E6F" w14:textId="77777777" w:rsidR="00277739" w:rsidRPr="00080443" w:rsidRDefault="00277739" w:rsidP="00277739">
      <w:pPr>
        <w:rPr>
          <w:rFonts w:cs="Arial"/>
        </w:rPr>
      </w:pPr>
      <w:r w:rsidRPr="00080443">
        <w:rPr>
          <w:rFonts w:cs="Arial"/>
        </w:rPr>
        <w:t xml:space="preserve">The ACMA is a statutory authority established under the </w:t>
      </w:r>
      <w:r w:rsidRPr="00080443">
        <w:rPr>
          <w:rFonts w:cs="Arial"/>
          <w:i/>
          <w:iCs/>
        </w:rPr>
        <w:t xml:space="preserve">Australian Communications and Media Authority Act 2005 </w:t>
      </w:r>
      <w:r w:rsidRPr="00080443">
        <w:rPr>
          <w:rFonts w:cs="Arial"/>
        </w:rPr>
        <w:t xml:space="preserve">(the ACMA Act) to administer the Act, among other things. The ACMA is also required by subsection 14(4) of the ACMA Act to perform its functions in a manner consistent with any directions given to the ACMA by the minister administering that Act. The policies of the government may change from time to time.  </w:t>
      </w:r>
    </w:p>
    <w:p w14:paraId="46DD5EB6" w14:textId="77777777" w:rsidR="00277739" w:rsidRPr="00080443" w:rsidRDefault="00277739" w:rsidP="00277739">
      <w:pPr>
        <w:rPr>
          <w:rFonts w:cs="Arial"/>
        </w:rPr>
      </w:pPr>
    </w:p>
    <w:p w14:paraId="358745A8" w14:textId="77777777" w:rsidR="00277739" w:rsidRPr="00080443" w:rsidRDefault="00277739" w:rsidP="00277739">
      <w:pPr>
        <w:rPr>
          <w:rFonts w:cs="Arial"/>
        </w:rPr>
      </w:pPr>
      <w:r w:rsidRPr="00080443">
        <w:rPr>
          <w:rFonts w:cs="Arial"/>
        </w:rPr>
        <w:lastRenderedPageBreak/>
        <w:t xml:space="preserve">In exercising its powers and functions, including those conferred on the ACMA by the Act, the Broadcasting Services Act, the Telecommunications Act and the </w:t>
      </w:r>
      <w:r w:rsidRPr="00080443">
        <w:rPr>
          <w:rFonts w:cs="Arial"/>
          <w:i/>
          <w:iCs/>
        </w:rPr>
        <w:t>Telecommunications</w:t>
      </w:r>
      <w:r w:rsidRPr="00080443">
        <w:rPr>
          <w:rFonts w:cs="Arial"/>
        </w:rPr>
        <w:t xml:space="preserve"> </w:t>
      </w:r>
      <w:r w:rsidRPr="00080443">
        <w:rPr>
          <w:rFonts w:cs="Arial"/>
          <w:i/>
          <w:iCs/>
        </w:rPr>
        <w:t>(Consumer Protection and Service Standards) Act 1999</w:t>
      </w:r>
      <w:r w:rsidRPr="00080443">
        <w:rPr>
          <w:rFonts w:cs="Arial"/>
        </w:rPr>
        <w:t xml:space="preserve">, the ACMA may also take into account its own policies, which may change from time to time.  </w:t>
      </w:r>
    </w:p>
    <w:p w14:paraId="21881A32" w14:textId="77777777" w:rsidR="00277739" w:rsidRPr="00080443" w:rsidRDefault="00277739" w:rsidP="00277739">
      <w:pPr>
        <w:rPr>
          <w:rFonts w:cs="Arial"/>
        </w:rPr>
      </w:pPr>
    </w:p>
    <w:p w14:paraId="7D61B3AC" w14:textId="77777777" w:rsidR="00277739" w:rsidRPr="00080443" w:rsidRDefault="00277739" w:rsidP="00277739">
      <w:pPr>
        <w:rPr>
          <w:rFonts w:cs="Arial"/>
        </w:rPr>
      </w:pPr>
      <w:r w:rsidRPr="00080443">
        <w:rPr>
          <w:rFonts w:cs="Arial"/>
        </w:rPr>
        <w:t xml:space="preserve">The ACMA is also required under the </w:t>
      </w:r>
      <w:r w:rsidRPr="00080443">
        <w:rPr>
          <w:rFonts w:cs="Arial"/>
          <w:i/>
          <w:iCs/>
        </w:rPr>
        <w:t>Financial</w:t>
      </w:r>
      <w:r w:rsidRPr="00080443">
        <w:rPr>
          <w:rFonts w:cs="Arial"/>
        </w:rPr>
        <w:t xml:space="preserve"> </w:t>
      </w:r>
      <w:r w:rsidRPr="00080443">
        <w:rPr>
          <w:rFonts w:cs="Arial"/>
          <w:i/>
          <w:iCs/>
        </w:rPr>
        <w:t xml:space="preserve">Management and Accountability Act 1997 </w:t>
      </w:r>
      <w:r w:rsidRPr="00080443">
        <w:rPr>
          <w:rFonts w:cs="Arial"/>
        </w:rPr>
        <w:t>to manage its affairs in a way that promotes the efficient, effective, economical and ethical use of Commonwealth resources, and must act in accordance with any guidelines made under that Act.</w:t>
      </w:r>
    </w:p>
    <w:p w14:paraId="2836C093" w14:textId="77777777" w:rsidR="00277739" w:rsidRPr="00080443" w:rsidRDefault="00277739" w:rsidP="00277739">
      <w:pPr>
        <w:rPr>
          <w:rFonts w:cs="Arial"/>
        </w:rPr>
      </w:pPr>
    </w:p>
    <w:p w14:paraId="5786A13E" w14:textId="77777777" w:rsidR="00277739" w:rsidRPr="00080443" w:rsidRDefault="00277739" w:rsidP="00277739">
      <w:pPr>
        <w:rPr>
          <w:rFonts w:cs="Arial"/>
        </w:rPr>
      </w:pPr>
      <w:r w:rsidRPr="00080443">
        <w:rPr>
          <w:rFonts w:cs="Arial"/>
        </w:rPr>
        <w:t>Australia is a signatory to the International Telecommunication Union Constitution and Convention, and to other international instruments relating to communications. The administration of communications by the ACMA is undertaken having regard to these instruments</w:t>
      </w:r>
      <w:r w:rsidR="004E0BF5" w:rsidRPr="00080443">
        <w:rPr>
          <w:rFonts w:cs="Arial"/>
        </w:rPr>
        <w:t>.</w:t>
      </w:r>
    </w:p>
    <w:p w14:paraId="62E49932" w14:textId="77777777" w:rsidR="00995728" w:rsidRPr="00080443" w:rsidRDefault="00995728" w:rsidP="00EE0E18">
      <w:pPr>
        <w:rPr>
          <w:rFonts w:cs="Arial"/>
          <w:b/>
        </w:rPr>
      </w:pPr>
    </w:p>
    <w:p w14:paraId="76D5EC8D" w14:textId="77777777" w:rsidR="00EE0E18" w:rsidRPr="00080443" w:rsidRDefault="00EE0E18" w:rsidP="00EE0E18">
      <w:pPr>
        <w:rPr>
          <w:rFonts w:cs="Arial"/>
          <w:b/>
        </w:rPr>
      </w:pPr>
      <w:r w:rsidRPr="00080443">
        <w:rPr>
          <w:rFonts w:cs="Arial"/>
          <w:b/>
        </w:rPr>
        <w:t>The ACMA may change its process</w:t>
      </w:r>
    </w:p>
    <w:p w14:paraId="07E0D1D1" w14:textId="77777777" w:rsidR="00EE0E18" w:rsidRPr="00080443" w:rsidRDefault="00EE0E18" w:rsidP="00EE0E18">
      <w:pPr>
        <w:rPr>
          <w:rFonts w:cs="Arial"/>
        </w:rPr>
      </w:pPr>
      <w:r w:rsidRPr="00080443">
        <w:rPr>
          <w:rFonts w:cs="Arial"/>
        </w:rPr>
        <w:t>The ACMA may</w:t>
      </w:r>
      <w:r w:rsidR="00FE5933" w:rsidRPr="00080443">
        <w:rPr>
          <w:rFonts w:cs="Arial"/>
        </w:rPr>
        <w:t xml:space="preserve"> in exceptional circumstances</w:t>
      </w:r>
      <w:r w:rsidRPr="00080443">
        <w:rPr>
          <w:rFonts w:cs="Arial"/>
        </w:rPr>
        <w:t>, under the Act and the allocation instruments, vary the processes that apply to the auction or terminate the auction process. The ACMA reserves the right, in its sole and absolute discretion, but without being under any obligation to do so, to add to, vary, amend, update or supplement the information, terms and procedures set out in this AIP and correct any inaccuracies.</w:t>
      </w:r>
    </w:p>
    <w:p w14:paraId="56DDE450" w14:textId="77777777" w:rsidR="00EE0E18" w:rsidRPr="00080443" w:rsidRDefault="00EE0E18" w:rsidP="00EE0E18">
      <w:pPr>
        <w:rPr>
          <w:rFonts w:cs="Arial"/>
        </w:rPr>
      </w:pPr>
    </w:p>
    <w:p w14:paraId="198CC368" w14:textId="77777777" w:rsidR="00EE0E18" w:rsidRPr="00080443" w:rsidRDefault="00EE0E18" w:rsidP="00EE0E18">
      <w:pPr>
        <w:rPr>
          <w:rFonts w:cs="Arial"/>
          <w:b/>
        </w:rPr>
      </w:pPr>
      <w:r w:rsidRPr="00080443">
        <w:rPr>
          <w:rFonts w:cs="Arial"/>
          <w:b/>
        </w:rPr>
        <w:t>Other ACMA rights</w:t>
      </w:r>
    </w:p>
    <w:p w14:paraId="4831274D" w14:textId="77777777" w:rsidR="00EE0E18" w:rsidRPr="00080443" w:rsidRDefault="00EE0E18" w:rsidP="00750573">
      <w:pPr>
        <w:spacing w:after="80"/>
        <w:rPr>
          <w:rFonts w:cs="Arial"/>
        </w:rPr>
      </w:pPr>
      <w:r w:rsidRPr="00080443">
        <w:rPr>
          <w:rFonts w:cs="Arial"/>
        </w:rPr>
        <w:t>Subject to the Act and the allocation determination, the ACMA reserves the right, in its sole and absolute discretion, at any stage of the auction process to do all or any of the following:</w:t>
      </w:r>
    </w:p>
    <w:p w14:paraId="20BD897E" w14:textId="77777777" w:rsidR="00EE0E18" w:rsidRPr="00080443" w:rsidRDefault="00EE0E18" w:rsidP="00EE0E18">
      <w:pPr>
        <w:pStyle w:val="ListBullet"/>
        <w:rPr>
          <w:rFonts w:cs="Arial"/>
        </w:rPr>
      </w:pPr>
      <w:r w:rsidRPr="00080443">
        <w:rPr>
          <w:rFonts w:cs="Arial"/>
        </w:rPr>
        <w:t>require additional information from any applicant or bidder</w:t>
      </w:r>
    </w:p>
    <w:p w14:paraId="22507C6B" w14:textId="77777777" w:rsidR="00EE0E18" w:rsidRPr="00080443" w:rsidRDefault="00EE0E18" w:rsidP="00750573">
      <w:pPr>
        <w:pStyle w:val="ListBullet"/>
        <w:spacing w:after="240"/>
        <w:rPr>
          <w:rFonts w:cs="Arial"/>
        </w:rPr>
      </w:pPr>
      <w:r w:rsidRPr="00080443">
        <w:rPr>
          <w:rFonts w:cs="Arial"/>
        </w:rPr>
        <w:t>change the structure and timing or any other element of the auction process as permitted from time to time.</w:t>
      </w:r>
    </w:p>
    <w:p w14:paraId="04C1DFF4" w14:textId="77777777" w:rsidR="00EE0E18" w:rsidRPr="00080443" w:rsidRDefault="00EE0E18" w:rsidP="00EE0E18">
      <w:pPr>
        <w:rPr>
          <w:rFonts w:cs="Arial"/>
        </w:rPr>
      </w:pPr>
      <w:r w:rsidRPr="00080443">
        <w:rPr>
          <w:rFonts w:cs="Arial"/>
        </w:rPr>
        <w:t>The ACMA makes no representation as to the utility or otherwise of the spectrum.</w:t>
      </w:r>
    </w:p>
    <w:p w14:paraId="1CB94745" w14:textId="77777777" w:rsidR="00EE0E18" w:rsidRPr="00080443" w:rsidRDefault="00EE0E18" w:rsidP="00EE0E18">
      <w:pPr>
        <w:rPr>
          <w:rFonts w:cs="Arial"/>
        </w:rPr>
      </w:pPr>
    </w:p>
    <w:p w14:paraId="0AEFDB51" w14:textId="77777777" w:rsidR="00EE0E18" w:rsidRPr="00080443" w:rsidRDefault="00EE0E18" w:rsidP="00EE0E18">
      <w:pPr>
        <w:rPr>
          <w:rFonts w:cs="Arial"/>
        </w:rPr>
      </w:pPr>
      <w:r w:rsidRPr="00080443">
        <w:rPr>
          <w:rFonts w:cs="Arial"/>
        </w:rPr>
        <w:t>The ACMA reserves the right to allocate further spectrum (that is, spectrum other than that on offer in the auction process) by issuing spectrum licences in the future.</w:t>
      </w:r>
    </w:p>
    <w:p w14:paraId="2EBD5D36" w14:textId="77777777" w:rsidR="00EE0E18" w:rsidRPr="00080443" w:rsidRDefault="00EE0E18" w:rsidP="00EE0E18">
      <w:pPr>
        <w:rPr>
          <w:rFonts w:cs="Arial"/>
        </w:rPr>
      </w:pPr>
    </w:p>
    <w:p w14:paraId="31ADAF98" w14:textId="77777777" w:rsidR="00EE0E18" w:rsidRPr="00080443" w:rsidRDefault="00EE0E18" w:rsidP="00EE0E18">
      <w:pPr>
        <w:rPr>
          <w:rFonts w:cs="Arial"/>
          <w:b/>
        </w:rPr>
      </w:pPr>
      <w:r w:rsidRPr="00080443">
        <w:rPr>
          <w:rFonts w:cs="Arial"/>
          <w:b/>
        </w:rPr>
        <w:t>Applicants and bidders to meet own costs</w:t>
      </w:r>
    </w:p>
    <w:p w14:paraId="6F361EED" w14:textId="77777777" w:rsidR="00EE0E18" w:rsidRPr="00080443" w:rsidRDefault="00EE0E18" w:rsidP="00EE0E18">
      <w:pPr>
        <w:rPr>
          <w:rFonts w:cs="Arial"/>
        </w:rPr>
      </w:pPr>
      <w:r w:rsidRPr="00080443">
        <w:rPr>
          <w:rFonts w:cs="Arial"/>
        </w:rPr>
        <w:t>Each applicant’s and bidder’s participation in any stage of the auction process shall be at their sole risk, cost and expense.</w:t>
      </w:r>
    </w:p>
    <w:p w14:paraId="0A4D5998" w14:textId="77777777" w:rsidR="00EE0E18" w:rsidRPr="00080443" w:rsidRDefault="00EE0E18" w:rsidP="00EE0E18">
      <w:pPr>
        <w:rPr>
          <w:rFonts w:cs="Arial"/>
        </w:rPr>
      </w:pPr>
    </w:p>
    <w:p w14:paraId="5472DA7C" w14:textId="77777777" w:rsidR="00EE0E18" w:rsidRPr="00080443" w:rsidRDefault="00EE0E18" w:rsidP="00EE0E18">
      <w:pPr>
        <w:rPr>
          <w:rFonts w:cs="Arial"/>
          <w:b/>
        </w:rPr>
      </w:pPr>
      <w:r w:rsidRPr="00080443">
        <w:rPr>
          <w:rFonts w:cs="Arial"/>
          <w:b/>
        </w:rPr>
        <w:t>Applications may be used and retained by the Commonwealth</w:t>
      </w:r>
    </w:p>
    <w:p w14:paraId="55349EB6" w14:textId="77777777" w:rsidR="00EE0E18" w:rsidRPr="00080443" w:rsidRDefault="00EE0E18" w:rsidP="00EE0E18">
      <w:pPr>
        <w:rPr>
          <w:rFonts w:cs="Arial"/>
        </w:rPr>
      </w:pPr>
      <w:r w:rsidRPr="00080443">
        <w:rPr>
          <w:rFonts w:cs="Arial"/>
        </w:rPr>
        <w:t>All application documents submitted in connection with the auction process may be used and disclosed by the ACMA for the purposes of the allocation determination and in relation to spectrum licences issued, and may be retained by the ACMA for as long as necessary for the performance of the ACMA’s functions and exercise of its powers under the allocation determination or the Act.</w:t>
      </w:r>
    </w:p>
    <w:p w14:paraId="5EB999E3" w14:textId="77777777" w:rsidR="00EE0E18" w:rsidRPr="00080443" w:rsidRDefault="00EE0E18" w:rsidP="00EE0E18">
      <w:pPr>
        <w:rPr>
          <w:rFonts w:cs="Arial"/>
        </w:rPr>
      </w:pPr>
    </w:p>
    <w:p w14:paraId="11517747" w14:textId="77777777" w:rsidR="00EE0E18" w:rsidRPr="00080443" w:rsidRDefault="00EE0E18" w:rsidP="00EE0E18">
      <w:pPr>
        <w:rPr>
          <w:rFonts w:cs="Arial"/>
          <w:b/>
        </w:rPr>
      </w:pPr>
      <w:r w:rsidRPr="00080443">
        <w:rPr>
          <w:rFonts w:cs="Arial"/>
          <w:b/>
        </w:rPr>
        <w:t>Release of information and documents by the ACMA</w:t>
      </w:r>
    </w:p>
    <w:p w14:paraId="7D59A226" w14:textId="77777777" w:rsidR="00EE0E18" w:rsidRPr="00080443" w:rsidRDefault="00EE0E18" w:rsidP="00EE0E18">
      <w:pPr>
        <w:rPr>
          <w:rFonts w:cs="Arial"/>
        </w:rPr>
      </w:pPr>
      <w:r w:rsidRPr="00080443">
        <w:rPr>
          <w:rFonts w:cs="Arial"/>
        </w:rPr>
        <w:t xml:space="preserve">Information and documents obtained by the ACMA in the performance of its functions under the allocation determination may be released under the </w:t>
      </w:r>
      <w:r w:rsidR="00FC7F99" w:rsidRPr="00080443">
        <w:rPr>
          <w:rFonts w:cs="Arial"/>
          <w:i/>
        </w:rPr>
        <w:t>Freedom of Information Act 1992</w:t>
      </w:r>
      <w:r w:rsidRPr="00080443">
        <w:rPr>
          <w:rFonts w:cs="Arial"/>
        </w:rPr>
        <w:t xml:space="preserve"> (unless an exemption applies) or disclosed to other authorities under Part 7A of the ACMA Act. The ACMA may also release information and documents for other reasons including for the purpose of parliamentary processes or where otherwise required or authorised by law (for example, under a court subpoena). While the ACMA seeks to consult submitters of confidential information before that information is provided to another party, the ACMA cannot guarantee that confidential information will not be released through these or other legal means. </w:t>
      </w:r>
    </w:p>
    <w:p w14:paraId="72AE9752" w14:textId="77777777" w:rsidR="00EE0E18" w:rsidRPr="00080443" w:rsidRDefault="00EE0E18" w:rsidP="004D411C">
      <w:pPr>
        <w:pageBreakBefore/>
        <w:rPr>
          <w:rFonts w:cs="Arial"/>
          <w:b/>
        </w:rPr>
      </w:pPr>
      <w:r w:rsidRPr="00080443">
        <w:rPr>
          <w:rFonts w:cs="Arial"/>
          <w:b/>
        </w:rPr>
        <w:lastRenderedPageBreak/>
        <w:t>Collusive bidding</w:t>
      </w:r>
    </w:p>
    <w:p w14:paraId="2EF00705" w14:textId="77777777" w:rsidR="00EE0E18" w:rsidRPr="00080443" w:rsidRDefault="00EE0E18" w:rsidP="00EE0E18">
      <w:pPr>
        <w:rPr>
          <w:rFonts w:cs="Arial"/>
        </w:rPr>
      </w:pPr>
      <w:r w:rsidRPr="00080443">
        <w:rPr>
          <w:rFonts w:cs="Arial"/>
        </w:rPr>
        <w:t xml:space="preserve">Registered applicants and their officers, employees, agents and advisers must not engage in any collusive bidding, anti-competitive conduct or any other similar conduct with any other registered applicants or any other person in breach of applicable law (including but not limited to the Competition and Consumer Act) when preparing or lodging applications or bids for a spectrum licence under the auction process. Applicants must not be affiliated (as described in the allocation determination) with another bidder during the auction process and must comply with the requirements of the allocation determination concerning affiliates.  </w:t>
      </w:r>
    </w:p>
    <w:p w14:paraId="494A29C0" w14:textId="77777777" w:rsidR="00EE0E18" w:rsidRPr="00080443" w:rsidRDefault="00EE0E18" w:rsidP="00EE0E18">
      <w:pPr>
        <w:rPr>
          <w:rFonts w:cs="Arial"/>
        </w:rPr>
      </w:pPr>
    </w:p>
    <w:p w14:paraId="3D3089E9" w14:textId="77777777" w:rsidR="00EE0E18" w:rsidRPr="00080443" w:rsidRDefault="00EE0E18" w:rsidP="00EE0E18">
      <w:pPr>
        <w:rPr>
          <w:rFonts w:cs="Arial"/>
          <w:b/>
        </w:rPr>
      </w:pPr>
      <w:r w:rsidRPr="00080443">
        <w:rPr>
          <w:rFonts w:cs="Arial"/>
          <w:b/>
        </w:rPr>
        <w:t>Confidential information</w:t>
      </w:r>
    </w:p>
    <w:p w14:paraId="0A277D59" w14:textId="77777777" w:rsidR="00EE0E18" w:rsidRPr="00080443" w:rsidRDefault="00EE0E18" w:rsidP="00EE0E18">
      <w:pPr>
        <w:rPr>
          <w:rFonts w:cs="Arial"/>
        </w:rPr>
      </w:pPr>
      <w:r w:rsidRPr="00080443">
        <w:rPr>
          <w:rFonts w:cs="Arial"/>
        </w:rPr>
        <w:t xml:space="preserve">Registered applicants and their officers, employees, agents and advisers must not take steps to obtain, or use, confidential information of the ACMA relating to its </w:t>
      </w:r>
      <w:r w:rsidR="00104B5D" w:rsidRPr="00080443">
        <w:rPr>
          <w:rFonts w:cs="Arial"/>
        </w:rPr>
        <w:t xml:space="preserve">spectrum allocation </w:t>
      </w:r>
      <w:r w:rsidRPr="00080443">
        <w:rPr>
          <w:rFonts w:cs="Arial"/>
        </w:rPr>
        <w:t>functions or the auction process, other than in accordance with the confidentiality requirements of the allocation determination and the deed of confidentiality form executed by applicants and related persons.</w:t>
      </w:r>
    </w:p>
    <w:p w14:paraId="280080AC" w14:textId="77777777" w:rsidR="00EE0E18" w:rsidRPr="00080443" w:rsidRDefault="00EE0E18" w:rsidP="00EE0E18">
      <w:pPr>
        <w:rPr>
          <w:rFonts w:cs="Arial"/>
        </w:rPr>
      </w:pPr>
    </w:p>
    <w:p w14:paraId="365508F2" w14:textId="77777777" w:rsidR="00EE0E18" w:rsidRPr="00080443" w:rsidRDefault="00EE0E18" w:rsidP="00EE0E18">
      <w:pPr>
        <w:rPr>
          <w:rFonts w:cs="Arial"/>
          <w:b/>
        </w:rPr>
      </w:pPr>
      <w:r w:rsidRPr="00080443">
        <w:rPr>
          <w:rFonts w:cs="Arial"/>
          <w:b/>
        </w:rPr>
        <w:t>Return of information to the ACMA</w:t>
      </w:r>
    </w:p>
    <w:p w14:paraId="77450A2C" w14:textId="77777777" w:rsidR="00EE0E18" w:rsidRPr="00080443" w:rsidRDefault="00EE0E18" w:rsidP="00EE0E18">
      <w:pPr>
        <w:rPr>
          <w:rFonts w:cs="Arial"/>
        </w:rPr>
      </w:pPr>
      <w:r w:rsidRPr="00080443">
        <w:rPr>
          <w:rFonts w:cs="Arial"/>
        </w:rPr>
        <w:t xml:space="preserve">Registered applicants must, under the deed of acknowledgment form executed by applicants, at their sole expense, upon request by the ACMA in its absolute discretion, return to the ACMA any items or written information provided to the </w:t>
      </w:r>
      <w:r w:rsidR="00750573" w:rsidRPr="00080443">
        <w:rPr>
          <w:rFonts w:cs="Arial"/>
        </w:rPr>
        <w:t>a</w:t>
      </w:r>
      <w:r w:rsidRPr="00080443">
        <w:rPr>
          <w:rFonts w:cs="Arial"/>
        </w:rPr>
        <w:t>pplicant (and copies of the information) at any stage.</w:t>
      </w:r>
    </w:p>
    <w:p w14:paraId="2EA42728" w14:textId="77777777" w:rsidR="00EE0E18" w:rsidRPr="00080443" w:rsidRDefault="00EE0E18" w:rsidP="00EE0E18">
      <w:pPr>
        <w:rPr>
          <w:rFonts w:cs="Arial"/>
        </w:rPr>
      </w:pPr>
    </w:p>
    <w:p w14:paraId="6A7EF608" w14:textId="77777777" w:rsidR="00EE0E18" w:rsidRPr="00080443" w:rsidRDefault="00EE0E18" w:rsidP="00EE0E18">
      <w:pPr>
        <w:rPr>
          <w:rFonts w:cs="Arial"/>
          <w:b/>
        </w:rPr>
      </w:pPr>
      <w:r w:rsidRPr="00080443">
        <w:rPr>
          <w:rFonts w:cs="Arial"/>
          <w:b/>
        </w:rPr>
        <w:t>Application of laws</w:t>
      </w:r>
    </w:p>
    <w:p w14:paraId="23B17C35" w14:textId="77777777" w:rsidR="008A60B8" w:rsidRPr="00080443" w:rsidRDefault="00EE0E18" w:rsidP="00EE0E18">
      <w:pPr>
        <w:rPr>
          <w:rFonts w:cs="Arial"/>
        </w:rPr>
      </w:pPr>
      <w:r w:rsidRPr="00080443">
        <w:rPr>
          <w:rFonts w:cs="Arial"/>
        </w:rPr>
        <w:t>The laws of Victoria and the Commonwealth of Australia apply to the auction process pursuant to the deed of acknowledgment form executed by applicants</w:t>
      </w:r>
      <w:r w:rsidR="00A00105" w:rsidRPr="00080443">
        <w:rPr>
          <w:rFonts w:cs="Arial"/>
        </w:rPr>
        <w:t>.</w:t>
      </w:r>
    </w:p>
    <w:p w14:paraId="6AF6B4EC" w14:textId="77777777" w:rsidR="008A60B8" w:rsidRPr="00080443" w:rsidRDefault="00CE02F8" w:rsidP="005662A7">
      <w:pPr>
        <w:pStyle w:val="Heading1"/>
        <w:numPr>
          <w:ilvl w:val="0"/>
          <w:numId w:val="0"/>
        </w:numPr>
        <w:ind w:left="432" w:hanging="432"/>
      </w:pPr>
      <w:bookmarkStart w:id="3" w:name="_Toc335246220"/>
      <w:bookmarkStart w:id="4" w:name="_Toc343780429"/>
      <w:r w:rsidRPr="00080443">
        <w:lastRenderedPageBreak/>
        <w:t xml:space="preserve">Auction </w:t>
      </w:r>
      <w:r w:rsidR="008A60B8" w:rsidRPr="00080443">
        <w:t>Q</w:t>
      </w:r>
      <w:r w:rsidRPr="00080443">
        <w:t>&amp;A</w:t>
      </w:r>
      <w:bookmarkEnd w:id="3"/>
      <w:bookmarkEnd w:id="4"/>
    </w:p>
    <w:tbl>
      <w:tblPr>
        <w:tblW w:w="9645" w:type="dxa"/>
        <w:tblLayout w:type="fixed"/>
        <w:tblCellMar>
          <w:left w:w="0" w:type="dxa"/>
          <w:right w:w="0" w:type="dxa"/>
        </w:tblCellMar>
        <w:tblLook w:val="01E0" w:firstRow="1" w:lastRow="1" w:firstColumn="1" w:lastColumn="1" w:noHBand="0" w:noVBand="0"/>
      </w:tblPr>
      <w:tblGrid>
        <w:gridCol w:w="9645"/>
      </w:tblGrid>
      <w:tr w:rsidR="00A34828" w:rsidRPr="00080443" w14:paraId="13EB88BA" w14:textId="77777777" w:rsidTr="00A34828">
        <w:trPr>
          <w:trHeight w:val="70"/>
        </w:trPr>
        <w:tc>
          <w:tcPr>
            <w:tcW w:w="9645" w:type="dxa"/>
            <w:tcBorders>
              <w:top w:val="single" w:sz="2" w:space="0" w:color="505050"/>
            </w:tcBorders>
            <w:shd w:val="clear" w:color="auto" w:fill="auto"/>
            <w:vAlign w:val="center"/>
          </w:tcPr>
          <w:p w14:paraId="1587C05E" w14:textId="77777777" w:rsidR="00A34828" w:rsidRPr="00080443" w:rsidRDefault="00A34828" w:rsidP="00A34828">
            <w:pPr>
              <w:pStyle w:val="Caption"/>
              <w:rPr>
                <w:rFonts w:cs="Arial"/>
              </w:rPr>
            </w:pPr>
          </w:p>
        </w:tc>
      </w:tr>
      <w:tr w:rsidR="00A34828" w:rsidRPr="00080443" w14:paraId="49F0D25A" w14:textId="77777777" w:rsidTr="00EB4E46">
        <w:trPr>
          <w:trHeight w:val="993"/>
        </w:trPr>
        <w:tc>
          <w:tcPr>
            <w:tcW w:w="9645" w:type="dxa"/>
            <w:shd w:val="clear" w:color="auto" w:fill="auto"/>
            <w:tcMar>
              <w:left w:w="28" w:type="dxa"/>
            </w:tcMar>
          </w:tcPr>
          <w:tbl>
            <w:tblPr>
              <w:tblStyle w:val="TableGrid"/>
              <w:tblW w:w="9465" w:type="dxa"/>
              <w:tblLayout w:type="fixed"/>
              <w:tblLook w:val="04A0" w:firstRow="1" w:lastRow="0" w:firstColumn="1" w:lastColumn="0" w:noHBand="0" w:noVBand="1"/>
            </w:tblPr>
            <w:tblGrid>
              <w:gridCol w:w="393"/>
              <w:gridCol w:w="1734"/>
              <w:gridCol w:w="5926"/>
              <w:gridCol w:w="1412"/>
            </w:tblGrid>
            <w:tr w:rsidR="00A34828" w:rsidRPr="00080443" w14:paraId="0D70C6C1" w14:textId="77777777" w:rsidTr="007401E7">
              <w:trPr>
                <w:cantSplit/>
              </w:trPr>
              <w:tc>
                <w:tcPr>
                  <w:tcW w:w="393" w:type="dxa"/>
                  <w:tcBorders>
                    <w:top w:val="nil"/>
                    <w:left w:val="nil"/>
                    <w:right w:val="nil"/>
                  </w:tcBorders>
                </w:tcPr>
                <w:p w14:paraId="4DE91259" w14:textId="77777777" w:rsidR="00A34828" w:rsidRPr="00080443" w:rsidRDefault="00A34828" w:rsidP="00A34828">
                  <w:pPr>
                    <w:pStyle w:val="TableHeading"/>
                    <w:rPr>
                      <w:rFonts w:cs="Arial"/>
                    </w:rPr>
                  </w:pPr>
                </w:p>
              </w:tc>
              <w:tc>
                <w:tcPr>
                  <w:tcW w:w="1734" w:type="dxa"/>
                  <w:tcBorders>
                    <w:top w:val="nil"/>
                    <w:left w:val="nil"/>
                    <w:right w:val="nil"/>
                  </w:tcBorders>
                </w:tcPr>
                <w:p w14:paraId="0171C4D1" w14:textId="77777777" w:rsidR="00A34828" w:rsidRPr="00080443" w:rsidRDefault="00A34828" w:rsidP="00A34828">
                  <w:pPr>
                    <w:pStyle w:val="TableHeading"/>
                    <w:rPr>
                      <w:rFonts w:cs="Arial"/>
                      <w:i/>
                    </w:rPr>
                  </w:pPr>
                </w:p>
              </w:tc>
              <w:tc>
                <w:tcPr>
                  <w:tcW w:w="5926" w:type="dxa"/>
                  <w:tcBorders>
                    <w:top w:val="nil"/>
                    <w:left w:val="nil"/>
                  </w:tcBorders>
                </w:tcPr>
                <w:p w14:paraId="0498294C" w14:textId="77777777" w:rsidR="00A34828" w:rsidRPr="00080443" w:rsidRDefault="00A34828" w:rsidP="00A34828">
                  <w:pPr>
                    <w:pStyle w:val="TableHeading"/>
                    <w:rPr>
                      <w:rFonts w:cs="Arial"/>
                    </w:rPr>
                  </w:pPr>
                </w:p>
              </w:tc>
              <w:tc>
                <w:tcPr>
                  <w:tcW w:w="1412" w:type="dxa"/>
                  <w:shd w:val="clear" w:color="auto" w:fill="D9D9D9" w:themeFill="background1" w:themeFillShade="D9"/>
                </w:tcPr>
                <w:p w14:paraId="5C74F1E5" w14:textId="77777777" w:rsidR="00A34828" w:rsidRPr="00080443" w:rsidRDefault="007401E7" w:rsidP="007401E7">
                  <w:pPr>
                    <w:pStyle w:val="TableHeading"/>
                    <w:rPr>
                      <w:rFonts w:cs="Arial"/>
                    </w:rPr>
                  </w:pPr>
                  <w:r w:rsidRPr="00080443">
                    <w:rPr>
                      <w:rFonts w:cs="Arial"/>
                    </w:rPr>
                    <w:t>More information</w:t>
                  </w:r>
                </w:p>
              </w:tc>
            </w:tr>
            <w:tr w:rsidR="00A34828" w:rsidRPr="00080443" w14:paraId="013ABC69" w14:textId="77777777" w:rsidTr="007401E7">
              <w:trPr>
                <w:cantSplit/>
              </w:trPr>
              <w:tc>
                <w:tcPr>
                  <w:tcW w:w="393" w:type="dxa"/>
                </w:tcPr>
                <w:p w14:paraId="3A858533" w14:textId="77777777" w:rsidR="00A34828" w:rsidRPr="00080443" w:rsidRDefault="00A34828" w:rsidP="005B6C76">
                  <w:pPr>
                    <w:pStyle w:val="ListParagraph"/>
                    <w:numPr>
                      <w:ilvl w:val="0"/>
                      <w:numId w:val="7"/>
                    </w:numPr>
                    <w:spacing w:before="80" w:after="120" w:line="240" w:lineRule="auto"/>
                    <w:rPr>
                      <w:rFonts w:ascii="Arial" w:hAnsi="Arial" w:cs="Arial"/>
                    </w:rPr>
                  </w:pPr>
                </w:p>
              </w:tc>
              <w:tc>
                <w:tcPr>
                  <w:tcW w:w="1734" w:type="dxa"/>
                </w:tcPr>
                <w:p w14:paraId="2F53BA03" w14:textId="77777777" w:rsidR="00A34828" w:rsidRPr="00080443" w:rsidRDefault="00A34828" w:rsidP="00A34828">
                  <w:pPr>
                    <w:spacing w:before="80" w:after="120"/>
                    <w:rPr>
                      <w:rFonts w:cs="Arial"/>
                    </w:rPr>
                  </w:pPr>
                  <w:r w:rsidRPr="00080443">
                    <w:rPr>
                      <w:rFonts w:cs="Arial"/>
                    </w:rPr>
                    <w:t>What spectrum is available?</w:t>
                  </w:r>
                </w:p>
              </w:tc>
              <w:tc>
                <w:tcPr>
                  <w:tcW w:w="5926" w:type="dxa"/>
                </w:tcPr>
                <w:p w14:paraId="3A13DFAE" w14:textId="77777777" w:rsidR="00A34828" w:rsidRPr="00080443" w:rsidRDefault="00A34828" w:rsidP="00FE5177">
                  <w:pPr>
                    <w:spacing w:before="80" w:after="80"/>
                    <w:rPr>
                      <w:rFonts w:cs="Arial"/>
                    </w:rPr>
                  </w:pPr>
                  <w:r w:rsidRPr="00080443">
                    <w:rPr>
                      <w:rFonts w:cs="Arial"/>
                    </w:rPr>
                    <w:t xml:space="preserve">The digital dividend auction is being held to allocate the following </w:t>
                  </w:r>
                  <w:r w:rsidR="004B586C" w:rsidRPr="00080443">
                    <w:rPr>
                      <w:rFonts w:cs="Arial"/>
                    </w:rPr>
                    <w:t xml:space="preserve">frequency ranges </w:t>
                  </w:r>
                  <w:r w:rsidRPr="00080443">
                    <w:rPr>
                      <w:rFonts w:cs="Arial"/>
                    </w:rPr>
                    <w:t>as spectrum licences:</w:t>
                  </w:r>
                </w:p>
                <w:p w14:paraId="2778E0D7" w14:textId="77777777" w:rsidR="00A34828" w:rsidRPr="00080443" w:rsidRDefault="00A34828" w:rsidP="005B6C76">
                  <w:pPr>
                    <w:pStyle w:val="ListParagraph"/>
                    <w:numPr>
                      <w:ilvl w:val="0"/>
                      <w:numId w:val="8"/>
                    </w:numPr>
                    <w:spacing w:before="80" w:after="60" w:line="240" w:lineRule="auto"/>
                    <w:ind w:left="357" w:hanging="357"/>
                    <w:contextualSpacing w:val="0"/>
                    <w:rPr>
                      <w:rFonts w:ascii="Arial" w:hAnsi="Arial" w:cs="Arial"/>
                      <w:sz w:val="20"/>
                      <w:szCs w:val="20"/>
                    </w:rPr>
                  </w:pPr>
                  <w:r w:rsidRPr="00080443">
                    <w:rPr>
                      <w:rFonts w:ascii="Arial" w:hAnsi="Arial" w:cs="Arial"/>
                      <w:sz w:val="20"/>
                      <w:szCs w:val="20"/>
                    </w:rPr>
                    <w:t>703–748 and 758–803 MHz</w:t>
                  </w:r>
                  <w:r w:rsidR="004B586C" w:rsidRPr="00080443">
                    <w:rPr>
                      <w:rFonts w:ascii="Arial" w:hAnsi="Arial" w:cs="Arial"/>
                      <w:sz w:val="20"/>
                      <w:szCs w:val="20"/>
                    </w:rPr>
                    <w:t xml:space="preserve"> (the 700 MHz band)</w:t>
                  </w:r>
                </w:p>
                <w:p w14:paraId="63566EA5" w14:textId="77777777" w:rsidR="00A34828" w:rsidRPr="00080443" w:rsidRDefault="00A34828" w:rsidP="005B6C76">
                  <w:pPr>
                    <w:pStyle w:val="ListParagraph"/>
                    <w:numPr>
                      <w:ilvl w:val="0"/>
                      <w:numId w:val="8"/>
                    </w:numPr>
                    <w:spacing w:before="80" w:after="120" w:line="240" w:lineRule="auto"/>
                    <w:rPr>
                      <w:rFonts w:ascii="Arial" w:hAnsi="Arial" w:cs="Arial"/>
                      <w:sz w:val="20"/>
                      <w:szCs w:val="20"/>
                    </w:rPr>
                  </w:pPr>
                  <w:r w:rsidRPr="00080443">
                    <w:rPr>
                      <w:rFonts w:ascii="Arial" w:hAnsi="Arial" w:cs="Arial"/>
                      <w:sz w:val="20"/>
                      <w:szCs w:val="20"/>
                    </w:rPr>
                    <w:t>2500–2570 and 2620–2690 MHz</w:t>
                  </w:r>
                  <w:r w:rsidR="004B586C" w:rsidRPr="00080443">
                    <w:rPr>
                      <w:rFonts w:ascii="Arial" w:hAnsi="Arial" w:cs="Arial"/>
                      <w:sz w:val="20"/>
                      <w:szCs w:val="20"/>
                    </w:rPr>
                    <w:t xml:space="preserve"> (the 2.5 GHz band)</w:t>
                  </w:r>
                  <w:r w:rsidRPr="00080443">
                    <w:rPr>
                      <w:rFonts w:ascii="Arial" w:hAnsi="Arial" w:cs="Arial"/>
                      <w:sz w:val="20"/>
                      <w:szCs w:val="20"/>
                    </w:rPr>
                    <w:t>.</w:t>
                  </w:r>
                </w:p>
                <w:p w14:paraId="05DFA848" w14:textId="77777777" w:rsidR="00A34828" w:rsidRPr="00080443" w:rsidRDefault="00A34828" w:rsidP="00890665">
                  <w:pPr>
                    <w:spacing w:before="80" w:after="120"/>
                    <w:rPr>
                      <w:rFonts w:cs="Arial"/>
                    </w:rPr>
                  </w:pPr>
                  <w:r w:rsidRPr="00080443">
                    <w:rPr>
                      <w:rFonts w:cs="Arial"/>
                    </w:rPr>
                    <w:t>The spectrum in both bands will be allocated nationally, excluding the Mid-west Radio Quiet Zone (RQZ).</w:t>
                  </w:r>
                </w:p>
              </w:tc>
              <w:tc>
                <w:tcPr>
                  <w:tcW w:w="1412" w:type="dxa"/>
                </w:tcPr>
                <w:p w14:paraId="70477AB1" w14:textId="77777777" w:rsidR="00C36B5F" w:rsidRPr="00080443" w:rsidRDefault="004A4E54" w:rsidP="00304CA2">
                  <w:pPr>
                    <w:spacing w:before="80"/>
                    <w:rPr>
                      <w:rFonts w:cs="Arial"/>
                    </w:rPr>
                  </w:pPr>
                  <w:r w:rsidRPr="00080443">
                    <w:rPr>
                      <w:rFonts w:cs="Arial"/>
                    </w:rPr>
                    <w:t>2.1,</w:t>
                  </w:r>
                  <w:r w:rsidR="004071DE" w:rsidRPr="00080443">
                    <w:rPr>
                      <w:rFonts w:cs="Arial"/>
                    </w:rPr>
                    <w:t xml:space="preserve"> </w:t>
                  </w:r>
                  <w:r w:rsidR="00A34828" w:rsidRPr="00080443">
                    <w:rPr>
                      <w:rFonts w:cs="Arial"/>
                    </w:rPr>
                    <w:t xml:space="preserve">2.2 </w:t>
                  </w:r>
                  <w:r w:rsidR="00304CA2" w:rsidRPr="00080443">
                    <w:rPr>
                      <w:rFonts w:cs="Arial"/>
                    </w:rPr>
                    <w:t>&amp; 5.7.4</w:t>
                  </w:r>
                </w:p>
              </w:tc>
            </w:tr>
            <w:tr w:rsidR="00A34828" w:rsidRPr="00080443" w14:paraId="7684A93F" w14:textId="77777777" w:rsidTr="007401E7">
              <w:trPr>
                <w:cantSplit/>
              </w:trPr>
              <w:tc>
                <w:tcPr>
                  <w:tcW w:w="393" w:type="dxa"/>
                </w:tcPr>
                <w:p w14:paraId="455AAF08" w14:textId="77777777" w:rsidR="00A34828" w:rsidRPr="00080443" w:rsidRDefault="00A34828" w:rsidP="005B6C76">
                  <w:pPr>
                    <w:pStyle w:val="ListParagraph"/>
                    <w:numPr>
                      <w:ilvl w:val="0"/>
                      <w:numId w:val="7"/>
                    </w:numPr>
                    <w:spacing w:before="80" w:after="120" w:line="240" w:lineRule="auto"/>
                    <w:rPr>
                      <w:rFonts w:ascii="Arial" w:hAnsi="Arial" w:cs="Arial"/>
                    </w:rPr>
                  </w:pPr>
                </w:p>
              </w:tc>
              <w:tc>
                <w:tcPr>
                  <w:tcW w:w="1734" w:type="dxa"/>
                </w:tcPr>
                <w:p w14:paraId="42F9AA29" w14:textId="77777777" w:rsidR="00A34828" w:rsidRPr="00080443" w:rsidRDefault="00A34828" w:rsidP="00A34828">
                  <w:pPr>
                    <w:spacing w:before="80" w:after="120"/>
                    <w:rPr>
                      <w:rFonts w:cs="Arial"/>
                    </w:rPr>
                  </w:pPr>
                  <w:r w:rsidRPr="00080443">
                    <w:rPr>
                      <w:rFonts w:cs="Arial"/>
                    </w:rPr>
                    <w:t xml:space="preserve">How will the spectrum be licensed? </w:t>
                  </w:r>
                </w:p>
              </w:tc>
              <w:tc>
                <w:tcPr>
                  <w:tcW w:w="5926" w:type="dxa"/>
                </w:tcPr>
                <w:p w14:paraId="7F01CD8B" w14:textId="77777777" w:rsidR="00A34828" w:rsidRPr="00080443" w:rsidRDefault="00A34828" w:rsidP="00A34828">
                  <w:pPr>
                    <w:spacing w:before="80" w:after="120"/>
                    <w:rPr>
                      <w:rFonts w:cs="Arial"/>
                    </w:rPr>
                  </w:pPr>
                  <w:r w:rsidRPr="00080443">
                    <w:rPr>
                      <w:rFonts w:cs="Arial"/>
                    </w:rPr>
                    <w:t>Spectrum lots won at auction will be issued to winning bidders as spectrum licences issued under s</w:t>
                  </w:r>
                  <w:r w:rsidR="00781BF4" w:rsidRPr="00080443">
                    <w:rPr>
                      <w:rFonts w:cs="Arial"/>
                    </w:rPr>
                    <w:t xml:space="preserve">ection </w:t>
                  </w:r>
                  <w:r w:rsidRPr="00080443">
                    <w:rPr>
                      <w:rFonts w:cs="Arial"/>
                    </w:rPr>
                    <w:t xml:space="preserve">62 of the </w:t>
                  </w:r>
                  <w:r w:rsidR="00CD2C67" w:rsidRPr="00080443">
                    <w:rPr>
                      <w:rFonts w:cs="Arial"/>
                    </w:rPr>
                    <w:t>Act</w:t>
                  </w:r>
                  <w:r w:rsidRPr="00080443">
                    <w:rPr>
                      <w:rFonts w:cs="Arial"/>
                    </w:rPr>
                    <w:t>.</w:t>
                  </w:r>
                </w:p>
                <w:p w14:paraId="033747DC" w14:textId="77777777" w:rsidR="00A34828" w:rsidRPr="00080443" w:rsidRDefault="00A34828" w:rsidP="00A34828">
                  <w:pPr>
                    <w:spacing w:before="80" w:after="120"/>
                    <w:rPr>
                      <w:rFonts w:cs="Arial"/>
                    </w:rPr>
                  </w:pPr>
                  <w:r w:rsidRPr="00080443">
                    <w:rPr>
                      <w:rFonts w:cs="Arial"/>
                    </w:rPr>
                    <w:t xml:space="preserve">Spectrum licences authorise a </w:t>
                  </w:r>
                  <w:proofErr w:type="spellStart"/>
                  <w:r w:rsidRPr="00080443">
                    <w:rPr>
                      <w:rFonts w:cs="Arial"/>
                    </w:rPr>
                    <w:t>licensee</w:t>
                  </w:r>
                  <w:proofErr w:type="spellEnd"/>
                  <w:r w:rsidRPr="00080443">
                    <w:rPr>
                      <w:rFonts w:cs="Arial"/>
                    </w:rPr>
                    <w:t xml:space="preserve"> to operate radiocommunications devices for a fixed period, within a </w:t>
                  </w:r>
                  <w:r w:rsidR="0050161B" w:rsidRPr="00080443">
                    <w:rPr>
                      <w:rFonts w:cs="Arial"/>
                    </w:rPr>
                    <w:t>particular frequency range, within a particular geographic area</w:t>
                  </w:r>
                  <w:r w:rsidRPr="00080443">
                    <w:rPr>
                      <w:rFonts w:cs="Arial"/>
                    </w:rPr>
                    <w:t>. Spectrum licensing offers a technology-flexible, market-oriented approach to managing the radiofrequency spectrum.</w:t>
                  </w:r>
                </w:p>
                <w:p w14:paraId="7ACC67DC" w14:textId="77777777" w:rsidR="00A34828" w:rsidRPr="00080443" w:rsidRDefault="00A34828" w:rsidP="00A34828">
                  <w:pPr>
                    <w:spacing w:before="80" w:after="120"/>
                    <w:rPr>
                      <w:rFonts w:cs="Arial"/>
                    </w:rPr>
                  </w:pPr>
                  <w:r w:rsidRPr="00080443">
                    <w:rPr>
                      <w:rFonts w:cs="Arial"/>
                    </w:rPr>
                    <w:t>Spectrum licensees must comply with a series of licence conditions and a technical framework developed for the relevant band by the ACMA in consultation with industry.</w:t>
                  </w:r>
                </w:p>
              </w:tc>
              <w:tc>
                <w:tcPr>
                  <w:tcW w:w="1412" w:type="dxa"/>
                </w:tcPr>
                <w:p w14:paraId="0EB951D2" w14:textId="77777777" w:rsidR="00C36B5F" w:rsidRPr="00080443" w:rsidRDefault="00A34828">
                  <w:pPr>
                    <w:spacing w:before="80"/>
                    <w:rPr>
                      <w:rFonts w:cs="Arial"/>
                    </w:rPr>
                  </w:pPr>
                  <w:r w:rsidRPr="00080443">
                    <w:rPr>
                      <w:rFonts w:cs="Arial"/>
                    </w:rPr>
                    <w:t>2.3 &amp; ch.5</w:t>
                  </w:r>
                </w:p>
              </w:tc>
            </w:tr>
            <w:tr w:rsidR="00A34828" w:rsidRPr="00080443" w14:paraId="5BD0041A" w14:textId="77777777" w:rsidTr="007401E7">
              <w:trPr>
                <w:cantSplit/>
              </w:trPr>
              <w:tc>
                <w:tcPr>
                  <w:tcW w:w="393" w:type="dxa"/>
                </w:tcPr>
                <w:p w14:paraId="5A5DCC6C" w14:textId="77777777" w:rsidR="00A34828" w:rsidRPr="00080443" w:rsidRDefault="00A34828" w:rsidP="005B6C76">
                  <w:pPr>
                    <w:pStyle w:val="ListParagraph"/>
                    <w:numPr>
                      <w:ilvl w:val="0"/>
                      <w:numId w:val="7"/>
                    </w:numPr>
                    <w:spacing w:before="80" w:after="120" w:line="240" w:lineRule="auto"/>
                    <w:rPr>
                      <w:rFonts w:ascii="Arial" w:hAnsi="Arial" w:cs="Arial"/>
                    </w:rPr>
                  </w:pPr>
                </w:p>
              </w:tc>
              <w:tc>
                <w:tcPr>
                  <w:tcW w:w="1734" w:type="dxa"/>
                </w:tcPr>
                <w:p w14:paraId="5B7832DC" w14:textId="77777777" w:rsidR="00A34828" w:rsidRPr="00080443" w:rsidRDefault="00A34828" w:rsidP="00A34828">
                  <w:pPr>
                    <w:spacing w:before="80" w:after="120"/>
                    <w:rPr>
                      <w:rFonts w:cs="Arial"/>
                    </w:rPr>
                  </w:pPr>
                  <w:r w:rsidRPr="00080443">
                    <w:rPr>
                      <w:rFonts w:cs="Arial"/>
                    </w:rPr>
                    <w:t xml:space="preserve">When will licences commence? </w:t>
                  </w:r>
                </w:p>
              </w:tc>
              <w:tc>
                <w:tcPr>
                  <w:tcW w:w="5926" w:type="dxa"/>
                </w:tcPr>
                <w:p w14:paraId="2D4403C8" w14:textId="77777777" w:rsidR="00A34828" w:rsidRPr="00080443" w:rsidRDefault="00A34828" w:rsidP="00A34828">
                  <w:pPr>
                    <w:spacing w:before="80" w:after="120"/>
                    <w:rPr>
                      <w:rFonts w:cs="Arial"/>
                    </w:rPr>
                  </w:pPr>
                  <w:r w:rsidRPr="00080443">
                    <w:rPr>
                      <w:rFonts w:cs="Arial"/>
                    </w:rPr>
                    <w:t xml:space="preserve">Licences for the 700 MHz band will commence on 1 January 2015. </w:t>
                  </w:r>
                </w:p>
                <w:p w14:paraId="2551CBAD" w14:textId="77777777" w:rsidR="00A34828" w:rsidRPr="00080443" w:rsidRDefault="00A34828" w:rsidP="009726DB">
                  <w:pPr>
                    <w:spacing w:before="80" w:after="120"/>
                    <w:rPr>
                      <w:rFonts w:cs="Arial"/>
                    </w:rPr>
                  </w:pPr>
                  <w:r w:rsidRPr="00080443">
                    <w:rPr>
                      <w:rFonts w:cs="Arial"/>
                    </w:rPr>
                    <w:t xml:space="preserve">In most cases, licences for the 2.5 GHz band will commence on </w:t>
                  </w:r>
                  <w:r w:rsidR="008A7516" w:rsidRPr="00080443">
                    <w:rPr>
                      <w:rFonts w:cs="Arial"/>
                    </w:rPr>
                    <w:t>1 </w:t>
                  </w:r>
                  <w:r w:rsidRPr="00080443">
                    <w:rPr>
                      <w:rFonts w:cs="Arial"/>
                    </w:rPr>
                    <w:t xml:space="preserve">October 2014. </w:t>
                  </w:r>
                  <w:r w:rsidR="009726DB" w:rsidRPr="00080443">
                    <w:rPr>
                      <w:rFonts w:cs="Arial"/>
                    </w:rPr>
                    <w:t>However, l</w:t>
                  </w:r>
                  <w:r w:rsidRPr="00080443">
                    <w:rPr>
                      <w:rFonts w:cs="Arial"/>
                    </w:rPr>
                    <w:t xml:space="preserve">icences for the 2.5 GHz band that are for the Metro Perth region and/or the Regional Western Australia region will have a commencement date of 1 February 2016. </w:t>
                  </w:r>
                </w:p>
              </w:tc>
              <w:tc>
                <w:tcPr>
                  <w:tcW w:w="1412" w:type="dxa"/>
                </w:tcPr>
                <w:p w14:paraId="4DFF7248" w14:textId="77777777" w:rsidR="00C36B5F" w:rsidRPr="00080443" w:rsidRDefault="00A34828">
                  <w:pPr>
                    <w:spacing w:before="80"/>
                    <w:rPr>
                      <w:rFonts w:cs="Arial"/>
                    </w:rPr>
                  </w:pPr>
                  <w:r w:rsidRPr="00080443">
                    <w:rPr>
                      <w:rFonts w:cs="Arial"/>
                    </w:rPr>
                    <w:t>2.3.2</w:t>
                  </w:r>
                </w:p>
              </w:tc>
            </w:tr>
            <w:tr w:rsidR="00A34828" w:rsidRPr="00080443" w14:paraId="314E61A2" w14:textId="77777777" w:rsidTr="007401E7">
              <w:trPr>
                <w:cantSplit/>
              </w:trPr>
              <w:tc>
                <w:tcPr>
                  <w:tcW w:w="393" w:type="dxa"/>
                </w:tcPr>
                <w:p w14:paraId="563A5261" w14:textId="77777777" w:rsidR="00A34828" w:rsidRPr="00080443" w:rsidRDefault="00A34828" w:rsidP="005B6C76">
                  <w:pPr>
                    <w:pStyle w:val="ListParagraph"/>
                    <w:numPr>
                      <w:ilvl w:val="0"/>
                      <w:numId w:val="7"/>
                    </w:numPr>
                    <w:spacing w:before="80" w:after="120" w:line="240" w:lineRule="auto"/>
                    <w:rPr>
                      <w:rFonts w:ascii="Arial" w:hAnsi="Arial" w:cs="Arial"/>
                    </w:rPr>
                  </w:pPr>
                </w:p>
              </w:tc>
              <w:tc>
                <w:tcPr>
                  <w:tcW w:w="1734" w:type="dxa"/>
                </w:tcPr>
                <w:p w14:paraId="16773386" w14:textId="77777777" w:rsidR="00A34828" w:rsidRPr="00080443" w:rsidRDefault="00A34828" w:rsidP="00A34828">
                  <w:pPr>
                    <w:spacing w:before="80" w:after="120"/>
                    <w:rPr>
                      <w:rFonts w:cs="Arial"/>
                    </w:rPr>
                  </w:pPr>
                  <w:r w:rsidRPr="00080443">
                    <w:rPr>
                      <w:rFonts w:cs="Arial"/>
                    </w:rPr>
                    <w:t>How long will the licences last?</w:t>
                  </w:r>
                </w:p>
              </w:tc>
              <w:tc>
                <w:tcPr>
                  <w:tcW w:w="5926" w:type="dxa"/>
                </w:tcPr>
                <w:p w14:paraId="76005ED0" w14:textId="77777777" w:rsidR="00A34828" w:rsidRPr="00080443" w:rsidRDefault="00A34828" w:rsidP="00A34828">
                  <w:pPr>
                    <w:spacing w:before="80" w:after="120"/>
                    <w:rPr>
                      <w:rFonts w:cs="Arial"/>
                    </w:rPr>
                  </w:pPr>
                  <w:r w:rsidRPr="00080443">
                    <w:rPr>
                      <w:rFonts w:cs="Arial"/>
                    </w:rPr>
                    <w:t>With the exception of 2.5 GHz band licences for the Metro Perth region and/or the Regional Western Australia region, licences in both bands will be issued for a 15-year period.</w:t>
                  </w:r>
                </w:p>
                <w:p w14:paraId="0742482E" w14:textId="77777777" w:rsidR="00A34828" w:rsidRPr="00080443" w:rsidRDefault="00A34828" w:rsidP="00A34828">
                  <w:pPr>
                    <w:spacing w:before="80" w:after="120"/>
                    <w:rPr>
                      <w:rFonts w:cs="Arial"/>
                    </w:rPr>
                  </w:pPr>
                  <w:r w:rsidRPr="00080443">
                    <w:rPr>
                      <w:rFonts w:cs="Arial"/>
                    </w:rPr>
                    <w:t xml:space="preserve">Licences for the Metro Perth region and/or the Regional Western Australia </w:t>
                  </w:r>
                  <w:r w:rsidR="000E0855" w:rsidRPr="00080443">
                    <w:rPr>
                      <w:rFonts w:cs="Arial"/>
                    </w:rPr>
                    <w:t>r</w:t>
                  </w:r>
                  <w:r w:rsidRPr="00080443">
                    <w:rPr>
                      <w:rFonts w:cs="Arial"/>
                    </w:rPr>
                    <w:t xml:space="preserve">egion will have a duration of less than 15 years. The duration of these licences will be such as to allow the licences to expire at the same time as other licences issued </w:t>
                  </w:r>
                  <w:r w:rsidR="0050161B" w:rsidRPr="00080443">
                    <w:rPr>
                      <w:rFonts w:cs="Arial"/>
                    </w:rPr>
                    <w:t xml:space="preserve">in the 2.5 GHz band </w:t>
                  </w:r>
                  <w:r w:rsidRPr="00080443">
                    <w:rPr>
                      <w:rFonts w:cs="Arial"/>
                    </w:rPr>
                    <w:t>as a result of the auction.</w:t>
                  </w:r>
                </w:p>
              </w:tc>
              <w:tc>
                <w:tcPr>
                  <w:tcW w:w="1412" w:type="dxa"/>
                </w:tcPr>
                <w:p w14:paraId="14D7AE82" w14:textId="77777777" w:rsidR="00C36B5F" w:rsidRPr="00080443" w:rsidRDefault="00A34828">
                  <w:pPr>
                    <w:spacing w:before="80"/>
                    <w:rPr>
                      <w:rFonts w:cs="Arial"/>
                    </w:rPr>
                  </w:pPr>
                  <w:r w:rsidRPr="00080443">
                    <w:rPr>
                      <w:rFonts w:cs="Arial"/>
                    </w:rPr>
                    <w:t>2.3.3</w:t>
                  </w:r>
                </w:p>
              </w:tc>
            </w:tr>
            <w:tr w:rsidR="00A34828" w:rsidRPr="00080443" w14:paraId="3984173C" w14:textId="77777777" w:rsidTr="007401E7">
              <w:trPr>
                <w:cantSplit/>
              </w:trPr>
              <w:tc>
                <w:tcPr>
                  <w:tcW w:w="393" w:type="dxa"/>
                </w:tcPr>
                <w:p w14:paraId="2704445E" w14:textId="77777777" w:rsidR="00A34828" w:rsidRPr="00080443" w:rsidRDefault="00A34828" w:rsidP="005B6C76">
                  <w:pPr>
                    <w:pStyle w:val="ListParagraph"/>
                    <w:numPr>
                      <w:ilvl w:val="0"/>
                      <w:numId w:val="7"/>
                    </w:numPr>
                    <w:spacing w:before="80" w:after="120" w:line="240" w:lineRule="auto"/>
                    <w:rPr>
                      <w:rFonts w:ascii="Arial" w:hAnsi="Arial" w:cs="Arial"/>
                    </w:rPr>
                  </w:pPr>
                </w:p>
              </w:tc>
              <w:tc>
                <w:tcPr>
                  <w:tcW w:w="1734" w:type="dxa"/>
                </w:tcPr>
                <w:p w14:paraId="69BF8CAF" w14:textId="77777777" w:rsidR="00A34828" w:rsidRPr="00080443" w:rsidRDefault="00A34828" w:rsidP="00A34828">
                  <w:pPr>
                    <w:spacing w:before="80" w:after="120"/>
                    <w:rPr>
                      <w:rFonts w:cs="Arial"/>
                    </w:rPr>
                  </w:pPr>
                  <w:r w:rsidRPr="00080443">
                    <w:rPr>
                      <w:rFonts w:cs="Arial"/>
                    </w:rPr>
                    <w:t>How can I be sure incumbent licensees will have vacated by the time my licence commences?</w:t>
                  </w:r>
                </w:p>
              </w:tc>
              <w:tc>
                <w:tcPr>
                  <w:tcW w:w="5926" w:type="dxa"/>
                </w:tcPr>
                <w:p w14:paraId="7484FACD" w14:textId="77777777" w:rsidR="00781BF4" w:rsidRPr="00080443" w:rsidRDefault="00A57240" w:rsidP="00A34828">
                  <w:pPr>
                    <w:spacing w:before="80" w:after="120"/>
                    <w:rPr>
                      <w:rFonts w:cs="Arial"/>
                    </w:rPr>
                  </w:pPr>
                  <w:r w:rsidRPr="00080443">
                    <w:rPr>
                      <w:rFonts w:cs="Arial"/>
                    </w:rPr>
                    <w:t>In the</w:t>
                  </w:r>
                  <w:r w:rsidR="00781BF4" w:rsidRPr="00080443">
                    <w:rPr>
                      <w:rFonts w:cs="Arial"/>
                    </w:rPr>
                    <w:t xml:space="preserve"> case of the 2.5 GHz band, any apparatus licences remaining in this band will have been automatically cancelled by t</w:t>
                  </w:r>
                  <w:r w:rsidR="00D14D1A" w:rsidRPr="00080443">
                    <w:rPr>
                      <w:rFonts w:cs="Arial"/>
                    </w:rPr>
                    <w:t>h</w:t>
                  </w:r>
                  <w:r w:rsidR="00781BF4" w:rsidRPr="00080443">
                    <w:rPr>
                      <w:rFonts w:cs="Arial"/>
                    </w:rPr>
                    <w:t>e proposed dates of commencement of the relevant spectrum licences, leaving the 2.5 GHz spectrum free of incumbent licensees from those dates.</w:t>
                  </w:r>
                </w:p>
                <w:p w14:paraId="2C967386" w14:textId="77777777" w:rsidR="00A34828" w:rsidRPr="00080443" w:rsidRDefault="00781BF4" w:rsidP="00792756">
                  <w:pPr>
                    <w:spacing w:before="80" w:after="120"/>
                    <w:rPr>
                      <w:rFonts w:cs="Arial"/>
                    </w:rPr>
                  </w:pPr>
                  <w:r w:rsidRPr="00080443">
                    <w:rPr>
                      <w:rFonts w:cs="Arial"/>
                    </w:rPr>
                    <w:t>In the case of the 700 MHz band</w:t>
                  </w:r>
                  <w:r w:rsidR="0055350F" w:rsidRPr="00080443">
                    <w:rPr>
                      <w:rFonts w:cs="Arial"/>
                    </w:rPr>
                    <w:t xml:space="preserve">, </w:t>
                  </w:r>
                  <w:r w:rsidR="00893055" w:rsidRPr="00080443">
                    <w:rPr>
                      <w:rFonts w:cs="Arial"/>
                    </w:rPr>
                    <w:t xml:space="preserve">the process for vacating incumbent licensees will vary depending on the type of licence they hold. In particular, the vacation of </w:t>
                  </w:r>
                  <w:r w:rsidR="00D1777A" w:rsidRPr="00080443">
                    <w:rPr>
                      <w:rFonts w:cs="Arial"/>
                    </w:rPr>
                    <w:t xml:space="preserve">television </w:t>
                  </w:r>
                  <w:r w:rsidR="00893055" w:rsidRPr="00080443">
                    <w:rPr>
                      <w:rFonts w:cs="Arial"/>
                    </w:rPr>
                    <w:t>broadcasting services by the proposed date of commencement for the relevant spectrum licences depends on a process known as ‘restack</w:t>
                  </w:r>
                  <w:r w:rsidR="003D2DB1" w:rsidRPr="00080443">
                    <w:rPr>
                      <w:rFonts w:cs="Arial"/>
                    </w:rPr>
                    <w:t>’</w:t>
                  </w:r>
                  <w:r w:rsidR="00893055" w:rsidRPr="00080443">
                    <w:rPr>
                      <w:rFonts w:cs="Arial"/>
                    </w:rPr>
                    <w:t xml:space="preserve"> being completed by the government’s target date of 31 December 2014. To protect against the possibility of restack being delayed beyond that date, spectrum licences for the 700 MHz band will include a condition to manage </w:t>
                  </w:r>
                  <w:r w:rsidR="00792756" w:rsidRPr="00080443">
                    <w:rPr>
                      <w:rFonts w:cs="Arial"/>
                    </w:rPr>
                    <w:t xml:space="preserve">potential </w:t>
                  </w:r>
                  <w:r w:rsidR="00893055" w:rsidRPr="00080443">
                    <w:rPr>
                      <w:rFonts w:cs="Arial"/>
                    </w:rPr>
                    <w:t xml:space="preserve">interference </w:t>
                  </w:r>
                  <w:r w:rsidR="00792756" w:rsidRPr="00080443">
                    <w:rPr>
                      <w:rFonts w:cs="Arial"/>
                    </w:rPr>
                    <w:t xml:space="preserve">to the reception of </w:t>
                  </w:r>
                  <w:r w:rsidR="00893055" w:rsidRPr="00080443">
                    <w:rPr>
                      <w:rFonts w:cs="Arial"/>
                    </w:rPr>
                    <w:t xml:space="preserve">any broadcasting or retransmission services operating </w:t>
                  </w:r>
                  <w:r w:rsidR="00792756" w:rsidRPr="00080443">
                    <w:rPr>
                      <w:rFonts w:cs="Arial"/>
                    </w:rPr>
                    <w:t xml:space="preserve">lawfully </w:t>
                  </w:r>
                  <w:r w:rsidR="00893055" w:rsidRPr="00080443">
                    <w:rPr>
                      <w:rFonts w:cs="Arial"/>
                    </w:rPr>
                    <w:t>in the band after the licence commences.</w:t>
                  </w:r>
                </w:p>
              </w:tc>
              <w:tc>
                <w:tcPr>
                  <w:tcW w:w="1412" w:type="dxa"/>
                </w:tcPr>
                <w:p w14:paraId="22DAA8A2" w14:textId="77777777" w:rsidR="00C36B5F" w:rsidRPr="00080443" w:rsidRDefault="00A34828" w:rsidP="00D14D1A">
                  <w:pPr>
                    <w:spacing w:before="80"/>
                    <w:rPr>
                      <w:rFonts w:cs="Arial"/>
                    </w:rPr>
                  </w:pPr>
                  <w:r w:rsidRPr="00080443">
                    <w:rPr>
                      <w:rFonts w:cs="Arial"/>
                    </w:rPr>
                    <w:t>1.2</w:t>
                  </w:r>
                </w:p>
              </w:tc>
            </w:tr>
            <w:tr w:rsidR="00A34828" w:rsidRPr="00080443" w14:paraId="54DCED8B" w14:textId="77777777" w:rsidTr="007401E7">
              <w:trPr>
                <w:cantSplit/>
              </w:trPr>
              <w:tc>
                <w:tcPr>
                  <w:tcW w:w="393" w:type="dxa"/>
                </w:tcPr>
                <w:p w14:paraId="1B7C1E1C" w14:textId="77777777" w:rsidR="00A34828" w:rsidRPr="00080443" w:rsidRDefault="00A34828" w:rsidP="005B6C76">
                  <w:pPr>
                    <w:pStyle w:val="ListParagraph"/>
                    <w:numPr>
                      <w:ilvl w:val="0"/>
                      <w:numId w:val="7"/>
                    </w:numPr>
                    <w:spacing w:before="80" w:after="120" w:line="240" w:lineRule="auto"/>
                    <w:rPr>
                      <w:rFonts w:ascii="Arial" w:hAnsi="Arial" w:cs="Arial"/>
                    </w:rPr>
                  </w:pPr>
                </w:p>
              </w:tc>
              <w:tc>
                <w:tcPr>
                  <w:tcW w:w="1734" w:type="dxa"/>
                </w:tcPr>
                <w:p w14:paraId="039BCC53" w14:textId="77777777" w:rsidR="00A34828" w:rsidRPr="00080443" w:rsidRDefault="00A34828" w:rsidP="00A34828">
                  <w:pPr>
                    <w:spacing w:before="80" w:after="120"/>
                    <w:rPr>
                      <w:rFonts w:cs="Arial"/>
                    </w:rPr>
                  </w:pPr>
                  <w:r w:rsidRPr="00080443">
                    <w:rPr>
                      <w:rFonts w:cs="Arial"/>
                    </w:rPr>
                    <w:t xml:space="preserve">Will I be able to access the spectrum early, if incumbent licensees vacate before my licence commences? </w:t>
                  </w:r>
                </w:p>
              </w:tc>
              <w:tc>
                <w:tcPr>
                  <w:tcW w:w="5926" w:type="dxa"/>
                </w:tcPr>
                <w:p w14:paraId="0AFA4FD1" w14:textId="77777777" w:rsidR="00AE0954" w:rsidRPr="00080443" w:rsidRDefault="00AE0954" w:rsidP="00AE0954">
                  <w:pPr>
                    <w:spacing w:before="80" w:after="120"/>
                    <w:rPr>
                      <w:rFonts w:cs="Arial"/>
                      <w:color w:val="000000" w:themeColor="text1"/>
                    </w:rPr>
                  </w:pPr>
                  <w:r w:rsidRPr="00080443">
                    <w:rPr>
                      <w:rFonts w:cs="Arial"/>
                      <w:color w:val="000000" w:themeColor="text1"/>
                    </w:rPr>
                    <w:t xml:space="preserve">For the 2.5 GHz band, there will be no potential </w:t>
                  </w:r>
                  <w:r w:rsidR="00B44F32" w:rsidRPr="00080443">
                    <w:rPr>
                      <w:rFonts w:cs="Arial"/>
                      <w:color w:val="000000" w:themeColor="text1"/>
                    </w:rPr>
                    <w:t xml:space="preserve">to access the spectrum before the licence commencement dates stated at </w:t>
                  </w:r>
                  <w:r w:rsidR="00B35175" w:rsidRPr="00080443">
                    <w:rPr>
                      <w:rFonts w:cs="Arial"/>
                      <w:color w:val="000000" w:themeColor="text1"/>
                    </w:rPr>
                    <w:t>q</w:t>
                  </w:r>
                  <w:r w:rsidR="00B44F32" w:rsidRPr="00080443">
                    <w:rPr>
                      <w:rFonts w:cs="Arial"/>
                      <w:color w:val="000000" w:themeColor="text1"/>
                    </w:rPr>
                    <w:t xml:space="preserve">uestion 3. </w:t>
                  </w:r>
                  <w:r w:rsidRPr="00080443">
                    <w:rPr>
                      <w:rFonts w:cs="Arial"/>
                      <w:color w:val="000000" w:themeColor="text1"/>
                    </w:rPr>
                    <w:t>There will be no period between the cancellation of incumbent apparatus licences in the band and the commencement of spectrum licences issued for the band as a result of the auction.</w:t>
                  </w:r>
                </w:p>
                <w:p w14:paraId="3FD4B93A" w14:textId="77777777" w:rsidR="000B733D" w:rsidRPr="00080443" w:rsidRDefault="00AE0954" w:rsidP="00B44F32">
                  <w:pPr>
                    <w:spacing w:before="80" w:after="120"/>
                    <w:rPr>
                      <w:rFonts w:cs="Arial"/>
                    </w:rPr>
                  </w:pPr>
                  <w:r w:rsidRPr="00080443">
                    <w:rPr>
                      <w:rFonts w:cs="Arial"/>
                      <w:color w:val="000000" w:themeColor="text1"/>
                    </w:rPr>
                    <w:t>For the 700 MHz band, it is possible that incumbent broadcasting services may vacate the spectrum in some areas prior to the commencement of spectrum licenses issued for the band as a result of the auction. In such cases, winning bidders will be able to apply to the ACMA to be issued apparatus licence</w:t>
                  </w:r>
                  <w:r w:rsidR="00B44F32" w:rsidRPr="00080443">
                    <w:rPr>
                      <w:rFonts w:cs="Arial"/>
                      <w:color w:val="000000" w:themeColor="text1"/>
                    </w:rPr>
                    <w:t>s</w:t>
                  </w:r>
                  <w:r w:rsidRPr="00080443">
                    <w:rPr>
                      <w:rFonts w:cs="Arial"/>
                      <w:color w:val="000000" w:themeColor="text1"/>
                    </w:rPr>
                    <w:t xml:space="preserve"> for the period until the spectrum licence commences. The ACMA will consider such applications on a case-by-case basis.</w:t>
                  </w:r>
                </w:p>
              </w:tc>
              <w:tc>
                <w:tcPr>
                  <w:tcW w:w="1412" w:type="dxa"/>
                </w:tcPr>
                <w:p w14:paraId="5ED2B7AA" w14:textId="77777777" w:rsidR="00C36B5F" w:rsidRPr="00080443" w:rsidRDefault="00A34828">
                  <w:pPr>
                    <w:spacing w:before="80"/>
                    <w:rPr>
                      <w:rFonts w:cs="Arial"/>
                    </w:rPr>
                  </w:pPr>
                  <w:r w:rsidRPr="00080443">
                    <w:rPr>
                      <w:rFonts w:cs="Arial"/>
                    </w:rPr>
                    <w:t>2.3.4</w:t>
                  </w:r>
                </w:p>
              </w:tc>
            </w:tr>
            <w:tr w:rsidR="00A34828" w:rsidRPr="00080443" w14:paraId="2F3684FB" w14:textId="77777777" w:rsidTr="007401E7">
              <w:trPr>
                <w:cantSplit/>
              </w:trPr>
              <w:tc>
                <w:tcPr>
                  <w:tcW w:w="393" w:type="dxa"/>
                </w:tcPr>
                <w:p w14:paraId="3A91BFD8" w14:textId="77777777" w:rsidR="00A34828" w:rsidRPr="00080443" w:rsidRDefault="00A34828" w:rsidP="005B6C76">
                  <w:pPr>
                    <w:pStyle w:val="ListParagraph"/>
                    <w:numPr>
                      <w:ilvl w:val="0"/>
                      <w:numId w:val="7"/>
                    </w:numPr>
                    <w:spacing w:before="80" w:after="120" w:line="240" w:lineRule="auto"/>
                    <w:rPr>
                      <w:rFonts w:ascii="Arial" w:hAnsi="Arial" w:cs="Arial"/>
                    </w:rPr>
                  </w:pPr>
                </w:p>
              </w:tc>
              <w:tc>
                <w:tcPr>
                  <w:tcW w:w="1734" w:type="dxa"/>
                </w:tcPr>
                <w:p w14:paraId="04798CDA" w14:textId="77777777" w:rsidR="00A34828" w:rsidRPr="00080443" w:rsidRDefault="00A34828" w:rsidP="008A7516">
                  <w:pPr>
                    <w:spacing w:before="80" w:after="120"/>
                    <w:rPr>
                      <w:rFonts w:cs="Arial"/>
                    </w:rPr>
                  </w:pPr>
                  <w:r w:rsidRPr="00080443">
                    <w:rPr>
                      <w:rFonts w:cs="Arial"/>
                    </w:rPr>
                    <w:t>I only want to use spectrum in some parts of Australia</w:t>
                  </w:r>
                  <w:r w:rsidR="008A7516" w:rsidRPr="00080443">
                    <w:rPr>
                      <w:rFonts w:cs="Arial"/>
                    </w:rPr>
                    <w:t>—</w:t>
                  </w:r>
                  <w:r w:rsidRPr="00080443">
                    <w:rPr>
                      <w:rFonts w:cs="Arial"/>
                    </w:rPr>
                    <w:t>what options are available?</w:t>
                  </w:r>
                </w:p>
              </w:tc>
              <w:tc>
                <w:tcPr>
                  <w:tcW w:w="5926" w:type="dxa"/>
                </w:tcPr>
                <w:p w14:paraId="461D3055" w14:textId="77777777" w:rsidR="00A34828" w:rsidRPr="00080443" w:rsidRDefault="00A34828" w:rsidP="00A34828">
                  <w:pPr>
                    <w:spacing w:before="80" w:after="120"/>
                    <w:rPr>
                      <w:rFonts w:cs="Arial"/>
                    </w:rPr>
                  </w:pPr>
                  <w:r w:rsidRPr="00080443">
                    <w:rPr>
                      <w:rFonts w:cs="Arial"/>
                    </w:rPr>
                    <w:t>Spectrum lots in the 700 MHz band will be auctioned as a single ‘national’ product</w:t>
                  </w:r>
                  <w:r w:rsidR="008A7516" w:rsidRPr="00080443">
                    <w:rPr>
                      <w:rFonts w:cs="Arial"/>
                    </w:rPr>
                    <w:t>—</w:t>
                  </w:r>
                  <w:r w:rsidRPr="00080443">
                    <w:rPr>
                      <w:rFonts w:cs="Arial"/>
                    </w:rPr>
                    <w:t>that is, each of the nine lots on offer in that band will provide for coverage across one nationwide region covering all of Australia except the Mid-west Radio Quiet Zone.</w:t>
                  </w:r>
                </w:p>
                <w:p w14:paraId="68D3FC00" w14:textId="77777777" w:rsidR="00A34828" w:rsidRPr="00080443" w:rsidRDefault="00A34828" w:rsidP="008A7516">
                  <w:pPr>
                    <w:spacing w:before="80" w:after="120"/>
                    <w:rPr>
                      <w:rFonts w:cs="Arial"/>
                    </w:rPr>
                  </w:pPr>
                  <w:r w:rsidRPr="00080443">
                    <w:rPr>
                      <w:rFonts w:cs="Arial"/>
                    </w:rPr>
                    <w:t>Spectrum lots in the 2.5 GHz band will be auctioned as 11 separate products, each providing for coverage across a discrete area within Australia. The 11 areas in which each of the 14 lots on offer in the 2.5 GHz band are available include eight metropolitan areas</w:t>
                  </w:r>
                  <w:r w:rsidR="008A7516" w:rsidRPr="00080443">
                    <w:rPr>
                      <w:rFonts w:cs="Arial"/>
                    </w:rPr>
                    <w:t>,</w:t>
                  </w:r>
                  <w:r w:rsidRPr="00080443">
                    <w:rPr>
                      <w:rFonts w:cs="Arial"/>
                    </w:rPr>
                    <w:t xml:space="preserve"> two regional areas and one remote area.</w:t>
                  </w:r>
                </w:p>
              </w:tc>
              <w:tc>
                <w:tcPr>
                  <w:tcW w:w="1412" w:type="dxa"/>
                </w:tcPr>
                <w:p w14:paraId="27778503" w14:textId="77777777" w:rsidR="00F86F71" w:rsidRPr="00080443" w:rsidRDefault="00A34828">
                  <w:pPr>
                    <w:spacing w:before="80"/>
                    <w:rPr>
                      <w:rFonts w:cs="Arial"/>
                    </w:rPr>
                  </w:pPr>
                  <w:r w:rsidRPr="00080443">
                    <w:rPr>
                      <w:rFonts w:cs="Arial"/>
                    </w:rPr>
                    <w:t>2.2</w:t>
                  </w:r>
                  <w:r w:rsidR="00746CED" w:rsidRPr="00080443">
                    <w:rPr>
                      <w:rFonts w:cs="Arial"/>
                    </w:rPr>
                    <w:t xml:space="preserve"> &amp;</w:t>
                  </w:r>
                  <w:r w:rsidR="009E557D" w:rsidRPr="00080443">
                    <w:rPr>
                      <w:rFonts w:cs="Arial"/>
                    </w:rPr>
                    <w:t xml:space="preserve"> </w:t>
                  </w:r>
                  <w:r w:rsidR="00F86F71" w:rsidRPr="00080443">
                    <w:rPr>
                      <w:rFonts w:cs="Arial"/>
                    </w:rPr>
                    <w:t>5.7.4</w:t>
                  </w:r>
                </w:p>
              </w:tc>
            </w:tr>
            <w:tr w:rsidR="00947C85" w:rsidRPr="00080443" w14:paraId="47A5EAA5" w14:textId="77777777" w:rsidTr="007401E7">
              <w:trPr>
                <w:cantSplit/>
              </w:trPr>
              <w:tc>
                <w:tcPr>
                  <w:tcW w:w="393" w:type="dxa"/>
                </w:tcPr>
                <w:p w14:paraId="59985032" w14:textId="77777777" w:rsidR="00947C85" w:rsidRPr="00080443" w:rsidRDefault="00947C85" w:rsidP="005B6C76">
                  <w:pPr>
                    <w:pStyle w:val="ListParagraph"/>
                    <w:numPr>
                      <w:ilvl w:val="0"/>
                      <w:numId w:val="7"/>
                    </w:numPr>
                    <w:spacing w:before="80" w:after="120" w:line="240" w:lineRule="auto"/>
                    <w:rPr>
                      <w:rFonts w:ascii="Arial" w:hAnsi="Arial" w:cs="Arial"/>
                    </w:rPr>
                  </w:pPr>
                </w:p>
              </w:tc>
              <w:tc>
                <w:tcPr>
                  <w:tcW w:w="1734" w:type="dxa"/>
                </w:tcPr>
                <w:p w14:paraId="43498526" w14:textId="77777777" w:rsidR="00947C85" w:rsidRPr="00080443" w:rsidRDefault="00947C85" w:rsidP="00C304DA">
                  <w:pPr>
                    <w:spacing w:before="80" w:after="120"/>
                    <w:rPr>
                      <w:rFonts w:cs="Arial"/>
                    </w:rPr>
                  </w:pPr>
                  <w:r w:rsidRPr="00080443">
                    <w:rPr>
                      <w:rFonts w:cs="Arial"/>
                    </w:rPr>
                    <w:t>I don’t wish to use all the spectrum I purchase in the auction</w:t>
                  </w:r>
                  <w:r w:rsidR="0076606A" w:rsidRPr="00080443">
                    <w:rPr>
                      <w:rFonts w:cs="Arial"/>
                    </w:rPr>
                    <w:t>—</w:t>
                  </w:r>
                  <w:r w:rsidRPr="00080443">
                    <w:rPr>
                      <w:rFonts w:cs="Arial"/>
                    </w:rPr>
                    <w:t xml:space="preserve">what options are available? </w:t>
                  </w:r>
                </w:p>
              </w:tc>
              <w:tc>
                <w:tcPr>
                  <w:tcW w:w="5926" w:type="dxa"/>
                </w:tcPr>
                <w:p w14:paraId="7685EDB9" w14:textId="77777777" w:rsidR="00947C85" w:rsidRPr="00080443" w:rsidRDefault="00CC2278" w:rsidP="009E557D">
                  <w:pPr>
                    <w:spacing w:before="80" w:after="120"/>
                    <w:rPr>
                      <w:rFonts w:cs="Arial"/>
                      <w:highlight w:val="yellow"/>
                    </w:rPr>
                  </w:pPr>
                  <w:r w:rsidRPr="00080443">
                    <w:rPr>
                      <w:rFonts w:cs="Arial"/>
                    </w:rPr>
                    <w:t>Spectrum licence</w:t>
                  </w:r>
                  <w:r w:rsidR="009E557D" w:rsidRPr="00080443">
                    <w:rPr>
                      <w:rFonts w:cs="Arial"/>
                    </w:rPr>
                    <w:t>-</w:t>
                  </w:r>
                  <w:r w:rsidRPr="00080443">
                    <w:rPr>
                      <w:rFonts w:cs="Arial"/>
                    </w:rPr>
                    <w:t>holders can trade part or all of the spectrum space covered by their licence</w:t>
                  </w:r>
                  <w:r w:rsidR="00104B5D" w:rsidRPr="00080443">
                    <w:rPr>
                      <w:rFonts w:cs="Arial"/>
                    </w:rPr>
                    <w:t>, once allocated, in accordance with the legislation</w:t>
                  </w:r>
                  <w:r w:rsidRPr="00080443">
                    <w:rPr>
                      <w:rFonts w:cs="Arial"/>
                    </w:rPr>
                    <w:t>. They can allow third parties to use the licensed spectrum by negotiation.</w:t>
                  </w:r>
                </w:p>
              </w:tc>
              <w:tc>
                <w:tcPr>
                  <w:tcW w:w="1412" w:type="dxa"/>
                </w:tcPr>
                <w:p w14:paraId="0AFDDA21" w14:textId="77777777" w:rsidR="00CC2278" w:rsidRPr="00080443" w:rsidRDefault="00CC2278">
                  <w:pPr>
                    <w:spacing w:before="80"/>
                    <w:rPr>
                      <w:rFonts w:cs="Arial"/>
                    </w:rPr>
                  </w:pPr>
                  <w:r w:rsidRPr="00080443">
                    <w:rPr>
                      <w:rFonts w:cs="Arial"/>
                    </w:rPr>
                    <w:t>5.6.2</w:t>
                  </w:r>
                  <w:r w:rsidR="00746CED" w:rsidRPr="00080443">
                    <w:rPr>
                      <w:rFonts w:cs="Arial"/>
                    </w:rPr>
                    <w:t xml:space="preserve"> &amp;</w:t>
                  </w:r>
                  <w:r w:rsidR="009E557D" w:rsidRPr="00080443">
                    <w:rPr>
                      <w:rFonts w:cs="Arial"/>
                    </w:rPr>
                    <w:t xml:space="preserve"> </w:t>
                  </w:r>
                  <w:r w:rsidRPr="00080443">
                    <w:rPr>
                      <w:rFonts w:cs="Arial"/>
                    </w:rPr>
                    <w:t>5.8.2</w:t>
                  </w:r>
                </w:p>
              </w:tc>
            </w:tr>
            <w:tr w:rsidR="00A34828" w:rsidRPr="00080443" w14:paraId="43A8EA68" w14:textId="77777777" w:rsidTr="007401E7">
              <w:trPr>
                <w:cantSplit/>
              </w:trPr>
              <w:tc>
                <w:tcPr>
                  <w:tcW w:w="393" w:type="dxa"/>
                </w:tcPr>
                <w:p w14:paraId="4327A0CC" w14:textId="77777777" w:rsidR="00A34828" w:rsidRPr="00080443" w:rsidRDefault="00A34828" w:rsidP="005B6C76">
                  <w:pPr>
                    <w:pStyle w:val="ListParagraph"/>
                    <w:numPr>
                      <w:ilvl w:val="0"/>
                      <w:numId w:val="7"/>
                    </w:numPr>
                    <w:spacing w:before="80" w:after="120" w:line="240" w:lineRule="auto"/>
                    <w:rPr>
                      <w:rFonts w:ascii="Arial" w:hAnsi="Arial" w:cs="Arial"/>
                    </w:rPr>
                  </w:pPr>
                </w:p>
              </w:tc>
              <w:tc>
                <w:tcPr>
                  <w:tcW w:w="1734" w:type="dxa"/>
                </w:tcPr>
                <w:p w14:paraId="62507851" w14:textId="77777777" w:rsidR="00A34828" w:rsidRPr="00080443" w:rsidRDefault="00A34828" w:rsidP="00A34828">
                  <w:pPr>
                    <w:spacing w:before="80" w:after="120"/>
                    <w:rPr>
                      <w:rFonts w:cs="Arial"/>
                    </w:rPr>
                  </w:pPr>
                  <w:r w:rsidRPr="00080443">
                    <w:rPr>
                      <w:rFonts w:cs="Arial"/>
                    </w:rPr>
                    <w:t>How will the auction work?</w:t>
                  </w:r>
                </w:p>
              </w:tc>
              <w:tc>
                <w:tcPr>
                  <w:tcW w:w="5926" w:type="dxa"/>
                </w:tcPr>
                <w:p w14:paraId="44249CD5" w14:textId="77777777" w:rsidR="00A34828" w:rsidRPr="00080443" w:rsidRDefault="00A34828" w:rsidP="00A34828">
                  <w:pPr>
                    <w:spacing w:before="80" w:after="120"/>
                    <w:rPr>
                      <w:rFonts w:cs="Arial"/>
                    </w:rPr>
                  </w:pPr>
                  <w:r w:rsidRPr="00080443">
                    <w:rPr>
                      <w:rFonts w:cs="Arial"/>
                    </w:rPr>
                    <w:t xml:space="preserve">The auction will be conducted online using the combinatorial clock auction (CCA) format </w:t>
                  </w:r>
                  <w:r w:rsidR="00B327F6" w:rsidRPr="00080443">
                    <w:rPr>
                      <w:rFonts w:cs="Arial"/>
                    </w:rPr>
                    <w:t xml:space="preserve">and </w:t>
                  </w:r>
                  <w:r w:rsidRPr="00080443">
                    <w:rPr>
                      <w:rFonts w:cs="Arial"/>
                    </w:rPr>
                    <w:t>according to the procedures set out in the</w:t>
                  </w:r>
                  <w:r w:rsidR="00C50DB2" w:rsidRPr="00080443">
                    <w:rPr>
                      <w:rFonts w:cs="Arial"/>
                    </w:rPr>
                    <w:t xml:space="preserve"> allocation determination.</w:t>
                  </w:r>
                  <w:r w:rsidRPr="00080443">
                    <w:rPr>
                      <w:rFonts w:cs="Arial"/>
                    </w:rPr>
                    <w:t xml:space="preserve"> </w:t>
                  </w:r>
                </w:p>
                <w:p w14:paraId="4BA17650" w14:textId="77777777" w:rsidR="00A34828" w:rsidRPr="00080443" w:rsidRDefault="00A34828" w:rsidP="008A7516">
                  <w:pPr>
                    <w:spacing w:before="80" w:after="120"/>
                    <w:rPr>
                      <w:rFonts w:cs="Arial"/>
                    </w:rPr>
                  </w:pPr>
                  <w:r w:rsidRPr="00080443">
                    <w:rPr>
                      <w:rFonts w:cs="Arial"/>
                    </w:rPr>
                    <w:t>The CCA is a price clock-based auction format used to sell multiple items in a single process. Auctioning the 700 MHz and 2.5 GHz bands in a single CCA process will allow bidders to bid on packages of spectrum in the two bands</w:t>
                  </w:r>
                  <w:r w:rsidR="008A7516" w:rsidRPr="00080443">
                    <w:rPr>
                      <w:rFonts w:cs="Arial"/>
                    </w:rPr>
                    <w:t>—</w:t>
                  </w:r>
                  <w:r w:rsidRPr="00080443">
                    <w:rPr>
                      <w:rFonts w:cs="Arial"/>
                    </w:rPr>
                    <w:t>offering them the opportunity to acquire the specific combinations of spectrum that will best meet their business needs.</w:t>
                  </w:r>
                </w:p>
              </w:tc>
              <w:tc>
                <w:tcPr>
                  <w:tcW w:w="1412" w:type="dxa"/>
                </w:tcPr>
                <w:p w14:paraId="0C44BA3A" w14:textId="77777777" w:rsidR="00C36B5F" w:rsidRPr="00080443" w:rsidRDefault="008A7516">
                  <w:pPr>
                    <w:spacing w:before="80"/>
                    <w:rPr>
                      <w:rFonts w:cs="Arial"/>
                    </w:rPr>
                  </w:pPr>
                  <w:r w:rsidRPr="00080443">
                    <w:rPr>
                      <w:rFonts w:cs="Arial"/>
                    </w:rPr>
                    <w:t>c</w:t>
                  </w:r>
                  <w:r w:rsidR="00A34828" w:rsidRPr="00080443">
                    <w:rPr>
                      <w:rFonts w:cs="Arial"/>
                    </w:rPr>
                    <w:t>h.3</w:t>
                  </w:r>
                </w:p>
              </w:tc>
            </w:tr>
            <w:tr w:rsidR="00A34828" w:rsidRPr="00080443" w14:paraId="4B368739" w14:textId="77777777" w:rsidTr="007401E7">
              <w:trPr>
                <w:cantSplit/>
              </w:trPr>
              <w:tc>
                <w:tcPr>
                  <w:tcW w:w="393" w:type="dxa"/>
                </w:tcPr>
                <w:p w14:paraId="42357F7B" w14:textId="77777777" w:rsidR="00A34828" w:rsidRPr="00080443" w:rsidRDefault="00A34828" w:rsidP="005B6C76">
                  <w:pPr>
                    <w:pStyle w:val="ListParagraph"/>
                    <w:numPr>
                      <w:ilvl w:val="0"/>
                      <w:numId w:val="7"/>
                    </w:numPr>
                    <w:spacing w:before="80" w:after="120" w:line="240" w:lineRule="auto"/>
                    <w:rPr>
                      <w:rFonts w:ascii="Arial" w:hAnsi="Arial" w:cs="Arial"/>
                    </w:rPr>
                  </w:pPr>
                </w:p>
              </w:tc>
              <w:tc>
                <w:tcPr>
                  <w:tcW w:w="1734" w:type="dxa"/>
                </w:tcPr>
                <w:p w14:paraId="19687A83" w14:textId="77777777" w:rsidR="00A34828" w:rsidRPr="00080443" w:rsidRDefault="00A34828" w:rsidP="008A7516">
                  <w:pPr>
                    <w:spacing w:before="80" w:after="120"/>
                    <w:rPr>
                      <w:rFonts w:cs="Arial"/>
                    </w:rPr>
                  </w:pPr>
                  <w:r w:rsidRPr="00080443">
                    <w:rPr>
                      <w:rFonts w:cs="Arial"/>
                    </w:rPr>
                    <w:t>I want to participate in the auction</w:t>
                  </w:r>
                  <w:r w:rsidR="008A7516" w:rsidRPr="00080443">
                    <w:rPr>
                      <w:rFonts w:cs="Arial"/>
                    </w:rPr>
                    <w:t>—</w:t>
                  </w:r>
                  <w:r w:rsidRPr="00080443">
                    <w:rPr>
                      <w:rFonts w:cs="Arial"/>
                    </w:rPr>
                    <w:t>what amounts will I need to pay?</w:t>
                  </w:r>
                </w:p>
              </w:tc>
              <w:tc>
                <w:tcPr>
                  <w:tcW w:w="5926" w:type="dxa"/>
                </w:tcPr>
                <w:p w14:paraId="5830AB7C" w14:textId="77777777" w:rsidR="00A34828" w:rsidRPr="00080443" w:rsidRDefault="00A34828" w:rsidP="00A34828">
                  <w:pPr>
                    <w:spacing w:before="80" w:after="120"/>
                    <w:rPr>
                      <w:rFonts w:cs="Arial"/>
                    </w:rPr>
                  </w:pPr>
                  <w:r w:rsidRPr="00080443">
                    <w:rPr>
                      <w:rFonts w:cs="Arial"/>
                    </w:rPr>
                    <w:t>To apply to be registered as a bidder in the auction, you will need to pay a non-refundable application fee of $</w:t>
                  </w:r>
                  <w:r w:rsidR="00CB566E" w:rsidRPr="00080443">
                    <w:rPr>
                      <w:rFonts w:cs="Arial"/>
                    </w:rPr>
                    <w:t>25,000</w:t>
                  </w:r>
                  <w:r w:rsidRPr="00080443">
                    <w:rPr>
                      <w:rFonts w:cs="Arial"/>
                    </w:rPr>
                    <w:t>.</w:t>
                  </w:r>
                </w:p>
                <w:p w14:paraId="5E2FA137" w14:textId="77777777" w:rsidR="00A34828" w:rsidRPr="00080443" w:rsidRDefault="00A34828" w:rsidP="004849BF">
                  <w:pPr>
                    <w:spacing w:before="80" w:after="120"/>
                    <w:rPr>
                      <w:rFonts w:cs="Arial"/>
                    </w:rPr>
                  </w:pPr>
                  <w:r w:rsidRPr="00080443">
                    <w:rPr>
                      <w:rFonts w:cs="Arial"/>
                    </w:rPr>
                    <w:t>To complete the bidder registration process, applicants will need to make an eligibility payment</w:t>
                  </w:r>
                  <w:r w:rsidR="008A7516" w:rsidRPr="00080443">
                    <w:rPr>
                      <w:rFonts w:cs="Arial"/>
                    </w:rPr>
                    <w:t xml:space="preserve"> or</w:t>
                  </w:r>
                  <w:r w:rsidRPr="00080443">
                    <w:rPr>
                      <w:rFonts w:cs="Arial"/>
                    </w:rPr>
                    <w:t xml:space="preserve"> give a deed of financial security</w:t>
                  </w:r>
                  <w:r w:rsidR="008A7516" w:rsidRPr="00080443">
                    <w:rPr>
                      <w:rFonts w:cs="Arial"/>
                    </w:rPr>
                    <w:t>—</w:t>
                  </w:r>
                  <w:r w:rsidRPr="00080443">
                    <w:rPr>
                      <w:rFonts w:cs="Arial"/>
                    </w:rPr>
                    <w:t>or both</w:t>
                  </w:r>
                  <w:r w:rsidR="004849BF" w:rsidRPr="00080443">
                    <w:rPr>
                      <w:rFonts w:cs="Arial"/>
                    </w:rPr>
                    <w:t xml:space="preserve">. </w:t>
                  </w:r>
                  <w:r w:rsidR="000E0855" w:rsidRPr="00080443">
                    <w:rPr>
                      <w:rFonts w:cs="Arial"/>
                    </w:rPr>
                    <w:t>(</w:t>
                  </w:r>
                  <w:r w:rsidR="00C50DB2" w:rsidRPr="00080443">
                    <w:rPr>
                      <w:rFonts w:cs="Arial"/>
                    </w:rPr>
                    <w:t>A deed of financial security is an alternative to an eligibility payment.</w:t>
                  </w:r>
                  <w:r w:rsidR="000E0855" w:rsidRPr="00080443">
                    <w:rPr>
                      <w:rFonts w:cs="Arial"/>
                    </w:rPr>
                    <w:t>)</w:t>
                  </w:r>
                </w:p>
                <w:p w14:paraId="6448ADC5" w14:textId="77777777" w:rsidR="00FC7DA6" w:rsidRPr="00080443" w:rsidRDefault="00FC7DA6" w:rsidP="004849BF">
                  <w:pPr>
                    <w:spacing w:before="80" w:after="120"/>
                    <w:rPr>
                      <w:rFonts w:cs="Arial"/>
                    </w:rPr>
                  </w:pPr>
                  <w:r w:rsidRPr="00080443">
                    <w:rPr>
                      <w:rFonts w:cs="Arial"/>
                    </w:rPr>
                    <w:t>No GST is payable on these amounts.</w:t>
                  </w:r>
                </w:p>
              </w:tc>
              <w:tc>
                <w:tcPr>
                  <w:tcW w:w="1412" w:type="dxa"/>
                </w:tcPr>
                <w:p w14:paraId="533F42E5" w14:textId="77777777" w:rsidR="00746CED" w:rsidRPr="00080443" w:rsidRDefault="00ED13FC" w:rsidP="00ED13FC">
                  <w:pPr>
                    <w:spacing w:before="80"/>
                    <w:rPr>
                      <w:rFonts w:cs="Arial"/>
                    </w:rPr>
                  </w:pPr>
                  <w:r w:rsidRPr="00080443">
                    <w:rPr>
                      <w:rFonts w:cs="Arial"/>
                    </w:rPr>
                    <w:t>4.3</w:t>
                  </w:r>
                </w:p>
                <w:p w14:paraId="3CF62D59" w14:textId="77777777" w:rsidR="00FC7DA6" w:rsidRPr="00080443" w:rsidRDefault="00FC7DA6" w:rsidP="00ED13FC">
                  <w:pPr>
                    <w:spacing w:before="80"/>
                    <w:rPr>
                      <w:rFonts w:cs="Arial"/>
                    </w:rPr>
                  </w:pPr>
                </w:p>
              </w:tc>
            </w:tr>
            <w:tr w:rsidR="00A34828" w:rsidRPr="00080443" w14:paraId="275AA987" w14:textId="77777777" w:rsidTr="007401E7">
              <w:trPr>
                <w:cantSplit/>
              </w:trPr>
              <w:tc>
                <w:tcPr>
                  <w:tcW w:w="393" w:type="dxa"/>
                </w:tcPr>
                <w:p w14:paraId="05EE7206" w14:textId="77777777" w:rsidR="00A34828" w:rsidRPr="00080443" w:rsidRDefault="00A34828" w:rsidP="005B6C76">
                  <w:pPr>
                    <w:pStyle w:val="ListParagraph"/>
                    <w:numPr>
                      <w:ilvl w:val="0"/>
                      <w:numId w:val="7"/>
                    </w:numPr>
                    <w:spacing w:before="80" w:after="120" w:line="240" w:lineRule="auto"/>
                    <w:rPr>
                      <w:rFonts w:ascii="Arial" w:hAnsi="Arial" w:cs="Arial"/>
                    </w:rPr>
                  </w:pPr>
                </w:p>
              </w:tc>
              <w:tc>
                <w:tcPr>
                  <w:tcW w:w="1734" w:type="dxa"/>
                </w:tcPr>
                <w:p w14:paraId="2798FB44" w14:textId="77777777" w:rsidR="00A34828" w:rsidRPr="00080443" w:rsidRDefault="00A34828" w:rsidP="008A7516">
                  <w:pPr>
                    <w:spacing w:before="80" w:after="120"/>
                    <w:rPr>
                      <w:rFonts w:cs="Arial"/>
                    </w:rPr>
                  </w:pPr>
                  <w:r w:rsidRPr="00080443">
                    <w:rPr>
                      <w:rFonts w:cs="Arial"/>
                    </w:rPr>
                    <w:t>I want to participate in the auction</w:t>
                  </w:r>
                  <w:r w:rsidR="008A7516" w:rsidRPr="00080443">
                    <w:rPr>
                      <w:rFonts w:cs="Arial"/>
                    </w:rPr>
                    <w:t>—</w:t>
                  </w:r>
                  <w:r w:rsidRPr="00080443">
                    <w:rPr>
                      <w:rFonts w:cs="Arial"/>
                    </w:rPr>
                    <w:t>what do I need to do?</w:t>
                  </w:r>
                </w:p>
              </w:tc>
              <w:tc>
                <w:tcPr>
                  <w:tcW w:w="5926" w:type="dxa"/>
                </w:tcPr>
                <w:p w14:paraId="32EC2430" w14:textId="77777777" w:rsidR="00A34828" w:rsidRPr="00080443" w:rsidRDefault="00A34828" w:rsidP="00A34828">
                  <w:pPr>
                    <w:spacing w:before="80" w:after="120"/>
                    <w:rPr>
                      <w:rFonts w:cs="Arial"/>
                    </w:rPr>
                  </w:pPr>
                  <w:r w:rsidRPr="00080443">
                    <w:rPr>
                      <w:rFonts w:cs="Arial"/>
                    </w:rPr>
                    <w:t xml:space="preserve">Chapter 4 of the </w:t>
                  </w:r>
                  <w:r w:rsidR="00F916B7" w:rsidRPr="00080443">
                    <w:rPr>
                      <w:rFonts w:cs="Arial"/>
                      <w:i/>
                    </w:rPr>
                    <w:t>A</w:t>
                  </w:r>
                  <w:r w:rsidR="00ED13FC" w:rsidRPr="00080443">
                    <w:rPr>
                      <w:rFonts w:cs="Arial"/>
                      <w:i/>
                    </w:rPr>
                    <w:t>uction guide</w:t>
                  </w:r>
                  <w:r w:rsidR="00ED13FC" w:rsidRPr="00080443">
                    <w:rPr>
                      <w:rFonts w:cs="Arial"/>
                    </w:rPr>
                    <w:t xml:space="preserve"> </w:t>
                  </w:r>
                  <w:r w:rsidRPr="00080443">
                    <w:rPr>
                      <w:rFonts w:cs="Arial"/>
                    </w:rPr>
                    <w:t xml:space="preserve">provides a step-by-step guide to participating in the auction. </w:t>
                  </w:r>
                </w:p>
                <w:p w14:paraId="28352007" w14:textId="77777777" w:rsidR="00A34828" w:rsidRPr="00080443" w:rsidRDefault="00A34828" w:rsidP="004071DE">
                  <w:pPr>
                    <w:spacing w:before="80" w:after="120"/>
                    <w:rPr>
                      <w:rFonts w:cs="Arial"/>
                    </w:rPr>
                  </w:pPr>
                  <w:r w:rsidRPr="00080443">
                    <w:rPr>
                      <w:rFonts w:cs="Arial"/>
                    </w:rPr>
                    <w:t xml:space="preserve">It </w:t>
                  </w:r>
                  <w:r w:rsidR="008119CE" w:rsidRPr="00080443">
                    <w:rPr>
                      <w:rFonts w:cs="Arial"/>
                    </w:rPr>
                    <w:t xml:space="preserve">guides </w:t>
                  </w:r>
                  <w:r w:rsidRPr="00080443">
                    <w:rPr>
                      <w:rFonts w:cs="Arial"/>
                    </w:rPr>
                    <w:t xml:space="preserve">prospective bidders through auction-related activities, from the </w:t>
                  </w:r>
                  <w:r w:rsidR="003E75F0" w:rsidRPr="00080443">
                    <w:rPr>
                      <w:rFonts w:cs="Arial"/>
                    </w:rPr>
                    <w:t xml:space="preserve">opening of applications </w:t>
                  </w:r>
                  <w:r w:rsidRPr="00080443">
                    <w:rPr>
                      <w:rFonts w:cs="Arial"/>
                    </w:rPr>
                    <w:t>to the issuing of licences to winning bidders</w:t>
                  </w:r>
                  <w:r w:rsidR="004071DE" w:rsidRPr="00080443">
                    <w:rPr>
                      <w:rFonts w:cs="Arial"/>
                    </w:rPr>
                    <w:t>—</w:t>
                  </w:r>
                  <w:r w:rsidR="0080286C" w:rsidRPr="00080443">
                    <w:rPr>
                      <w:rFonts w:cs="Arial"/>
                    </w:rPr>
                    <w:t xml:space="preserve">including an explanation of the </w:t>
                  </w:r>
                  <w:r w:rsidR="00ED13FC" w:rsidRPr="00080443">
                    <w:rPr>
                      <w:rFonts w:cs="Arial"/>
                    </w:rPr>
                    <w:t>forms, payments and deadlines associated with the bidder registration process</w:t>
                  </w:r>
                  <w:r w:rsidR="0080286C" w:rsidRPr="00080443">
                    <w:rPr>
                      <w:rFonts w:cs="Arial"/>
                    </w:rPr>
                    <w:t xml:space="preserve">. It also provides </w:t>
                  </w:r>
                  <w:r w:rsidRPr="00080443">
                    <w:rPr>
                      <w:rFonts w:cs="Arial"/>
                    </w:rPr>
                    <w:t xml:space="preserve">references to more detailed information and instructions, as appropriate. </w:t>
                  </w:r>
                </w:p>
              </w:tc>
              <w:tc>
                <w:tcPr>
                  <w:tcW w:w="1412" w:type="dxa"/>
                </w:tcPr>
                <w:p w14:paraId="191A772D" w14:textId="77777777" w:rsidR="00C36B5F" w:rsidRPr="00080443" w:rsidRDefault="008119CE">
                  <w:pPr>
                    <w:spacing w:before="80"/>
                    <w:rPr>
                      <w:rFonts w:cs="Arial"/>
                    </w:rPr>
                  </w:pPr>
                  <w:r w:rsidRPr="00080443">
                    <w:rPr>
                      <w:rFonts w:cs="Arial"/>
                    </w:rPr>
                    <w:t>c</w:t>
                  </w:r>
                  <w:r w:rsidR="00A34828" w:rsidRPr="00080443">
                    <w:rPr>
                      <w:rFonts w:cs="Arial"/>
                    </w:rPr>
                    <w:t>h.4</w:t>
                  </w:r>
                </w:p>
              </w:tc>
            </w:tr>
          </w:tbl>
          <w:p w14:paraId="5C267203" w14:textId="77777777" w:rsidR="00A34828" w:rsidRPr="00080443" w:rsidRDefault="00A34828" w:rsidP="00A34828">
            <w:pPr>
              <w:rPr>
                <w:rFonts w:cs="Arial"/>
              </w:rPr>
            </w:pPr>
          </w:p>
        </w:tc>
      </w:tr>
      <w:tr w:rsidR="00A34828" w:rsidRPr="00080443" w14:paraId="651F47B9" w14:textId="77777777" w:rsidTr="00A34828">
        <w:trPr>
          <w:trHeight w:val="291"/>
        </w:trPr>
        <w:tc>
          <w:tcPr>
            <w:tcW w:w="9645" w:type="dxa"/>
            <w:tcBorders>
              <w:bottom w:val="single" w:sz="2" w:space="0" w:color="505050"/>
            </w:tcBorders>
            <w:shd w:val="clear" w:color="auto" w:fill="auto"/>
          </w:tcPr>
          <w:p w14:paraId="36C2AACD" w14:textId="77777777" w:rsidR="00A34828" w:rsidRPr="00080443" w:rsidRDefault="00A34828" w:rsidP="00A34828">
            <w:pPr>
              <w:rPr>
                <w:rFonts w:cs="Arial"/>
              </w:rPr>
            </w:pPr>
          </w:p>
        </w:tc>
      </w:tr>
    </w:tbl>
    <w:p w14:paraId="7C0F6875" w14:textId="77777777" w:rsidR="008A60B8" w:rsidRPr="00080443" w:rsidRDefault="008A60B8" w:rsidP="008A60B8">
      <w:pPr>
        <w:spacing w:before="80" w:after="120"/>
        <w:rPr>
          <w:rFonts w:cs="Arial"/>
          <w:b/>
        </w:rPr>
      </w:pPr>
    </w:p>
    <w:p w14:paraId="7627520D" w14:textId="77777777" w:rsidR="008A60B8" w:rsidRPr="00080443" w:rsidRDefault="008A60B8" w:rsidP="005662A7">
      <w:pPr>
        <w:pStyle w:val="Heading1"/>
        <w:numPr>
          <w:ilvl w:val="0"/>
          <w:numId w:val="0"/>
        </w:numPr>
        <w:ind w:left="432" w:hanging="432"/>
      </w:pPr>
      <w:bookmarkStart w:id="5" w:name="_Toc335246221"/>
      <w:bookmarkStart w:id="6" w:name="_Toc343780430"/>
      <w:r w:rsidRPr="00080443">
        <w:lastRenderedPageBreak/>
        <w:t>K</w:t>
      </w:r>
      <w:r w:rsidR="009079FE" w:rsidRPr="00080443">
        <w:t>ey dates</w:t>
      </w:r>
      <w:bookmarkEnd w:id="5"/>
      <w:bookmarkEnd w:id="6"/>
    </w:p>
    <w:tbl>
      <w:tblPr>
        <w:tblW w:w="9645" w:type="dxa"/>
        <w:tblLayout w:type="fixed"/>
        <w:tblCellMar>
          <w:left w:w="0" w:type="dxa"/>
          <w:right w:w="0" w:type="dxa"/>
        </w:tblCellMar>
        <w:tblLook w:val="01E0" w:firstRow="1" w:lastRow="1" w:firstColumn="1" w:lastColumn="1" w:noHBand="0" w:noVBand="0"/>
      </w:tblPr>
      <w:tblGrid>
        <w:gridCol w:w="9645"/>
      </w:tblGrid>
      <w:tr w:rsidR="009079FE" w:rsidRPr="00080443" w14:paraId="2249DDF7" w14:textId="77777777" w:rsidTr="009079FE">
        <w:trPr>
          <w:trHeight w:val="70"/>
        </w:trPr>
        <w:tc>
          <w:tcPr>
            <w:tcW w:w="9645" w:type="dxa"/>
            <w:tcBorders>
              <w:top w:val="single" w:sz="2" w:space="0" w:color="505050"/>
            </w:tcBorders>
            <w:shd w:val="clear" w:color="auto" w:fill="auto"/>
            <w:vAlign w:val="center"/>
          </w:tcPr>
          <w:p w14:paraId="5D83BF2C" w14:textId="77777777" w:rsidR="009079FE" w:rsidRPr="00080443" w:rsidRDefault="009079FE" w:rsidP="009079FE">
            <w:pPr>
              <w:pStyle w:val="Caption"/>
              <w:rPr>
                <w:rFonts w:cs="Arial"/>
              </w:rPr>
            </w:pPr>
          </w:p>
        </w:tc>
      </w:tr>
      <w:tr w:rsidR="009079FE" w:rsidRPr="00080443" w14:paraId="4D448C19" w14:textId="77777777" w:rsidTr="009079FE">
        <w:trPr>
          <w:trHeight w:val="282"/>
        </w:trPr>
        <w:tc>
          <w:tcPr>
            <w:tcW w:w="9645" w:type="dxa"/>
            <w:shd w:val="clear" w:color="auto" w:fill="auto"/>
            <w:tcMar>
              <w:left w:w="28" w:type="dxa"/>
            </w:tcMar>
          </w:tcPr>
          <w:tbl>
            <w:tblPr>
              <w:tblStyle w:val="TableGrid"/>
              <w:tblW w:w="9465" w:type="dxa"/>
              <w:tblLayout w:type="fixed"/>
              <w:tblCellMar>
                <w:top w:w="28" w:type="dxa"/>
                <w:left w:w="57" w:type="dxa"/>
                <w:bottom w:w="28" w:type="dxa"/>
                <w:right w:w="57" w:type="dxa"/>
              </w:tblCellMar>
              <w:tblLook w:val="04A0" w:firstRow="1" w:lastRow="0" w:firstColumn="1" w:lastColumn="0" w:noHBand="0" w:noVBand="1"/>
            </w:tblPr>
            <w:tblGrid>
              <w:gridCol w:w="426"/>
              <w:gridCol w:w="5921"/>
              <w:gridCol w:w="2159"/>
              <w:gridCol w:w="959"/>
            </w:tblGrid>
            <w:tr w:rsidR="009079FE" w:rsidRPr="00080443" w14:paraId="0F26D2EF" w14:textId="77777777" w:rsidTr="004D411C">
              <w:tc>
                <w:tcPr>
                  <w:tcW w:w="426" w:type="dxa"/>
                  <w:tcBorders>
                    <w:top w:val="nil"/>
                    <w:left w:val="nil"/>
                  </w:tcBorders>
                  <w:shd w:val="clear" w:color="auto" w:fill="auto"/>
                </w:tcPr>
                <w:p w14:paraId="06D5248D" w14:textId="77777777" w:rsidR="009079FE" w:rsidRPr="00080443" w:rsidRDefault="009079FE" w:rsidP="009079FE">
                  <w:pPr>
                    <w:spacing w:before="80" w:after="120"/>
                    <w:rPr>
                      <w:rFonts w:cs="Arial"/>
                      <w:b/>
                    </w:rPr>
                  </w:pPr>
                </w:p>
              </w:tc>
              <w:tc>
                <w:tcPr>
                  <w:tcW w:w="5921" w:type="dxa"/>
                  <w:shd w:val="clear" w:color="auto" w:fill="D9D9D9" w:themeFill="background1" w:themeFillShade="D9"/>
                </w:tcPr>
                <w:p w14:paraId="39E7E434" w14:textId="77777777" w:rsidR="009079FE" w:rsidRPr="00080443" w:rsidRDefault="009079FE" w:rsidP="009079FE">
                  <w:pPr>
                    <w:spacing w:before="80" w:after="120"/>
                    <w:rPr>
                      <w:rFonts w:cs="Arial"/>
                      <w:b/>
                    </w:rPr>
                  </w:pPr>
                  <w:r w:rsidRPr="00080443">
                    <w:rPr>
                      <w:rFonts w:cs="Arial"/>
                      <w:b/>
                    </w:rPr>
                    <w:t>Event</w:t>
                  </w:r>
                </w:p>
              </w:tc>
              <w:tc>
                <w:tcPr>
                  <w:tcW w:w="2159" w:type="dxa"/>
                  <w:shd w:val="clear" w:color="auto" w:fill="D9D9D9" w:themeFill="background1" w:themeFillShade="D9"/>
                </w:tcPr>
                <w:p w14:paraId="102A7476" w14:textId="77777777" w:rsidR="009079FE" w:rsidRPr="00080443" w:rsidRDefault="009079FE" w:rsidP="009079FE">
                  <w:pPr>
                    <w:spacing w:before="80" w:after="120"/>
                    <w:rPr>
                      <w:rFonts w:cs="Arial"/>
                      <w:b/>
                    </w:rPr>
                  </w:pPr>
                  <w:r w:rsidRPr="00080443">
                    <w:rPr>
                      <w:rFonts w:cs="Arial"/>
                      <w:b/>
                    </w:rPr>
                    <w:t>Date</w:t>
                  </w:r>
                </w:p>
              </w:tc>
              <w:tc>
                <w:tcPr>
                  <w:tcW w:w="959" w:type="dxa"/>
                  <w:shd w:val="clear" w:color="auto" w:fill="D9D9D9" w:themeFill="background1" w:themeFillShade="D9"/>
                </w:tcPr>
                <w:p w14:paraId="47C296FA" w14:textId="77777777" w:rsidR="009079FE" w:rsidRPr="00080443" w:rsidRDefault="009079FE" w:rsidP="009079FE">
                  <w:pPr>
                    <w:spacing w:before="80" w:after="120"/>
                    <w:rPr>
                      <w:rFonts w:cs="Arial"/>
                      <w:b/>
                    </w:rPr>
                  </w:pPr>
                  <w:r w:rsidRPr="00080443">
                    <w:rPr>
                      <w:rFonts w:cs="Arial"/>
                      <w:b/>
                    </w:rPr>
                    <w:t>Further info.</w:t>
                  </w:r>
                </w:p>
              </w:tc>
            </w:tr>
            <w:tr w:rsidR="009079FE" w:rsidRPr="00080443" w14:paraId="62B32913" w14:textId="77777777" w:rsidTr="004D411C">
              <w:tc>
                <w:tcPr>
                  <w:tcW w:w="426" w:type="dxa"/>
                </w:tcPr>
                <w:p w14:paraId="5F76D3B1"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6CA42855" w14:textId="77777777" w:rsidR="009079FE" w:rsidRPr="00080443" w:rsidRDefault="008119CE" w:rsidP="00C036A0">
                  <w:pPr>
                    <w:spacing w:before="80" w:after="120"/>
                    <w:rPr>
                      <w:rFonts w:cs="Arial"/>
                    </w:rPr>
                  </w:pPr>
                  <w:r w:rsidRPr="00080443">
                    <w:rPr>
                      <w:rFonts w:cs="Arial"/>
                    </w:rPr>
                    <w:t xml:space="preserve">The </w:t>
                  </w:r>
                  <w:r w:rsidR="009079FE" w:rsidRPr="00080443">
                    <w:rPr>
                      <w:rFonts w:cs="Arial"/>
                    </w:rPr>
                    <w:t>ACMA advertises auction</w:t>
                  </w:r>
                  <w:r w:rsidR="00C036A0" w:rsidRPr="00080443">
                    <w:rPr>
                      <w:rFonts w:cs="Arial"/>
                    </w:rPr>
                    <w:t>,</w:t>
                  </w:r>
                  <w:r w:rsidR="00A319F0" w:rsidRPr="00080443">
                    <w:rPr>
                      <w:rFonts w:cs="Arial"/>
                    </w:rPr>
                    <w:t xml:space="preserve"> publishes the </w:t>
                  </w:r>
                  <w:r w:rsidR="00A319F0" w:rsidRPr="00080443">
                    <w:rPr>
                      <w:rFonts w:cs="Arial"/>
                      <w:i/>
                    </w:rPr>
                    <w:t>A</w:t>
                  </w:r>
                  <w:r w:rsidR="004B24F3" w:rsidRPr="00080443">
                    <w:rPr>
                      <w:rFonts w:cs="Arial"/>
                      <w:i/>
                    </w:rPr>
                    <w:t>pplicant information package</w:t>
                  </w:r>
                  <w:r w:rsidR="00C036A0" w:rsidRPr="00080443">
                    <w:rPr>
                      <w:rFonts w:cs="Arial"/>
                    </w:rPr>
                    <w:t xml:space="preserve"> and</w:t>
                  </w:r>
                  <w:r w:rsidR="009079FE" w:rsidRPr="00080443">
                    <w:rPr>
                      <w:rFonts w:cs="Arial"/>
                    </w:rPr>
                    <w:t xml:space="preserve"> applications open</w:t>
                  </w:r>
                  <w:r w:rsidR="00C036A0" w:rsidRPr="00080443">
                    <w:rPr>
                      <w:rFonts w:cs="Arial"/>
                    </w:rPr>
                    <w:t>.</w:t>
                  </w:r>
                </w:p>
              </w:tc>
              <w:tc>
                <w:tcPr>
                  <w:tcW w:w="2159" w:type="dxa"/>
                </w:tcPr>
                <w:p w14:paraId="70AC2875" w14:textId="77777777" w:rsidR="009079FE" w:rsidRPr="00080443" w:rsidRDefault="0076273E" w:rsidP="0022477C">
                  <w:pPr>
                    <w:spacing w:before="80" w:after="120"/>
                    <w:rPr>
                      <w:rFonts w:cs="Arial"/>
                    </w:rPr>
                  </w:pPr>
                  <w:r w:rsidRPr="00080443">
                    <w:rPr>
                      <w:rFonts w:cs="Arial"/>
                    </w:rPr>
                    <w:t xml:space="preserve">Thurs </w:t>
                  </w:r>
                  <w:r w:rsidR="0022477C" w:rsidRPr="00080443">
                    <w:rPr>
                      <w:rFonts w:cs="Arial"/>
                    </w:rPr>
                    <w:t>3 Jan 2013</w:t>
                  </w:r>
                </w:p>
              </w:tc>
              <w:tc>
                <w:tcPr>
                  <w:tcW w:w="959" w:type="dxa"/>
                </w:tcPr>
                <w:p w14:paraId="1798F9C8" w14:textId="77777777" w:rsidR="009079FE" w:rsidRPr="00080443" w:rsidRDefault="009079FE" w:rsidP="009079FE">
                  <w:pPr>
                    <w:spacing w:before="80" w:after="120"/>
                    <w:rPr>
                      <w:rFonts w:cs="Arial"/>
                    </w:rPr>
                  </w:pPr>
                </w:p>
              </w:tc>
            </w:tr>
            <w:tr w:rsidR="009079FE" w:rsidRPr="00080443" w14:paraId="6AFA4DA3" w14:textId="77777777" w:rsidTr="004D411C">
              <w:tc>
                <w:tcPr>
                  <w:tcW w:w="426" w:type="dxa"/>
                </w:tcPr>
                <w:p w14:paraId="0E3B9951"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1F7582FB" w14:textId="77777777" w:rsidR="009079FE" w:rsidRPr="00080443" w:rsidRDefault="008119CE" w:rsidP="00C95C3B">
                  <w:pPr>
                    <w:spacing w:before="80" w:after="120"/>
                    <w:rPr>
                      <w:rFonts w:cs="Arial"/>
                      <w:color w:val="000000" w:themeColor="text1"/>
                    </w:rPr>
                  </w:pPr>
                  <w:r w:rsidRPr="00080443">
                    <w:rPr>
                      <w:rFonts w:cs="Arial"/>
                    </w:rPr>
                    <w:t xml:space="preserve">The </w:t>
                  </w:r>
                  <w:r w:rsidR="009079FE" w:rsidRPr="00080443">
                    <w:rPr>
                      <w:rFonts w:cs="Arial"/>
                    </w:rPr>
                    <w:t>ACMA publishes lot ratings</w:t>
                  </w:r>
                  <w:r w:rsidR="00B6335F" w:rsidRPr="00080443">
                    <w:rPr>
                      <w:rFonts w:cs="Arial"/>
                    </w:rPr>
                    <w:t>, dollar value of initial eligibility</w:t>
                  </w:r>
                  <w:r w:rsidR="00C95C3B" w:rsidRPr="00080443">
                    <w:rPr>
                      <w:rFonts w:cs="Arial"/>
                    </w:rPr>
                    <w:t xml:space="preserve"> points,</w:t>
                  </w:r>
                  <w:r w:rsidR="00D75764" w:rsidRPr="00080443">
                    <w:rPr>
                      <w:rFonts w:cs="Arial"/>
                    </w:rPr>
                    <w:t xml:space="preserve"> </w:t>
                  </w:r>
                  <w:r w:rsidR="00C3141D" w:rsidRPr="00080443">
                    <w:rPr>
                      <w:rFonts w:cs="Arial"/>
                    </w:rPr>
                    <w:t xml:space="preserve">initial (reserve) prices and </w:t>
                  </w:r>
                  <w:r w:rsidR="00D75764" w:rsidRPr="00080443">
                    <w:rPr>
                      <w:rFonts w:cs="Arial"/>
                    </w:rPr>
                    <w:t>eligibility nomination form</w:t>
                  </w:r>
                  <w:r w:rsidR="00C036A0" w:rsidRPr="00080443">
                    <w:rPr>
                      <w:rFonts w:cs="Arial"/>
                    </w:rPr>
                    <w:t>.</w:t>
                  </w:r>
                </w:p>
              </w:tc>
              <w:tc>
                <w:tcPr>
                  <w:tcW w:w="2159" w:type="dxa"/>
                </w:tcPr>
                <w:p w14:paraId="7A2EA6C1" w14:textId="77777777" w:rsidR="009079FE" w:rsidRPr="00080443" w:rsidRDefault="00B6335F" w:rsidP="00487401">
                  <w:pPr>
                    <w:spacing w:before="80" w:after="120"/>
                    <w:rPr>
                      <w:rFonts w:cs="Arial"/>
                      <w:highlight w:val="yellow"/>
                    </w:rPr>
                  </w:pPr>
                  <w:r w:rsidRPr="00080443">
                    <w:rPr>
                      <w:rFonts w:cs="Arial"/>
                    </w:rPr>
                    <w:t>No</w:t>
                  </w:r>
                  <w:r w:rsidR="00487401" w:rsidRPr="00080443">
                    <w:rPr>
                      <w:rFonts w:cs="Arial"/>
                    </w:rPr>
                    <w:t xml:space="preserve"> later </w:t>
                  </w:r>
                  <w:r w:rsidR="00C95C3B" w:rsidRPr="00080443">
                    <w:rPr>
                      <w:rFonts w:cs="Arial"/>
                    </w:rPr>
                    <w:t xml:space="preserve">than 70 </w:t>
                  </w:r>
                  <w:r w:rsidRPr="00080443">
                    <w:rPr>
                      <w:rFonts w:cs="Arial"/>
                    </w:rPr>
                    <w:t>days after auction is advertised</w:t>
                  </w:r>
                  <w:r w:rsidR="0076273E" w:rsidRPr="00080443">
                    <w:rPr>
                      <w:rFonts w:cs="Arial"/>
                    </w:rPr>
                    <w:t xml:space="preserve"> </w:t>
                  </w:r>
                </w:p>
              </w:tc>
              <w:tc>
                <w:tcPr>
                  <w:tcW w:w="959" w:type="dxa"/>
                </w:tcPr>
                <w:p w14:paraId="6AC03691" w14:textId="77777777" w:rsidR="009079FE" w:rsidRPr="00080443" w:rsidRDefault="009079FE" w:rsidP="009079FE">
                  <w:pPr>
                    <w:spacing w:before="80" w:after="120"/>
                    <w:rPr>
                      <w:rFonts w:cs="Arial"/>
                    </w:rPr>
                  </w:pPr>
                  <w:r w:rsidRPr="00080443">
                    <w:rPr>
                      <w:rFonts w:cs="Arial"/>
                    </w:rPr>
                    <w:t>3.2.3</w:t>
                  </w:r>
                  <w:r w:rsidR="0037586E" w:rsidRPr="00080443">
                    <w:rPr>
                      <w:rFonts w:cs="Arial"/>
                    </w:rPr>
                    <w:t xml:space="preserve"> </w:t>
                  </w:r>
                  <w:r w:rsidR="00EB4E46" w:rsidRPr="00080443">
                    <w:rPr>
                      <w:rFonts w:cs="Arial"/>
                    </w:rPr>
                    <w:t xml:space="preserve">&amp; </w:t>
                  </w:r>
                  <w:r w:rsidR="0037586E" w:rsidRPr="00080443">
                    <w:rPr>
                      <w:rFonts w:cs="Arial"/>
                    </w:rPr>
                    <w:t>3.2.4</w:t>
                  </w:r>
                </w:p>
              </w:tc>
            </w:tr>
            <w:tr w:rsidR="009079FE" w:rsidRPr="00080443" w14:paraId="1FC2833B" w14:textId="77777777" w:rsidTr="004D411C">
              <w:tc>
                <w:tcPr>
                  <w:tcW w:w="426" w:type="dxa"/>
                </w:tcPr>
                <w:p w14:paraId="1F8154D0"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3F9F66EF" w14:textId="77777777" w:rsidR="009079FE" w:rsidRPr="00080443" w:rsidRDefault="009079FE" w:rsidP="005435A1">
                  <w:pPr>
                    <w:spacing w:before="80" w:after="120"/>
                    <w:rPr>
                      <w:rFonts w:cs="Arial"/>
                    </w:rPr>
                  </w:pPr>
                  <w:r w:rsidRPr="00080443">
                    <w:rPr>
                      <w:rFonts w:cs="Arial"/>
                    </w:rPr>
                    <w:t>Application deadline</w:t>
                  </w:r>
                  <w:r w:rsidR="008119CE" w:rsidRPr="00080443">
                    <w:rPr>
                      <w:rFonts w:cs="Arial"/>
                    </w:rPr>
                    <w:t>. B</w:t>
                  </w:r>
                  <w:r w:rsidR="006D6B51" w:rsidRPr="00080443">
                    <w:rPr>
                      <w:rFonts w:cs="Arial"/>
                    </w:rPr>
                    <w:t>y this date, applicants will need to:</w:t>
                  </w:r>
                </w:p>
                <w:p w14:paraId="613CC194" w14:textId="77777777" w:rsidR="009079FE" w:rsidRPr="00080443" w:rsidRDefault="00E32539" w:rsidP="005B6C76">
                  <w:pPr>
                    <w:pStyle w:val="ListParagraph"/>
                    <w:numPr>
                      <w:ilvl w:val="0"/>
                      <w:numId w:val="8"/>
                    </w:numPr>
                    <w:spacing w:before="80" w:after="60" w:line="240" w:lineRule="auto"/>
                    <w:ind w:left="357" w:hanging="357"/>
                    <w:contextualSpacing w:val="0"/>
                    <w:rPr>
                      <w:rFonts w:ascii="Arial" w:hAnsi="Arial" w:cs="Arial"/>
                      <w:sz w:val="20"/>
                      <w:szCs w:val="20"/>
                    </w:rPr>
                  </w:pPr>
                  <w:r w:rsidRPr="00080443">
                    <w:rPr>
                      <w:rFonts w:ascii="Arial" w:hAnsi="Arial" w:cs="Arial"/>
                      <w:sz w:val="20"/>
                      <w:szCs w:val="20"/>
                    </w:rPr>
                    <w:t xml:space="preserve">submit a </w:t>
                  </w:r>
                  <w:r w:rsidR="00104B5D" w:rsidRPr="00080443">
                    <w:rPr>
                      <w:rFonts w:ascii="Arial" w:hAnsi="Arial" w:cs="Arial"/>
                      <w:sz w:val="20"/>
                      <w:szCs w:val="20"/>
                    </w:rPr>
                    <w:t xml:space="preserve">completed </w:t>
                  </w:r>
                  <w:r w:rsidR="009079FE" w:rsidRPr="00080443">
                    <w:rPr>
                      <w:rFonts w:ascii="Arial" w:hAnsi="Arial" w:cs="Arial"/>
                      <w:sz w:val="20"/>
                      <w:szCs w:val="20"/>
                    </w:rPr>
                    <w:t>application form</w:t>
                  </w:r>
                </w:p>
                <w:p w14:paraId="72DB3409" w14:textId="77777777" w:rsidR="009079FE" w:rsidRPr="00080443" w:rsidRDefault="009079FE" w:rsidP="005B6C76">
                  <w:pPr>
                    <w:pStyle w:val="ListParagraph"/>
                    <w:numPr>
                      <w:ilvl w:val="0"/>
                      <w:numId w:val="8"/>
                    </w:numPr>
                    <w:spacing w:before="80" w:after="60" w:line="240" w:lineRule="auto"/>
                    <w:ind w:left="357" w:hanging="357"/>
                    <w:contextualSpacing w:val="0"/>
                    <w:rPr>
                      <w:rFonts w:ascii="Arial" w:hAnsi="Arial" w:cs="Arial"/>
                      <w:sz w:val="20"/>
                      <w:szCs w:val="20"/>
                    </w:rPr>
                  </w:pPr>
                  <w:r w:rsidRPr="00080443">
                    <w:rPr>
                      <w:rFonts w:ascii="Arial" w:hAnsi="Arial" w:cs="Arial"/>
                      <w:sz w:val="20"/>
                      <w:szCs w:val="20"/>
                    </w:rPr>
                    <w:t xml:space="preserve">submit a </w:t>
                  </w:r>
                  <w:r w:rsidR="00104B5D" w:rsidRPr="00080443">
                    <w:rPr>
                      <w:rFonts w:ascii="Arial" w:hAnsi="Arial" w:cs="Arial"/>
                      <w:sz w:val="20"/>
                      <w:szCs w:val="20"/>
                    </w:rPr>
                    <w:t xml:space="preserve">completed </w:t>
                  </w:r>
                  <w:r w:rsidRPr="00080443">
                    <w:rPr>
                      <w:rFonts w:ascii="Arial" w:hAnsi="Arial" w:cs="Arial"/>
                      <w:sz w:val="20"/>
                      <w:szCs w:val="20"/>
                    </w:rPr>
                    <w:t>deed of acknowledgement form</w:t>
                  </w:r>
                </w:p>
                <w:p w14:paraId="5E684556" w14:textId="77777777" w:rsidR="009079FE" w:rsidRPr="00080443" w:rsidRDefault="009079FE" w:rsidP="005B6C76">
                  <w:pPr>
                    <w:pStyle w:val="ListParagraph"/>
                    <w:numPr>
                      <w:ilvl w:val="0"/>
                      <w:numId w:val="8"/>
                    </w:numPr>
                    <w:spacing w:before="80" w:after="60" w:line="240" w:lineRule="auto"/>
                    <w:ind w:left="357" w:hanging="357"/>
                    <w:contextualSpacing w:val="0"/>
                    <w:rPr>
                      <w:rFonts w:ascii="Arial" w:hAnsi="Arial" w:cs="Arial"/>
                      <w:sz w:val="20"/>
                      <w:szCs w:val="20"/>
                    </w:rPr>
                  </w:pPr>
                  <w:r w:rsidRPr="00080443">
                    <w:rPr>
                      <w:rFonts w:ascii="Arial" w:hAnsi="Arial" w:cs="Arial"/>
                      <w:sz w:val="20"/>
                      <w:szCs w:val="20"/>
                    </w:rPr>
                    <w:t xml:space="preserve">submit a </w:t>
                  </w:r>
                  <w:r w:rsidR="00104B5D" w:rsidRPr="00080443">
                    <w:rPr>
                      <w:rFonts w:ascii="Arial" w:hAnsi="Arial" w:cs="Arial"/>
                      <w:sz w:val="20"/>
                      <w:szCs w:val="20"/>
                    </w:rPr>
                    <w:t xml:space="preserve">completed </w:t>
                  </w:r>
                  <w:r w:rsidRPr="00080443">
                    <w:rPr>
                      <w:rFonts w:ascii="Arial" w:hAnsi="Arial" w:cs="Arial"/>
                      <w:sz w:val="20"/>
                      <w:szCs w:val="20"/>
                    </w:rPr>
                    <w:t>deed of confidentiality form</w:t>
                  </w:r>
                </w:p>
                <w:p w14:paraId="6138EF0C" w14:textId="77777777" w:rsidR="009079FE" w:rsidRPr="00080443" w:rsidRDefault="009079FE" w:rsidP="00C036A0">
                  <w:pPr>
                    <w:pStyle w:val="ListParagraph"/>
                    <w:numPr>
                      <w:ilvl w:val="0"/>
                      <w:numId w:val="8"/>
                    </w:numPr>
                    <w:spacing w:before="80" w:after="60" w:line="240" w:lineRule="auto"/>
                    <w:ind w:left="357" w:hanging="357"/>
                    <w:contextualSpacing w:val="0"/>
                    <w:rPr>
                      <w:rFonts w:ascii="Arial" w:hAnsi="Arial" w:cs="Arial"/>
                    </w:rPr>
                  </w:pPr>
                  <w:r w:rsidRPr="00080443">
                    <w:rPr>
                      <w:rFonts w:ascii="Arial" w:hAnsi="Arial" w:cs="Arial"/>
                      <w:sz w:val="20"/>
                      <w:szCs w:val="20"/>
                    </w:rPr>
                    <w:t>pay the application fee</w:t>
                  </w:r>
                  <w:r w:rsidR="00C036A0" w:rsidRPr="00080443">
                    <w:rPr>
                      <w:rFonts w:ascii="Arial" w:hAnsi="Arial" w:cs="Arial"/>
                      <w:sz w:val="20"/>
                      <w:szCs w:val="20"/>
                    </w:rPr>
                    <w:t>.</w:t>
                  </w:r>
                </w:p>
              </w:tc>
              <w:tc>
                <w:tcPr>
                  <w:tcW w:w="2159" w:type="dxa"/>
                </w:tcPr>
                <w:p w14:paraId="60379465" w14:textId="77777777" w:rsidR="009079FE" w:rsidRPr="00080443" w:rsidRDefault="0022477C" w:rsidP="003E68D1">
                  <w:pPr>
                    <w:spacing w:before="80" w:after="120"/>
                    <w:rPr>
                      <w:rFonts w:cs="Arial"/>
                    </w:rPr>
                  </w:pPr>
                  <w:r w:rsidRPr="00080443">
                    <w:rPr>
                      <w:rFonts w:cs="Arial"/>
                    </w:rPr>
                    <w:t>T</w:t>
                  </w:r>
                  <w:r w:rsidR="003E68D1" w:rsidRPr="00080443">
                    <w:rPr>
                      <w:rFonts w:cs="Arial"/>
                    </w:rPr>
                    <w:t>hurs 24</w:t>
                  </w:r>
                  <w:r w:rsidRPr="00080443">
                    <w:rPr>
                      <w:rFonts w:cs="Arial"/>
                    </w:rPr>
                    <w:t xml:space="preserve"> Jan 2013</w:t>
                  </w:r>
                </w:p>
              </w:tc>
              <w:tc>
                <w:tcPr>
                  <w:tcW w:w="959" w:type="dxa"/>
                </w:tcPr>
                <w:p w14:paraId="4F44DC41" w14:textId="77777777" w:rsidR="009079FE" w:rsidRPr="00080443" w:rsidRDefault="00752482" w:rsidP="00752482">
                  <w:pPr>
                    <w:spacing w:before="80" w:after="120"/>
                    <w:rPr>
                      <w:rFonts w:cs="Arial"/>
                    </w:rPr>
                  </w:pPr>
                  <w:r w:rsidRPr="00080443">
                    <w:rPr>
                      <w:rFonts w:cs="Arial"/>
                    </w:rPr>
                    <w:t>4.3.1</w:t>
                  </w:r>
                </w:p>
              </w:tc>
            </w:tr>
            <w:tr w:rsidR="009079FE" w:rsidRPr="00080443" w14:paraId="10A0EE8D" w14:textId="77777777" w:rsidTr="004D411C">
              <w:tc>
                <w:tcPr>
                  <w:tcW w:w="426" w:type="dxa"/>
                </w:tcPr>
                <w:p w14:paraId="04312B34"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6D532947" w14:textId="77777777" w:rsidR="009079FE" w:rsidRPr="00080443" w:rsidRDefault="008119CE" w:rsidP="009079FE">
                  <w:pPr>
                    <w:spacing w:before="80" w:after="120"/>
                    <w:rPr>
                      <w:rFonts w:cs="Arial"/>
                    </w:rPr>
                  </w:pPr>
                  <w:r w:rsidRPr="00080443">
                    <w:rPr>
                      <w:rFonts w:cs="Arial"/>
                    </w:rPr>
                    <w:t xml:space="preserve">The </w:t>
                  </w:r>
                  <w:r w:rsidR="009079FE" w:rsidRPr="00080443">
                    <w:rPr>
                      <w:rFonts w:cs="Arial"/>
                    </w:rPr>
                    <w:t>ACMA gives each applicant details about</w:t>
                  </w:r>
                  <w:r w:rsidRPr="00080443">
                    <w:rPr>
                      <w:rFonts w:cs="Arial"/>
                    </w:rPr>
                    <w:t xml:space="preserve"> the</w:t>
                  </w:r>
                  <w:r w:rsidR="009079FE" w:rsidRPr="00080443">
                    <w:rPr>
                      <w:rFonts w:cs="Arial"/>
                    </w:rPr>
                    <w:t xml:space="preserve"> identity of all other applicants and their associates, and asks each applicant to make a statutory declaration about whether they are affiliated with another applicant</w:t>
                  </w:r>
                  <w:r w:rsidRPr="00080443">
                    <w:rPr>
                      <w:rFonts w:cs="Arial"/>
                    </w:rPr>
                    <w:t>.</w:t>
                  </w:r>
                </w:p>
              </w:tc>
              <w:tc>
                <w:tcPr>
                  <w:tcW w:w="2159" w:type="dxa"/>
                </w:tcPr>
                <w:p w14:paraId="2A637C42" w14:textId="77777777" w:rsidR="009079FE" w:rsidRPr="00080443" w:rsidRDefault="009079FE" w:rsidP="009079FE">
                  <w:pPr>
                    <w:spacing w:before="80" w:after="120"/>
                    <w:rPr>
                      <w:rFonts w:cs="Arial"/>
                    </w:rPr>
                  </w:pPr>
                  <w:r w:rsidRPr="00080443">
                    <w:rPr>
                      <w:rFonts w:cs="Arial"/>
                    </w:rPr>
                    <w:t>After application deadline</w:t>
                  </w:r>
                </w:p>
              </w:tc>
              <w:tc>
                <w:tcPr>
                  <w:tcW w:w="959" w:type="dxa"/>
                </w:tcPr>
                <w:p w14:paraId="45A2C65E" w14:textId="77777777" w:rsidR="009079FE" w:rsidRPr="00080443" w:rsidRDefault="00752482" w:rsidP="00752482">
                  <w:pPr>
                    <w:spacing w:before="80" w:after="120"/>
                    <w:rPr>
                      <w:rFonts w:cs="Arial"/>
                    </w:rPr>
                  </w:pPr>
                  <w:r w:rsidRPr="00080443">
                    <w:rPr>
                      <w:rFonts w:cs="Arial"/>
                    </w:rPr>
                    <w:t>4.3.2</w:t>
                  </w:r>
                </w:p>
              </w:tc>
            </w:tr>
            <w:tr w:rsidR="009079FE" w:rsidRPr="00080443" w14:paraId="048FE66D" w14:textId="77777777" w:rsidTr="004D411C">
              <w:tc>
                <w:tcPr>
                  <w:tcW w:w="426" w:type="dxa"/>
                </w:tcPr>
                <w:p w14:paraId="08EC4801"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6B930B5A" w14:textId="77777777" w:rsidR="009079FE" w:rsidRPr="00080443" w:rsidRDefault="009079FE" w:rsidP="008119CE">
                  <w:pPr>
                    <w:spacing w:before="80" w:after="120"/>
                    <w:rPr>
                      <w:rFonts w:cs="Arial"/>
                    </w:rPr>
                  </w:pPr>
                  <w:r w:rsidRPr="00080443">
                    <w:rPr>
                      <w:rFonts w:cs="Arial"/>
                    </w:rPr>
                    <w:t>Deadline for statutory declarations requested under event #4</w:t>
                  </w:r>
                  <w:r w:rsidR="008119CE" w:rsidRPr="00080443">
                    <w:rPr>
                      <w:rFonts w:cs="Arial"/>
                    </w:rPr>
                    <w:t>.</w:t>
                  </w:r>
                </w:p>
              </w:tc>
              <w:tc>
                <w:tcPr>
                  <w:tcW w:w="2159" w:type="dxa"/>
                </w:tcPr>
                <w:p w14:paraId="0327765B" w14:textId="77777777" w:rsidR="009079FE" w:rsidRPr="00080443" w:rsidRDefault="009079FE" w:rsidP="009079FE">
                  <w:pPr>
                    <w:spacing w:before="80" w:after="120"/>
                    <w:rPr>
                      <w:rFonts w:cs="Arial"/>
                    </w:rPr>
                  </w:pPr>
                  <w:r w:rsidRPr="00080443">
                    <w:rPr>
                      <w:rFonts w:cs="Arial"/>
                    </w:rPr>
                    <w:t>Not less than 5 working days after request</w:t>
                  </w:r>
                </w:p>
              </w:tc>
              <w:tc>
                <w:tcPr>
                  <w:tcW w:w="959" w:type="dxa"/>
                </w:tcPr>
                <w:p w14:paraId="1BF441E0" w14:textId="77777777" w:rsidR="009079FE" w:rsidRPr="00080443" w:rsidRDefault="00752482" w:rsidP="00752482">
                  <w:pPr>
                    <w:spacing w:before="80" w:after="120"/>
                    <w:rPr>
                      <w:rFonts w:cs="Arial"/>
                    </w:rPr>
                  </w:pPr>
                  <w:r w:rsidRPr="00080443">
                    <w:rPr>
                      <w:rFonts w:cs="Arial"/>
                    </w:rPr>
                    <w:t>4.3.2</w:t>
                  </w:r>
                </w:p>
              </w:tc>
            </w:tr>
            <w:tr w:rsidR="009079FE" w:rsidRPr="00080443" w14:paraId="4FD85B66" w14:textId="77777777" w:rsidTr="004D411C">
              <w:trPr>
                <w:trHeight w:val="1079"/>
              </w:trPr>
              <w:tc>
                <w:tcPr>
                  <w:tcW w:w="426" w:type="dxa"/>
                </w:tcPr>
                <w:p w14:paraId="1F87A8FC"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326A86AB" w14:textId="77777777" w:rsidR="009079FE" w:rsidRPr="00080443" w:rsidRDefault="009079FE" w:rsidP="006235B9">
                  <w:pPr>
                    <w:spacing w:before="80" w:after="120"/>
                    <w:rPr>
                      <w:rFonts w:cs="Arial"/>
                    </w:rPr>
                  </w:pPr>
                  <w:r w:rsidRPr="00080443">
                    <w:rPr>
                      <w:rFonts w:cs="Arial"/>
                    </w:rPr>
                    <w:t>Deadline for any new applications submitted by applicants who</w:t>
                  </w:r>
                  <w:r w:rsidR="008119CE" w:rsidRPr="00080443">
                    <w:rPr>
                      <w:rFonts w:cs="Arial"/>
                    </w:rPr>
                    <w:t xml:space="preserve">m the ACMA has notified that it </w:t>
                  </w:r>
                  <w:r w:rsidR="006235B9" w:rsidRPr="00080443">
                    <w:rPr>
                      <w:rFonts w:cs="Arial"/>
                    </w:rPr>
                    <w:t xml:space="preserve">is satisfied </w:t>
                  </w:r>
                  <w:r w:rsidR="00F52527" w:rsidRPr="00080443">
                    <w:rPr>
                      <w:rFonts w:cs="Arial"/>
                    </w:rPr>
                    <w:t>are</w:t>
                  </w:r>
                  <w:r w:rsidRPr="00080443">
                    <w:rPr>
                      <w:rFonts w:cs="Arial"/>
                    </w:rPr>
                    <w:t xml:space="preserve"> affiliated</w:t>
                  </w:r>
                  <w:r w:rsidR="008119CE" w:rsidRPr="00080443">
                    <w:rPr>
                      <w:rFonts w:cs="Arial"/>
                    </w:rPr>
                    <w:t>.</w:t>
                  </w:r>
                </w:p>
              </w:tc>
              <w:tc>
                <w:tcPr>
                  <w:tcW w:w="2159" w:type="dxa"/>
                </w:tcPr>
                <w:p w14:paraId="3BBD0DA9" w14:textId="77777777" w:rsidR="009079FE" w:rsidRPr="00080443" w:rsidRDefault="009079FE" w:rsidP="009079FE">
                  <w:pPr>
                    <w:spacing w:before="80" w:after="120"/>
                    <w:rPr>
                      <w:rFonts w:cs="Arial"/>
                    </w:rPr>
                  </w:pPr>
                  <w:r w:rsidRPr="00080443">
                    <w:rPr>
                      <w:rFonts w:cs="Arial"/>
                    </w:rPr>
                    <w:t>Not more than 10 working days after notification</w:t>
                  </w:r>
                </w:p>
              </w:tc>
              <w:tc>
                <w:tcPr>
                  <w:tcW w:w="959" w:type="dxa"/>
                </w:tcPr>
                <w:p w14:paraId="5EC1E76E" w14:textId="77777777" w:rsidR="009079FE" w:rsidRPr="00080443" w:rsidRDefault="00752482" w:rsidP="00752482">
                  <w:pPr>
                    <w:spacing w:before="80" w:after="120"/>
                    <w:rPr>
                      <w:rFonts w:cs="Arial"/>
                    </w:rPr>
                  </w:pPr>
                  <w:r w:rsidRPr="00080443">
                    <w:rPr>
                      <w:rFonts w:cs="Arial"/>
                    </w:rPr>
                    <w:t>4.3.2</w:t>
                  </w:r>
                </w:p>
              </w:tc>
            </w:tr>
            <w:tr w:rsidR="009079FE" w:rsidRPr="00080443" w14:paraId="164E2686" w14:textId="77777777" w:rsidTr="004D411C">
              <w:tc>
                <w:tcPr>
                  <w:tcW w:w="426" w:type="dxa"/>
                </w:tcPr>
                <w:p w14:paraId="3A373C3C"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740E9E03" w14:textId="77777777" w:rsidR="009079FE" w:rsidRPr="00080443" w:rsidRDefault="009079FE" w:rsidP="009079FE">
                  <w:pPr>
                    <w:spacing w:before="80" w:after="120"/>
                    <w:rPr>
                      <w:rFonts w:cs="Arial"/>
                    </w:rPr>
                  </w:pPr>
                  <w:r w:rsidRPr="00080443">
                    <w:rPr>
                      <w:rFonts w:cs="Arial"/>
                    </w:rPr>
                    <w:t>First mock auction held, to acquaint prospective bidders with the auction system</w:t>
                  </w:r>
                  <w:r w:rsidR="008119CE" w:rsidRPr="00080443">
                    <w:rPr>
                      <w:rFonts w:cs="Arial"/>
                    </w:rPr>
                    <w:t>.</w:t>
                  </w:r>
                </w:p>
              </w:tc>
              <w:tc>
                <w:tcPr>
                  <w:tcW w:w="2159" w:type="dxa"/>
                </w:tcPr>
                <w:p w14:paraId="6FD0DF95" w14:textId="77777777" w:rsidR="009079FE" w:rsidRPr="00080443" w:rsidRDefault="0076273E" w:rsidP="0076273E">
                  <w:pPr>
                    <w:spacing w:before="80" w:after="120"/>
                    <w:rPr>
                      <w:rFonts w:cs="Arial"/>
                    </w:rPr>
                  </w:pPr>
                  <w:r w:rsidRPr="00080443">
                    <w:rPr>
                      <w:rFonts w:cs="Arial"/>
                    </w:rPr>
                    <w:t>To be announced</w:t>
                  </w:r>
                </w:p>
              </w:tc>
              <w:tc>
                <w:tcPr>
                  <w:tcW w:w="959" w:type="dxa"/>
                </w:tcPr>
                <w:p w14:paraId="3B1E5921" w14:textId="77777777" w:rsidR="009079FE" w:rsidRPr="00080443" w:rsidRDefault="009079FE" w:rsidP="009079FE">
                  <w:pPr>
                    <w:spacing w:before="80" w:after="120"/>
                    <w:rPr>
                      <w:rFonts w:cs="Arial"/>
                    </w:rPr>
                  </w:pPr>
                  <w:r w:rsidRPr="00080443">
                    <w:rPr>
                      <w:rFonts w:cs="Arial"/>
                    </w:rPr>
                    <w:t>3.4</w:t>
                  </w:r>
                </w:p>
              </w:tc>
            </w:tr>
            <w:tr w:rsidR="009079FE" w:rsidRPr="00080443" w14:paraId="063FE62A" w14:textId="77777777" w:rsidTr="004D411C">
              <w:tc>
                <w:tcPr>
                  <w:tcW w:w="426" w:type="dxa"/>
                </w:tcPr>
                <w:p w14:paraId="4F28ACDC"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667C4704" w14:textId="77777777" w:rsidR="009079FE" w:rsidRPr="00080443" w:rsidRDefault="008119CE" w:rsidP="00746CED">
                  <w:pPr>
                    <w:spacing w:before="80" w:after="120"/>
                    <w:rPr>
                      <w:rFonts w:cs="Arial"/>
                    </w:rPr>
                  </w:pPr>
                  <w:r w:rsidRPr="00080443">
                    <w:rPr>
                      <w:rFonts w:cs="Arial"/>
                    </w:rPr>
                    <w:t xml:space="preserve">The </w:t>
                  </w:r>
                  <w:r w:rsidR="009079FE" w:rsidRPr="00080443">
                    <w:rPr>
                      <w:rFonts w:cs="Arial"/>
                    </w:rPr>
                    <w:t xml:space="preserve">ACMA notifies applicants about the supplementary bid limit </w:t>
                  </w:r>
                  <w:r w:rsidRPr="00080443">
                    <w:rPr>
                      <w:rFonts w:cs="Arial"/>
                    </w:rPr>
                    <w:t xml:space="preserve">it has </w:t>
                  </w:r>
                  <w:r w:rsidR="009079FE" w:rsidRPr="00080443">
                    <w:rPr>
                      <w:rFonts w:cs="Arial"/>
                    </w:rPr>
                    <w:t>set</w:t>
                  </w:r>
                  <w:r w:rsidRPr="00080443">
                    <w:rPr>
                      <w:rFonts w:cs="Arial"/>
                    </w:rPr>
                    <w:t>.</w:t>
                  </w:r>
                </w:p>
              </w:tc>
              <w:tc>
                <w:tcPr>
                  <w:tcW w:w="2159" w:type="dxa"/>
                </w:tcPr>
                <w:p w14:paraId="48BD4F27" w14:textId="77777777" w:rsidR="009079FE" w:rsidRPr="00080443" w:rsidRDefault="0076273E" w:rsidP="003E68D1">
                  <w:pPr>
                    <w:spacing w:before="80" w:after="120"/>
                    <w:rPr>
                      <w:rFonts w:cs="Arial"/>
                    </w:rPr>
                  </w:pPr>
                  <w:r w:rsidRPr="00080443">
                    <w:rPr>
                      <w:rFonts w:cs="Arial"/>
                    </w:rPr>
                    <w:t xml:space="preserve">No later than </w:t>
                  </w:r>
                  <w:r w:rsidR="005A6D58" w:rsidRPr="00080443">
                    <w:rPr>
                      <w:rFonts w:cs="Arial"/>
                    </w:rPr>
                    <w:t>T</w:t>
                  </w:r>
                  <w:r w:rsidR="003E68D1" w:rsidRPr="00080443">
                    <w:rPr>
                      <w:rFonts w:cs="Arial"/>
                    </w:rPr>
                    <w:t xml:space="preserve">hurs </w:t>
                  </w:r>
                  <w:r w:rsidR="005A6D58" w:rsidRPr="00080443">
                    <w:rPr>
                      <w:rFonts w:cs="Arial"/>
                    </w:rPr>
                    <w:t>1</w:t>
                  </w:r>
                  <w:r w:rsidR="003E68D1" w:rsidRPr="00080443">
                    <w:rPr>
                      <w:rFonts w:cs="Arial"/>
                    </w:rPr>
                    <w:t>4</w:t>
                  </w:r>
                  <w:r w:rsidR="005A6D58" w:rsidRPr="00080443">
                    <w:rPr>
                      <w:rFonts w:cs="Arial"/>
                    </w:rPr>
                    <w:t xml:space="preserve"> Mar</w:t>
                  </w:r>
                  <w:r w:rsidR="00B547B7" w:rsidRPr="00080443">
                    <w:rPr>
                      <w:rFonts w:cs="Arial"/>
                    </w:rPr>
                    <w:t xml:space="preserve"> </w:t>
                  </w:r>
                  <w:r w:rsidRPr="00080443">
                    <w:rPr>
                      <w:rFonts w:cs="Arial"/>
                    </w:rPr>
                    <w:t xml:space="preserve">2013 </w:t>
                  </w:r>
                </w:p>
              </w:tc>
              <w:tc>
                <w:tcPr>
                  <w:tcW w:w="959" w:type="dxa"/>
                </w:tcPr>
                <w:p w14:paraId="219257D2" w14:textId="77777777" w:rsidR="009079FE" w:rsidRPr="00080443" w:rsidRDefault="009079FE" w:rsidP="009079FE">
                  <w:pPr>
                    <w:spacing w:before="80" w:after="120"/>
                    <w:rPr>
                      <w:rFonts w:cs="Arial"/>
                    </w:rPr>
                  </w:pPr>
                  <w:r w:rsidRPr="00080443">
                    <w:rPr>
                      <w:rFonts w:cs="Arial"/>
                    </w:rPr>
                    <w:t>3.1.2</w:t>
                  </w:r>
                </w:p>
              </w:tc>
            </w:tr>
            <w:tr w:rsidR="009079FE" w:rsidRPr="00080443" w14:paraId="2F764E78" w14:textId="77777777" w:rsidTr="004D411C">
              <w:tc>
                <w:tcPr>
                  <w:tcW w:w="426" w:type="dxa"/>
                </w:tcPr>
                <w:p w14:paraId="5C6D88B0"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7121A0F3" w14:textId="77777777" w:rsidR="009079FE" w:rsidRPr="00080443" w:rsidRDefault="009079FE" w:rsidP="00FE5177">
                  <w:pPr>
                    <w:spacing w:before="80" w:after="60"/>
                    <w:rPr>
                      <w:rFonts w:cs="Arial"/>
                      <w:color w:val="000000" w:themeColor="text1"/>
                    </w:rPr>
                  </w:pPr>
                  <w:r w:rsidRPr="00080443">
                    <w:rPr>
                      <w:rFonts w:cs="Arial"/>
                      <w:color w:val="000000" w:themeColor="text1"/>
                    </w:rPr>
                    <w:t>Eligibility deadline</w:t>
                  </w:r>
                  <w:r w:rsidR="008119CE" w:rsidRPr="00080443">
                    <w:rPr>
                      <w:rFonts w:cs="Arial"/>
                      <w:color w:val="000000" w:themeColor="text1"/>
                    </w:rPr>
                    <w:t>. B</w:t>
                  </w:r>
                  <w:r w:rsidRPr="00080443">
                    <w:rPr>
                      <w:rFonts w:cs="Arial"/>
                      <w:color w:val="000000" w:themeColor="text1"/>
                    </w:rPr>
                    <w:t>y this date, applicants will need to:</w:t>
                  </w:r>
                </w:p>
                <w:p w14:paraId="32288263" w14:textId="77777777" w:rsidR="009079FE" w:rsidRPr="00080443" w:rsidRDefault="009079FE" w:rsidP="005B6C76">
                  <w:pPr>
                    <w:pStyle w:val="ListParagraph"/>
                    <w:numPr>
                      <w:ilvl w:val="0"/>
                      <w:numId w:val="8"/>
                    </w:numPr>
                    <w:spacing w:before="80" w:after="60" w:line="240" w:lineRule="auto"/>
                    <w:ind w:left="357" w:hanging="357"/>
                    <w:contextualSpacing w:val="0"/>
                    <w:rPr>
                      <w:rFonts w:ascii="Arial" w:hAnsi="Arial" w:cs="Arial"/>
                      <w:sz w:val="20"/>
                      <w:szCs w:val="20"/>
                    </w:rPr>
                  </w:pPr>
                  <w:r w:rsidRPr="00080443">
                    <w:rPr>
                      <w:rFonts w:ascii="Arial" w:hAnsi="Arial" w:cs="Arial"/>
                      <w:sz w:val="20"/>
                      <w:szCs w:val="20"/>
                    </w:rPr>
                    <w:t>lodge a completed eligibility nomination form</w:t>
                  </w:r>
                </w:p>
                <w:p w14:paraId="571EF065" w14:textId="77777777" w:rsidR="009079FE" w:rsidRPr="00080443" w:rsidRDefault="009079FE" w:rsidP="005B6C76">
                  <w:pPr>
                    <w:pStyle w:val="ListParagraph"/>
                    <w:numPr>
                      <w:ilvl w:val="0"/>
                      <w:numId w:val="8"/>
                    </w:numPr>
                    <w:spacing w:before="80" w:after="60" w:line="240" w:lineRule="auto"/>
                    <w:ind w:left="357" w:hanging="357"/>
                    <w:contextualSpacing w:val="0"/>
                    <w:rPr>
                      <w:rFonts w:ascii="Arial" w:hAnsi="Arial" w:cs="Arial"/>
                    </w:rPr>
                  </w:pPr>
                  <w:r w:rsidRPr="00080443">
                    <w:rPr>
                      <w:rFonts w:ascii="Arial" w:hAnsi="Arial" w:cs="Arial"/>
                      <w:sz w:val="20"/>
                      <w:szCs w:val="20"/>
                    </w:rPr>
                    <w:t>make an eligibility payment, provide a deed of financial security or do both</w:t>
                  </w:r>
                  <w:r w:rsidR="008119CE" w:rsidRPr="00080443">
                    <w:rPr>
                      <w:rFonts w:ascii="Arial" w:hAnsi="Arial" w:cs="Arial"/>
                      <w:sz w:val="20"/>
                      <w:szCs w:val="20"/>
                    </w:rPr>
                    <w:t>.</w:t>
                  </w:r>
                </w:p>
              </w:tc>
              <w:tc>
                <w:tcPr>
                  <w:tcW w:w="2159" w:type="dxa"/>
                </w:tcPr>
                <w:p w14:paraId="58F94A20" w14:textId="77777777" w:rsidR="009079FE" w:rsidRPr="00080443" w:rsidRDefault="00B6335F" w:rsidP="009D2A3A">
                  <w:pPr>
                    <w:spacing w:before="80" w:after="120"/>
                    <w:rPr>
                      <w:rFonts w:cs="Arial"/>
                    </w:rPr>
                  </w:pPr>
                  <w:r w:rsidRPr="00080443">
                    <w:rPr>
                      <w:rFonts w:cs="Arial"/>
                    </w:rPr>
                    <w:t>T</w:t>
                  </w:r>
                  <w:r w:rsidR="003E68D1" w:rsidRPr="00080443">
                    <w:rPr>
                      <w:rFonts w:cs="Arial"/>
                    </w:rPr>
                    <w:t>hurs 2</w:t>
                  </w:r>
                  <w:r w:rsidR="009D2A3A">
                    <w:rPr>
                      <w:rFonts w:cs="Arial"/>
                    </w:rPr>
                    <w:t>8</w:t>
                  </w:r>
                  <w:r w:rsidRPr="00080443">
                    <w:rPr>
                      <w:rFonts w:cs="Arial"/>
                    </w:rPr>
                    <w:t xml:space="preserve"> </w:t>
                  </w:r>
                  <w:r w:rsidR="009079FE" w:rsidRPr="00080443">
                    <w:rPr>
                      <w:rFonts w:cs="Arial"/>
                    </w:rPr>
                    <w:t xml:space="preserve">Mar 2013 </w:t>
                  </w:r>
                </w:p>
              </w:tc>
              <w:tc>
                <w:tcPr>
                  <w:tcW w:w="959" w:type="dxa"/>
                </w:tcPr>
                <w:p w14:paraId="6E9D9BFE" w14:textId="77777777" w:rsidR="009079FE" w:rsidRPr="00080443" w:rsidRDefault="00752482" w:rsidP="00752482">
                  <w:pPr>
                    <w:spacing w:before="80" w:after="120"/>
                    <w:rPr>
                      <w:rFonts w:cs="Arial"/>
                    </w:rPr>
                  </w:pPr>
                  <w:r w:rsidRPr="00080443">
                    <w:rPr>
                      <w:rFonts w:cs="Arial"/>
                    </w:rPr>
                    <w:t>4.3.3</w:t>
                  </w:r>
                </w:p>
              </w:tc>
            </w:tr>
            <w:tr w:rsidR="009079FE" w:rsidRPr="00080443" w14:paraId="684E9D30" w14:textId="77777777" w:rsidTr="004D411C">
              <w:tc>
                <w:tcPr>
                  <w:tcW w:w="426" w:type="dxa"/>
                </w:tcPr>
                <w:p w14:paraId="68AD1A59"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53D8B07B" w14:textId="77777777" w:rsidR="009079FE" w:rsidRPr="00080443" w:rsidRDefault="008119CE" w:rsidP="00C152B5">
                  <w:pPr>
                    <w:spacing w:before="80" w:after="120"/>
                    <w:rPr>
                      <w:rFonts w:cs="Arial"/>
                    </w:rPr>
                  </w:pPr>
                  <w:r w:rsidRPr="00080443">
                    <w:rPr>
                      <w:rFonts w:cs="Arial"/>
                    </w:rPr>
                    <w:t xml:space="preserve">The </w:t>
                  </w:r>
                  <w:r w:rsidR="009079FE" w:rsidRPr="00080443">
                    <w:rPr>
                      <w:rFonts w:cs="Arial"/>
                    </w:rPr>
                    <w:t>ACMA tells registered bidders that they have been registered and may participate in the auction, and gives them information to enable their participation (e.g., information about how to access and use the online auction system)</w:t>
                  </w:r>
                  <w:r w:rsidRPr="00080443">
                    <w:rPr>
                      <w:rFonts w:cs="Arial"/>
                    </w:rPr>
                    <w:t>.</w:t>
                  </w:r>
                </w:p>
              </w:tc>
              <w:tc>
                <w:tcPr>
                  <w:tcW w:w="2159" w:type="dxa"/>
                </w:tcPr>
                <w:p w14:paraId="3AF74AF5" w14:textId="77777777" w:rsidR="009079FE" w:rsidRPr="00080443" w:rsidRDefault="009079FE" w:rsidP="009079FE">
                  <w:pPr>
                    <w:spacing w:before="80" w:after="120"/>
                    <w:rPr>
                      <w:rFonts w:cs="Arial"/>
                    </w:rPr>
                  </w:pPr>
                  <w:r w:rsidRPr="00080443">
                    <w:rPr>
                      <w:rFonts w:cs="Arial"/>
                    </w:rPr>
                    <w:t>After eligibility deadline</w:t>
                  </w:r>
                </w:p>
              </w:tc>
              <w:tc>
                <w:tcPr>
                  <w:tcW w:w="959" w:type="dxa"/>
                </w:tcPr>
                <w:p w14:paraId="3C035E8A" w14:textId="77777777" w:rsidR="009079FE" w:rsidRPr="00080443" w:rsidRDefault="00752482" w:rsidP="00752482">
                  <w:pPr>
                    <w:spacing w:before="80" w:after="120"/>
                    <w:rPr>
                      <w:rFonts w:cs="Arial"/>
                    </w:rPr>
                  </w:pPr>
                  <w:r w:rsidRPr="00080443">
                    <w:rPr>
                      <w:rFonts w:cs="Arial"/>
                    </w:rPr>
                    <w:t>4.3.4</w:t>
                  </w:r>
                </w:p>
              </w:tc>
            </w:tr>
            <w:tr w:rsidR="00836C5A" w:rsidRPr="00080443" w14:paraId="54B9557B" w14:textId="77777777" w:rsidTr="004D411C">
              <w:tc>
                <w:tcPr>
                  <w:tcW w:w="426" w:type="dxa"/>
                </w:tcPr>
                <w:p w14:paraId="2AF11819" w14:textId="77777777" w:rsidR="00836C5A" w:rsidRPr="00080443" w:rsidRDefault="00836C5A" w:rsidP="005B6C76">
                  <w:pPr>
                    <w:pStyle w:val="ListParagraph"/>
                    <w:numPr>
                      <w:ilvl w:val="0"/>
                      <w:numId w:val="6"/>
                    </w:numPr>
                    <w:spacing w:before="80" w:after="120" w:line="240" w:lineRule="auto"/>
                    <w:rPr>
                      <w:rFonts w:ascii="Arial" w:hAnsi="Arial" w:cs="Arial"/>
                    </w:rPr>
                  </w:pPr>
                </w:p>
              </w:tc>
              <w:tc>
                <w:tcPr>
                  <w:tcW w:w="5921" w:type="dxa"/>
                </w:tcPr>
                <w:p w14:paraId="7E3652DE" w14:textId="77777777" w:rsidR="00836C5A" w:rsidRPr="00080443" w:rsidRDefault="00836C5A" w:rsidP="009079FE">
                  <w:pPr>
                    <w:spacing w:before="80" w:after="120"/>
                    <w:rPr>
                      <w:rFonts w:cs="Arial"/>
                    </w:rPr>
                  </w:pPr>
                  <w:r w:rsidRPr="00080443">
                    <w:rPr>
                      <w:rFonts w:cs="Arial"/>
                    </w:rPr>
                    <w:t>The ACMA notifies registered bidders about the start date and time of the first clock round in the auction.</w:t>
                  </w:r>
                </w:p>
              </w:tc>
              <w:tc>
                <w:tcPr>
                  <w:tcW w:w="2159" w:type="dxa"/>
                </w:tcPr>
                <w:p w14:paraId="0515FC0C" w14:textId="77777777" w:rsidR="00836C5A" w:rsidRPr="00080443" w:rsidRDefault="00836C5A" w:rsidP="009D2A3A">
                  <w:pPr>
                    <w:spacing w:before="80" w:after="120"/>
                    <w:rPr>
                      <w:rFonts w:cs="Arial"/>
                    </w:rPr>
                  </w:pPr>
                  <w:r w:rsidRPr="00080443">
                    <w:rPr>
                      <w:rFonts w:cs="Arial"/>
                    </w:rPr>
                    <w:t xml:space="preserve">No later than </w:t>
                  </w:r>
                  <w:r w:rsidR="00C5449C" w:rsidRPr="00080443">
                    <w:rPr>
                      <w:rFonts w:cs="Arial"/>
                    </w:rPr>
                    <w:t xml:space="preserve">Tues </w:t>
                  </w:r>
                  <w:r w:rsidR="009D2A3A">
                    <w:rPr>
                      <w:rFonts w:cs="Arial"/>
                    </w:rPr>
                    <w:t>9</w:t>
                  </w:r>
                  <w:r w:rsidR="005A6D58" w:rsidRPr="00080443">
                    <w:rPr>
                      <w:rFonts w:cs="Arial"/>
                    </w:rPr>
                    <w:t xml:space="preserve"> Apr</w:t>
                  </w:r>
                  <w:r w:rsidRPr="00080443">
                    <w:rPr>
                      <w:rFonts w:cs="Arial"/>
                    </w:rPr>
                    <w:t xml:space="preserve"> 2013</w:t>
                  </w:r>
                </w:p>
              </w:tc>
              <w:tc>
                <w:tcPr>
                  <w:tcW w:w="959" w:type="dxa"/>
                </w:tcPr>
                <w:p w14:paraId="37731354" w14:textId="77777777" w:rsidR="00836C5A" w:rsidRPr="00080443" w:rsidRDefault="00836C5A" w:rsidP="009079FE">
                  <w:pPr>
                    <w:spacing w:before="80" w:after="120"/>
                    <w:rPr>
                      <w:rFonts w:cs="Arial"/>
                    </w:rPr>
                  </w:pPr>
                  <w:r w:rsidRPr="00080443">
                    <w:rPr>
                      <w:rFonts w:cs="Arial"/>
                    </w:rPr>
                    <w:t>4.4.1</w:t>
                  </w:r>
                </w:p>
              </w:tc>
            </w:tr>
            <w:tr w:rsidR="009079FE" w:rsidRPr="00080443" w14:paraId="51F61F97" w14:textId="77777777" w:rsidTr="004D411C">
              <w:tc>
                <w:tcPr>
                  <w:tcW w:w="426" w:type="dxa"/>
                </w:tcPr>
                <w:p w14:paraId="651132F6"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5FDCFB0E" w14:textId="77777777" w:rsidR="009079FE" w:rsidRPr="00080443" w:rsidRDefault="009079FE" w:rsidP="009079FE">
                  <w:pPr>
                    <w:spacing w:before="80" w:after="120"/>
                    <w:rPr>
                      <w:rFonts w:cs="Arial"/>
                    </w:rPr>
                  </w:pPr>
                  <w:r w:rsidRPr="00080443">
                    <w:rPr>
                      <w:rFonts w:cs="Arial"/>
                    </w:rPr>
                    <w:t>Second mock auction held, to further acquaint registered bidders with the auction system</w:t>
                  </w:r>
                  <w:r w:rsidR="00075797" w:rsidRPr="00080443">
                    <w:rPr>
                      <w:rFonts w:cs="Arial"/>
                    </w:rPr>
                    <w:t>.</w:t>
                  </w:r>
                </w:p>
              </w:tc>
              <w:tc>
                <w:tcPr>
                  <w:tcW w:w="2159" w:type="dxa"/>
                </w:tcPr>
                <w:p w14:paraId="3B98334F" w14:textId="77777777" w:rsidR="009079FE" w:rsidRPr="00080443" w:rsidRDefault="0076273E" w:rsidP="009079FE">
                  <w:pPr>
                    <w:spacing w:before="80" w:after="120"/>
                    <w:rPr>
                      <w:rFonts w:cs="Arial"/>
                    </w:rPr>
                  </w:pPr>
                  <w:r w:rsidRPr="00080443">
                    <w:rPr>
                      <w:rFonts w:cs="Arial"/>
                    </w:rPr>
                    <w:t>To be announced</w:t>
                  </w:r>
                </w:p>
              </w:tc>
              <w:tc>
                <w:tcPr>
                  <w:tcW w:w="959" w:type="dxa"/>
                </w:tcPr>
                <w:p w14:paraId="58F534C4" w14:textId="77777777" w:rsidR="009079FE" w:rsidRPr="00080443" w:rsidRDefault="009079FE" w:rsidP="009079FE">
                  <w:pPr>
                    <w:spacing w:before="80" w:after="120"/>
                    <w:rPr>
                      <w:rFonts w:cs="Arial"/>
                    </w:rPr>
                  </w:pPr>
                  <w:r w:rsidRPr="00080443">
                    <w:rPr>
                      <w:rFonts w:cs="Arial"/>
                    </w:rPr>
                    <w:t>3.4</w:t>
                  </w:r>
                </w:p>
              </w:tc>
            </w:tr>
            <w:tr w:rsidR="009079FE" w:rsidRPr="00080443" w14:paraId="219D8EC0" w14:textId="77777777" w:rsidTr="004D411C">
              <w:tc>
                <w:tcPr>
                  <w:tcW w:w="426" w:type="dxa"/>
                </w:tcPr>
                <w:p w14:paraId="6A26BC45" w14:textId="77777777" w:rsidR="009079FE" w:rsidRPr="00080443" w:rsidRDefault="009079FE" w:rsidP="005B6C76">
                  <w:pPr>
                    <w:pStyle w:val="ListParagraph"/>
                    <w:numPr>
                      <w:ilvl w:val="0"/>
                      <w:numId w:val="6"/>
                    </w:numPr>
                    <w:spacing w:before="80" w:after="120" w:line="240" w:lineRule="auto"/>
                    <w:rPr>
                      <w:rFonts w:ascii="Arial" w:hAnsi="Arial" w:cs="Arial"/>
                    </w:rPr>
                  </w:pPr>
                </w:p>
              </w:tc>
              <w:tc>
                <w:tcPr>
                  <w:tcW w:w="5921" w:type="dxa"/>
                </w:tcPr>
                <w:p w14:paraId="6B1189CA" w14:textId="77777777" w:rsidR="009079FE" w:rsidRPr="00080443" w:rsidRDefault="009079FE" w:rsidP="009079FE">
                  <w:pPr>
                    <w:spacing w:before="80" w:after="120"/>
                    <w:rPr>
                      <w:rFonts w:cs="Arial"/>
                    </w:rPr>
                  </w:pPr>
                  <w:r w:rsidRPr="00080443">
                    <w:rPr>
                      <w:rFonts w:cs="Arial"/>
                    </w:rPr>
                    <w:t>Auction begins</w:t>
                  </w:r>
                  <w:r w:rsidR="00075797" w:rsidRPr="00080443">
                    <w:rPr>
                      <w:rFonts w:cs="Arial"/>
                    </w:rPr>
                    <w:t>.</w:t>
                  </w:r>
                </w:p>
              </w:tc>
              <w:tc>
                <w:tcPr>
                  <w:tcW w:w="2159" w:type="dxa"/>
                </w:tcPr>
                <w:p w14:paraId="1AE00BB6" w14:textId="77777777" w:rsidR="009079FE" w:rsidRPr="00080443" w:rsidRDefault="003E68D1" w:rsidP="009D2A3A">
                  <w:pPr>
                    <w:spacing w:before="80" w:after="120"/>
                    <w:rPr>
                      <w:rFonts w:cs="Arial"/>
                    </w:rPr>
                  </w:pPr>
                  <w:r w:rsidRPr="00080443">
                    <w:rPr>
                      <w:rFonts w:cs="Arial"/>
                    </w:rPr>
                    <w:t xml:space="preserve">Tues </w:t>
                  </w:r>
                  <w:r w:rsidR="009D2A3A">
                    <w:rPr>
                      <w:rFonts w:cs="Arial"/>
                    </w:rPr>
                    <w:t>23</w:t>
                  </w:r>
                  <w:r w:rsidR="009079FE" w:rsidRPr="00080443">
                    <w:rPr>
                      <w:rFonts w:cs="Arial"/>
                    </w:rPr>
                    <w:t xml:space="preserve"> Apr 2013</w:t>
                  </w:r>
                </w:p>
              </w:tc>
              <w:tc>
                <w:tcPr>
                  <w:tcW w:w="959" w:type="dxa"/>
                </w:tcPr>
                <w:p w14:paraId="202E0C60" w14:textId="77777777" w:rsidR="009079FE" w:rsidRPr="00080443" w:rsidRDefault="00023247" w:rsidP="0009133A">
                  <w:pPr>
                    <w:spacing w:before="80" w:after="120"/>
                    <w:rPr>
                      <w:rFonts w:cs="Arial"/>
                    </w:rPr>
                  </w:pPr>
                  <w:r w:rsidRPr="00080443">
                    <w:rPr>
                      <w:rFonts w:cs="Arial"/>
                    </w:rPr>
                    <w:t>4.4</w:t>
                  </w:r>
                </w:p>
              </w:tc>
            </w:tr>
          </w:tbl>
          <w:p w14:paraId="347A275B" w14:textId="77777777" w:rsidR="009079FE" w:rsidRPr="00080443" w:rsidRDefault="009079FE" w:rsidP="009079FE">
            <w:pPr>
              <w:rPr>
                <w:rFonts w:cs="Arial"/>
              </w:rPr>
            </w:pPr>
          </w:p>
        </w:tc>
      </w:tr>
      <w:tr w:rsidR="009079FE" w:rsidRPr="00080443" w14:paraId="233FB907" w14:textId="77777777" w:rsidTr="00BF69DA">
        <w:trPr>
          <w:trHeight w:val="80"/>
        </w:trPr>
        <w:tc>
          <w:tcPr>
            <w:tcW w:w="9645" w:type="dxa"/>
            <w:tcBorders>
              <w:bottom w:val="single" w:sz="2" w:space="0" w:color="505050"/>
            </w:tcBorders>
            <w:shd w:val="clear" w:color="auto" w:fill="auto"/>
          </w:tcPr>
          <w:p w14:paraId="59BF8435" w14:textId="77777777" w:rsidR="009079FE" w:rsidRPr="00080443" w:rsidRDefault="00C50DB2" w:rsidP="009079FE">
            <w:pPr>
              <w:rPr>
                <w:rFonts w:cs="Arial"/>
                <w:i/>
                <w:sz w:val="16"/>
                <w:szCs w:val="16"/>
              </w:rPr>
            </w:pPr>
            <w:r w:rsidRPr="00080443">
              <w:rPr>
                <w:rFonts w:cs="Arial"/>
                <w:i/>
                <w:sz w:val="16"/>
                <w:szCs w:val="16"/>
              </w:rPr>
              <w:lastRenderedPageBreak/>
              <w:t>Note: The above timetable is indicative and for guidance purposes only, and is subject to change.</w:t>
            </w:r>
            <w:r w:rsidR="003F7FCC" w:rsidRPr="00080443">
              <w:rPr>
                <w:rFonts w:cs="Arial"/>
                <w:i/>
                <w:sz w:val="16"/>
                <w:szCs w:val="16"/>
              </w:rPr>
              <w:t xml:space="preserve"> Any changes made to the timetable will be announced through the sources listed under heading 6.1. </w:t>
            </w:r>
          </w:p>
        </w:tc>
      </w:tr>
    </w:tbl>
    <w:p w14:paraId="5EA9F7DD" w14:textId="77777777" w:rsidR="00FD3D4A" w:rsidRPr="00080443" w:rsidRDefault="00FD3D4A" w:rsidP="00BF69DA">
      <w:pPr>
        <w:rPr>
          <w:rFonts w:cs="Arial"/>
        </w:rPr>
      </w:pPr>
      <w:bookmarkStart w:id="7" w:name="_Toc335246222"/>
      <w:r w:rsidRPr="00080443">
        <w:rPr>
          <w:rFonts w:cs="Arial"/>
        </w:rPr>
        <w:br w:type="page"/>
      </w:r>
    </w:p>
    <w:p w14:paraId="3996CD93" w14:textId="77777777" w:rsidR="00F00DB9" w:rsidRPr="00080443" w:rsidRDefault="00F00DB9" w:rsidP="00F00DB9">
      <w:pPr>
        <w:pStyle w:val="ExecSummaryHeading"/>
        <w:rPr>
          <w:rFonts w:cs="Arial"/>
        </w:rPr>
      </w:pPr>
      <w:bookmarkStart w:id="8" w:name="_Toc343780431"/>
      <w:r w:rsidRPr="00080443">
        <w:rPr>
          <w:rFonts w:cs="Arial"/>
        </w:rPr>
        <w:lastRenderedPageBreak/>
        <w:t>Part one—</w:t>
      </w:r>
      <w:r w:rsidRPr="00080443">
        <w:rPr>
          <w:rFonts w:cs="Arial"/>
        </w:rPr>
        <w:br/>
        <w:t>Understanding the auction process</w:t>
      </w:r>
      <w:bookmarkEnd w:id="7"/>
      <w:bookmarkEnd w:id="8"/>
    </w:p>
    <w:p w14:paraId="695956A5" w14:textId="77777777" w:rsidR="008A60B8" w:rsidRPr="00080443" w:rsidRDefault="000F2673" w:rsidP="00234088">
      <w:pPr>
        <w:pStyle w:val="Heading1"/>
        <w:numPr>
          <w:ilvl w:val="0"/>
          <w:numId w:val="13"/>
        </w:numPr>
      </w:pPr>
      <w:bookmarkStart w:id="9" w:name="_Toc335246223"/>
      <w:bookmarkStart w:id="10" w:name="_Toc343780432"/>
      <w:r w:rsidRPr="00080443">
        <w:lastRenderedPageBreak/>
        <w:t>What is the digital dividend auction?</w:t>
      </w:r>
      <w:bookmarkEnd w:id="9"/>
      <w:bookmarkEnd w:id="10"/>
      <w:r w:rsidRPr="00080443">
        <w:t xml:space="preserve"> </w:t>
      </w:r>
    </w:p>
    <w:p w14:paraId="235DD468" w14:textId="77777777" w:rsidR="00C90567" w:rsidRPr="00080443" w:rsidRDefault="00C90567" w:rsidP="00C21117">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rPr>
      </w:pPr>
    </w:p>
    <w:p w14:paraId="61AA52CD" w14:textId="77777777" w:rsidR="008A60B8" w:rsidRPr="00080443" w:rsidRDefault="008A60B8" w:rsidP="00C21117">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rPr>
      </w:pPr>
      <w:r w:rsidRPr="00080443">
        <w:rPr>
          <w:rFonts w:cs="Arial"/>
          <w:b/>
        </w:rPr>
        <w:t>This chapter provides information about</w:t>
      </w:r>
      <w:r w:rsidR="00B327F6" w:rsidRPr="00080443">
        <w:rPr>
          <w:rFonts w:cs="Arial"/>
          <w:b/>
        </w:rPr>
        <w:t xml:space="preserve"> the</w:t>
      </w:r>
      <w:r w:rsidRPr="00080443">
        <w:rPr>
          <w:rFonts w:cs="Arial"/>
          <w:b/>
        </w:rPr>
        <w:t>:</w:t>
      </w:r>
    </w:p>
    <w:p w14:paraId="5E376514" w14:textId="77777777" w:rsidR="008A60B8" w:rsidRPr="00080443" w:rsidRDefault="00A319F0" w:rsidP="00C2111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 xml:space="preserve">purpose and structure of the </w:t>
      </w:r>
      <w:r w:rsidRPr="00080443">
        <w:rPr>
          <w:rFonts w:cs="Arial"/>
          <w:b/>
          <w:i/>
        </w:rPr>
        <w:t>A</w:t>
      </w:r>
      <w:r w:rsidR="00DF49D9" w:rsidRPr="00080443">
        <w:rPr>
          <w:rFonts w:cs="Arial"/>
          <w:b/>
          <w:i/>
        </w:rPr>
        <w:t>uction guide</w:t>
      </w:r>
      <w:r w:rsidR="00DF49D9" w:rsidRPr="00080443">
        <w:rPr>
          <w:rFonts w:cs="Arial"/>
          <w:b/>
        </w:rPr>
        <w:t xml:space="preserve">, and the other elements of the </w:t>
      </w:r>
      <w:r w:rsidRPr="00080443">
        <w:rPr>
          <w:rFonts w:cs="Arial"/>
          <w:b/>
          <w:i/>
        </w:rPr>
        <w:t>A</w:t>
      </w:r>
      <w:r w:rsidR="008A60B8" w:rsidRPr="00080443">
        <w:rPr>
          <w:rFonts w:cs="Arial"/>
          <w:b/>
          <w:i/>
        </w:rPr>
        <w:t>pplicant information package</w:t>
      </w:r>
    </w:p>
    <w:p w14:paraId="0E2D8B9B" w14:textId="77777777" w:rsidR="008A60B8" w:rsidRPr="00080443" w:rsidRDefault="008A60B8" w:rsidP="00C2111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background to the reallocation of the 700 MHz and 2.5 GHz bands</w:t>
      </w:r>
    </w:p>
    <w:p w14:paraId="04517CE6" w14:textId="77777777" w:rsidR="00F75388" w:rsidRPr="00080443" w:rsidRDefault="00F75388" w:rsidP="00C2111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 xml:space="preserve">legislative processes for clearing incumbent </w:t>
      </w:r>
      <w:r w:rsidR="0046618B" w:rsidRPr="00080443">
        <w:rPr>
          <w:rFonts w:cs="Arial"/>
          <w:b/>
        </w:rPr>
        <w:t xml:space="preserve">licences </w:t>
      </w:r>
      <w:r w:rsidRPr="00080443">
        <w:rPr>
          <w:rFonts w:cs="Arial"/>
          <w:b/>
        </w:rPr>
        <w:t xml:space="preserve">from the 700 MHz and 2.5 GHz bands </w:t>
      </w:r>
    </w:p>
    <w:p w14:paraId="453130E3" w14:textId="77777777" w:rsidR="008A60B8" w:rsidRPr="00080443" w:rsidRDefault="008A60B8" w:rsidP="00C2111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ACMA’s decision to allocate the 700 MHz and 2.5 GHz bands through a single auction</w:t>
      </w:r>
    </w:p>
    <w:p w14:paraId="0B2D4A30" w14:textId="77777777" w:rsidR="008A60B8" w:rsidRPr="00080443" w:rsidRDefault="008A60B8" w:rsidP="00C2111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instruments that provide the legal basis for the auction</w:t>
      </w:r>
    </w:p>
    <w:p w14:paraId="6383BF1E" w14:textId="77777777" w:rsidR="008A60B8" w:rsidRPr="00080443" w:rsidRDefault="008A60B8" w:rsidP="00C2111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consultative processes by which the auction instruments were developed.</w:t>
      </w:r>
    </w:p>
    <w:p w14:paraId="5047DE21" w14:textId="77777777" w:rsidR="00C90567" w:rsidRPr="00080443" w:rsidRDefault="00C90567" w:rsidP="00C90567">
      <w:pPr>
        <w:pStyle w:val="ListBullet"/>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p>
    <w:p w14:paraId="702177F8" w14:textId="77777777" w:rsidR="008A60B8" w:rsidRPr="00080443" w:rsidRDefault="008A60B8" w:rsidP="008A60B8">
      <w:pPr>
        <w:rPr>
          <w:rFonts w:cs="Arial"/>
        </w:rPr>
      </w:pPr>
    </w:p>
    <w:p w14:paraId="4F045915" w14:textId="77777777" w:rsidR="008A60B8" w:rsidRPr="00080443" w:rsidRDefault="008A60B8" w:rsidP="008A60B8">
      <w:pPr>
        <w:rPr>
          <w:rFonts w:cs="Arial"/>
        </w:rPr>
      </w:pPr>
      <w:r w:rsidRPr="00080443">
        <w:rPr>
          <w:rFonts w:cs="Arial"/>
        </w:rPr>
        <w:br w:type="page"/>
      </w:r>
    </w:p>
    <w:p w14:paraId="74DA5B5C" w14:textId="77777777" w:rsidR="008A60B8" w:rsidRPr="00080443" w:rsidRDefault="008A60B8" w:rsidP="00234088">
      <w:pPr>
        <w:pStyle w:val="Heading2"/>
        <w:numPr>
          <w:ilvl w:val="1"/>
          <w:numId w:val="13"/>
        </w:numPr>
        <w:ind w:hanging="792"/>
      </w:pPr>
      <w:bookmarkStart w:id="11" w:name="_Toc335246224"/>
      <w:bookmarkStart w:id="12" w:name="_Toc343780433"/>
      <w:r w:rsidRPr="00080443">
        <w:lastRenderedPageBreak/>
        <w:t>Overview</w:t>
      </w:r>
      <w:bookmarkEnd w:id="11"/>
      <w:bookmarkEnd w:id="12"/>
    </w:p>
    <w:p w14:paraId="77EFC55D" w14:textId="77777777" w:rsidR="008A60B8" w:rsidRPr="00080443" w:rsidRDefault="008A60B8" w:rsidP="00C21117">
      <w:pPr>
        <w:rPr>
          <w:rFonts w:cs="Arial"/>
        </w:rPr>
      </w:pPr>
      <w:r w:rsidRPr="00080443">
        <w:rPr>
          <w:rFonts w:cs="Arial"/>
        </w:rPr>
        <w:t>The ACMA will allocate spectrum in the 700 MHz (digital dividend) and 2.5 GHz bands as spectrum licences through a single auction commencing in April 2013.</w:t>
      </w:r>
    </w:p>
    <w:p w14:paraId="4473852F" w14:textId="77777777" w:rsidR="00C21117" w:rsidRPr="00080443" w:rsidRDefault="00C21117" w:rsidP="00C21117">
      <w:pPr>
        <w:rPr>
          <w:rFonts w:cs="Arial"/>
        </w:rPr>
      </w:pPr>
    </w:p>
    <w:p w14:paraId="1EC9346B" w14:textId="77777777" w:rsidR="008A60B8" w:rsidRPr="00080443" w:rsidRDefault="008A60B8" w:rsidP="00C21117">
      <w:pPr>
        <w:rPr>
          <w:rFonts w:cs="Arial"/>
        </w:rPr>
      </w:pPr>
      <w:r w:rsidRPr="00080443">
        <w:rPr>
          <w:rFonts w:cs="Arial"/>
        </w:rPr>
        <w:t xml:space="preserve">While the auction will be used to allocate spectrum in both the 700 MHz and 2.5 GHz bands, it is referred to simply as ‘the digital dividend auction’. </w:t>
      </w:r>
    </w:p>
    <w:p w14:paraId="27ECA645" w14:textId="77777777" w:rsidR="00C21117" w:rsidRPr="00080443" w:rsidRDefault="00C21117" w:rsidP="00C21117">
      <w:pPr>
        <w:rPr>
          <w:rFonts w:cs="Arial"/>
        </w:rPr>
      </w:pPr>
    </w:p>
    <w:p w14:paraId="3CB35DCA" w14:textId="77777777" w:rsidR="008A60B8" w:rsidRPr="00080443" w:rsidRDefault="008A60B8" w:rsidP="00C21117">
      <w:pPr>
        <w:rPr>
          <w:rFonts w:cs="Arial"/>
        </w:rPr>
      </w:pPr>
      <w:r w:rsidRPr="00080443">
        <w:rPr>
          <w:rFonts w:cs="Arial"/>
        </w:rPr>
        <w:t>These bands, which are currently occupied, are being replanned to enable the spectrum to move to its highest value use. The reallocation of the bands for the issue of spectrum licences is an important part of this process</w:t>
      </w:r>
      <w:r w:rsidR="000F2673" w:rsidRPr="00080443">
        <w:rPr>
          <w:rFonts w:cs="Arial"/>
        </w:rPr>
        <w:t>,</w:t>
      </w:r>
      <w:r w:rsidRPr="00080443">
        <w:rPr>
          <w:rFonts w:cs="Arial"/>
        </w:rPr>
        <w:t xml:space="preserve"> as the regulatory and technical framework underpinning spectrum licences is designed to maximise the ability of the user or market to determine what the highest value use of the frequency band may be. </w:t>
      </w:r>
    </w:p>
    <w:p w14:paraId="4821D51D" w14:textId="77777777" w:rsidR="00C21117" w:rsidRPr="00080443" w:rsidRDefault="00C21117" w:rsidP="00C21117">
      <w:pPr>
        <w:rPr>
          <w:rFonts w:cs="Arial"/>
        </w:rPr>
      </w:pPr>
    </w:p>
    <w:p w14:paraId="54F9A55B" w14:textId="77777777" w:rsidR="008A60B8" w:rsidRPr="00080443" w:rsidRDefault="008A60B8" w:rsidP="00C21117">
      <w:pPr>
        <w:rPr>
          <w:rFonts w:cs="Arial"/>
        </w:rPr>
      </w:pPr>
      <w:r w:rsidRPr="00080443">
        <w:rPr>
          <w:rFonts w:cs="Arial"/>
        </w:rPr>
        <w:t xml:space="preserve">The digital dividend auction will be run online using a combinatorial clock auction (CCA) format. The CCA is a price clock-based auction method used to sell multiple items in a single process. </w:t>
      </w:r>
      <w:r w:rsidR="00982F50" w:rsidRPr="00080443">
        <w:rPr>
          <w:rFonts w:cs="Arial"/>
        </w:rPr>
        <w:t xml:space="preserve">In addition to the other benefits of the CCA format discussed at </w:t>
      </w:r>
      <w:r w:rsidR="00490185" w:rsidRPr="00080443">
        <w:rPr>
          <w:rFonts w:cs="Arial"/>
        </w:rPr>
        <w:t>3.1.1</w:t>
      </w:r>
      <w:r w:rsidR="00982F50" w:rsidRPr="00080443">
        <w:rPr>
          <w:rFonts w:cs="Arial"/>
        </w:rPr>
        <w:t>, a</w:t>
      </w:r>
      <w:r w:rsidRPr="00080443">
        <w:rPr>
          <w:rFonts w:cs="Arial"/>
        </w:rPr>
        <w:t xml:space="preserve"> single CCA process will allow bidders to bid on packages of spectrum in the two bands, offering them the opportunity to acquire the specific combinations of spectrum that will best meet their business needs. </w:t>
      </w:r>
    </w:p>
    <w:p w14:paraId="08497C83" w14:textId="77777777" w:rsidR="00C21117" w:rsidRPr="00080443" w:rsidRDefault="00C21117" w:rsidP="00C21117">
      <w:pPr>
        <w:rPr>
          <w:rFonts w:cs="Arial"/>
        </w:rPr>
      </w:pPr>
    </w:p>
    <w:p w14:paraId="063A6903" w14:textId="77777777" w:rsidR="008A60B8" w:rsidRPr="00080443" w:rsidRDefault="008A60B8" w:rsidP="00C21117">
      <w:pPr>
        <w:spacing w:after="80"/>
        <w:rPr>
          <w:rFonts w:cs="Arial"/>
        </w:rPr>
      </w:pPr>
      <w:r w:rsidRPr="00080443">
        <w:rPr>
          <w:rFonts w:cs="Arial"/>
        </w:rPr>
        <w:t xml:space="preserve">This </w:t>
      </w:r>
      <w:r w:rsidR="00F916B7" w:rsidRPr="00080443">
        <w:rPr>
          <w:rFonts w:cs="Arial"/>
          <w:i/>
        </w:rPr>
        <w:t>A</w:t>
      </w:r>
      <w:r w:rsidR="008D119A" w:rsidRPr="00080443">
        <w:rPr>
          <w:rFonts w:cs="Arial"/>
          <w:i/>
        </w:rPr>
        <w:t>uction guide</w:t>
      </w:r>
      <w:r w:rsidR="008D119A" w:rsidRPr="00080443">
        <w:rPr>
          <w:rFonts w:cs="Arial"/>
        </w:rPr>
        <w:t xml:space="preserve"> </w:t>
      </w:r>
      <w:r w:rsidRPr="00080443">
        <w:rPr>
          <w:rFonts w:cs="Arial"/>
        </w:rPr>
        <w:t xml:space="preserve">is designed to </w:t>
      </w:r>
      <w:r w:rsidR="000F2673" w:rsidRPr="00080443">
        <w:rPr>
          <w:rFonts w:cs="Arial"/>
        </w:rPr>
        <w:t xml:space="preserve">give </w:t>
      </w:r>
      <w:r w:rsidRPr="00080443">
        <w:rPr>
          <w:rFonts w:cs="Arial"/>
        </w:rPr>
        <w:t xml:space="preserve">prospective bidders information to </w:t>
      </w:r>
      <w:r w:rsidR="00846E4D" w:rsidRPr="00080443">
        <w:rPr>
          <w:rFonts w:cs="Arial"/>
        </w:rPr>
        <w:t xml:space="preserve">help them </w:t>
      </w:r>
      <w:r w:rsidRPr="00080443">
        <w:rPr>
          <w:rFonts w:cs="Arial"/>
        </w:rPr>
        <w:t>decide whether to apply to take part in the auction</w:t>
      </w:r>
      <w:r w:rsidR="000F2673" w:rsidRPr="00080443">
        <w:rPr>
          <w:rFonts w:cs="Arial"/>
        </w:rPr>
        <w:t>—</w:t>
      </w:r>
      <w:r w:rsidRPr="00080443">
        <w:rPr>
          <w:rFonts w:cs="Arial"/>
        </w:rPr>
        <w:t xml:space="preserve">and, if they wish to take part, how to do so. The </w:t>
      </w:r>
      <w:r w:rsidR="00F916B7" w:rsidRPr="00080443">
        <w:rPr>
          <w:rFonts w:cs="Arial"/>
          <w:i/>
        </w:rPr>
        <w:t>A</w:t>
      </w:r>
      <w:r w:rsidR="008D119A" w:rsidRPr="00080443">
        <w:rPr>
          <w:rFonts w:cs="Arial"/>
          <w:i/>
        </w:rPr>
        <w:t>uction guide</w:t>
      </w:r>
      <w:r w:rsidR="008D119A" w:rsidRPr="00080443">
        <w:rPr>
          <w:rFonts w:cs="Arial"/>
        </w:rPr>
        <w:t xml:space="preserve"> </w:t>
      </w:r>
      <w:r w:rsidRPr="00080443">
        <w:rPr>
          <w:rFonts w:cs="Arial"/>
        </w:rPr>
        <w:t xml:space="preserve">is structured as follows: </w:t>
      </w:r>
    </w:p>
    <w:p w14:paraId="09DB4D25" w14:textId="77777777" w:rsidR="008A60B8" w:rsidRPr="00080443" w:rsidRDefault="00CD2C67" w:rsidP="00C21117">
      <w:pPr>
        <w:pStyle w:val="ListBullet"/>
        <w:rPr>
          <w:rFonts w:cs="Arial"/>
        </w:rPr>
      </w:pPr>
      <w:r w:rsidRPr="00080443">
        <w:rPr>
          <w:rFonts w:cs="Arial"/>
          <w:b/>
        </w:rPr>
        <w:t xml:space="preserve">Chapter 1: </w:t>
      </w:r>
      <w:r w:rsidR="00FE207F" w:rsidRPr="00080443">
        <w:rPr>
          <w:rFonts w:cs="Arial"/>
          <w:b/>
        </w:rPr>
        <w:t>What is the digital dividend auction?</w:t>
      </w:r>
      <w:r w:rsidR="000F2673" w:rsidRPr="00080443">
        <w:rPr>
          <w:rFonts w:cs="Arial"/>
        </w:rPr>
        <w:t>—</w:t>
      </w:r>
      <w:r w:rsidR="008A60B8" w:rsidRPr="00080443">
        <w:rPr>
          <w:rFonts w:cs="Arial"/>
        </w:rPr>
        <w:t xml:space="preserve">provides information about the </w:t>
      </w:r>
      <w:r w:rsidR="00F75388" w:rsidRPr="00080443">
        <w:rPr>
          <w:rFonts w:cs="Arial"/>
        </w:rPr>
        <w:t xml:space="preserve">background to the auction, the clearance of incumbent </w:t>
      </w:r>
      <w:r w:rsidR="0046618B" w:rsidRPr="00080443">
        <w:rPr>
          <w:rFonts w:cs="Arial"/>
        </w:rPr>
        <w:t xml:space="preserve">licences </w:t>
      </w:r>
      <w:r w:rsidR="00F75388" w:rsidRPr="00080443">
        <w:rPr>
          <w:rFonts w:cs="Arial"/>
        </w:rPr>
        <w:t xml:space="preserve">from the spectrum on offer, the </w:t>
      </w:r>
      <w:r w:rsidR="008A60B8" w:rsidRPr="00080443">
        <w:rPr>
          <w:rFonts w:cs="Arial"/>
        </w:rPr>
        <w:t>decisions to reallocate the 700 MHz and 2.5 GHz bands through a single auction, and the instruments that provide the legal basis</w:t>
      </w:r>
      <w:r w:rsidR="00EA2EF7" w:rsidRPr="00080443">
        <w:rPr>
          <w:rFonts w:cs="Arial"/>
        </w:rPr>
        <w:t xml:space="preserve"> for the digital dividend auction</w:t>
      </w:r>
      <w:r w:rsidR="00FE207F" w:rsidRPr="00080443">
        <w:rPr>
          <w:rFonts w:cs="Arial"/>
        </w:rPr>
        <w:t>.</w:t>
      </w:r>
    </w:p>
    <w:p w14:paraId="3D2B28A2" w14:textId="77777777" w:rsidR="008A60B8" w:rsidRPr="00080443" w:rsidRDefault="00CD2C67" w:rsidP="00C21117">
      <w:pPr>
        <w:pStyle w:val="ListBullet"/>
        <w:rPr>
          <w:rFonts w:cs="Arial"/>
        </w:rPr>
      </w:pPr>
      <w:r w:rsidRPr="00080443">
        <w:rPr>
          <w:rFonts w:cs="Arial"/>
          <w:b/>
        </w:rPr>
        <w:t>Chapter 2: What is being offered in the auction</w:t>
      </w:r>
      <w:r w:rsidR="00FE207F" w:rsidRPr="00080443">
        <w:rPr>
          <w:rFonts w:cs="Arial"/>
          <w:b/>
        </w:rPr>
        <w:t>?</w:t>
      </w:r>
      <w:r w:rsidR="00FE207F" w:rsidRPr="00080443">
        <w:rPr>
          <w:rFonts w:cs="Arial"/>
        </w:rPr>
        <w:t>—</w:t>
      </w:r>
      <w:r w:rsidR="008A60B8" w:rsidRPr="00080443">
        <w:rPr>
          <w:rFonts w:cs="Arial"/>
        </w:rPr>
        <w:t xml:space="preserve">provides information about the spectrum available, how the spectrum is configured as auction lots and key issues that will affect </w:t>
      </w:r>
      <w:r w:rsidR="00FE207F" w:rsidRPr="00080443">
        <w:rPr>
          <w:rFonts w:cs="Arial"/>
        </w:rPr>
        <w:t xml:space="preserve">how winning bidders can </w:t>
      </w:r>
      <w:r w:rsidR="008A60B8" w:rsidRPr="00080443">
        <w:rPr>
          <w:rFonts w:cs="Arial"/>
        </w:rPr>
        <w:t>use the spectrum</w:t>
      </w:r>
      <w:r w:rsidR="00FE207F" w:rsidRPr="00080443">
        <w:rPr>
          <w:rFonts w:cs="Arial"/>
        </w:rPr>
        <w:t>.</w:t>
      </w:r>
    </w:p>
    <w:p w14:paraId="3BC29E6D" w14:textId="77777777" w:rsidR="008A60B8" w:rsidRPr="00080443" w:rsidRDefault="00CD2C67" w:rsidP="00C21117">
      <w:pPr>
        <w:pStyle w:val="ListBullet"/>
        <w:rPr>
          <w:rFonts w:cs="Arial"/>
        </w:rPr>
      </w:pPr>
      <w:r w:rsidRPr="00080443">
        <w:rPr>
          <w:rFonts w:cs="Arial"/>
          <w:b/>
        </w:rPr>
        <w:t>Chapter 3: How will the auction be conducted?</w:t>
      </w:r>
      <w:r w:rsidR="00FE207F" w:rsidRPr="00080443">
        <w:rPr>
          <w:rFonts w:cs="Arial"/>
        </w:rPr>
        <w:t>—</w:t>
      </w:r>
      <w:r w:rsidR="008A60B8" w:rsidRPr="00080443">
        <w:rPr>
          <w:rFonts w:cs="Arial"/>
        </w:rPr>
        <w:t xml:space="preserve">provides information about the CCA format, the auction </w:t>
      </w:r>
      <w:r w:rsidR="00DE4C5F" w:rsidRPr="00080443">
        <w:rPr>
          <w:rFonts w:cs="Arial"/>
        </w:rPr>
        <w:t>procedures</w:t>
      </w:r>
      <w:r w:rsidR="008A60B8" w:rsidRPr="00080443">
        <w:rPr>
          <w:rFonts w:cs="Arial"/>
        </w:rPr>
        <w:t>, the online auction system</w:t>
      </w:r>
      <w:r w:rsidR="00FE207F" w:rsidRPr="00080443">
        <w:rPr>
          <w:rFonts w:cs="Arial"/>
        </w:rPr>
        <w:t>,</w:t>
      </w:r>
      <w:r w:rsidR="008A60B8" w:rsidRPr="00080443">
        <w:rPr>
          <w:rFonts w:cs="Arial"/>
        </w:rPr>
        <w:t xml:space="preserve"> and support and training opportunities for prospective bidders</w:t>
      </w:r>
      <w:r w:rsidR="00FE207F" w:rsidRPr="00080443">
        <w:rPr>
          <w:rFonts w:cs="Arial"/>
        </w:rPr>
        <w:t>.</w:t>
      </w:r>
    </w:p>
    <w:p w14:paraId="344491B1" w14:textId="77777777" w:rsidR="008A60B8" w:rsidRPr="00080443" w:rsidRDefault="00CD2C67" w:rsidP="00C21117">
      <w:pPr>
        <w:pStyle w:val="ListBullet"/>
        <w:rPr>
          <w:rFonts w:cs="Arial"/>
        </w:rPr>
      </w:pPr>
      <w:r w:rsidRPr="00080443">
        <w:rPr>
          <w:rFonts w:cs="Arial"/>
          <w:b/>
        </w:rPr>
        <w:t>Chapter 4: How do I participate in the auction?</w:t>
      </w:r>
      <w:r w:rsidR="00FE207F" w:rsidRPr="00080443">
        <w:rPr>
          <w:rFonts w:cs="Arial"/>
        </w:rPr>
        <w:t>—</w:t>
      </w:r>
      <w:r w:rsidR="008A60B8" w:rsidRPr="00080443">
        <w:rPr>
          <w:rFonts w:cs="Arial"/>
        </w:rPr>
        <w:t>provides a practical step-by-step guide to participating in the auction</w:t>
      </w:r>
      <w:r w:rsidR="00FE207F" w:rsidRPr="00080443">
        <w:rPr>
          <w:rFonts w:cs="Arial"/>
        </w:rPr>
        <w:t>,</w:t>
      </w:r>
      <w:r w:rsidR="008A60B8" w:rsidRPr="00080443">
        <w:rPr>
          <w:rFonts w:cs="Arial"/>
        </w:rPr>
        <w:t xml:space="preserve"> from the opening of applications to the issuing of licences</w:t>
      </w:r>
      <w:r w:rsidR="00FE207F" w:rsidRPr="00080443">
        <w:rPr>
          <w:rFonts w:cs="Arial"/>
        </w:rPr>
        <w:t>.</w:t>
      </w:r>
    </w:p>
    <w:p w14:paraId="459601D3" w14:textId="77777777" w:rsidR="008A60B8" w:rsidRPr="00080443" w:rsidRDefault="00CD2C67" w:rsidP="00C21117">
      <w:pPr>
        <w:pStyle w:val="ListBullet"/>
        <w:rPr>
          <w:rFonts w:cs="Arial"/>
        </w:rPr>
      </w:pPr>
      <w:r w:rsidRPr="00080443">
        <w:rPr>
          <w:rFonts w:cs="Arial"/>
          <w:b/>
        </w:rPr>
        <w:t>Chapter 5: Spectrum licensing and technical frameworks</w:t>
      </w:r>
      <w:r w:rsidR="00FE207F" w:rsidRPr="00080443">
        <w:rPr>
          <w:rFonts w:cs="Arial"/>
        </w:rPr>
        <w:t>—</w:t>
      </w:r>
      <w:r w:rsidR="008A60B8" w:rsidRPr="00080443">
        <w:rPr>
          <w:rFonts w:cs="Arial"/>
        </w:rPr>
        <w:t>provides information about the spectrum licensing and technical frameworks applicable to the spectrum on offer</w:t>
      </w:r>
      <w:r w:rsidR="00FE207F" w:rsidRPr="00080443">
        <w:rPr>
          <w:rFonts w:cs="Arial"/>
        </w:rPr>
        <w:t>.</w:t>
      </w:r>
    </w:p>
    <w:p w14:paraId="26D0E348" w14:textId="77777777" w:rsidR="008A60B8" w:rsidRPr="00080443" w:rsidRDefault="00CD2C67" w:rsidP="00C21117">
      <w:pPr>
        <w:pStyle w:val="ListBullet"/>
        <w:rPr>
          <w:rFonts w:cs="Arial"/>
        </w:rPr>
      </w:pPr>
      <w:r w:rsidRPr="00080443">
        <w:rPr>
          <w:rFonts w:cs="Arial"/>
          <w:b/>
        </w:rPr>
        <w:t>Chapter 6: Communicating with the ACMA</w:t>
      </w:r>
      <w:r w:rsidR="00FE207F" w:rsidRPr="00080443">
        <w:rPr>
          <w:rFonts w:cs="Arial"/>
        </w:rPr>
        <w:t>—</w:t>
      </w:r>
      <w:r w:rsidR="008A60B8" w:rsidRPr="00080443">
        <w:rPr>
          <w:rFonts w:cs="Arial"/>
        </w:rPr>
        <w:t>provides information about how the ACMA will keep stakeholders informed about developments leading up to the auction, and how stakeholders can submit queries, lodge auction documents and make payments to the ACMA</w:t>
      </w:r>
      <w:r w:rsidR="00FE207F" w:rsidRPr="00080443">
        <w:rPr>
          <w:rFonts w:cs="Arial"/>
        </w:rPr>
        <w:t>.</w:t>
      </w:r>
    </w:p>
    <w:p w14:paraId="36ABFCA6" w14:textId="77777777" w:rsidR="009515C8" w:rsidRPr="00080443" w:rsidRDefault="00CD2C67" w:rsidP="00C21117">
      <w:pPr>
        <w:pStyle w:val="ListBullet"/>
        <w:rPr>
          <w:rFonts w:cs="Arial"/>
        </w:rPr>
      </w:pPr>
      <w:r w:rsidRPr="00080443">
        <w:rPr>
          <w:rFonts w:cs="Arial"/>
          <w:b/>
        </w:rPr>
        <w:t>Attachments</w:t>
      </w:r>
      <w:r w:rsidRPr="00080443">
        <w:rPr>
          <w:rFonts w:cs="Arial"/>
        </w:rPr>
        <w:t>—includes:</w:t>
      </w:r>
    </w:p>
    <w:p w14:paraId="7F084EAF" w14:textId="77777777" w:rsidR="004309DB" w:rsidRPr="00080443" w:rsidRDefault="008A60B8">
      <w:pPr>
        <w:pStyle w:val="ListBullet2"/>
        <w:rPr>
          <w:rFonts w:cs="Arial"/>
        </w:rPr>
      </w:pPr>
      <w:r w:rsidRPr="00080443">
        <w:rPr>
          <w:rFonts w:cs="Arial"/>
        </w:rPr>
        <w:t>the instruments that provide the legal basis for the auction</w:t>
      </w:r>
    </w:p>
    <w:p w14:paraId="7CBF7C5E" w14:textId="77777777" w:rsidR="004309DB" w:rsidRPr="00080443" w:rsidRDefault="008A60B8">
      <w:pPr>
        <w:pStyle w:val="ListBullet2"/>
        <w:rPr>
          <w:rFonts w:cs="Arial"/>
        </w:rPr>
      </w:pPr>
      <w:r w:rsidRPr="00080443">
        <w:rPr>
          <w:rFonts w:cs="Arial"/>
        </w:rPr>
        <w:t>forms that auction participants may be required to complete</w:t>
      </w:r>
    </w:p>
    <w:p w14:paraId="59131876" w14:textId="77777777" w:rsidR="004309DB" w:rsidRPr="00080443" w:rsidRDefault="008A60B8">
      <w:pPr>
        <w:pStyle w:val="ListBullet2"/>
        <w:rPr>
          <w:rFonts w:cs="Arial"/>
        </w:rPr>
      </w:pPr>
      <w:r w:rsidRPr="00080443">
        <w:rPr>
          <w:rFonts w:cs="Arial"/>
        </w:rPr>
        <w:t xml:space="preserve">formal documentation of matters set by the ACMA to date under the auction </w:t>
      </w:r>
      <w:r w:rsidR="00DE4C5F" w:rsidRPr="00080443">
        <w:rPr>
          <w:rFonts w:cs="Arial"/>
        </w:rPr>
        <w:t>procedures</w:t>
      </w:r>
      <w:r w:rsidRPr="00080443">
        <w:rPr>
          <w:rFonts w:cs="Arial"/>
        </w:rPr>
        <w:t xml:space="preserve">. </w:t>
      </w:r>
    </w:p>
    <w:p w14:paraId="4C9E3983" w14:textId="77777777" w:rsidR="008D119A" w:rsidRPr="00080443" w:rsidRDefault="008D119A" w:rsidP="008D119A">
      <w:pPr>
        <w:pStyle w:val="ListBullet2"/>
        <w:numPr>
          <w:ilvl w:val="0"/>
          <w:numId w:val="0"/>
        </w:numPr>
        <w:rPr>
          <w:rFonts w:cs="Arial"/>
        </w:rPr>
      </w:pPr>
      <w:r w:rsidRPr="00080443">
        <w:rPr>
          <w:rFonts w:cs="Arial"/>
        </w:rPr>
        <w:t xml:space="preserve">Together, the </w:t>
      </w:r>
      <w:r w:rsidR="00A319F0" w:rsidRPr="00080443">
        <w:rPr>
          <w:rFonts w:cs="Arial"/>
          <w:i/>
        </w:rPr>
        <w:t>A</w:t>
      </w:r>
      <w:r w:rsidRPr="00080443">
        <w:rPr>
          <w:rFonts w:cs="Arial"/>
          <w:i/>
        </w:rPr>
        <w:t>uction guide</w:t>
      </w:r>
      <w:r w:rsidRPr="00080443">
        <w:rPr>
          <w:rFonts w:cs="Arial"/>
        </w:rPr>
        <w:t xml:space="preserve"> and its attachments form the </w:t>
      </w:r>
      <w:r w:rsidR="00A319F0" w:rsidRPr="00080443">
        <w:rPr>
          <w:rFonts w:cs="Arial"/>
          <w:i/>
        </w:rPr>
        <w:t>A</w:t>
      </w:r>
      <w:r w:rsidRPr="00080443">
        <w:rPr>
          <w:rFonts w:cs="Arial"/>
          <w:i/>
        </w:rPr>
        <w:t>pplica</w:t>
      </w:r>
      <w:r w:rsidR="0045639C" w:rsidRPr="00080443">
        <w:rPr>
          <w:rFonts w:cs="Arial"/>
          <w:i/>
        </w:rPr>
        <w:t>nt</w:t>
      </w:r>
      <w:r w:rsidRPr="00080443">
        <w:rPr>
          <w:rFonts w:cs="Arial"/>
          <w:i/>
        </w:rPr>
        <w:t xml:space="preserve"> information package</w:t>
      </w:r>
      <w:r w:rsidRPr="00080443">
        <w:rPr>
          <w:rFonts w:cs="Arial"/>
        </w:rPr>
        <w:t xml:space="preserve"> for the digital dividend auction.</w:t>
      </w:r>
    </w:p>
    <w:p w14:paraId="6D113DD7" w14:textId="77777777" w:rsidR="008A60B8" w:rsidRPr="00080443" w:rsidRDefault="008A60B8" w:rsidP="008A60B8">
      <w:pPr>
        <w:spacing w:before="80" w:after="120"/>
        <w:rPr>
          <w:rFonts w:cs="Arial"/>
          <w:b/>
        </w:rPr>
      </w:pPr>
    </w:p>
    <w:p w14:paraId="497E467C" w14:textId="77777777" w:rsidR="008A60B8" w:rsidRPr="00080443" w:rsidRDefault="008A60B8" w:rsidP="00234088">
      <w:pPr>
        <w:pStyle w:val="Heading2"/>
        <w:numPr>
          <w:ilvl w:val="1"/>
          <w:numId w:val="13"/>
        </w:numPr>
        <w:ind w:hanging="792"/>
      </w:pPr>
      <w:bookmarkStart w:id="13" w:name="_Toc335246225"/>
      <w:bookmarkStart w:id="14" w:name="_Toc343780434"/>
      <w:r w:rsidRPr="00080443">
        <w:lastRenderedPageBreak/>
        <w:t>Reallocation of the 700 MHz and 2.5 GHz bands</w:t>
      </w:r>
      <w:bookmarkEnd w:id="13"/>
      <w:bookmarkEnd w:id="14"/>
    </w:p>
    <w:p w14:paraId="0C62D3C0" w14:textId="77777777" w:rsidR="008A60B8" w:rsidRPr="00080443" w:rsidRDefault="008A60B8" w:rsidP="00234088">
      <w:pPr>
        <w:pStyle w:val="Heading3"/>
        <w:numPr>
          <w:ilvl w:val="2"/>
          <w:numId w:val="13"/>
        </w:numPr>
      </w:pPr>
      <w:bookmarkStart w:id="15" w:name="_Toc335246226"/>
      <w:bookmarkStart w:id="16" w:name="_Toc343780435"/>
      <w:r w:rsidRPr="00080443">
        <w:t>Ministerial spectrum reallocation declarations</w:t>
      </w:r>
      <w:bookmarkEnd w:id="15"/>
      <w:bookmarkEnd w:id="16"/>
    </w:p>
    <w:p w14:paraId="466211EA" w14:textId="77777777" w:rsidR="008A60B8" w:rsidRPr="00080443" w:rsidRDefault="008A60B8" w:rsidP="00C21117">
      <w:pPr>
        <w:spacing w:after="80"/>
        <w:rPr>
          <w:rFonts w:cs="Arial"/>
        </w:rPr>
      </w:pPr>
      <w:r w:rsidRPr="00080443">
        <w:rPr>
          <w:rFonts w:cs="Arial"/>
        </w:rPr>
        <w:t>On 1 November 2011, the Minister for Broadband, Communications and the Digital Economy, Senator Stephen Conroy, having considered recommendations made by the ACMA, made two spectrum reallocation declarations:</w:t>
      </w:r>
      <w:r w:rsidR="008400F2" w:rsidRPr="00080443">
        <w:rPr>
          <w:rFonts w:cs="Arial"/>
          <w:vertAlign w:val="superscript"/>
        </w:rPr>
        <w:footnoteReference w:id="1"/>
      </w:r>
    </w:p>
    <w:p w14:paraId="3B561B72" w14:textId="77777777" w:rsidR="008A60B8" w:rsidRPr="00080443" w:rsidRDefault="008A60B8" w:rsidP="00C21117">
      <w:pPr>
        <w:pStyle w:val="ListBullet"/>
        <w:rPr>
          <w:rFonts w:cs="Arial"/>
        </w:rPr>
      </w:pPr>
      <w:r w:rsidRPr="00080443">
        <w:rPr>
          <w:rFonts w:cs="Arial"/>
        </w:rPr>
        <w:t>The Radiocommunications (Spectrum Re-allocation) Declaration No.1 of 2011, which relates to the 700 MHz band</w:t>
      </w:r>
      <w:r w:rsidR="0003334F" w:rsidRPr="00080443">
        <w:rPr>
          <w:rFonts w:cs="Arial"/>
        </w:rPr>
        <w:t>—</w:t>
      </w:r>
      <w:r w:rsidRPr="00080443">
        <w:rPr>
          <w:rFonts w:cs="Arial"/>
        </w:rPr>
        <w:t xml:space="preserve">see declaration and explanatory statement at </w:t>
      </w:r>
      <w:r w:rsidR="00837369" w:rsidRPr="00080443">
        <w:rPr>
          <w:rFonts w:cs="Arial"/>
        </w:rPr>
        <w:t xml:space="preserve">Attachment </w:t>
      </w:r>
      <w:r w:rsidR="005D4EE4" w:rsidRPr="00080443">
        <w:rPr>
          <w:rFonts w:cs="Arial"/>
        </w:rPr>
        <w:t>J</w:t>
      </w:r>
      <w:r w:rsidR="00837369" w:rsidRPr="00080443">
        <w:rPr>
          <w:rFonts w:cs="Arial"/>
        </w:rPr>
        <w:t>.</w:t>
      </w:r>
      <w:r w:rsidRPr="00080443">
        <w:rPr>
          <w:rFonts w:cs="Arial"/>
        </w:rPr>
        <w:t xml:space="preserve"> </w:t>
      </w:r>
    </w:p>
    <w:p w14:paraId="7167AB4B" w14:textId="77777777" w:rsidR="008A60B8" w:rsidRPr="00080443" w:rsidRDefault="008A60B8" w:rsidP="00C21117">
      <w:pPr>
        <w:pStyle w:val="ListBullet"/>
        <w:spacing w:after="240"/>
        <w:rPr>
          <w:rFonts w:cs="Arial"/>
        </w:rPr>
      </w:pPr>
      <w:r w:rsidRPr="00080443">
        <w:rPr>
          <w:rFonts w:cs="Arial"/>
        </w:rPr>
        <w:t>The Radiocommunications (Spectrum Re-allocation) Declaration No. 2 of 2011, which relates to the 2.5 GHz band</w:t>
      </w:r>
      <w:r w:rsidR="0003334F" w:rsidRPr="00080443">
        <w:rPr>
          <w:rFonts w:cs="Arial"/>
        </w:rPr>
        <w:t>—</w:t>
      </w:r>
      <w:r w:rsidRPr="00080443">
        <w:rPr>
          <w:rFonts w:cs="Arial"/>
        </w:rPr>
        <w:t xml:space="preserve">see declaration and explanatory statement at </w:t>
      </w:r>
      <w:r w:rsidR="00837369" w:rsidRPr="00080443">
        <w:rPr>
          <w:rFonts w:cs="Arial"/>
        </w:rPr>
        <w:t xml:space="preserve">Attachment </w:t>
      </w:r>
      <w:r w:rsidR="005D4EE4" w:rsidRPr="00080443">
        <w:rPr>
          <w:rFonts w:cs="Arial"/>
        </w:rPr>
        <w:t>K</w:t>
      </w:r>
      <w:r w:rsidRPr="00080443">
        <w:rPr>
          <w:rFonts w:cs="Arial"/>
        </w:rPr>
        <w:t xml:space="preserve">. </w:t>
      </w:r>
    </w:p>
    <w:p w14:paraId="31235601" w14:textId="77777777" w:rsidR="008A60B8" w:rsidRPr="00080443" w:rsidRDefault="008A60B8" w:rsidP="00C21117">
      <w:pPr>
        <w:rPr>
          <w:rFonts w:cs="Arial"/>
        </w:rPr>
      </w:pPr>
      <w:r w:rsidRPr="00080443">
        <w:rPr>
          <w:rFonts w:cs="Arial"/>
        </w:rPr>
        <w:t xml:space="preserve">Together, the two declarations provided that the frequency bands 703–748 and </w:t>
      </w:r>
      <w:r w:rsidRPr="00080443">
        <w:rPr>
          <w:rFonts w:cs="Arial"/>
        </w:rPr>
        <w:br/>
        <w:t xml:space="preserve">758–803 MHz in the 700 MHz band, and 2500–2570 and 2620–2690 MHz in the 2.5 GHz band should be reallocated for issuing as spectrum licences. </w:t>
      </w:r>
    </w:p>
    <w:p w14:paraId="33A744A6" w14:textId="77777777" w:rsidR="00C21117" w:rsidRPr="00080443" w:rsidRDefault="00C21117" w:rsidP="00C21117">
      <w:pPr>
        <w:rPr>
          <w:rFonts w:cs="Arial"/>
        </w:rPr>
      </w:pPr>
    </w:p>
    <w:p w14:paraId="33015771" w14:textId="77777777" w:rsidR="008A60B8" w:rsidRPr="00080443" w:rsidRDefault="008A60B8" w:rsidP="00C21117">
      <w:pPr>
        <w:rPr>
          <w:rFonts w:cs="Arial"/>
        </w:rPr>
      </w:pPr>
      <w:r w:rsidRPr="00080443">
        <w:rPr>
          <w:rFonts w:cs="Arial"/>
        </w:rPr>
        <w:t xml:space="preserve">The declarations provide that the spectrum in both the 700 MHz and 2.5 GHz bands should be reallocated nationally, excluding the Mid-west Radio Quiet Zone (RQZ). The ACMA endeavours to maintain low levels of radiofrequency </w:t>
      </w:r>
      <w:r w:rsidR="004C20ED" w:rsidRPr="00080443">
        <w:rPr>
          <w:rFonts w:cs="Arial"/>
        </w:rPr>
        <w:t xml:space="preserve">emissions </w:t>
      </w:r>
      <w:r w:rsidRPr="00080443">
        <w:rPr>
          <w:rFonts w:cs="Arial"/>
        </w:rPr>
        <w:t xml:space="preserve">in the RQZ area (near </w:t>
      </w:r>
      <w:proofErr w:type="spellStart"/>
      <w:r w:rsidRPr="00080443">
        <w:rPr>
          <w:rFonts w:cs="Arial"/>
        </w:rPr>
        <w:t>Boolardy</w:t>
      </w:r>
      <w:proofErr w:type="spellEnd"/>
      <w:r w:rsidRPr="00080443">
        <w:rPr>
          <w:rFonts w:cs="Arial"/>
        </w:rPr>
        <w:t xml:space="preserve"> Station, approximately 200 kilometres west of Meekatharra in remote Western Australia) to facilitate the development and use of radioastronomy technologies at the Murchison Radio</w:t>
      </w:r>
      <w:r w:rsidR="0003334F" w:rsidRPr="00080443">
        <w:rPr>
          <w:rFonts w:cs="Arial"/>
        </w:rPr>
        <w:t>-a</w:t>
      </w:r>
      <w:r w:rsidRPr="00080443">
        <w:rPr>
          <w:rFonts w:cs="Arial"/>
        </w:rPr>
        <w:t>stronomy Observatory</w:t>
      </w:r>
      <w:r w:rsidR="0046618B" w:rsidRPr="00080443">
        <w:rPr>
          <w:rFonts w:cs="Arial"/>
        </w:rPr>
        <w:t xml:space="preserve"> (see 5.7.4)</w:t>
      </w:r>
      <w:r w:rsidRPr="00080443">
        <w:rPr>
          <w:rFonts w:cs="Arial"/>
        </w:rPr>
        <w:t xml:space="preserve">. </w:t>
      </w:r>
    </w:p>
    <w:p w14:paraId="55845A4C" w14:textId="77777777" w:rsidR="00C21117" w:rsidRPr="00080443" w:rsidRDefault="00C21117" w:rsidP="00C21117">
      <w:pPr>
        <w:rPr>
          <w:rFonts w:cs="Arial"/>
        </w:rPr>
      </w:pPr>
    </w:p>
    <w:p w14:paraId="5189040E" w14:textId="77777777" w:rsidR="008A60B8" w:rsidRPr="00080443" w:rsidRDefault="008A60B8" w:rsidP="00C21117">
      <w:pPr>
        <w:rPr>
          <w:rFonts w:cs="Arial"/>
        </w:rPr>
      </w:pPr>
      <w:r w:rsidRPr="00080443">
        <w:rPr>
          <w:rFonts w:cs="Arial"/>
        </w:rPr>
        <w:t xml:space="preserve">The decision to reallocate spectrum in the 700 MHz band came after the </w:t>
      </w:r>
      <w:r w:rsidR="0003334F" w:rsidRPr="00080443">
        <w:rPr>
          <w:rFonts w:cs="Arial"/>
        </w:rPr>
        <w:t>m</w:t>
      </w:r>
      <w:r w:rsidRPr="00080443">
        <w:rPr>
          <w:rFonts w:cs="Arial"/>
        </w:rPr>
        <w:t>inister directed the ACMA in July 2010 to clear 126 MHz of digital dividend spectrum (694–820 MHz) and reallocate that spectrum for new uses.</w:t>
      </w:r>
      <w:r w:rsidRPr="00080443">
        <w:rPr>
          <w:rFonts w:cs="Arial"/>
          <w:vertAlign w:val="superscript"/>
        </w:rPr>
        <w:footnoteReference w:id="2"/>
      </w:r>
      <w:r w:rsidRPr="00080443">
        <w:rPr>
          <w:rFonts w:cs="Arial"/>
        </w:rPr>
        <w:t xml:space="preserve"> </w:t>
      </w:r>
      <w:r w:rsidR="00740D06" w:rsidRPr="00080443">
        <w:rPr>
          <w:rFonts w:cs="Arial"/>
        </w:rPr>
        <w:t xml:space="preserve">The minister made the direction following public consultation through the </w:t>
      </w:r>
      <w:r w:rsidR="00740D06" w:rsidRPr="00080443">
        <w:rPr>
          <w:rFonts w:cs="Arial"/>
          <w:i/>
        </w:rPr>
        <w:t xml:space="preserve">Digital Dividend Green Paper, </w:t>
      </w:r>
      <w:r w:rsidR="00740D06" w:rsidRPr="00080443">
        <w:rPr>
          <w:rFonts w:cs="Arial"/>
        </w:rPr>
        <w:t>released in January 2010.</w:t>
      </w:r>
      <w:r w:rsidR="00740D06" w:rsidRPr="00080443">
        <w:rPr>
          <w:rStyle w:val="FootnoteReference"/>
          <w:rFonts w:cs="Arial"/>
        </w:rPr>
        <w:footnoteReference w:id="3"/>
      </w:r>
    </w:p>
    <w:p w14:paraId="106D5CE3" w14:textId="77777777" w:rsidR="00C21117" w:rsidRPr="00080443" w:rsidRDefault="00C21117" w:rsidP="00C21117">
      <w:pPr>
        <w:rPr>
          <w:rFonts w:cs="Arial"/>
        </w:rPr>
      </w:pPr>
    </w:p>
    <w:p w14:paraId="4E913519" w14:textId="77777777" w:rsidR="008A60B8" w:rsidRPr="00080443" w:rsidRDefault="008A60B8" w:rsidP="00C21117">
      <w:pPr>
        <w:rPr>
          <w:rFonts w:cs="Arial"/>
        </w:rPr>
      </w:pPr>
      <w:r w:rsidRPr="00080443">
        <w:rPr>
          <w:rFonts w:cs="Arial"/>
        </w:rPr>
        <w:t xml:space="preserve">The decision to allocate spectrum in the 2.5 GHz band followed an extensive </w:t>
      </w:r>
      <w:r w:rsidR="004D0530" w:rsidRPr="00080443">
        <w:rPr>
          <w:rFonts w:cs="Arial"/>
        </w:rPr>
        <w:t xml:space="preserve">ACMA </w:t>
      </w:r>
      <w:r w:rsidRPr="00080443">
        <w:rPr>
          <w:rFonts w:cs="Arial"/>
        </w:rPr>
        <w:t xml:space="preserve">review of that band during 2010. The review recommended the reallocation of 2.5 GHz band spectrum for new uses, especially wireless </w:t>
      </w:r>
      <w:r w:rsidR="004C20ED" w:rsidRPr="00080443">
        <w:rPr>
          <w:rFonts w:cs="Arial"/>
        </w:rPr>
        <w:t>access</w:t>
      </w:r>
      <w:r w:rsidRPr="00080443">
        <w:rPr>
          <w:rFonts w:cs="Arial"/>
        </w:rPr>
        <w:t xml:space="preserve"> services.</w:t>
      </w:r>
      <w:r w:rsidRPr="00080443">
        <w:rPr>
          <w:rFonts w:cs="Arial"/>
          <w:vertAlign w:val="superscript"/>
        </w:rPr>
        <w:footnoteReference w:id="4"/>
      </w:r>
    </w:p>
    <w:p w14:paraId="33AEE89C" w14:textId="77777777" w:rsidR="00C21117" w:rsidRPr="00080443" w:rsidRDefault="00C21117" w:rsidP="00C21117">
      <w:pPr>
        <w:rPr>
          <w:rFonts w:cs="Arial"/>
        </w:rPr>
      </w:pPr>
    </w:p>
    <w:p w14:paraId="581E6B0F" w14:textId="77777777" w:rsidR="008A60B8" w:rsidRPr="00080443" w:rsidRDefault="00B3631F" w:rsidP="00B3631F">
      <w:pPr>
        <w:pStyle w:val="Heading3"/>
        <w:numPr>
          <w:ilvl w:val="2"/>
          <w:numId w:val="13"/>
        </w:numPr>
      </w:pPr>
      <w:bookmarkStart w:id="17" w:name="_Toc335246227"/>
      <w:bookmarkStart w:id="18" w:name="_Toc343780436"/>
      <w:r w:rsidRPr="00080443">
        <w:t>Effect of a reallocation declaration</w:t>
      </w:r>
      <w:bookmarkEnd w:id="17"/>
      <w:bookmarkEnd w:id="18"/>
    </w:p>
    <w:p w14:paraId="21FDF5BE" w14:textId="77777777" w:rsidR="008A60B8" w:rsidRPr="00080443" w:rsidRDefault="008A60B8" w:rsidP="00C21117">
      <w:pPr>
        <w:rPr>
          <w:rFonts w:cs="Arial"/>
        </w:rPr>
      </w:pPr>
      <w:r w:rsidRPr="00080443">
        <w:rPr>
          <w:rFonts w:cs="Arial"/>
        </w:rPr>
        <w:t>Ordinarily, a spectrum reallocation declaration has the effect of cancelling apparatus licences in the spectrum to be reallocated, at the end of the ‘reallocation period’ specified in the declaration.</w:t>
      </w:r>
      <w:r w:rsidR="00034062" w:rsidRPr="00080443">
        <w:rPr>
          <w:rStyle w:val="FootnoteReference"/>
          <w:rFonts w:cs="Arial"/>
        </w:rPr>
        <w:footnoteReference w:id="5"/>
      </w:r>
      <w:r w:rsidRPr="00080443">
        <w:rPr>
          <w:rFonts w:cs="Arial"/>
        </w:rPr>
        <w:t xml:space="preserve"> </w:t>
      </w:r>
    </w:p>
    <w:p w14:paraId="26C944F4" w14:textId="77777777" w:rsidR="00C21117" w:rsidRPr="00080443" w:rsidRDefault="00C21117" w:rsidP="00C21117">
      <w:pPr>
        <w:rPr>
          <w:rFonts w:cs="Arial"/>
        </w:rPr>
      </w:pPr>
    </w:p>
    <w:p w14:paraId="126710B2" w14:textId="77777777" w:rsidR="008A60B8" w:rsidRPr="00080443" w:rsidRDefault="008A60B8" w:rsidP="00C21117">
      <w:pPr>
        <w:rPr>
          <w:rFonts w:cs="Arial"/>
        </w:rPr>
      </w:pPr>
      <w:r w:rsidRPr="00080443">
        <w:rPr>
          <w:rFonts w:cs="Arial"/>
        </w:rPr>
        <w:t>This is the case in the 2.5 GHz band, meaning that any apparatus licences remaining in this band at the end of the reallocation period (that is, 30 September 2014, or 31 January 2016 for the ‘Perth Area’</w:t>
      </w:r>
      <w:r w:rsidRPr="00080443">
        <w:rPr>
          <w:rStyle w:val="FootnoteReference"/>
          <w:rFonts w:cs="Arial"/>
        </w:rPr>
        <w:footnoteReference w:id="6"/>
      </w:r>
      <w:r w:rsidRPr="00080443">
        <w:rPr>
          <w:rFonts w:cs="Arial"/>
        </w:rPr>
        <w:t xml:space="preserve">) are automatically cancelled. </w:t>
      </w:r>
      <w:r w:rsidR="00524DBD" w:rsidRPr="00080443">
        <w:rPr>
          <w:rFonts w:cs="Arial"/>
        </w:rPr>
        <w:t>C</w:t>
      </w:r>
      <w:r w:rsidRPr="00080443">
        <w:rPr>
          <w:rFonts w:cs="Arial"/>
        </w:rPr>
        <w:t>ancell</w:t>
      </w:r>
      <w:r w:rsidR="00524DBD" w:rsidRPr="00080443">
        <w:rPr>
          <w:rFonts w:cs="Arial"/>
        </w:rPr>
        <w:t>ing</w:t>
      </w:r>
      <w:r w:rsidRPr="00080443">
        <w:rPr>
          <w:rFonts w:cs="Arial"/>
        </w:rPr>
        <w:t xml:space="preserve"> the remaining apparatus licences will leave the 2.5 GHz spectrum free for </w:t>
      </w:r>
      <w:r w:rsidR="00524DBD" w:rsidRPr="00080443">
        <w:rPr>
          <w:rFonts w:cs="Arial"/>
        </w:rPr>
        <w:t xml:space="preserve">new licensees to </w:t>
      </w:r>
      <w:r w:rsidRPr="00080443">
        <w:rPr>
          <w:rFonts w:cs="Arial"/>
        </w:rPr>
        <w:t xml:space="preserve">use from those dates. Spectrum licences for the 2.5 GHz band that are issued as a </w:t>
      </w:r>
      <w:r w:rsidRPr="00080443">
        <w:rPr>
          <w:rFonts w:cs="Arial"/>
        </w:rPr>
        <w:lastRenderedPageBreak/>
        <w:t xml:space="preserve">result of the auction will commence in alignment with the reallocation period end dates (see 2.3.2). </w:t>
      </w:r>
    </w:p>
    <w:p w14:paraId="16F83E27" w14:textId="77777777" w:rsidR="00C21117" w:rsidRPr="00080443" w:rsidRDefault="00C21117" w:rsidP="00C21117">
      <w:pPr>
        <w:rPr>
          <w:rFonts w:cs="Arial"/>
        </w:rPr>
      </w:pPr>
    </w:p>
    <w:p w14:paraId="4C752E91" w14:textId="77777777" w:rsidR="00B3631F" w:rsidRPr="00080443" w:rsidRDefault="008A60B8" w:rsidP="00C21117">
      <w:pPr>
        <w:rPr>
          <w:rFonts w:cs="Arial"/>
        </w:rPr>
      </w:pPr>
      <w:r w:rsidRPr="00080443">
        <w:rPr>
          <w:rFonts w:cs="Arial"/>
        </w:rPr>
        <w:t>However, in the 700 MHz band, the declared spectrum lies in the broadcasting services bands.</w:t>
      </w:r>
      <w:r w:rsidR="00B740BE" w:rsidRPr="00080443">
        <w:rPr>
          <w:rStyle w:val="FootnoteReference"/>
          <w:rFonts w:cs="Arial"/>
        </w:rPr>
        <w:footnoteReference w:id="7"/>
      </w:r>
      <w:r w:rsidRPr="00080443">
        <w:rPr>
          <w:rFonts w:cs="Arial"/>
        </w:rPr>
        <w:t xml:space="preserve"> </w:t>
      </w:r>
      <w:r w:rsidR="00B3631F" w:rsidRPr="00080443">
        <w:rPr>
          <w:rFonts w:cs="Arial"/>
        </w:rPr>
        <w:t xml:space="preserve">As a result, while some apparatus licences operating in this spectrum are cancelled as a result of the spectrum allocation declaration, others are not. This point is discussed further below. </w:t>
      </w:r>
    </w:p>
    <w:p w14:paraId="468846B2" w14:textId="77777777" w:rsidR="00B3631F" w:rsidRPr="00080443" w:rsidRDefault="00B3631F" w:rsidP="00C21117">
      <w:pPr>
        <w:rPr>
          <w:rFonts w:cs="Arial"/>
        </w:rPr>
      </w:pPr>
    </w:p>
    <w:p w14:paraId="750CE238" w14:textId="77777777" w:rsidR="00B3631F" w:rsidRPr="00080443" w:rsidRDefault="00B3631F" w:rsidP="00B3631F">
      <w:pPr>
        <w:pStyle w:val="Heading3"/>
        <w:numPr>
          <w:ilvl w:val="2"/>
          <w:numId w:val="13"/>
        </w:numPr>
        <w:rPr>
          <w:szCs w:val="20"/>
        </w:rPr>
      </w:pPr>
      <w:bookmarkStart w:id="19" w:name="_Toc335246228"/>
      <w:bookmarkStart w:id="20" w:name="_Toc343780437"/>
      <w:r w:rsidRPr="00080443">
        <w:rPr>
          <w:szCs w:val="20"/>
        </w:rPr>
        <w:t>Licences to be cleared from the declared spectrum</w:t>
      </w:r>
      <w:bookmarkEnd w:id="19"/>
      <w:bookmarkEnd w:id="20"/>
    </w:p>
    <w:p w14:paraId="0A4F6A18" w14:textId="77777777" w:rsidR="00B3631F" w:rsidRPr="00080443" w:rsidRDefault="00B3631F" w:rsidP="00B3631F">
      <w:pPr>
        <w:rPr>
          <w:rFonts w:cs="Arial"/>
        </w:rPr>
      </w:pPr>
      <w:r w:rsidRPr="00080443">
        <w:rPr>
          <w:rFonts w:cs="Arial"/>
        </w:rPr>
        <w:t>There are a number of different licences currently operating in the declared spectrum, which will be cleared to make way for new spectrum licensees. The mechanism used to clear the services will depend on the particular type of licence the incumbent licensee holds.</w:t>
      </w:r>
    </w:p>
    <w:p w14:paraId="23A5D5FD" w14:textId="77777777" w:rsidR="00B3631F" w:rsidRPr="00080443" w:rsidRDefault="00B3631F" w:rsidP="00B3631F">
      <w:pPr>
        <w:rPr>
          <w:rFonts w:cs="Arial"/>
        </w:rPr>
      </w:pPr>
    </w:p>
    <w:p w14:paraId="2C0F1863" w14:textId="77777777" w:rsidR="00B3631F" w:rsidRPr="00080443" w:rsidRDefault="00B3631F" w:rsidP="00B3631F">
      <w:pPr>
        <w:rPr>
          <w:rFonts w:cs="Arial"/>
        </w:rPr>
      </w:pPr>
      <w:r w:rsidRPr="00080443">
        <w:rPr>
          <w:rFonts w:cs="Arial"/>
        </w:rPr>
        <w:t>In the 2.5 GHz band</w:t>
      </w:r>
      <w:r w:rsidR="0011686F" w:rsidRPr="00080443">
        <w:rPr>
          <w:rFonts w:cs="Arial"/>
        </w:rPr>
        <w:t>,</w:t>
      </w:r>
      <w:r w:rsidRPr="00080443">
        <w:rPr>
          <w:rFonts w:cs="Arial"/>
        </w:rPr>
        <w:t xml:space="preserve"> there are apparatus licences (issued under section 100 of the Act), primarily for electronic news gathering (ENG) services.</w:t>
      </w:r>
    </w:p>
    <w:p w14:paraId="5A2760C2" w14:textId="77777777" w:rsidR="00B3631F" w:rsidRPr="00080443" w:rsidRDefault="00B3631F" w:rsidP="00B3631F">
      <w:pPr>
        <w:rPr>
          <w:rFonts w:cs="Arial"/>
        </w:rPr>
      </w:pPr>
    </w:p>
    <w:p w14:paraId="33B7E7AA" w14:textId="77777777" w:rsidR="00B3631F" w:rsidRPr="00080443" w:rsidRDefault="00B3631F" w:rsidP="0011686F">
      <w:pPr>
        <w:spacing w:after="80"/>
        <w:rPr>
          <w:rFonts w:cs="Arial"/>
        </w:rPr>
      </w:pPr>
      <w:r w:rsidRPr="00080443">
        <w:rPr>
          <w:rFonts w:cs="Arial"/>
        </w:rPr>
        <w:t>In the 700 MHz band there are:</w:t>
      </w:r>
    </w:p>
    <w:p w14:paraId="313F41E5" w14:textId="77777777" w:rsidR="00B3631F" w:rsidRPr="00080443" w:rsidRDefault="00B3631F" w:rsidP="00B3631F">
      <w:pPr>
        <w:pStyle w:val="ListBullet"/>
        <w:rPr>
          <w:rFonts w:cs="Arial"/>
        </w:rPr>
      </w:pPr>
      <w:r w:rsidRPr="00080443">
        <w:rPr>
          <w:rFonts w:cs="Arial"/>
        </w:rPr>
        <w:t>apparatus licences (issued under section 100, 100B, 102 or 102A of the Act) for delivery of commercial, national or community television broadcasting services</w:t>
      </w:r>
    </w:p>
    <w:p w14:paraId="62CFBF90" w14:textId="77777777" w:rsidR="00B3631F" w:rsidRPr="00080443" w:rsidRDefault="00B3631F" w:rsidP="00B3631F">
      <w:pPr>
        <w:pStyle w:val="ListBullet"/>
        <w:rPr>
          <w:rFonts w:cs="Arial"/>
        </w:rPr>
      </w:pPr>
      <w:r w:rsidRPr="00080443">
        <w:rPr>
          <w:rFonts w:cs="Arial"/>
        </w:rPr>
        <w:t xml:space="preserve">apparatus licences (issued under section 100 of the Act) for the retransmission of </w:t>
      </w:r>
      <w:r w:rsidR="00C3741F" w:rsidRPr="00080443">
        <w:rPr>
          <w:rFonts w:cs="Arial"/>
        </w:rPr>
        <w:t xml:space="preserve">television </w:t>
      </w:r>
      <w:r w:rsidRPr="00080443">
        <w:rPr>
          <w:rFonts w:cs="Arial"/>
        </w:rPr>
        <w:t xml:space="preserve">broadcasting services, temporary delivery of commercial television services in digital mode or delivery of open narrowcasting services  </w:t>
      </w:r>
    </w:p>
    <w:p w14:paraId="56F4DB31" w14:textId="77777777" w:rsidR="00B3631F" w:rsidRPr="00080443" w:rsidRDefault="00B3631F" w:rsidP="004E4BE5">
      <w:pPr>
        <w:pStyle w:val="ListBullet"/>
        <w:spacing w:after="240"/>
        <w:rPr>
          <w:rFonts w:cs="Arial"/>
        </w:rPr>
      </w:pPr>
      <w:r w:rsidRPr="00080443">
        <w:rPr>
          <w:rFonts w:cs="Arial"/>
        </w:rPr>
        <w:t>class licences (issued under section 132 of the Act) for low interference potential devices, such as wireless microphones.</w:t>
      </w:r>
    </w:p>
    <w:p w14:paraId="0A89C584" w14:textId="77777777" w:rsidR="00B3631F" w:rsidRPr="00080443" w:rsidRDefault="00B3631F" w:rsidP="00B3631F">
      <w:pPr>
        <w:rPr>
          <w:rFonts w:cs="Arial"/>
        </w:rPr>
      </w:pPr>
      <w:r w:rsidRPr="00080443">
        <w:rPr>
          <w:rFonts w:cs="Arial"/>
        </w:rPr>
        <w:t xml:space="preserve">The mechanism being used to clear each licence type </w:t>
      </w:r>
      <w:r w:rsidR="00893055" w:rsidRPr="00080443">
        <w:rPr>
          <w:rFonts w:cs="Arial"/>
        </w:rPr>
        <w:t xml:space="preserve">from the declared spectrum </w:t>
      </w:r>
      <w:r w:rsidRPr="00080443">
        <w:rPr>
          <w:rFonts w:cs="Arial"/>
        </w:rPr>
        <w:t>is described under the following headings.</w:t>
      </w:r>
    </w:p>
    <w:p w14:paraId="626AFCD8" w14:textId="77777777" w:rsidR="00B3631F" w:rsidRPr="00080443" w:rsidRDefault="00B3631F" w:rsidP="00C21117">
      <w:pPr>
        <w:rPr>
          <w:rFonts w:cs="Arial"/>
        </w:rPr>
      </w:pPr>
    </w:p>
    <w:p w14:paraId="3D72C488" w14:textId="77777777" w:rsidR="00B3631F" w:rsidRPr="00080443" w:rsidRDefault="00B3631F" w:rsidP="00B3631F">
      <w:pPr>
        <w:pStyle w:val="Heading3"/>
        <w:numPr>
          <w:ilvl w:val="2"/>
          <w:numId w:val="13"/>
        </w:numPr>
      </w:pPr>
      <w:bookmarkStart w:id="21" w:name="_Toc335246229"/>
      <w:bookmarkStart w:id="22" w:name="_Toc343780438"/>
      <w:r w:rsidRPr="00080443">
        <w:t>Clearance of the declared spectrum</w:t>
      </w:r>
      <w:r w:rsidR="004E4BE5" w:rsidRPr="00080443">
        <w:t>—</w:t>
      </w:r>
      <w:r w:rsidRPr="00080443">
        <w:t>2.5 GHz band</w:t>
      </w:r>
      <w:bookmarkEnd w:id="21"/>
      <w:bookmarkEnd w:id="22"/>
    </w:p>
    <w:p w14:paraId="76EA7BFB" w14:textId="77777777" w:rsidR="00B3631F" w:rsidRPr="00080443" w:rsidRDefault="00B3631F" w:rsidP="004E4BE5">
      <w:pPr>
        <w:pStyle w:val="Bodysubheader"/>
        <w:rPr>
          <w:rFonts w:cs="Arial"/>
        </w:rPr>
      </w:pPr>
      <w:r w:rsidRPr="00080443">
        <w:rPr>
          <w:rFonts w:cs="Arial"/>
        </w:rPr>
        <w:t>Apparatus licences for electronic news gathering and other services</w:t>
      </w:r>
    </w:p>
    <w:p w14:paraId="1CA33F93" w14:textId="77777777" w:rsidR="00B3631F" w:rsidRPr="00080443" w:rsidRDefault="00B3631F" w:rsidP="00B3631F">
      <w:pPr>
        <w:rPr>
          <w:rFonts w:cs="Arial"/>
        </w:rPr>
      </w:pPr>
      <w:r w:rsidRPr="00080443">
        <w:rPr>
          <w:rFonts w:cs="Arial"/>
        </w:rPr>
        <w:t xml:space="preserve">The apparatus licences issued under section 100 of the Act, primarily for ENG services, will be automatically cancelled at the end of the reallocation period as a result of the spectrum reallocation declaration. </w:t>
      </w:r>
    </w:p>
    <w:p w14:paraId="3DCAB9C0" w14:textId="77777777" w:rsidR="00B3631F" w:rsidRPr="00080443" w:rsidRDefault="00B3631F" w:rsidP="00B3631F">
      <w:pPr>
        <w:rPr>
          <w:rFonts w:cs="Arial"/>
        </w:rPr>
      </w:pPr>
    </w:p>
    <w:p w14:paraId="2544E24E" w14:textId="77777777" w:rsidR="00B3631F" w:rsidRPr="00080443" w:rsidRDefault="00B3631F" w:rsidP="00B3631F">
      <w:pPr>
        <w:rPr>
          <w:rFonts w:cs="Arial"/>
        </w:rPr>
      </w:pPr>
      <w:r w:rsidRPr="00080443">
        <w:rPr>
          <w:rFonts w:cs="Arial"/>
        </w:rPr>
        <w:t xml:space="preserve">The ACMA is making alternative bands available for these apparatus licensees to relocate to. Further information about this process is available on the ACMA </w:t>
      </w:r>
      <w:hyperlink r:id="rId24" w:history="1">
        <w:r w:rsidR="00A23DA9" w:rsidRPr="00080443">
          <w:rPr>
            <w:rStyle w:val="Hyperlink"/>
            <w:rFonts w:cs="Arial"/>
            <w:szCs w:val="20"/>
          </w:rPr>
          <w:t>website</w:t>
        </w:r>
      </w:hyperlink>
      <w:r w:rsidRPr="00080443">
        <w:rPr>
          <w:rFonts w:cs="Arial"/>
        </w:rPr>
        <w:t>.</w:t>
      </w:r>
    </w:p>
    <w:p w14:paraId="5EAA7EDC" w14:textId="77777777" w:rsidR="00B3631F" w:rsidRPr="00080443" w:rsidRDefault="00B3631F" w:rsidP="00C21117">
      <w:pPr>
        <w:rPr>
          <w:rFonts w:cs="Arial"/>
        </w:rPr>
      </w:pPr>
    </w:p>
    <w:p w14:paraId="4DD1A46C" w14:textId="77777777" w:rsidR="00B3631F" w:rsidRPr="00080443" w:rsidRDefault="00B3631F" w:rsidP="00B3631F">
      <w:pPr>
        <w:pStyle w:val="Heading3"/>
        <w:numPr>
          <w:ilvl w:val="2"/>
          <w:numId w:val="13"/>
        </w:numPr>
      </w:pPr>
      <w:bookmarkStart w:id="23" w:name="_Toc335246230"/>
      <w:bookmarkStart w:id="24" w:name="_Toc343780439"/>
      <w:r w:rsidRPr="00080443">
        <w:t>Clearance of the declared spectrum</w:t>
      </w:r>
      <w:r w:rsidR="00295766" w:rsidRPr="00080443">
        <w:t>—</w:t>
      </w:r>
      <w:r w:rsidRPr="00080443">
        <w:t>700 MHz band</w:t>
      </w:r>
      <w:bookmarkEnd w:id="23"/>
      <w:bookmarkEnd w:id="24"/>
    </w:p>
    <w:p w14:paraId="7E9DAFA7" w14:textId="77777777" w:rsidR="00B3631F" w:rsidRPr="00080443" w:rsidRDefault="00B3631F" w:rsidP="00B3631F">
      <w:pPr>
        <w:pStyle w:val="Bodysubheader"/>
        <w:rPr>
          <w:rFonts w:cs="Arial"/>
        </w:rPr>
      </w:pPr>
      <w:r w:rsidRPr="00080443">
        <w:rPr>
          <w:rFonts w:cs="Arial"/>
        </w:rPr>
        <w:t>Apparatus licences for commercial, national or community broadcasting services</w:t>
      </w:r>
    </w:p>
    <w:p w14:paraId="02689381" w14:textId="77777777" w:rsidR="00B3631F" w:rsidRPr="00080443" w:rsidRDefault="00B3631F" w:rsidP="00B3631F">
      <w:pPr>
        <w:rPr>
          <w:rFonts w:cs="Arial"/>
          <w:szCs w:val="20"/>
        </w:rPr>
      </w:pPr>
      <w:r w:rsidRPr="00080443">
        <w:rPr>
          <w:rFonts w:cs="Arial"/>
          <w:szCs w:val="20"/>
        </w:rPr>
        <w:t xml:space="preserve">The apparatus licences issued under section 100, 100B, 102 or 102A of the Act for commercial, national or community television broadcasting services are </w:t>
      </w:r>
      <w:r w:rsidRPr="00080443">
        <w:rPr>
          <w:rFonts w:cs="Arial"/>
          <w:i/>
          <w:szCs w:val="20"/>
        </w:rPr>
        <w:t>not</w:t>
      </w:r>
      <w:r w:rsidRPr="00080443">
        <w:rPr>
          <w:rFonts w:cs="Arial"/>
          <w:szCs w:val="20"/>
        </w:rPr>
        <w:t xml:space="preserve"> cancelled as a result of the spectrum reallocation declaration. </w:t>
      </w:r>
    </w:p>
    <w:p w14:paraId="00EF7CD5" w14:textId="77777777" w:rsidR="00B3631F" w:rsidRPr="00080443" w:rsidRDefault="00B3631F" w:rsidP="00B3631F">
      <w:pPr>
        <w:rPr>
          <w:rFonts w:cs="Arial"/>
          <w:szCs w:val="20"/>
        </w:rPr>
      </w:pPr>
    </w:p>
    <w:p w14:paraId="7E9496FF" w14:textId="77777777" w:rsidR="00B3631F" w:rsidRPr="00080443" w:rsidRDefault="00B3631F" w:rsidP="00B3631F">
      <w:pPr>
        <w:rPr>
          <w:rFonts w:cs="Arial"/>
          <w:szCs w:val="20"/>
        </w:rPr>
      </w:pPr>
      <w:r w:rsidRPr="00080443">
        <w:rPr>
          <w:rFonts w:cs="Arial"/>
          <w:szCs w:val="20"/>
        </w:rPr>
        <w:t>Instead, these licences will be cleared from the band through television licence area plans (TLAPs) prepared by the ACMA under subsection 26(1B) of the Broadcasting Services Act.</w:t>
      </w:r>
      <w:r w:rsidRPr="00080443">
        <w:rPr>
          <w:rFonts w:cs="Arial"/>
          <w:szCs w:val="20"/>
          <w:vertAlign w:val="superscript"/>
        </w:rPr>
        <w:footnoteReference w:id="8"/>
      </w:r>
      <w:r w:rsidR="00023247" w:rsidRPr="00080443">
        <w:rPr>
          <w:rFonts w:cs="Arial"/>
          <w:vertAlign w:val="superscript"/>
        </w:rPr>
        <w:t xml:space="preserve"> </w:t>
      </w:r>
      <w:r w:rsidRPr="00080443">
        <w:rPr>
          <w:rFonts w:cs="Arial"/>
          <w:szCs w:val="20"/>
        </w:rPr>
        <w:t xml:space="preserve">TLAPs allow the ACMA to set a date, or range of dates, within which broadcasting services must vacate the reallocated spectrum and move to other channels. In some cases, services will move to channels identified in </w:t>
      </w:r>
      <w:r w:rsidR="006F0994" w:rsidRPr="00080443">
        <w:rPr>
          <w:rFonts w:cs="Arial"/>
          <w:szCs w:val="20"/>
        </w:rPr>
        <w:t>d</w:t>
      </w:r>
      <w:r w:rsidRPr="00080443">
        <w:rPr>
          <w:rFonts w:cs="Arial"/>
          <w:szCs w:val="20"/>
        </w:rPr>
        <w:t xml:space="preserve">igital </w:t>
      </w:r>
      <w:r w:rsidR="006F0994" w:rsidRPr="00080443">
        <w:rPr>
          <w:rFonts w:cs="Arial"/>
          <w:szCs w:val="20"/>
        </w:rPr>
        <w:t>c</w:t>
      </w:r>
      <w:r w:rsidRPr="00080443">
        <w:rPr>
          <w:rFonts w:cs="Arial"/>
          <w:szCs w:val="20"/>
        </w:rPr>
        <w:t xml:space="preserve">hannel </w:t>
      </w:r>
      <w:r w:rsidR="006F0994" w:rsidRPr="00080443">
        <w:rPr>
          <w:rFonts w:cs="Arial"/>
          <w:szCs w:val="20"/>
        </w:rPr>
        <w:lastRenderedPageBreak/>
        <w:t>p</w:t>
      </w:r>
      <w:r w:rsidRPr="00080443">
        <w:rPr>
          <w:rFonts w:cs="Arial"/>
          <w:szCs w:val="20"/>
        </w:rPr>
        <w:t>lans (DCPs) where the changes take place before the relevant TLAP can take effect.</w:t>
      </w:r>
      <w:r w:rsidRPr="00080443">
        <w:rPr>
          <w:rStyle w:val="FootnoteReference"/>
          <w:rFonts w:cs="Arial"/>
          <w:szCs w:val="20"/>
        </w:rPr>
        <w:footnoteReference w:id="9"/>
      </w:r>
      <w:r w:rsidRPr="00080443">
        <w:rPr>
          <w:rFonts w:cs="Arial"/>
          <w:szCs w:val="20"/>
        </w:rPr>
        <w:t xml:space="preserve"> This process of moving broadcasting services to other channels, which will occur on an area-by-area basis, is referred to as ‘restack’. </w:t>
      </w:r>
    </w:p>
    <w:p w14:paraId="2571BE80" w14:textId="77777777" w:rsidR="00B3631F" w:rsidRPr="00080443" w:rsidRDefault="00B3631F" w:rsidP="00B3631F">
      <w:pPr>
        <w:rPr>
          <w:rFonts w:cs="Arial"/>
        </w:rPr>
      </w:pPr>
    </w:p>
    <w:p w14:paraId="17A603B4" w14:textId="77777777" w:rsidR="00B079D9" w:rsidRPr="00080443" w:rsidRDefault="00B3631F" w:rsidP="00B3631F">
      <w:pPr>
        <w:rPr>
          <w:rFonts w:cs="Arial"/>
          <w:szCs w:val="20"/>
        </w:rPr>
      </w:pPr>
      <w:r w:rsidRPr="00080443">
        <w:rPr>
          <w:rFonts w:cs="Arial"/>
          <w:szCs w:val="20"/>
        </w:rPr>
        <w:t>In June 2012</w:t>
      </w:r>
      <w:r w:rsidR="00B079D9" w:rsidRPr="00080443">
        <w:rPr>
          <w:rFonts w:cs="Arial"/>
          <w:szCs w:val="20"/>
        </w:rPr>
        <w:t>,</w:t>
      </w:r>
      <w:r w:rsidRPr="00080443">
        <w:rPr>
          <w:rFonts w:cs="Arial"/>
          <w:szCs w:val="20"/>
        </w:rPr>
        <w:t xml:space="preserve"> the government announced its expectation that the restack process would be completed by 31 December 2014 and that it had committed $143.2 million in the 2012</w:t>
      </w:r>
      <w:r w:rsidR="00B079D9" w:rsidRPr="00080443">
        <w:rPr>
          <w:rFonts w:cs="Arial"/>
          <w:szCs w:val="20"/>
        </w:rPr>
        <w:t>–</w:t>
      </w:r>
      <w:r w:rsidRPr="00080443">
        <w:rPr>
          <w:rFonts w:cs="Arial"/>
          <w:szCs w:val="20"/>
        </w:rPr>
        <w:t>13 Budget to ensure that the declared parts of the 700 MHz band would be released in a timely fashion with minimal disruption for viewers.</w:t>
      </w:r>
      <w:r w:rsidR="0060309F" w:rsidRPr="00080443">
        <w:rPr>
          <w:rStyle w:val="FootnoteReference"/>
          <w:rFonts w:cs="Arial"/>
          <w:szCs w:val="20"/>
        </w:rPr>
        <w:footnoteReference w:id="10"/>
      </w:r>
      <w:r w:rsidRPr="00080443">
        <w:rPr>
          <w:rFonts w:cs="Arial"/>
          <w:szCs w:val="20"/>
        </w:rPr>
        <w:t xml:space="preserve"> The Department of Broadband, Communications and the Digital Economy (DBCDE) subsequently engaged Broadcast Australia to develop a nationwide restack implementation timetable in consultation with the broadcasting industry. </w:t>
      </w:r>
    </w:p>
    <w:p w14:paraId="56E8C3A4" w14:textId="77777777" w:rsidR="00B079D9" w:rsidRPr="00080443" w:rsidRDefault="00B079D9" w:rsidP="00B3631F">
      <w:pPr>
        <w:rPr>
          <w:rFonts w:cs="Arial"/>
          <w:szCs w:val="20"/>
        </w:rPr>
      </w:pPr>
    </w:p>
    <w:p w14:paraId="3AA64DB5" w14:textId="77777777" w:rsidR="00B079D9" w:rsidRPr="00080443" w:rsidRDefault="00104B5D" w:rsidP="00B3631F">
      <w:pPr>
        <w:rPr>
          <w:rFonts w:cs="Arial"/>
          <w:szCs w:val="20"/>
        </w:rPr>
      </w:pPr>
      <w:r w:rsidRPr="00080443">
        <w:rPr>
          <w:rFonts w:cs="Arial"/>
          <w:szCs w:val="20"/>
        </w:rPr>
        <w:t>An</w:t>
      </w:r>
      <w:r w:rsidR="00B3631F" w:rsidRPr="00080443">
        <w:rPr>
          <w:rFonts w:cs="Arial"/>
          <w:szCs w:val="20"/>
        </w:rPr>
        <w:t xml:space="preserve"> indicative timetable</w:t>
      </w:r>
      <w:r w:rsidR="00993A69" w:rsidRPr="00080443">
        <w:rPr>
          <w:rFonts w:cs="Arial"/>
          <w:szCs w:val="20"/>
        </w:rPr>
        <w:t xml:space="preserve"> </w:t>
      </w:r>
      <w:r w:rsidR="00A954E8" w:rsidRPr="00080443">
        <w:rPr>
          <w:rFonts w:cs="Arial"/>
          <w:szCs w:val="20"/>
        </w:rPr>
        <w:t xml:space="preserve">(which includes an outline of the restack process and resourcing, and sets out the underlying assumptions that informed the development of the timetable) </w:t>
      </w:r>
      <w:r w:rsidR="009039AF" w:rsidRPr="00080443">
        <w:rPr>
          <w:rFonts w:cs="Arial"/>
          <w:szCs w:val="20"/>
        </w:rPr>
        <w:t xml:space="preserve">was published on </w:t>
      </w:r>
      <w:r w:rsidR="00E24313" w:rsidRPr="00080443">
        <w:rPr>
          <w:rFonts w:cs="Arial"/>
          <w:szCs w:val="20"/>
        </w:rPr>
        <w:t xml:space="preserve">the DBCDE </w:t>
      </w:r>
      <w:hyperlink r:id="rId25" w:history="1">
        <w:r w:rsidR="00E24313" w:rsidRPr="00080443">
          <w:rPr>
            <w:rStyle w:val="Hyperlink"/>
            <w:rFonts w:cs="Arial"/>
            <w:szCs w:val="20"/>
          </w:rPr>
          <w:t>website</w:t>
        </w:r>
      </w:hyperlink>
      <w:r w:rsidR="009039AF" w:rsidRPr="00080443">
        <w:rPr>
          <w:rFonts w:cs="Arial"/>
          <w:szCs w:val="20"/>
        </w:rPr>
        <w:t xml:space="preserve"> in September 2012</w:t>
      </w:r>
      <w:r w:rsidR="00E24313" w:rsidRPr="00080443">
        <w:rPr>
          <w:rFonts w:cs="Arial"/>
          <w:szCs w:val="20"/>
        </w:rPr>
        <w:t xml:space="preserve">. </w:t>
      </w:r>
      <w:r w:rsidRPr="00080443">
        <w:rPr>
          <w:rFonts w:cs="Arial"/>
          <w:szCs w:val="20"/>
        </w:rPr>
        <w:t>More detailed timetable information is expected to be released by DBCDE before the end of 2012</w:t>
      </w:r>
      <w:r w:rsidR="00535184" w:rsidRPr="00080443">
        <w:rPr>
          <w:rFonts w:cs="Arial"/>
          <w:szCs w:val="20"/>
        </w:rPr>
        <w:t>. The information</w:t>
      </w:r>
      <w:r w:rsidRPr="00080443">
        <w:rPr>
          <w:rFonts w:cs="Arial"/>
          <w:szCs w:val="20"/>
        </w:rPr>
        <w:t xml:space="preserve"> will be subject to further updates as planning and implementation of the restack progresses.</w:t>
      </w:r>
    </w:p>
    <w:p w14:paraId="18FFFE82" w14:textId="77777777" w:rsidR="00B079D9" w:rsidRPr="00080443" w:rsidRDefault="00B079D9" w:rsidP="00B3631F">
      <w:pPr>
        <w:rPr>
          <w:rFonts w:cs="Arial"/>
          <w:szCs w:val="20"/>
        </w:rPr>
      </w:pPr>
    </w:p>
    <w:p w14:paraId="2FD38E54" w14:textId="77777777" w:rsidR="00B3631F" w:rsidRPr="00080443" w:rsidRDefault="00D544B3" w:rsidP="00B3631F">
      <w:pPr>
        <w:rPr>
          <w:rFonts w:cs="Arial"/>
          <w:szCs w:val="20"/>
        </w:rPr>
      </w:pPr>
      <w:r w:rsidRPr="00080443">
        <w:rPr>
          <w:rFonts w:cs="Arial"/>
          <w:szCs w:val="20"/>
        </w:rPr>
        <w:t>T</w:t>
      </w:r>
      <w:r w:rsidR="00FE10B9" w:rsidRPr="00080443">
        <w:rPr>
          <w:rFonts w:cs="Arial"/>
          <w:szCs w:val="20"/>
        </w:rPr>
        <w:t xml:space="preserve">he ACMA </w:t>
      </w:r>
      <w:r w:rsidR="008124E2" w:rsidRPr="00080443">
        <w:rPr>
          <w:rFonts w:cs="Arial"/>
          <w:szCs w:val="20"/>
        </w:rPr>
        <w:t xml:space="preserve">will progressively release drafts of the </w:t>
      </w:r>
      <w:r w:rsidR="00FE10B9" w:rsidRPr="00080443">
        <w:rPr>
          <w:rFonts w:cs="Arial"/>
          <w:szCs w:val="20"/>
        </w:rPr>
        <w:t xml:space="preserve">remaining TLAPs </w:t>
      </w:r>
      <w:r w:rsidR="008124E2" w:rsidRPr="00080443">
        <w:rPr>
          <w:rFonts w:cs="Arial"/>
          <w:szCs w:val="20"/>
        </w:rPr>
        <w:t>for consultation</w:t>
      </w:r>
      <w:r w:rsidRPr="00080443">
        <w:rPr>
          <w:rFonts w:cs="Arial"/>
          <w:szCs w:val="20"/>
        </w:rPr>
        <w:t xml:space="preserve"> with consideration to the indicative timetable. </w:t>
      </w:r>
      <w:r w:rsidR="007F45E9" w:rsidRPr="00080443">
        <w:rPr>
          <w:rFonts w:cs="Arial"/>
          <w:szCs w:val="20"/>
        </w:rPr>
        <w:t>All draft TLAP</w:t>
      </w:r>
      <w:r w:rsidR="008124E2" w:rsidRPr="00080443">
        <w:rPr>
          <w:rFonts w:cs="Arial"/>
          <w:szCs w:val="20"/>
        </w:rPr>
        <w:t>s</w:t>
      </w:r>
      <w:r w:rsidR="00FE10B9" w:rsidRPr="00080443">
        <w:rPr>
          <w:rFonts w:cs="Arial"/>
          <w:szCs w:val="20"/>
        </w:rPr>
        <w:t xml:space="preserve"> released by the ACMA </w:t>
      </w:r>
      <w:r w:rsidR="00CA21F5" w:rsidRPr="00080443">
        <w:rPr>
          <w:rFonts w:cs="Arial"/>
          <w:szCs w:val="20"/>
        </w:rPr>
        <w:t xml:space="preserve">for consultation will </w:t>
      </w:r>
      <w:r w:rsidR="007F45E9" w:rsidRPr="00080443">
        <w:rPr>
          <w:rFonts w:cs="Arial"/>
          <w:szCs w:val="20"/>
        </w:rPr>
        <w:t>include a final restack date that reflects the government’s expect</w:t>
      </w:r>
      <w:r w:rsidR="0060309F" w:rsidRPr="00080443">
        <w:rPr>
          <w:rFonts w:cs="Arial"/>
          <w:szCs w:val="20"/>
        </w:rPr>
        <w:t xml:space="preserve">ation that the restack process will be completed by 31 December 2014. After consulting on the draft TLAPs in accordance with section 27, the ACMA will make TLAPs </w:t>
      </w:r>
      <w:r w:rsidR="00867DA0" w:rsidRPr="00080443">
        <w:rPr>
          <w:rFonts w:cs="Arial"/>
          <w:szCs w:val="20"/>
        </w:rPr>
        <w:t>under subsection 26(1B) of the Broadcasting Services Act (see 1.2.6).</w:t>
      </w:r>
    </w:p>
    <w:p w14:paraId="620802D5" w14:textId="77777777" w:rsidR="00B3631F" w:rsidRPr="00080443" w:rsidRDefault="00B3631F" w:rsidP="00B3631F">
      <w:pPr>
        <w:rPr>
          <w:rFonts w:cs="Arial"/>
          <w:szCs w:val="20"/>
        </w:rPr>
      </w:pPr>
    </w:p>
    <w:p w14:paraId="686188CE" w14:textId="77777777" w:rsidR="00B3631F" w:rsidRPr="00080443" w:rsidRDefault="00AB383F" w:rsidP="00302B1C">
      <w:pPr>
        <w:pStyle w:val="Bodysubheader"/>
        <w:rPr>
          <w:rFonts w:cs="Arial"/>
        </w:rPr>
      </w:pPr>
      <w:r w:rsidRPr="00080443">
        <w:rPr>
          <w:rFonts w:cs="Arial"/>
        </w:rPr>
        <w:t>Other apparatus licences</w:t>
      </w:r>
    </w:p>
    <w:p w14:paraId="00CA4877" w14:textId="77777777" w:rsidR="00B3631F" w:rsidRPr="00080443" w:rsidRDefault="00B3631F" w:rsidP="00B3631F">
      <w:pPr>
        <w:rPr>
          <w:rFonts w:cs="Arial"/>
          <w:szCs w:val="20"/>
        </w:rPr>
      </w:pPr>
      <w:r w:rsidRPr="00080443">
        <w:rPr>
          <w:rFonts w:cs="Arial"/>
          <w:szCs w:val="20"/>
        </w:rPr>
        <w:t>The apparatus licences issued under section 100 of the Act for the retransmission of television b</w:t>
      </w:r>
      <w:r w:rsidR="00180D85" w:rsidRPr="00080443">
        <w:rPr>
          <w:rFonts w:cs="Arial"/>
          <w:szCs w:val="20"/>
        </w:rPr>
        <w:t xml:space="preserve">roadcasting services, temporary </w:t>
      </w:r>
      <w:r w:rsidRPr="00080443">
        <w:rPr>
          <w:rFonts w:cs="Arial"/>
          <w:szCs w:val="20"/>
        </w:rPr>
        <w:t>delivery of commercial television services in digital mode or delivery of open narrowcasting services will be cancelled at the end of the reallocation period.</w:t>
      </w:r>
    </w:p>
    <w:p w14:paraId="6B4AB9D8" w14:textId="77777777" w:rsidR="00B3631F" w:rsidRPr="00080443" w:rsidRDefault="00B3631F" w:rsidP="00B3631F">
      <w:pPr>
        <w:rPr>
          <w:rFonts w:cs="Arial"/>
          <w:szCs w:val="20"/>
        </w:rPr>
      </w:pPr>
    </w:p>
    <w:p w14:paraId="2CC891A7" w14:textId="77777777" w:rsidR="00B3631F" w:rsidRPr="00080443" w:rsidRDefault="0060309F" w:rsidP="00B3631F">
      <w:pPr>
        <w:rPr>
          <w:rFonts w:cs="Arial"/>
          <w:szCs w:val="20"/>
        </w:rPr>
      </w:pPr>
      <w:r w:rsidRPr="00080443">
        <w:rPr>
          <w:rFonts w:cs="Arial"/>
          <w:szCs w:val="20"/>
        </w:rPr>
        <w:t xml:space="preserve">The ACMA wrote to these licensees in June 2011 to inform them about how a draft version of the spectrum reallocation declaration for the 700 MHz band may affect their licence and service, and provide them with an opportunity to make written comments. Where appropriate, the ACMA will write to licensees again in </w:t>
      </w:r>
      <w:r w:rsidR="000A4E00" w:rsidRPr="00080443">
        <w:rPr>
          <w:rFonts w:cs="Arial"/>
          <w:szCs w:val="20"/>
        </w:rPr>
        <w:t xml:space="preserve">the near future </w:t>
      </w:r>
      <w:r w:rsidRPr="00080443">
        <w:rPr>
          <w:rFonts w:cs="Arial"/>
          <w:szCs w:val="20"/>
        </w:rPr>
        <w:t xml:space="preserve">to set out proposed arrangements to authorise these services </w:t>
      </w:r>
      <w:r w:rsidR="00B3631F" w:rsidRPr="00080443">
        <w:rPr>
          <w:rFonts w:cs="Arial"/>
          <w:szCs w:val="20"/>
        </w:rPr>
        <w:t>in broadcasting services bands spectrum outside of the declared spectrum.</w:t>
      </w:r>
    </w:p>
    <w:p w14:paraId="25886E30" w14:textId="77777777" w:rsidR="00B3631F" w:rsidRPr="00080443" w:rsidRDefault="00B3631F" w:rsidP="00B3631F">
      <w:pPr>
        <w:rPr>
          <w:rFonts w:cs="Arial"/>
          <w:szCs w:val="20"/>
        </w:rPr>
      </w:pPr>
    </w:p>
    <w:p w14:paraId="7DF7FBF4" w14:textId="77777777" w:rsidR="00B3631F" w:rsidRPr="00080443" w:rsidRDefault="00B3631F" w:rsidP="0020541F">
      <w:pPr>
        <w:pStyle w:val="Bodysubheader"/>
        <w:rPr>
          <w:rFonts w:cs="Arial"/>
        </w:rPr>
      </w:pPr>
      <w:r w:rsidRPr="00080443">
        <w:rPr>
          <w:rFonts w:cs="Arial"/>
        </w:rPr>
        <w:t>Class licences for low interference potential devices</w:t>
      </w:r>
    </w:p>
    <w:p w14:paraId="2D89BBA6" w14:textId="77777777" w:rsidR="00B3631F" w:rsidRPr="00080443" w:rsidRDefault="00B3631F" w:rsidP="00B3631F">
      <w:pPr>
        <w:rPr>
          <w:rFonts w:cs="Arial"/>
          <w:szCs w:val="20"/>
        </w:rPr>
      </w:pPr>
      <w:r w:rsidRPr="00080443">
        <w:rPr>
          <w:rFonts w:cs="Arial"/>
          <w:szCs w:val="20"/>
        </w:rPr>
        <w:t>There is currently a class licence for low interference potential devices in place within the declared spectrum.</w:t>
      </w:r>
      <w:r w:rsidRPr="00080443">
        <w:rPr>
          <w:rFonts w:cs="Arial"/>
          <w:szCs w:val="20"/>
          <w:vertAlign w:val="superscript"/>
        </w:rPr>
        <w:footnoteReference w:id="11"/>
      </w:r>
      <w:r w:rsidRPr="00080443">
        <w:rPr>
          <w:rFonts w:cs="Arial"/>
          <w:szCs w:val="20"/>
        </w:rPr>
        <w:t xml:space="preserve"> </w:t>
      </w:r>
    </w:p>
    <w:p w14:paraId="17F09A76" w14:textId="77777777" w:rsidR="00B3631F" w:rsidRPr="00080443" w:rsidRDefault="00B3631F" w:rsidP="00B3631F">
      <w:pPr>
        <w:rPr>
          <w:rFonts w:cs="Arial"/>
          <w:szCs w:val="20"/>
        </w:rPr>
      </w:pPr>
    </w:p>
    <w:p w14:paraId="04625B77" w14:textId="77777777" w:rsidR="00B3631F" w:rsidRPr="00080443" w:rsidRDefault="00B3631F" w:rsidP="00B3631F">
      <w:pPr>
        <w:rPr>
          <w:rFonts w:cs="Arial"/>
          <w:szCs w:val="20"/>
        </w:rPr>
      </w:pPr>
      <w:r w:rsidRPr="00080443">
        <w:rPr>
          <w:rFonts w:cs="Arial"/>
          <w:szCs w:val="20"/>
        </w:rPr>
        <w:t xml:space="preserve">Prior to the spectrum licences for the 700 MHz band commencing on 1 January 2015, the ACMA will vary the class licence under section 134 of the Act, so as to exclude the operation of devices under the licence within the declared spectrum. This means that by 1 January 2015, low interference potential devices will </w:t>
      </w:r>
      <w:r w:rsidR="00F9091A" w:rsidRPr="00080443">
        <w:rPr>
          <w:rFonts w:cs="Arial"/>
          <w:szCs w:val="20"/>
        </w:rPr>
        <w:t xml:space="preserve">be required by law </w:t>
      </w:r>
      <w:r w:rsidRPr="00080443">
        <w:rPr>
          <w:rFonts w:cs="Arial"/>
          <w:szCs w:val="20"/>
        </w:rPr>
        <w:t xml:space="preserve">to cease operating in the declared spectrum. </w:t>
      </w:r>
    </w:p>
    <w:p w14:paraId="4C5B995B" w14:textId="77777777" w:rsidR="00B3631F" w:rsidRPr="00080443" w:rsidRDefault="00B3631F" w:rsidP="00B3631F">
      <w:pPr>
        <w:rPr>
          <w:rFonts w:cs="Arial"/>
          <w:szCs w:val="20"/>
        </w:rPr>
      </w:pPr>
    </w:p>
    <w:p w14:paraId="71170994" w14:textId="77777777" w:rsidR="00B3631F" w:rsidRPr="00080443" w:rsidRDefault="00B3631F" w:rsidP="00B3631F">
      <w:pPr>
        <w:rPr>
          <w:rFonts w:cs="Arial"/>
          <w:szCs w:val="20"/>
        </w:rPr>
      </w:pPr>
      <w:r w:rsidRPr="00080443">
        <w:rPr>
          <w:rFonts w:cs="Arial"/>
          <w:szCs w:val="20"/>
        </w:rPr>
        <w:lastRenderedPageBreak/>
        <w:t xml:space="preserve">Further information about the clearance of low interference potential devices from the declared spectrum is available on the ACMA </w:t>
      </w:r>
      <w:hyperlink r:id="rId26" w:history="1">
        <w:r w:rsidRPr="00080443">
          <w:rPr>
            <w:rStyle w:val="Hyperlink"/>
            <w:rFonts w:cs="Arial"/>
            <w:szCs w:val="20"/>
          </w:rPr>
          <w:t>website</w:t>
        </w:r>
      </w:hyperlink>
      <w:r w:rsidRPr="00080443">
        <w:rPr>
          <w:rFonts w:cs="Arial"/>
          <w:szCs w:val="20"/>
        </w:rPr>
        <w:t xml:space="preserve">. </w:t>
      </w:r>
    </w:p>
    <w:p w14:paraId="1BD76496" w14:textId="77777777" w:rsidR="00B3631F" w:rsidRPr="00080443" w:rsidRDefault="00B3631F" w:rsidP="00B3631F">
      <w:pPr>
        <w:rPr>
          <w:rFonts w:cs="Arial"/>
          <w:szCs w:val="20"/>
        </w:rPr>
      </w:pPr>
    </w:p>
    <w:p w14:paraId="313A7EAC" w14:textId="77777777" w:rsidR="00B3631F" w:rsidRPr="00080443" w:rsidRDefault="00B3631F" w:rsidP="00B3631F">
      <w:pPr>
        <w:pStyle w:val="Heading3"/>
        <w:numPr>
          <w:ilvl w:val="2"/>
          <w:numId w:val="13"/>
        </w:numPr>
        <w:rPr>
          <w:szCs w:val="20"/>
        </w:rPr>
      </w:pPr>
      <w:bookmarkStart w:id="25" w:name="_Toc335246231"/>
      <w:bookmarkStart w:id="26" w:name="_Toc343780440"/>
      <w:r w:rsidRPr="00080443">
        <w:t xml:space="preserve">Contingency </w:t>
      </w:r>
      <w:r w:rsidRPr="00080443">
        <w:rPr>
          <w:szCs w:val="20"/>
        </w:rPr>
        <w:t xml:space="preserve">planning </w:t>
      </w:r>
      <w:r w:rsidR="00C54FA0" w:rsidRPr="00080443">
        <w:rPr>
          <w:szCs w:val="20"/>
        </w:rPr>
        <w:t xml:space="preserve">for </w:t>
      </w:r>
      <w:r w:rsidRPr="00080443">
        <w:rPr>
          <w:szCs w:val="20"/>
        </w:rPr>
        <w:t>possible delay to restack process</w:t>
      </w:r>
      <w:bookmarkEnd w:id="25"/>
      <w:bookmarkEnd w:id="26"/>
    </w:p>
    <w:p w14:paraId="2C1A5E75" w14:textId="77777777" w:rsidR="00F06A00" w:rsidRPr="00080443" w:rsidRDefault="0060309F">
      <w:pPr>
        <w:rPr>
          <w:rFonts w:cs="Arial"/>
          <w:szCs w:val="20"/>
        </w:rPr>
      </w:pPr>
      <w:r w:rsidRPr="00080443">
        <w:rPr>
          <w:rFonts w:cs="Arial"/>
          <w:szCs w:val="20"/>
        </w:rPr>
        <w:t xml:space="preserve">While planning is being undertaken to achieve the government’s timetable, current legislation does allow for the ACMA to extend the date by which broadcasting services must vacate the declared spectrum. This aims to ensure that television viewers </w:t>
      </w:r>
      <w:r w:rsidR="002365AE" w:rsidRPr="00080443">
        <w:rPr>
          <w:rFonts w:cs="Arial"/>
          <w:szCs w:val="20"/>
        </w:rPr>
        <w:t>d</w:t>
      </w:r>
      <w:r w:rsidRPr="00080443">
        <w:rPr>
          <w:rFonts w:cs="Arial"/>
          <w:szCs w:val="20"/>
        </w:rPr>
        <w:t xml:space="preserve">o not lose services if restack is delayed for technical or other reasons. </w:t>
      </w:r>
      <w:r w:rsidR="00B3631F" w:rsidRPr="00080443">
        <w:rPr>
          <w:rFonts w:cs="Arial"/>
          <w:szCs w:val="20"/>
        </w:rPr>
        <w:t xml:space="preserve">If there are delays in </w:t>
      </w:r>
      <w:r w:rsidR="00F37029" w:rsidRPr="00080443">
        <w:rPr>
          <w:rFonts w:cs="Arial"/>
          <w:szCs w:val="20"/>
        </w:rPr>
        <w:t xml:space="preserve">achieving </w:t>
      </w:r>
      <w:r w:rsidR="00B3631F" w:rsidRPr="00080443">
        <w:rPr>
          <w:rFonts w:cs="Arial"/>
          <w:szCs w:val="20"/>
        </w:rPr>
        <w:t xml:space="preserve">the restack timetable, it is open to the ACMA to prepare a TLAP or, in accordance with subsection 26(2) of the Broadcasting Services Act, vary a TLAP it has prepared, such that the deadline within which broadcasting services must vacate the spectrum falls after the end of the reallocation period for the 700 MHz band (31 December 2014). </w:t>
      </w:r>
      <w:r w:rsidR="00C73F03" w:rsidRPr="00080443">
        <w:rPr>
          <w:rFonts w:cs="Arial"/>
          <w:szCs w:val="20"/>
        </w:rPr>
        <w:t xml:space="preserve">For example, the ACMA may consider varying a TLAP, at its own initiative or after receiving a request, </w:t>
      </w:r>
      <w:r w:rsidR="00BE53FD" w:rsidRPr="00080443">
        <w:rPr>
          <w:rFonts w:cs="Arial"/>
          <w:szCs w:val="20"/>
        </w:rPr>
        <w:t>where extreme weather, environmental or logistical conditions make the timing of frequency moves impossible or highly impractical.</w:t>
      </w:r>
      <w:r w:rsidR="00463898" w:rsidRPr="00080443">
        <w:rPr>
          <w:rFonts w:cs="Arial"/>
          <w:szCs w:val="20"/>
        </w:rPr>
        <w:t xml:space="preserve"> The ACMA may also be directed by the minister under subsection 26(8) of the Broadcasting Services Act about the exercise of its powers to make or vary a TLAP for a particular area.</w:t>
      </w:r>
      <w:r w:rsidR="00221F1C" w:rsidRPr="00080443">
        <w:rPr>
          <w:rFonts w:cs="Arial"/>
          <w:szCs w:val="20"/>
        </w:rPr>
        <w:t xml:space="preserve"> </w:t>
      </w:r>
      <w:r w:rsidR="00BE53FD" w:rsidRPr="00080443">
        <w:rPr>
          <w:rFonts w:cs="Arial"/>
          <w:szCs w:val="20"/>
        </w:rPr>
        <w:t>If the ACMA varies a TLAP, the TLAP may permit broadcasting services to continu</w:t>
      </w:r>
      <w:r w:rsidR="006D6B51" w:rsidRPr="00080443">
        <w:rPr>
          <w:rFonts w:cs="Arial"/>
          <w:szCs w:val="20"/>
        </w:rPr>
        <w:t xml:space="preserve">e operating in the 700 MHz band in the relevant area after spectrum licences for the 700 MHz band commence on 1 January 2015. </w:t>
      </w:r>
      <w:r w:rsidR="00463898" w:rsidRPr="00080443">
        <w:rPr>
          <w:rFonts w:cs="Arial"/>
          <w:szCs w:val="20"/>
        </w:rPr>
        <w:t>Generally speaking, the ACMA is required to consult with affected persons before varying a TLAP.</w:t>
      </w:r>
      <w:r w:rsidR="00463898" w:rsidRPr="00080443">
        <w:rPr>
          <w:rStyle w:val="FootnoteReference"/>
          <w:rFonts w:cs="Arial"/>
          <w:szCs w:val="20"/>
        </w:rPr>
        <w:footnoteReference w:id="12"/>
      </w:r>
      <w:r w:rsidR="00FB2FA0" w:rsidRPr="00080443">
        <w:rPr>
          <w:rFonts w:cs="Arial"/>
          <w:szCs w:val="20"/>
        </w:rPr>
        <w:t xml:space="preserve"> The ACMA will provide stakeholders with as much notice as possible about any TLAP variations it proposes to make.</w:t>
      </w:r>
      <w:r w:rsidR="00BE53FD" w:rsidRPr="00080443">
        <w:rPr>
          <w:rFonts w:cs="Arial"/>
          <w:szCs w:val="20"/>
        </w:rPr>
        <w:t xml:space="preserve"> </w:t>
      </w:r>
    </w:p>
    <w:p w14:paraId="0AA67D68" w14:textId="77777777" w:rsidR="00B3631F" w:rsidRPr="00080443" w:rsidRDefault="00B3631F" w:rsidP="00B3631F">
      <w:pPr>
        <w:rPr>
          <w:rFonts w:cs="Arial"/>
          <w:szCs w:val="20"/>
        </w:rPr>
      </w:pPr>
    </w:p>
    <w:p w14:paraId="3025BC86" w14:textId="77777777" w:rsidR="00F06A00" w:rsidRPr="00080443" w:rsidRDefault="00B3631F">
      <w:pPr>
        <w:rPr>
          <w:rFonts w:cs="Arial"/>
          <w:szCs w:val="20"/>
        </w:rPr>
      </w:pPr>
      <w:r w:rsidRPr="00080443">
        <w:rPr>
          <w:rFonts w:cs="Arial"/>
          <w:szCs w:val="20"/>
        </w:rPr>
        <w:t>Where delivery against the restack timetable is delayed, the ACMA may also, acting in accordance with special circumstance provisions in section 153P of the Act, authorise the continued operation of television broadcasting retransmission services in the relevant area beyond 31 December 2014.</w:t>
      </w:r>
    </w:p>
    <w:p w14:paraId="32BE2DEF" w14:textId="77777777" w:rsidR="00B3631F" w:rsidRPr="00080443" w:rsidRDefault="00B3631F" w:rsidP="00B3631F">
      <w:pPr>
        <w:rPr>
          <w:rFonts w:cs="Arial"/>
          <w:szCs w:val="20"/>
        </w:rPr>
      </w:pPr>
    </w:p>
    <w:p w14:paraId="44F4E7B7" w14:textId="77777777" w:rsidR="007E0A18" w:rsidRPr="00080443" w:rsidRDefault="0060309F" w:rsidP="00B3631F">
      <w:pPr>
        <w:rPr>
          <w:rFonts w:cs="Arial"/>
          <w:szCs w:val="20"/>
        </w:rPr>
      </w:pPr>
      <w:r w:rsidRPr="00080443">
        <w:rPr>
          <w:rFonts w:cs="Arial"/>
          <w:szCs w:val="20"/>
        </w:rPr>
        <w:t>S</w:t>
      </w:r>
      <w:r w:rsidR="00B3631F" w:rsidRPr="00080443">
        <w:rPr>
          <w:rFonts w:cs="Arial"/>
          <w:szCs w:val="20"/>
        </w:rPr>
        <w:t>pectrum licences for the 700 MHz band that are issued as a result of the auction will include a condition to manage potential interference to the reception of any broadcasting services or retransmission services operating lawfully in the frequency range 694</w:t>
      </w:r>
      <w:r w:rsidR="007E0A18" w:rsidRPr="00080443">
        <w:rPr>
          <w:rFonts w:cs="Arial"/>
          <w:szCs w:val="20"/>
        </w:rPr>
        <w:t>–</w:t>
      </w:r>
      <w:r w:rsidR="00B3631F" w:rsidRPr="00080443">
        <w:rPr>
          <w:rFonts w:cs="Arial"/>
          <w:szCs w:val="20"/>
        </w:rPr>
        <w:t xml:space="preserve">820 MHz after the licence commences. </w:t>
      </w:r>
    </w:p>
    <w:p w14:paraId="026A32AC" w14:textId="77777777" w:rsidR="007E0A18" w:rsidRPr="00080443" w:rsidRDefault="007E0A18" w:rsidP="00B3631F">
      <w:pPr>
        <w:rPr>
          <w:rFonts w:cs="Arial"/>
          <w:szCs w:val="20"/>
        </w:rPr>
      </w:pPr>
    </w:p>
    <w:p w14:paraId="3F26A622" w14:textId="77777777" w:rsidR="007E0A18" w:rsidRPr="00080443" w:rsidRDefault="00B3631F" w:rsidP="00B3631F">
      <w:pPr>
        <w:rPr>
          <w:rFonts w:cs="Arial"/>
          <w:szCs w:val="20"/>
        </w:rPr>
      </w:pPr>
      <w:r w:rsidRPr="00080443">
        <w:rPr>
          <w:rFonts w:cs="Arial"/>
          <w:szCs w:val="20"/>
        </w:rPr>
        <w:t>This will include a requirement to comply with Part 4 of the Radiocommunications Advisory Guidelines (Managing Interference from Transmitters – 700 MHz Band) 2012</w:t>
      </w:r>
      <w:r w:rsidR="00867DA0" w:rsidRPr="00080443">
        <w:rPr>
          <w:rFonts w:cs="Arial"/>
          <w:szCs w:val="20"/>
        </w:rPr>
        <w:t xml:space="preserve"> at </w:t>
      </w:r>
      <w:r w:rsidR="00B52CDD" w:rsidRPr="00080443">
        <w:rPr>
          <w:rFonts w:cs="Arial"/>
          <w:szCs w:val="20"/>
        </w:rPr>
        <w:t xml:space="preserve">Attachment </w:t>
      </w:r>
      <w:r w:rsidR="005D4EE4" w:rsidRPr="00080443">
        <w:rPr>
          <w:rFonts w:cs="Arial"/>
          <w:szCs w:val="20"/>
        </w:rPr>
        <w:t>D</w:t>
      </w:r>
      <w:r w:rsidR="00867DA0" w:rsidRPr="00080443">
        <w:rPr>
          <w:rFonts w:cs="Arial"/>
          <w:szCs w:val="20"/>
        </w:rPr>
        <w:t xml:space="preserve"> (one of the radiocommunications advisory guidelines</w:t>
      </w:r>
      <w:r w:rsidR="00DF318D" w:rsidRPr="00080443">
        <w:rPr>
          <w:rFonts w:cs="Arial"/>
          <w:szCs w:val="20"/>
        </w:rPr>
        <w:t xml:space="preserve"> discussed at 1.4.</w:t>
      </w:r>
      <w:r w:rsidR="00C7363C" w:rsidRPr="00080443">
        <w:rPr>
          <w:rFonts w:cs="Arial"/>
          <w:szCs w:val="20"/>
        </w:rPr>
        <w:t>3</w:t>
      </w:r>
      <w:r w:rsidR="003E48D2" w:rsidRPr="00080443">
        <w:rPr>
          <w:rFonts w:cs="Arial"/>
          <w:szCs w:val="20"/>
        </w:rPr>
        <w:t xml:space="preserve"> and 5.5</w:t>
      </w:r>
      <w:r w:rsidR="00867DA0" w:rsidRPr="00080443">
        <w:rPr>
          <w:rFonts w:cs="Arial"/>
          <w:szCs w:val="20"/>
        </w:rPr>
        <w:t xml:space="preserve">). </w:t>
      </w:r>
      <w:r w:rsidRPr="00080443">
        <w:rPr>
          <w:rFonts w:cs="Arial"/>
          <w:szCs w:val="20"/>
        </w:rPr>
        <w:t xml:space="preserve">The condition is intended to prevent new spectrum licensees from causing unacceptable interference to broadcasting services or retransmission services that remain legally authorised to operate in the 700 MHz band after the new licensee’s spectrum licence commences. </w:t>
      </w:r>
    </w:p>
    <w:p w14:paraId="48C0424A" w14:textId="77777777" w:rsidR="007E0A18" w:rsidRPr="00080443" w:rsidRDefault="007E0A18" w:rsidP="00B3631F">
      <w:pPr>
        <w:rPr>
          <w:rFonts w:cs="Arial"/>
          <w:szCs w:val="20"/>
        </w:rPr>
      </w:pPr>
    </w:p>
    <w:p w14:paraId="12BBFCDC" w14:textId="77777777" w:rsidR="00B3631F" w:rsidRPr="00080443" w:rsidRDefault="00B3631F" w:rsidP="00B3631F">
      <w:pPr>
        <w:rPr>
          <w:rFonts w:cs="Arial"/>
          <w:szCs w:val="20"/>
        </w:rPr>
      </w:pPr>
      <w:r w:rsidRPr="00080443">
        <w:rPr>
          <w:rFonts w:cs="Arial"/>
          <w:szCs w:val="20"/>
        </w:rPr>
        <w:t xml:space="preserve">The effect of the condition is that any person who is issued a spectrum licence in the 700 MHz band as a result of the auction will be prevented from </w:t>
      </w:r>
      <w:r w:rsidR="00BE53FD" w:rsidRPr="00080443">
        <w:rPr>
          <w:rFonts w:cs="Arial"/>
          <w:szCs w:val="20"/>
        </w:rPr>
        <w:t xml:space="preserve">commencing operation </w:t>
      </w:r>
      <w:r w:rsidRPr="00080443">
        <w:rPr>
          <w:rFonts w:cs="Arial"/>
          <w:szCs w:val="20"/>
        </w:rPr>
        <w:t xml:space="preserve">in the exclusion zone specified for each transmitter that is being used to legally provide a broadcasting or retransmission service. </w:t>
      </w:r>
      <w:r w:rsidR="00B0733F" w:rsidRPr="00080443">
        <w:rPr>
          <w:rFonts w:cs="Arial"/>
        </w:rPr>
        <w:t>The condition will cease to apply in a</w:t>
      </w:r>
      <w:r w:rsidR="008904BD" w:rsidRPr="00080443">
        <w:rPr>
          <w:rFonts w:cs="Arial"/>
        </w:rPr>
        <w:t>n exclusion zone w</w:t>
      </w:r>
      <w:r w:rsidR="00B0733F" w:rsidRPr="00080443">
        <w:rPr>
          <w:rFonts w:cs="Arial"/>
        </w:rPr>
        <w:t>hen the transmitters cease to provide a broadcasting or retransmission service in th</w:t>
      </w:r>
      <w:r w:rsidR="008904BD" w:rsidRPr="00080443">
        <w:rPr>
          <w:rFonts w:cs="Arial"/>
        </w:rPr>
        <w:t>e</w:t>
      </w:r>
      <w:r w:rsidR="00B0733F" w:rsidRPr="00080443">
        <w:rPr>
          <w:rFonts w:cs="Arial"/>
        </w:rPr>
        <w:t xml:space="preserve"> area. </w:t>
      </w:r>
      <w:r w:rsidRPr="00080443">
        <w:rPr>
          <w:rFonts w:cs="Arial"/>
          <w:szCs w:val="20"/>
        </w:rPr>
        <w:t xml:space="preserve">Further information about the interference management condition is provided at 2.3.5. </w:t>
      </w:r>
    </w:p>
    <w:p w14:paraId="50E02D95" w14:textId="77777777" w:rsidR="00B3631F" w:rsidRPr="00080443" w:rsidRDefault="00B3631F" w:rsidP="00B3631F">
      <w:pPr>
        <w:rPr>
          <w:rFonts w:cs="Arial"/>
          <w:szCs w:val="20"/>
        </w:rPr>
      </w:pPr>
    </w:p>
    <w:p w14:paraId="434186AB" w14:textId="77777777" w:rsidR="00F06A00" w:rsidRPr="00080443" w:rsidRDefault="006D6B51">
      <w:pPr>
        <w:rPr>
          <w:rFonts w:cs="Arial"/>
        </w:rPr>
      </w:pPr>
      <w:r w:rsidRPr="00080443">
        <w:rPr>
          <w:rFonts w:cs="Arial"/>
          <w:szCs w:val="20"/>
        </w:rPr>
        <w:t xml:space="preserve">Information about the progress of the restack process is available on the </w:t>
      </w:r>
      <w:r w:rsidRPr="00080443">
        <w:rPr>
          <w:rFonts w:cs="Arial"/>
        </w:rPr>
        <w:t xml:space="preserve">ACMA </w:t>
      </w:r>
      <w:hyperlink r:id="rId27" w:history="1">
        <w:r w:rsidRPr="00080443">
          <w:rPr>
            <w:rStyle w:val="Hyperlink"/>
            <w:rFonts w:cs="Arial"/>
          </w:rPr>
          <w:t>website</w:t>
        </w:r>
      </w:hyperlink>
      <w:r w:rsidR="00B3631F" w:rsidRPr="00080443">
        <w:rPr>
          <w:rFonts w:cs="Arial"/>
          <w:szCs w:val="20"/>
        </w:rPr>
        <w:t>. This includes copies of draft TLAPs released for comment, submissions received in response to the draft TLAPs, final TLAPs p</w:t>
      </w:r>
      <w:r w:rsidR="00E32539" w:rsidRPr="00080443">
        <w:rPr>
          <w:rFonts w:cs="Arial"/>
          <w:szCs w:val="20"/>
        </w:rPr>
        <w:t xml:space="preserve">repared to date and a link to the indicative </w:t>
      </w:r>
      <w:r w:rsidR="00993A69" w:rsidRPr="00080443">
        <w:rPr>
          <w:rFonts w:cs="Arial"/>
          <w:szCs w:val="20"/>
        </w:rPr>
        <w:t>nationwide restack timetable published by DBCDE in September 2012.</w:t>
      </w:r>
      <w:r w:rsidR="00B3631F" w:rsidRPr="00080443">
        <w:rPr>
          <w:rFonts w:cs="Arial"/>
          <w:szCs w:val="20"/>
        </w:rPr>
        <w:t xml:space="preserve"> This material will be updated from time to time throughout the course of the restack </w:t>
      </w:r>
      <w:r w:rsidR="00B3631F" w:rsidRPr="00080443">
        <w:rPr>
          <w:rFonts w:cs="Arial"/>
          <w:szCs w:val="20"/>
        </w:rPr>
        <w:lastRenderedPageBreak/>
        <w:t>process. Prospective bidders are encouraged to check the website regularly for updates.</w:t>
      </w:r>
    </w:p>
    <w:p w14:paraId="43D82A48" w14:textId="77777777" w:rsidR="00F06A00" w:rsidRPr="00080443" w:rsidRDefault="00F06A00">
      <w:pPr>
        <w:rPr>
          <w:rFonts w:cs="Arial"/>
        </w:rPr>
      </w:pPr>
    </w:p>
    <w:p w14:paraId="56DAF607" w14:textId="77777777" w:rsidR="00B3631F" w:rsidRPr="00080443" w:rsidRDefault="00B3631F" w:rsidP="00B3631F">
      <w:pPr>
        <w:pStyle w:val="Heading3"/>
        <w:numPr>
          <w:ilvl w:val="2"/>
          <w:numId w:val="13"/>
        </w:numPr>
        <w:rPr>
          <w:szCs w:val="20"/>
        </w:rPr>
      </w:pPr>
      <w:bookmarkStart w:id="27" w:name="_Toc335246232"/>
      <w:bookmarkStart w:id="28" w:name="_Toc343780441"/>
      <w:r w:rsidRPr="00080443">
        <w:t xml:space="preserve">Excision </w:t>
      </w:r>
      <w:r w:rsidRPr="00080443">
        <w:rPr>
          <w:szCs w:val="20"/>
        </w:rPr>
        <w:t>of declared 700 MHz band spectrum from broadcasting services bands</w:t>
      </w:r>
      <w:bookmarkEnd w:id="27"/>
      <w:bookmarkEnd w:id="28"/>
    </w:p>
    <w:p w14:paraId="291D5DA2" w14:textId="77777777" w:rsidR="00B3631F" w:rsidRPr="00080443" w:rsidRDefault="0060309F" w:rsidP="00B3631F">
      <w:pPr>
        <w:rPr>
          <w:rFonts w:cs="Arial"/>
        </w:rPr>
      </w:pPr>
      <w:r w:rsidRPr="00080443">
        <w:rPr>
          <w:rFonts w:cs="Arial"/>
        </w:rPr>
        <w:t xml:space="preserve">Consistent with the intent of the spectrum reallocation declarations made by the minister, it is expected that the declared parts of the 700 MHz band will be excised from </w:t>
      </w:r>
      <w:r w:rsidR="00B3631F" w:rsidRPr="00080443">
        <w:rPr>
          <w:rFonts w:cs="Arial"/>
        </w:rPr>
        <w:t xml:space="preserve">the broadcasting services bands </w:t>
      </w:r>
      <w:r w:rsidRPr="00080443">
        <w:rPr>
          <w:rFonts w:cs="Arial"/>
        </w:rPr>
        <w:t xml:space="preserve">(BSBs) </w:t>
      </w:r>
      <w:r w:rsidR="00B3631F" w:rsidRPr="00080443">
        <w:rPr>
          <w:rFonts w:cs="Arial"/>
        </w:rPr>
        <w:t>before spectrum licences commence on 1 January 2015.</w:t>
      </w:r>
      <w:r w:rsidR="00B3631F" w:rsidRPr="00080443">
        <w:rPr>
          <w:rStyle w:val="FootnoteReference"/>
          <w:rFonts w:cs="Arial"/>
        </w:rPr>
        <w:footnoteReference w:id="13"/>
      </w:r>
      <w:r w:rsidR="00B3631F" w:rsidRPr="00080443">
        <w:rPr>
          <w:rFonts w:cs="Arial"/>
        </w:rPr>
        <w:t xml:space="preserve"> </w:t>
      </w:r>
    </w:p>
    <w:p w14:paraId="669DE9B0" w14:textId="77777777" w:rsidR="00B3631F" w:rsidRPr="00080443" w:rsidRDefault="00B3631F" w:rsidP="00B3631F">
      <w:pPr>
        <w:rPr>
          <w:rFonts w:cs="Arial"/>
        </w:rPr>
      </w:pPr>
    </w:p>
    <w:p w14:paraId="531AFCF9" w14:textId="77777777" w:rsidR="00BD4FBF" w:rsidRPr="00080443" w:rsidRDefault="00630F12" w:rsidP="00630F12">
      <w:pPr>
        <w:rPr>
          <w:rFonts w:cs="Arial"/>
        </w:rPr>
      </w:pPr>
      <w:r w:rsidRPr="00080443">
        <w:rPr>
          <w:rFonts w:cs="Arial"/>
        </w:rPr>
        <w:t>However, as discussed</w:t>
      </w:r>
      <w:r w:rsidR="0022727E" w:rsidRPr="00080443">
        <w:rPr>
          <w:rFonts w:cs="Arial"/>
        </w:rPr>
        <w:t xml:space="preserve"> at 1.2.6, </w:t>
      </w:r>
      <w:r w:rsidRPr="00080443">
        <w:rPr>
          <w:rFonts w:cs="Arial"/>
        </w:rPr>
        <w:t>it remains possible that a TLAP prepared by</w:t>
      </w:r>
      <w:r w:rsidR="00B3631F" w:rsidRPr="00080443">
        <w:rPr>
          <w:rFonts w:cs="Arial"/>
        </w:rPr>
        <w:t xml:space="preserve"> </w:t>
      </w:r>
      <w:r w:rsidR="00B01296" w:rsidRPr="00080443">
        <w:rPr>
          <w:rFonts w:cs="Arial"/>
        </w:rPr>
        <w:t xml:space="preserve">the </w:t>
      </w:r>
      <w:r w:rsidRPr="00080443">
        <w:rPr>
          <w:rFonts w:cs="Arial"/>
        </w:rPr>
        <w:t xml:space="preserve">ACMA, or varied by the ACMA in accordance with </w:t>
      </w:r>
      <w:r w:rsidR="00BF6F4C" w:rsidRPr="00080443">
        <w:rPr>
          <w:rFonts w:cs="Arial"/>
        </w:rPr>
        <w:t>subsection 26(2) of the Broadcasting Services Act, may permit broadcasting services</w:t>
      </w:r>
      <w:r w:rsidR="00B3631F" w:rsidRPr="00080443">
        <w:rPr>
          <w:rFonts w:cs="Arial"/>
        </w:rPr>
        <w:t xml:space="preserve"> to </w:t>
      </w:r>
      <w:r w:rsidR="00BF6F4C" w:rsidRPr="00080443">
        <w:rPr>
          <w:rFonts w:cs="Arial"/>
        </w:rPr>
        <w:t xml:space="preserve">continue operating lawfully in the 700 MHz band in the relevant area </w:t>
      </w:r>
      <w:r w:rsidR="00B52CDD" w:rsidRPr="00080443">
        <w:rPr>
          <w:rFonts w:cs="Arial"/>
        </w:rPr>
        <w:t>after</w:t>
      </w:r>
      <w:r w:rsidR="00BF6F4C" w:rsidRPr="00080443">
        <w:rPr>
          <w:rFonts w:cs="Arial"/>
        </w:rPr>
        <w:t xml:space="preserve"> </w:t>
      </w:r>
      <w:r w:rsidR="00B3631F" w:rsidRPr="00080443">
        <w:rPr>
          <w:rFonts w:cs="Arial"/>
        </w:rPr>
        <w:t xml:space="preserve">the spectrum licences </w:t>
      </w:r>
      <w:r w:rsidR="00BF6F4C" w:rsidRPr="00080443">
        <w:rPr>
          <w:rFonts w:cs="Arial"/>
        </w:rPr>
        <w:t xml:space="preserve">commence. </w:t>
      </w:r>
      <w:r w:rsidR="0022727E" w:rsidRPr="00080443">
        <w:rPr>
          <w:rFonts w:cs="Arial"/>
        </w:rPr>
        <w:t xml:space="preserve">In circumstances where broadcasting or retransmission services are still operating, </w:t>
      </w:r>
      <w:r w:rsidR="00BF6F4C" w:rsidRPr="00080443">
        <w:rPr>
          <w:rFonts w:cs="Arial"/>
        </w:rPr>
        <w:t>the declared parts of the 700 MHz band would need to remain in</w:t>
      </w:r>
      <w:r w:rsidR="00B3631F" w:rsidRPr="00080443">
        <w:rPr>
          <w:rFonts w:cs="Arial"/>
        </w:rPr>
        <w:t xml:space="preserve"> the </w:t>
      </w:r>
      <w:r w:rsidR="00884CAB" w:rsidRPr="00080443">
        <w:rPr>
          <w:rFonts w:cs="Arial"/>
        </w:rPr>
        <w:t>BSBs</w:t>
      </w:r>
      <w:r w:rsidR="00B3631F" w:rsidRPr="00080443">
        <w:rPr>
          <w:rFonts w:cs="Arial"/>
        </w:rPr>
        <w:t xml:space="preserve"> until </w:t>
      </w:r>
      <w:r w:rsidR="00BF6F4C" w:rsidRPr="00080443">
        <w:rPr>
          <w:rFonts w:cs="Arial"/>
        </w:rPr>
        <w:t>the last service has vacated.</w:t>
      </w:r>
      <w:r w:rsidR="00127DCF" w:rsidRPr="00080443">
        <w:rPr>
          <w:rFonts w:cs="Arial"/>
        </w:rPr>
        <w:t xml:space="preserve"> </w:t>
      </w:r>
    </w:p>
    <w:p w14:paraId="4D67B5D9" w14:textId="77777777" w:rsidR="00BD4FBF" w:rsidRPr="00080443" w:rsidRDefault="00BD4FBF" w:rsidP="00630F12">
      <w:pPr>
        <w:rPr>
          <w:rFonts w:cs="Arial"/>
        </w:rPr>
      </w:pPr>
    </w:p>
    <w:p w14:paraId="1EB8140F" w14:textId="77777777" w:rsidR="00536B34" w:rsidRPr="00080443" w:rsidRDefault="00536B34" w:rsidP="00536B34">
      <w:pPr>
        <w:rPr>
          <w:rFonts w:cs="Arial"/>
        </w:rPr>
      </w:pPr>
      <w:r w:rsidRPr="00080443">
        <w:rPr>
          <w:rFonts w:cs="Arial"/>
        </w:rPr>
        <w:t>Currently, a person who is issued a spectrum licence in the 700 MHz band as a result of the auction may be subject to additional regulatory obligations that arise from the regulation of datacasting services under Schedule 6 of the Broadcasting Services Act if they commence services prior to the revision of the designation of the BSBs. However, the minister has advised the ACMA of his intention to introduce amendments to the Broadcasting Services Act in 2013 to allow Long Term Evolution (LTE) services to generally operate in the BS</w:t>
      </w:r>
      <w:r w:rsidR="00AF2CEF" w:rsidRPr="00080443">
        <w:rPr>
          <w:rFonts w:cs="Arial"/>
        </w:rPr>
        <w:t xml:space="preserve">Bs and provide a range of </w:t>
      </w:r>
      <w:proofErr w:type="spellStart"/>
      <w:r w:rsidR="00AF2CEF" w:rsidRPr="00080443">
        <w:rPr>
          <w:rFonts w:cs="Arial"/>
        </w:rPr>
        <w:t>audio</w:t>
      </w:r>
      <w:r w:rsidRPr="00080443">
        <w:rPr>
          <w:rFonts w:cs="Arial"/>
        </w:rPr>
        <w:t>visual</w:t>
      </w:r>
      <w:proofErr w:type="spellEnd"/>
      <w:r w:rsidRPr="00080443">
        <w:rPr>
          <w:rFonts w:cs="Arial"/>
        </w:rPr>
        <w:t xml:space="preserve"> content without the encumbrance of a datacasting licen</w:t>
      </w:r>
      <w:r w:rsidR="00AF7DA3" w:rsidRPr="00080443">
        <w:rPr>
          <w:rFonts w:cs="Arial"/>
        </w:rPr>
        <w:t>c</w:t>
      </w:r>
      <w:r w:rsidRPr="00080443">
        <w:rPr>
          <w:rFonts w:cs="Arial"/>
        </w:rPr>
        <w:t>e.</w:t>
      </w:r>
    </w:p>
    <w:p w14:paraId="16E64F34" w14:textId="77777777" w:rsidR="00536B34" w:rsidRPr="00080443" w:rsidRDefault="00536B34" w:rsidP="00536B34">
      <w:pPr>
        <w:rPr>
          <w:rFonts w:cs="Arial"/>
        </w:rPr>
      </w:pPr>
    </w:p>
    <w:p w14:paraId="1C7949DF" w14:textId="77777777" w:rsidR="007E5193" w:rsidRPr="00080443" w:rsidRDefault="00C3141D" w:rsidP="00536B34">
      <w:pPr>
        <w:rPr>
          <w:rFonts w:cs="Arial"/>
        </w:rPr>
      </w:pPr>
      <w:r w:rsidRPr="00080443">
        <w:rPr>
          <w:rFonts w:cs="Arial"/>
        </w:rPr>
        <w:t xml:space="preserve">Prospective bidders in the auction should note that the proposed amendments have not yet been introduced to Parliament. </w:t>
      </w:r>
      <w:r w:rsidR="00536B34" w:rsidRPr="00080443">
        <w:rPr>
          <w:rFonts w:cs="Arial"/>
        </w:rPr>
        <w:t>Further information on this issue is provided at 2.3.6.</w:t>
      </w:r>
    </w:p>
    <w:p w14:paraId="7413AA87" w14:textId="77777777" w:rsidR="0058269F" w:rsidRPr="00080443" w:rsidRDefault="0058269F" w:rsidP="0058269F">
      <w:pPr>
        <w:rPr>
          <w:rFonts w:cs="Arial"/>
        </w:rPr>
      </w:pPr>
    </w:p>
    <w:p w14:paraId="3181F7ED" w14:textId="77777777" w:rsidR="008A60B8" w:rsidRPr="00080443" w:rsidRDefault="008A60B8" w:rsidP="00234088">
      <w:pPr>
        <w:pStyle w:val="Heading2"/>
        <w:numPr>
          <w:ilvl w:val="1"/>
          <w:numId w:val="13"/>
        </w:numPr>
        <w:ind w:hanging="792"/>
      </w:pPr>
      <w:bookmarkStart w:id="29" w:name="_Toc335246233"/>
      <w:bookmarkStart w:id="30" w:name="_Toc343780442"/>
      <w:r w:rsidRPr="00080443">
        <w:t>Allocating the 700 MHz and 2.5 GHz bands through a single auction</w:t>
      </w:r>
      <w:bookmarkEnd w:id="29"/>
      <w:bookmarkEnd w:id="30"/>
    </w:p>
    <w:p w14:paraId="621114BD" w14:textId="77777777" w:rsidR="008A60B8" w:rsidRPr="00080443" w:rsidRDefault="008A60B8" w:rsidP="00C21117">
      <w:pPr>
        <w:rPr>
          <w:rFonts w:cs="Arial"/>
        </w:rPr>
      </w:pPr>
      <w:r w:rsidRPr="00080443">
        <w:rPr>
          <w:rFonts w:cs="Arial"/>
        </w:rPr>
        <w:t>The ACMA has decided to allocate the 700 MHz and 2.5 GHz bands in a single auction because they will become available at around the same time,</w:t>
      </w:r>
      <w:r w:rsidR="00534C3E" w:rsidRPr="00080443">
        <w:rPr>
          <w:rFonts w:cs="Arial"/>
        </w:rPr>
        <w:t xml:space="preserve"> subject to completion of the restack process,</w:t>
      </w:r>
      <w:r w:rsidRPr="00080443">
        <w:rPr>
          <w:rFonts w:cs="Arial"/>
        </w:rPr>
        <w:t xml:space="preserve"> are complementary for some potential users and may be regarded as substitutes by others. </w:t>
      </w:r>
    </w:p>
    <w:p w14:paraId="4455881A" w14:textId="77777777" w:rsidR="00C21117" w:rsidRPr="00080443" w:rsidRDefault="00C21117" w:rsidP="00C21117">
      <w:pPr>
        <w:rPr>
          <w:rFonts w:cs="Arial"/>
        </w:rPr>
      </w:pPr>
    </w:p>
    <w:p w14:paraId="20532770" w14:textId="77777777" w:rsidR="008A60B8" w:rsidRPr="00080443" w:rsidRDefault="008A60B8" w:rsidP="00C21117">
      <w:pPr>
        <w:rPr>
          <w:rFonts w:cs="Arial"/>
        </w:rPr>
      </w:pPr>
      <w:r w:rsidRPr="00080443">
        <w:rPr>
          <w:rFonts w:cs="Arial"/>
        </w:rPr>
        <w:t>While both frequency bands are suitable for wireless broadband services, their different propagation characteristics allow them to be used in complementary ways. Spectrum in the 700 MHz band is suited to providing coverage over a wide area and with high in-building penetration</w:t>
      </w:r>
      <w:r w:rsidR="006F08E3" w:rsidRPr="00080443">
        <w:rPr>
          <w:rFonts w:cs="Arial"/>
        </w:rPr>
        <w:t xml:space="preserve">. Spectrum in the </w:t>
      </w:r>
      <w:r w:rsidRPr="00080443">
        <w:rPr>
          <w:rFonts w:cs="Arial"/>
        </w:rPr>
        <w:t xml:space="preserve">2.5 GHz </w:t>
      </w:r>
      <w:r w:rsidR="006F08E3" w:rsidRPr="00080443">
        <w:rPr>
          <w:rFonts w:cs="Arial"/>
        </w:rPr>
        <w:t>band</w:t>
      </w:r>
      <w:r w:rsidRPr="00080443">
        <w:rPr>
          <w:rFonts w:cs="Arial"/>
        </w:rPr>
        <w:t xml:space="preserve">, with its abundant bandwidth but </w:t>
      </w:r>
      <w:r w:rsidR="00172075" w:rsidRPr="00080443">
        <w:rPr>
          <w:rFonts w:cs="Arial"/>
        </w:rPr>
        <w:t xml:space="preserve">less effective </w:t>
      </w:r>
      <w:r w:rsidRPr="00080443">
        <w:rPr>
          <w:rFonts w:cs="Arial"/>
        </w:rPr>
        <w:t>in-building and distance propagation, is suited to providing high</w:t>
      </w:r>
      <w:r w:rsidR="0046306D" w:rsidRPr="00080443">
        <w:rPr>
          <w:rFonts w:cs="Arial"/>
        </w:rPr>
        <w:t>-</w:t>
      </w:r>
      <w:r w:rsidRPr="00080443">
        <w:rPr>
          <w:rFonts w:cs="Arial"/>
        </w:rPr>
        <w:t>data capacity in more densely populated, high-demand areas. These differing properties make the bands potentially complementary, but they might also be regarded as substitutes by some users who are interested in acquiring spectrum in one of the two bands, and whose choice of band may depend on the relative price of each.</w:t>
      </w:r>
    </w:p>
    <w:p w14:paraId="311CACEF" w14:textId="77777777" w:rsidR="00C21117" w:rsidRPr="00080443" w:rsidRDefault="00C21117" w:rsidP="00C21117">
      <w:pPr>
        <w:rPr>
          <w:rFonts w:cs="Arial"/>
        </w:rPr>
      </w:pPr>
    </w:p>
    <w:p w14:paraId="34231DF9" w14:textId="77777777" w:rsidR="008A60B8" w:rsidRPr="00080443" w:rsidRDefault="008A60B8" w:rsidP="00C21117">
      <w:pPr>
        <w:rPr>
          <w:rFonts w:cs="Arial"/>
        </w:rPr>
      </w:pPr>
      <w:r w:rsidRPr="00080443">
        <w:rPr>
          <w:rFonts w:cs="Arial"/>
        </w:rPr>
        <w:t xml:space="preserve">A single CCA process will allow bidders to bid on packages of spectrum in the two bands, offering them the opportunity to acquire the specific combinations that will best meet their needs. The means by which the CCA format enables this to happen is discussed </w:t>
      </w:r>
      <w:r w:rsidR="00C7363C" w:rsidRPr="00080443">
        <w:rPr>
          <w:rFonts w:cs="Arial"/>
        </w:rPr>
        <w:t>at 3.1</w:t>
      </w:r>
      <w:r w:rsidRPr="00080443">
        <w:rPr>
          <w:rFonts w:cs="Arial"/>
        </w:rPr>
        <w:t>.</w:t>
      </w:r>
    </w:p>
    <w:p w14:paraId="4241A86E" w14:textId="77777777" w:rsidR="008A60B8" w:rsidRPr="00080443" w:rsidRDefault="008A60B8" w:rsidP="004D411C">
      <w:pPr>
        <w:pStyle w:val="Heading2"/>
        <w:pageBreakBefore/>
        <w:numPr>
          <w:ilvl w:val="0"/>
          <w:numId w:val="0"/>
        </w:numPr>
      </w:pPr>
      <w:bookmarkStart w:id="31" w:name="_Toc335246234"/>
      <w:bookmarkStart w:id="32" w:name="_Toc343780443"/>
      <w:r w:rsidRPr="00080443">
        <w:lastRenderedPageBreak/>
        <w:t>Legislative framework</w:t>
      </w:r>
      <w:bookmarkEnd w:id="31"/>
      <w:bookmarkEnd w:id="32"/>
    </w:p>
    <w:p w14:paraId="6BE76F08" w14:textId="77777777" w:rsidR="008A60B8" w:rsidRPr="00080443" w:rsidRDefault="008A60B8" w:rsidP="00C21117">
      <w:pPr>
        <w:rPr>
          <w:rFonts w:cs="Arial"/>
        </w:rPr>
      </w:pPr>
      <w:r w:rsidRPr="00080443">
        <w:rPr>
          <w:rFonts w:cs="Arial"/>
        </w:rPr>
        <w:t xml:space="preserve">The Act provides a legislative framework for allocating spectrum licences by auction. </w:t>
      </w:r>
    </w:p>
    <w:p w14:paraId="289B7567" w14:textId="77777777" w:rsidR="00C21117" w:rsidRPr="00080443" w:rsidRDefault="00C21117" w:rsidP="00C21117">
      <w:pPr>
        <w:rPr>
          <w:rFonts w:cs="Arial"/>
        </w:rPr>
      </w:pPr>
    </w:p>
    <w:p w14:paraId="6EF3AEAE" w14:textId="77777777" w:rsidR="00A775A4" w:rsidRPr="00080443" w:rsidRDefault="00A775A4" w:rsidP="00A775A4">
      <w:pPr>
        <w:pStyle w:val="Heading3"/>
        <w:numPr>
          <w:ilvl w:val="2"/>
          <w:numId w:val="13"/>
        </w:numPr>
      </w:pPr>
      <w:bookmarkStart w:id="33" w:name="_Toc343780444"/>
      <w:bookmarkStart w:id="34" w:name="_Toc335246235"/>
      <w:r w:rsidRPr="00080443">
        <w:t>Allocation determination</w:t>
      </w:r>
      <w:bookmarkEnd w:id="33"/>
    </w:p>
    <w:p w14:paraId="1581473E" w14:textId="77777777" w:rsidR="00A775A4" w:rsidRPr="00080443" w:rsidRDefault="00A775A4" w:rsidP="00A775A4">
      <w:pPr>
        <w:rPr>
          <w:rFonts w:cs="Arial"/>
        </w:rPr>
      </w:pPr>
      <w:r w:rsidRPr="00080443">
        <w:rPr>
          <w:rFonts w:cs="Arial"/>
        </w:rPr>
        <w:t xml:space="preserve">Section 60 of the Act requires the ACMA to determine written procedures to apply to the allocation of spectrum licences by auction. An allocation determination made under section 60 essentially sets out the ‘auction rules’. </w:t>
      </w:r>
    </w:p>
    <w:p w14:paraId="1B96DD15" w14:textId="77777777" w:rsidR="00A775A4" w:rsidRPr="00080443" w:rsidRDefault="00A775A4" w:rsidP="00A775A4">
      <w:pPr>
        <w:rPr>
          <w:rFonts w:cs="Arial"/>
        </w:rPr>
      </w:pPr>
    </w:p>
    <w:p w14:paraId="05AC3404" w14:textId="77777777" w:rsidR="00A775A4" w:rsidRPr="00080443" w:rsidRDefault="00A775A4" w:rsidP="00A775A4">
      <w:pPr>
        <w:spacing w:after="80"/>
        <w:rPr>
          <w:rFonts w:cs="Arial"/>
        </w:rPr>
      </w:pPr>
      <w:r w:rsidRPr="00080443">
        <w:rPr>
          <w:rFonts w:cs="Arial"/>
        </w:rPr>
        <w:t>For the digital dividend auction, the ACMA has made one allocation determination, as the two bands are being allocated in a single process:</w:t>
      </w:r>
    </w:p>
    <w:p w14:paraId="3A543892" w14:textId="77777777" w:rsidR="00A775A4" w:rsidRPr="00080443" w:rsidRDefault="00A775A4" w:rsidP="00A775A4">
      <w:pPr>
        <w:pStyle w:val="ListBullet"/>
        <w:spacing w:after="240"/>
        <w:rPr>
          <w:rFonts w:cs="Arial"/>
        </w:rPr>
      </w:pPr>
      <w:r w:rsidRPr="00080443">
        <w:rPr>
          <w:rFonts w:cs="Arial"/>
        </w:rPr>
        <w:t xml:space="preserve">The Radiocommunications (Spectrum Licence Allocation — Combinatorial Clock Auction) Determination 2012—see determination and explanatory statement at Attachment </w:t>
      </w:r>
      <w:r w:rsidR="005D4EE4" w:rsidRPr="00080443">
        <w:rPr>
          <w:rFonts w:cs="Arial"/>
        </w:rPr>
        <w:t>A</w:t>
      </w:r>
      <w:r w:rsidRPr="00080443">
        <w:rPr>
          <w:rFonts w:cs="Arial"/>
        </w:rPr>
        <w:t>.</w:t>
      </w:r>
    </w:p>
    <w:p w14:paraId="4C0B1EF1" w14:textId="77777777" w:rsidR="00A775A4" w:rsidRPr="00080443" w:rsidRDefault="00A775A4" w:rsidP="00A775A4">
      <w:pPr>
        <w:spacing w:after="80"/>
        <w:rPr>
          <w:rFonts w:cs="Arial"/>
        </w:rPr>
      </w:pPr>
      <w:r w:rsidRPr="00080443">
        <w:rPr>
          <w:rFonts w:cs="Arial"/>
        </w:rPr>
        <w:t>In summary, the allocation determination specifies:</w:t>
      </w:r>
    </w:p>
    <w:p w14:paraId="61AEDE96" w14:textId="77777777" w:rsidR="00A775A4" w:rsidRPr="00080443" w:rsidRDefault="00A775A4" w:rsidP="00A775A4">
      <w:pPr>
        <w:pStyle w:val="ListBullet"/>
        <w:rPr>
          <w:rFonts w:cs="Arial"/>
        </w:rPr>
      </w:pPr>
      <w:r w:rsidRPr="00080443">
        <w:rPr>
          <w:rFonts w:cs="Arial"/>
        </w:rPr>
        <w:t xml:space="preserve">that the auction will be conducted using the CCA format, and the procedures for the auction </w:t>
      </w:r>
    </w:p>
    <w:p w14:paraId="0C9E14EF" w14:textId="77777777" w:rsidR="00A775A4" w:rsidRPr="00080443" w:rsidRDefault="00A775A4" w:rsidP="00A775A4">
      <w:pPr>
        <w:pStyle w:val="ListBullet"/>
        <w:rPr>
          <w:rFonts w:cs="Arial"/>
        </w:rPr>
      </w:pPr>
      <w:r w:rsidRPr="00080443">
        <w:rPr>
          <w:rFonts w:cs="Arial"/>
        </w:rPr>
        <w:t>the allocation limits (also referred to as ‘competition limits’ or ‘spectrum caps’) on the amount of spectrum a person will be permitted to purchase in the auction—see 3.2.5</w:t>
      </w:r>
    </w:p>
    <w:p w14:paraId="2795D2A4" w14:textId="77777777" w:rsidR="00A775A4" w:rsidRPr="00080443" w:rsidRDefault="00A775A4" w:rsidP="00A775A4">
      <w:pPr>
        <w:pStyle w:val="ListBullet"/>
        <w:spacing w:after="240"/>
        <w:rPr>
          <w:rFonts w:cs="Arial"/>
        </w:rPr>
      </w:pPr>
      <w:r w:rsidRPr="00080443">
        <w:rPr>
          <w:rFonts w:cs="Arial"/>
        </w:rPr>
        <w:t xml:space="preserve">administrative matters such as the bidder registration process and the different payments auction participants may be required to make. </w:t>
      </w:r>
    </w:p>
    <w:p w14:paraId="39BEB1CC" w14:textId="77777777" w:rsidR="00A775A4" w:rsidRPr="00080443" w:rsidRDefault="00A775A4" w:rsidP="004D411C">
      <w:pPr>
        <w:rPr>
          <w:rFonts w:cs="Arial"/>
        </w:rPr>
      </w:pPr>
      <w:r w:rsidRPr="00080443">
        <w:rPr>
          <w:rFonts w:cs="Arial"/>
        </w:rPr>
        <w:t>Further information about the procedures set out in the allocation determination is provided in Chapter 3.</w:t>
      </w:r>
    </w:p>
    <w:p w14:paraId="63B7BF3E" w14:textId="77777777" w:rsidR="00A775A4" w:rsidRPr="00080443" w:rsidRDefault="00A775A4" w:rsidP="00A775A4">
      <w:pPr>
        <w:spacing w:after="80"/>
        <w:rPr>
          <w:rFonts w:cs="Arial"/>
        </w:rPr>
      </w:pPr>
    </w:p>
    <w:p w14:paraId="1B308917" w14:textId="77777777" w:rsidR="008A60B8" w:rsidRPr="00080443" w:rsidRDefault="008A60B8" w:rsidP="00234088">
      <w:pPr>
        <w:pStyle w:val="Heading3"/>
        <w:numPr>
          <w:ilvl w:val="2"/>
          <w:numId w:val="13"/>
        </w:numPr>
      </w:pPr>
      <w:bookmarkStart w:id="35" w:name="_Toc343780445"/>
      <w:r w:rsidRPr="00080443">
        <w:t>Marketing plans</w:t>
      </w:r>
      <w:bookmarkEnd w:id="34"/>
      <w:bookmarkEnd w:id="35"/>
    </w:p>
    <w:p w14:paraId="3007E97C" w14:textId="77777777" w:rsidR="008A60B8" w:rsidRPr="00080443" w:rsidRDefault="00534C3E" w:rsidP="00C21117">
      <w:pPr>
        <w:rPr>
          <w:rFonts w:cs="Arial"/>
        </w:rPr>
      </w:pPr>
      <w:r w:rsidRPr="00080443">
        <w:rPr>
          <w:rFonts w:cs="Arial"/>
        </w:rPr>
        <w:t>Where a relevant spectrum reallocation declaration has been made, s</w:t>
      </w:r>
      <w:r w:rsidR="008A60B8" w:rsidRPr="00080443">
        <w:rPr>
          <w:rFonts w:cs="Arial"/>
        </w:rPr>
        <w:t xml:space="preserve">ection 39A of the Act requires the ACMA to prepare a marketing plan for issuing spectrum licences within a particular part of the spectrum. A marketing plan made under section 39A essentially sets out the product offering. </w:t>
      </w:r>
    </w:p>
    <w:p w14:paraId="3A950161" w14:textId="77777777" w:rsidR="00C21117" w:rsidRPr="00080443" w:rsidRDefault="00C21117" w:rsidP="00C21117">
      <w:pPr>
        <w:rPr>
          <w:rFonts w:cs="Arial"/>
        </w:rPr>
      </w:pPr>
    </w:p>
    <w:p w14:paraId="0162BD16" w14:textId="77777777" w:rsidR="008A60B8" w:rsidRPr="00080443" w:rsidRDefault="008A60B8" w:rsidP="00C21117">
      <w:pPr>
        <w:spacing w:after="80"/>
        <w:rPr>
          <w:rFonts w:cs="Arial"/>
        </w:rPr>
      </w:pPr>
      <w:r w:rsidRPr="00080443">
        <w:rPr>
          <w:rFonts w:cs="Arial"/>
        </w:rPr>
        <w:t>For the digital dividend auction, the ACMA has made two marketing plans</w:t>
      </w:r>
      <w:r w:rsidR="0046306D" w:rsidRPr="00080443">
        <w:rPr>
          <w:rFonts w:cs="Arial"/>
        </w:rPr>
        <w:t>—</w:t>
      </w:r>
      <w:r w:rsidRPr="00080443">
        <w:rPr>
          <w:rFonts w:cs="Arial"/>
        </w:rPr>
        <w:t>one for each band</w:t>
      </w:r>
      <w:r w:rsidR="0046306D" w:rsidRPr="00080443">
        <w:rPr>
          <w:rFonts w:cs="Arial"/>
        </w:rPr>
        <w:t>—</w:t>
      </w:r>
      <w:r w:rsidRPr="00080443">
        <w:rPr>
          <w:rFonts w:cs="Arial"/>
        </w:rPr>
        <w:t>as there are two separate categories of spectrum being offered for auction. The two marketing plans made by the ACMA are:</w:t>
      </w:r>
    </w:p>
    <w:p w14:paraId="43FC961C" w14:textId="77777777" w:rsidR="008A60B8" w:rsidRPr="00080443" w:rsidRDefault="008A60B8" w:rsidP="00C21117">
      <w:pPr>
        <w:pStyle w:val="ListBullet"/>
        <w:rPr>
          <w:rFonts w:cs="Arial"/>
          <w:b/>
        </w:rPr>
      </w:pPr>
      <w:r w:rsidRPr="00080443">
        <w:rPr>
          <w:rFonts w:cs="Arial"/>
        </w:rPr>
        <w:t>The Radiocommunications Spectrum Marketing Plan (700 MHz Band) 2012</w:t>
      </w:r>
      <w:r w:rsidR="0046306D" w:rsidRPr="00080443">
        <w:rPr>
          <w:rFonts w:cs="Arial"/>
        </w:rPr>
        <w:t>—</w:t>
      </w:r>
      <w:r w:rsidRPr="00080443">
        <w:rPr>
          <w:rFonts w:cs="Arial"/>
        </w:rPr>
        <w:t xml:space="preserve">see marketing plan and explanatory statement at </w:t>
      </w:r>
      <w:r w:rsidR="00837369" w:rsidRPr="00080443">
        <w:rPr>
          <w:rFonts w:cs="Arial"/>
        </w:rPr>
        <w:t xml:space="preserve">Attachment </w:t>
      </w:r>
      <w:r w:rsidR="005D4EE4" w:rsidRPr="00080443">
        <w:rPr>
          <w:rFonts w:cs="Arial"/>
        </w:rPr>
        <w:t>B</w:t>
      </w:r>
      <w:r w:rsidR="0046306D" w:rsidRPr="00080443">
        <w:rPr>
          <w:rFonts w:cs="Arial"/>
        </w:rPr>
        <w:t>.</w:t>
      </w:r>
    </w:p>
    <w:p w14:paraId="4C1794F4" w14:textId="77777777" w:rsidR="008A60B8" w:rsidRPr="00080443" w:rsidRDefault="008A60B8" w:rsidP="00C21117">
      <w:pPr>
        <w:pStyle w:val="ListBullet"/>
        <w:spacing w:after="240"/>
        <w:rPr>
          <w:rFonts w:cs="Arial"/>
        </w:rPr>
      </w:pPr>
      <w:r w:rsidRPr="00080443">
        <w:rPr>
          <w:rFonts w:cs="Arial"/>
        </w:rPr>
        <w:t>The Radiocommunications Spectrum Marketing Plan (2.5 GHz Band) 2012</w:t>
      </w:r>
      <w:r w:rsidR="0046306D" w:rsidRPr="00080443">
        <w:rPr>
          <w:rFonts w:cs="Arial"/>
        </w:rPr>
        <w:t>—</w:t>
      </w:r>
      <w:r w:rsidRPr="00080443">
        <w:rPr>
          <w:rFonts w:cs="Arial"/>
        </w:rPr>
        <w:t xml:space="preserve">see marketing plan and explanatory statement at </w:t>
      </w:r>
      <w:r w:rsidR="00837369" w:rsidRPr="00080443">
        <w:rPr>
          <w:rFonts w:cs="Arial"/>
        </w:rPr>
        <w:t xml:space="preserve">Attachment </w:t>
      </w:r>
      <w:r w:rsidR="005D4EE4" w:rsidRPr="00080443">
        <w:rPr>
          <w:rFonts w:cs="Arial"/>
        </w:rPr>
        <w:t>F</w:t>
      </w:r>
      <w:r w:rsidRPr="00080443">
        <w:rPr>
          <w:rFonts w:cs="Arial"/>
        </w:rPr>
        <w:t>.</w:t>
      </w:r>
    </w:p>
    <w:p w14:paraId="3FBA1F58" w14:textId="77777777" w:rsidR="008A60B8" w:rsidRPr="00080443" w:rsidRDefault="008A60B8" w:rsidP="00C21117">
      <w:pPr>
        <w:spacing w:after="80"/>
        <w:rPr>
          <w:rFonts w:cs="Arial"/>
        </w:rPr>
      </w:pPr>
      <w:r w:rsidRPr="00080443">
        <w:rPr>
          <w:rFonts w:cs="Arial"/>
        </w:rPr>
        <w:t>The marketing plan for each band specifies:</w:t>
      </w:r>
    </w:p>
    <w:p w14:paraId="6251507A" w14:textId="77777777" w:rsidR="008A60B8" w:rsidRPr="00080443" w:rsidRDefault="008A60B8" w:rsidP="00C21117">
      <w:pPr>
        <w:pStyle w:val="ListBullet"/>
        <w:rPr>
          <w:rFonts w:cs="Arial"/>
        </w:rPr>
      </w:pPr>
      <w:r w:rsidRPr="00080443">
        <w:rPr>
          <w:rFonts w:cs="Arial"/>
        </w:rPr>
        <w:t>the spectrum products that will be available in each band</w:t>
      </w:r>
    </w:p>
    <w:p w14:paraId="64894C88" w14:textId="77777777" w:rsidR="008A60B8" w:rsidRPr="00080443" w:rsidRDefault="008A60B8" w:rsidP="00C21117">
      <w:pPr>
        <w:pStyle w:val="ListBullet"/>
        <w:rPr>
          <w:rFonts w:cs="Arial"/>
        </w:rPr>
      </w:pPr>
      <w:r w:rsidRPr="00080443">
        <w:rPr>
          <w:rFonts w:cs="Arial"/>
        </w:rPr>
        <w:t>the method by which the spectrum products will be allocated</w:t>
      </w:r>
    </w:p>
    <w:p w14:paraId="0249F30C" w14:textId="77777777" w:rsidR="008A60B8" w:rsidRPr="00080443" w:rsidRDefault="008A60B8" w:rsidP="00C21117">
      <w:pPr>
        <w:pStyle w:val="ListBullet"/>
        <w:spacing w:after="240"/>
        <w:rPr>
          <w:rFonts w:cs="Arial"/>
        </w:rPr>
      </w:pPr>
      <w:r w:rsidRPr="00080443">
        <w:rPr>
          <w:rFonts w:cs="Arial"/>
        </w:rPr>
        <w:t xml:space="preserve">the conditions that </w:t>
      </w:r>
      <w:r w:rsidR="00534C3E" w:rsidRPr="00080443">
        <w:rPr>
          <w:rFonts w:cs="Arial"/>
        </w:rPr>
        <w:t>may</w:t>
      </w:r>
      <w:r w:rsidRPr="00080443">
        <w:rPr>
          <w:rFonts w:cs="Arial"/>
        </w:rPr>
        <w:t xml:space="preserve"> apply to the spectrum licences issued.</w:t>
      </w:r>
    </w:p>
    <w:p w14:paraId="69FDCD94" w14:textId="77777777" w:rsidR="008A60B8" w:rsidRPr="00080443" w:rsidRDefault="008A60B8" w:rsidP="00C21117">
      <w:pPr>
        <w:rPr>
          <w:rFonts w:cs="Arial"/>
        </w:rPr>
      </w:pPr>
      <w:r w:rsidRPr="00080443">
        <w:rPr>
          <w:rFonts w:cs="Arial"/>
        </w:rPr>
        <w:t xml:space="preserve">A summary of the key elements of the marketing plans is provided in chapters 2 and 5. </w:t>
      </w:r>
    </w:p>
    <w:p w14:paraId="48C485C7" w14:textId="77777777" w:rsidR="00C21117" w:rsidRPr="00080443" w:rsidRDefault="00C21117" w:rsidP="00C21117">
      <w:pPr>
        <w:rPr>
          <w:rFonts w:cs="Arial"/>
        </w:rPr>
      </w:pPr>
    </w:p>
    <w:p w14:paraId="364CFA10" w14:textId="77777777" w:rsidR="008A60B8" w:rsidRPr="00080443" w:rsidRDefault="008A60B8" w:rsidP="00234088">
      <w:pPr>
        <w:pStyle w:val="Heading3"/>
        <w:numPr>
          <w:ilvl w:val="2"/>
          <w:numId w:val="13"/>
        </w:numPr>
      </w:pPr>
      <w:bookmarkStart w:id="36" w:name="_Toc335246236"/>
      <w:bookmarkStart w:id="37" w:name="_Toc343780446"/>
      <w:r w:rsidRPr="00080443">
        <w:t>Technical instruments</w:t>
      </w:r>
      <w:bookmarkEnd w:id="36"/>
      <w:bookmarkEnd w:id="37"/>
    </w:p>
    <w:p w14:paraId="4221F853" w14:textId="77777777" w:rsidR="008A60B8" w:rsidRPr="00080443" w:rsidRDefault="008A60B8" w:rsidP="00C21117">
      <w:pPr>
        <w:rPr>
          <w:rFonts w:cs="Arial"/>
        </w:rPr>
      </w:pPr>
      <w:r w:rsidRPr="00080443">
        <w:rPr>
          <w:rFonts w:cs="Arial"/>
        </w:rPr>
        <w:t xml:space="preserve">An overview of the spectrum licensing framework is provided in </w:t>
      </w:r>
      <w:r w:rsidR="0046306D" w:rsidRPr="00080443">
        <w:rPr>
          <w:rFonts w:cs="Arial"/>
        </w:rPr>
        <w:t>C</w:t>
      </w:r>
      <w:r w:rsidRPr="00080443">
        <w:rPr>
          <w:rFonts w:cs="Arial"/>
        </w:rPr>
        <w:t xml:space="preserve">hapter 5. As mentioned in that chapter, spectrum licensees are required to register the radiocommunications transmitters they intend to operate under their licences in the Register of Radiocommunications Licences maintained by the ACMA, unless the transmitter type is specifically exempted from registration under their licence. </w:t>
      </w:r>
    </w:p>
    <w:p w14:paraId="2C40710E" w14:textId="77777777" w:rsidR="008A60B8" w:rsidRPr="00080443" w:rsidRDefault="008A60B8" w:rsidP="004D411C">
      <w:pPr>
        <w:pageBreakBefore/>
        <w:spacing w:after="80"/>
        <w:rPr>
          <w:rFonts w:cs="Arial"/>
        </w:rPr>
      </w:pPr>
      <w:r w:rsidRPr="00080443">
        <w:rPr>
          <w:rFonts w:cs="Arial"/>
        </w:rPr>
        <w:lastRenderedPageBreak/>
        <w:t xml:space="preserve">Under </w:t>
      </w:r>
      <w:r w:rsidR="00F54039" w:rsidRPr="00080443">
        <w:rPr>
          <w:rFonts w:cs="Arial"/>
        </w:rPr>
        <w:t>sub</w:t>
      </w:r>
      <w:r w:rsidRPr="00080443">
        <w:rPr>
          <w:rFonts w:cs="Arial"/>
        </w:rPr>
        <w:t>section 145</w:t>
      </w:r>
      <w:r w:rsidR="00F54039" w:rsidRPr="00080443">
        <w:rPr>
          <w:rFonts w:cs="Arial"/>
        </w:rPr>
        <w:t>(1)</w:t>
      </w:r>
      <w:r w:rsidRPr="00080443">
        <w:rPr>
          <w:rFonts w:cs="Arial"/>
        </w:rPr>
        <w:t xml:space="preserve"> of the Act, the ACMA may </w:t>
      </w:r>
      <w:r w:rsidR="00F54039" w:rsidRPr="00080443">
        <w:rPr>
          <w:rFonts w:cs="Arial"/>
        </w:rPr>
        <w:t>refuse to register a radiocommunications transmitter if it is satisfied that the operation of the transmitter could cause unacceptable levels of interference to the operation of other radiocommunications devices. Under subsection 1</w:t>
      </w:r>
      <w:r w:rsidR="00015EF9" w:rsidRPr="00080443">
        <w:rPr>
          <w:rFonts w:cs="Arial"/>
        </w:rPr>
        <w:t>45</w:t>
      </w:r>
      <w:r w:rsidR="00F54039" w:rsidRPr="00080443">
        <w:rPr>
          <w:rFonts w:cs="Arial"/>
        </w:rPr>
        <w:t>(4) of the Act, the ACMA may determine what are ‘unacceptable levels of interference’ for the purposes of subsection 145(1). A subsection 145(4) determination sets out the circumstances in which the ACMA may decide that the operation of the device is likely to cause ‘unacceptable interference’</w:t>
      </w:r>
      <w:r w:rsidR="00B13813" w:rsidRPr="00080443">
        <w:rPr>
          <w:rFonts w:cs="Arial"/>
        </w:rPr>
        <w:t>.</w:t>
      </w:r>
      <w:r w:rsidR="00F54039" w:rsidRPr="00080443">
        <w:rPr>
          <w:rFonts w:cs="Arial"/>
        </w:rPr>
        <w:t xml:space="preserve"> Such </w:t>
      </w:r>
      <w:r w:rsidRPr="00080443">
        <w:rPr>
          <w:rFonts w:cs="Arial"/>
        </w:rPr>
        <w:t>circumstances include</w:t>
      </w:r>
      <w:r w:rsidR="004F1DB9" w:rsidRPr="00080443">
        <w:rPr>
          <w:rFonts w:cs="Arial"/>
        </w:rPr>
        <w:t>, without limitation</w:t>
      </w:r>
      <w:r w:rsidR="00F54039" w:rsidRPr="00080443">
        <w:rPr>
          <w:rFonts w:cs="Arial"/>
        </w:rPr>
        <w:t>, where</w:t>
      </w:r>
      <w:r w:rsidRPr="00080443">
        <w:rPr>
          <w:rFonts w:cs="Arial"/>
        </w:rPr>
        <w:t>:</w:t>
      </w:r>
    </w:p>
    <w:p w14:paraId="3F3DE4F3" w14:textId="77777777" w:rsidR="008A60B8" w:rsidRPr="00080443" w:rsidRDefault="008A60B8" w:rsidP="00C21117">
      <w:pPr>
        <w:pStyle w:val="ListBullet"/>
        <w:rPr>
          <w:rFonts w:cs="Arial"/>
        </w:rPr>
      </w:pPr>
      <w:r w:rsidRPr="00080443">
        <w:rPr>
          <w:rFonts w:cs="Arial"/>
        </w:rPr>
        <w:t>any part of the device boundary falls outside the geographic area of the spectrum licence</w:t>
      </w:r>
    </w:p>
    <w:p w14:paraId="44852754" w14:textId="77777777" w:rsidR="008A60B8" w:rsidRPr="00080443" w:rsidRDefault="008A60B8" w:rsidP="00C21117">
      <w:pPr>
        <w:pStyle w:val="ListBullet"/>
        <w:rPr>
          <w:rFonts w:cs="Arial"/>
        </w:rPr>
      </w:pPr>
      <w:r w:rsidRPr="00080443">
        <w:rPr>
          <w:rFonts w:cs="Arial"/>
        </w:rPr>
        <w:t>the operation of the transmitter will breach a core condition of the spectrum licence</w:t>
      </w:r>
    </w:p>
    <w:p w14:paraId="43428E51" w14:textId="77777777" w:rsidR="008A60B8" w:rsidRPr="00080443" w:rsidRDefault="008A60B8" w:rsidP="00C21117">
      <w:pPr>
        <w:pStyle w:val="ListBullet"/>
        <w:spacing w:after="240"/>
        <w:rPr>
          <w:rFonts w:cs="Arial"/>
        </w:rPr>
      </w:pPr>
      <w:r w:rsidRPr="00080443">
        <w:rPr>
          <w:rFonts w:cs="Arial"/>
        </w:rPr>
        <w:t>the deployment of the transmitter breaches the deployment constraints of the section 145 determination.</w:t>
      </w:r>
    </w:p>
    <w:p w14:paraId="6B5A9A3B" w14:textId="77777777" w:rsidR="008A60B8" w:rsidRPr="00080443" w:rsidRDefault="008A60B8" w:rsidP="00C21117">
      <w:pPr>
        <w:rPr>
          <w:rFonts w:cs="Arial"/>
        </w:rPr>
      </w:pPr>
      <w:r w:rsidRPr="00080443">
        <w:rPr>
          <w:rFonts w:cs="Arial"/>
        </w:rPr>
        <w:t xml:space="preserve">Under section 262 of the Act, the ACMA may make advisory guidelines about any aspect of radiocommunications. </w:t>
      </w:r>
      <w:r w:rsidR="004D0870" w:rsidRPr="00080443">
        <w:rPr>
          <w:rFonts w:cs="Arial"/>
        </w:rPr>
        <w:t xml:space="preserve">Such </w:t>
      </w:r>
      <w:r w:rsidRPr="00080443">
        <w:rPr>
          <w:rFonts w:cs="Arial"/>
        </w:rPr>
        <w:t xml:space="preserve">guidelines </w:t>
      </w:r>
      <w:r w:rsidR="004D0870" w:rsidRPr="00080443">
        <w:rPr>
          <w:rFonts w:cs="Arial"/>
        </w:rPr>
        <w:t xml:space="preserve">can </w:t>
      </w:r>
      <w:r w:rsidRPr="00080443">
        <w:rPr>
          <w:rFonts w:cs="Arial"/>
        </w:rPr>
        <w:t>include provisions to help manage interference between spectrum-licensed devices and radiocommunications devices for other services.</w:t>
      </w:r>
    </w:p>
    <w:p w14:paraId="0DDBBD5A" w14:textId="77777777" w:rsidR="00C21117" w:rsidRPr="00080443" w:rsidRDefault="00C21117" w:rsidP="00C21117">
      <w:pPr>
        <w:rPr>
          <w:rFonts w:cs="Arial"/>
        </w:rPr>
      </w:pPr>
    </w:p>
    <w:p w14:paraId="41FBD92C" w14:textId="77777777" w:rsidR="008A60B8" w:rsidRPr="00080443" w:rsidRDefault="008A60B8" w:rsidP="00C21117">
      <w:pPr>
        <w:rPr>
          <w:rFonts w:cs="Arial"/>
        </w:rPr>
      </w:pPr>
      <w:r w:rsidRPr="00080443">
        <w:rPr>
          <w:rFonts w:cs="Arial"/>
        </w:rPr>
        <w:t>For the digital dividend auction, the ACMA has made technical instruments for each of the two bands.</w:t>
      </w:r>
    </w:p>
    <w:p w14:paraId="75C73EA7" w14:textId="77777777" w:rsidR="00C21117" w:rsidRPr="00080443" w:rsidRDefault="00C21117" w:rsidP="00C21117">
      <w:pPr>
        <w:rPr>
          <w:rFonts w:cs="Arial"/>
        </w:rPr>
      </w:pPr>
    </w:p>
    <w:p w14:paraId="77BB8C6B" w14:textId="77777777" w:rsidR="008A60B8" w:rsidRPr="00080443" w:rsidRDefault="008A60B8" w:rsidP="00C21117">
      <w:pPr>
        <w:spacing w:after="80"/>
        <w:rPr>
          <w:rFonts w:cs="Arial"/>
        </w:rPr>
      </w:pPr>
      <w:r w:rsidRPr="00080443">
        <w:rPr>
          <w:rFonts w:cs="Arial"/>
        </w:rPr>
        <w:t>For the 700 MHz band, the ACMA has made:</w:t>
      </w:r>
    </w:p>
    <w:p w14:paraId="7106D988" w14:textId="77777777" w:rsidR="008A60B8" w:rsidRPr="00080443" w:rsidRDefault="008A60B8" w:rsidP="00C21117">
      <w:pPr>
        <w:pStyle w:val="ListBullet"/>
        <w:rPr>
          <w:rFonts w:cs="Arial"/>
        </w:rPr>
      </w:pPr>
      <w:r w:rsidRPr="00080443">
        <w:rPr>
          <w:rFonts w:cs="Arial"/>
        </w:rPr>
        <w:t>The Radiocommunications (Unacceptable Levels of Interference – 700 MHz Band) Determination 2012</w:t>
      </w:r>
      <w:r w:rsidR="00B8725D" w:rsidRPr="00080443">
        <w:rPr>
          <w:rFonts w:cs="Arial"/>
        </w:rPr>
        <w:t>—</w:t>
      </w:r>
      <w:r w:rsidRPr="00080443">
        <w:rPr>
          <w:rFonts w:cs="Arial"/>
        </w:rPr>
        <w:t xml:space="preserve">see determination and explanatory statement at </w:t>
      </w:r>
      <w:r w:rsidR="00837369" w:rsidRPr="00080443">
        <w:rPr>
          <w:rFonts w:cs="Arial"/>
        </w:rPr>
        <w:t>Attachment </w:t>
      </w:r>
      <w:r w:rsidR="005D4EE4" w:rsidRPr="00080443">
        <w:rPr>
          <w:rFonts w:cs="Arial"/>
        </w:rPr>
        <w:t>C</w:t>
      </w:r>
      <w:r w:rsidR="00837369" w:rsidRPr="00080443">
        <w:rPr>
          <w:rFonts w:cs="Arial"/>
        </w:rPr>
        <w:t>.</w:t>
      </w:r>
    </w:p>
    <w:p w14:paraId="2ED42F91" w14:textId="77777777" w:rsidR="008A60B8" w:rsidRPr="00080443" w:rsidRDefault="008A60B8" w:rsidP="00C21117">
      <w:pPr>
        <w:pStyle w:val="ListBullet"/>
        <w:rPr>
          <w:rFonts w:cs="Arial"/>
        </w:rPr>
      </w:pPr>
      <w:r w:rsidRPr="00080443">
        <w:rPr>
          <w:rFonts w:cs="Arial"/>
        </w:rPr>
        <w:t>The Radiocommunications Advisory Guidelines (Managing Interference from Transmitters – 700 MHz Band) 2012</w:t>
      </w:r>
      <w:r w:rsidR="00B8725D" w:rsidRPr="00080443">
        <w:rPr>
          <w:rFonts w:cs="Arial"/>
        </w:rPr>
        <w:t>—</w:t>
      </w:r>
      <w:r w:rsidRPr="00080443">
        <w:rPr>
          <w:rFonts w:cs="Arial"/>
        </w:rPr>
        <w:t xml:space="preserve">see guidelines and explanatory statement at </w:t>
      </w:r>
      <w:r w:rsidR="00837369" w:rsidRPr="00080443">
        <w:rPr>
          <w:rFonts w:cs="Arial"/>
        </w:rPr>
        <w:t xml:space="preserve">Attachment </w:t>
      </w:r>
      <w:r w:rsidR="005D4EE4" w:rsidRPr="00080443">
        <w:rPr>
          <w:rFonts w:cs="Arial"/>
        </w:rPr>
        <w:t>D</w:t>
      </w:r>
      <w:r w:rsidR="00837369" w:rsidRPr="00080443">
        <w:rPr>
          <w:rFonts w:cs="Arial"/>
        </w:rPr>
        <w:t>.</w:t>
      </w:r>
    </w:p>
    <w:p w14:paraId="1D319C94" w14:textId="77777777" w:rsidR="008A60B8" w:rsidRPr="00080443" w:rsidRDefault="008A60B8" w:rsidP="00C21117">
      <w:pPr>
        <w:pStyle w:val="ListBullet"/>
        <w:spacing w:after="240"/>
        <w:rPr>
          <w:rFonts w:cs="Arial"/>
        </w:rPr>
      </w:pPr>
      <w:r w:rsidRPr="00080443">
        <w:rPr>
          <w:rFonts w:cs="Arial"/>
        </w:rPr>
        <w:t>The Radiocommunications Advisory Guidelines (Managing Interference to Receivers – 700 MHz Band) 2012</w:t>
      </w:r>
      <w:r w:rsidR="00B8725D" w:rsidRPr="00080443">
        <w:rPr>
          <w:rFonts w:cs="Arial"/>
        </w:rPr>
        <w:t>—</w:t>
      </w:r>
      <w:r w:rsidRPr="00080443">
        <w:rPr>
          <w:rFonts w:cs="Arial"/>
        </w:rPr>
        <w:t xml:space="preserve">see guidelines and explanatory statement at </w:t>
      </w:r>
      <w:r w:rsidR="00837369" w:rsidRPr="00080443">
        <w:rPr>
          <w:rFonts w:cs="Arial"/>
        </w:rPr>
        <w:t xml:space="preserve">Attachment </w:t>
      </w:r>
      <w:r w:rsidR="005D4EE4" w:rsidRPr="00080443">
        <w:rPr>
          <w:rFonts w:cs="Arial"/>
        </w:rPr>
        <w:t>E</w:t>
      </w:r>
      <w:r w:rsidRPr="00080443">
        <w:rPr>
          <w:rFonts w:cs="Arial"/>
        </w:rPr>
        <w:t>.</w:t>
      </w:r>
    </w:p>
    <w:p w14:paraId="13509782" w14:textId="77777777" w:rsidR="008A60B8" w:rsidRPr="00080443" w:rsidRDefault="008A60B8" w:rsidP="005E17CA">
      <w:pPr>
        <w:keepNext/>
        <w:spacing w:after="80"/>
        <w:rPr>
          <w:rFonts w:cs="Arial"/>
        </w:rPr>
      </w:pPr>
      <w:r w:rsidRPr="00080443">
        <w:rPr>
          <w:rFonts w:cs="Arial"/>
        </w:rPr>
        <w:t>For the 2.5 GHz band, the ACMA has made:</w:t>
      </w:r>
    </w:p>
    <w:p w14:paraId="15D1237B" w14:textId="77777777" w:rsidR="008A60B8" w:rsidRPr="00080443" w:rsidRDefault="008A60B8" w:rsidP="00C21117">
      <w:pPr>
        <w:pStyle w:val="ListBullet"/>
        <w:rPr>
          <w:rFonts w:cs="Arial"/>
        </w:rPr>
      </w:pPr>
      <w:r w:rsidRPr="00080443">
        <w:rPr>
          <w:rFonts w:cs="Arial"/>
        </w:rPr>
        <w:t>The Radiocommunications (Unacceptable Levels of Interference – 2.5 GHz Band) Determination 2012</w:t>
      </w:r>
      <w:r w:rsidR="00B8725D" w:rsidRPr="00080443">
        <w:rPr>
          <w:rFonts w:cs="Arial"/>
        </w:rPr>
        <w:t>—</w:t>
      </w:r>
      <w:r w:rsidRPr="00080443">
        <w:rPr>
          <w:rFonts w:cs="Arial"/>
        </w:rPr>
        <w:t xml:space="preserve">see determination and explanatory statement at </w:t>
      </w:r>
      <w:r w:rsidR="00837369" w:rsidRPr="00080443">
        <w:rPr>
          <w:rFonts w:cs="Arial"/>
        </w:rPr>
        <w:t>Attachment </w:t>
      </w:r>
      <w:r w:rsidR="005D4EE4" w:rsidRPr="00080443">
        <w:rPr>
          <w:rFonts w:cs="Arial"/>
        </w:rPr>
        <w:t>G</w:t>
      </w:r>
      <w:r w:rsidR="00837369" w:rsidRPr="00080443">
        <w:rPr>
          <w:rFonts w:cs="Arial"/>
        </w:rPr>
        <w:t>.</w:t>
      </w:r>
    </w:p>
    <w:p w14:paraId="134AE394" w14:textId="77777777" w:rsidR="008A60B8" w:rsidRPr="00080443" w:rsidRDefault="008A60B8" w:rsidP="00C21117">
      <w:pPr>
        <w:pStyle w:val="ListBullet"/>
        <w:rPr>
          <w:rFonts w:cs="Arial"/>
        </w:rPr>
      </w:pPr>
      <w:r w:rsidRPr="00080443">
        <w:rPr>
          <w:rFonts w:cs="Arial"/>
        </w:rPr>
        <w:t>The Radiocommunications Advisory Guidelines (Managing Interference from Transmitters – 2.5 GHz Band) 2012</w:t>
      </w:r>
      <w:r w:rsidR="00B8725D" w:rsidRPr="00080443">
        <w:rPr>
          <w:rFonts w:cs="Arial"/>
        </w:rPr>
        <w:t>—</w:t>
      </w:r>
      <w:r w:rsidRPr="00080443">
        <w:rPr>
          <w:rFonts w:cs="Arial"/>
        </w:rPr>
        <w:t xml:space="preserve">see guidelines and explanatory statement at </w:t>
      </w:r>
      <w:r w:rsidR="00837369" w:rsidRPr="00080443">
        <w:rPr>
          <w:rFonts w:cs="Arial"/>
        </w:rPr>
        <w:t xml:space="preserve">Attachment </w:t>
      </w:r>
      <w:r w:rsidR="005D4EE4" w:rsidRPr="00080443">
        <w:rPr>
          <w:rFonts w:cs="Arial"/>
        </w:rPr>
        <w:t>H</w:t>
      </w:r>
      <w:r w:rsidR="00837369" w:rsidRPr="00080443">
        <w:rPr>
          <w:rFonts w:cs="Arial"/>
        </w:rPr>
        <w:t>.</w:t>
      </w:r>
    </w:p>
    <w:p w14:paraId="3B095997" w14:textId="77777777" w:rsidR="008A60B8" w:rsidRPr="00080443" w:rsidRDefault="008A60B8" w:rsidP="00C21117">
      <w:pPr>
        <w:pStyle w:val="ListBullet"/>
        <w:spacing w:after="240"/>
        <w:rPr>
          <w:rFonts w:cs="Arial"/>
        </w:rPr>
      </w:pPr>
      <w:r w:rsidRPr="00080443">
        <w:rPr>
          <w:rFonts w:cs="Arial"/>
        </w:rPr>
        <w:t>The Radiocommunications Advisory Guidelines (Managing Interference to Receivers – 2.5 GHz Band) 2012</w:t>
      </w:r>
      <w:r w:rsidR="00B8725D" w:rsidRPr="00080443">
        <w:rPr>
          <w:rFonts w:cs="Arial"/>
        </w:rPr>
        <w:t>—</w:t>
      </w:r>
      <w:r w:rsidRPr="00080443">
        <w:rPr>
          <w:rFonts w:cs="Arial"/>
        </w:rPr>
        <w:t xml:space="preserve">see guidelines and explanatory statement at </w:t>
      </w:r>
      <w:r w:rsidR="00837369" w:rsidRPr="00080443">
        <w:rPr>
          <w:rFonts w:cs="Arial"/>
        </w:rPr>
        <w:t xml:space="preserve">Attachment </w:t>
      </w:r>
      <w:r w:rsidR="005D4EE4" w:rsidRPr="00080443">
        <w:rPr>
          <w:rFonts w:cs="Arial"/>
        </w:rPr>
        <w:t>I</w:t>
      </w:r>
      <w:r w:rsidRPr="00080443">
        <w:rPr>
          <w:rFonts w:cs="Arial"/>
        </w:rPr>
        <w:t>.</w:t>
      </w:r>
    </w:p>
    <w:p w14:paraId="70BED1DD" w14:textId="77777777" w:rsidR="008A60B8" w:rsidRPr="00080443" w:rsidRDefault="008A60B8" w:rsidP="00C21117">
      <w:pPr>
        <w:rPr>
          <w:rFonts w:cs="Arial"/>
        </w:rPr>
      </w:pPr>
      <w:r w:rsidRPr="00080443">
        <w:rPr>
          <w:rFonts w:cs="Arial"/>
        </w:rPr>
        <w:t xml:space="preserve">The purpose and effect of these technical instruments are discussed further in </w:t>
      </w:r>
      <w:r w:rsidR="00B8725D" w:rsidRPr="00080443">
        <w:rPr>
          <w:rFonts w:cs="Arial"/>
        </w:rPr>
        <w:t>C</w:t>
      </w:r>
      <w:r w:rsidRPr="00080443">
        <w:rPr>
          <w:rFonts w:cs="Arial"/>
        </w:rPr>
        <w:t>hapter</w:t>
      </w:r>
      <w:r w:rsidR="00B8725D" w:rsidRPr="00080443">
        <w:rPr>
          <w:rFonts w:cs="Arial"/>
        </w:rPr>
        <w:t> </w:t>
      </w:r>
      <w:r w:rsidRPr="00080443">
        <w:rPr>
          <w:rFonts w:cs="Arial"/>
        </w:rPr>
        <w:t xml:space="preserve">5. </w:t>
      </w:r>
    </w:p>
    <w:p w14:paraId="63860D95" w14:textId="77777777" w:rsidR="00C21117" w:rsidRPr="00080443" w:rsidRDefault="00C21117" w:rsidP="00C21117">
      <w:pPr>
        <w:rPr>
          <w:rFonts w:cs="Arial"/>
        </w:rPr>
      </w:pPr>
    </w:p>
    <w:p w14:paraId="28C4088A" w14:textId="77777777" w:rsidR="008A60B8" w:rsidRPr="00080443" w:rsidRDefault="008A60B8" w:rsidP="00234088">
      <w:pPr>
        <w:pStyle w:val="Heading2"/>
        <w:numPr>
          <w:ilvl w:val="1"/>
          <w:numId w:val="13"/>
        </w:numPr>
        <w:ind w:hanging="792"/>
      </w:pPr>
      <w:bookmarkStart w:id="38" w:name="_Toc335246238"/>
      <w:bookmarkStart w:id="39" w:name="_Toc343780447"/>
      <w:r w:rsidRPr="00080443">
        <w:t>Stakeholder consultation</w:t>
      </w:r>
      <w:bookmarkEnd w:id="38"/>
      <w:bookmarkEnd w:id="39"/>
    </w:p>
    <w:p w14:paraId="03884FD5" w14:textId="77777777" w:rsidR="00E42ADE" w:rsidRPr="00080443" w:rsidRDefault="008A60B8" w:rsidP="00C21117">
      <w:pPr>
        <w:rPr>
          <w:rFonts w:cs="Arial"/>
        </w:rPr>
      </w:pPr>
      <w:r w:rsidRPr="00080443">
        <w:rPr>
          <w:rFonts w:cs="Arial"/>
        </w:rPr>
        <w:t xml:space="preserve">From the early stages of its preparations for the digital dividend auction, the ACMA made clear its commitment to </w:t>
      </w:r>
      <w:r w:rsidR="00B8725D" w:rsidRPr="00080443">
        <w:rPr>
          <w:rFonts w:cs="Arial"/>
        </w:rPr>
        <w:t xml:space="preserve">developing </w:t>
      </w:r>
      <w:r w:rsidRPr="00080443">
        <w:rPr>
          <w:rFonts w:cs="Arial"/>
        </w:rPr>
        <w:t xml:space="preserve">the auction arrangements with appropriate </w:t>
      </w:r>
      <w:r w:rsidRPr="00080443">
        <w:rPr>
          <w:rFonts w:cs="Arial"/>
        </w:rPr>
        <w:lastRenderedPageBreak/>
        <w:t>regard to stakeholder views.</w:t>
      </w:r>
      <w:r w:rsidRPr="00080443">
        <w:rPr>
          <w:rStyle w:val="FootnoteReference"/>
          <w:rFonts w:cs="Arial"/>
        </w:rPr>
        <w:footnoteReference w:id="14"/>
      </w:r>
      <w:r w:rsidRPr="00080443">
        <w:rPr>
          <w:rFonts w:cs="Arial"/>
        </w:rPr>
        <w:t xml:space="preserve"> Consistent with that commitment, the</w:t>
      </w:r>
      <w:r w:rsidR="007E4FBE" w:rsidRPr="00080443">
        <w:rPr>
          <w:rFonts w:cs="Arial"/>
        </w:rPr>
        <w:t xml:space="preserve"> ACMA</w:t>
      </w:r>
      <w:r w:rsidRPr="00080443">
        <w:rPr>
          <w:rFonts w:cs="Arial"/>
        </w:rPr>
        <w:t xml:space="preserve"> </w:t>
      </w:r>
      <w:r w:rsidR="007E4FBE" w:rsidRPr="00080443">
        <w:rPr>
          <w:rFonts w:cs="Arial"/>
        </w:rPr>
        <w:t xml:space="preserve">developed the above </w:t>
      </w:r>
      <w:r w:rsidRPr="00080443">
        <w:rPr>
          <w:rFonts w:cs="Arial"/>
        </w:rPr>
        <w:t xml:space="preserve">instruments in close consultation with auction stakeholders, particularly prospective participants. </w:t>
      </w:r>
    </w:p>
    <w:p w14:paraId="1F6B4C9D" w14:textId="77777777" w:rsidR="00E42ADE" w:rsidRPr="00080443" w:rsidRDefault="00E42ADE" w:rsidP="00C21117">
      <w:pPr>
        <w:rPr>
          <w:rFonts w:cs="Arial"/>
        </w:rPr>
      </w:pPr>
    </w:p>
    <w:p w14:paraId="7266D948" w14:textId="77777777" w:rsidR="008A60B8" w:rsidRPr="00080443" w:rsidRDefault="00DE6F9A" w:rsidP="00C21117">
      <w:pPr>
        <w:rPr>
          <w:rFonts w:cs="Arial"/>
        </w:rPr>
      </w:pPr>
      <w:r w:rsidRPr="00080443">
        <w:rPr>
          <w:rFonts w:cs="Arial"/>
        </w:rPr>
        <w:t>A summary of the stakeholder consultation undertaken in preparation for the auction, including links to all relevant information and documents, is available on the ACMA</w:t>
      </w:r>
      <w:r w:rsidR="00CA7A92" w:rsidRPr="00080443">
        <w:rPr>
          <w:rFonts w:cs="Arial"/>
        </w:rPr>
        <w:t xml:space="preserve">’s </w:t>
      </w:r>
      <w:hyperlink r:id="rId28" w:history="1">
        <w:r w:rsidR="00CA7A92" w:rsidRPr="00080443">
          <w:rPr>
            <w:rStyle w:val="Hyperlink"/>
            <w:rFonts w:cs="Arial"/>
          </w:rPr>
          <w:t>engage website</w:t>
        </w:r>
      </w:hyperlink>
      <w:r w:rsidRPr="00080443">
        <w:rPr>
          <w:rFonts w:cs="Arial"/>
        </w:rPr>
        <w:t>.</w:t>
      </w:r>
    </w:p>
    <w:p w14:paraId="6EAA8C79" w14:textId="77777777" w:rsidR="00C21117" w:rsidRPr="00080443" w:rsidRDefault="00C21117" w:rsidP="00C21117">
      <w:pPr>
        <w:rPr>
          <w:rFonts w:cs="Arial"/>
        </w:rPr>
      </w:pPr>
    </w:p>
    <w:p w14:paraId="1FDBFEC3" w14:textId="77777777" w:rsidR="00FC6592" w:rsidRPr="00080443" w:rsidRDefault="00FC6592">
      <w:pPr>
        <w:rPr>
          <w:rFonts w:cs="Arial"/>
        </w:rPr>
      </w:pPr>
    </w:p>
    <w:p w14:paraId="55C93B9B" w14:textId="77777777" w:rsidR="008A60B8" w:rsidRPr="00080443" w:rsidRDefault="00FC6592" w:rsidP="00234088">
      <w:pPr>
        <w:pStyle w:val="Heading1"/>
        <w:numPr>
          <w:ilvl w:val="0"/>
          <w:numId w:val="13"/>
        </w:numPr>
      </w:pPr>
      <w:bookmarkStart w:id="40" w:name="_Toc335246239"/>
      <w:bookmarkStart w:id="41" w:name="_Toc343780448"/>
      <w:r w:rsidRPr="00080443">
        <w:lastRenderedPageBreak/>
        <w:t>What is being offered in the auction</w:t>
      </w:r>
      <w:r w:rsidR="008A60B8" w:rsidRPr="00080443">
        <w:t>?</w:t>
      </w:r>
      <w:bookmarkEnd w:id="40"/>
      <w:bookmarkEnd w:id="41"/>
    </w:p>
    <w:p w14:paraId="24008F10" w14:textId="77777777" w:rsidR="008063CA" w:rsidRPr="00080443" w:rsidRDefault="008063CA" w:rsidP="00FC6592">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rPr>
      </w:pPr>
    </w:p>
    <w:p w14:paraId="447D25EA" w14:textId="77777777" w:rsidR="008A60B8" w:rsidRPr="00080443" w:rsidRDefault="008A60B8" w:rsidP="00FC6592">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rPr>
      </w:pPr>
      <w:r w:rsidRPr="00080443">
        <w:rPr>
          <w:rFonts w:cs="Arial"/>
          <w:b/>
        </w:rPr>
        <w:t>This chapter provides information about:</w:t>
      </w:r>
    </w:p>
    <w:p w14:paraId="10245854" w14:textId="77777777" w:rsidR="008A60B8" w:rsidRPr="00080443" w:rsidRDefault="008A60B8" w:rsidP="00FC6592">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 xml:space="preserve">the 700 MHz and 2.5 GHz spectrum available </w:t>
      </w:r>
    </w:p>
    <w:p w14:paraId="5D5D4B95" w14:textId="77777777" w:rsidR="008A60B8" w:rsidRPr="00080443" w:rsidRDefault="008A60B8" w:rsidP="00FC6592">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how the spectrum will be configured as auction lots</w:t>
      </w:r>
    </w:p>
    <w:p w14:paraId="5F296E64" w14:textId="77777777" w:rsidR="008A60B8" w:rsidRPr="00080443" w:rsidRDefault="008A60B8" w:rsidP="00FC6592">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 xml:space="preserve">key matters affecting </w:t>
      </w:r>
      <w:r w:rsidR="009C3FF7" w:rsidRPr="00080443">
        <w:rPr>
          <w:rFonts w:cs="Arial"/>
          <w:b/>
        </w:rPr>
        <w:t xml:space="preserve">how winning bidders can </w:t>
      </w:r>
      <w:r w:rsidRPr="00080443">
        <w:rPr>
          <w:rFonts w:cs="Arial"/>
          <w:b/>
        </w:rPr>
        <w:t xml:space="preserve">use the spectrum  </w:t>
      </w:r>
    </w:p>
    <w:p w14:paraId="537CD54F" w14:textId="77777777" w:rsidR="008063CA" w:rsidRPr="00080443" w:rsidRDefault="008063CA" w:rsidP="008063CA">
      <w:pPr>
        <w:pStyle w:val="ListBullet"/>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p>
    <w:p w14:paraId="77100F83" w14:textId="77777777" w:rsidR="00FC6592" w:rsidRPr="00080443" w:rsidRDefault="00FC6592">
      <w:pPr>
        <w:rPr>
          <w:rFonts w:cs="Arial"/>
          <w:b/>
        </w:rPr>
      </w:pPr>
      <w:r w:rsidRPr="00080443">
        <w:rPr>
          <w:rFonts w:cs="Arial"/>
          <w:b/>
        </w:rPr>
        <w:br w:type="page"/>
      </w:r>
    </w:p>
    <w:p w14:paraId="3E30104C" w14:textId="77777777" w:rsidR="008A60B8" w:rsidRPr="00080443" w:rsidRDefault="008A60B8" w:rsidP="00234088">
      <w:pPr>
        <w:pStyle w:val="Heading2"/>
        <w:numPr>
          <w:ilvl w:val="1"/>
          <w:numId w:val="13"/>
        </w:numPr>
        <w:ind w:hanging="792"/>
      </w:pPr>
      <w:bookmarkStart w:id="42" w:name="_Toc335246240"/>
      <w:bookmarkStart w:id="43" w:name="_Toc343780449"/>
      <w:r w:rsidRPr="00080443">
        <w:lastRenderedPageBreak/>
        <w:t>Available spectrum</w:t>
      </w:r>
      <w:bookmarkEnd w:id="42"/>
      <w:bookmarkEnd w:id="43"/>
    </w:p>
    <w:p w14:paraId="54EE0940" w14:textId="77777777" w:rsidR="008A60B8" w:rsidRPr="00080443" w:rsidRDefault="008A60B8" w:rsidP="00FC6592">
      <w:pPr>
        <w:spacing w:after="80"/>
        <w:rPr>
          <w:rFonts w:cs="Arial"/>
        </w:rPr>
      </w:pPr>
      <w:r w:rsidRPr="00080443">
        <w:rPr>
          <w:rFonts w:cs="Arial"/>
        </w:rPr>
        <w:t xml:space="preserve">The digital dividend auction is being held to allocate the following </w:t>
      </w:r>
      <w:r w:rsidR="00E641CC" w:rsidRPr="00080443">
        <w:rPr>
          <w:rFonts w:cs="Arial"/>
        </w:rPr>
        <w:t xml:space="preserve">frequency ranges </w:t>
      </w:r>
      <w:r w:rsidRPr="00080443">
        <w:rPr>
          <w:rFonts w:cs="Arial"/>
        </w:rPr>
        <w:t>as spectrum licences:</w:t>
      </w:r>
    </w:p>
    <w:p w14:paraId="4AE5CDB1" w14:textId="77777777" w:rsidR="008A60B8" w:rsidRPr="00080443" w:rsidRDefault="008A60B8" w:rsidP="00FC6592">
      <w:pPr>
        <w:pStyle w:val="ListBullet"/>
        <w:rPr>
          <w:rFonts w:cs="Arial"/>
        </w:rPr>
      </w:pPr>
      <w:r w:rsidRPr="00080443">
        <w:rPr>
          <w:rFonts w:cs="Arial"/>
        </w:rPr>
        <w:t>703–748 and 758–803 MHz</w:t>
      </w:r>
      <w:r w:rsidR="00E641CC" w:rsidRPr="00080443">
        <w:rPr>
          <w:rFonts w:cs="Arial"/>
        </w:rPr>
        <w:t xml:space="preserve"> (the 700 MHz band)</w:t>
      </w:r>
    </w:p>
    <w:p w14:paraId="6D10D94A" w14:textId="77777777" w:rsidR="008A60B8" w:rsidRPr="00080443" w:rsidRDefault="008A60B8" w:rsidP="00FC6592">
      <w:pPr>
        <w:pStyle w:val="ListBullet"/>
        <w:spacing w:after="240"/>
        <w:rPr>
          <w:rFonts w:cs="Arial"/>
        </w:rPr>
      </w:pPr>
      <w:r w:rsidRPr="00080443">
        <w:rPr>
          <w:rFonts w:cs="Arial"/>
        </w:rPr>
        <w:t>2500–2570 and 2620–2690 MHz</w:t>
      </w:r>
      <w:r w:rsidR="00E641CC" w:rsidRPr="00080443">
        <w:rPr>
          <w:rFonts w:cs="Arial"/>
        </w:rPr>
        <w:t xml:space="preserve"> (the 2.5 GHz band)</w:t>
      </w:r>
      <w:r w:rsidRPr="00080443">
        <w:rPr>
          <w:rFonts w:cs="Arial"/>
        </w:rPr>
        <w:t>.</w:t>
      </w:r>
    </w:p>
    <w:p w14:paraId="3A6CCB7E" w14:textId="77777777" w:rsidR="008A60B8" w:rsidRPr="00080443" w:rsidRDefault="008A60B8" w:rsidP="00FC6592">
      <w:pPr>
        <w:rPr>
          <w:rFonts w:cs="Arial"/>
        </w:rPr>
      </w:pPr>
      <w:r w:rsidRPr="00080443">
        <w:rPr>
          <w:rFonts w:cs="Arial"/>
        </w:rPr>
        <w:t>The spectrum in both bands will be allocated nationally, excluding the Mid-west RQZ.</w:t>
      </w:r>
      <w:r w:rsidR="00CC2AF7" w:rsidRPr="00080443">
        <w:rPr>
          <w:rStyle w:val="FootnoteReference"/>
          <w:rFonts w:cs="Arial"/>
        </w:rPr>
        <w:footnoteReference w:id="15"/>
      </w:r>
    </w:p>
    <w:p w14:paraId="7AC771EB" w14:textId="77777777" w:rsidR="00FC6592" w:rsidRPr="00080443" w:rsidRDefault="00FC6592" w:rsidP="00FC6592">
      <w:pPr>
        <w:rPr>
          <w:rFonts w:cs="Arial"/>
        </w:rPr>
      </w:pPr>
    </w:p>
    <w:p w14:paraId="506A39B5" w14:textId="77777777" w:rsidR="008A60B8" w:rsidRPr="00080443" w:rsidRDefault="008A60B8" w:rsidP="00234088">
      <w:pPr>
        <w:pStyle w:val="Heading2"/>
        <w:numPr>
          <w:ilvl w:val="1"/>
          <w:numId w:val="13"/>
        </w:numPr>
        <w:ind w:hanging="792"/>
      </w:pPr>
      <w:bookmarkStart w:id="44" w:name="_Toc335246241"/>
      <w:bookmarkStart w:id="45" w:name="_Toc343780450"/>
      <w:r w:rsidRPr="00080443">
        <w:t>Spectrum auction lots</w:t>
      </w:r>
      <w:bookmarkEnd w:id="44"/>
      <w:bookmarkEnd w:id="45"/>
    </w:p>
    <w:p w14:paraId="1634BFFB" w14:textId="77777777" w:rsidR="00E641CC" w:rsidRPr="00080443" w:rsidRDefault="008A60B8" w:rsidP="00FC6592">
      <w:pPr>
        <w:rPr>
          <w:rFonts w:cs="Arial"/>
          <w:lang w:val="en-US"/>
        </w:rPr>
      </w:pPr>
      <w:r w:rsidRPr="00080443">
        <w:rPr>
          <w:rFonts w:cs="Arial"/>
          <w:lang w:val="en-US"/>
        </w:rPr>
        <w:t xml:space="preserve">The ACMA has </w:t>
      </w:r>
      <w:r w:rsidR="00E641CC" w:rsidRPr="00080443">
        <w:rPr>
          <w:rFonts w:cs="Arial"/>
          <w:lang w:val="en-US"/>
        </w:rPr>
        <w:t xml:space="preserve">configured the declared </w:t>
      </w:r>
      <w:r w:rsidRPr="00080443">
        <w:rPr>
          <w:rFonts w:cs="Arial"/>
          <w:lang w:val="en-US"/>
        </w:rPr>
        <w:t xml:space="preserve">parts of the 700 MHz and 2.5 GHz bands into smaller </w:t>
      </w:r>
      <w:r w:rsidR="00E641CC" w:rsidRPr="00080443">
        <w:rPr>
          <w:rFonts w:cs="Arial"/>
          <w:lang w:val="en-US"/>
        </w:rPr>
        <w:t>units</w:t>
      </w:r>
      <w:r w:rsidRPr="00080443">
        <w:rPr>
          <w:rFonts w:cs="Arial"/>
          <w:lang w:val="en-US"/>
        </w:rPr>
        <w:t xml:space="preserve">, referred to as </w:t>
      </w:r>
      <w:r w:rsidR="00E641CC" w:rsidRPr="00080443">
        <w:rPr>
          <w:rFonts w:cs="Arial"/>
          <w:lang w:val="en-US"/>
        </w:rPr>
        <w:t>‘</w:t>
      </w:r>
      <w:r w:rsidR="009019C3" w:rsidRPr="00080443">
        <w:rPr>
          <w:rFonts w:cs="Arial"/>
          <w:lang w:val="en-US"/>
        </w:rPr>
        <w:t>lots’</w:t>
      </w:r>
      <w:r w:rsidRPr="00080443">
        <w:rPr>
          <w:rFonts w:cs="Arial"/>
          <w:lang w:val="en-US"/>
        </w:rPr>
        <w:t xml:space="preserve">, for auction. </w:t>
      </w:r>
    </w:p>
    <w:p w14:paraId="00B5B0E4" w14:textId="77777777" w:rsidR="00E641CC" w:rsidRPr="00080443" w:rsidRDefault="00E641CC" w:rsidP="00FC6592">
      <w:pPr>
        <w:rPr>
          <w:rFonts w:cs="Arial"/>
          <w:lang w:val="en-US"/>
        </w:rPr>
      </w:pPr>
    </w:p>
    <w:p w14:paraId="554FD0DA" w14:textId="77777777" w:rsidR="00E641CC" w:rsidRPr="00080443" w:rsidRDefault="00E641CC" w:rsidP="002D5A14">
      <w:pPr>
        <w:spacing w:after="80"/>
        <w:rPr>
          <w:rFonts w:cs="Arial"/>
          <w:lang w:val="en-US"/>
        </w:rPr>
      </w:pPr>
      <w:r w:rsidRPr="00080443">
        <w:rPr>
          <w:rFonts w:cs="Arial"/>
          <w:lang w:val="en-US"/>
        </w:rPr>
        <w:t xml:space="preserve">The auction lots are </w:t>
      </w:r>
      <w:r w:rsidR="009A3189" w:rsidRPr="00080443">
        <w:rPr>
          <w:rFonts w:cs="Arial"/>
          <w:lang w:val="en-US"/>
        </w:rPr>
        <w:t xml:space="preserve">grouped </w:t>
      </w:r>
      <w:r w:rsidRPr="00080443">
        <w:rPr>
          <w:rFonts w:cs="Arial"/>
          <w:lang w:val="en-US"/>
        </w:rPr>
        <w:t xml:space="preserve">as a series of ‘products’ defined by frequency ranges and geographic region. </w:t>
      </w:r>
      <w:r w:rsidR="007F45E9" w:rsidRPr="00080443">
        <w:rPr>
          <w:rFonts w:cs="Arial"/>
          <w:lang w:val="en-US"/>
        </w:rPr>
        <w:t>The lots in each product are taken to be ‘generic’</w:t>
      </w:r>
      <w:r w:rsidR="002D5A14" w:rsidRPr="00080443">
        <w:rPr>
          <w:rFonts w:cs="Arial"/>
          <w:lang w:val="en-US"/>
        </w:rPr>
        <w:t>—</w:t>
      </w:r>
      <w:r w:rsidR="007F45E9" w:rsidRPr="00080443">
        <w:rPr>
          <w:rFonts w:cs="Arial"/>
          <w:lang w:val="en-US"/>
        </w:rPr>
        <w:t xml:space="preserve">that is, they are good substitutes for each other in that: </w:t>
      </w:r>
    </w:p>
    <w:p w14:paraId="720C139C" w14:textId="77777777" w:rsidR="00687543" w:rsidRPr="00080443" w:rsidRDefault="007F45E9" w:rsidP="00687543">
      <w:pPr>
        <w:pStyle w:val="ListBullet"/>
        <w:rPr>
          <w:rFonts w:cs="Arial"/>
          <w:lang w:val="en-US"/>
        </w:rPr>
      </w:pPr>
      <w:r w:rsidRPr="00080443">
        <w:rPr>
          <w:rFonts w:cs="Arial"/>
          <w:lang w:val="en-US"/>
        </w:rPr>
        <w:t xml:space="preserve">they are </w:t>
      </w:r>
      <w:r w:rsidR="00687543" w:rsidRPr="00080443">
        <w:rPr>
          <w:rFonts w:cs="Arial"/>
          <w:lang w:val="en-US"/>
        </w:rPr>
        <w:t xml:space="preserve">in the same </w:t>
      </w:r>
      <w:r w:rsidR="00687543" w:rsidRPr="00080443">
        <w:rPr>
          <w:rFonts w:cs="Arial"/>
        </w:rPr>
        <w:t>frequency</w:t>
      </w:r>
      <w:r w:rsidR="00687543" w:rsidRPr="00080443">
        <w:rPr>
          <w:rFonts w:cs="Arial"/>
          <w:lang w:val="en-US"/>
        </w:rPr>
        <w:t xml:space="preserve"> range</w:t>
      </w:r>
      <w:r w:rsidR="00274539" w:rsidRPr="00080443">
        <w:rPr>
          <w:rFonts w:cs="Arial"/>
          <w:lang w:val="en-US"/>
        </w:rPr>
        <w:t xml:space="preserve"> (or </w:t>
      </w:r>
      <w:r w:rsidR="00687543" w:rsidRPr="00080443">
        <w:rPr>
          <w:rFonts w:cs="Arial"/>
          <w:lang w:val="en-US"/>
        </w:rPr>
        <w:t>‘category’</w:t>
      </w:r>
      <w:r w:rsidR="00274539" w:rsidRPr="00080443">
        <w:rPr>
          <w:rFonts w:cs="Arial"/>
          <w:lang w:val="en-US"/>
        </w:rPr>
        <w:t>)</w:t>
      </w:r>
      <w:r w:rsidR="007428B9" w:rsidRPr="00080443">
        <w:rPr>
          <w:rFonts w:cs="Arial"/>
          <w:lang w:val="en-US"/>
        </w:rPr>
        <w:t>—</w:t>
      </w:r>
      <w:r w:rsidR="00687543" w:rsidRPr="00080443">
        <w:rPr>
          <w:rFonts w:cs="Arial"/>
          <w:lang w:val="en-US"/>
        </w:rPr>
        <w:t>that is, the lots are in either the 700 MHz or 2.5 GHz band</w:t>
      </w:r>
    </w:p>
    <w:p w14:paraId="545939DD" w14:textId="77777777" w:rsidR="00687543" w:rsidRPr="00080443" w:rsidRDefault="007F45E9" w:rsidP="00687543">
      <w:pPr>
        <w:pStyle w:val="ListBullet"/>
        <w:rPr>
          <w:rFonts w:cs="Arial"/>
          <w:lang w:val="en-US"/>
        </w:rPr>
      </w:pPr>
      <w:r w:rsidRPr="00080443">
        <w:rPr>
          <w:rFonts w:cs="Arial"/>
          <w:lang w:val="en-US"/>
        </w:rPr>
        <w:t xml:space="preserve">they are </w:t>
      </w:r>
      <w:r w:rsidR="00687543" w:rsidRPr="00080443">
        <w:rPr>
          <w:rFonts w:cs="Arial"/>
          <w:lang w:val="en-US"/>
        </w:rPr>
        <w:t xml:space="preserve">of the same bandwidth </w:t>
      </w:r>
    </w:p>
    <w:p w14:paraId="7E0DA63A" w14:textId="77777777" w:rsidR="00DD5225" w:rsidRPr="00080443" w:rsidRDefault="00DD5225" w:rsidP="00687543">
      <w:pPr>
        <w:pStyle w:val="ListBullet"/>
        <w:rPr>
          <w:rFonts w:cs="Arial"/>
          <w:lang w:val="en-US"/>
        </w:rPr>
      </w:pPr>
      <w:r w:rsidRPr="00080443">
        <w:rPr>
          <w:rFonts w:cs="Arial"/>
          <w:lang w:val="en-US"/>
        </w:rPr>
        <w:t>they are for the same geographic area</w:t>
      </w:r>
    </w:p>
    <w:p w14:paraId="6CAF0231" w14:textId="77777777" w:rsidR="00687543" w:rsidRPr="00080443" w:rsidRDefault="00DD5225" w:rsidP="00DD5225">
      <w:pPr>
        <w:pStyle w:val="ListBullet"/>
        <w:spacing w:after="240"/>
        <w:rPr>
          <w:rFonts w:cs="Arial"/>
        </w:rPr>
      </w:pPr>
      <w:r w:rsidRPr="00080443">
        <w:rPr>
          <w:rFonts w:cs="Arial"/>
        </w:rPr>
        <w:t>there was no other reason (such as a factor seriously affecting the value or utility of some but not all of the lots) for concluding that the lots are not good substitutes for each other</w:t>
      </w:r>
      <w:r w:rsidR="00687543" w:rsidRPr="00080443">
        <w:rPr>
          <w:rFonts w:cs="Arial"/>
        </w:rPr>
        <w:t>.</w:t>
      </w:r>
    </w:p>
    <w:p w14:paraId="10F40D36" w14:textId="77777777" w:rsidR="00E641CC" w:rsidRPr="00080443" w:rsidRDefault="00687543" w:rsidP="00687543">
      <w:pPr>
        <w:pStyle w:val="ListBullet"/>
        <w:numPr>
          <w:ilvl w:val="0"/>
          <w:numId w:val="0"/>
        </w:numPr>
        <w:rPr>
          <w:rFonts w:cs="Arial"/>
        </w:rPr>
      </w:pPr>
      <w:r w:rsidRPr="00080443">
        <w:rPr>
          <w:rFonts w:cs="Arial"/>
        </w:rPr>
        <w:t xml:space="preserve">Details of the lot configurations for the 700 MHz and 2.5 GHz bands are provided below. A summary of the lots available in each band is provided in </w:t>
      </w:r>
      <w:r w:rsidR="00015EF9" w:rsidRPr="00080443">
        <w:rPr>
          <w:rFonts w:cs="Arial"/>
        </w:rPr>
        <w:t>F</w:t>
      </w:r>
      <w:r w:rsidRPr="00080443">
        <w:rPr>
          <w:rFonts w:cs="Arial"/>
        </w:rPr>
        <w:t>igure 5.</w:t>
      </w:r>
    </w:p>
    <w:p w14:paraId="7DAB8A62" w14:textId="77777777" w:rsidR="008A60B8" w:rsidRPr="00080443" w:rsidRDefault="008A60B8" w:rsidP="00D21632">
      <w:pPr>
        <w:rPr>
          <w:rFonts w:cs="Arial"/>
        </w:rPr>
      </w:pPr>
      <w:r w:rsidRPr="00080443">
        <w:rPr>
          <w:rFonts w:cs="Arial"/>
        </w:rPr>
        <w:t xml:space="preserve"> </w:t>
      </w:r>
    </w:p>
    <w:p w14:paraId="38E8D387" w14:textId="77777777" w:rsidR="008A60B8" w:rsidRPr="00080443" w:rsidRDefault="008A60B8" w:rsidP="00234088">
      <w:pPr>
        <w:pStyle w:val="Heading3"/>
        <w:numPr>
          <w:ilvl w:val="2"/>
          <w:numId w:val="13"/>
        </w:numPr>
      </w:pPr>
      <w:bookmarkStart w:id="46" w:name="_Toc335246242"/>
      <w:bookmarkStart w:id="47" w:name="_Toc343780451"/>
      <w:r w:rsidRPr="00080443">
        <w:t>Lot configuration in the 700 MHz band</w:t>
      </w:r>
      <w:bookmarkEnd w:id="46"/>
      <w:bookmarkEnd w:id="47"/>
    </w:p>
    <w:p w14:paraId="5707BAAF" w14:textId="77777777" w:rsidR="008A60B8" w:rsidRPr="00080443" w:rsidRDefault="008A60B8" w:rsidP="00FC6592">
      <w:pPr>
        <w:rPr>
          <w:rFonts w:cs="Arial"/>
        </w:rPr>
      </w:pPr>
      <w:r w:rsidRPr="00080443">
        <w:rPr>
          <w:rFonts w:cs="Arial"/>
        </w:rPr>
        <w:t>For the 700 MHz band category</w:t>
      </w:r>
      <w:r w:rsidR="009C3FF7" w:rsidRPr="00080443">
        <w:rPr>
          <w:rFonts w:cs="Arial"/>
        </w:rPr>
        <w:t xml:space="preserve">, </w:t>
      </w:r>
      <w:r w:rsidR="00A63688" w:rsidRPr="00080443">
        <w:rPr>
          <w:rFonts w:cs="Arial"/>
        </w:rPr>
        <w:t xml:space="preserve">there is one product containing </w:t>
      </w:r>
      <w:r w:rsidRPr="00080443">
        <w:rPr>
          <w:rFonts w:cs="Arial"/>
        </w:rPr>
        <w:t>nine generic lots. Each lot consists of 10 MHz in paired configuration (2x5 MHz), with a block of 5 MHz in the upper and lower parts of the band separated by 55 MHz</w:t>
      </w:r>
      <w:r w:rsidR="009C3FF7" w:rsidRPr="00080443">
        <w:rPr>
          <w:rFonts w:cs="Arial"/>
        </w:rPr>
        <w:t>,</w:t>
      </w:r>
      <w:r w:rsidRPr="00080443">
        <w:rPr>
          <w:rFonts w:cs="Arial"/>
        </w:rPr>
        <w:t xml:space="preserve"> which includes a </w:t>
      </w:r>
      <w:r w:rsidR="007428B9" w:rsidRPr="00080443">
        <w:rPr>
          <w:rFonts w:cs="Arial"/>
        </w:rPr>
        <w:t>10 </w:t>
      </w:r>
      <w:r w:rsidRPr="00080443">
        <w:rPr>
          <w:rFonts w:cs="Arial"/>
        </w:rPr>
        <w:t>MHz mid-band gap</w:t>
      </w:r>
      <w:r w:rsidR="00BD1CC3" w:rsidRPr="00080443">
        <w:rPr>
          <w:rFonts w:cs="Arial"/>
        </w:rPr>
        <w:t xml:space="preserve"> (748</w:t>
      </w:r>
      <w:r w:rsidR="005A1783" w:rsidRPr="00080443">
        <w:rPr>
          <w:rFonts w:cs="Arial"/>
        </w:rPr>
        <w:t>–</w:t>
      </w:r>
      <w:r w:rsidR="00BD1CC3" w:rsidRPr="00080443">
        <w:rPr>
          <w:rFonts w:cs="Arial"/>
        </w:rPr>
        <w:t>758 MHz)</w:t>
      </w:r>
      <w:r w:rsidRPr="00080443">
        <w:rPr>
          <w:rFonts w:cs="Arial"/>
        </w:rPr>
        <w:t>. The mid-band gap is not available in the auction.</w:t>
      </w:r>
    </w:p>
    <w:p w14:paraId="5E91A0D7" w14:textId="77777777" w:rsidR="00FC6592" w:rsidRPr="00080443" w:rsidRDefault="00FC6592" w:rsidP="00FC6592">
      <w:pPr>
        <w:rPr>
          <w:rFonts w:cs="Arial"/>
        </w:rPr>
      </w:pPr>
    </w:p>
    <w:p w14:paraId="13D44D12" w14:textId="77777777" w:rsidR="00687543" w:rsidRPr="00080443" w:rsidRDefault="00A63688" w:rsidP="00FC6592">
      <w:pPr>
        <w:rPr>
          <w:rFonts w:cs="Arial"/>
        </w:rPr>
      </w:pPr>
      <w:r w:rsidRPr="00080443">
        <w:rPr>
          <w:rFonts w:cs="Arial"/>
        </w:rPr>
        <w:t xml:space="preserve">Each of the nine lots in the single ‘national’ product </w:t>
      </w:r>
      <w:r w:rsidR="008A60B8" w:rsidRPr="00080443">
        <w:rPr>
          <w:rFonts w:cs="Arial"/>
        </w:rPr>
        <w:t>will provide for coverage across one nationwide region covering all of Australia</w:t>
      </w:r>
      <w:r w:rsidR="00274539" w:rsidRPr="00080443">
        <w:rPr>
          <w:rFonts w:cs="Arial"/>
        </w:rPr>
        <w:t xml:space="preserve">, </w:t>
      </w:r>
      <w:r w:rsidR="00A25907" w:rsidRPr="00080443">
        <w:rPr>
          <w:rFonts w:cs="Arial"/>
        </w:rPr>
        <w:t>excluding the Mid-west RQZ</w:t>
      </w:r>
      <w:r w:rsidR="008A60B8" w:rsidRPr="00080443">
        <w:rPr>
          <w:rFonts w:cs="Arial"/>
        </w:rPr>
        <w:t>.</w:t>
      </w:r>
      <w:r w:rsidR="00C7020A" w:rsidRPr="00080443">
        <w:rPr>
          <w:rFonts w:cs="Arial"/>
          <w:vertAlign w:val="superscript"/>
        </w:rPr>
        <w:t xml:space="preserve"> </w:t>
      </w:r>
      <w:r w:rsidR="00687543" w:rsidRPr="00080443">
        <w:rPr>
          <w:rFonts w:cs="Arial"/>
        </w:rPr>
        <w:t xml:space="preserve">The decision to auction the 700 MHz spectrum in national lots was made </w:t>
      </w:r>
      <w:r w:rsidR="00561AFB" w:rsidRPr="00080443">
        <w:rPr>
          <w:rFonts w:cs="Arial"/>
        </w:rPr>
        <w:t xml:space="preserve">with </w:t>
      </w:r>
      <w:r w:rsidR="00687543" w:rsidRPr="00080443">
        <w:rPr>
          <w:rFonts w:cs="Arial"/>
        </w:rPr>
        <w:t>regard to stakeholder submissions that this spectrum would best be used as the foundation for a national mobile network.</w:t>
      </w:r>
    </w:p>
    <w:p w14:paraId="529D73C5" w14:textId="77777777" w:rsidR="00FC6592" w:rsidRPr="00080443" w:rsidRDefault="00FC6592" w:rsidP="00FC6592">
      <w:pPr>
        <w:rPr>
          <w:rFonts w:cs="Arial"/>
        </w:rPr>
      </w:pPr>
    </w:p>
    <w:tbl>
      <w:tblPr>
        <w:tblW w:w="9645" w:type="dxa"/>
        <w:tblLayout w:type="fixed"/>
        <w:tblCellMar>
          <w:left w:w="0" w:type="dxa"/>
          <w:right w:w="0" w:type="dxa"/>
        </w:tblCellMar>
        <w:tblLook w:val="01E0" w:firstRow="1" w:lastRow="1" w:firstColumn="1" w:lastColumn="1" w:noHBand="0" w:noVBand="0"/>
      </w:tblPr>
      <w:tblGrid>
        <w:gridCol w:w="9645"/>
      </w:tblGrid>
      <w:tr w:rsidR="00FC6592" w:rsidRPr="00080443" w14:paraId="2CB6AEBB" w14:textId="77777777" w:rsidTr="00FC6592">
        <w:trPr>
          <w:trHeight w:val="570"/>
        </w:trPr>
        <w:tc>
          <w:tcPr>
            <w:tcW w:w="9645" w:type="dxa"/>
            <w:tcBorders>
              <w:top w:val="single" w:sz="2" w:space="0" w:color="505050"/>
            </w:tcBorders>
            <w:shd w:val="clear" w:color="auto" w:fill="auto"/>
            <w:vAlign w:val="center"/>
          </w:tcPr>
          <w:p w14:paraId="7D6F2A4C" w14:textId="77777777" w:rsidR="00FC6592" w:rsidRPr="00080443" w:rsidRDefault="00FC6592" w:rsidP="00284C17">
            <w:pPr>
              <w:pStyle w:val="Caption"/>
              <w:keepNext/>
              <w:rPr>
                <w:rFonts w:cs="Arial"/>
              </w:rPr>
            </w:pPr>
            <w:r w:rsidRPr="00080443">
              <w:rPr>
                <w:rFonts w:cs="Arial"/>
              </w:rPr>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1</w:t>
            </w:r>
            <w:r w:rsidR="00724CDB" w:rsidRPr="00080443">
              <w:rPr>
                <w:rFonts w:cs="Arial"/>
              </w:rPr>
              <w:fldChar w:fldCharType="end"/>
            </w:r>
            <w:r w:rsidRPr="00080443">
              <w:rPr>
                <w:rFonts w:cs="Arial"/>
              </w:rPr>
              <w:t xml:space="preserve"> Lots available in the one 700 MHz band product</w:t>
            </w:r>
            <w:r w:rsidR="00284C17" w:rsidRPr="00080443">
              <w:rPr>
                <w:rFonts w:cs="Arial"/>
              </w:rPr>
              <w:t>*</w:t>
            </w:r>
            <w:r w:rsidRPr="00080443">
              <w:rPr>
                <w:rFonts w:cs="Arial"/>
              </w:rPr>
              <w:t xml:space="preserve"> </w:t>
            </w:r>
          </w:p>
        </w:tc>
      </w:tr>
      <w:tr w:rsidR="00F45D0E" w:rsidRPr="00080443" w14:paraId="529845EA" w14:textId="77777777" w:rsidTr="00FC6592">
        <w:trPr>
          <w:trHeight w:val="701"/>
        </w:trPr>
        <w:tc>
          <w:tcPr>
            <w:tcW w:w="9645" w:type="dxa"/>
            <w:shd w:val="clear" w:color="auto" w:fill="auto"/>
            <w:tcMar>
              <w:left w:w="28" w:type="dxa"/>
            </w:tcMar>
          </w:tcPr>
          <w:p w14:paraId="7759FEFE" w14:textId="1D6692D8" w:rsidR="00F45D0E" w:rsidRPr="00080443" w:rsidRDefault="000B0C99" w:rsidP="00FC6592">
            <w:pPr>
              <w:rPr>
                <w:rFonts w:cs="Arial"/>
              </w:rPr>
            </w:pPr>
            <w:r>
              <w:rPr>
                <w:rFonts w:cs="Arial"/>
                <w:noProof/>
              </w:rPr>
              <w:drawing>
                <wp:inline distT="0" distB="0" distL="0" distR="0" wp14:anchorId="0F08CB5C" wp14:editId="1952ED4E">
                  <wp:extent cx="6082030" cy="90487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r="6116"/>
                          <a:stretch>
                            <a:fillRect/>
                          </a:stretch>
                        </pic:blipFill>
                        <pic:spPr bwMode="auto">
                          <a:xfrm>
                            <a:off x="0" y="0"/>
                            <a:ext cx="6082030" cy="904875"/>
                          </a:xfrm>
                          <a:prstGeom prst="rect">
                            <a:avLst/>
                          </a:prstGeom>
                          <a:noFill/>
                          <a:ln>
                            <a:noFill/>
                          </a:ln>
                        </pic:spPr>
                      </pic:pic>
                    </a:graphicData>
                  </a:graphic>
                </wp:inline>
              </w:drawing>
            </w:r>
          </w:p>
        </w:tc>
      </w:tr>
      <w:tr w:rsidR="00FC6592" w:rsidRPr="00080443" w14:paraId="5B8ADA91" w14:textId="77777777" w:rsidTr="00FC6592">
        <w:trPr>
          <w:trHeight w:val="291"/>
        </w:trPr>
        <w:tc>
          <w:tcPr>
            <w:tcW w:w="9645" w:type="dxa"/>
            <w:tcBorders>
              <w:bottom w:val="single" w:sz="2" w:space="0" w:color="505050"/>
            </w:tcBorders>
            <w:shd w:val="clear" w:color="auto" w:fill="auto"/>
          </w:tcPr>
          <w:p w14:paraId="36BF14B9" w14:textId="77777777" w:rsidR="00FC6592" w:rsidRPr="00080443" w:rsidRDefault="00284C17" w:rsidP="00284C17">
            <w:pPr>
              <w:rPr>
                <w:rFonts w:cs="Arial"/>
                <w:i/>
                <w:sz w:val="16"/>
                <w:szCs w:val="16"/>
              </w:rPr>
            </w:pPr>
            <w:r w:rsidRPr="00080443">
              <w:rPr>
                <w:rFonts w:cs="Arial"/>
                <w:i/>
                <w:sz w:val="16"/>
                <w:szCs w:val="16"/>
              </w:rPr>
              <w:t>*N</w:t>
            </w:r>
            <w:r w:rsidR="00837369" w:rsidRPr="00080443">
              <w:rPr>
                <w:rFonts w:cs="Arial"/>
                <w:i/>
                <w:sz w:val="16"/>
                <w:szCs w:val="16"/>
              </w:rPr>
              <w:t>ot to scale</w:t>
            </w:r>
            <w:r w:rsidRPr="00080443">
              <w:rPr>
                <w:rFonts w:cs="Arial"/>
                <w:i/>
                <w:sz w:val="16"/>
                <w:szCs w:val="16"/>
              </w:rPr>
              <w:t>.</w:t>
            </w:r>
          </w:p>
        </w:tc>
      </w:tr>
      <w:tr w:rsidR="00FC6592" w:rsidRPr="00080443" w14:paraId="237CB229" w14:textId="77777777" w:rsidTr="00FC6592">
        <w:trPr>
          <w:trHeight w:val="570"/>
        </w:trPr>
        <w:tc>
          <w:tcPr>
            <w:tcW w:w="9645" w:type="dxa"/>
            <w:tcBorders>
              <w:top w:val="single" w:sz="2" w:space="0" w:color="505050"/>
            </w:tcBorders>
            <w:shd w:val="clear" w:color="auto" w:fill="auto"/>
            <w:vAlign w:val="center"/>
          </w:tcPr>
          <w:p w14:paraId="78EFD2F3" w14:textId="77777777" w:rsidR="00FC6592" w:rsidRPr="00080443" w:rsidRDefault="00FC6592" w:rsidP="00CA7A92">
            <w:pPr>
              <w:pStyle w:val="Caption"/>
              <w:keepNext/>
              <w:rPr>
                <w:rFonts w:cs="Arial"/>
              </w:rPr>
            </w:pPr>
            <w:r w:rsidRPr="00080443">
              <w:rPr>
                <w:rFonts w:cs="Arial"/>
              </w:rPr>
              <w:lastRenderedPageBreak/>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2</w:t>
            </w:r>
            <w:r w:rsidR="00724CDB" w:rsidRPr="00080443">
              <w:rPr>
                <w:rFonts w:cs="Arial"/>
              </w:rPr>
              <w:fldChar w:fldCharType="end"/>
            </w:r>
            <w:r w:rsidRPr="00080443">
              <w:rPr>
                <w:rFonts w:cs="Arial"/>
              </w:rPr>
              <w:t xml:space="preserve"> </w:t>
            </w:r>
            <w:r w:rsidR="00474AB3" w:rsidRPr="00080443">
              <w:rPr>
                <w:rFonts w:cs="Arial"/>
              </w:rPr>
              <w:t>Indicative</w:t>
            </w:r>
            <w:r w:rsidRPr="00080443">
              <w:rPr>
                <w:rFonts w:cs="Arial"/>
              </w:rPr>
              <w:t xml:space="preserve"> national geographic region covered by each of the nine lots in the 700 MHz band</w:t>
            </w:r>
          </w:p>
        </w:tc>
      </w:tr>
      <w:tr w:rsidR="00FC6592" w:rsidRPr="00080443" w14:paraId="783B3DD6" w14:textId="77777777" w:rsidTr="00FC6592">
        <w:trPr>
          <w:trHeight w:val="3086"/>
        </w:trPr>
        <w:tc>
          <w:tcPr>
            <w:tcW w:w="9645" w:type="dxa"/>
            <w:shd w:val="clear" w:color="auto" w:fill="auto"/>
            <w:tcMar>
              <w:left w:w="28" w:type="dxa"/>
            </w:tcMar>
          </w:tcPr>
          <w:p w14:paraId="01CB885E" w14:textId="77777777" w:rsidR="00FC6592" w:rsidRPr="00080443" w:rsidRDefault="00CA7A92" w:rsidP="00FC6592">
            <w:pPr>
              <w:rPr>
                <w:rFonts w:cs="Arial"/>
              </w:rPr>
            </w:pPr>
            <w:r w:rsidRPr="00080443">
              <w:rPr>
                <w:rFonts w:cs="Arial"/>
                <w:noProof/>
              </w:rPr>
              <w:drawing>
                <wp:inline distT="0" distB="0" distL="0" distR="0" wp14:anchorId="5F6E53B9" wp14:editId="268ECF1A">
                  <wp:extent cx="5687424" cy="4463806"/>
                  <wp:effectExtent l="19050" t="0" r="8526"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l="3744" t="1022"/>
                          <a:stretch>
                            <a:fillRect/>
                          </a:stretch>
                        </pic:blipFill>
                        <pic:spPr bwMode="auto">
                          <a:xfrm>
                            <a:off x="0" y="0"/>
                            <a:ext cx="5687424" cy="4463806"/>
                          </a:xfrm>
                          <a:prstGeom prst="rect">
                            <a:avLst/>
                          </a:prstGeom>
                          <a:noFill/>
                          <a:ln w="9525">
                            <a:noFill/>
                            <a:miter lim="800000"/>
                            <a:headEnd/>
                            <a:tailEnd/>
                          </a:ln>
                        </pic:spPr>
                      </pic:pic>
                    </a:graphicData>
                  </a:graphic>
                </wp:inline>
              </w:drawing>
            </w:r>
          </w:p>
        </w:tc>
      </w:tr>
      <w:tr w:rsidR="00FC6592" w:rsidRPr="00080443" w14:paraId="4D2726AE" w14:textId="77777777" w:rsidTr="00FC6592">
        <w:trPr>
          <w:trHeight w:val="291"/>
        </w:trPr>
        <w:tc>
          <w:tcPr>
            <w:tcW w:w="9645" w:type="dxa"/>
            <w:tcBorders>
              <w:bottom w:val="single" w:sz="2" w:space="0" w:color="505050"/>
            </w:tcBorders>
            <w:shd w:val="clear" w:color="auto" w:fill="auto"/>
          </w:tcPr>
          <w:p w14:paraId="13C023B9" w14:textId="77777777" w:rsidR="00FC6592" w:rsidRPr="00080443" w:rsidRDefault="00FC6592" w:rsidP="00FC6592">
            <w:pPr>
              <w:rPr>
                <w:rFonts w:cs="Arial"/>
              </w:rPr>
            </w:pPr>
          </w:p>
        </w:tc>
      </w:tr>
    </w:tbl>
    <w:p w14:paraId="7203BD12" w14:textId="77777777" w:rsidR="008A60B8" w:rsidRPr="00080443" w:rsidRDefault="008A60B8" w:rsidP="008A60B8">
      <w:pPr>
        <w:spacing w:before="80" w:after="120"/>
        <w:rPr>
          <w:rFonts w:cs="Arial"/>
          <w:i/>
          <w:szCs w:val="20"/>
        </w:rPr>
      </w:pPr>
    </w:p>
    <w:p w14:paraId="14794FE8" w14:textId="77777777" w:rsidR="008A60B8" w:rsidRPr="00080443" w:rsidRDefault="008A60B8" w:rsidP="00BB76C1">
      <w:pPr>
        <w:rPr>
          <w:rFonts w:cs="Arial"/>
        </w:rPr>
      </w:pPr>
      <w:r w:rsidRPr="00080443">
        <w:rPr>
          <w:rFonts w:cs="Arial"/>
        </w:rPr>
        <w:t xml:space="preserve">More detailed versions of the image in </w:t>
      </w:r>
      <w:r w:rsidR="00284C17" w:rsidRPr="00080443">
        <w:rPr>
          <w:rFonts w:cs="Arial"/>
        </w:rPr>
        <w:t>F</w:t>
      </w:r>
      <w:r w:rsidRPr="00080443">
        <w:rPr>
          <w:rFonts w:cs="Arial"/>
        </w:rPr>
        <w:t xml:space="preserve">igure </w:t>
      </w:r>
      <w:r w:rsidR="00284C17" w:rsidRPr="00080443">
        <w:rPr>
          <w:rFonts w:cs="Arial"/>
        </w:rPr>
        <w:t xml:space="preserve">2 </w:t>
      </w:r>
      <w:r w:rsidRPr="00080443">
        <w:rPr>
          <w:rFonts w:cs="Arial"/>
        </w:rPr>
        <w:t xml:space="preserve">are available in </w:t>
      </w:r>
      <w:hyperlink r:id="rId31" w:history="1">
        <w:r w:rsidRPr="00080443">
          <w:rPr>
            <w:rStyle w:val="Hyperlink"/>
            <w:rFonts w:cs="Arial"/>
          </w:rPr>
          <w:t>Google Map</w:t>
        </w:r>
        <w:bookmarkStart w:id="48" w:name="_Ref336000531"/>
        <w:r w:rsidR="00732687" w:rsidRPr="00080443">
          <w:rPr>
            <w:rStyle w:val="Hyperlink"/>
            <w:rFonts w:cs="Arial"/>
          </w:rPr>
          <w:t>s</w:t>
        </w:r>
      </w:hyperlink>
      <w:r w:rsidR="0031566E" w:rsidRPr="00080443">
        <w:rPr>
          <w:rStyle w:val="Hyperlink"/>
          <w:rFonts w:cs="Arial"/>
          <w:u w:val="none"/>
          <w:vertAlign w:val="superscript"/>
        </w:rPr>
        <w:footnoteReference w:id="16"/>
      </w:r>
      <w:bookmarkEnd w:id="48"/>
      <w:r w:rsidRPr="00080443">
        <w:rPr>
          <w:rStyle w:val="Hyperlink"/>
          <w:rFonts w:cs="Arial"/>
          <w:vertAlign w:val="superscript"/>
        </w:rPr>
        <w:t xml:space="preserve"> </w:t>
      </w:r>
      <w:r w:rsidRPr="00080443">
        <w:rPr>
          <w:rFonts w:cs="Arial"/>
        </w:rPr>
        <w:t xml:space="preserve">and </w:t>
      </w:r>
      <w:hyperlink r:id="rId32" w:history="1">
        <w:r w:rsidRPr="00080443">
          <w:rPr>
            <w:rStyle w:val="Hyperlink"/>
            <w:rFonts w:cs="Arial"/>
          </w:rPr>
          <w:t>Google Earth</w:t>
        </w:r>
      </w:hyperlink>
      <w:r w:rsidR="000A61B6" w:rsidRPr="00080443">
        <w:rPr>
          <w:rStyle w:val="Hyperlink"/>
          <w:rFonts w:cs="Arial"/>
          <w:u w:val="none"/>
          <w:vertAlign w:val="superscript"/>
        </w:rPr>
        <w:footnoteReference w:id="17"/>
      </w:r>
      <w:r w:rsidRPr="00080443">
        <w:rPr>
          <w:rStyle w:val="Hyperlink"/>
          <w:rFonts w:cs="Arial"/>
          <w:vertAlign w:val="superscript"/>
        </w:rPr>
        <w:t xml:space="preserve"> </w:t>
      </w:r>
      <w:r w:rsidRPr="00080443">
        <w:rPr>
          <w:rFonts w:cs="Arial"/>
        </w:rPr>
        <w:t xml:space="preserve">formats. </w:t>
      </w:r>
      <w:r w:rsidR="00474AB3" w:rsidRPr="00080443">
        <w:rPr>
          <w:rFonts w:cs="Arial"/>
        </w:rPr>
        <w:t xml:space="preserve">The image in Figure 2, and the Google Earth and Google Map versions of the image, are provided for information only. The ACMA does not accept responsibility for the accuracy of that information. Potential auction participants should obtain their own advice and make their own enquiries into pictorial representations of the region. The geographic area of the region can be determined by the aggregation of block areas referenced by the </w:t>
      </w:r>
      <w:r w:rsidR="00AA2589" w:rsidRPr="00080443">
        <w:rPr>
          <w:rFonts w:cs="Arial"/>
        </w:rPr>
        <w:t>hierarchical c</w:t>
      </w:r>
      <w:r w:rsidR="008A094C" w:rsidRPr="00080443">
        <w:rPr>
          <w:rFonts w:cs="Arial"/>
        </w:rPr>
        <w:t xml:space="preserve">ell </w:t>
      </w:r>
      <w:r w:rsidR="00AA2589" w:rsidRPr="00080443">
        <w:rPr>
          <w:rFonts w:cs="Arial"/>
        </w:rPr>
        <w:t>i</w:t>
      </w:r>
      <w:r w:rsidR="008A094C" w:rsidRPr="00080443">
        <w:rPr>
          <w:rFonts w:cs="Arial"/>
        </w:rPr>
        <w:t>dentifi</w:t>
      </w:r>
      <w:r w:rsidR="00AA2589" w:rsidRPr="00080443">
        <w:rPr>
          <w:rFonts w:cs="Arial"/>
        </w:rPr>
        <w:t>cation sc</w:t>
      </w:r>
      <w:r w:rsidR="008A094C" w:rsidRPr="00080443">
        <w:rPr>
          <w:rFonts w:cs="Arial"/>
        </w:rPr>
        <w:t>heme (H</w:t>
      </w:r>
      <w:r w:rsidR="00474AB3" w:rsidRPr="00080443">
        <w:rPr>
          <w:rFonts w:cs="Arial"/>
        </w:rPr>
        <w:t>CIS</w:t>
      </w:r>
      <w:r w:rsidR="008A094C" w:rsidRPr="00080443">
        <w:rPr>
          <w:rFonts w:cs="Arial"/>
        </w:rPr>
        <w:t>)</w:t>
      </w:r>
      <w:r w:rsidR="00474AB3" w:rsidRPr="00080443">
        <w:rPr>
          <w:rFonts w:cs="Arial"/>
        </w:rPr>
        <w:t xml:space="preserve"> identifiers listed at item 1.2 in Schedule 3 of the 700 MHz marketing plan, at </w:t>
      </w:r>
      <w:r w:rsidR="009019C3" w:rsidRPr="00080443">
        <w:rPr>
          <w:rFonts w:cs="Arial"/>
          <w:u w:val="single"/>
        </w:rPr>
        <w:t xml:space="preserve">Attachment </w:t>
      </w:r>
      <w:r w:rsidR="005D4EE4" w:rsidRPr="00080443">
        <w:rPr>
          <w:rFonts w:cs="Arial"/>
          <w:u w:val="single"/>
        </w:rPr>
        <w:t>B</w:t>
      </w:r>
      <w:r w:rsidR="00474AB3" w:rsidRPr="00080443">
        <w:rPr>
          <w:rFonts w:cs="Arial"/>
        </w:rPr>
        <w:t>.</w:t>
      </w:r>
    </w:p>
    <w:p w14:paraId="0CFB2E35" w14:textId="77777777" w:rsidR="00BB76C1" w:rsidRPr="00080443" w:rsidRDefault="00BB76C1" w:rsidP="008A60B8">
      <w:pPr>
        <w:rPr>
          <w:rFonts w:cs="Arial"/>
        </w:rPr>
      </w:pPr>
    </w:p>
    <w:p w14:paraId="1B286034" w14:textId="77777777" w:rsidR="008A60B8" w:rsidRPr="00080443" w:rsidRDefault="008A60B8" w:rsidP="00234088">
      <w:pPr>
        <w:pStyle w:val="Heading3"/>
        <w:numPr>
          <w:ilvl w:val="2"/>
          <w:numId w:val="13"/>
        </w:numPr>
      </w:pPr>
      <w:bookmarkStart w:id="49" w:name="_Toc335246243"/>
      <w:bookmarkStart w:id="50" w:name="_Toc343780452"/>
      <w:r w:rsidRPr="00080443">
        <w:t>Lot configuration in the 2.5 GHz band</w:t>
      </w:r>
      <w:bookmarkEnd w:id="49"/>
      <w:bookmarkEnd w:id="50"/>
    </w:p>
    <w:p w14:paraId="76FF6029" w14:textId="77777777" w:rsidR="008A60B8" w:rsidRPr="00080443" w:rsidRDefault="008A60B8" w:rsidP="00BB76C1">
      <w:pPr>
        <w:rPr>
          <w:rFonts w:cs="Arial"/>
        </w:rPr>
      </w:pPr>
      <w:r w:rsidRPr="00080443">
        <w:rPr>
          <w:rFonts w:cs="Arial"/>
        </w:rPr>
        <w:t>For the 2.5 GHz band category</w:t>
      </w:r>
      <w:r w:rsidR="00284C17" w:rsidRPr="00080443">
        <w:rPr>
          <w:rFonts w:cs="Arial"/>
        </w:rPr>
        <w:t>,</w:t>
      </w:r>
      <w:r w:rsidR="000477A9" w:rsidRPr="00080443">
        <w:rPr>
          <w:rFonts w:cs="Arial"/>
        </w:rPr>
        <w:t xml:space="preserve"> </w:t>
      </w:r>
      <w:r w:rsidRPr="00080443">
        <w:rPr>
          <w:rFonts w:cs="Arial"/>
        </w:rPr>
        <w:t xml:space="preserve">there are </w:t>
      </w:r>
      <w:r w:rsidR="00EA022A" w:rsidRPr="00080443">
        <w:rPr>
          <w:rFonts w:cs="Arial"/>
        </w:rPr>
        <w:t xml:space="preserve">11 products, each containing </w:t>
      </w:r>
      <w:r w:rsidRPr="00080443">
        <w:rPr>
          <w:rFonts w:cs="Arial"/>
        </w:rPr>
        <w:t>14 generic lots. Each lot consists of 10 MHz in paired configuration (2x5</w:t>
      </w:r>
      <w:r w:rsidR="00535A60" w:rsidRPr="00080443">
        <w:rPr>
          <w:rFonts w:cs="Arial"/>
        </w:rPr>
        <w:t xml:space="preserve"> </w:t>
      </w:r>
      <w:r w:rsidRPr="00080443">
        <w:rPr>
          <w:rFonts w:cs="Arial"/>
        </w:rPr>
        <w:t xml:space="preserve">MHz), with a block of </w:t>
      </w:r>
      <w:r w:rsidR="009408FA" w:rsidRPr="00080443">
        <w:rPr>
          <w:rFonts w:cs="Arial"/>
        </w:rPr>
        <w:lastRenderedPageBreak/>
        <w:t>5 </w:t>
      </w:r>
      <w:r w:rsidRPr="00080443">
        <w:rPr>
          <w:rFonts w:cs="Arial"/>
        </w:rPr>
        <w:t>MHz in the upper and lower parts of the band separated by 120 MHz</w:t>
      </w:r>
      <w:r w:rsidR="000477A9" w:rsidRPr="00080443">
        <w:rPr>
          <w:rFonts w:cs="Arial"/>
        </w:rPr>
        <w:t>,</w:t>
      </w:r>
      <w:r w:rsidRPr="00080443">
        <w:rPr>
          <w:rFonts w:cs="Arial"/>
        </w:rPr>
        <w:t xml:space="preserve"> which includes a 50 MHz mid-band gap</w:t>
      </w:r>
      <w:r w:rsidR="00BD1CC3" w:rsidRPr="00080443">
        <w:rPr>
          <w:rFonts w:cs="Arial"/>
        </w:rPr>
        <w:t xml:space="preserve"> (2570</w:t>
      </w:r>
      <w:r w:rsidR="007236BF" w:rsidRPr="00080443">
        <w:rPr>
          <w:rFonts w:cs="Arial"/>
        </w:rPr>
        <w:t>–</w:t>
      </w:r>
      <w:r w:rsidR="00BD1CC3" w:rsidRPr="00080443">
        <w:rPr>
          <w:rFonts w:cs="Arial"/>
        </w:rPr>
        <w:t>2620 MHz)</w:t>
      </w:r>
      <w:r w:rsidRPr="00080443">
        <w:rPr>
          <w:rFonts w:cs="Arial"/>
        </w:rPr>
        <w:t xml:space="preserve">. The mid-band gap is not available in the auction. </w:t>
      </w:r>
    </w:p>
    <w:p w14:paraId="3E190AB8" w14:textId="77777777" w:rsidR="00BB76C1" w:rsidRPr="00080443" w:rsidRDefault="00BB76C1" w:rsidP="00BB76C1">
      <w:pPr>
        <w:rPr>
          <w:rFonts w:cs="Arial"/>
        </w:rPr>
      </w:pPr>
    </w:p>
    <w:p w14:paraId="61BCF834" w14:textId="77777777" w:rsidR="008A60B8" w:rsidRPr="00080443" w:rsidRDefault="00EA022A" w:rsidP="00BB76C1">
      <w:pPr>
        <w:spacing w:after="80"/>
        <w:rPr>
          <w:rFonts w:cs="Arial"/>
        </w:rPr>
      </w:pPr>
      <w:r w:rsidRPr="00080443">
        <w:rPr>
          <w:rFonts w:cs="Arial"/>
        </w:rPr>
        <w:t xml:space="preserve">Each of the 11 products provides </w:t>
      </w:r>
      <w:r w:rsidR="008A60B8" w:rsidRPr="00080443">
        <w:rPr>
          <w:rFonts w:cs="Arial"/>
        </w:rPr>
        <w:t>for coverage across a discrete area within Australia. The 11 areas in which each of the 14 lots are available are:</w:t>
      </w:r>
    </w:p>
    <w:p w14:paraId="298AC80C" w14:textId="77777777" w:rsidR="008A60B8" w:rsidRPr="00080443" w:rsidRDefault="008A60B8" w:rsidP="00BB76C1">
      <w:pPr>
        <w:pStyle w:val="ListBullet"/>
        <w:rPr>
          <w:rFonts w:cs="Arial"/>
        </w:rPr>
      </w:pPr>
      <w:r w:rsidRPr="00080443">
        <w:rPr>
          <w:rFonts w:cs="Arial"/>
        </w:rPr>
        <w:t>eight metropolitan areas—ACT, Adelaide, Brisbane, Darwin, Hobart, Melbourne, Perth, Sydney</w:t>
      </w:r>
      <w:r w:rsidRPr="00080443" w:rsidDel="00FB7E94">
        <w:rPr>
          <w:rFonts w:cs="Arial"/>
        </w:rPr>
        <w:t xml:space="preserve"> </w:t>
      </w:r>
    </w:p>
    <w:p w14:paraId="4C293014" w14:textId="77777777" w:rsidR="008A60B8" w:rsidRPr="00080443" w:rsidRDefault="008A60B8" w:rsidP="00BB76C1">
      <w:pPr>
        <w:pStyle w:val="ListBullet"/>
        <w:rPr>
          <w:rFonts w:cs="Arial"/>
        </w:rPr>
      </w:pPr>
      <w:r w:rsidRPr="00080443">
        <w:rPr>
          <w:rFonts w:cs="Arial"/>
        </w:rPr>
        <w:t>two regional areas—</w:t>
      </w:r>
      <w:r w:rsidR="009C17CB" w:rsidRPr="00080443">
        <w:rPr>
          <w:rFonts w:cs="Arial"/>
        </w:rPr>
        <w:t>R</w:t>
      </w:r>
      <w:r w:rsidRPr="00080443">
        <w:rPr>
          <w:rFonts w:cs="Arial"/>
        </w:rPr>
        <w:t xml:space="preserve">egional </w:t>
      </w:r>
      <w:r w:rsidR="009C17CB" w:rsidRPr="00080443">
        <w:rPr>
          <w:rFonts w:cs="Arial"/>
        </w:rPr>
        <w:t>E</w:t>
      </w:r>
      <w:r w:rsidRPr="00080443">
        <w:rPr>
          <w:rFonts w:cs="Arial"/>
        </w:rPr>
        <w:t xml:space="preserve">ast Australia, </w:t>
      </w:r>
      <w:r w:rsidR="009C17CB" w:rsidRPr="00080443">
        <w:rPr>
          <w:rFonts w:cs="Arial"/>
        </w:rPr>
        <w:t>R</w:t>
      </w:r>
      <w:r w:rsidRPr="00080443">
        <w:rPr>
          <w:rFonts w:cs="Arial"/>
        </w:rPr>
        <w:t xml:space="preserve">egional </w:t>
      </w:r>
      <w:r w:rsidR="009135B8" w:rsidRPr="00080443">
        <w:rPr>
          <w:rFonts w:cs="Arial"/>
        </w:rPr>
        <w:t>W</w:t>
      </w:r>
      <w:r w:rsidRPr="00080443">
        <w:rPr>
          <w:rFonts w:cs="Arial"/>
        </w:rPr>
        <w:t>estern Australia</w:t>
      </w:r>
    </w:p>
    <w:p w14:paraId="63264030" w14:textId="77777777" w:rsidR="008A60B8" w:rsidRPr="00080443" w:rsidRDefault="008A60B8" w:rsidP="004D411C">
      <w:pPr>
        <w:pStyle w:val="ListBullet"/>
        <w:spacing w:after="0"/>
        <w:rPr>
          <w:rFonts w:cs="Arial"/>
        </w:rPr>
      </w:pPr>
      <w:r w:rsidRPr="00080443">
        <w:rPr>
          <w:rFonts w:cs="Arial"/>
        </w:rPr>
        <w:t>one remote area</w:t>
      </w:r>
      <w:r w:rsidR="0043306B" w:rsidRPr="00080443">
        <w:rPr>
          <w:rFonts w:cs="Arial"/>
        </w:rPr>
        <w:t>—</w:t>
      </w:r>
      <w:r w:rsidR="009135B8" w:rsidRPr="00080443">
        <w:rPr>
          <w:rFonts w:cs="Arial"/>
        </w:rPr>
        <w:t>Remote Australia</w:t>
      </w:r>
      <w:r w:rsidR="00B244C4" w:rsidRPr="00080443">
        <w:rPr>
          <w:rFonts w:cs="Arial"/>
        </w:rPr>
        <w:t xml:space="preserve">, which </w:t>
      </w:r>
      <w:r w:rsidR="00D67436" w:rsidRPr="00080443">
        <w:rPr>
          <w:rFonts w:cs="Arial"/>
        </w:rPr>
        <w:t xml:space="preserve">covers the rest of Australia, but </w:t>
      </w:r>
      <w:r w:rsidR="00B244C4" w:rsidRPr="00080443">
        <w:rPr>
          <w:rFonts w:cs="Arial"/>
        </w:rPr>
        <w:t>excludes the Mid-west RQZ</w:t>
      </w:r>
      <w:r w:rsidR="000477A9" w:rsidRPr="00080443">
        <w:rPr>
          <w:rFonts w:cs="Arial"/>
        </w:rPr>
        <w:t>.</w:t>
      </w:r>
    </w:p>
    <w:p w14:paraId="4D7951DF" w14:textId="77777777" w:rsidR="008A60B8" w:rsidRPr="00080443" w:rsidRDefault="008A60B8" w:rsidP="004D411C">
      <w:pPr>
        <w:spacing w:before="80"/>
        <w:rPr>
          <w:rFonts w:cs="Arial"/>
          <w:i/>
          <w:szCs w:val="20"/>
        </w:rPr>
      </w:pPr>
    </w:p>
    <w:tbl>
      <w:tblPr>
        <w:tblW w:w="9645" w:type="dxa"/>
        <w:tblLayout w:type="fixed"/>
        <w:tblCellMar>
          <w:left w:w="0" w:type="dxa"/>
          <w:right w:w="0" w:type="dxa"/>
        </w:tblCellMar>
        <w:tblLook w:val="01E0" w:firstRow="1" w:lastRow="1" w:firstColumn="1" w:lastColumn="1" w:noHBand="0" w:noVBand="0"/>
      </w:tblPr>
      <w:tblGrid>
        <w:gridCol w:w="9645"/>
      </w:tblGrid>
      <w:tr w:rsidR="00BB76C1" w:rsidRPr="00080443" w14:paraId="2BD17900" w14:textId="77777777" w:rsidTr="00BB76C1">
        <w:trPr>
          <w:trHeight w:val="570"/>
        </w:trPr>
        <w:tc>
          <w:tcPr>
            <w:tcW w:w="9645" w:type="dxa"/>
            <w:tcBorders>
              <w:top w:val="single" w:sz="2" w:space="0" w:color="505050"/>
            </w:tcBorders>
            <w:shd w:val="clear" w:color="auto" w:fill="auto"/>
            <w:vAlign w:val="center"/>
          </w:tcPr>
          <w:p w14:paraId="4246A916" w14:textId="77777777" w:rsidR="00BB76C1" w:rsidRPr="00080443" w:rsidRDefault="00BB76C1" w:rsidP="000477A9">
            <w:pPr>
              <w:pStyle w:val="Caption"/>
              <w:rPr>
                <w:rFonts w:cs="Arial"/>
              </w:rPr>
            </w:pPr>
            <w:r w:rsidRPr="00080443">
              <w:rPr>
                <w:rFonts w:cs="Arial"/>
              </w:rPr>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3</w:t>
            </w:r>
            <w:r w:rsidR="00724CDB" w:rsidRPr="00080443">
              <w:rPr>
                <w:rFonts w:cs="Arial"/>
              </w:rPr>
              <w:fldChar w:fldCharType="end"/>
            </w:r>
            <w:r w:rsidRPr="00080443">
              <w:rPr>
                <w:rFonts w:cs="Arial"/>
              </w:rPr>
              <w:t xml:space="preserve"> Lots available in the </w:t>
            </w:r>
            <w:r w:rsidR="000477A9" w:rsidRPr="00080443">
              <w:rPr>
                <w:rFonts w:cs="Arial"/>
              </w:rPr>
              <w:t xml:space="preserve">11 separate </w:t>
            </w:r>
            <w:r w:rsidRPr="00080443">
              <w:rPr>
                <w:rFonts w:cs="Arial"/>
              </w:rPr>
              <w:t>2.5 GHz band products</w:t>
            </w:r>
            <w:r w:rsidR="000477A9" w:rsidRPr="00080443">
              <w:rPr>
                <w:rFonts w:cs="Arial"/>
              </w:rPr>
              <w:t>*</w:t>
            </w:r>
          </w:p>
        </w:tc>
      </w:tr>
      <w:tr w:rsidR="00FA6A45" w:rsidRPr="00080443" w14:paraId="294E5D23" w14:textId="77777777" w:rsidTr="00BB76C1">
        <w:trPr>
          <w:trHeight w:val="3086"/>
        </w:trPr>
        <w:tc>
          <w:tcPr>
            <w:tcW w:w="9645" w:type="dxa"/>
            <w:shd w:val="clear" w:color="auto" w:fill="auto"/>
            <w:tcMar>
              <w:left w:w="28" w:type="dxa"/>
            </w:tcMar>
          </w:tcPr>
          <w:p w14:paraId="1E1BBDD5" w14:textId="46AB2E47" w:rsidR="00FA6A45" w:rsidRPr="00080443" w:rsidRDefault="000B0C99" w:rsidP="00BB76C1">
            <w:pPr>
              <w:rPr>
                <w:rFonts w:cs="Arial"/>
              </w:rPr>
            </w:pPr>
            <w:r>
              <w:rPr>
                <w:rFonts w:cs="Arial"/>
                <w:noProof/>
              </w:rPr>
              <w:drawing>
                <wp:inline distT="0" distB="0" distL="0" distR="0" wp14:anchorId="4FABEBB1" wp14:editId="188F25D5">
                  <wp:extent cx="6139180" cy="3062605"/>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r="6766"/>
                          <a:stretch>
                            <a:fillRect/>
                          </a:stretch>
                        </pic:blipFill>
                        <pic:spPr bwMode="auto">
                          <a:xfrm>
                            <a:off x="0" y="0"/>
                            <a:ext cx="6139180" cy="3062605"/>
                          </a:xfrm>
                          <a:prstGeom prst="rect">
                            <a:avLst/>
                          </a:prstGeom>
                          <a:noFill/>
                          <a:ln>
                            <a:noFill/>
                          </a:ln>
                        </pic:spPr>
                      </pic:pic>
                    </a:graphicData>
                  </a:graphic>
                </wp:inline>
              </w:drawing>
            </w:r>
          </w:p>
        </w:tc>
      </w:tr>
      <w:tr w:rsidR="00BB76C1" w:rsidRPr="00080443" w14:paraId="48DA1FC5" w14:textId="77777777" w:rsidTr="00BB76C1">
        <w:trPr>
          <w:trHeight w:val="291"/>
        </w:trPr>
        <w:tc>
          <w:tcPr>
            <w:tcW w:w="9645" w:type="dxa"/>
            <w:tcBorders>
              <w:bottom w:val="single" w:sz="2" w:space="0" w:color="505050"/>
            </w:tcBorders>
            <w:shd w:val="clear" w:color="auto" w:fill="auto"/>
          </w:tcPr>
          <w:p w14:paraId="3E57C981" w14:textId="77777777" w:rsidR="00BB76C1" w:rsidRPr="00080443" w:rsidRDefault="000477A9" w:rsidP="00BB76C1">
            <w:pPr>
              <w:rPr>
                <w:rFonts w:cs="Arial"/>
              </w:rPr>
            </w:pPr>
            <w:r w:rsidRPr="00080443">
              <w:rPr>
                <w:rFonts w:cs="Arial"/>
                <w:i/>
                <w:sz w:val="16"/>
                <w:szCs w:val="16"/>
              </w:rPr>
              <w:t>*Not to scale.</w:t>
            </w:r>
          </w:p>
        </w:tc>
      </w:tr>
    </w:tbl>
    <w:p w14:paraId="7301B476" w14:textId="77777777" w:rsidR="00BB76C1" w:rsidRPr="00080443" w:rsidRDefault="00BB76C1" w:rsidP="008A60B8">
      <w:pPr>
        <w:spacing w:before="80" w:after="120"/>
        <w:rPr>
          <w:rFonts w:cs="Arial"/>
          <w:i/>
          <w:szCs w:val="20"/>
        </w:rPr>
      </w:pPr>
    </w:p>
    <w:p w14:paraId="2375024A" w14:textId="77777777" w:rsidR="00BB76C1" w:rsidRPr="00080443" w:rsidRDefault="00BB76C1" w:rsidP="008A60B8">
      <w:pPr>
        <w:spacing w:before="80" w:after="120"/>
        <w:rPr>
          <w:rFonts w:cs="Arial"/>
          <w:i/>
          <w:szCs w:val="20"/>
        </w:rPr>
      </w:pPr>
    </w:p>
    <w:tbl>
      <w:tblPr>
        <w:tblW w:w="9645" w:type="dxa"/>
        <w:tblLayout w:type="fixed"/>
        <w:tblCellMar>
          <w:left w:w="0" w:type="dxa"/>
          <w:right w:w="0" w:type="dxa"/>
        </w:tblCellMar>
        <w:tblLook w:val="01E0" w:firstRow="1" w:lastRow="1" w:firstColumn="1" w:lastColumn="1" w:noHBand="0" w:noVBand="0"/>
      </w:tblPr>
      <w:tblGrid>
        <w:gridCol w:w="9645"/>
      </w:tblGrid>
      <w:tr w:rsidR="00BB76C1" w:rsidRPr="00080443" w14:paraId="32A9085F" w14:textId="77777777" w:rsidTr="00BB76C1">
        <w:trPr>
          <w:trHeight w:val="570"/>
        </w:trPr>
        <w:tc>
          <w:tcPr>
            <w:tcW w:w="9645" w:type="dxa"/>
            <w:tcBorders>
              <w:top w:val="single" w:sz="2" w:space="0" w:color="505050"/>
            </w:tcBorders>
            <w:shd w:val="clear" w:color="auto" w:fill="auto"/>
            <w:vAlign w:val="center"/>
          </w:tcPr>
          <w:p w14:paraId="5AE58841" w14:textId="77777777" w:rsidR="00BB76C1" w:rsidRPr="00080443" w:rsidRDefault="00BB76C1" w:rsidP="005E17CA">
            <w:pPr>
              <w:pStyle w:val="Caption"/>
              <w:keepNext/>
              <w:rPr>
                <w:rFonts w:cs="Arial"/>
              </w:rPr>
            </w:pPr>
            <w:r w:rsidRPr="00080443">
              <w:rPr>
                <w:rFonts w:cs="Arial"/>
              </w:rPr>
              <w:lastRenderedPageBreak/>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4</w:t>
            </w:r>
            <w:r w:rsidR="00724CDB" w:rsidRPr="00080443">
              <w:rPr>
                <w:rFonts w:cs="Arial"/>
              </w:rPr>
              <w:fldChar w:fldCharType="end"/>
            </w:r>
            <w:r w:rsidRPr="00080443">
              <w:rPr>
                <w:rFonts w:cs="Arial"/>
              </w:rPr>
              <w:t xml:space="preserve"> The </w:t>
            </w:r>
            <w:r w:rsidR="00474AB3" w:rsidRPr="00080443">
              <w:rPr>
                <w:rFonts w:cs="Arial"/>
              </w:rPr>
              <w:t xml:space="preserve">indicative </w:t>
            </w:r>
            <w:r w:rsidRPr="00080443">
              <w:rPr>
                <w:rFonts w:cs="Arial"/>
              </w:rPr>
              <w:t>11 geographic regions covered by each of the 14 lots in the 2.5 GHz band</w:t>
            </w:r>
          </w:p>
        </w:tc>
      </w:tr>
      <w:tr w:rsidR="00BB76C1" w:rsidRPr="00080443" w14:paraId="7F64FBF0" w14:textId="77777777" w:rsidTr="00BB76C1">
        <w:trPr>
          <w:trHeight w:val="3086"/>
        </w:trPr>
        <w:tc>
          <w:tcPr>
            <w:tcW w:w="9645" w:type="dxa"/>
            <w:shd w:val="clear" w:color="auto" w:fill="auto"/>
            <w:tcMar>
              <w:left w:w="28" w:type="dxa"/>
            </w:tcMar>
          </w:tcPr>
          <w:p w14:paraId="19B2E76D" w14:textId="77777777" w:rsidR="00BB76C1" w:rsidRPr="00080443" w:rsidRDefault="00BB76C1" w:rsidP="00BB76C1">
            <w:pPr>
              <w:rPr>
                <w:rFonts w:cs="Arial"/>
              </w:rPr>
            </w:pPr>
            <w:r w:rsidRPr="00080443">
              <w:rPr>
                <w:rFonts w:cs="Arial"/>
                <w:noProof/>
              </w:rPr>
              <w:drawing>
                <wp:inline distT="0" distB="0" distL="0" distR="0" wp14:anchorId="117DB793" wp14:editId="1EF846D0">
                  <wp:extent cx="5592954" cy="4184303"/>
                  <wp:effectExtent l="19050" t="0" r="7746" b="0"/>
                  <wp:docPr id="10" name="Picture 1" descr="C:\Users\rurquhar\AppData\Local\Microsoft\Windows\Temporary Internet Files\Content.Outlook\XWSFRW3G\overiew_2g5_v3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rquhar\AppData\Local\Microsoft\Windows\Temporary Internet Files\Content.Outlook\XWSFRW3G\overiew_2g5_v3 (4).png"/>
                          <pic:cNvPicPr>
                            <a:picLocks noChangeAspect="1" noChangeArrowheads="1"/>
                          </pic:cNvPicPr>
                        </pic:nvPicPr>
                        <pic:blipFill>
                          <a:blip r:embed="rId34" cstate="print"/>
                          <a:srcRect l="2142"/>
                          <a:stretch>
                            <a:fillRect/>
                          </a:stretch>
                        </pic:blipFill>
                        <pic:spPr bwMode="auto">
                          <a:xfrm>
                            <a:off x="0" y="0"/>
                            <a:ext cx="5592954" cy="4184303"/>
                          </a:xfrm>
                          <a:prstGeom prst="rect">
                            <a:avLst/>
                          </a:prstGeom>
                          <a:noFill/>
                          <a:ln w="9525">
                            <a:noFill/>
                            <a:miter lim="800000"/>
                            <a:headEnd/>
                            <a:tailEnd/>
                          </a:ln>
                        </pic:spPr>
                      </pic:pic>
                    </a:graphicData>
                  </a:graphic>
                </wp:inline>
              </w:drawing>
            </w:r>
          </w:p>
        </w:tc>
      </w:tr>
      <w:tr w:rsidR="00BB76C1" w:rsidRPr="00080443" w14:paraId="1858A564" w14:textId="77777777" w:rsidTr="00BB76C1">
        <w:trPr>
          <w:trHeight w:val="291"/>
        </w:trPr>
        <w:tc>
          <w:tcPr>
            <w:tcW w:w="9645" w:type="dxa"/>
            <w:tcBorders>
              <w:bottom w:val="single" w:sz="2" w:space="0" w:color="505050"/>
            </w:tcBorders>
            <w:shd w:val="clear" w:color="auto" w:fill="auto"/>
          </w:tcPr>
          <w:p w14:paraId="602220FE" w14:textId="77777777" w:rsidR="00BB76C1" w:rsidRPr="00080443" w:rsidRDefault="00BB76C1" w:rsidP="00BB76C1">
            <w:pPr>
              <w:rPr>
                <w:rFonts w:cs="Arial"/>
              </w:rPr>
            </w:pPr>
          </w:p>
        </w:tc>
      </w:tr>
    </w:tbl>
    <w:p w14:paraId="1BCD9D23" w14:textId="77777777" w:rsidR="00BB76C1" w:rsidRPr="00080443" w:rsidRDefault="00BB76C1" w:rsidP="004D411C">
      <w:pPr>
        <w:rPr>
          <w:rFonts w:cs="Arial"/>
          <w:i/>
          <w:szCs w:val="20"/>
        </w:rPr>
      </w:pPr>
    </w:p>
    <w:p w14:paraId="3A11F6D8" w14:textId="77777777" w:rsidR="008A60B8" w:rsidRPr="00080443" w:rsidRDefault="008A60B8" w:rsidP="008A60B8">
      <w:pPr>
        <w:rPr>
          <w:rFonts w:cs="Arial"/>
        </w:rPr>
      </w:pPr>
      <w:r w:rsidRPr="00080443">
        <w:rPr>
          <w:rFonts w:cs="Arial"/>
        </w:rPr>
        <w:t xml:space="preserve">More detailed versions of the image in </w:t>
      </w:r>
      <w:r w:rsidR="000477A9" w:rsidRPr="00080443">
        <w:rPr>
          <w:rFonts w:cs="Arial"/>
        </w:rPr>
        <w:t>F</w:t>
      </w:r>
      <w:r w:rsidRPr="00080443">
        <w:rPr>
          <w:rFonts w:cs="Arial"/>
        </w:rPr>
        <w:t xml:space="preserve">igure </w:t>
      </w:r>
      <w:r w:rsidR="000477A9" w:rsidRPr="00080443">
        <w:rPr>
          <w:rFonts w:cs="Arial"/>
        </w:rPr>
        <w:t>4</w:t>
      </w:r>
      <w:r w:rsidRPr="00080443">
        <w:rPr>
          <w:rFonts w:cs="Arial"/>
        </w:rPr>
        <w:t xml:space="preserve"> are available in </w:t>
      </w:r>
      <w:hyperlink r:id="rId35" w:history="1">
        <w:r w:rsidRPr="00080443">
          <w:rPr>
            <w:rStyle w:val="Hyperlink"/>
            <w:rFonts w:cs="Arial"/>
          </w:rPr>
          <w:t>Google Map</w:t>
        </w:r>
        <w:r w:rsidR="00732687" w:rsidRPr="00080443">
          <w:rPr>
            <w:rStyle w:val="Hyperlink"/>
            <w:rFonts w:cs="Arial"/>
          </w:rPr>
          <w:t>s</w:t>
        </w:r>
      </w:hyperlink>
      <w:r w:rsidR="00E36E2D" w:rsidRPr="00080443">
        <w:rPr>
          <w:rStyle w:val="Hyperlink"/>
          <w:rFonts w:cs="Arial"/>
          <w:u w:val="none"/>
          <w:vertAlign w:val="superscript"/>
        </w:rPr>
        <w:footnoteReference w:id="18"/>
      </w:r>
      <w:r w:rsidRPr="00080443">
        <w:rPr>
          <w:rFonts w:cs="Arial"/>
        </w:rPr>
        <w:t xml:space="preserve"> and </w:t>
      </w:r>
      <w:hyperlink r:id="rId36" w:history="1">
        <w:r w:rsidRPr="00080443">
          <w:rPr>
            <w:rStyle w:val="Hyperlink"/>
            <w:rFonts w:cs="Arial"/>
          </w:rPr>
          <w:t>Google Earth</w:t>
        </w:r>
      </w:hyperlink>
      <w:r w:rsidR="00B928FF" w:rsidRPr="00080443">
        <w:rPr>
          <w:rStyle w:val="Hyperlink"/>
          <w:rFonts w:cs="Arial"/>
          <w:u w:val="none"/>
          <w:vertAlign w:val="superscript"/>
        </w:rPr>
        <w:footnoteReference w:id="19"/>
      </w:r>
      <w:r w:rsidRPr="00080443">
        <w:rPr>
          <w:rFonts w:cs="Arial"/>
        </w:rPr>
        <w:t xml:space="preserve"> formats. </w:t>
      </w:r>
      <w:r w:rsidR="00474AB3" w:rsidRPr="00080443">
        <w:rPr>
          <w:rFonts w:cs="Arial"/>
        </w:rPr>
        <w:t xml:space="preserve">The image in Figure 4, and the related Google Earth and Google Map versions of the image, are provided for information only. The ACMA does not accept responsibility for the accuracy of that information. Potential participants in the auction should obtain their own advice and make their own enquiries into pictorial representations of the region. The geographic area of each region can be determined by the aggregation of block areas referenced by the </w:t>
      </w:r>
      <w:r w:rsidR="00AA2589" w:rsidRPr="00080443">
        <w:rPr>
          <w:rFonts w:cs="Arial"/>
        </w:rPr>
        <w:t>hierarchical cell identification scheme (</w:t>
      </w:r>
      <w:r w:rsidR="00474AB3" w:rsidRPr="00080443">
        <w:rPr>
          <w:rFonts w:cs="Arial"/>
        </w:rPr>
        <w:t>HCIS</w:t>
      </w:r>
      <w:r w:rsidR="00AA2589" w:rsidRPr="00080443">
        <w:rPr>
          <w:rFonts w:cs="Arial"/>
        </w:rPr>
        <w:t>)</w:t>
      </w:r>
      <w:r w:rsidR="00474AB3" w:rsidRPr="00080443">
        <w:rPr>
          <w:rFonts w:cs="Arial"/>
        </w:rPr>
        <w:t xml:space="preserve"> identifiers listed in </w:t>
      </w:r>
      <w:r w:rsidR="00015EF9" w:rsidRPr="00080443">
        <w:rPr>
          <w:rFonts w:cs="Arial"/>
        </w:rPr>
        <w:t>S</w:t>
      </w:r>
      <w:r w:rsidR="00474AB3" w:rsidRPr="00080443">
        <w:rPr>
          <w:rFonts w:cs="Arial"/>
        </w:rPr>
        <w:t xml:space="preserve">chedule 3 of the 2.5 GHz marketing plan, at </w:t>
      </w:r>
      <w:r w:rsidR="00474AB3" w:rsidRPr="00080443">
        <w:rPr>
          <w:rFonts w:cs="Arial"/>
          <w:u w:val="single"/>
        </w:rPr>
        <w:t xml:space="preserve">Attachment </w:t>
      </w:r>
      <w:r w:rsidR="005D4EE4" w:rsidRPr="00080443">
        <w:rPr>
          <w:rFonts w:cs="Arial"/>
          <w:u w:val="single"/>
        </w:rPr>
        <w:t>F</w:t>
      </w:r>
      <w:r w:rsidR="00474AB3" w:rsidRPr="00080443">
        <w:rPr>
          <w:rFonts w:cs="Arial"/>
        </w:rPr>
        <w:t>.</w:t>
      </w:r>
    </w:p>
    <w:p w14:paraId="5E379FF9" w14:textId="77777777" w:rsidR="008A60B8" w:rsidRPr="00080443" w:rsidRDefault="008A60B8" w:rsidP="008A60B8">
      <w:pPr>
        <w:rPr>
          <w:rFonts w:cs="Arial"/>
        </w:rPr>
      </w:pPr>
    </w:p>
    <w:p w14:paraId="1700F5B1" w14:textId="77777777" w:rsidR="008A60B8" w:rsidRPr="00080443" w:rsidRDefault="008A60B8" w:rsidP="00234088">
      <w:pPr>
        <w:pStyle w:val="Heading3"/>
        <w:numPr>
          <w:ilvl w:val="2"/>
          <w:numId w:val="13"/>
        </w:numPr>
      </w:pPr>
      <w:bookmarkStart w:id="51" w:name="_Toc335246244"/>
      <w:bookmarkStart w:id="52" w:name="_Toc343780453"/>
      <w:r w:rsidRPr="00080443">
        <w:lastRenderedPageBreak/>
        <w:t>Summary of lots on offer</w:t>
      </w:r>
      <w:bookmarkEnd w:id="51"/>
      <w:bookmarkEnd w:id="52"/>
    </w:p>
    <w:tbl>
      <w:tblPr>
        <w:tblW w:w="9645" w:type="dxa"/>
        <w:tblLayout w:type="fixed"/>
        <w:tblCellMar>
          <w:left w:w="0" w:type="dxa"/>
          <w:right w:w="0" w:type="dxa"/>
        </w:tblCellMar>
        <w:tblLook w:val="01E0" w:firstRow="1" w:lastRow="1" w:firstColumn="1" w:lastColumn="1" w:noHBand="0" w:noVBand="0"/>
      </w:tblPr>
      <w:tblGrid>
        <w:gridCol w:w="9645"/>
      </w:tblGrid>
      <w:tr w:rsidR="00BB76C1" w:rsidRPr="00080443" w14:paraId="5B424D4C" w14:textId="77777777" w:rsidTr="00BB76C1">
        <w:trPr>
          <w:trHeight w:val="570"/>
        </w:trPr>
        <w:tc>
          <w:tcPr>
            <w:tcW w:w="9645" w:type="dxa"/>
            <w:tcBorders>
              <w:top w:val="single" w:sz="2" w:space="0" w:color="505050"/>
            </w:tcBorders>
            <w:shd w:val="clear" w:color="auto" w:fill="auto"/>
            <w:vAlign w:val="center"/>
          </w:tcPr>
          <w:p w14:paraId="1ADE3FCD" w14:textId="77777777" w:rsidR="00BB76C1" w:rsidRPr="00080443" w:rsidRDefault="00BB76C1" w:rsidP="00BB76C1">
            <w:pPr>
              <w:pStyle w:val="Caption"/>
              <w:keepNext/>
              <w:rPr>
                <w:rFonts w:cs="Arial"/>
              </w:rPr>
            </w:pPr>
            <w:r w:rsidRPr="00080443">
              <w:rPr>
                <w:rFonts w:cs="Arial"/>
              </w:rPr>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5</w:t>
            </w:r>
            <w:r w:rsidR="00724CDB" w:rsidRPr="00080443">
              <w:rPr>
                <w:rFonts w:cs="Arial"/>
              </w:rPr>
              <w:fldChar w:fldCharType="end"/>
            </w:r>
            <w:r w:rsidRPr="00080443">
              <w:rPr>
                <w:rFonts w:cs="Arial"/>
              </w:rPr>
              <w:t xml:space="preserve"> Summary of the lots available in the 700 MHz and 2.5 GHz bands</w:t>
            </w:r>
          </w:p>
        </w:tc>
      </w:tr>
      <w:tr w:rsidR="00BB76C1" w:rsidRPr="00080443" w14:paraId="2F1B51D8" w14:textId="77777777" w:rsidTr="00BB76C1">
        <w:trPr>
          <w:trHeight w:val="3086"/>
        </w:trPr>
        <w:tc>
          <w:tcPr>
            <w:tcW w:w="9645" w:type="dxa"/>
            <w:shd w:val="clear" w:color="auto" w:fill="auto"/>
            <w:tcMar>
              <w:left w:w="28" w:type="dxa"/>
            </w:tcMar>
          </w:tcPr>
          <w:tbl>
            <w:tblPr>
              <w:tblStyle w:val="LightList-Accent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82"/>
              <w:gridCol w:w="3118"/>
            </w:tblGrid>
            <w:tr w:rsidR="00BB76C1" w:rsidRPr="00080443" w14:paraId="19E0B9E3" w14:textId="77777777" w:rsidTr="00BB7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B8CCE4" w:themeFill="accent1" w:themeFillTint="66"/>
                  <w:vAlign w:val="center"/>
                </w:tcPr>
                <w:p w14:paraId="199C54CC" w14:textId="77777777" w:rsidR="00BB76C1" w:rsidRPr="00080443" w:rsidRDefault="00BB76C1" w:rsidP="00BB76C1">
                  <w:pPr>
                    <w:spacing w:before="80" w:after="120"/>
                    <w:jc w:val="center"/>
                    <w:rPr>
                      <w:rFonts w:cs="Arial"/>
                      <w:color w:val="000000" w:themeColor="text1"/>
                      <w:sz w:val="20"/>
                    </w:rPr>
                  </w:pPr>
                  <w:r w:rsidRPr="00080443">
                    <w:rPr>
                      <w:rFonts w:cs="Arial"/>
                      <w:color w:val="000000" w:themeColor="text1"/>
                      <w:sz w:val="20"/>
                    </w:rPr>
                    <w:t>P</w:t>
                  </w:r>
                  <w:r w:rsidR="000477A9" w:rsidRPr="00080443">
                    <w:rPr>
                      <w:rFonts w:cs="Arial"/>
                      <w:color w:val="000000" w:themeColor="text1"/>
                      <w:sz w:val="20"/>
                    </w:rPr>
                    <w:t>roduct</w:t>
                  </w:r>
                </w:p>
              </w:tc>
              <w:tc>
                <w:tcPr>
                  <w:tcW w:w="6100" w:type="dxa"/>
                  <w:gridSpan w:val="2"/>
                  <w:shd w:val="clear" w:color="auto" w:fill="D6E3BC" w:themeFill="accent3" w:themeFillTint="66"/>
                </w:tcPr>
                <w:p w14:paraId="1D6DD713" w14:textId="77777777" w:rsidR="00BB76C1" w:rsidRPr="00080443" w:rsidRDefault="00BB76C1" w:rsidP="00BB76C1">
                  <w:pPr>
                    <w:spacing w:before="80" w:after="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rPr>
                  </w:pPr>
                  <w:r w:rsidRPr="00080443">
                    <w:rPr>
                      <w:rFonts w:cs="Arial"/>
                      <w:color w:val="000000" w:themeColor="text1"/>
                      <w:sz w:val="20"/>
                    </w:rPr>
                    <w:t>C</w:t>
                  </w:r>
                  <w:r w:rsidR="000477A9" w:rsidRPr="00080443">
                    <w:rPr>
                      <w:rFonts w:cs="Arial"/>
                      <w:color w:val="000000" w:themeColor="text1"/>
                      <w:sz w:val="20"/>
                    </w:rPr>
                    <w:t>ategory</w:t>
                  </w:r>
                </w:p>
              </w:tc>
            </w:tr>
            <w:tr w:rsidR="00BB76C1" w:rsidRPr="00080443" w14:paraId="3DE4C808" w14:textId="77777777" w:rsidTr="00BB7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auto"/>
                    <w:left w:val="single" w:sz="4" w:space="0" w:color="auto"/>
                    <w:bottom w:val="single" w:sz="4" w:space="0" w:color="auto"/>
                  </w:tcBorders>
                  <w:shd w:val="clear" w:color="auto" w:fill="B8CCE4" w:themeFill="accent1" w:themeFillTint="66"/>
                </w:tcPr>
                <w:p w14:paraId="5D4805F7" w14:textId="77777777" w:rsidR="00BB76C1" w:rsidRPr="00080443" w:rsidRDefault="00BB76C1" w:rsidP="00BB76C1">
                  <w:pPr>
                    <w:spacing w:before="80" w:after="120"/>
                    <w:rPr>
                      <w:rFonts w:cs="Arial"/>
                      <w:b w:val="0"/>
                      <w:color w:val="000000" w:themeColor="text1"/>
                      <w:sz w:val="20"/>
                    </w:rPr>
                  </w:pPr>
                </w:p>
              </w:tc>
              <w:tc>
                <w:tcPr>
                  <w:tcW w:w="2982" w:type="dxa"/>
                  <w:tcBorders>
                    <w:top w:val="single" w:sz="4" w:space="0" w:color="auto"/>
                    <w:bottom w:val="single" w:sz="4" w:space="0" w:color="auto"/>
                  </w:tcBorders>
                  <w:shd w:val="clear" w:color="auto" w:fill="D6E3BC" w:themeFill="accent3" w:themeFillTint="66"/>
                </w:tcPr>
                <w:p w14:paraId="2F19C007" w14:textId="77777777" w:rsidR="00BB76C1" w:rsidRPr="00080443" w:rsidRDefault="00BB76C1" w:rsidP="00BB76C1">
                  <w:pPr>
                    <w:spacing w:before="80" w:after="120"/>
                    <w:jc w:val="center"/>
                    <w:cnfStyle w:val="000000100000" w:firstRow="0" w:lastRow="0" w:firstColumn="0" w:lastColumn="0" w:oddVBand="0" w:evenVBand="0" w:oddHBand="1" w:evenHBand="0" w:firstRowFirstColumn="0" w:firstRowLastColumn="0" w:lastRowFirstColumn="0" w:lastRowLastColumn="0"/>
                    <w:rPr>
                      <w:rFonts w:cs="Arial"/>
                      <w:b/>
                      <w:color w:val="000000" w:themeColor="text1"/>
                      <w:sz w:val="20"/>
                    </w:rPr>
                  </w:pPr>
                  <w:r w:rsidRPr="00080443">
                    <w:rPr>
                      <w:rFonts w:cs="Arial"/>
                      <w:b/>
                      <w:color w:val="000000" w:themeColor="text1"/>
                      <w:sz w:val="20"/>
                    </w:rPr>
                    <w:t>700 MHz band</w:t>
                  </w:r>
                </w:p>
              </w:tc>
              <w:tc>
                <w:tcPr>
                  <w:tcW w:w="3118" w:type="dxa"/>
                  <w:tcBorders>
                    <w:top w:val="single" w:sz="4" w:space="0" w:color="auto"/>
                    <w:bottom w:val="single" w:sz="4" w:space="0" w:color="auto"/>
                    <w:right w:val="single" w:sz="4" w:space="0" w:color="auto"/>
                  </w:tcBorders>
                  <w:shd w:val="clear" w:color="auto" w:fill="D6E3BC" w:themeFill="accent3" w:themeFillTint="66"/>
                </w:tcPr>
                <w:p w14:paraId="09E8AA95" w14:textId="77777777" w:rsidR="00BB76C1" w:rsidRPr="00080443" w:rsidRDefault="00BB76C1" w:rsidP="00BB76C1">
                  <w:pPr>
                    <w:spacing w:before="80" w:after="120"/>
                    <w:jc w:val="center"/>
                    <w:cnfStyle w:val="000000100000" w:firstRow="0" w:lastRow="0" w:firstColumn="0" w:lastColumn="0" w:oddVBand="0" w:evenVBand="0" w:oddHBand="1" w:evenHBand="0" w:firstRowFirstColumn="0" w:firstRowLastColumn="0" w:lastRowFirstColumn="0" w:lastRowLastColumn="0"/>
                    <w:rPr>
                      <w:rFonts w:cs="Arial"/>
                      <w:b/>
                      <w:color w:val="000000" w:themeColor="text1"/>
                      <w:sz w:val="20"/>
                    </w:rPr>
                  </w:pPr>
                  <w:r w:rsidRPr="00080443">
                    <w:rPr>
                      <w:rFonts w:cs="Arial"/>
                      <w:b/>
                      <w:color w:val="000000" w:themeColor="text1"/>
                      <w:sz w:val="20"/>
                    </w:rPr>
                    <w:t>2.5 GHz band</w:t>
                  </w:r>
                </w:p>
              </w:tc>
            </w:tr>
            <w:tr w:rsidR="00BB76C1" w:rsidRPr="00080443" w14:paraId="32E8987E" w14:textId="77777777" w:rsidTr="00BB76C1">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shd w:val="clear" w:color="auto" w:fill="FFFFFF" w:themeFill="background1"/>
                </w:tcPr>
                <w:p w14:paraId="0CDAB3B3" w14:textId="77777777" w:rsidR="00BB76C1" w:rsidRPr="00080443" w:rsidRDefault="00BB76C1" w:rsidP="00BB76C1">
                  <w:pPr>
                    <w:spacing w:before="80" w:after="120"/>
                    <w:rPr>
                      <w:rFonts w:cs="Arial"/>
                      <w:b w:val="0"/>
                      <w:sz w:val="20"/>
                    </w:rPr>
                  </w:pPr>
                  <w:r w:rsidRPr="00080443">
                    <w:rPr>
                      <w:rFonts w:cs="Arial"/>
                      <w:b w:val="0"/>
                      <w:sz w:val="20"/>
                    </w:rPr>
                    <w:t>National</w:t>
                  </w:r>
                </w:p>
              </w:tc>
              <w:tc>
                <w:tcPr>
                  <w:tcW w:w="2982" w:type="dxa"/>
                  <w:tcBorders>
                    <w:top w:val="single" w:sz="4" w:space="0" w:color="auto"/>
                  </w:tcBorders>
                  <w:shd w:val="clear" w:color="auto" w:fill="FFFFFF" w:themeFill="background1"/>
                  <w:vAlign w:val="center"/>
                </w:tcPr>
                <w:p w14:paraId="3D2C96DF" w14:textId="77777777" w:rsidR="00BB76C1" w:rsidRPr="00080443" w:rsidRDefault="000477A9" w:rsidP="000477A9">
                  <w:pPr>
                    <w:spacing w:before="80" w:after="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080443">
                    <w:rPr>
                      <w:rFonts w:cs="Arial"/>
                      <w:sz w:val="20"/>
                    </w:rPr>
                    <w:t>Nine</w:t>
                  </w:r>
                  <w:r w:rsidR="00BB76C1" w:rsidRPr="00080443">
                    <w:rPr>
                      <w:rFonts w:cs="Arial"/>
                      <w:sz w:val="20"/>
                    </w:rPr>
                    <w:t xml:space="preserve"> generic lots of 2x5 MHz</w:t>
                  </w:r>
                </w:p>
              </w:tc>
              <w:tc>
                <w:tcPr>
                  <w:tcW w:w="3118" w:type="dxa"/>
                  <w:tcBorders>
                    <w:top w:val="single" w:sz="4" w:space="0" w:color="auto"/>
                  </w:tcBorders>
                  <w:shd w:val="clear" w:color="auto" w:fill="FFFFFF" w:themeFill="background1"/>
                  <w:vAlign w:val="center"/>
                </w:tcPr>
                <w:p w14:paraId="72A4AF5E" w14:textId="77777777" w:rsidR="00BB76C1" w:rsidRPr="00080443" w:rsidRDefault="00BB76C1" w:rsidP="00BB76C1">
                  <w:pPr>
                    <w:spacing w:before="80" w:after="12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BB76C1" w:rsidRPr="00080443" w14:paraId="47E51D8E" w14:textId="77777777" w:rsidTr="00BB7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shd w:val="clear" w:color="auto" w:fill="FFFFFF" w:themeFill="background1"/>
                </w:tcPr>
                <w:p w14:paraId="202EF09E" w14:textId="77777777" w:rsidR="00BB76C1" w:rsidRPr="00080443" w:rsidRDefault="00BB76C1" w:rsidP="00BB76C1">
                  <w:pPr>
                    <w:spacing w:before="80" w:after="120"/>
                    <w:rPr>
                      <w:rFonts w:cs="Arial"/>
                      <w:b w:val="0"/>
                      <w:sz w:val="20"/>
                    </w:rPr>
                  </w:pPr>
                  <w:r w:rsidRPr="00080443">
                    <w:rPr>
                      <w:rFonts w:cs="Arial"/>
                      <w:b w:val="0"/>
                      <w:sz w:val="20"/>
                    </w:rPr>
                    <w:t>Metro ACT</w:t>
                  </w:r>
                </w:p>
              </w:tc>
              <w:tc>
                <w:tcPr>
                  <w:tcW w:w="2982" w:type="dxa"/>
                  <w:tcBorders>
                    <w:top w:val="none" w:sz="0" w:space="0" w:color="auto"/>
                    <w:bottom w:val="none" w:sz="0" w:space="0" w:color="auto"/>
                  </w:tcBorders>
                  <w:shd w:val="clear" w:color="auto" w:fill="FFFFFF" w:themeFill="background1"/>
                  <w:vAlign w:val="center"/>
                </w:tcPr>
                <w:p w14:paraId="43D1A4E1" w14:textId="77777777" w:rsidR="00BB76C1" w:rsidRPr="00080443" w:rsidRDefault="00BB76C1" w:rsidP="00BB76C1">
                  <w:pPr>
                    <w:spacing w:before="80" w:after="120"/>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3118" w:type="dxa"/>
                  <w:tcBorders>
                    <w:top w:val="none" w:sz="0" w:space="0" w:color="auto"/>
                    <w:bottom w:val="none" w:sz="0" w:space="0" w:color="auto"/>
                    <w:right w:val="none" w:sz="0" w:space="0" w:color="auto"/>
                  </w:tcBorders>
                  <w:shd w:val="clear" w:color="auto" w:fill="FFFFFF" w:themeFill="background1"/>
                  <w:vAlign w:val="center"/>
                </w:tcPr>
                <w:p w14:paraId="5CAF3084" w14:textId="77777777" w:rsidR="00BB76C1" w:rsidRPr="00080443" w:rsidRDefault="00BB76C1" w:rsidP="00BB76C1">
                  <w:pPr>
                    <w:spacing w:before="80" w:after="120"/>
                    <w:jc w:val="center"/>
                    <w:cnfStyle w:val="000000100000" w:firstRow="0" w:lastRow="0" w:firstColumn="0" w:lastColumn="0" w:oddVBand="0" w:evenVBand="0" w:oddHBand="1" w:evenHBand="0" w:firstRowFirstColumn="0" w:firstRowLastColumn="0" w:lastRowFirstColumn="0" w:lastRowLastColumn="0"/>
                    <w:rPr>
                      <w:rFonts w:cs="Arial"/>
                      <w:sz w:val="20"/>
                    </w:rPr>
                  </w:pPr>
                  <w:r w:rsidRPr="00080443">
                    <w:rPr>
                      <w:rFonts w:cs="Arial"/>
                      <w:sz w:val="20"/>
                    </w:rPr>
                    <w:t>14 generic lots of 2x5 MHz</w:t>
                  </w:r>
                </w:p>
              </w:tc>
            </w:tr>
            <w:tr w:rsidR="00BB76C1" w:rsidRPr="00080443" w14:paraId="3404975D" w14:textId="77777777" w:rsidTr="00BB76C1">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3BABB61D" w14:textId="77777777" w:rsidR="00BB76C1" w:rsidRPr="00080443" w:rsidRDefault="00BB76C1" w:rsidP="00BB76C1">
                  <w:pPr>
                    <w:spacing w:before="80" w:after="120"/>
                    <w:rPr>
                      <w:rFonts w:cs="Arial"/>
                      <w:b w:val="0"/>
                      <w:sz w:val="20"/>
                    </w:rPr>
                  </w:pPr>
                  <w:r w:rsidRPr="00080443">
                    <w:rPr>
                      <w:rFonts w:cs="Arial"/>
                      <w:b w:val="0"/>
                      <w:sz w:val="20"/>
                    </w:rPr>
                    <w:t>Metro Adelaide</w:t>
                  </w:r>
                </w:p>
              </w:tc>
              <w:tc>
                <w:tcPr>
                  <w:tcW w:w="2982" w:type="dxa"/>
                  <w:shd w:val="clear" w:color="auto" w:fill="FFFFFF" w:themeFill="background1"/>
                  <w:vAlign w:val="center"/>
                </w:tcPr>
                <w:p w14:paraId="45765518" w14:textId="77777777" w:rsidR="00BB76C1" w:rsidRPr="00080443" w:rsidRDefault="00BB76C1" w:rsidP="00BB76C1">
                  <w:pPr>
                    <w:spacing w:before="80" w:after="12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3118" w:type="dxa"/>
                  <w:shd w:val="clear" w:color="auto" w:fill="FFFFFF" w:themeFill="background1"/>
                  <w:vAlign w:val="center"/>
                </w:tcPr>
                <w:p w14:paraId="67AB5C66" w14:textId="77777777" w:rsidR="00BB76C1" w:rsidRPr="00080443" w:rsidRDefault="00BB76C1" w:rsidP="00BB76C1">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080443">
                    <w:rPr>
                      <w:rFonts w:cs="Arial"/>
                      <w:sz w:val="20"/>
                    </w:rPr>
                    <w:t>14 generic lots of 2x5 MHz</w:t>
                  </w:r>
                </w:p>
              </w:tc>
            </w:tr>
            <w:tr w:rsidR="00BB76C1" w:rsidRPr="00080443" w14:paraId="21AA2B5B" w14:textId="77777777" w:rsidTr="00BB7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shd w:val="clear" w:color="auto" w:fill="FFFFFF" w:themeFill="background1"/>
                </w:tcPr>
                <w:p w14:paraId="2F2F8A40" w14:textId="77777777" w:rsidR="00BB76C1" w:rsidRPr="00080443" w:rsidRDefault="00BB76C1" w:rsidP="00BB76C1">
                  <w:pPr>
                    <w:spacing w:before="80" w:after="120"/>
                    <w:rPr>
                      <w:rFonts w:cs="Arial"/>
                      <w:b w:val="0"/>
                      <w:sz w:val="20"/>
                    </w:rPr>
                  </w:pPr>
                  <w:r w:rsidRPr="00080443">
                    <w:rPr>
                      <w:rFonts w:cs="Arial"/>
                      <w:b w:val="0"/>
                      <w:sz w:val="20"/>
                    </w:rPr>
                    <w:t>Metro Brisbane</w:t>
                  </w:r>
                </w:p>
              </w:tc>
              <w:tc>
                <w:tcPr>
                  <w:tcW w:w="2982" w:type="dxa"/>
                  <w:tcBorders>
                    <w:top w:val="none" w:sz="0" w:space="0" w:color="auto"/>
                    <w:bottom w:val="none" w:sz="0" w:space="0" w:color="auto"/>
                  </w:tcBorders>
                  <w:shd w:val="clear" w:color="auto" w:fill="FFFFFF" w:themeFill="background1"/>
                  <w:vAlign w:val="center"/>
                </w:tcPr>
                <w:p w14:paraId="4DD78D52" w14:textId="77777777" w:rsidR="00BB76C1" w:rsidRPr="00080443" w:rsidRDefault="00BB76C1" w:rsidP="00BB76C1">
                  <w:pPr>
                    <w:spacing w:before="80" w:after="120"/>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3118" w:type="dxa"/>
                  <w:tcBorders>
                    <w:top w:val="none" w:sz="0" w:space="0" w:color="auto"/>
                    <w:bottom w:val="none" w:sz="0" w:space="0" w:color="auto"/>
                    <w:right w:val="none" w:sz="0" w:space="0" w:color="auto"/>
                  </w:tcBorders>
                  <w:shd w:val="clear" w:color="auto" w:fill="FFFFFF" w:themeFill="background1"/>
                  <w:vAlign w:val="center"/>
                </w:tcPr>
                <w:p w14:paraId="615554FC" w14:textId="77777777" w:rsidR="00BB76C1" w:rsidRPr="00080443" w:rsidRDefault="00BB76C1" w:rsidP="00BB76C1">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080443">
                    <w:rPr>
                      <w:rFonts w:cs="Arial"/>
                      <w:sz w:val="20"/>
                    </w:rPr>
                    <w:t>14 generic lots of 2x5 MHz</w:t>
                  </w:r>
                </w:p>
              </w:tc>
            </w:tr>
            <w:tr w:rsidR="00BB76C1" w:rsidRPr="00080443" w14:paraId="2718499A" w14:textId="77777777" w:rsidTr="00BB76C1">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FFFFFF" w:themeFill="background1"/>
                </w:tcPr>
                <w:p w14:paraId="184DF370" w14:textId="77777777" w:rsidR="00BB76C1" w:rsidRPr="00080443" w:rsidRDefault="00BB76C1" w:rsidP="00BB76C1">
                  <w:pPr>
                    <w:spacing w:before="80" w:after="120"/>
                    <w:rPr>
                      <w:rFonts w:cs="Arial"/>
                      <w:b w:val="0"/>
                      <w:sz w:val="20"/>
                    </w:rPr>
                  </w:pPr>
                  <w:r w:rsidRPr="00080443">
                    <w:rPr>
                      <w:rFonts w:cs="Arial"/>
                      <w:b w:val="0"/>
                      <w:sz w:val="20"/>
                    </w:rPr>
                    <w:t>Metro Darwin</w:t>
                  </w:r>
                </w:p>
              </w:tc>
              <w:tc>
                <w:tcPr>
                  <w:tcW w:w="2982" w:type="dxa"/>
                  <w:tcBorders>
                    <w:bottom w:val="single" w:sz="4" w:space="0" w:color="auto"/>
                  </w:tcBorders>
                  <w:shd w:val="clear" w:color="auto" w:fill="FFFFFF" w:themeFill="background1"/>
                  <w:vAlign w:val="center"/>
                </w:tcPr>
                <w:p w14:paraId="0180DE11" w14:textId="77777777" w:rsidR="00BB76C1" w:rsidRPr="00080443" w:rsidRDefault="00BB76C1" w:rsidP="00BB76C1">
                  <w:pPr>
                    <w:spacing w:before="80" w:after="12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3118" w:type="dxa"/>
                  <w:tcBorders>
                    <w:bottom w:val="single" w:sz="4" w:space="0" w:color="auto"/>
                  </w:tcBorders>
                  <w:shd w:val="clear" w:color="auto" w:fill="FFFFFF" w:themeFill="background1"/>
                  <w:vAlign w:val="center"/>
                </w:tcPr>
                <w:p w14:paraId="47D3E580" w14:textId="77777777" w:rsidR="00BB76C1" w:rsidRPr="00080443" w:rsidRDefault="00BB76C1" w:rsidP="00BB76C1">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080443">
                    <w:rPr>
                      <w:rFonts w:cs="Arial"/>
                      <w:sz w:val="20"/>
                    </w:rPr>
                    <w:t>14 generic lots of 2x5 MHz</w:t>
                  </w:r>
                </w:p>
              </w:tc>
            </w:tr>
            <w:tr w:rsidR="00BB76C1" w:rsidRPr="00080443" w14:paraId="5F7F9DD2" w14:textId="77777777" w:rsidTr="00BB7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shd w:val="clear" w:color="auto" w:fill="FFFFFF" w:themeFill="background1"/>
                </w:tcPr>
                <w:p w14:paraId="69CC5FAD" w14:textId="77777777" w:rsidR="00BB76C1" w:rsidRPr="00080443" w:rsidRDefault="00BB76C1" w:rsidP="00BB76C1">
                  <w:pPr>
                    <w:spacing w:before="80" w:after="120"/>
                    <w:rPr>
                      <w:rFonts w:cs="Arial"/>
                      <w:b w:val="0"/>
                      <w:sz w:val="20"/>
                    </w:rPr>
                  </w:pPr>
                  <w:r w:rsidRPr="00080443">
                    <w:rPr>
                      <w:rFonts w:cs="Arial"/>
                      <w:b w:val="0"/>
                      <w:sz w:val="20"/>
                    </w:rPr>
                    <w:t>Metro Hobart</w:t>
                  </w:r>
                </w:p>
              </w:tc>
              <w:tc>
                <w:tcPr>
                  <w:tcW w:w="2982" w:type="dxa"/>
                  <w:tcBorders>
                    <w:top w:val="none" w:sz="0" w:space="0" w:color="auto"/>
                    <w:bottom w:val="none" w:sz="0" w:space="0" w:color="auto"/>
                  </w:tcBorders>
                  <w:shd w:val="clear" w:color="auto" w:fill="FFFFFF" w:themeFill="background1"/>
                  <w:vAlign w:val="center"/>
                </w:tcPr>
                <w:p w14:paraId="607F5BAB" w14:textId="77777777" w:rsidR="00BB76C1" w:rsidRPr="00080443" w:rsidRDefault="00BB76C1" w:rsidP="00BB76C1">
                  <w:pPr>
                    <w:spacing w:before="80" w:after="120"/>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3118" w:type="dxa"/>
                  <w:tcBorders>
                    <w:top w:val="none" w:sz="0" w:space="0" w:color="auto"/>
                    <w:bottom w:val="none" w:sz="0" w:space="0" w:color="auto"/>
                    <w:right w:val="none" w:sz="0" w:space="0" w:color="auto"/>
                  </w:tcBorders>
                  <w:shd w:val="clear" w:color="auto" w:fill="FFFFFF" w:themeFill="background1"/>
                  <w:vAlign w:val="center"/>
                </w:tcPr>
                <w:p w14:paraId="10EC9793" w14:textId="77777777" w:rsidR="00BB76C1" w:rsidRPr="00080443" w:rsidRDefault="00BB76C1" w:rsidP="00BB76C1">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080443">
                    <w:rPr>
                      <w:rFonts w:cs="Arial"/>
                      <w:sz w:val="20"/>
                    </w:rPr>
                    <w:t>14 generic lots of 2x5 MHz</w:t>
                  </w:r>
                </w:p>
              </w:tc>
            </w:tr>
            <w:tr w:rsidR="00BB76C1" w:rsidRPr="00080443" w14:paraId="70045F80" w14:textId="77777777" w:rsidTr="00BB76C1">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3DD65CB4" w14:textId="77777777" w:rsidR="00BB76C1" w:rsidRPr="00080443" w:rsidRDefault="00BB76C1" w:rsidP="00BB76C1">
                  <w:pPr>
                    <w:spacing w:before="80" w:after="120"/>
                    <w:rPr>
                      <w:rFonts w:cs="Arial"/>
                      <w:b w:val="0"/>
                      <w:sz w:val="20"/>
                    </w:rPr>
                  </w:pPr>
                  <w:r w:rsidRPr="00080443">
                    <w:rPr>
                      <w:rFonts w:cs="Arial"/>
                      <w:b w:val="0"/>
                      <w:sz w:val="20"/>
                    </w:rPr>
                    <w:t>Metro Melbourne</w:t>
                  </w:r>
                </w:p>
              </w:tc>
              <w:tc>
                <w:tcPr>
                  <w:tcW w:w="2982" w:type="dxa"/>
                  <w:shd w:val="clear" w:color="auto" w:fill="FFFFFF" w:themeFill="background1"/>
                  <w:vAlign w:val="center"/>
                </w:tcPr>
                <w:p w14:paraId="63AF2FF1" w14:textId="77777777" w:rsidR="00BB76C1" w:rsidRPr="00080443" w:rsidRDefault="00BB76C1" w:rsidP="00BB76C1">
                  <w:pPr>
                    <w:spacing w:before="80" w:after="12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3118" w:type="dxa"/>
                  <w:shd w:val="clear" w:color="auto" w:fill="FFFFFF" w:themeFill="background1"/>
                  <w:vAlign w:val="center"/>
                </w:tcPr>
                <w:p w14:paraId="52CF267D" w14:textId="77777777" w:rsidR="00BB76C1" w:rsidRPr="00080443" w:rsidRDefault="00BB76C1" w:rsidP="00BB76C1">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080443">
                    <w:rPr>
                      <w:rFonts w:cs="Arial"/>
                      <w:sz w:val="20"/>
                    </w:rPr>
                    <w:t>14 generic lots of 2x5 MHz</w:t>
                  </w:r>
                </w:p>
              </w:tc>
            </w:tr>
            <w:tr w:rsidR="00BB76C1" w:rsidRPr="00080443" w14:paraId="1470E55F" w14:textId="77777777" w:rsidTr="00BB7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shd w:val="clear" w:color="auto" w:fill="FFFFFF" w:themeFill="background1"/>
                </w:tcPr>
                <w:p w14:paraId="72D0A663" w14:textId="77777777" w:rsidR="00BB76C1" w:rsidRPr="00080443" w:rsidRDefault="00BB76C1" w:rsidP="00BB76C1">
                  <w:pPr>
                    <w:spacing w:before="80" w:after="120"/>
                    <w:rPr>
                      <w:rFonts w:cs="Arial"/>
                      <w:b w:val="0"/>
                      <w:sz w:val="20"/>
                    </w:rPr>
                  </w:pPr>
                  <w:r w:rsidRPr="00080443">
                    <w:rPr>
                      <w:rFonts w:cs="Arial"/>
                      <w:b w:val="0"/>
                      <w:sz w:val="20"/>
                    </w:rPr>
                    <w:t>Metro Perth</w:t>
                  </w:r>
                </w:p>
              </w:tc>
              <w:tc>
                <w:tcPr>
                  <w:tcW w:w="2982" w:type="dxa"/>
                  <w:tcBorders>
                    <w:top w:val="none" w:sz="0" w:space="0" w:color="auto"/>
                    <w:bottom w:val="none" w:sz="0" w:space="0" w:color="auto"/>
                  </w:tcBorders>
                  <w:shd w:val="clear" w:color="auto" w:fill="FFFFFF" w:themeFill="background1"/>
                  <w:vAlign w:val="center"/>
                </w:tcPr>
                <w:p w14:paraId="498C0B97" w14:textId="77777777" w:rsidR="00BB76C1" w:rsidRPr="00080443" w:rsidRDefault="00BB76C1" w:rsidP="00BB76C1">
                  <w:pPr>
                    <w:spacing w:before="80" w:after="120"/>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3118" w:type="dxa"/>
                  <w:tcBorders>
                    <w:top w:val="none" w:sz="0" w:space="0" w:color="auto"/>
                    <w:bottom w:val="none" w:sz="0" w:space="0" w:color="auto"/>
                    <w:right w:val="none" w:sz="0" w:space="0" w:color="auto"/>
                  </w:tcBorders>
                  <w:shd w:val="clear" w:color="auto" w:fill="FFFFFF" w:themeFill="background1"/>
                  <w:vAlign w:val="center"/>
                </w:tcPr>
                <w:p w14:paraId="1CA581CA" w14:textId="77777777" w:rsidR="00BB76C1" w:rsidRPr="00080443" w:rsidRDefault="00BB76C1" w:rsidP="00BB76C1">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080443">
                    <w:rPr>
                      <w:rFonts w:cs="Arial"/>
                      <w:sz w:val="20"/>
                    </w:rPr>
                    <w:t>14 generic lots of 2x5 MHz</w:t>
                  </w:r>
                </w:p>
              </w:tc>
            </w:tr>
            <w:tr w:rsidR="00BB76C1" w:rsidRPr="00080443" w14:paraId="5C0C90B0" w14:textId="77777777" w:rsidTr="00BB76C1">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4A1C2FD3" w14:textId="77777777" w:rsidR="00BB76C1" w:rsidRPr="00080443" w:rsidRDefault="00BB76C1" w:rsidP="00BB76C1">
                  <w:pPr>
                    <w:spacing w:before="80" w:after="120"/>
                    <w:rPr>
                      <w:rFonts w:cs="Arial"/>
                      <w:b w:val="0"/>
                      <w:sz w:val="20"/>
                    </w:rPr>
                  </w:pPr>
                  <w:r w:rsidRPr="00080443">
                    <w:rPr>
                      <w:rFonts w:cs="Arial"/>
                      <w:b w:val="0"/>
                      <w:sz w:val="20"/>
                    </w:rPr>
                    <w:t>Metro Sydney</w:t>
                  </w:r>
                </w:p>
              </w:tc>
              <w:tc>
                <w:tcPr>
                  <w:tcW w:w="2982" w:type="dxa"/>
                  <w:shd w:val="clear" w:color="auto" w:fill="FFFFFF" w:themeFill="background1"/>
                  <w:vAlign w:val="center"/>
                </w:tcPr>
                <w:p w14:paraId="366381FA" w14:textId="77777777" w:rsidR="00BB76C1" w:rsidRPr="00080443" w:rsidRDefault="00BB76C1" w:rsidP="00BB76C1">
                  <w:pPr>
                    <w:spacing w:before="80" w:after="12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3118" w:type="dxa"/>
                  <w:shd w:val="clear" w:color="auto" w:fill="FFFFFF" w:themeFill="background1"/>
                  <w:vAlign w:val="center"/>
                </w:tcPr>
                <w:p w14:paraId="227E22DF" w14:textId="77777777" w:rsidR="00BB76C1" w:rsidRPr="00080443" w:rsidRDefault="00BB76C1" w:rsidP="00BB76C1">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080443">
                    <w:rPr>
                      <w:rFonts w:cs="Arial"/>
                      <w:sz w:val="20"/>
                    </w:rPr>
                    <w:t>14 generic lots of 2x5 MHz</w:t>
                  </w:r>
                </w:p>
              </w:tc>
            </w:tr>
            <w:tr w:rsidR="00BB76C1" w:rsidRPr="00080443" w14:paraId="2E0CB3F0" w14:textId="77777777" w:rsidTr="00BB7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shd w:val="clear" w:color="auto" w:fill="FFFFFF" w:themeFill="background1"/>
                </w:tcPr>
                <w:p w14:paraId="69179B4F" w14:textId="77777777" w:rsidR="00BB76C1" w:rsidRPr="00080443" w:rsidRDefault="00BB76C1" w:rsidP="002D6D78">
                  <w:pPr>
                    <w:spacing w:before="80" w:after="120"/>
                    <w:rPr>
                      <w:rFonts w:cs="Arial"/>
                      <w:b w:val="0"/>
                      <w:sz w:val="20"/>
                    </w:rPr>
                  </w:pPr>
                  <w:r w:rsidRPr="00080443">
                    <w:rPr>
                      <w:rFonts w:cs="Arial"/>
                      <w:b w:val="0"/>
                      <w:sz w:val="20"/>
                    </w:rPr>
                    <w:t xml:space="preserve">Regional </w:t>
                  </w:r>
                  <w:r w:rsidRPr="00080443">
                    <w:rPr>
                      <w:rFonts w:cs="Arial"/>
                      <w:b w:val="0"/>
                      <w:sz w:val="20"/>
                      <w:szCs w:val="20"/>
                    </w:rPr>
                    <w:t>East</w:t>
                  </w:r>
                  <w:r w:rsidRPr="00080443">
                    <w:rPr>
                      <w:rFonts w:cs="Arial"/>
                      <w:b w:val="0"/>
                      <w:sz w:val="20"/>
                    </w:rPr>
                    <w:t xml:space="preserve"> Australia</w:t>
                  </w:r>
                </w:p>
              </w:tc>
              <w:tc>
                <w:tcPr>
                  <w:tcW w:w="2982" w:type="dxa"/>
                  <w:tcBorders>
                    <w:top w:val="none" w:sz="0" w:space="0" w:color="auto"/>
                    <w:bottom w:val="none" w:sz="0" w:space="0" w:color="auto"/>
                  </w:tcBorders>
                  <w:shd w:val="clear" w:color="auto" w:fill="FFFFFF" w:themeFill="background1"/>
                  <w:vAlign w:val="center"/>
                </w:tcPr>
                <w:p w14:paraId="49AE0AB4" w14:textId="77777777" w:rsidR="00BB76C1" w:rsidRPr="00080443" w:rsidRDefault="00BB76C1" w:rsidP="00BB76C1">
                  <w:pPr>
                    <w:spacing w:before="80" w:after="120"/>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3118" w:type="dxa"/>
                  <w:tcBorders>
                    <w:top w:val="none" w:sz="0" w:space="0" w:color="auto"/>
                    <w:bottom w:val="none" w:sz="0" w:space="0" w:color="auto"/>
                    <w:right w:val="none" w:sz="0" w:space="0" w:color="auto"/>
                  </w:tcBorders>
                  <w:shd w:val="clear" w:color="auto" w:fill="FFFFFF" w:themeFill="background1"/>
                  <w:vAlign w:val="center"/>
                </w:tcPr>
                <w:p w14:paraId="34DD6F89" w14:textId="77777777" w:rsidR="00BB76C1" w:rsidRPr="00080443" w:rsidRDefault="00BB76C1" w:rsidP="00BB76C1">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080443">
                    <w:rPr>
                      <w:rFonts w:cs="Arial"/>
                      <w:sz w:val="20"/>
                    </w:rPr>
                    <w:t>14 generic lots of 2x5 MHz</w:t>
                  </w:r>
                </w:p>
              </w:tc>
            </w:tr>
            <w:tr w:rsidR="00BB76C1" w:rsidRPr="00080443" w14:paraId="1B36F3BD" w14:textId="77777777" w:rsidTr="00BB76C1">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385FB782" w14:textId="77777777" w:rsidR="00BB76C1" w:rsidRPr="00080443" w:rsidRDefault="00BB76C1" w:rsidP="00BB76C1">
                  <w:pPr>
                    <w:spacing w:before="80" w:after="120"/>
                    <w:rPr>
                      <w:rFonts w:cs="Arial"/>
                      <w:b w:val="0"/>
                      <w:sz w:val="20"/>
                    </w:rPr>
                  </w:pPr>
                  <w:r w:rsidRPr="00080443">
                    <w:rPr>
                      <w:rFonts w:cs="Arial"/>
                      <w:b w:val="0"/>
                      <w:sz w:val="20"/>
                    </w:rPr>
                    <w:t>Regional Western Australia</w:t>
                  </w:r>
                </w:p>
              </w:tc>
              <w:tc>
                <w:tcPr>
                  <w:tcW w:w="2982" w:type="dxa"/>
                  <w:shd w:val="clear" w:color="auto" w:fill="FFFFFF" w:themeFill="background1"/>
                  <w:vAlign w:val="center"/>
                </w:tcPr>
                <w:p w14:paraId="4B0FCE58" w14:textId="77777777" w:rsidR="00BB76C1" w:rsidRPr="00080443" w:rsidRDefault="00BB76C1" w:rsidP="00BB76C1">
                  <w:pPr>
                    <w:spacing w:before="80" w:after="12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3118" w:type="dxa"/>
                  <w:shd w:val="clear" w:color="auto" w:fill="FFFFFF" w:themeFill="background1"/>
                  <w:vAlign w:val="center"/>
                </w:tcPr>
                <w:p w14:paraId="386BD0D3" w14:textId="77777777" w:rsidR="00BB76C1" w:rsidRPr="00080443" w:rsidRDefault="00BB76C1" w:rsidP="00BB76C1">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080443">
                    <w:rPr>
                      <w:rFonts w:cs="Arial"/>
                      <w:sz w:val="20"/>
                    </w:rPr>
                    <w:t>14 generic lots of 2x5 MHz</w:t>
                  </w:r>
                </w:p>
              </w:tc>
            </w:tr>
            <w:tr w:rsidR="00BB76C1" w:rsidRPr="00080443" w14:paraId="6F63E65A" w14:textId="77777777" w:rsidTr="00BB7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shd w:val="clear" w:color="auto" w:fill="FFFFFF" w:themeFill="background1"/>
                </w:tcPr>
                <w:p w14:paraId="26315F45" w14:textId="77777777" w:rsidR="00BB76C1" w:rsidRPr="00080443" w:rsidRDefault="00BB76C1" w:rsidP="00BB76C1">
                  <w:pPr>
                    <w:spacing w:before="80" w:after="120"/>
                    <w:rPr>
                      <w:rFonts w:cs="Arial"/>
                      <w:sz w:val="20"/>
                    </w:rPr>
                  </w:pPr>
                  <w:r w:rsidRPr="00080443">
                    <w:rPr>
                      <w:rFonts w:cs="Arial"/>
                      <w:b w:val="0"/>
                      <w:sz w:val="20"/>
                    </w:rPr>
                    <w:t>Remote Australia</w:t>
                  </w:r>
                </w:p>
              </w:tc>
              <w:tc>
                <w:tcPr>
                  <w:tcW w:w="2982" w:type="dxa"/>
                  <w:tcBorders>
                    <w:top w:val="none" w:sz="0" w:space="0" w:color="auto"/>
                    <w:bottom w:val="none" w:sz="0" w:space="0" w:color="auto"/>
                  </w:tcBorders>
                  <w:shd w:val="clear" w:color="auto" w:fill="FFFFFF" w:themeFill="background1"/>
                  <w:vAlign w:val="center"/>
                </w:tcPr>
                <w:p w14:paraId="4F20AA17" w14:textId="77777777" w:rsidR="00BB76C1" w:rsidRPr="00080443" w:rsidRDefault="00BB76C1" w:rsidP="00BB76C1">
                  <w:pPr>
                    <w:spacing w:before="80" w:after="120"/>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3118" w:type="dxa"/>
                  <w:tcBorders>
                    <w:top w:val="none" w:sz="0" w:space="0" w:color="auto"/>
                    <w:bottom w:val="none" w:sz="0" w:space="0" w:color="auto"/>
                    <w:right w:val="none" w:sz="0" w:space="0" w:color="auto"/>
                  </w:tcBorders>
                  <w:shd w:val="clear" w:color="auto" w:fill="FFFFFF" w:themeFill="background1"/>
                  <w:vAlign w:val="center"/>
                </w:tcPr>
                <w:p w14:paraId="332A0DE5" w14:textId="77777777" w:rsidR="00BB76C1" w:rsidRPr="00080443" w:rsidRDefault="00BB76C1" w:rsidP="00BB76C1">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080443">
                    <w:rPr>
                      <w:rFonts w:cs="Arial"/>
                      <w:sz w:val="20"/>
                    </w:rPr>
                    <w:t>14 generic lots of 2x5 MHz</w:t>
                  </w:r>
                </w:p>
              </w:tc>
            </w:tr>
          </w:tbl>
          <w:p w14:paraId="6688F491" w14:textId="77777777" w:rsidR="00BB76C1" w:rsidRPr="00080443" w:rsidRDefault="00BB76C1" w:rsidP="00BB76C1">
            <w:pPr>
              <w:rPr>
                <w:rFonts w:cs="Arial"/>
              </w:rPr>
            </w:pPr>
          </w:p>
        </w:tc>
      </w:tr>
      <w:tr w:rsidR="00BB76C1" w:rsidRPr="00080443" w14:paraId="42612F8F" w14:textId="77777777" w:rsidTr="00BB76C1">
        <w:trPr>
          <w:trHeight w:val="291"/>
        </w:trPr>
        <w:tc>
          <w:tcPr>
            <w:tcW w:w="9645" w:type="dxa"/>
            <w:tcBorders>
              <w:bottom w:val="single" w:sz="2" w:space="0" w:color="505050"/>
            </w:tcBorders>
            <w:shd w:val="clear" w:color="auto" w:fill="auto"/>
          </w:tcPr>
          <w:p w14:paraId="461F85EA" w14:textId="77777777" w:rsidR="00BB76C1" w:rsidRPr="00080443" w:rsidRDefault="00BB76C1" w:rsidP="00BB76C1">
            <w:pPr>
              <w:rPr>
                <w:rFonts w:cs="Arial"/>
              </w:rPr>
            </w:pPr>
          </w:p>
        </w:tc>
      </w:tr>
    </w:tbl>
    <w:p w14:paraId="256A5AB7" w14:textId="77777777" w:rsidR="00BB76C1" w:rsidRPr="00080443" w:rsidRDefault="00BB76C1" w:rsidP="00BB76C1">
      <w:pPr>
        <w:rPr>
          <w:rFonts w:cs="Arial"/>
        </w:rPr>
      </w:pPr>
    </w:p>
    <w:p w14:paraId="7C26E92E" w14:textId="77777777" w:rsidR="008A60B8" w:rsidRPr="00080443" w:rsidRDefault="008A60B8" w:rsidP="00234088">
      <w:pPr>
        <w:pStyle w:val="Heading2"/>
        <w:numPr>
          <w:ilvl w:val="1"/>
          <w:numId w:val="13"/>
        </w:numPr>
        <w:ind w:hanging="792"/>
      </w:pPr>
      <w:bookmarkStart w:id="53" w:name="_Toc335246245"/>
      <w:bookmarkStart w:id="54" w:name="_Toc343780454"/>
      <w:r w:rsidRPr="00080443">
        <w:t>Key issues affecting the use of the spectrum</w:t>
      </w:r>
      <w:bookmarkEnd w:id="53"/>
      <w:bookmarkEnd w:id="54"/>
    </w:p>
    <w:p w14:paraId="7BCC8D95" w14:textId="77777777" w:rsidR="008A60B8" w:rsidRPr="00080443" w:rsidRDefault="008A60B8" w:rsidP="00234088">
      <w:pPr>
        <w:pStyle w:val="Heading3"/>
        <w:numPr>
          <w:ilvl w:val="2"/>
          <w:numId w:val="13"/>
        </w:numPr>
      </w:pPr>
      <w:bookmarkStart w:id="55" w:name="_Toc335246246"/>
      <w:bookmarkStart w:id="56" w:name="_Toc343780455"/>
      <w:r w:rsidRPr="00080443">
        <w:t>Spectrum to be allocated as spectrum licences</w:t>
      </w:r>
      <w:bookmarkEnd w:id="55"/>
      <w:bookmarkEnd w:id="56"/>
    </w:p>
    <w:p w14:paraId="71608157" w14:textId="77777777" w:rsidR="008A60B8" w:rsidRPr="00080443" w:rsidRDefault="008A60B8" w:rsidP="00BB76C1">
      <w:pPr>
        <w:rPr>
          <w:rFonts w:cs="Arial"/>
        </w:rPr>
      </w:pPr>
      <w:r w:rsidRPr="00080443">
        <w:rPr>
          <w:rFonts w:cs="Arial"/>
        </w:rPr>
        <w:t>Spectrum lots won at auction will be allocated to winning bidders as spectrum licences issued under section 62 of the Act.</w:t>
      </w:r>
    </w:p>
    <w:p w14:paraId="1E4EDC52" w14:textId="77777777" w:rsidR="00BB76C1" w:rsidRPr="00080443" w:rsidRDefault="00BB76C1" w:rsidP="00BB76C1">
      <w:pPr>
        <w:rPr>
          <w:rFonts w:cs="Arial"/>
        </w:rPr>
      </w:pPr>
    </w:p>
    <w:p w14:paraId="5266F70D" w14:textId="77777777" w:rsidR="008A60B8" w:rsidRPr="00080443" w:rsidRDefault="008A60B8" w:rsidP="00BB76C1">
      <w:pPr>
        <w:spacing w:after="80"/>
        <w:rPr>
          <w:rFonts w:cs="Arial"/>
        </w:rPr>
      </w:pPr>
      <w:r w:rsidRPr="00080443">
        <w:rPr>
          <w:rFonts w:cs="Arial"/>
        </w:rPr>
        <w:t xml:space="preserve">Spectrum licences authorise a </w:t>
      </w:r>
      <w:proofErr w:type="spellStart"/>
      <w:r w:rsidRPr="00080443">
        <w:rPr>
          <w:rFonts w:cs="Arial"/>
        </w:rPr>
        <w:t>licensee</w:t>
      </w:r>
      <w:proofErr w:type="spellEnd"/>
      <w:r w:rsidRPr="00080443">
        <w:rPr>
          <w:rFonts w:cs="Arial"/>
        </w:rPr>
        <w:t xml:space="preserve"> to operate radiocommunications devices for a fixed period, within a parcel of spectrum space</w:t>
      </w:r>
      <w:r w:rsidR="00A27F25" w:rsidRPr="00080443">
        <w:rPr>
          <w:rFonts w:cs="Arial"/>
        </w:rPr>
        <w:t>—</w:t>
      </w:r>
      <w:r w:rsidRPr="00080443">
        <w:rPr>
          <w:rFonts w:cs="Arial"/>
        </w:rPr>
        <w:t xml:space="preserve">that is, within a particular frequency </w:t>
      </w:r>
      <w:r w:rsidR="005324AC" w:rsidRPr="00080443">
        <w:rPr>
          <w:rFonts w:cs="Arial"/>
        </w:rPr>
        <w:t>range</w:t>
      </w:r>
      <w:r w:rsidRPr="00080443">
        <w:rPr>
          <w:rFonts w:cs="Arial"/>
        </w:rPr>
        <w:t>, within a particular geographic area. Spectrum licensing offers a technology-flexible, market-oriented approach to managing the radiofrequency spectrum in that licensees may:</w:t>
      </w:r>
    </w:p>
    <w:p w14:paraId="53208F94" w14:textId="77777777" w:rsidR="008A60B8" w:rsidRPr="00080443" w:rsidRDefault="008A60B8" w:rsidP="00BB76C1">
      <w:pPr>
        <w:pStyle w:val="ListBullet"/>
        <w:rPr>
          <w:rFonts w:cs="Arial"/>
        </w:rPr>
      </w:pPr>
      <w:r w:rsidRPr="00080443">
        <w:rPr>
          <w:rFonts w:cs="Arial"/>
        </w:rPr>
        <w:t>subdivide and trade their spectrum space</w:t>
      </w:r>
    </w:p>
    <w:p w14:paraId="23310326" w14:textId="77777777" w:rsidR="008A60B8" w:rsidRPr="00080443" w:rsidRDefault="008A60B8" w:rsidP="00BB76C1">
      <w:pPr>
        <w:pStyle w:val="ListBullet"/>
        <w:spacing w:after="240"/>
        <w:rPr>
          <w:rFonts w:cs="Arial"/>
        </w:rPr>
      </w:pPr>
      <w:r w:rsidRPr="00080443">
        <w:rPr>
          <w:rFonts w:cs="Arial"/>
        </w:rPr>
        <w:t xml:space="preserve">change their services over time in response to the changing market environment and new technologies. </w:t>
      </w:r>
    </w:p>
    <w:p w14:paraId="2A528F3D" w14:textId="77777777" w:rsidR="005E17CA" w:rsidRPr="00080443" w:rsidRDefault="00F94BCB" w:rsidP="005E17CA">
      <w:pPr>
        <w:spacing w:after="80"/>
        <w:rPr>
          <w:rFonts w:cs="Arial"/>
        </w:rPr>
      </w:pPr>
      <w:r w:rsidRPr="00080443">
        <w:rPr>
          <w:rFonts w:cs="Arial"/>
        </w:rPr>
        <w:t>Spectrum l</w:t>
      </w:r>
      <w:r w:rsidR="008A60B8" w:rsidRPr="00080443">
        <w:rPr>
          <w:rFonts w:cs="Arial"/>
        </w:rPr>
        <w:t>icensees must comply with</w:t>
      </w:r>
      <w:r w:rsidR="00F82129" w:rsidRPr="00080443">
        <w:rPr>
          <w:rFonts w:cs="Arial"/>
        </w:rPr>
        <w:t xml:space="preserve">: </w:t>
      </w:r>
    </w:p>
    <w:p w14:paraId="3C4DE71C" w14:textId="77777777" w:rsidR="00040AC4" w:rsidRPr="00080443" w:rsidRDefault="00F82129">
      <w:pPr>
        <w:pStyle w:val="ListBullet"/>
        <w:rPr>
          <w:rFonts w:cs="Arial"/>
        </w:rPr>
      </w:pPr>
      <w:r w:rsidRPr="00080443">
        <w:rPr>
          <w:rFonts w:cs="Arial"/>
        </w:rPr>
        <w:t>the Act</w:t>
      </w:r>
    </w:p>
    <w:p w14:paraId="13A7EFBF" w14:textId="77777777" w:rsidR="00040AC4" w:rsidRPr="00080443" w:rsidRDefault="008A60B8">
      <w:pPr>
        <w:pStyle w:val="ListBullet"/>
        <w:rPr>
          <w:rFonts w:cs="Arial"/>
        </w:rPr>
      </w:pPr>
      <w:r w:rsidRPr="00080443">
        <w:rPr>
          <w:rFonts w:cs="Arial"/>
        </w:rPr>
        <w:t>a set of core licence conditions</w:t>
      </w:r>
    </w:p>
    <w:p w14:paraId="2CA52C4F" w14:textId="77777777" w:rsidR="00040AC4" w:rsidRPr="00080443" w:rsidRDefault="008A60B8">
      <w:pPr>
        <w:pStyle w:val="ListBullet"/>
        <w:rPr>
          <w:rFonts w:cs="Arial"/>
        </w:rPr>
      </w:pPr>
      <w:r w:rsidRPr="00080443">
        <w:rPr>
          <w:rFonts w:cs="Arial"/>
        </w:rPr>
        <w:t>statutory licence conditions</w:t>
      </w:r>
    </w:p>
    <w:p w14:paraId="57A195D5" w14:textId="77777777" w:rsidR="00040AC4" w:rsidRPr="00080443" w:rsidRDefault="00F82129">
      <w:pPr>
        <w:pStyle w:val="ListBullet"/>
        <w:rPr>
          <w:rFonts w:cs="Arial"/>
        </w:rPr>
      </w:pPr>
      <w:r w:rsidRPr="00080443">
        <w:rPr>
          <w:rFonts w:cs="Arial"/>
        </w:rPr>
        <w:t>other licence conditions</w:t>
      </w:r>
    </w:p>
    <w:p w14:paraId="6CFE02FD" w14:textId="77777777" w:rsidR="008A60B8" w:rsidRPr="00080443" w:rsidRDefault="008A60B8" w:rsidP="005E17CA">
      <w:pPr>
        <w:pStyle w:val="ListBullet"/>
        <w:spacing w:after="240"/>
        <w:rPr>
          <w:rFonts w:cs="Arial"/>
        </w:rPr>
      </w:pPr>
      <w:r w:rsidRPr="00080443">
        <w:rPr>
          <w:rFonts w:cs="Arial"/>
        </w:rPr>
        <w:t xml:space="preserve">a technical framework established for the relevant band by the ACMA in consultation with industry. </w:t>
      </w:r>
    </w:p>
    <w:p w14:paraId="67C5925A" w14:textId="77777777" w:rsidR="008A60B8" w:rsidRPr="00080443" w:rsidRDefault="008A60B8" w:rsidP="00BB76C1">
      <w:pPr>
        <w:rPr>
          <w:rFonts w:cs="Arial"/>
        </w:rPr>
      </w:pPr>
      <w:r w:rsidRPr="00080443">
        <w:rPr>
          <w:rFonts w:cs="Arial"/>
        </w:rPr>
        <w:lastRenderedPageBreak/>
        <w:t>Detailed information about the spectrum licensing and technical frameworks applicable to the spectrum licences to be allocated in the 700 MHz and 2.5 GHz bands, and other important matters for spectrum licensees</w:t>
      </w:r>
      <w:r w:rsidR="00565980" w:rsidRPr="00080443">
        <w:rPr>
          <w:rFonts w:cs="Arial"/>
        </w:rPr>
        <w:t xml:space="preserve"> to be aware of</w:t>
      </w:r>
      <w:r w:rsidRPr="00080443">
        <w:rPr>
          <w:rFonts w:cs="Arial"/>
        </w:rPr>
        <w:t xml:space="preserve">, is provided in </w:t>
      </w:r>
      <w:r w:rsidR="00A27F25" w:rsidRPr="00080443">
        <w:rPr>
          <w:rFonts w:cs="Arial"/>
        </w:rPr>
        <w:t>C</w:t>
      </w:r>
      <w:r w:rsidRPr="00080443">
        <w:rPr>
          <w:rFonts w:cs="Arial"/>
        </w:rPr>
        <w:t>hapter 5. Information specific to the spectrum licences to be issued for the lots on offer in the auction is available in Part 3 of the 700 MHz band marketing plan (</w:t>
      </w:r>
      <w:r w:rsidR="00837369" w:rsidRPr="00080443">
        <w:rPr>
          <w:rFonts w:cs="Arial"/>
        </w:rPr>
        <w:t xml:space="preserve">Attachment </w:t>
      </w:r>
      <w:r w:rsidR="005D4EE4" w:rsidRPr="00080443">
        <w:rPr>
          <w:rFonts w:cs="Arial"/>
        </w:rPr>
        <w:t>B</w:t>
      </w:r>
      <w:r w:rsidRPr="00080443">
        <w:rPr>
          <w:rFonts w:cs="Arial"/>
        </w:rPr>
        <w:t>) and the 2.5 GHz band marketing plan (</w:t>
      </w:r>
      <w:r w:rsidR="00837369" w:rsidRPr="00080443">
        <w:rPr>
          <w:rFonts w:cs="Arial"/>
        </w:rPr>
        <w:t xml:space="preserve">Attachment </w:t>
      </w:r>
      <w:r w:rsidR="005D4EE4" w:rsidRPr="00080443">
        <w:rPr>
          <w:rFonts w:cs="Arial"/>
        </w:rPr>
        <w:t>F</w:t>
      </w:r>
      <w:r w:rsidRPr="00080443">
        <w:rPr>
          <w:rFonts w:cs="Arial"/>
        </w:rPr>
        <w:t xml:space="preserve">). This includes, at Schedule 6 to the marketing plan for each band, a sample licence containing the conditions that may be included in a spectrum licence to be allocated in each band. </w:t>
      </w:r>
    </w:p>
    <w:p w14:paraId="218C7D02" w14:textId="77777777" w:rsidR="00BB76C1" w:rsidRPr="00080443" w:rsidRDefault="00BB76C1" w:rsidP="00BB76C1">
      <w:pPr>
        <w:rPr>
          <w:rFonts w:cs="Arial"/>
        </w:rPr>
      </w:pPr>
    </w:p>
    <w:p w14:paraId="25A4884D" w14:textId="77777777" w:rsidR="00572848" w:rsidRPr="00080443" w:rsidRDefault="008A60B8" w:rsidP="00BB76C1">
      <w:pPr>
        <w:rPr>
          <w:rFonts w:cs="Arial"/>
        </w:rPr>
      </w:pPr>
      <w:r w:rsidRPr="00080443">
        <w:rPr>
          <w:rFonts w:cs="Arial"/>
        </w:rPr>
        <w:t xml:space="preserve">Drawing from the marketing plans, the matters discussed in </w:t>
      </w:r>
      <w:r w:rsidR="00A27F25" w:rsidRPr="00080443">
        <w:rPr>
          <w:rFonts w:cs="Arial"/>
        </w:rPr>
        <w:t>C</w:t>
      </w:r>
      <w:r w:rsidRPr="00080443">
        <w:rPr>
          <w:rFonts w:cs="Arial"/>
        </w:rPr>
        <w:t>hapter 5 and other sources, headings 2.3.2 to 2.3.</w:t>
      </w:r>
      <w:r w:rsidR="00F94BCB" w:rsidRPr="00080443">
        <w:rPr>
          <w:rFonts w:cs="Arial"/>
        </w:rPr>
        <w:t>6</w:t>
      </w:r>
      <w:r w:rsidRPr="00080443">
        <w:rPr>
          <w:rFonts w:cs="Arial"/>
        </w:rPr>
        <w:t xml:space="preserve"> highlight a number of key issues affecting use of spectrum on offer that may be of particular interest to prospective auction participants.</w:t>
      </w:r>
    </w:p>
    <w:p w14:paraId="340DABE5" w14:textId="77777777" w:rsidR="00572848" w:rsidRPr="00080443" w:rsidRDefault="00572848" w:rsidP="00BB76C1">
      <w:pPr>
        <w:rPr>
          <w:rFonts w:cs="Arial"/>
        </w:rPr>
      </w:pPr>
    </w:p>
    <w:p w14:paraId="0B883355" w14:textId="77777777" w:rsidR="00505634" w:rsidRPr="00080443" w:rsidRDefault="00505634" w:rsidP="00BB76C1">
      <w:pPr>
        <w:rPr>
          <w:rFonts w:cs="Arial"/>
        </w:rPr>
      </w:pPr>
      <w:r w:rsidRPr="00080443">
        <w:rPr>
          <w:rFonts w:cs="Arial"/>
        </w:rPr>
        <w:t>A number of the</w:t>
      </w:r>
      <w:r w:rsidR="00572848" w:rsidRPr="00080443">
        <w:rPr>
          <w:rFonts w:cs="Arial"/>
        </w:rPr>
        <w:t xml:space="preserve"> issues addressed below </w:t>
      </w:r>
      <w:r w:rsidRPr="00080443">
        <w:rPr>
          <w:rFonts w:cs="Arial"/>
        </w:rPr>
        <w:t>may be affected by the progress of the restack</w:t>
      </w:r>
      <w:r w:rsidR="00821315" w:rsidRPr="00080443">
        <w:rPr>
          <w:rFonts w:cs="Arial"/>
        </w:rPr>
        <w:t xml:space="preserve"> process</w:t>
      </w:r>
      <w:r w:rsidR="00565980" w:rsidRPr="00080443">
        <w:rPr>
          <w:rFonts w:cs="Arial"/>
        </w:rPr>
        <w:t xml:space="preserve"> discussed at 1.2.</w:t>
      </w:r>
      <w:r w:rsidR="00015EF9" w:rsidRPr="00080443">
        <w:rPr>
          <w:rFonts w:cs="Arial"/>
        </w:rPr>
        <w:t>5 and 1.2.6</w:t>
      </w:r>
      <w:r w:rsidR="00572848" w:rsidRPr="00080443">
        <w:rPr>
          <w:rFonts w:cs="Arial"/>
        </w:rPr>
        <w:t xml:space="preserve">. </w:t>
      </w:r>
      <w:r w:rsidR="00AF53F1" w:rsidRPr="00080443">
        <w:rPr>
          <w:rFonts w:cs="Arial"/>
        </w:rPr>
        <w:t>Relevant i</w:t>
      </w:r>
      <w:r w:rsidRPr="00080443">
        <w:rPr>
          <w:rFonts w:cs="Arial"/>
        </w:rPr>
        <w:t xml:space="preserve">nformation is available on the </w:t>
      </w:r>
      <w:r w:rsidR="00B52CDD" w:rsidRPr="00080443">
        <w:rPr>
          <w:rFonts w:cs="Arial"/>
        </w:rPr>
        <w:t>ACMA website</w:t>
      </w:r>
      <w:r w:rsidR="00AF53F1" w:rsidRPr="00080443">
        <w:rPr>
          <w:rFonts w:cs="Arial"/>
        </w:rPr>
        <w:t xml:space="preserve"> and </w:t>
      </w:r>
      <w:r w:rsidR="00572848" w:rsidRPr="00080443">
        <w:rPr>
          <w:rFonts w:cs="Arial"/>
        </w:rPr>
        <w:t xml:space="preserve">will be updated </w:t>
      </w:r>
      <w:r w:rsidRPr="00080443">
        <w:rPr>
          <w:rFonts w:cs="Arial"/>
        </w:rPr>
        <w:t>from time to time.</w:t>
      </w:r>
      <w:r w:rsidR="00572848" w:rsidRPr="00080443">
        <w:rPr>
          <w:rFonts w:cs="Arial"/>
        </w:rPr>
        <w:t xml:space="preserve"> Information about the restack process </w:t>
      </w:r>
      <w:r w:rsidR="00F22FBD" w:rsidRPr="00080443">
        <w:rPr>
          <w:rFonts w:cs="Arial"/>
        </w:rPr>
        <w:t xml:space="preserve">and </w:t>
      </w:r>
      <w:r w:rsidR="00572848" w:rsidRPr="00080443">
        <w:rPr>
          <w:rFonts w:cs="Arial"/>
        </w:rPr>
        <w:t xml:space="preserve">the types of information </w:t>
      </w:r>
      <w:r w:rsidR="00AF53F1" w:rsidRPr="00080443">
        <w:rPr>
          <w:rFonts w:cs="Arial"/>
        </w:rPr>
        <w:t xml:space="preserve">available </w:t>
      </w:r>
      <w:r w:rsidR="00572848" w:rsidRPr="00080443">
        <w:rPr>
          <w:rFonts w:cs="Arial"/>
        </w:rPr>
        <w:t>on the web</w:t>
      </w:r>
      <w:r w:rsidR="00AF53F1" w:rsidRPr="00080443">
        <w:rPr>
          <w:rFonts w:cs="Arial"/>
        </w:rPr>
        <w:t>site</w:t>
      </w:r>
      <w:r w:rsidR="00F22FBD" w:rsidRPr="00080443">
        <w:rPr>
          <w:rFonts w:cs="Arial"/>
        </w:rPr>
        <w:t xml:space="preserve"> </w:t>
      </w:r>
      <w:r w:rsidR="00572848" w:rsidRPr="00080443">
        <w:rPr>
          <w:rFonts w:cs="Arial"/>
        </w:rPr>
        <w:t>is provided at 1.2.</w:t>
      </w:r>
      <w:r w:rsidR="00015EF9" w:rsidRPr="00080443">
        <w:rPr>
          <w:rFonts w:cs="Arial"/>
        </w:rPr>
        <w:t>6</w:t>
      </w:r>
      <w:r w:rsidR="00572848" w:rsidRPr="00080443">
        <w:rPr>
          <w:rFonts w:cs="Arial"/>
        </w:rPr>
        <w:t>.</w:t>
      </w:r>
      <w:r w:rsidR="00127DCF" w:rsidRPr="00080443">
        <w:rPr>
          <w:rFonts w:cs="Arial"/>
        </w:rPr>
        <w:t xml:space="preserve"> It is the responsibility of </w:t>
      </w:r>
      <w:r w:rsidR="00FC205B" w:rsidRPr="00080443">
        <w:rPr>
          <w:rFonts w:cs="Arial"/>
        </w:rPr>
        <w:t xml:space="preserve">prospective applicants, applicants and registered bidders to ensure that they review the website regularly </w:t>
      </w:r>
      <w:r w:rsidR="00A14180" w:rsidRPr="00080443">
        <w:rPr>
          <w:rFonts w:cs="Arial"/>
        </w:rPr>
        <w:t xml:space="preserve">in order </w:t>
      </w:r>
      <w:r w:rsidR="00FC205B" w:rsidRPr="00080443">
        <w:rPr>
          <w:rFonts w:cs="Arial"/>
        </w:rPr>
        <w:t>to receive all updated information.</w:t>
      </w:r>
    </w:p>
    <w:p w14:paraId="0325EDC5" w14:textId="77777777" w:rsidR="00BB76C1" w:rsidRPr="00080443" w:rsidRDefault="00BB76C1" w:rsidP="00BB76C1">
      <w:pPr>
        <w:rPr>
          <w:rFonts w:cs="Arial"/>
        </w:rPr>
      </w:pPr>
    </w:p>
    <w:p w14:paraId="611F4048" w14:textId="77777777" w:rsidR="008A60B8" w:rsidRPr="00080443" w:rsidRDefault="008A60B8" w:rsidP="00234088">
      <w:pPr>
        <w:pStyle w:val="Heading3"/>
        <w:numPr>
          <w:ilvl w:val="2"/>
          <w:numId w:val="13"/>
        </w:numPr>
      </w:pPr>
      <w:bookmarkStart w:id="57" w:name="_Toc335246247"/>
      <w:bookmarkStart w:id="58" w:name="_Toc343780456"/>
      <w:r w:rsidRPr="00080443">
        <w:t>Licence commencement</w:t>
      </w:r>
      <w:bookmarkEnd w:id="57"/>
      <w:bookmarkEnd w:id="58"/>
    </w:p>
    <w:p w14:paraId="06F20053" w14:textId="77777777" w:rsidR="008A60B8" w:rsidRPr="00080443" w:rsidRDefault="008A60B8" w:rsidP="00BB76C1">
      <w:pPr>
        <w:rPr>
          <w:rFonts w:cs="Arial"/>
        </w:rPr>
      </w:pPr>
      <w:r w:rsidRPr="00080443">
        <w:rPr>
          <w:rFonts w:cs="Arial"/>
        </w:rPr>
        <w:t xml:space="preserve">Spectrum licences for the 700 MHz band will commence on 1 January 2015. This date aligns with the end of the reallocation period set in the 700 MHz </w:t>
      </w:r>
      <w:r w:rsidR="002B57E5" w:rsidRPr="00080443">
        <w:rPr>
          <w:rFonts w:cs="Arial"/>
        </w:rPr>
        <w:t xml:space="preserve">band </w:t>
      </w:r>
      <w:r w:rsidRPr="00080443">
        <w:rPr>
          <w:rFonts w:cs="Arial"/>
        </w:rPr>
        <w:t>spectrum reallocation declaration.</w:t>
      </w:r>
    </w:p>
    <w:p w14:paraId="0D03256E" w14:textId="77777777" w:rsidR="00BB76C1" w:rsidRPr="00080443" w:rsidRDefault="00BB76C1" w:rsidP="00BB76C1">
      <w:pPr>
        <w:rPr>
          <w:rFonts w:cs="Arial"/>
        </w:rPr>
      </w:pPr>
    </w:p>
    <w:p w14:paraId="4CBFA60E" w14:textId="77777777" w:rsidR="002A744D" w:rsidRPr="00080443" w:rsidRDefault="008A60B8" w:rsidP="00BB76C1">
      <w:pPr>
        <w:rPr>
          <w:rFonts w:cs="Arial"/>
        </w:rPr>
      </w:pPr>
      <w:r w:rsidRPr="00080443">
        <w:rPr>
          <w:rFonts w:cs="Arial"/>
        </w:rPr>
        <w:t xml:space="preserve">Spectrum licences for the ‘National Area’ </w:t>
      </w:r>
      <w:r w:rsidR="00113AC5" w:rsidRPr="00080443">
        <w:rPr>
          <w:rFonts w:cs="Arial"/>
        </w:rPr>
        <w:t>(</w:t>
      </w:r>
      <w:r w:rsidR="00F82129" w:rsidRPr="00080443">
        <w:rPr>
          <w:rFonts w:cs="Arial"/>
        </w:rPr>
        <w:t>as specified in the 2.5 GHz band spectrum reallocation declar</w:t>
      </w:r>
      <w:r w:rsidR="00113AC5" w:rsidRPr="00080443">
        <w:rPr>
          <w:rFonts w:cs="Arial"/>
        </w:rPr>
        <w:t xml:space="preserve">ation) </w:t>
      </w:r>
      <w:r w:rsidRPr="00080443">
        <w:rPr>
          <w:rFonts w:cs="Arial"/>
        </w:rPr>
        <w:t>in the 2.5 GHz band will</w:t>
      </w:r>
      <w:r w:rsidR="00AF53F1" w:rsidRPr="00080443">
        <w:rPr>
          <w:rFonts w:cs="Arial"/>
        </w:rPr>
        <w:t xml:space="preserve"> commence on 1 October 2014—except for those</w:t>
      </w:r>
      <w:r w:rsidR="00F82129" w:rsidRPr="00080443">
        <w:rPr>
          <w:rFonts w:cs="Arial"/>
        </w:rPr>
        <w:t xml:space="preserve"> licences solely for the Metro Perth region and/or the Regional Western Australia region</w:t>
      </w:r>
      <w:r w:rsidRPr="00080443">
        <w:rPr>
          <w:rFonts w:cs="Arial"/>
        </w:rPr>
        <w:t>. This date aligns with the end of the reallocation period for the National Area set in the 2.5 GHz band spectrum reallocation declaration. Licences solely for the Metro Perth region and/or the Regional Western Australia region in the 2.5 GHz band will have a later commencement date of 1 February 2016. This later date aligns with the end of the reallocation period set for the ‘Perth Area’ in the 2.</w:t>
      </w:r>
      <w:r w:rsidR="004F4435" w:rsidRPr="00080443">
        <w:rPr>
          <w:rFonts w:cs="Arial"/>
        </w:rPr>
        <w:t>5 </w:t>
      </w:r>
      <w:r w:rsidRPr="00080443">
        <w:rPr>
          <w:rFonts w:cs="Arial"/>
        </w:rPr>
        <w:t xml:space="preserve">GHz </w:t>
      </w:r>
      <w:r w:rsidR="002B57E5" w:rsidRPr="00080443">
        <w:rPr>
          <w:rFonts w:cs="Arial"/>
        </w:rPr>
        <w:t xml:space="preserve">band </w:t>
      </w:r>
      <w:r w:rsidRPr="00080443">
        <w:rPr>
          <w:rFonts w:cs="Arial"/>
        </w:rPr>
        <w:t>spectrum reallocation declaration.</w:t>
      </w:r>
      <w:bookmarkStart w:id="59" w:name="_Ref328036367"/>
      <w:r w:rsidRPr="00080443">
        <w:rPr>
          <w:rStyle w:val="FootnoteReference"/>
          <w:rFonts w:cs="Arial"/>
        </w:rPr>
        <w:footnoteReference w:id="20"/>
      </w:r>
      <w:bookmarkEnd w:id="59"/>
      <w:r w:rsidRPr="00080443">
        <w:rPr>
          <w:rFonts w:cs="Arial"/>
        </w:rPr>
        <w:t xml:space="preserve"> </w:t>
      </w:r>
    </w:p>
    <w:p w14:paraId="6F5250A8" w14:textId="77777777" w:rsidR="002A744D" w:rsidRPr="00080443" w:rsidRDefault="002A744D" w:rsidP="00BB76C1">
      <w:pPr>
        <w:rPr>
          <w:rFonts w:cs="Arial"/>
        </w:rPr>
      </w:pPr>
    </w:p>
    <w:p w14:paraId="43ED3A9C" w14:textId="77777777" w:rsidR="008A60B8" w:rsidRPr="00080443" w:rsidRDefault="008A60B8" w:rsidP="00BB76C1">
      <w:pPr>
        <w:rPr>
          <w:rFonts w:cs="Arial"/>
        </w:rPr>
      </w:pPr>
      <w:r w:rsidRPr="00080443">
        <w:rPr>
          <w:rFonts w:cs="Arial"/>
        </w:rPr>
        <w:t xml:space="preserve">Where </w:t>
      </w:r>
      <w:r w:rsidR="009B6084" w:rsidRPr="00080443">
        <w:rPr>
          <w:rFonts w:cs="Arial"/>
        </w:rPr>
        <w:t xml:space="preserve">a </w:t>
      </w:r>
      <w:r w:rsidR="00676CF6" w:rsidRPr="00080443">
        <w:rPr>
          <w:rFonts w:cs="Arial"/>
        </w:rPr>
        <w:t>person</w:t>
      </w:r>
      <w:r w:rsidR="009B6084" w:rsidRPr="00080443">
        <w:rPr>
          <w:rFonts w:cs="Arial"/>
        </w:rPr>
        <w:t xml:space="preserve"> wins auction lots in the Metro Perth region and/or the Regional Western Australia region</w:t>
      </w:r>
      <w:r w:rsidR="00676CF6" w:rsidRPr="00080443">
        <w:rPr>
          <w:rFonts w:cs="Arial"/>
        </w:rPr>
        <w:t xml:space="preserve">, they will be issued one spectrum licence (containing the 1 February 2016 commencement date) for those lots, and a separate spectrum licence (containing the 1 October 2014 commencement date) for any lots they win in other regions. </w:t>
      </w:r>
    </w:p>
    <w:p w14:paraId="7EEE5CFE" w14:textId="77777777" w:rsidR="00BB76C1" w:rsidRPr="00080443" w:rsidRDefault="00BB76C1" w:rsidP="00BB76C1">
      <w:pPr>
        <w:rPr>
          <w:rFonts w:cs="Arial"/>
        </w:rPr>
      </w:pPr>
    </w:p>
    <w:p w14:paraId="197272D0" w14:textId="77777777" w:rsidR="008A60B8" w:rsidRPr="00080443" w:rsidRDefault="008A60B8" w:rsidP="00234088">
      <w:pPr>
        <w:pStyle w:val="Heading3"/>
        <w:numPr>
          <w:ilvl w:val="2"/>
          <w:numId w:val="13"/>
        </w:numPr>
      </w:pPr>
      <w:bookmarkStart w:id="60" w:name="_Toc335246248"/>
      <w:bookmarkStart w:id="61" w:name="_Toc343780457"/>
      <w:r w:rsidRPr="00080443">
        <w:t>Licence duration and expiry</w:t>
      </w:r>
      <w:bookmarkEnd w:id="60"/>
      <w:bookmarkEnd w:id="61"/>
    </w:p>
    <w:p w14:paraId="56AB56D3" w14:textId="77777777" w:rsidR="008A60B8" w:rsidRPr="00080443" w:rsidRDefault="008A60B8" w:rsidP="00BB76C1">
      <w:pPr>
        <w:rPr>
          <w:rFonts w:cs="Arial"/>
        </w:rPr>
      </w:pPr>
      <w:r w:rsidRPr="00080443">
        <w:rPr>
          <w:rFonts w:cs="Arial"/>
        </w:rPr>
        <w:t xml:space="preserve">With the exception of licences </w:t>
      </w:r>
      <w:r w:rsidR="0043336A" w:rsidRPr="00080443">
        <w:rPr>
          <w:rFonts w:cs="Arial"/>
        </w:rPr>
        <w:t xml:space="preserve">in the 2.5 GHz band </w:t>
      </w:r>
      <w:r w:rsidRPr="00080443">
        <w:rPr>
          <w:rFonts w:cs="Arial"/>
        </w:rPr>
        <w:t>for the Metro Perth region and/or the Regional Western Australia region, spectrum licences in both bands will be issued for a 15-year period. The 15-year licence duration is the maximum period permitted under section 65 of the Act.</w:t>
      </w:r>
    </w:p>
    <w:p w14:paraId="062EBE83" w14:textId="77777777" w:rsidR="00BB76C1" w:rsidRPr="00080443" w:rsidRDefault="00BB76C1" w:rsidP="00BB76C1">
      <w:pPr>
        <w:rPr>
          <w:rFonts w:cs="Arial"/>
        </w:rPr>
      </w:pPr>
    </w:p>
    <w:p w14:paraId="4A4F639B" w14:textId="77777777" w:rsidR="008A60B8" w:rsidRPr="00080443" w:rsidRDefault="008A60B8" w:rsidP="00BB76C1">
      <w:pPr>
        <w:rPr>
          <w:rFonts w:cs="Arial"/>
        </w:rPr>
      </w:pPr>
      <w:r w:rsidRPr="00080443">
        <w:rPr>
          <w:rFonts w:cs="Arial"/>
        </w:rPr>
        <w:t xml:space="preserve">Spectrum licences </w:t>
      </w:r>
      <w:r w:rsidR="0043336A" w:rsidRPr="00080443">
        <w:rPr>
          <w:rFonts w:cs="Arial"/>
        </w:rPr>
        <w:t xml:space="preserve">in the 2.5 GHz band </w:t>
      </w:r>
      <w:r w:rsidRPr="00080443">
        <w:rPr>
          <w:rFonts w:cs="Arial"/>
        </w:rPr>
        <w:t xml:space="preserve">for the Metro Perth region and/or the Regional Western Australia region will have a duration of less than 15 years. The duration of these licences will be such as to allow the licences to expire at the same time as other licences issued </w:t>
      </w:r>
      <w:r w:rsidR="00E84936" w:rsidRPr="00080443">
        <w:rPr>
          <w:rFonts w:cs="Arial"/>
        </w:rPr>
        <w:t xml:space="preserve">in the 2.5 GHz band </w:t>
      </w:r>
      <w:r w:rsidRPr="00080443">
        <w:rPr>
          <w:rFonts w:cs="Arial"/>
        </w:rPr>
        <w:t>as a result of the auction.</w:t>
      </w:r>
    </w:p>
    <w:p w14:paraId="62AD1E1A" w14:textId="77777777" w:rsidR="00BB76C1" w:rsidRPr="00080443" w:rsidRDefault="00BB76C1" w:rsidP="00BB76C1">
      <w:pPr>
        <w:rPr>
          <w:rFonts w:cs="Arial"/>
        </w:rPr>
      </w:pPr>
    </w:p>
    <w:p w14:paraId="2668C1C2" w14:textId="77777777" w:rsidR="008A60B8" w:rsidRPr="00080443" w:rsidRDefault="008A60B8" w:rsidP="00BB76C1">
      <w:pPr>
        <w:rPr>
          <w:rFonts w:cs="Arial"/>
        </w:rPr>
      </w:pPr>
      <w:r w:rsidRPr="00080443">
        <w:rPr>
          <w:rFonts w:cs="Arial"/>
        </w:rPr>
        <w:lastRenderedPageBreak/>
        <w:t xml:space="preserve">Under these arrangements, all licences issued </w:t>
      </w:r>
      <w:r w:rsidR="00E84936" w:rsidRPr="00080443">
        <w:rPr>
          <w:rFonts w:cs="Arial"/>
        </w:rPr>
        <w:t xml:space="preserve">in each of the two bands </w:t>
      </w:r>
      <w:r w:rsidRPr="00080443">
        <w:rPr>
          <w:rFonts w:cs="Arial"/>
        </w:rPr>
        <w:t>as a result of the auction will have a common expiry date</w:t>
      </w:r>
      <w:r w:rsidR="00730B97" w:rsidRPr="00080443">
        <w:rPr>
          <w:rFonts w:cs="Arial"/>
        </w:rPr>
        <w:t>—</w:t>
      </w:r>
      <w:r w:rsidR="00EA07B8" w:rsidRPr="00080443">
        <w:rPr>
          <w:rFonts w:cs="Arial"/>
        </w:rPr>
        <w:t>31 December 20</w:t>
      </w:r>
      <w:r w:rsidR="0031566E" w:rsidRPr="00080443">
        <w:rPr>
          <w:rFonts w:cs="Arial"/>
        </w:rPr>
        <w:t>29</w:t>
      </w:r>
      <w:r w:rsidR="00EA07B8" w:rsidRPr="00080443">
        <w:rPr>
          <w:rFonts w:cs="Arial"/>
        </w:rPr>
        <w:t xml:space="preserve"> in the case of the 700 MHz band</w:t>
      </w:r>
      <w:r w:rsidR="00730B97" w:rsidRPr="00080443">
        <w:rPr>
          <w:rFonts w:cs="Arial"/>
        </w:rPr>
        <w:t>,</w:t>
      </w:r>
      <w:r w:rsidR="00EA07B8" w:rsidRPr="00080443">
        <w:rPr>
          <w:rFonts w:cs="Arial"/>
        </w:rPr>
        <w:t xml:space="preserve"> and 30 September 2029 in the case of the 2.5 GHz band. </w:t>
      </w:r>
    </w:p>
    <w:p w14:paraId="1BDE020D" w14:textId="77777777" w:rsidR="00BB76C1" w:rsidRPr="00080443" w:rsidRDefault="00BB76C1" w:rsidP="00BB76C1">
      <w:pPr>
        <w:rPr>
          <w:rFonts w:cs="Arial"/>
        </w:rPr>
      </w:pPr>
    </w:p>
    <w:p w14:paraId="2F0166A5" w14:textId="77777777" w:rsidR="008A60B8" w:rsidRPr="00080443" w:rsidRDefault="008A60B8" w:rsidP="00BB76C1">
      <w:pPr>
        <w:rPr>
          <w:rFonts w:cs="Arial"/>
        </w:rPr>
      </w:pPr>
      <w:r w:rsidRPr="00080443">
        <w:rPr>
          <w:rFonts w:cs="Arial"/>
        </w:rPr>
        <w:t xml:space="preserve">Spectrum licences are issued with no automatic right of renewal. Rules for the reissuing of spectrum licences are set out in Division 4 of Part 3.2 of the Act. Section 78 of the Act requires the ACMA to periodically publish notices in the </w:t>
      </w:r>
      <w:r w:rsidR="00CD2C67" w:rsidRPr="00080443">
        <w:rPr>
          <w:rFonts w:cs="Arial"/>
          <w:i/>
        </w:rPr>
        <w:t>Gazette</w:t>
      </w:r>
      <w:r w:rsidRPr="00080443">
        <w:rPr>
          <w:rFonts w:cs="Arial"/>
        </w:rPr>
        <w:t xml:space="preserve"> about forthcoming expiring spectrum licences, and invite expressions of interest from people who wish to be issued spectrum licences for the relevant parts of the spectrum. Notices published by the ACMA in the </w:t>
      </w:r>
      <w:r w:rsidR="009019C3" w:rsidRPr="00080443">
        <w:rPr>
          <w:rFonts w:cs="Arial"/>
          <w:i/>
        </w:rPr>
        <w:t>Gazette</w:t>
      </w:r>
      <w:r w:rsidRPr="00080443">
        <w:rPr>
          <w:rFonts w:cs="Arial"/>
        </w:rPr>
        <w:t xml:space="preserve"> under section 78 of the Act are also published on the ACMA website.  </w:t>
      </w:r>
    </w:p>
    <w:p w14:paraId="63CB8B13" w14:textId="77777777" w:rsidR="00BB76C1" w:rsidRPr="00080443" w:rsidRDefault="00BB76C1" w:rsidP="00BB76C1">
      <w:pPr>
        <w:rPr>
          <w:rFonts w:cs="Arial"/>
        </w:rPr>
      </w:pPr>
    </w:p>
    <w:p w14:paraId="12A34E84" w14:textId="77777777" w:rsidR="008A60B8" w:rsidRPr="00080443" w:rsidRDefault="008A60B8" w:rsidP="00234088">
      <w:pPr>
        <w:pStyle w:val="Heading3"/>
        <w:numPr>
          <w:ilvl w:val="2"/>
          <w:numId w:val="13"/>
        </w:numPr>
      </w:pPr>
      <w:bookmarkStart w:id="62" w:name="_Toc335246249"/>
      <w:bookmarkStart w:id="63" w:name="_Toc343780458"/>
      <w:r w:rsidRPr="00080443">
        <w:t>Potential access to spectrum prior to licence commencement</w:t>
      </w:r>
      <w:bookmarkEnd w:id="62"/>
      <w:bookmarkEnd w:id="63"/>
    </w:p>
    <w:p w14:paraId="1E07E609" w14:textId="77777777" w:rsidR="008A60B8" w:rsidRPr="00080443" w:rsidRDefault="008A60B8" w:rsidP="00BB76C1">
      <w:pPr>
        <w:rPr>
          <w:rFonts w:cs="Arial"/>
        </w:rPr>
      </w:pPr>
      <w:r w:rsidRPr="00080443">
        <w:rPr>
          <w:rFonts w:cs="Arial"/>
        </w:rPr>
        <w:t xml:space="preserve">The legislative processes for vacating incumbent licensees from the </w:t>
      </w:r>
      <w:r w:rsidR="004F4435" w:rsidRPr="00080443">
        <w:rPr>
          <w:rFonts w:cs="Arial"/>
        </w:rPr>
        <w:t>700 </w:t>
      </w:r>
      <w:r w:rsidRPr="00080443">
        <w:rPr>
          <w:rFonts w:cs="Arial"/>
        </w:rPr>
        <w:t>MHz and 2.</w:t>
      </w:r>
      <w:r w:rsidR="00730B97" w:rsidRPr="00080443">
        <w:rPr>
          <w:rFonts w:cs="Arial"/>
        </w:rPr>
        <w:t>5 </w:t>
      </w:r>
      <w:r w:rsidRPr="00080443">
        <w:rPr>
          <w:rFonts w:cs="Arial"/>
        </w:rPr>
        <w:t xml:space="preserve">GHz bands are discussed </w:t>
      </w:r>
      <w:r w:rsidR="00C95B72" w:rsidRPr="00080443">
        <w:rPr>
          <w:rFonts w:cs="Arial"/>
        </w:rPr>
        <w:t xml:space="preserve">at </w:t>
      </w:r>
      <w:r w:rsidRPr="00080443">
        <w:rPr>
          <w:rFonts w:cs="Arial"/>
        </w:rPr>
        <w:t xml:space="preserve">1.2. </w:t>
      </w:r>
    </w:p>
    <w:p w14:paraId="3010B712" w14:textId="77777777" w:rsidR="00BB76C1" w:rsidRPr="00080443" w:rsidRDefault="00BB76C1" w:rsidP="00BB76C1">
      <w:pPr>
        <w:rPr>
          <w:rFonts w:cs="Arial"/>
        </w:rPr>
      </w:pPr>
    </w:p>
    <w:p w14:paraId="0C4BF22D" w14:textId="77777777" w:rsidR="008A60B8" w:rsidRPr="00080443" w:rsidRDefault="008A60B8" w:rsidP="00BB76C1">
      <w:pPr>
        <w:rPr>
          <w:rFonts w:cs="Arial"/>
        </w:rPr>
      </w:pPr>
      <w:r w:rsidRPr="00080443">
        <w:rPr>
          <w:rFonts w:cs="Arial"/>
        </w:rPr>
        <w:t xml:space="preserve">In summary, apparatus licences in the 2.5 GHz band will be cancelled automatically at the end of the reallocation period set in the 2.5 GHz </w:t>
      </w:r>
      <w:r w:rsidR="002B57E5" w:rsidRPr="00080443">
        <w:rPr>
          <w:rFonts w:cs="Arial"/>
        </w:rPr>
        <w:t xml:space="preserve">band </w:t>
      </w:r>
      <w:r w:rsidRPr="00080443">
        <w:rPr>
          <w:rFonts w:cs="Arial"/>
        </w:rPr>
        <w:t xml:space="preserve">spectrum reallocation declaration, thereby leaving the band free for use by new licensees from the licence commencement dates </w:t>
      </w:r>
      <w:r w:rsidR="004F4435" w:rsidRPr="00080443">
        <w:rPr>
          <w:rFonts w:cs="Arial"/>
        </w:rPr>
        <w:t>(see</w:t>
      </w:r>
      <w:r w:rsidRPr="00080443">
        <w:rPr>
          <w:rFonts w:cs="Arial"/>
        </w:rPr>
        <w:t xml:space="preserve"> 2.3.2</w:t>
      </w:r>
      <w:r w:rsidR="004F4435" w:rsidRPr="00080443">
        <w:rPr>
          <w:rFonts w:cs="Arial"/>
        </w:rPr>
        <w:t>)</w:t>
      </w:r>
      <w:r w:rsidRPr="00080443">
        <w:rPr>
          <w:rFonts w:cs="Arial"/>
        </w:rPr>
        <w:t xml:space="preserve">. There will be no period between the cancellation of the incumbent apparatus licences and the commencement of the new spectrum licences. </w:t>
      </w:r>
    </w:p>
    <w:p w14:paraId="58966A82" w14:textId="77777777" w:rsidR="00BB76C1" w:rsidRPr="00080443" w:rsidRDefault="00BB76C1" w:rsidP="00BB76C1">
      <w:pPr>
        <w:rPr>
          <w:rFonts w:cs="Arial"/>
        </w:rPr>
      </w:pPr>
    </w:p>
    <w:p w14:paraId="1D80E5FB" w14:textId="77777777" w:rsidR="00DF4019" w:rsidRPr="00080443" w:rsidRDefault="008A60B8" w:rsidP="00BB76C1">
      <w:pPr>
        <w:rPr>
          <w:rFonts w:cs="Arial"/>
        </w:rPr>
      </w:pPr>
      <w:r w:rsidRPr="00080443">
        <w:rPr>
          <w:rFonts w:cs="Arial"/>
        </w:rPr>
        <w:t>Apparatus licences in the 700 MHz band held by commercial</w:t>
      </w:r>
      <w:r w:rsidR="00C0432D" w:rsidRPr="00080443">
        <w:rPr>
          <w:rFonts w:cs="Arial"/>
        </w:rPr>
        <w:t>, national and community television</w:t>
      </w:r>
      <w:r w:rsidR="00E32539" w:rsidRPr="00080443">
        <w:rPr>
          <w:rFonts w:cs="Arial"/>
        </w:rPr>
        <w:t xml:space="preserve"> broadcasting service licensees will be cleared from the band </w:t>
      </w:r>
      <w:r w:rsidR="00D81334" w:rsidRPr="00080443">
        <w:rPr>
          <w:rFonts w:cs="Arial"/>
        </w:rPr>
        <w:t>in accordance with</w:t>
      </w:r>
      <w:r w:rsidRPr="00080443">
        <w:rPr>
          <w:rFonts w:cs="Arial"/>
        </w:rPr>
        <w:t xml:space="preserve"> TLAPs</w:t>
      </w:r>
      <w:r w:rsidR="0003386B" w:rsidRPr="00080443">
        <w:rPr>
          <w:rFonts w:cs="Arial"/>
        </w:rPr>
        <w:t>, or in some cases DCPs,</w:t>
      </w:r>
      <w:r w:rsidRPr="00080443">
        <w:rPr>
          <w:rFonts w:cs="Arial"/>
        </w:rPr>
        <w:t xml:space="preserve"> prepared by the ACMA</w:t>
      </w:r>
      <w:r w:rsidR="007C2959" w:rsidRPr="00080443">
        <w:rPr>
          <w:rFonts w:cs="Arial"/>
        </w:rPr>
        <w:t xml:space="preserve"> with </w:t>
      </w:r>
      <w:r w:rsidR="00C26C21" w:rsidRPr="00080443">
        <w:rPr>
          <w:rFonts w:cs="Arial"/>
        </w:rPr>
        <w:t xml:space="preserve">regard to </w:t>
      </w:r>
      <w:r w:rsidR="007C2959" w:rsidRPr="00080443">
        <w:rPr>
          <w:rFonts w:cs="Arial"/>
        </w:rPr>
        <w:t>a</w:t>
      </w:r>
      <w:r w:rsidR="00C26C21" w:rsidRPr="00080443">
        <w:rPr>
          <w:rFonts w:cs="Arial"/>
        </w:rPr>
        <w:t xml:space="preserve"> nationwide restack timetable being </w:t>
      </w:r>
      <w:r w:rsidR="00565980" w:rsidRPr="00080443">
        <w:rPr>
          <w:rFonts w:cs="Arial"/>
        </w:rPr>
        <w:t>implemented by DBCDE</w:t>
      </w:r>
      <w:r w:rsidR="00C0432D" w:rsidRPr="00080443">
        <w:rPr>
          <w:rFonts w:cs="Arial"/>
        </w:rPr>
        <w:t xml:space="preserve"> (see 1.2.5 and 1.2.6)</w:t>
      </w:r>
      <w:r w:rsidR="00C26C21" w:rsidRPr="00080443">
        <w:rPr>
          <w:rFonts w:cs="Arial"/>
        </w:rPr>
        <w:t>.</w:t>
      </w:r>
      <w:r w:rsidR="00AD10EF" w:rsidRPr="00080443">
        <w:rPr>
          <w:rFonts w:cs="Arial"/>
        </w:rPr>
        <w:t xml:space="preserve"> </w:t>
      </w:r>
      <w:r w:rsidR="00C0432D" w:rsidRPr="00080443">
        <w:rPr>
          <w:rFonts w:cs="Arial"/>
        </w:rPr>
        <w:t>It is possible that t</w:t>
      </w:r>
      <w:r w:rsidR="00AD10EF" w:rsidRPr="00080443">
        <w:rPr>
          <w:rFonts w:cs="Arial"/>
        </w:rPr>
        <w:t>he restack process may be complet</w:t>
      </w:r>
      <w:r w:rsidR="007C2959" w:rsidRPr="00080443">
        <w:rPr>
          <w:rFonts w:cs="Arial"/>
        </w:rPr>
        <w:t>ed, and the spectrum left vacant</w:t>
      </w:r>
      <w:r w:rsidR="00AD10EF" w:rsidRPr="00080443">
        <w:rPr>
          <w:rFonts w:cs="Arial"/>
        </w:rPr>
        <w:t xml:space="preserve">, in some areas prior to the commencement of </w:t>
      </w:r>
      <w:r w:rsidR="007C2959" w:rsidRPr="00080443">
        <w:rPr>
          <w:rFonts w:cs="Arial"/>
        </w:rPr>
        <w:t xml:space="preserve">700 MHz band spectrum licences </w:t>
      </w:r>
      <w:r w:rsidR="002C7514" w:rsidRPr="00080443">
        <w:rPr>
          <w:rFonts w:cs="Arial"/>
        </w:rPr>
        <w:t>on 1 </w:t>
      </w:r>
      <w:r w:rsidR="00AD10EF" w:rsidRPr="00080443">
        <w:rPr>
          <w:rFonts w:cs="Arial"/>
        </w:rPr>
        <w:t>January 2015.</w:t>
      </w:r>
      <w:r w:rsidR="002C7514" w:rsidRPr="00080443">
        <w:rPr>
          <w:rFonts w:cs="Arial"/>
        </w:rPr>
        <w:t xml:space="preserve"> </w:t>
      </w:r>
      <w:r w:rsidR="008A2DA1" w:rsidRPr="00080443">
        <w:rPr>
          <w:rFonts w:cs="Arial"/>
        </w:rPr>
        <w:t>Bidders should refer to DBCDE’s indicative timetables (available through the link at 1.2.6), which provide an indication of where restack will have occurred earlier than 31 December 2014.</w:t>
      </w:r>
    </w:p>
    <w:p w14:paraId="75037F1C" w14:textId="77777777" w:rsidR="00DF4019" w:rsidRPr="00080443" w:rsidRDefault="00DF4019" w:rsidP="00BB76C1">
      <w:pPr>
        <w:rPr>
          <w:rFonts w:cs="Arial"/>
        </w:rPr>
      </w:pPr>
    </w:p>
    <w:p w14:paraId="22304677" w14:textId="77777777" w:rsidR="00AD10EF" w:rsidRPr="00080443" w:rsidRDefault="002C7514" w:rsidP="00BB76C1">
      <w:pPr>
        <w:rPr>
          <w:rFonts w:cs="Arial"/>
        </w:rPr>
      </w:pPr>
      <w:r w:rsidRPr="00080443">
        <w:rPr>
          <w:rFonts w:cs="Arial"/>
        </w:rPr>
        <w:t xml:space="preserve">The ACMA understands that some </w:t>
      </w:r>
      <w:r w:rsidR="00BD0A1B" w:rsidRPr="00080443">
        <w:rPr>
          <w:rFonts w:cs="Arial"/>
        </w:rPr>
        <w:t xml:space="preserve">prospective </w:t>
      </w:r>
      <w:r w:rsidRPr="00080443">
        <w:rPr>
          <w:rFonts w:cs="Arial"/>
        </w:rPr>
        <w:t xml:space="preserve">bidders may wish to access the </w:t>
      </w:r>
      <w:r w:rsidR="00FB0E74" w:rsidRPr="00080443">
        <w:rPr>
          <w:rFonts w:cs="Arial"/>
        </w:rPr>
        <w:t>700 </w:t>
      </w:r>
      <w:r w:rsidRPr="00080443">
        <w:rPr>
          <w:rFonts w:cs="Arial"/>
        </w:rPr>
        <w:t>MHz spectrum they win in the auction from the earliest possible date</w:t>
      </w:r>
      <w:r w:rsidR="00BD0A1B" w:rsidRPr="00080443">
        <w:rPr>
          <w:rFonts w:cs="Arial"/>
        </w:rPr>
        <w:t>, where an area is left vacant before their spectrum licence commences.</w:t>
      </w:r>
      <w:r w:rsidR="00535A60" w:rsidRPr="00080443">
        <w:rPr>
          <w:rFonts w:cs="Arial"/>
        </w:rPr>
        <w:t xml:space="preserve"> The regulatory arrangements underpinning access to vacant spectrum prior to the commencement of spectrum licences are separate from, and unrelated to, the arrangements applicable to spectrum licences issued in the 700 MHz band as a result of the auction.</w:t>
      </w:r>
      <w:r w:rsidR="00BD0A1B" w:rsidRPr="00080443">
        <w:rPr>
          <w:rFonts w:cs="Arial"/>
        </w:rPr>
        <w:t xml:space="preserve"> </w:t>
      </w:r>
      <w:r w:rsidR="00535A60" w:rsidRPr="00080443">
        <w:rPr>
          <w:rFonts w:cs="Arial"/>
        </w:rPr>
        <w:t>W</w:t>
      </w:r>
      <w:r w:rsidR="00051F1E" w:rsidRPr="00080443">
        <w:rPr>
          <w:rFonts w:cs="Arial"/>
        </w:rPr>
        <w:t xml:space="preserve">inning bidders can apply to the ACMA to be issued an apparatus licence for </w:t>
      </w:r>
      <w:r w:rsidR="00535A60" w:rsidRPr="00080443">
        <w:rPr>
          <w:rFonts w:cs="Arial"/>
        </w:rPr>
        <w:t>a</w:t>
      </w:r>
      <w:r w:rsidR="00051F1E" w:rsidRPr="00080443">
        <w:rPr>
          <w:rFonts w:cs="Arial"/>
        </w:rPr>
        <w:t xml:space="preserve"> period until the spectrum licence commences.</w:t>
      </w:r>
      <w:r w:rsidR="008A2DA1" w:rsidRPr="00080443">
        <w:rPr>
          <w:rFonts w:cs="Arial"/>
        </w:rPr>
        <w:t xml:space="preserve"> </w:t>
      </w:r>
      <w:r w:rsidR="00051F1E" w:rsidRPr="00080443">
        <w:rPr>
          <w:rFonts w:cs="Arial"/>
        </w:rPr>
        <w:t xml:space="preserve">The ACMA will consider applications on a case-by-case basis. This will include </w:t>
      </w:r>
      <w:r w:rsidR="00F4284B" w:rsidRPr="00080443">
        <w:rPr>
          <w:rFonts w:cs="Arial"/>
        </w:rPr>
        <w:t xml:space="preserve">a consideration of </w:t>
      </w:r>
      <w:r w:rsidR="00051F1E" w:rsidRPr="00080443">
        <w:rPr>
          <w:rFonts w:cs="Arial"/>
        </w:rPr>
        <w:t>the legislative requirement that the ‘special circumstances’ of the case justify a departure from the general rule that prevents the ACMA from issuing an apparatus licence in spectrum that is the subject of a spectrum reallocation declaration.</w:t>
      </w:r>
      <w:r w:rsidR="00051F1E" w:rsidRPr="00080443">
        <w:rPr>
          <w:rFonts w:cs="Arial"/>
          <w:vertAlign w:val="superscript"/>
        </w:rPr>
        <w:footnoteReference w:id="21"/>
      </w:r>
      <w:r w:rsidR="008A2DA1" w:rsidRPr="00080443">
        <w:rPr>
          <w:rFonts w:cs="Arial"/>
        </w:rPr>
        <w:t xml:space="preserve"> The ACMA will consult with stakeholders separately on the apparatus licensing arrangements in </w:t>
      </w:r>
      <w:r w:rsidR="00AF785C" w:rsidRPr="00080443">
        <w:rPr>
          <w:rFonts w:cs="Arial"/>
        </w:rPr>
        <w:t xml:space="preserve">the near future. </w:t>
      </w:r>
    </w:p>
    <w:p w14:paraId="310C0F49" w14:textId="77777777" w:rsidR="00C26C21" w:rsidRPr="00080443" w:rsidRDefault="00C26C21" w:rsidP="00BB76C1">
      <w:pPr>
        <w:rPr>
          <w:rFonts w:cs="Arial"/>
        </w:rPr>
      </w:pPr>
    </w:p>
    <w:p w14:paraId="36B32502" w14:textId="77777777" w:rsidR="008A60B8" w:rsidRPr="00080443" w:rsidRDefault="008A60B8" w:rsidP="00BB76C1">
      <w:pPr>
        <w:rPr>
          <w:rFonts w:cs="Arial"/>
        </w:rPr>
      </w:pPr>
      <w:r w:rsidRPr="00080443">
        <w:rPr>
          <w:rFonts w:cs="Arial"/>
        </w:rPr>
        <w:t>Any apparatus licence issued in such cases would be on an interim basis only, and would expire in alignment with the commencement of the winning bidder’s spectrum licence.</w:t>
      </w:r>
    </w:p>
    <w:p w14:paraId="119F8E21" w14:textId="77777777" w:rsidR="00AC3282" w:rsidRPr="00080443" w:rsidRDefault="00AC3282" w:rsidP="00BB76C1">
      <w:pPr>
        <w:rPr>
          <w:rFonts w:cs="Arial"/>
        </w:rPr>
      </w:pPr>
    </w:p>
    <w:p w14:paraId="311C37A5" w14:textId="77777777" w:rsidR="00BB76C1" w:rsidRPr="00080443" w:rsidRDefault="002C43A2" w:rsidP="00BB76C1">
      <w:pPr>
        <w:rPr>
          <w:rFonts w:cs="Arial"/>
        </w:rPr>
      </w:pPr>
      <w:r w:rsidRPr="00080443">
        <w:rPr>
          <w:rFonts w:cs="Arial"/>
        </w:rPr>
        <w:t>As discussed at 1.2.7, p</w:t>
      </w:r>
      <w:r w:rsidR="00AC3282" w:rsidRPr="00080443">
        <w:rPr>
          <w:rFonts w:cs="Arial"/>
        </w:rPr>
        <w:t xml:space="preserve">rior to the complete vacation of the 700 MHz band by broadcasting services, the declared 700 MHz spectrum must remain in the </w:t>
      </w:r>
      <w:r w:rsidR="00DC762F" w:rsidRPr="00080443">
        <w:rPr>
          <w:rFonts w:cs="Arial"/>
        </w:rPr>
        <w:t>BSBs</w:t>
      </w:r>
      <w:r w:rsidR="00AC3282" w:rsidRPr="00080443">
        <w:rPr>
          <w:rFonts w:cs="Arial"/>
        </w:rPr>
        <w:t xml:space="preserve">. </w:t>
      </w:r>
      <w:r w:rsidR="00CA523C" w:rsidRPr="00080443">
        <w:rPr>
          <w:rFonts w:cs="Arial"/>
        </w:rPr>
        <w:lastRenderedPageBreak/>
        <w:t>A</w:t>
      </w:r>
      <w:r w:rsidRPr="00080443">
        <w:rPr>
          <w:rFonts w:cs="Arial"/>
        </w:rPr>
        <w:t xml:space="preserve">dditional obligations </w:t>
      </w:r>
      <w:r w:rsidR="00CA523C" w:rsidRPr="00080443">
        <w:rPr>
          <w:rFonts w:cs="Arial"/>
        </w:rPr>
        <w:t>may arise as a result of this</w:t>
      </w:r>
      <w:r w:rsidR="002C52FE" w:rsidRPr="00080443">
        <w:rPr>
          <w:rFonts w:cs="Arial"/>
        </w:rPr>
        <w:t>, although the minister has advised the ACMA of his intention to modify these arrangements in 2013. This is</w:t>
      </w:r>
      <w:r w:rsidRPr="00080443">
        <w:rPr>
          <w:rFonts w:cs="Arial"/>
        </w:rPr>
        <w:t xml:space="preserve"> discussed further at </w:t>
      </w:r>
      <w:r w:rsidR="0011590F" w:rsidRPr="00080443">
        <w:rPr>
          <w:rFonts w:cs="Arial"/>
        </w:rPr>
        <w:t xml:space="preserve">2.3.6. </w:t>
      </w:r>
      <w:r w:rsidR="009E31C3" w:rsidRPr="00080443">
        <w:rPr>
          <w:rFonts w:cs="Arial"/>
        </w:rPr>
        <w:t xml:space="preserve"> </w:t>
      </w:r>
    </w:p>
    <w:p w14:paraId="228F7C80" w14:textId="77777777" w:rsidR="004B1E62" w:rsidRPr="00080443" w:rsidRDefault="004B1E62" w:rsidP="00BB76C1">
      <w:pPr>
        <w:rPr>
          <w:rFonts w:cs="Arial"/>
        </w:rPr>
      </w:pPr>
    </w:p>
    <w:p w14:paraId="75A7FFE1" w14:textId="77777777" w:rsidR="008A60B8" w:rsidRPr="00080443" w:rsidRDefault="008A60B8" w:rsidP="00234088">
      <w:pPr>
        <w:pStyle w:val="Heading3"/>
        <w:numPr>
          <w:ilvl w:val="2"/>
          <w:numId w:val="13"/>
        </w:numPr>
      </w:pPr>
      <w:bookmarkStart w:id="64" w:name="_Toc335246250"/>
      <w:bookmarkStart w:id="65" w:name="_Toc343780459"/>
      <w:r w:rsidRPr="00080443">
        <w:t>Manag</w:t>
      </w:r>
      <w:r w:rsidR="00432388" w:rsidRPr="00080443">
        <w:t>ing</w:t>
      </w:r>
      <w:r w:rsidRPr="00080443">
        <w:t xml:space="preserve"> interference with broadcasting services</w:t>
      </w:r>
      <w:r w:rsidR="000A5B9C" w:rsidRPr="00080443">
        <w:t xml:space="preserve"> and retransmission services</w:t>
      </w:r>
      <w:r w:rsidRPr="00080443">
        <w:t xml:space="preserve"> (700 MHz band)</w:t>
      </w:r>
      <w:bookmarkEnd w:id="64"/>
      <w:bookmarkEnd w:id="65"/>
    </w:p>
    <w:p w14:paraId="49106295" w14:textId="77777777" w:rsidR="00013181" w:rsidRPr="00080443" w:rsidRDefault="008A60B8" w:rsidP="00BB76C1">
      <w:pPr>
        <w:rPr>
          <w:rFonts w:cs="Arial"/>
        </w:rPr>
      </w:pPr>
      <w:r w:rsidRPr="00080443">
        <w:rPr>
          <w:rFonts w:cs="Arial"/>
        </w:rPr>
        <w:t xml:space="preserve">The legislative processes for vacating incumbent broadcasting services </w:t>
      </w:r>
      <w:r w:rsidR="000A5B9C" w:rsidRPr="00080443">
        <w:rPr>
          <w:rFonts w:cs="Arial"/>
        </w:rPr>
        <w:t xml:space="preserve">and retransmission services </w:t>
      </w:r>
      <w:r w:rsidRPr="00080443">
        <w:rPr>
          <w:rFonts w:cs="Arial"/>
        </w:rPr>
        <w:t xml:space="preserve">from the </w:t>
      </w:r>
      <w:r w:rsidR="00432388" w:rsidRPr="00080443">
        <w:rPr>
          <w:rFonts w:cs="Arial"/>
        </w:rPr>
        <w:t>700 </w:t>
      </w:r>
      <w:r w:rsidRPr="00080443">
        <w:rPr>
          <w:rFonts w:cs="Arial"/>
        </w:rPr>
        <w:t xml:space="preserve">MHz band are discussed </w:t>
      </w:r>
      <w:r w:rsidR="00432388" w:rsidRPr="00080443">
        <w:rPr>
          <w:rFonts w:cs="Arial"/>
        </w:rPr>
        <w:t xml:space="preserve">at </w:t>
      </w:r>
      <w:r w:rsidRPr="00080443">
        <w:rPr>
          <w:rFonts w:cs="Arial"/>
        </w:rPr>
        <w:t xml:space="preserve">1.2. </w:t>
      </w:r>
    </w:p>
    <w:p w14:paraId="14A2D41C" w14:textId="77777777" w:rsidR="00013181" w:rsidRPr="00080443" w:rsidRDefault="00013181" w:rsidP="00BB76C1">
      <w:pPr>
        <w:rPr>
          <w:rFonts w:cs="Arial"/>
        </w:rPr>
      </w:pPr>
    </w:p>
    <w:p w14:paraId="45AFF1D1" w14:textId="77777777" w:rsidR="00364882" w:rsidRPr="00080443" w:rsidRDefault="00504389" w:rsidP="00BB76C1">
      <w:pPr>
        <w:rPr>
          <w:rFonts w:cs="Arial"/>
        </w:rPr>
      </w:pPr>
      <w:r w:rsidRPr="00080443">
        <w:rPr>
          <w:rFonts w:cs="Arial"/>
        </w:rPr>
        <w:t>E</w:t>
      </w:r>
      <w:r w:rsidR="008A60B8" w:rsidRPr="00080443">
        <w:rPr>
          <w:rFonts w:cs="Arial"/>
        </w:rPr>
        <w:t>ach spectrum licence issued in the 700 MHz band as a result of the auction will include a</w:t>
      </w:r>
      <w:r w:rsidR="00364882" w:rsidRPr="00080443">
        <w:rPr>
          <w:rFonts w:cs="Arial"/>
        </w:rPr>
        <w:t>n interference management condition</w:t>
      </w:r>
      <w:r w:rsidRPr="00080443">
        <w:rPr>
          <w:rFonts w:cs="Arial"/>
        </w:rPr>
        <w:t>, which is discussed at 1.2.6</w:t>
      </w:r>
      <w:r w:rsidR="00364882" w:rsidRPr="00080443">
        <w:rPr>
          <w:rFonts w:cs="Arial"/>
        </w:rPr>
        <w:t xml:space="preserve">. </w:t>
      </w:r>
    </w:p>
    <w:p w14:paraId="09DCA8E2" w14:textId="77777777" w:rsidR="00364882" w:rsidRPr="00080443" w:rsidRDefault="00364882" w:rsidP="00BB76C1">
      <w:pPr>
        <w:rPr>
          <w:rFonts w:cs="Arial"/>
        </w:rPr>
      </w:pPr>
    </w:p>
    <w:p w14:paraId="7147A44A" w14:textId="77777777" w:rsidR="00364882" w:rsidRPr="00080443" w:rsidRDefault="0060689E" w:rsidP="00CA2004">
      <w:pPr>
        <w:spacing w:after="80"/>
        <w:rPr>
          <w:rFonts w:cs="Arial"/>
          <w:szCs w:val="20"/>
        </w:rPr>
      </w:pPr>
      <w:r w:rsidRPr="00080443">
        <w:rPr>
          <w:rFonts w:cs="Arial"/>
        </w:rPr>
        <w:t xml:space="preserve">A description of the licence condition appears in </w:t>
      </w:r>
      <w:r w:rsidR="000C0D9B" w:rsidRPr="00080443">
        <w:rPr>
          <w:rFonts w:cs="Arial"/>
        </w:rPr>
        <w:t xml:space="preserve">subsection </w:t>
      </w:r>
      <w:r w:rsidR="00364882" w:rsidRPr="00080443">
        <w:rPr>
          <w:rFonts w:cs="Arial"/>
        </w:rPr>
        <w:t>3.7(2) of the 700 MHz band marketing plan</w:t>
      </w:r>
      <w:r w:rsidR="006C4C45" w:rsidRPr="00080443">
        <w:rPr>
          <w:rFonts w:cs="Arial"/>
        </w:rPr>
        <w:t>—</w:t>
      </w:r>
      <w:r w:rsidRPr="00080443">
        <w:rPr>
          <w:rFonts w:cs="Arial"/>
        </w:rPr>
        <w:t xml:space="preserve">and a version of the condition is included in the sample licence at Schedule 6 </w:t>
      </w:r>
      <w:r w:rsidRPr="00080443">
        <w:rPr>
          <w:rFonts w:cs="Arial"/>
          <w:szCs w:val="20"/>
        </w:rPr>
        <w:t>of that marketing plan</w:t>
      </w:r>
      <w:r w:rsidR="006C4C45" w:rsidRPr="00080443">
        <w:rPr>
          <w:rFonts w:cs="Arial"/>
          <w:szCs w:val="20"/>
        </w:rPr>
        <w:t>.</w:t>
      </w:r>
      <w:r w:rsidRPr="00080443">
        <w:rPr>
          <w:rStyle w:val="FootnoteReference"/>
          <w:rFonts w:cs="Arial"/>
          <w:szCs w:val="20"/>
        </w:rPr>
        <w:footnoteReference w:id="22"/>
      </w:r>
      <w:r w:rsidR="00364882" w:rsidRPr="00080443">
        <w:rPr>
          <w:rFonts w:cs="Arial"/>
          <w:szCs w:val="20"/>
        </w:rPr>
        <w:t xml:space="preserve"> </w:t>
      </w:r>
      <w:r w:rsidRPr="00080443">
        <w:rPr>
          <w:rFonts w:cs="Arial"/>
          <w:szCs w:val="20"/>
        </w:rPr>
        <w:t xml:space="preserve">The condition </w:t>
      </w:r>
      <w:r w:rsidR="00364882" w:rsidRPr="00080443">
        <w:rPr>
          <w:rFonts w:cs="Arial"/>
          <w:szCs w:val="20"/>
        </w:rPr>
        <w:t>provides that licences issued as a result of the auction will require that:</w:t>
      </w:r>
    </w:p>
    <w:p w14:paraId="6476A1F1" w14:textId="77777777" w:rsidR="00005D55" w:rsidRPr="00080443" w:rsidRDefault="00364882" w:rsidP="006630E6">
      <w:pPr>
        <w:pStyle w:val="ListParagraph"/>
        <w:numPr>
          <w:ilvl w:val="0"/>
          <w:numId w:val="16"/>
        </w:numPr>
        <w:ind w:left="426" w:hanging="426"/>
        <w:rPr>
          <w:rFonts w:ascii="Arial" w:hAnsi="Arial" w:cs="Arial"/>
          <w:sz w:val="20"/>
          <w:szCs w:val="20"/>
        </w:rPr>
      </w:pPr>
      <w:r w:rsidRPr="00080443">
        <w:rPr>
          <w:rFonts w:ascii="Arial" w:hAnsi="Arial" w:cs="Arial"/>
          <w:sz w:val="20"/>
          <w:szCs w:val="20"/>
        </w:rPr>
        <w:t>where a transmitter is used to provide a broadcasting service in accordance with a TLAP, or a retransmission service</w:t>
      </w:r>
      <w:r w:rsidR="0014773A" w:rsidRPr="00080443">
        <w:rPr>
          <w:rFonts w:ascii="Arial" w:hAnsi="Arial" w:cs="Arial"/>
          <w:sz w:val="20"/>
          <w:szCs w:val="20"/>
        </w:rPr>
        <w:t>,</w:t>
      </w:r>
      <w:r w:rsidRPr="00080443">
        <w:rPr>
          <w:rFonts w:ascii="Arial" w:hAnsi="Arial" w:cs="Arial"/>
          <w:sz w:val="20"/>
          <w:szCs w:val="20"/>
        </w:rPr>
        <w:t xml:space="preserve"> </w:t>
      </w:r>
      <w:r w:rsidR="000C0D9B" w:rsidRPr="00080443">
        <w:rPr>
          <w:rFonts w:ascii="Arial" w:hAnsi="Arial" w:cs="Arial"/>
          <w:sz w:val="20"/>
          <w:szCs w:val="20"/>
        </w:rPr>
        <w:t>on a channel between 694 MHz and 820 MHz, and</w:t>
      </w:r>
      <w:r w:rsidR="00F11468" w:rsidRPr="00080443">
        <w:rPr>
          <w:rFonts w:ascii="Arial" w:hAnsi="Arial" w:cs="Arial"/>
          <w:sz w:val="20"/>
          <w:szCs w:val="20"/>
        </w:rPr>
        <w:t xml:space="preserve"> </w:t>
      </w:r>
    </w:p>
    <w:p w14:paraId="362F8C85" w14:textId="77777777" w:rsidR="00005D55" w:rsidRPr="00080443" w:rsidRDefault="00ED2D4C" w:rsidP="006630E6">
      <w:pPr>
        <w:pStyle w:val="ListParagraph"/>
        <w:numPr>
          <w:ilvl w:val="0"/>
          <w:numId w:val="16"/>
        </w:numPr>
        <w:ind w:left="426" w:hanging="426"/>
        <w:rPr>
          <w:rFonts w:ascii="Arial" w:hAnsi="Arial" w:cs="Arial"/>
          <w:sz w:val="20"/>
          <w:szCs w:val="20"/>
        </w:rPr>
      </w:pPr>
      <w:r w:rsidRPr="00080443">
        <w:rPr>
          <w:rFonts w:ascii="Arial" w:hAnsi="Arial" w:cs="Arial"/>
          <w:sz w:val="20"/>
          <w:szCs w:val="20"/>
        </w:rPr>
        <w:t>the transmitter</w:t>
      </w:r>
      <w:r w:rsidR="00364882" w:rsidRPr="00080443">
        <w:rPr>
          <w:rFonts w:ascii="Arial" w:hAnsi="Arial" w:cs="Arial"/>
          <w:sz w:val="20"/>
          <w:szCs w:val="20"/>
        </w:rPr>
        <w:t xml:space="preserve"> is operated under an apparatus licence</w:t>
      </w:r>
      <w:r w:rsidR="00005D55" w:rsidRPr="00080443">
        <w:rPr>
          <w:rFonts w:ascii="Arial" w:hAnsi="Arial" w:cs="Arial"/>
          <w:sz w:val="20"/>
          <w:szCs w:val="20"/>
        </w:rPr>
        <w:t>;</w:t>
      </w:r>
      <w:r w:rsidR="004A372E" w:rsidRPr="00080443">
        <w:rPr>
          <w:rFonts w:ascii="Arial" w:hAnsi="Arial" w:cs="Arial"/>
          <w:sz w:val="20"/>
          <w:szCs w:val="20"/>
        </w:rPr>
        <w:t xml:space="preserve"> </w:t>
      </w:r>
    </w:p>
    <w:p w14:paraId="592E885B" w14:textId="77777777" w:rsidR="00F06A00" w:rsidRPr="00080443" w:rsidRDefault="00364882" w:rsidP="00005D55">
      <w:pPr>
        <w:spacing w:after="80"/>
        <w:rPr>
          <w:rFonts w:cs="Arial"/>
        </w:rPr>
      </w:pPr>
      <w:r w:rsidRPr="00080443">
        <w:rPr>
          <w:rFonts w:cs="Arial"/>
          <w:szCs w:val="20"/>
        </w:rPr>
        <w:t>new licensee</w:t>
      </w:r>
      <w:r w:rsidR="004A372E" w:rsidRPr="00080443">
        <w:rPr>
          <w:rFonts w:cs="Arial"/>
          <w:szCs w:val="20"/>
        </w:rPr>
        <w:t>s</w:t>
      </w:r>
      <w:r w:rsidRPr="00080443">
        <w:rPr>
          <w:rFonts w:cs="Arial"/>
          <w:szCs w:val="20"/>
        </w:rPr>
        <w:t xml:space="preserve"> must comply with Part 4 of the Radiocommunications Advisory Guidelines (Managing Interference from </w:t>
      </w:r>
      <w:r w:rsidR="00C749E8" w:rsidRPr="00080443">
        <w:rPr>
          <w:rFonts w:cs="Arial"/>
          <w:szCs w:val="20"/>
        </w:rPr>
        <w:t>Transmitters</w:t>
      </w:r>
      <w:r w:rsidR="00C749E8" w:rsidRPr="00080443">
        <w:rPr>
          <w:rFonts w:cs="Arial"/>
        </w:rPr>
        <w:t xml:space="preserve"> – 700 MHz Band) 2012 </w:t>
      </w:r>
      <w:r w:rsidR="004A372E" w:rsidRPr="00080443">
        <w:rPr>
          <w:rFonts w:cs="Arial"/>
        </w:rPr>
        <w:t>(</w:t>
      </w:r>
      <w:r w:rsidR="0014773A" w:rsidRPr="00080443">
        <w:rPr>
          <w:rFonts w:cs="Arial"/>
        </w:rPr>
        <w:t xml:space="preserve">Attachment </w:t>
      </w:r>
      <w:r w:rsidR="005D4EE4" w:rsidRPr="00080443">
        <w:rPr>
          <w:rFonts w:cs="Arial"/>
        </w:rPr>
        <w:t>D</w:t>
      </w:r>
      <w:r w:rsidR="004A372E" w:rsidRPr="00080443">
        <w:rPr>
          <w:rFonts w:cs="Arial"/>
        </w:rPr>
        <w:t>)</w:t>
      </w:r>
      <w:r w:rsidR="00C030D6" w:rsidRPr="00080443">
        <w:rPr>
          <w:rFonts w:cs="Arial"/>
        </w:rPr>
        <w:t xml:space="preserve"> to the extent that </w:t>
      </w:r>
      <w:r w:rsidR="00C749E8" w:rsidRPr="00080443">
        <w:rPr>
          <w:rFonts w:cs="Arial"/>
        </w:rPr>
        <w:t>Part 4 prevents the operation of a radiocommunications device in a</w:t>
      </w:r>
      <w:r w:rsidR="004A372E" w:rsidRPr="00080443">
        <w:rPr>
          <w:rFonts w:cs="Arial"/>
        </w:rPr>
        <w:t>n</w:t>
      </w:r>
      <w:r w:rsidR="00C749E8" w:rsidRPr="00080443">
        <w:rPr>
          <w:rFonts w:cs="Arial"/>
        </w:rPr>
        <w:t xml:space="preserve"> area that includes the t</w:t>
      </w:r>
      <w:r w:rsidR="0025435F" w:rsidRPr="00080443">
        <w:rPr>
          <w:rFonts w:cs="Arial"/>
        </w:rPr>
        <w:t>ransmitter site</w:t>
      </w:r>
      <w:r w:rsidR="00C749E8" w:rsidRPr="00080443">
        <w:rPr>
          <w:rFonts w:cs="Arial"/>
        </w:rPr>
        <w:t xml:space="preserve">.  </w:t>
      </w:r>
    </w:p>
    <w:p w14:paraId="6931F42E" w14:textId="77777777" w:rsidR="00F06A00" w:rsidRPr="00080443" w:rsidRDefault="00B52CDD">
      <w:pPr>
        <w:rPr>
          <w:rFonts w:cs="Arial"/>
        </w:rPr>
      </w:pPr>
      <w:r w:rsidRPr="00080443">
        <w:rPr>
          <w:rFonts w:cs="Arial"/>
        </w:rPr>
        <w:t xml:space="preserve">  </w:t>
      </w:r>
    </w:p>
    <w:p w14:paraId="3C7182D8" w14:textId="77777777" w:rsidR="00F06A00" w:rsidRPr="00080443" w:rsidRDefault="008A60B8">
      <w:pPr>
        <w:rPr>
          <w:rFonts w:cs="Arial"/>
        </w:rPr>
      </w:pPr>
      <w:r w:rsidRPr="00080443">
        <w:rPr>
          <w:rFonts w:cs="Arial"/>
        </w:rPr>
        <w:t xml:space="preserve">Part 4 of the </w:t>
      </w:r>
      <w:r w:rsidR="00714671" w:rsidRPr="00080443">
        <w:rPr>
          <w:rFonts w:cs="Arial"/>
        </w:rPr>
        <w:t>g</w:t>
      </w:r>
      <w:r w:rsidRPr="00080443">
        <w:rPr>
          <w:rFonts w:cs="Arial"/>
        </w:rPr>
        <w:t xml:space="preserve">uidelines provides </w:t>
      </w:r>
      <w:r w:rsidR="009E2E76" w:rsidRPr="00080443">
        <w:rPr>
          <w:rFonts w:cs="Arial"/>
        </w:rPr>
        <w:t>as follows</w:t>
      </w:r>
      <w:r w:rsidRPr="00080443">
        <w:rPr>
          <w:rFonts w:cs="Arial"/>
        </w:rPr>
        <w:t>:</w:t>
      </w:r>
    </w:p>
    <w:p w14:paraId="69B57527" w14:textId="77777777" w:rsidR="008A60B8" w:rsidRPr="00080443" w:rsidRDefault="008A60B8" w:rsidP="00F04397">
      <w:pPr>
        <w:spacing w:before="80" w:after="120"/>
        <w:ind w:left="284" w:right="284" w:firstLine="360"/>
        <w:rPr>
          <w:rFonts w:cs="Arial"/>
          <w:sz w:val="18"/>
          <w:szCs w:val="18"/>
        </w:rPr>
      </w:pPr>
      <w:r w:rsidRPr="00080443">
        <w:rPr>
          <w:rFonts w:cs="Arial"/>
          <w:sz w:val="18"/>
          <w:szCs w:val="18"/>
        </w:rPr>
        <w:t>4.2</w:t>
      </w:r>
      <w:r w:rsidRPr="00080443">
        <w:rPr>
          <w:rFonts w:cs="Arial"/>
          <w:sz w:val="18"/>
          <w:szCs w:val="18"/>
        </w:rPr>
        <w:tab/>
        <w:t>Digital television receivers</w:t>
      </w:r>
    </w:p>
    <w:p w14:paraId="715C4D74" w14:textId="77777777" w:rsidR="008A60B8" w:rsidRPr="00080443" w:rsidRDefault="008A60B8" w:rsidP="005B6C76">
      <w:pPr>
        <w:pStyle w:val="ListParagraph"/>
        <w:numPr>
          <w:ilvl w:val="0"/>
          <w:numId w:val="9"/>
        </w:numPr>
        <w:spacing w:before="80" w:after="120"/>
        <w:ind w:left="1418" w:right="284"/>
        <w:rPr>
          <w:rFonts w:ascii="Arial" w:hAnsi="Arial" w:cs="Arial"/>
          <w:sz w:val="18"/>
          <w:szCs w:val="18"/>
        </w:rPr>
      </w:pPr>
      <w:r w:rsidRPr="00080443">
        <w:rPr>
          <w:rFonts w:ascii="Arial" w:hAnsi="Arial" w:cs="Arial"/>
          <w:sz w:val="18"/>
          <w:szCs w:val="18"/>
        </w:rPr>
        <w:t xml:space="preserve">Where a </w:t>
      </w:r>
      <w:r w:rsidR="00C030D6" w:rsidRPr="00080443">
        <w:rPr>
          <w:rFonts w:ascii="Arial" w:hAnsi="Arial" w:cs="Arial"/>
          <w:sz w:val="18"/>
          <w:szCs w:val="18"/>
        </w:rPr>
        <w:t xml:space="preserve">digital television </w:t>
      </w:r>
      <w:r w:rsidRPr="00080443">
        <w:rPr>
          <w:rFonts w:ascii="Arial" w:hAnsi="Arial" w:cs="Arial"/>
          <w:sz w:val="18"/>
          <w:szCs w:val="18"/>
        </w:rPr>
        <w:t xml:space="preserve">broadcasting </w:t>
      </w:r>
      <w:r w:rsidR="00C030D6" w:rsidRPr="00080443">
        <w:rPr>
          <w:rFonts w:ascii="Arial" w:hAnsi="Arial" w:cs="Arial"/>
          <w:sz w:val="18"/>
          <w:szCs w:val="18"/>
        </w:rPr>
        <w:t xml:space="preserve">or retransmission </w:t>
      </w:r>
      <w:r w:rsidRPr="00080443">
        <w:rPr>
          <w:rFonts w:ascii="Arial" w:hAnsi="Arial" w:cs="Arial"/>
          <w:sz w:val="18"/>
          <w:szCs w:val="18"/>
        </w:rPr>
        <w:t>service continues to operate in the 694 to 820 MHz frequency range after the end of the re-allocation period, there is potential for interference to digital television receivers from spectrum-licensed transmitters operating in either the 700 MHz upper band or 700 MHz lower band.</w:t>
      </w:r>
    </w:p>
    <w:p w14:paraId="7D1457BE" w14:textId="77777777" w:rsidR="008A60B8" w:rsidRPr="00080443" w:rsidRDefault="008A60B8" w:rsidP="005B6C76">
      <w:pPr>
        <w:pStyle w:val="ListParagraph"/>
        <w:numPr>
          <w:ilvl w:val="0"/>
          <w:numId w:val="9"/>
        </w:numPr>
        <w:spacing w:before="80" w:after="120"/>
        <w:ind w:left="1418" w:right="284"/>
        <w:rPr>
          <w:rFonts w:ascii="Arial" w:hAnsi="Arial" w:cs="Arial"/>
          <w:sz w:val="18"/>
          <w:szCs w:val="18"/>
        </w:rPr>
      </w:pPr>
      <w:r w:rsidRPr="00080443">
        <w:rPr>
          <w:rFonts w:ascii="Arial" w:hAnsi="Arial" w:cs="Arial"/>
          <w:sz w:val="18"/>
          <w:szCs w:val="18"/>
        </w:rPr>
        <w:t xml:space="preserve">To mitigate potential interference, spectrum-licensed transmitters must be separated from </w:t>
      </w:r>
      <w:r w:rsidR="00C030D6" w:rsidRPr="00080443">
        <w:rPr>
          <w:rFonts w:ascii="Arial" w:hAnsi="Arial" w:cs="Arial"/>
          <w:sz w:val="18"/>
          <w:szCs w:val="18"/>
        </w:rPr>
        <w:t xml:space="preserve">coverage areas of digital television </w:t>
      </w:r>
      <w:r w:rsidRPr="00080443">
        <w:rPr>
          <w:rFonts w:ascii="Arial" w:hAnsi="Arial" w:cs="Arial"/>
          <w:sz w:val="18"/>
          <w:szCs w:val="18"/>
        </w:rPr>
        <w:t xml:space="preserve">broadcasting </w:t>
      </w:r>
      <w:r w:rsidR="00C030D6" w:rsidRPr="00080443">
        <w:rPr>
          <w:rFonts w:ascii="Arial" w:hAnsi="Arial" w:cs="Arial"/>
          <w:sz w:val="18"/>
          <w:szCs w:val="18"/>
        </w:rPr>
        <w:t xml:space="preserve">and retransmission </w:t>
      </w:r>
      <w:r w:rsidRPr="00080443">
        <w:rPr>
          <w:rFonts w:ascii="Arial" w:hAnsi="Arial" w:cs="Arial"/>
          <w:sz w:val="18"/>
          <w:szCs w:val="18"/>
        </w:rPr>
        <w:t>service</w:t>
      </w:r>
      <w:r w:rsidR="00D26FC5" w:rsidRPr="00080443">
        <w:rPr>
          <w:rFonts w:ascii="Arial" w:hAnsi="Arial" w:cs="Arial"/>
          <w:sz w:val="18"/>
          <w:szCs w:val="18"/>
        </w:rPr>
        <w:t>s</w:t>
      </w:r>
      <w:r w:rsidRPr="00080443">
        <w:rPr>
          <w:rFonts w:ascii="Arial" w:hAnsi="Arial" w:cs="Arial"/>
          <w:sz w:val="18"/>
          <w:szCs w:val="18"/>
        </w:rPr>
        <w:t xml:space="preserve">. The ACMA will publish a set of maps showing the required exclusion zones that implement these separation distances. For that area, as designated by these published maps, where </w:t>
      </w:r>
      <w:r w:rsidR="00D26FC5" w:rsidRPr="00080443">
        <w:rPr>
          <w:rFonts w:ascii="Arial" w:hAnsi="Arial" w:cs="Arial"/>
          <w:sz w:val="18"/>
          <w:szCs w:val="18"/>
        </w:rPr>
        <w:t xml:space="preserve">a UHF digital television broadcasting or retransmission operates on any channel in the </w:t>
      </w:r>
      <w:r w:rsidRPr="00080443">
        <w:rPr>
          <w:rFonts w:ascii="Arial" w:hAnsi="Arial" w:cs="Arial"/>
          <w:sz w:val="18"/>
          <w:szCs w:val="18"/>
        </w:rPr>
        <w:t>channel 52 to channel 69 range</w:t>
      </w:r>
      <w:r w:rsidR="00D26FC5" w:rsidRPr="00080443">
        <w:rPr>
          <w:rFonts w:ascii="Arial" w:hAnsi="Arial" w:cs="Arial"/>
          <w:sz w:val="18"/>
          <w:szCs w:val="18"/>
        </w:rPr>
        <w:t xml:space="preserve">, </w:t>
      </w:r>
      <w:r w:rsidRPr="00080443">
        <w:rPr>
          <w:rFonts w:ascii="Arial" w:hAnsi="Arial" w:cs="Arial"/>
          <w:sz w:val="18"/>
          <w:szCs w:val="18"/>
        </w:rPr>
        <w:t>a spectrum licensee must not deploy a service in any part of the 700 MHz band. This is for reasons of equitable access.</w:t>
      </w:r>
    </w:p>
    <w:p w14:paraId="107716ED" w14:textId="77777777" w:rsidR="008A60B8" w:rsidRPr="00080443" w:rsidRDefault="008A60B8" w:rsidP="005B6C76">
      <w:pPr>
        <w:pStyle w:val="ListParagraph"/>
        <w:numPr>
          <w:ilvl w:val="0"/>
          <w:numId w:val="9"/>
        </w:numPr>
        <w:spacing w:before="80" w:after="240"/>
        <w:ind w:left="1418" w:right="284"/>
        <w:rPr>
          <w:rFonts w:ascii="Arial" w:hAnsi="Arial" w:cs="Arial"/>
          <w:sz w:val="18"/>
          <w:szCs w:val="18"/>
        </w:rPr>
      </w:pPr>
      <w:r w:rsidRPr="00080443">
        <w:rPr>
          <w:rFonts w:ascii="Arial" w:hAnsi="Arial" w:cs="Arial"/>
          <w:sz w:val="18"/>
          <w:szCs w:val="18"/>
        </w:rPr>
        <w:t>These maps will be made available on the ACMA website and will be updated</w:t>
      </w:r>
      <w:r w:rsidR="00D26FC5" w:rsidRPr="00080443">
        <w:rPr>
          <w:rFonts w:ascii="Arial" w:hAnsi="Arial" w:cs="Arial"/>
          <w:sz w:val="18"/>
          <w:szCs w:val="18"/>
        </w:rPr>
        <w:t xml:space="preserve"> from time to time (for example, the number of applicable maps may be reduced) as digital television broadcasting and retransmission services are </w:t>
      </w:r>
      <w:r w:rsidR="003C4161" w:rsidRPr="00080443">
        <w:rPr>
          <w:rFonts w:ascii="Arial" w:hAnsi="Arial" w:cs="Arial"/>
          <w:sz w:val="18"/>
          <w:szCs w:val="18"/>
        </w:rPr>
        <w:t>‘</w:t>
      </w:r>
      <w:r w:rsidR="00D26FC5" w:rsidRPr="00080443">
        <w:rPr>
          <w:rFonts w:ascii="Arial" w:hAnsi="Arial" w:cs="Arial"/>
          <w:sz w:val="18"/>
          <w:szCs w:val="18"/>
        </w:rPr>
        <w:t>re-stacked</w:t>
      </w:r>
      <w:r w:rsidR="003C4161" w:rsidRPr="00080443">
        <w:rPr>
          <w:rFonts w:ascii="Arial" w:hAnsi="Arial" w:cs="Arial"/>
          <w:sz w:val="18"/>
          <w:szCs w:val="18"/>
        </w:rPr>
        <w:t>’</w:t>
      </w:r>
      <w:r w:rsidR="00D26FC5" w:rsidRPr="00080443">
        <w:rPr>
          <w:rFonts w:ascii="Arial" w:hAnsi="Arial" w:cs="Arial"/>
          <w:sz w:val="18"/>
          <w:szCs w:val="18"/>
        </w:rPr>
        <w:t xml:space="preserve"> to channels below 694 </w:t>
      </w:r>
      <w:proofErr w:type="spellStart"/>
      <w:r w:rsidR="00D26FC5" w:rsidRPr="00080443">
        <w:rPr>
          <w:rFonts w:ascii="Arial" w:hAnsi="Arial" w:cs="Arial"/>
          <w:sz w:val="18"/>
          <w:szCs w:val="18"/>
        </w:rPr>
        <w:t>MHz.</w:t>
      </w:r>
      <w:proofErr w:type="spellEnd"/>
      <w:r w:rsidR="00D26FC5" w:rsidRPr="00080443">
        <w:rPr>
          <w:rFonts w:ascii="Arial" w:hAnsi="Arial" w:cs="Arial"/>
          <w:sz w:val="18"/>
          <w:szCs w:val="18"/>
        </w:rPr>
        <w:t xml:space="preserve"> </w:t>
      </w:r>
      <w:r w:rsidRPr="00080443">
        <w:rPr>
          <w:rFonts w:ascii="Arial" w:hAnsi="Arial" w:cs="Arial"/>
          <w:sz w:val="18"/>
          <w:szCs w:val="18"/>
        </w:rPr>
        <w:t>Spectrum licensees should consult the ACMA website and refer to these maps when planning services in the 700 MHz band.</w:t>
      </w:r>
    </w:p>
    <w:p w14:paraId="43B74229" w14:textId="77777777" w:rsidR="00D26FC5" w:rsidRPr="00080443" w:rsidRDefault="00D26FC5" w:rsidP="005B6C76">
      <w:pPr>
        <w:pStyle w:val="ListParagraph"/>
        <w:numPr>
          <w:ilvl w:val="0"/>
          <w:numId w:val="9"/>
        </w:numPr>
        <w:spacing w:before="80" w:after="240"/>
        <w:ind w:left="1418" w:right="284"/>
        <w:rPr>
          <w:rFonts w:ascii="Arial" w:hAnsi="Arial" w:cs="Arial"/>
          <w:sz w:val="18"/>
          <w:szCs w:val="18"/>
        </w:rPr>
      </w:pPr>
      <w:r w:rsidRPr="00080443">
        <w:rPr>
          <w:rFonts w:ascii="Arial" w:hAnsi="Arial" w:cs="Arial"/>
          <w:sz w:val="18"/>
          <w:szCs w:val="18"/>
        </w:rPr>
        <w:t xml:space="preserve">In this section, </w:t>
      </w:r>
      <w:r w:rsidRPr="00080443">
        <w:rPr>
          <w:rFonts w:ascii="Arial" w:hAnsi="Arial" w:cs="Arial"/>
          <w:i/>
          <w:sz w:val="18"/>
          <w:szCs w:val="18"/>
        </w:rPr>
        <w:t>coverage area</w:t>
      </w:r>
      <w:r w:rsidRPr="00080443">
        <w:rPr>
          <w:rFonts w:ascii="Arial" w:hAnsi="Arial" w:cs="Arial"/>
          <w:sz w:val="18"/>
          <w:szCs w:val="18"/>
        </w:rPr>
        <w:t>, in relation to a broadcasting or retransmission service, means the area within which transmitters make that service available.</w:t>
      </w:r>
    </w:p>
    <w:p w14:paraId="68720458" w14:textId="77777777" w:rsidR="008A60B8" w:rsidRPr="00080443" w:rsidRDefault="008A60B8" w:rsidP="00F04397">
      <w:pPr>
        <w:rPr>
          <w:rFonts w:cs="Arial"/>
        </w:rPr>
      </w:pPr>
      <w:r w:rsidRPr="00080443">
        <w:rPr>
          <w:rFonts w:cs="Arial"/>
        </w:rPr>
        <w:lastRenderedPageBreak/>
        <w:t xml:space="preserve">The effect of </w:t>
      </w:r>
      <w:r w:rsidR="00FC205B" w:rsidRPr="00080443">
        <w:rPr>
          <w:rFonts w:cs="Arial"/>
        </w:rPr>
        <w:t xml:space="preserve">the condition described in </w:t>
      </w:r>
      <w:r w:rsidR="00DF3307" w:rsidRPr="00080443">
        <w:rPr>
          <w:rFonts w:cs="Arial"/>
        </w:rPr>
        <w:t xml:space="preserve">subsection </w:t>
      </w:r>
      <w:r w:rsidR="00C749E8" w:rsidRPr="00080443">
        <w:rPr>
          <w:rFonts w:cs="Arial"/>
        </w:rPr>
        <w:t>3.7(2) of the 700 MHz marketing plan</w:t>
      </w:r>
      <w:r w:rsidR="00FC205B" w:rsidRPr="00080443">
        <w:rPr>
          <w:rFonts w:cs="Arial"/>
        </w:rPr>
        <w:t>, and to be included in each spectrum licence issued in the 700 MHz band,</w:t>
      </w:r>
      <w:r w:rsidR="00C749E8" w:rsidRPr="00080443">
        <w:rPr>
          <w:rFonts w:cs="Arial"/>
        </w:rPr>
        <w:t xml:space="preserve"> is </w:t>
      </w:r>
      <w:r w:rsidRPr="00080443">
        <w:rPr>
          <w:rFonts w:cs="Arial"/>
        </w:rPr>
        <w:t>that any person who is issued a spectrum licence in th</w:t>
      </w:r>
      <w:r w:rsidR="004A3FA8" w:rsidRPr="00080443">
        <w:rPr>
          <w:rFonts w:cs="Arial"/>
        </w:rPr>
        <w:t>is</w:t>
      </w:r>
      <w:r w:rsidRPr="00080443">
        <w:rPr>
          <w:rFonts w:cs="Arial"/>
        </w:rPr>
        <w:t xml:space="preserve"> band as a result of the auction will be prevented from using the spectrum to deploy a radiocommunications device in any area where a </w:t>
      </w:r>
      <w:r w:rsidR="00C749E8" w:rsidRPr="00080443">
        <w:rPr>
          <w:rFonts w:cs="Arial"/>
        </w:rPr>
        <w:t>transmitter is being used to legally provide a broadcasting service</w:t>
      </w:r>
      <w:r w:rsidR="008E6BF8" w:rsidRPr="00080443">
        <w:rPr>
          <w:rFonts w:cs="Arial"/>
        </w:rPr>
        <w:t xml:space="preserve"> or retransmission service</w:t>
      </w:r>
      <w:r w:rsidR="00C749E8" w:rsidRPr="00080443">
        <w:rPr>
          <w:rFonts w:cs="Arial"/>
        </w:rPr>
        <w:t xml:space="preserve">. </w:t>
      </w:r>
    </w:p>
    <w:p w14:paraId="791DA1EC" w14:textId="77777777" w:rsidR="00F04397" w:rsidRPr="00080443" w:rsidRDefault="00F04397" w:rsidP="00F04397">
      <w:pPr>
        <w:rPr>
          <w:rFonts w:cs="Arial"/>
        </w:rPr>
      </w:pPr>
    </w:p>
    <w:p w14:paraId="00D9C18A" w14:textId="77777777" w:rsidR="00C749E8" w:rsidRPr="00080443" w:rsidRDefault="00FC205B" w:rsidP="00432388">
      <w:pPr>
        <w:spacing w:after="80"/>
        <w:rPr>
          <w:rFonts w:cs="Arial"/>
        </w:rPr>
      </w:pPr>
      <w:r w:rsidRPr="00080443">
        <w:rPr>
          <w:rFonts w:cs="Arial"/>
        </w:rPr>
        <w:t xml:space="preserve">700 MHz band </w:t>
      </w:r>
      <w:r w:rsidR="00C749E8" w:rsidRPr="00080443">
        <w:rPr>
          <w:rFonts w:cs="Arial"/>
        </w:rPr>
        <w:t xml:space="preserve">spectrum licensees will only have to comply with Part 4 of the </w:t>
      </w:r>
      <w:r w:rsidR="004A3FA8" w:rsidRPr="00080443">
        <w:rPr>
          <w:rFonts w:cs="Arial"/>
        </w:rPr>
        <w:t>g</w:t>
      </w:r>
      <w:r w:rsidR="00C749E8" w:rsidRPr="00080443">
        <w:rPr>
          <w:rFonts w:cs="Arial"/>
        </w:rPr>
        <w:t>uidelines where:</w:t>
      </w:r>
    </w:p>
    <w:p w14:paraId="3CE286B4" w14:textId="77777777" w:rsidR="00C749E8" w:rsidRPr="00080443" w:rsidRDefault="00C749E8" w:rsidP="00C749E8">
      <w:pPr>
        <w:pStyle w:val="ListBullet"/>
        <w:rPr>
          <w:rFonts w:cs="Arial"/>
        </w:rPr>
      </w:pPr>
      <w:r w:rsidRPr="00080443">
        <w:rPr>
          <w:rFonts w:cs="Arial"/>
        </w:rPr>
        <w:t>a</w:t>
      </w:r>
      <w:r w:rsidR="001B52A7" w:rsidRPr="00080443">
        <w:rPr>
          <w:rFonts w:cs="Arial"/>
        </w:rPr>
        <w:t xml:space="preserve"> transmitter is operated, </w:t>
      </w:r>
      <w:r w:rsidRPr="00080443">
        <w:rPr>
          <w:rFonts w:cs="Arial"/>
        </w:rPr>
        <w:t>under an apparatus licence</w:t>
      </w:r>
      <w:r w:rsidR="001B52A7" w:rsidRPr="00080443">
        <w:rPr>
          <w:rFonts w:cs="Arial"/>
        </w:rPr>
        <w:t>,</w:t>
      </w:r>
      <w:r w:rsidRPr="00080443">
        <w:rPr>
          <w:rFonts w:cs="Arial"/>
        </w:rPr>
        <w:t xml:space="preserve"> to provide a broadcasting or retransmission service in an area</w:t>
      </w:r>
    </w:p>
    <w:p w14:paraId="59566A60" w14:textId="77777777" w:rsidR="00F06A00" w:rsidRPr="00080443" w:rsidRDefault="00C749E8" w:rsidP="004A3FA8">
      <w:pPr>
        <w:pStyle w:val="ListBullet"/>
        <w:spacing w:after="240"/>
        <w:rPr>
          <w:rFonts w:cs="Arial"/>
        </w:rPr>
      </w:pPr>
      <w:r w:rsidRPr="00080443">
        <w:rPr>
          <w:rFonts w:cs="Arial"/>
        </w:rPr>
        <w:t xml:space="preserve">the service is being provided </w:t>
      </w:r>
      <w:r w:rsidR="000C0D9B" w:rsidRPr="00080443">
        <w:rPr>
          <w:rFonts w:cs="Arial"/>
        </w:rPr>
        <w:t xml:space="preserve">on a channel between 694 MHz and 820 </w:t>
      </w:r>
      <w:proofErr w:type="spellStart"/>
      <w:r w:rsidR="000C0D9B" w:rsidRPr="00080443">
        <w:rPr>
          <w:rFonts w:cs="Arial"/>
        </w:rPr>
        <w:t>MHz</w:t>
      </w:r>
      <w:r w:rsidRPr="00080443">
        <w:rPr>
          <w:rFonts w:cs="Arial"/>
        </w:rPr>
        <w:t>.</w:t>
      </w:r>
      <w:proofErr w:type="spellEnd"/>
    </w:p>
    <w:p w14:paraId="633BD903" w14:textId="77777777" w:rsidR="00F06A00" w:rsidRPr="00080443" w:rsidRDefault="000E7990" w:rsidP="003B09B3">
      <w:pPr>
        <w:spacing w:after="80"/>
        <w:rPr>
          <w:rFonts w:cs="Arial"/>
        </w:rPr>
      </w:pPr>
      <w:r w:rsidRPr="00080443">
        <w:rPr>
          <w:rFonts w:cs="Arial"/>
        </w:rPr>
        <w:t>Additionally, s</w:t>
      </w:r>
      <w:r w:rsidR="00C749E8" w:rsidRPr="00080443">
        <w:rPr>
          <w:rFonts w:cs="Arial"/>
        </w:rPr>
        <w:t xml:space="preserve">pectrum licensees will only have to comply with Part 4 of the </w:t>
      </w:r>
      <w:r w:rsidR="003B09B3" w:rsidRPr="00080443">
        <w:rPr>
          <w:rFonts w:cs="Arial"/>
        </w:rPr>
        <w:t>g</w:t>
      </w:r>
      <w:r w:rsidR="00C749E8" w:rsidRPr="00080443">
        <w:rPr>
          <w:rFonts w:cs="Arial"/>
        </w:rPr>
        <w:t xml:space="preserve">uidelines in </w:t>
      </w:r>
      <w:r w:rsidR="00016FD9" w:rsidRPr="00080443">
        <w:rPr>
          <w:rFonts w:cs="Arial"/>
        </w:rPr>
        <w:t xml:space="preserve">designated </w:t>
      </w:r>
      <w:r w:rsidR="00C749E8" w:rsidRPr="00080443">
        <w:rPr>
          <w:rFonts w:cs="Arial"/>
        </w:rPr>
        <w:t>area</w:t>
      </w:r>
      <w:r w:rsidR="00813F39" w:rsidRPr="00080443">
        <w:rPr>
          <w:rFonts w:cs="Arial"/>
        </w:rPr>
        <w:t>s</w:t>
      </w:r>
      <w:r w:rsidR="00016FD9" w:rsidRPr="00080443">
        <w:rPr>
          <w:rFonts w:cs="Arial"/>
        </w:rPr>
        <w:t xml:space="preserve"> (exclusion zones)</w:t>
      </w:r>
      <w:r w:rsidR="00C749E8" w:rsidRPr="00080443">
        <w:rPr>
          <w:rFonts w:cs="Arial"/>
        </w:rPr>
        <w:t xml:space="preserve"> </w:t>
      </w:r>
      <w:r w:rsidR="007351B4" w:rsidRPr="00080443">
        <w:rPr>
          <w:rFonts w:cs="Arial"/>
        </w:rPr>
        <w:t xml:space="preserve">where the </w:t>
      </w:r>
      <w:r w:rsidR="00C749E8" w:rsidRPr="00080443">
        <w:rPr>
          <w:rFonts w:cs="Arial"/>
        </w:rPr>
        <w:t>relevant transmitter</w:t>
      </w:r>
      <w:r w:rsidR="00813F39" w:rsidRPr="00080443">
        <w:rPr>
          <w:rFonts w:cs="Arial"/>
        </w:rPr>
        <w:t>s</w:t>
      </w:r>
      <w:r w:rsidR="00C749E8" w:rsidRPr="00080443">
        <w:rPr>
          <w:rFonts w:cs="Arial"/>
        </w:rPr>
        <w:t xml:space="preserve"> </w:t>
      </w:r>
      <w:r w:rsidR="00813F39" w:rsidRPr="00080443">
        <w:rPr>
          <w:rFonts w:cs="Arial"/>
        </w:rPr>
        <w:t>are</w:t>
      </w:r>
      <w:r w:rsidR="00C749E8" w:rsidRPr="00080443">
        <w:rPr>
          <w:rFonts w:cs="Arial"/>
        </w:rPr>
        <w:t xml:space="preserve"> being used. </w:t>
      </w:r>
      <w:r w:rsidR="007351B4" w:rsidRPr="00080443">
        <w:rPr>
          <w:rFonts w:cs="Arial"/>
        </w:rPr>
        <w:t xml:space="preserve">Where transmitters cease to provide the relevant services in an area, </w:t>
      </w:r>
      <w:r w:rsidR="00016FD9" w:rsidRPr="00080443">
        <w:rPr>
          <w:rFonts w:cs="Arial"/>
        </w:rPr>
        <w:t xml:space="preserve">the relevant exclusion zone will be removed pursuant to the process under the </w:t>
      </w:r>
      <w:r w:rsidR="003B09B3" w:rsidRPr="00080443">
        <w:rPr>
          <w:rFonts w:cs="Arial"/>
        </w:rPr>
        <w:t>g</w:t>
      </w:r>
      <w:r w:rsidR="00016FD9" w:rsidRPr="00080443">
        <w:rPr>
          <w:rFonts w:cs="Arial"/>
        </w:rPr>
        <w:t xml:space="preserve">uidelines and </w:t>
      </w:r>
      <w:r w:rsidR="007351B4" w:rsidRPr="00080443">
        <w:rPr>
          <w:rFonts w:cs="Arial"/>
        </w:rPr>
        <w:t>the condition will cease to apply in that area</w:t>
      </w:r>
      <w:r w:rsidR="003B09B3" w:rsidRPr="00080443">
        <w:rPr>
          <w:rFonts w:cs="Arial"/>
        </w:rPr>
        <w:t>—</w:t>
      </w:r>
      <w:r w:rsidR="00813F39" w:rsidRPr="00080443">
        <w:rPr>
          <w:rFonts w:cs="Arial"/>
        </w:rPr>
        <w:t>although exclusion zones for operating transmitters in other areas wil</w:t>
      </w:r>
      <w:r w:rsidR="00E32539" w:rsidRPr="00080443">
        <w:rPr>
          <w:rFonts w:cs="Arial"/>
        </w:rPr>
        <w:t>l still apply. The condition will cease to apply entirely</w:t>
      </w:r>
      <w:r w:rsidR="009F5F53" w:rsidRPr="00080443">
        <w:rPr>
          <w:rFonts w:cs="Arial"/>
        </w:rPr>
        <w:t>, and new licensees will be able to commence using the spectrum,</w:t>
      </w:r>
      <w:r w:rsidR="00813F39" w:rsidRPr="00080443">
        <w:rPr>
          <w:rFonts w:cs="Arial"/>
        </w:rPr>
        <w:t xml:space="preserve"> </w:t>
      </w:r>
      <w:r w:rsidR="007351B4" w:rsidRPr="00080443">
        <w:rPr>
          <w:rFonts w:cs="Arial"/>
        </w:rPr>
        <w:t>when the last broadcasting or retransmission service vacates.</w:t>
      </w:r>
      <w:r w:rsidR="00546BFE" w:rsidRPr="00080443">
        <w:rPr>
          <w:rFonts w:cs="Arial"/>
        </w:rPr>
        <w:t xml:space="preserve"> </w:t>
      </w:r>
      <w:r w:rsidR="001C5028" w:rsidRPr="00080443">
        <w:rPr>
          <w:rFonts w:cs="Arial"/>
        </w:rPr>
        <w:t xml:space="preserve">New licensees should ensure that they review the ACMA’s website regularly in order to </w:t>
      </w:r>
      <w:r w:rsidR="000E20B7" w:rsidRPr="00080443">
        <w:rPr>
          <w:rFonts w:cs="Arial"/>
        </w:rPr>
        <w:t xml:space="preserve">access </w:t>
      </w:r>
      <w:r w:rsidR="00E40705" w:rsidRPr="00080443">
        <w:rPr>
          <w:rFonts w:cs="Arial"/>
        </w:rPr>
        <w:t xml:space="preserve">all updated information about the vacation of broadcasting and transmission services, including all updates to the exclusion zone maps </w:t>
      </w:r>
      <w:r w:rsidR="000E20B7" w:rsidRPr="00080443">
        <w:rPr>
          <w:rFonts w:cs="Arial"/>
        </w:rPr>
        <w:t>(see link at 1.2.6)</w:t>
      </w:r>
      <w:r w:rsidR="001C5028" w:rsidRPr="00080443">
        <w:rPr>
          <w:rFonts w:cs="Arial"/>
        </w:rPr>
        <w:t xml:space="preserve">. </w:t>
      </w:r>
    </w:p>
    <w:p w14:paraId="0A0136C3" w14:textId="77777777" w:rsidR="00F06A00" w:rsidRPr="00080443" w:rsidRDefault="00F06A00">
      <w:pPr>
        <w:rPr>
          <w:rFonts w:cs="Arial"/>
        </w:rPr>
      </w:pPr>
    </w:p>
    <w:p w14:paraId="6B9E952E" w14:textId="77777777" w:rsidR="005B5806" w:rsidRPr="00080443" w:rsidRDefault="00E32539">
      <w:pPr>
        <w:rPr>
          <w:rFonts w:cs="Arial"/>
        </w:rPr>
      </w:pPr>
      <w:r w:rsidRPr="00080443">
        <w:rPr>
          <w:rFonts w:cs="Arial"/>
        </w:rPr>
        <w:t>Ordinarily, it is not necessary to protect licensees in this way against interference in the same geographic area and bandwidth frequency. This is because the effect of a spectrum reallocation declaration under Part 3.6 of the Act is to cancel existing apparatus licences and clear the declared frequency range.</w:t>
      </w:r>
      <w:r w:rsidR="00631C73" w:rsidRPr="00080443">
        <w:rPr>
          <w:rFonts w:cs="Arial"/>
          <w:vertAlign w:val="superscript"/>
        </w:rPr>
        <w:footnoteReference w:id="23"/>
      </w:r>
      <w:r w:rsidR="00B52CDD" w:rsidRPr="00080443">
        <w:rPr>
          <w:rFonts w:cs="Arial"/>
          <w:vertAlign w:val="superscript"/>
        </w:rPr>
        <w:t xml:space="preserve"> </w:t>
      </w:r>
      <w:r w:rsidR="00C749E8" w:rsidRPr="00080443">
        <w:rPr>
          <w:rFonts w:cs="Arial"/>
        </w:rPr>
        <w:t xml:space="preserve">However, the reallocation of digital dividend spectrum is unique in that some of the </w:t>
      </w:r>
      <w:r w:rsidRPr="00080443">
        <w:rPr>
          <w:rFonts w:cs="Arial"/>
        </w:rPr>
        <w:t xml:space="preserve">apparatus licences operating in the 700 MHz band will be cleared through a different process (see 1.2.5). For this reason, it is necessary to include a specific provision in the </w:t>
      </w:r>
      <w:r w:rsidR="00845BC4" w:rsidRPr="00080443">
        <w:rPr>
          <w:rFonts w:cs="Arial"/>
        </w:rPr>
        <w:t>700 </w:t>
      </w:r>
      <w:r w:rsidRPr="00080443">
        <w:rPr>
          <w:rFonts w:cs="Arial"/>
        </w:rPr>
        <w:t>MHz band spectrum licences, as described in the 700 MHz band marketing plan, to protect incumbent licensees from interference in the event that broadcasting services or retransmission services remain lawfully operating in the 700 MHz band after the new spectrum licences commence</w:t>
      </w:r>
      <w:r w:rsidR="00D75571" w:rsidRPr="00080443">
        <w:rPr>
          <w:rFonts w:cs="Arial"/>
        </w:rPr>
        <w:t>.</w:t>
      </w:r>
      <w:r w:rsidR="00AF3575" w:rsidRPr="00080443">
        <w:rPr>
          <w:rFonts w:cs="Arial"/>
        </w:rPr>
        <w:t xml:space="preserve"> Th</w:t>
      </w:r>
      <w:r w:rsidR="00E40705" w:rsidRPr="00080443">
        <w:rPr>
          <w:rFonts w:cs="Arial"/>
        </w:rPr>
        <w:t xml:space="preserve">e </w:t>
      </w:r>
      <w:r w:rsidR="00F66463" w:rsidRPr="00080443">
        <w:rPr>
          <w:rFonts w:cs="Arial"/>
        </w:rPr>
        <w:t xml:space="preserve">interference management condition </w:t>
      </w:r>
      <w:r w:rsidR="00E40705" w:rsidRPr="00080443">
        <w:rPr>
          <w:rFonts w:cs="Arial"/>
        </w:rPr>
        <w:t xml:space="preserve">provides </w:t>
      </w:r>
      <w:r w:rsidR="008D6F0A" w:rsidRPr="00080443">
        <w:rPr>
          <w:rFonts w:cs="Arial"/>
        </w:rPr>
        <w:t xml:space="preserve">such </w:t>
      </w:r>
      <w:r w:rsidR="00E40705" w:rsidRPr="00080443">
        <w:rPr>
          <w:rFonts w:cs="Arial"/>
        </w:rPr>
        <w:t xml:space="preserve">protection in a way that </w:t>
      </w:r>
      <w:r w:rsidR="00F66463" w:rsidRPr="00080443">
        <w:rPr>
          <w:rFonts w:cs="Arial"/>
        </w:rPr>
        <w:t xml:space="preserve">recognises the staged </w:t>
      </w:r>
      <w:r w:rsidR="008D6F0A" w:rsidRPr="00080443">
        <w:rPr>
          <w:rFonts w:cs="Arial"/>
        </w:rPr>
        <w:t xml:space="preserve">clearance </w:t>
      </w:r>
      <w:r w:rsidR="00E40705" w:rsidRPr="00080443">
        <w:rPr>
          <w:rFonts w:cs="Arial"/>
        </w:rPr>
        <w:t xml:space="preserve">of </w:t>
      </w:r>
      <w:r w:rsidR="00CC6927" w:rsidRPr="00080443">
        <w:rPr>
          <w:rFonts w:cs="Arial"/>
        </w:rPr>
        <w:t>broadcasting and retransmission services</w:t>
      </w:r>
      <w:r w:rsidR="00AB1E89" w:rsidRPr="00080443">
        <w:rPr>
          <w:rFonts w:cs="Arial"/>
        </w:rPr>
        <w:t>. The ‘self-executing’ aspect of the</w:t>
      </w:r>
      <w:r w:rsidR="00AF3575" w:rsidRPr="00080443">
        <w:rPr>
          <w:rFonts w:cs="Arial"/>
        </w:rPr>
        <w:t xml:space="preserve"> condition means that new </w:t>
      </w:r>
      <w:r w:rsidR="00CC6927" w:rsidRPr="00080443">
        <w:rPr>
          <w:rFonts w:cs="Arial"/>
        </w:rPr>
        <w:t>licensees</w:t>
      </w:r>
      <w:r w:rsidR="00AF3575" w:rsidRPr="00080443">
        <w:rPr>
          <w:rFonts w:cs="Arial"/>
        </w:rPr>
        <w:t xml:space="preserve"> </w:t>
      </w:r>
      <w:r w:rsidR="00AB1E89" w:rsidRPr="00080443">
        <w:rPr>
          <w:rFonts w:cs="Arial"/>
        </w:rPr>
        <w:t xml:space="preserve">can </w:t>
      </w:r>
      <w:r w:rsidR="008B1A13" w:rsidRPr="00080443">
        <w:rPr>
          <w:rFonts w:cs="Arial"/>
        </w:rPr>
        <w:t xml:space="preserve">commence using </w:t>
      </w:r>
      <w:r w:rsidR="001465E9" w:rsidRPr="00080443">
        <w:rPr>
          <w:rFonts w:cs="Arial"/>
        </w:rPr>
        <w:t xml:space="preserve">any </w:t>
      </w:r>
      <w:r w:rsidR="00EB7FC9" w:rsidRPr="00080443">
        <w:rPr>
          <w:rFonts w:cs="Arial"/>
        </w:rPr>
        <w:t xml:space="preserve">700 MHz spectrum </w:t>
      </w:r>
      <w:r w:rsidR="008B1A13" w:rsidRPr="00080443">
        <w:rPr>
          <w:rFonts w:cs="Arial"/>
        </w:rPr>
        <w:t xml:space="preserve">they win in the auction in an area immediately </w:t>
      </w:r>
      <w:r w:rsidR="008D6F0A" w:rsidRPr="00080443">
        <w:rPr>
          <w:rFonts w:cs="Arial"/>
        </w:rPr>
        <w:t xml:space="preserve">following the vacation of the </w:t>
      </w:r>
      <w:r w:rsidR="00AB1E89" w:rsidRPr="00080443">
        <w:rPr>
          <w:rFonts w:cs="Arial"/>
        </w:rPr>
        <w:t xml:space="preserve">last service </w:t>
      </w:r>
      <w:r w:rsidR="008D6F0A" w:rsidRPr="00080443">
        <w:rPr>
          <w:rFonts w:cs="Arial"/>
        </w:rPr>
        <w:t xml:space="preserve">from the area. </w:t>
      </w:r>
    </w:p>
    <w:p w14:paraId="3DCDE459" w14:textId="77777777" w:rsidR="005B5806" w:rsidRPr="00080443" w:rsidRDefault="005B5806">
      <w:pPr>
        <w:rPr>
          <w:rFonts w:cs="Arial"/>
        </w:rPr>
      </w:pPr>
    </w:p>
    <w:p w14:paraId="1EBDEDB2" w14:textId="77777777" w:rsidR="008A60B8" w:rsidRPr="00080443" w:rsidRDefault="008A60B8" w:rsidP="00F04397">
      <w:pPr>
        <w:rPr>
          <w:rFonts w:cs="Arial"/>
        </w:rPr>
      </w:pPr>
      <w:r w:rsidRPr="00080443">
        <w:rPr>
          <w:rFonts w:cs="Arial"/>
        </w:rPr>
        <w:t>It is important that any person who is considering participating in the auction be aware that each spectrum licence issued in the 700 MHz band as a result of the auction will include this condition, and consider how the condition may impact on their intended use of any 700 MHz spectrum they win.</w:t>
      </w:r>
    </w:p>
    <w:p w14:paraId="77548473" w14:textId="77777777" w:rsidR="00F06A00" w:rsidRPr="00080443" w:rsidRDefault="00F06A00">
      <w:pPr>
        <w:rPr>
          <w:rFonts w:cs="Arial"/>
        </w:rPr>
      </w:pPr>
    </w:p>
    <w:p w14:paraId="006A383A" w14:textId="77777777" w:rsidR="009F2C69" w:rsidRPr="00080443" w:rsidRDefault="00492C8B" w:rsidP="00234088">
      <w:pPr>
        <w:pStyle w:val="Heading3"/>
        <w:numPr>
          <w:ilvl w:val="2"/>
          <w:numId w:val="13"/>
        </w:numPr>
      </w:pPr>
      <w:bookmarkStart w:id="66" w:name="_Toc335246251"/>
      <w:bookmarkStart w:id="67" w:name="_Toc343780460"/>
      <w:r w:rsidRPr="00080443">
        <w:t xml:space="preserve">Datacasting licence </w:t>
      </w:r>
      <w:r w:rsidR="00031CB6" w:rsidRPr="00080443">
        <w:t>condition</w:t>
      </w:r>
      <w:r w:rsidR="00C07BB8" w:rsidRPr="00080443">
        <w:t>s (700 MHz band)</w:t>
      </w:r>
      <w:bookmarkEnd w:id="66"/>
      <w:bookmarkEnd w:id="67"/>
    </w:p>
    <w:p w14:paraId="05FBB3B5" w14:textId="77777777" w:rsidR="007A6B2A" w:rsidRPr="00080443" w:rsidRDefault="004523CF" w:rsidP="0081117C">
      <w:pPr>
        <w:rPr>
          <w:rFonts w:cs="Arial"/>
        </w:rPr>
      </w:pPr>
      <w:r w:rsidRPr="00080443">
        <w:rPr>
          <w:rFonts w:cs="Arial"/>
        </w:rPr>
        <w:t xml:space="preserve">As discussed at 1.2.7, consistent with the intent of the spectrum reallocation declarations made by the minister, it is expected that the declared parts of the 700 MHz band will be excised from the BSBs </w:t>
      </w:r>
      <w:r w:rsidR="007A6B2A" w:rsidRPr="00080443">
        <w:rPr>
          <w:rFonts w:cs="Arial"/>
        </w:rPr>
        <w:t>before spectrum licences commence on 1 January 2015</w:t>
      </w:r>
      <w:r w:rsidR="004A185D" w:rsidRPr="00080443">
        <w:rPr>
          <w:rFonts w:cs="Arial"/>
        </w:rPr>
        <w:t xml:space="preserve">. </w:t>
      </w:r>
      <w:r w:rsidR="007A6B2A" w:rsidRPr="00080443">
        <w:rPr>
          <w:rFonts w:cs="Arial"/>
        </w:rPr>
        <w:t xml:space="preserve">However, </w:t>
      </w:r>
      <w:r w:rsidR="00182CC0" w:rsidRPr="00080443">
        <w:rPr>
          <w:rFonts w:cs="Arial"/>
        </w:rPr>
        <w:t xml:space="preserve">as discussed </w:t>
      </w:r>
      <w:r w:rsidR="00C07BB8" w:rsidRPr="00080443">
        <w:rPr>
          <w:rFonts w:cs="Arial"/>
        </w:rPr>
        <w:t xml:space="preserve">at </w:t>
      </w:r>
      <w:r w:rsidR="00182CC0" w:rsidRPr="00080443">
        <w:rPr>
          <w:rFonts w:cs="Arial"/>
        </w:rPr>
        <w:t>1.2.</w:t>
      </w:r>
      <w:r w:rsidR="00D6222E" w:rsidRPr="00080443">
        <w:rPr>
          <w:rFonts w:cs="Arial"/>
        </w:rPr>
        <w:t>6</w:t>
      </w:r>
      <w:r w:rsidR="00182CC0" w:rsidRPr="00080443">
        <w:rPr>
          <w:rFonts w:cs="Arial"/>
        </w:rPr>
        <w:t xml:space="preserve">, </w:t>
      </w:r>
      <w:r w:rsidR="007A6B2A" w:rsidRPr="00080443">
        <w:rPr>
          <w:rFonts w:cs="Arial"/>
        </w:rPr>
        <w:t xml:space="preserve">it remains possible that a TLAP prepared by the ACMA, or varied by the ACMA under subsection </w:t>
      </w:r>
      <w:r w:rsidR="00182CC0" w:rsidRPr="00080443">
        <w:rPr>
          <w:rFonts w:cs="Arial"/>
        </w:rPr>
        <w:t xml:space="preserve">26(2) of the Broadcasting Services Act, </w:t>
      </w:r>
      <w:r w:rsidR="007A6B2A" w:rsidRPr="00080443">
        <w:rPr>
          <w:rFonts w:cs="Arial"/>
        </w:rPr>
        <w:t xml:space="preserve">may permit broadcasting </w:t>
      </w:r>
      <w:r w:rsidR="000A5B9C" w:rsidRPr="00080443">
        <w:rPr>
          <w:rFonts w:cs="Arial"/>
        </w:rPr>
        <w:t xml:space="preserve">or retransmission </w:t>
      </w:r>
      <w:r w:rsidR="007A6B2A" w:rsidRPr="00080443">
        <w:rPr>
          <w:rFonts w:cs="Arial"/>
        </w:rPr>
        <w:t xml:space="preserve">services to </w:t>
      </w:r>
      <w:r w:rsidR="007A6B2A" w:rsidRPr="00080443">
        <w:rPr>
          <w:rFonts w:cs="Arial"/>
        </w:rPr>
        <w:lastRenderedPageBreak/>
        <w:t>continue</w:t>
      </w:r>
      <w:r w:rsidR="00184E8A" w:rsidRPr="00080443">
        <w:rPr>
          <w:rFonts w:cs="Arial"/>
        </w:rPr>
        <w:t xml:space="preserve"> operat</w:t>
      </w:r>
      <w:r w:rsidR="00182CC0" w:rsidRPr="00080443">
        <w:rPr>
          <w:rFonts w:cs="Arial"/>
        </w:rPr>
        <w:t>ing</w:t>
      </w:r>
      <w:r w:rsidR="00184E8A" w:rsidRPr="00080443">
        <w:rPr>
          <w:rFonts w:cs="Arial"/>
        </w:rPr>
        <w:t xml:space="preserve"> lawfully </w:t>
      </w:r>
      <w:r w:rsidR="007A6B2A" w:rsidRPr="00080443">
        <w:rPr>
          <w:rFonts w:cs="Arial"/>
        </w:rPr>
        <w:t xml:space="preserve">in the 700 MHz band in the relevant area </w:t>
      </w:r>
      <w:r w:rsidR="007A6B2A" w:rsidRPr="00080443">
        <w:rPr>
          <w:rFonts w:cs="Arial"/>
          <w:i/>
        </w:rPr>
        <w:t>after</w:t>
      </w:r>
      <w:r w:rsidR="007A6B2A" w:rsidRPr="00080443">
        <w:rPr>
          <w:rFonts w:cs="Arial"/>
        </w:rPr>
        <w:t xml:space="preserve"> </w:t>
      </w:r>
      <w:r w:rsidR="00C07BB8" w:rsidRPr="00080443">
        <w:rPr>
          <w:rFonts w:cs="Arial"/>
        </w:rPr>
        <w:t xml:space="preserve">the </w:t>
      </w:r>
      <w:r w:rsidR="007A6B2A" w:rsidRPr="00080443">
        <w:rPr>
          <w:rFonts w:cs="Arial"/>
        </w:rPr>
        <w:t>spectrum licences commence</w:t>
      </w:r>
      <w:r w:rsidR="00184E8A" w:rsidRPr="00080443">
        <w:rPr>
          <w:rFonts w:cs="Arial"/>
        </w:rPr>
        <w:t>. In circumstances</w:t>
      </w:r>
      <w:r w:rsidR="0000596C" w:rsidRPr="00080443">
        <w:rPr>
          <w:rFonts w:cs="Arial"/>
        </w:rPr>
        <w:t xml:space="preserve"> where </w:t>
      </w:r>
      <w:r w:rsidR="000A5B9C" w:rsidRPr="00080443">
        <w:rPr>
          <w:rFonts w:cs="Arial"/>
        </w:rPr>
        <w:t xml:space="preserve">broadcasting or retransmission services </w:t>
      </w:r>
      <w:r w:rsidR="0000596C" w:rsidRPr="00080443">
        <w:rPr>
          <w:rFonts w:cs="Arial"/>
        </w:rPr>
        <w:t>are still operating</w:t>
      </w:r>
      <w:r w:rsidR="004B1E62" w:rsidRPr="00080443">
        <w:rPr>
          <w:rFonts w:cs="Arial"/>
        </w:rPr>
        <w:t>,</w:t>
      </w:r>
      <w:r w:rsidR="00184E8A" w:rsidRPr="00080443">
        <w:rPr>
          <w:rFonts w:cs="Arial"/>
        </w:rPr>
        <w:t xml:space="preserve"> the declared parts of the 700 MHz band would need to remain in the </w:t>
      </w:r>
      <w:r w:rsidR="00F16DD7" w:rsidRPr="00080443">
        <w:rPr>
          <w:rFonts w:cs="Arial"/>
        </w:rPr>
        <w:t>BSBs</w:t>
      </w:r>
      <w:r w:rsidR="00184E8A" w:rsidRPr="00080443">
        <w:rPr>
          <w:rFonts w:cs="Arial"/>
        </w:rPr>
        <w:t xml:space="preserve"> until </w:t>
      </w:r>
      <w:r w:rsidR="004B1E62" w:rsidRPr="00080443">
        <w:rPr>
          <w:rFonts w:cs="Arial"/>
        </w:rPr>
        <w:t xml:space="preserve">the </w:t>
      </w:r>
      <w:r w:rsidR="00184E8A" w:rsidRPr="00080443">
        <w:rPr>
          <w:rFonts w:cs="Arial"/>
        </w:rPr>
        <w:t>last service has vacated.</w:t>
      </w:r>
    </w:p>
    <w:p w14:paraId="2429E7CB" w14:textId="77777777" w:rsidR="007A6B2A" w:rsidRPr="00080443" w:rsidRDefault="007A6B2A" w:rsidP="0081117C">
      <w:pPr>
        <w:rPr>
          <w:rFonts w:cs="Arial"/>
        </w:rPr>
      </w:pPr>
    </w:p>
    <w:p w14:paraId="76AE2F31" w14:textId="77777777" w:rsidR="00F94BCB" w:rsidRPr="00080443" w:rsidRDefault="002A77AD" w:rsidP="0081117C">
      <w:pPr>
        <w:rPr>
          <w:rFonts w:cs="Arial"/>
        </w:rPr>
      </w:pPr>
      <w:r w:rsidRPr="00080443">
        <w:rPr>
          <w:rFonts w:cs="Arial"/>
        </w:rPr>
        <w:t>Currently, a</w:t>
      </w:r>
      <w:r w:rsidR="00F94BCB" w:rsidRPr="00080443">
        <w:rPr>
          <w:rFonts w:cs="Arial"/>
        </w:rPr>
        <w:t>dditional regulatory obligations may arise whe</w:t>
      </w:r>
      <w:r w:rsidR="00A962F2" w:rsidRPr="00080443">
        <w:rPr>
          <w:rFonts w:cs="Arial"/>
        </w:rPr>
        <w:t xml:space="preserve">re radiocommunications </w:t>
      </w:r>
      <w:r w:rsidR="00F94BCB" w:rsidRPr="00080443">
        <w:rPr>
          <w:rFonts w:cs="Arial"/>
        </w:rPr>
        <w:t xml:space="preserve">devices are operated in accordance with </w:t>
      </w:r>
      <w:r w:rsidR="00182CC0" w:rsidRPr="00080443">
        <w:rPr>
          <w:rFonts w:cs="Arial"/>
        </w:rPr>
        <w:t>a</w:t>
      </w:r>
      <w:r w:rsidR="00F94BCB" w:rsidRPr="00080443">
        <w:rPr>
          <w:rFonts w:cs="Arial"/>
        </w:rPr>
        <w:t xml:space="preserve"> spectrum licence while the spectrum authorised by the licence remains in the </w:t>
      </w:r>
      <w:r w:rsidR="00F16DD7" w:rsidRPr="00080443">
        <w:rPr>
          <w:rFonts w:cs="Arial"/>
        </w:rPr>
        <w:t>BSBs</w:t>
      </w:r>
      <w:r w:rsidR="00F94BCB" w:rsidRPr="00080443">
        <w:rPr>
          <w:rFonts w:cs="Arial"/>
        </w:rPr>
        <w:t xml:space="preserve">. These obligations arise under </w:t>
      </w:r>
      <w:r w:rsidR="00D6222E" w:rsidRPr="00080443">
        <w:rPr>
          <w:rFonts w:cs="Arial"/>
        </w:rPr>
        <w:t>S</w:t>
      </w:r>
      <w:r w:rsidR="00F94BCB" w:rsidRPr="00080443">
        <w:rPr>
          <w:rFonts w:cs="Arial"/>
        </w:rPr>
        <w:t>chedule 6 of the Broadcasting Services Act, which establishes a system for regulating datacasting services</w:t>
      </w:r>
      <w:r w:rsidR="00F16DD7" w:rsidRPr="00080443">
        <w:rPr>
          <w:rFonts w:cs="Arial"/>
        </w:rPr>
        <w:t xml:space="preserve">. The services provided using spectrum licences, if provided in the BSBs, may be </w:t>
      </w:r>
      <w:r w:rsidR="00005D55" w:rsidRPr="00080443">
        <w:rPr>
          <w:rFonts w:cs="Arial"/>
        </w:rPr>
        <w:t>‘</w:t>
      </w:r>
      <w:r w:rsidR="00F16DD7" w:rsidRPr="00080443">
        <w:rPr>
          <w:rFonts w:cs="Arial"/>
        </w:rPr>
        <w:t>datacasting services</w:t>
      </w:r>
      <w:r w:rsidR="00005D55" w:rsidRPr="00080443">
        <w:rPr>
          <w:rFonts w:cs="Arial"/>
        </w:rPr>
        <w:t>’</w:t>
      </w:r>
      <w:r w:rsidR="00F16DD7" w:rsidRPr="00080443">
        <w:rPr>
          <w:rFonts w:cs="Arial"/>
        </w:rPr>
        <w:t xml:space="preserve">. </w:t>
      </w:r>
      <w:r w:rsidRPr="00080443">
        <w:rPr>
          <w:rFonts w:cs="Arial"/>
        </w:rPr>
        <w:t>Under current arrangements, d</w:t>
      </w:r>
      <w:r w:rsidR="00F94BCB" w:rsidRPr="00080443">
        <w:rPr>
          <w:rFonts w:cs="Arial"/>
        </w:rPr>
        <w:t>atacasting service providers must hold datacasting licences</w:t>
      </w:r>
      <w:r w:rsidR="008B3B36" w:rsidRPr="00080443">
        <w:rPr>
          <w:rFonts w:cs="Arial"/>
        </w:rPr>
        <w:t>, which</w:t>
      </w:r>
      <w:r w:rsidR="00F94BCB" w:rsidRPr="00080443">
        <w:rPr>
          <w:rFonts w:cs="Arial"/>
        </w:rPr>
        <w:t xml:space="preserve"> are subject to licence conditions</w:t>
      </w:r>
      <w:r w:rsidR="008D1C03" w:rsidRPr="00080443">
        <w:rPr>
          <w:rFonts w:cs="Arial"/>
        </w:rPr>
        <w:t xml:space="preserve"> that, among other things, restrict the provision of </w:t>
      </w:r>
      <w:r w:rsidR="00F16DD7" w:rsidRPr="00080443">
        <w:rPr>
          <w:rFonts w:cs="Arial"/>
        </w:rPr>
        <w:t xml:space="preserve">certain kinds of </w:t>
      </w:r>
      <w:r w:rsidR="008D1C03" w:rsidRPr="00080443">
        <w:rPr>
          <w:rFonts w:cs="Arial"/>
        </w:rPr>
        <w:t xml:space="preserve">audio content and certain genres of television programs. </w:t>
      </w:r>
      <w:r w:rsidR="00F16DD7" w:rsidRPr="00080443">
        <w:rPr>
          <w:rFonts w:cs="Arial"/>
        </w:rPr>
        <w:t xml:space="preserve">Other licence conditions require compliance with any applicable codes or standards under the Broadcasting Services Act. There is also a condition that a datacasting licensee remain a suitable licensee. The requirement to hold a datacasting licence </w:t>
      </w:r>
      <w:r w:rsidR="008D1C03" w:rsidRPr="00080443">
        <w:rPr>
          <w:rFonts w:cs="Arial"/>
        </w:rPr>
        <w:t xml:space="preserve">would cease to apply following the </w:t>
      </w:r>
      <w:r w:rsidR="00F16DD7" w:rsidRPr="00080443">
        <w:rPr>
          <w:rFonts w:cs="Arial"/>
        </w:rPr>
        <w:t xml:space="preserve">removal </w:t>
      </w:r>
      <w:r w:rsidR="008D1C03" w:rsidRPr="00080443">
        <w:rPr>
          <w:rFonts w:cs="Arial"/>
        </w:rPr>
        <w:t xml:space="preserve">of the declared parts of the 700 MHz part band from the </w:t>
      </w:r>
      <w:r w:rsidR="00F16DD7" w:rsidRPr="00080443">
        <w:rPr>
          <w:rFonts w:cs="Arial"/>
        </w:rPr>
        <w:t>BSBs</w:t>
      </w:r>
      <w:r w:rsidR="008D1C03" w:rsidRPr="00080443">
        <w:rPr>
          <w:rFonts w:cs="Arial"/>
        </w:rPr>
        <w:t>.</w:t>
      </w:r>
    </w:p>
    <w:p w14:paraId="1355608E" w14:textId="77777777" w:rsidR="0081117C" w:rsidRPr="00080443" w:rsidRDefault="0081117C" w:rsidP="0081117C">
      <w:pPr>
        <w:rPr>
          <w:rFonts w:cs="Arial"/>
        </w:rPr>
      </w:pPr>
    </w:p>
    <w:p w14:paraId="4D65D91D" w14:textId="77777777" w:rsidR="00A962F2" w:rsidRPr="00080443" w:rsidRDefault="00AD78C7" w:rsidP="0081117C">
      <w:pPr>
        <w:rPr>
          <w:rFonts w:cs="Arial"/>
        </w:rPr>
      </w:pPr>
      <w:r w:rsidRPr="00080443">
        <w:rPr>
          <w:rFonts w:cs="Arial"/>
        </w:rPr>
        <w:t xml:space="preserve">Any person who is considering participating in the auction </w:t>
      </w:r>
      <w:r w:rsidR="00F94BCB" w:rsidRPr="00080443">
        <w:rPr>
          <w:rFonts w:cs="Arial"/>
        </w:rPr>
        <w:t>should obtain their own advice as to whether the operation of devices in the 700 MHz band may give rise to these additional obligations</w:t>
      </w:r>
      <w:r w:rsidR="0038022B" w:rsidRPr="00080443">
        <w:rPr>
          <w:rFonts w:cs="Arial"/>
        </w:rPr>
        <w:t>, and the precise extent and nature of the obligations</w:t>
      </w:r>
      <w:r w:rsidR="00F94BCB" w:rsidRPr="00080443">
        <w:rPr>
          <w:rFonts w:cs="Arial"/>
        </w:rPr>
        <w:t xml:space="preserve">. Any such obligations </w:t>
      </w:r>
      <w:r w:rsidR="00D73FCA" w:rsidRPr="00080443">
        <w:rPr>
          <w:rFonts w:cs="Arial"/>
        </w:rPr>
        <w:t xml:space="preserve">would be </w:t>
      </w:r>
      <w:r w:rsidR="00F94BCB" w:rsidRPr="00080443">
        <w:rPr>
          <w:rFonts w:cs="Arial"/>
        </w:rPr>
        <w:t xml:space="preserve">additional to the obligation to comply with the conditions of the spectrum licence, including the </w:t>
      </w:r>
      <w:r w:rsidR="00C07BB8" w:rsidRPr="00080443">
        <w:rPr>
          <w:rFonts w:cs="Arial"/>
        </w:rPr>
        <w:t xml:space="preserve">interference management condition discussed under the previous heading. </w:t>
      </w:r>
    </w:p>
    <w:p w14:paraId="574709D9" w14:textId="77777777" w:rsidR="00536B34" w:rsidRPr="00080443" w:rsidRDefault="00536B34" w:rsidP="0081117C">
      <w:pPr>
        <w:rPr>
          <w:rFonts w:cs="Arial"/>
        </w:rPr>
      </w:pPr>
    </w:p>
    <w:p w14:paraId="5B519B47" w14:textId="77777777" w:rsidR="0038022B" w:rsidRPr="00080443" w:rsidRDefault="00536B34" w:rsidP="0081117C">
      <w:pPr>
        <w:rPr>
          <w:rFonts w:cs="Arial"/>
        </w:rPr>
      </w:pPr>
      <w:r w:rsidRPr="00080443">
        <w:rPr>
          <w:rFonts w:cs="Arial"/>
        </w:rPr>
        <w:t xml:space="preserve">The minister has advised the ACMA of his intention to introduce amendments to the Broadcasting Services Act in 2013 to limit the circumstances under which a person needs to hold a datacasting licence under Schedule 6 so that generally only commercial and national broadcasters </w:t>
      </w:r>
      <w:r w:rsidR="0038022B" w:rsidRPr="00080443">
        <w:rPr>
          <w:rFonts w:cs="Arial"/>
        </w:rPr>
        <w:t xml:space="preserve">would be </w:t>
      </w:r>
      <w:r w:rsidRPr="00080443">
        <w:rPr>
          <w:rFonts w:cs="Arial"/>
        </w:rPr>
        <w:t xml:space="preserve">required to hold such a licence. </w:t>
      </w:r>
      <w:r w:rsidR="0038022B" w:rsidRPr="00080443">
        <w:rPr>
          <w:rFonts w:cs="Arial"/>
        </w:rPr>
        <w:t>It is intended that t</w:t>
      </w:r>
      <w:r w:rsidRPr="00080443">
        <w:rPr>
          <w:rFonts w:cs="Arial"/>
        </w:rPr>
        <w:t xml:space="preserve">he amendments, if made, would </w:t>
      </w:r>
      <w:r w:rsidR="0038022B" w:rsidRPr="00080443">
        <w:rPr>
          <w:rFonts w:cs="Arial"/>
        </w:rPr>
        <w:t>allow Long Term Evolution (LTE) services to generally operate in the BS</w:t>
      </w:r>
      <w:r w:rsidR="00AF2CEF" w:rsidRPr="00080443">
        <w:rPr>
          <w:rFonts w:cs="Arial"/>
        </w:rPr>
        <w:t xml:space="preserve">Bs and provide a range of </w:t>
      </w:r>
      <w:proofErr w:type="spellStart"/>
      <w:r w:rsidR="00AF2CEF" w:rsidRPr="00080443">
        <w:rPr>
          <w:rFonts w:cs="Arial"/>
        </w:rPr>
        <w:t>audio</w:t>
      </w:r>
      <w:r w:rsidR="0038022B" w:rsidRPr="00080443">
        <w:rPr>
          <w:rFonts w:cs="Arial"/>
        </w:rPr>
        <w:t>visual</w:t>
      </w:r>
      <w:proofErr w:type="spellEnd"/>
      <w:r w:rsidR="0038022B" w:rsidRPr="00080443">
        <w:rPr>
          <w:rFonts w:cs="Arial"/>
        </w:rPr>
        <w:t xml:space="preserve"> content without the encumbrance of a datacasting licence. However, the amendments will also </w:t>
      </w:r>
      <w:r w:rsidRPr="00080443">
        <w:rPr>
          <w:rFonts w:cs="Arial"/>
        </w:rPr>
        <w:t>include a reserve power so that, in the unlikely event that an LTE service provider subsequently sought to provide a commercial television broadcasting service, the minister could pr</w:t>
      </w:r>
      <w:r w:rsidR="00AF785C" w:rsidRPr="00080443">
        <w:rPr>
          <w:rFonts w:cs="Arial"/>
        </w:rPr>
        <w:t>e</w:t>
      </w:r>
      <w:r w:rsidRPr="00080443">
        <w:rPr>
          <w:rFonts w:cs="Arial"/>
        </w:rPr>
        <w:t>scribe that that particular service provider must hold a datacasting licence.</w:t>
      </w:r>
      <w:r w:rsidR="00374F9C" w:rsidRPr="00080443">
        <w:rPr>
          <w:rFonts w:cs="Arial"/>
        </w:rPr>
        <w:t xml:space="preserve"> </w:t>
      </w:r>
    </w:p>
    <w:p w14:paraId="64BEDDA4" w14:textId="77777777" w:rsidR="0038022B" w:rsidRPr="00080443" w:rsidRDefault="0038022B" w:rsidP="0081117C">
      <w:pPr>
        <w:rPr>
          <w:rFonts w:cs="Arial"/>
        </w:rPr>
      </w:pPr>
    </w:p>
    <w:p w14:paraId="0949B72C" w14:textId="77777777" w:rsidR="00536B34" w:rsidRPr="00080443" w:rsidRDefault="0038022B" w:rsidP="0081117C">
      <w:pPr>
        <w:rPr>
          <w:rFonts w:cs="Arial"/>
        </w:rPr>
      </w:pPr>
      <w:r w:rsidRPr="00080443">
        <w:rPr>
          <w:rFonts w:cs="Arial"/>
        </w:rPr>
        <w:t>Prospective bidders should note that the minister has advised the ACMA of his intent in this regard only, and that the proposed amendments have not</w:t>
      </w:r>
      <w:r w:rsidR="00583E87" w:rsidRPr="00080443">
        <w:rPr>
          <w:rFonts w:cs="Arial"/>
        </w:rPr>
        <w:t>,</w:t>
      </w:r>
      <w:r w:rsidR="00F916B7" w:rsidRPr="00080443">
        <w:rPr>
          <w:rFonts w:cs="Arial"/>
        </w:rPr>
        <w:t xml:space="preserve"> as at the date of this </w:t>
      </w:r>
      <w:r w:rsidR="00F916B7" w:rsidRPr="00080443">
        <w:rPr>
          <w:rFonts w:cs="Arial"/>
          <w:i/>
        </w:rPr>
        <w:t>A</w:t>
      </w:r>
      <w:r w:rsidRPr="00080443">
        <w:rPr>
          <w:rFonts w:cs="Arial"/>
          <w:i/>
        </w:rPr>
        <w:t>uction guide</w:t>
      </w:r>
      <w:r w:rsidR="00583E87" w:rsidRPr="00080443">
        <w:rPr>
          <w:rFonts w:cs="Arial"/>
        </w:rPr>
        <w:t>,</w:t>
      </w:r>
      <w:r w:rsidRPr="00080443">
        <w:rPr>
          <w:rFonts w:cs="Arial"/>
        </w:rPr>
        <w:t xml:space="preserve"> been introduced to Parliament and therefore may be subject to change. </w:t>
      </w:r>
      <w:r w:rsidR="00374F9C" w:rsidRPr="00080443">
        <w:rPr>
          <w:rFonts w:cs="Arial"/>
        </w:rPr>
        <w:t xml:space="preserve">Information about significant developments in relation to the proposed amendments will be made available through the ACMA’s </w:t>
      </w:r>
      <w:hyperlink r:id="rId37" w:history="1">
        <w:r w:rsidR="00374F9C" w:rsidRPr="00080443">
          <w:rPr>
            <w:rStyle w:val="Hyperlink"/>
            <w:rFonts w:cs="Arial"/>
            <w:i/>
          </w:rPr>
          <w:t>engage</w:t>
        </w:r>
        <w:r w:rsidR="00374F9C" w:rsidRPr="00080443">
          <w:rPr>
            <w:rStyle w:val="Hyperlink"/>
            <w:rFonts w:cs="Arial"/>
          </w:rPr>
          <w:t xml:space="preserve"> website</w:t>
        </w:r>
      </w:hyperlink>
      <w:r w:rsidR="00374F9C" w:rsidRPr="00080443">
        <w:rPr>
          <w:rFonts w:cs="Arial"/>
        </w:rPr>
        <w:t>.</w:t>
      </w:r>
      <w:r w:rsidRPr="00080443">
        <w:rPr>
          <w:rFonts w:cs="Arial"/>
        </w:rPr>
        <w:t xml:space="preserve"> Prospective bidders should check the website regularly for updates.</w:t>
      </w:r>
    </w:p>
    <w:p w14:paraId="6C04B73F" w14:textId="77777777" w:rsidR="00F00DB9" w:rsidRPr="00080443" w:rsidRDefault="00F00DB9" w:rsidP="0081117C">
      <w:pPr>
        <w:rPr>
          <w:rFonts w:cs="Arial"/>
        </w:rPr>
      </w:pPr>
      <w:r w:rsidRPr="00080443">
        <w:rPr>
          <w:rFonts w:cs="Arial"/>
        </w:rPr>
        <w:br w:type="page"/>
      </w:r>
    </w:p>
    <w:p w14:paraId="0BF6E8CC" w14:textId="77777777" w:rsidR="006F40AA" w:rsidRPr="00080443" w:rsidRDefault="00913037">
      <w:pPr>
        <w:pStyle w:val="ExecSummaryHeading"/>
        <w:tabs>
          <w:tab w:val="left" w:pos="2861"/>
        </w:tabs>
        <w:rPr>
          <w:rFonts w:cs="Arial"/>
        </w:rPr>
      </w:pPr>
      <w:bookmarkStart w:id="68" w:name="_Toc335246252"/>
      <w:bookmarkStart w:id="69" w:name="_Toc343780461"/>
      <w:r w:rsidRPr="00080443">
        <w:rPr>
          <w:rFonts w:cs="Arial"/>
        </w:rPr>
        <w:lastRenderedPageBreak/>
        <w:t>Part two—</w:t>
      </w:r>
      <w:r w:rsidR="006F40AA" w:rsidRPr="00080443">
        <w:rPr>
          <w:rFonts w:cs="Arial"/>
        </w:rPr>
        <w:br/>
      </w:r>
      <w:r w:rsidRPr="00080443">
        <w:rPr>
          <w:rFonts w:cs="Arial"/>
        </w:rPr>
        <w:t>Participating in the auction</w:t>
      </w:r>
      <w:bookmarkEnd w:id="68"/>
      <w:bookmarkEnd w:id="69"/>
    </w:p>
    <w:p w14:paraId="1A4D85CC" w14:textId="77777777" w:rsidR="008A60B8" w:rsidRPr="00080443" w:rsidRDefault="008A60B8" w:rsidP="00234088">
      <w:pPr>
        <w:pStyle w:val="Heading1"/>
        <w:numPr>
          <w:ilvl w:val="0"/>
          <w:numId w:val="13"/>
        </w:numPr>
      </w:pPr>
      <w:bookmarkStart w:id="70" w:name="_Toc335246253"/>
      <w:bookmarkStart w:id="71" w:name="_Toc343780462"/>
      <w:r w:rsidRPr="00080443">
        <w:lastRenderedPageBreak/>
        <w:t>H</w:t>
      </w:r>
      <w:r w:rsidR="00F04397" w:rsidRPr="00080443">
        <w:t>ow will the auction be conducted?</w:t>
      </w:r>
      <w:bookmarkEnd w:id="70"/>
      <w:bookmarkEnd w:id="71"/>
    </w:p>
    <w:p w14:paraId="2B12929E" w14:textId="77777777" w:rsidR="00973DEB" w:rsidRPr="00080443" w:rsidRDefault="00973DEB" w:rsidP="00F04397">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rPr>
      </w:pPr>
    </w:p>
    <w:p w14:paraId="028F7106" w14:textId="77777777" w:rsidR="008A60B8" w:rsidRPr="00080443" w:rsidRDefault="008A60B8" w:rsidP="00F04397">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rPr>
      </w:pPr>
      <w:r w:rsidRPr="00080443">
        <w:rPr>
          <w:rFonts w:cs="Arial"/>
          <w:b/>
        </w:rPr>
        <w:t xml:space="preserve">This chapter provides information about: </w:t>
      </w:r>
    </w:p>
    <w:p w14:paraId="53EF9A71" w14:textId="77777777" w:rsidR="008A60B8" w:rsidRPr="00080443" w:rsidRDefault="008A60B8" w:rsidP="00F0439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 xml:space="preserve">adoption of the CCA format </w:t>
      </w:r>
    </w:p>
    <w:p w14:paraId="2A04C1CA" w14:textId="77777777" w:rsidR="008A60B8" w:rsidRPr="00080443" w:rsidRDefault="008A60B8" w:rsidP="00F0439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the CCA procedures</w:t>
      </w:r>
    </w:p>
    <w:p w14:paraId="138B199C" w14:textId="77777777" w:rsidR="008A60B8" w:rsidRPr="00080443" w:rsidRDefault="008A60B8" w:rsidP="00F0439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other key auction procedures</w:t>
      </w:r>
    </w:p>
    <w:p w14:paraId="5A622420" w14:textId="77777777" w:rsidR="008A60B8" w:rsidRPr="00080443" w:rsidRDefault="008A60B8" w:rsidP="00F0439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the online auction system</w:t>
      </w:r>
    </w:p>
    <w:p w14:paraId="0210D125" w14:textId="77777777" w:rsidR="008A60B8" w:rsidRPr="00080443" w:rsidRDefault="008A60B8" w:rsidP="00F0439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support and training opportunities for prospective bidders.</w:t>
      </w:r>
    </w:p>
    <w:p w14:paraId="5A343309" w14:textId="77777777" w:rsidR="00973DEB" w:rsidRPr="00080443" w:rsidRDefault="00973DEB" w:rsidP="00973DEB">
      <w:pPr>
        <w:pStyle w:val="ListBullet"/>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p>
    <w:p w14:paraId="1F96BBC3" w14:textId="77777777" w:rsidR="008A60B8" w:rsidRPr="00080443" w:rsidRDefault="008A60B8" w:rsidP="008A60B8">
      <w:pPr>
        <w:jc w:val="both"/>
        <w:rPr>
          <w:rFonts w:cs="Arial"/>
          <w:b/>
        </w:rPr>
      </w:pPr>
      <w:r w:rsidRPr="00080443">
        <w:rPr>
          <w:rFonts w:cs="Arial"/>
          <w:b/>
        </w:rPr>
        <w:br w:type="page"/>
      </w:r>
    </w:p>
    <w:p w14:paraId="74ADEA00" w14:textId="77777777" w:rsidR="008A60B8" w:rsidRPr="00080443" w:rsidRDefault="008A60B8" w:rsidP="00F04397">
      <w:pPr>
        <w:rPr>
          <w:rFonts w:cs="Arial"/>
        </w:rPr>
      </w:pPr>
      <w:r w:rsidRPr="00080443">
        <w:rPr>
          <w:rFonts w:cs="Arial"/>
        </w:rPr>
        <w:lastRenderedPageBreak/>
        <w:t xml:space="preserve">The digital dividend auction will be conducted online using the CCA format according to the procedures set out in the allocation determination at </w:t>
      </w:r>
      <w:r w:rsidR="00837369" w:rsidRPr="00080443">
        <w:rPr>
          <w:rFonts w:cs="Arial"/>
        </w:rPr>
        <w:t xml:space="preserve">Attachment </w:t>
      </w:r>
      <w:r w:rsidR="005D4EE4" w:rsidRPr="00080443">
        <w:rPr>
          <w:rFonts w:cs="Arial"/>
        </w:rPr>
        <w:t>A</w:t>
      </w:r>
      <w:r w:rsidRPr="00080443">
        <w:rPr>
          <w:rFonts w:cs="Arial"/>
        </w:rPr>
        <w:t>. A practical step-by-step guide to registering as a bidder and participating in the auction is provided in Chapter</w:t>
      </w:r>
      <w:r w:rsidR="00FE5177" w:rsidRPr="00080443">
        <w:rPr>
          <w:rFonts w:cs="Arial"/>
        </w:rPr>
        <w:t> </w:t>
      </w:r>
      <w:r w:rsidRPr="00080443">
        <w:rPr>
          <w:rFonts w:cs="Arial"/>
        </w:rPr>
        <w:t xml:space="preserve">4. </w:t>
      </w:r>
    </w:p>
    <w:p w14:paraId="4EF6EAC0" w14:textId="77777777" w:rsidR="00F04397" w:rsidRPr="00080443" w:rsidRDefault="00F04397" w:rsidP="004D411C">
      <w:pPr>
        <w:rPr>
          <w:rFonts w:cs="Arial"/>
        </w:rPr>
      </w:pPr>
    </w:p>
    <w:p w14:paraId="71989F30" w14:textId="77777777" w:rsidR="008A60B8" w:rsidRPr="00080443" w:rsidRDefault="008A60B8" w:rsidP="005E0F9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u w:val="single"/>
        </w:rPr>
        <w:t>Important warning</w:t>
      </w:r>
      <w:r w:rsidRPr="00080443">
        <w:rPr>
          <w:rFonts w:cs="Arial"/>
          <w:b/>
        </w:rPr>
        <w:t xml:space="preserve">: The information in this chapter is intended to provide only a general overview of the procedures contained in the Radiocommunications (Spectrum Licence Allocation — Combinatorial Clock Auction) Determination 2012. Potential applicants should </w:t>
      </w:r>
      <w:r w:rsidRPr="00080443">
        <w:rPr>
          <w:rFonts w:cs="Arial"/>
          <w:b/>
          <w:i/>
        </w:rPr>
        <w:t>not</w:t>
      </w:r>
      <w:r w:rsidRPr="00080443">
        <w:rPr>
          <w:rFonts w:cs="Arial"/>
          <w:b/>
        </w:rPr>
        <w:t xml:space="preserve"> rely on this information</w:t>
      </w:r>
      <w:r w:rsidR="00F14711" w:rsidRPr="00080443">
        <w:rPr>
          <w:rFonts w:cs="Arial"/>
          <w:b/>
        </w:rPr>
        <w:t>,</w:t>
      </w:r>
      <w:r w:rsidRPr="00080443">
        <w:rPr>
          <w:rFonts w:cs="Arial"/>
          <w:b/>
        </w:rPr>
        <w:t xml:space="preserve"> but </w:t>
      </w:r>
      <w:r w:rsidR="00F14711" w:rsidRPr="00080443">
        <w:rPr>
          <w:rFonts w:cs="Arial"/>
          <w:b/>
        </w:rPr>
        <w:t xml:space="preserve">should instead </w:t>
      </w:r>
      <w:r w:rsidR="00C24ACB" w:rsidRPr="00080443">
        <w:rPr>
          <w:rFonts w:cs="Arial"/>
          <w:b/>
        </w:rPr>
        <w:t xml:space="preserve">carefully review and understand </w:t>
      </w:r>
      <w:r w:rsidRPr="00080443">
        <w:rPr>
          <w:rFonts w:cs="Arial"/>
          <w:b/>
        </w:rPr>
        <w:t xml:space="preserve">the content of the allocation determination itself. </w:t>
      </w:r>
    </w:p>
    <w:p w14:paraId="071FF3AB" w14:textId="77777777" w:rsidR="008A60B8" w:rsidRPr="00080443" w:rsidRDefault="008A60B8" w:rsidP="004D411C">
      <w:pPr>
        <w:rPr>
          <w:rFonts w:cs="Arial"/>
        </w:rPr>
      </w:pPr>
    </w:p>
    <w:p w14:paraId="6FD3AB14" w14:textId="77777777" w:rsidR="008A60B8" w:rsidRPr="00080443" w:rsidRDefault="008A60B8" w:rsidP="00234088">
      <w:pPr>
        <w:pStyle w:val="Heading2"/>
        <w:numPr>
          <w:ilvl w:val="1"/>
          <w:numId w:val="13"/>
        </w:numPr>
        <w:ind w:hanging="792"/>
      </w:pPr>
      <w:bookmarkStart w:id="72" w:name="_Toc335246254"/>
      <w:bookmarkStart w:id="73" w:name="_Toc343780463"/>
      <w:r w:rsidRPr="00080443">
        <w:t>The combinatorial clock auction (CCA) format</w:t>
      </w:r>
      <w:bookmarkEnd w:id="72"/>
      <w:bookmarkEnd w:id="73"/>
    </w:p>
    <w:p w14:paraId="265714CE" w14:textId="77777777" w:rsidR="008A60B8" w:rsidRPr="00080443" w:rsidRDefault="008A60B8" w:rsidP="00234088">
      <w:pPr>
        <w:pStyle w:val="Heading3"/>
        <w:numPr>
          <w:ilvl w:val="2"/>
          <w:numId w:val="13"/>
        </w:numPr>
      </w:pPr>
      <w:bookmarkStart w:id="74" w:name="_Toc335246255"/>
      <w:bookmarkStart w:id="75" w:name="_Toc343780464"/>
      <w:r w:rsidRPr="00080443">
        <w:t>Adoption of the CCA format</w:t>
      </w:r>
      <w:bookmarkEnd w:id="74"/>
      <w:bookmarkEnd w:id="75"/>
    </w:p>
    <w:p w14:paraId="75C5E418" w14:textId="77777777" w:rsidR="008A60B8" w:rsidRPr="00080443" w:rsidRDefault="008A60B8" w:rsidP="00F04397">
      <w:pPr>
        <w:rPr>
          <w:rFonts w:cs="Arial"/>
        </w:rPr>
      </w:pPr>
      <w:r w:rsidRPr="00080443">
        <w:rPr>
          <w:rFonts w:cs="Arial"/>
        </w:rPr>
        <w:t xml:space="preserve">The auction format used in Australian spectrum auctions is decided on </w:t>
      </w:r>
      <w:r w:rsidR="005E0F93" w:rsidRPr="00080443">
        <w:rPr>
          <w:rFonts w:cs="Arial"/>
        </w:rPr>
        <w:t xml:space="preserve">a </w:t>
      </w:r>
      <w:r w:rsidRPr="00080443">
        <w:rPr>
          <w:rFonts w:cs="Arial"/>
        </w:rPr>
        <w:t xml:space="preserve">case-by-case basis, with regard to the characteristics of the spectrum on offer and other relevant factors. </w:t>
      </w:r>
    </w:p>
    <w:p w14:paraId="43CC74F0" w14:textId="77777777" w:rsidR="00F04397" w:rsidRPr="00080443" w:rsidRDefault="00F04397" w:rsidP="00F04397">
      <w:pPr>
        <w:rPr>
          <w:rFonts w:cs="Arial"/>
        </w:rPr>
      </w:pPr>
    </w:p>
    <w:p w14:paraId="15AEFDB9" w14:textId="77777777" w:rsidR="008A60B8" w:rsidRPr="00080443" w:rsidRDefault="008A60B8" w:rsidP="00F04397">
      <w:pPr>
        <w:spacing w:after="80"/>
        <w:rPr>
          <w:rFonts w:cs="Arial"/>
        </w:rPr>
      </w:pPr>
      <w:r w:rsidRPr="00080443">
        <w:rPr>
          <w:rFonts w:cs="Arial"/>
        </w:rPr>
        <w:t>In selecting a format for the digital dividend auction, the ACMA considered the object of the Act, which provides</w:t>
      </w:r>
      <w:r w:rsidR="005324AC" w:rsidRPr="00080443">
        <w:rPr>
          <w:rFonts w:cs="Arial"/>
        </w:rPr>
        <w:t xml:space="preserve">, </w:t>
      </w:r>
      <w:r w:rsidR="005324AC" w:rsidRPr="00080443">
        <w:rPr>
          <w:rFonts w:cs="Arial"/>
          <w:szCs w:val="20"/>
        </w:rPr>
        <w:t>among other things,</w:t>
      </w:r>
      <w:r w:rsidRPr="00080443">
        <w:rPr>
          <w:rFonts w:cs="Arial"/>
          <w:szCs w:val="20"/>
        </w:rPr>
        <w:t xml:space="preserve"> for</w:t>
      </w:r>
      <w:r w:rsidR="005E0F93" w:rsidRPr="00080443">
        <w:rPr>
          <w:rFonts w:cs="Arial"/>
          <w:szCs w:val="20"/>
        </w:rPr>
        <w:t xml:space="preserve"> </w:t>
      </w:r>
      <w:r w:rsidR="00AB42E5" w:rsidRPr="00080443">
        <w:rPr>
          <w:rFonts w:cs="Arial"/>
          <w:szCs w:val="20"/>
        </w:rPr>
        <w:t>‘</w:t>
      </w:r>
      <w:r w:rsidR="00DA71DD" w:rsidRPr="00080443">
        <w:rPr>
          <w:rFonts w:cs="Arial"/>
          <w:szCs w:val="20"/>
        </w:rPr>
        <w:t>…</w:t>
      </w:r>
      <w:r w:rsidR="00BF101B" w:rsidRPr="00080443">
        <w:rPr>
          <w:rFonts w:cs="Arial"/>
        </w:rPr>
        <w:t>management of the radiofrequency spectrum in order to maximise, by ensuring the efficient allocation and use of the spectrum, the overall public benefit derived from using the radiofrequency spectrum</w:t>
      </w:r>
      <w:r w:rsidR="00AB42E5" w:rsidRPr="00080443">
        <w:rPr>
          <w:rFonts w:cs="Arial"/>
        </w:rPr>
        <w:t>.</w:t>
      </w:r>
      <w:r w:rsidR="00AF2CEF" w:rsidRPr="00080443">
        <w:rPr>
          <w:rFonts w:cs="Arial"/>
        </w:rPr>
        <w:t>’</w:t>
      </w:r>
      <w:r w:rsidRPr="00080443">
        <w:rPr>
          <w:rFonts w:cs="Arial"/>
        </w:rPr>
        <w:t xml:space="preserve"> In </w:t>
      </w:r>
      <w:r w:rsidR="002525D8" w:rsidRPr="00080443">
        <w:rPr>
          <w:rFonts w:cs="Arial"/>
        </w:rPr>
        <w:t xml:space="preserve">line </w:t>
      </w:r>
      <w:r w:rsidRPr="00080443">
        <w:rPr>
          <w:rFonts w:cs="Arial"/>
        </w:rPr>
        <w:t>with this</w:t>
      </w:r>
      <w:r w:rsidR="002525D8" w:rsidRPr="00080443">
        <w:rPr>
          <w:rFonts w:cs="Arial"/>
        </w:rPr>
        <w:t xml:space="preserve">, </w:t>
      </w:r>
      <w:r w:rsidRPr="00080443">
        <w:rPr>
          <w:rFonts w:cs="Arial"/>
        </w:rPr>
        <w:t xml:space="preserve">the ACMA aims to </w:t>
      </w:r>
      <w:r w:rsidR="002525D8" w:rsidRPr="00080443">
        <w:rPr>
          <w:rFonts w:cs="Arial"/>
        </w:rPr>
        <w:t xml:space="preserve">conduct the auction </w:t>
      </w:r>
      <w:r w:rsidRPr="00080443">
        <w:rPr>
          <w:rFonts w:cs="Arial"/>
        </w:rPr>
        <w:t xml:space="preserve">in a way that: </w:t>
      </w:r>
    </w:p>
    <w:p w14:paraId="75485036" w14:textId="77777777" w:rsidR="008A60B8" w:rsidRPr="00080443" w:rsidRDefault="008A60B8" w:rsidP="00F04397">
      <w:pPr>
        <w:pStyle w:val="ListBullet"/>
        <w:rPr>
          <w:rFonts w:cs="Arial"/>
        </w:rPr>
      </w:pPr>
      <w:r w:rsidRPr="00080443">
        <w:rPr>
          <w:rFonts w:cs="Arial"/>
        </w:rPr>
        <w:t>allocates spectrum to the bidders that value it most highly</w:t>
      </w:r>
    </w:p>
    <w:p w14:paraId="723A15AF" w14:textId="77777777" w:rsidR="008A60B8" w:rsidRPr="00080443" w:rsidRDefault="008A60B8" w:rsidP="00F04397">
      <w:pPr>
        <w:pStyle w:val="ListBullet"/>
        <w:rPr>
          <w:rFonts w:cs="Arial"/>
        </w:rPr>
      </w:pPr>
      <w:r w:rsidRPr="00080443">
        <w:rPr>
          <w:rFonts w:cs="Arial"/>
        </w:rPr>
        <w:t xml:space="preserve">is transparent and </w:t>
      </w:r>
      <w:r w:rsidR="00CF14FD" w:rsidRPr="00080443">
        <w:rPr>
          <w:rFonts w:cs="Arial"/>
        </w:rPr>
        <w:t>accessible</w:t>
      </w:r>
    </w:p>
    <w:p w14:paraId="395ED455" w14:textId="77777777" w:rsidR="008A60B8" w:rsidRPr="00080443" w:rsidRDefault="008A60B8" w:rsidP="00F04397">
      <w:pPr>
        <w:pStyle w:val="ListBullet"/>
        <w:rPr>
          <w:rFonts w:cs="Arial"/>
        </w:rPr>
      </w:pPr>
      <w:r w:rsidRPr="00080443">
        <w:rPr>
          <w:rFonts w:cs="Arial"/>
        </w:rPr>
        <w:t>is, to the extent possible, technology</w:t>
      </w:r>
      <w:r w:rsidR="005E0F93" w:rsidRPr="00080443">
        <w:rPr>
          <w:rFonts w:cs="Arial"/>
        </w:rPr>
        <w:t>-</w:t>
      </w:r>
      <w:r w:rsidRPr="00080443">
        <w:rPr>
          <w:rFonts w:cs="Arial"/>
        </w:rPr>
        <w:t>neutral</w:t>
      </w:r>
    </w:p>
    <w:p w14:paraId="0604A12A" w14:textId="77777777" w:rsidR="008A60B8" w:rsidRPr="00080443" w:rsidRDefault="008A60B8" w:rsidP="00F04397">
      <w:pPr>
        <w:pStyle w:val="ListBullet"/>
        <w:spacing w:after="240"/>
        <w:rPr>
          <w:rFonts w:cs="Arial"/>
        </w:rPr>
      </w:pPr>
      <w:r w:rsidRPr="00080443">
        <w:rPr>
          <w:rFonts w:cs="Arial"/>
        </w:rPr>
        <w:t>minimises opportunities for gaming and collusive behaviour</w:t>
      </w:r>
      <w:r w:rsidR="00394D26" w:rsidRPr="00080443">
        <w:rPr>
          <w:rFonts w:cs="Arial"/>
        </w:rPr>
        <w:t xml:space="preserve">. </w:t>
      </w:r>
    </w:p>
    <w:p w14:paraId="7AA78B64" w14:textId="77777777" w:rsidR="008A60B8" w:rsidRPr="00080443" w:rsidRDefault="008A60B8" w:rsidP="00F04397">
      <w:pPr>
        <w:rPr>
          <w:rFonts w:cs="Arial"/>
        </w:rPr>
      </w:pPr>
      <w:r w:rsidRPr="00080443">
        <w:rPr>
          <w:rFonts w:cs="Arial"/>
        </w:rPr>
        <w:t xml:space="preserve">The ACMA concluded that, of the available auction formats, the CCA best met the object of the Act and the </w:t>
      </w:r>
      <w:r w:rsidR="008E2D51" w:rsidRPr="00080443">
        <w:rPr>
          <w:rFonts w:cs="Arial"/>
        </w:rPr>
        <w:t>aims</w:t>
      </w:r>
      <w:r w:rsidRPr="00080443">
        <w:rPr>
          <w:rFonts w:cs="Arial"/>
        </w:rPr>
        <w:t xml:space="preserve"> listed above. </w:t>
      </w:r>
      <w:r w:rsidR="00761206" w:rsidRPr="00080443">
        <w:rPr>
          <w:rFonts w:cs="Arial"/>
        </w:rPr>
        <w:t>Importantly</w:t>
      </w:r>
      <w:r w:rsidRPr="00080443">
        <w:rPr>
          <w:rFonts w:cs="Arial"/>
        </w:rPr>
        <w:t xml:space="preserve">, the CCA </w:t>
      </w:r>
      <w:r w:rsidR="00761206" w:rsidRPr="00080443">
        <w:rPr>
          <w:rFonts w:cs="Arial"/>
        </w:rPr>
        <w:t>is</w:t>
      </w:r>
      <w:r w:rsidR="001C7811" w:rsidRPr="00080443">
        <w:rPr>
          <w:rFonts w:cs="Arial"/>
        </w:rPr>
        <w:t xml:space="preserve"> </w:t>
      </w:r>
      <w:r w:rsidRPr="00080443">
        <w:rPr>
          <w:rFonts w:cs="Arial"/>
        </w:rPr>
        <w:t xml:space="preserve">the format most likely to </w:t>
      </w:r>
      <w:r w:rsidR="00761206" w:rsidRPr="00080443">
        <w:rPr>
          <w:rFonts w:cs="Arial"/>
        </w:rPr>
        <w:t xml:space="preserve">allocate the spectrum in a way that reflects each bidder’s value for the asset, and </w:t>
      </w:r>
      <w:r w:rsidRPr="00080443">
        <w:rPr>
          <w:rFonts w:cs="Arial"/>
        </w:rPr>
        <w:t>therefore produce the greatest</w:t>
      </w:r>
      <w:r w:rsidR="001658E7" w:rsidRPr="00080443">
        <w:rPr>
          <w:rFonts w:cs="Arial"/>
        </w:rPr>
        <w:t xml:space="preserve"> benefit</w:t>
      </w:r>
      <w:r w:rsidRPr="00080443">
        <w:rPr>
          <w:rFonts w:cs="Arial"/>
        </w:rPr>
        <w:t xml:space="preserve"> to society. </w:t>
      </w:r>
    </w:p>
    <w:p w14:paraId="089B71F1" w14:textId="77777777" w:rsidR="00F04397" w:rsidRPr="00080443" w:rsidRDefault="00F04397" w:rsidP="00F04397">
      <w:pPr>
        <w:rPr>
          <w:rFonts w:cs="Arial"/>
        </w:rPr>
      </w:pPr>
    </w:p>
    <w:p w14:paraId="4E6EF2B5" w14:textId="77777777" w:rsidR="008A60B8" w:rsidRPr="00080443" w:rsidRDefault="008A60B8" w:rsidP="00F04397">
      <w:pPr>
        <w:spacing w:after="80"/>
        <w:rPr>
          <w:rFonts w:cs="Arial"/>
        </w:rPr>
      </w:pPr>
      <w:r w:rsidRPr="00080443">
        <w:rPr>
          <w:rFonts w:cs="Arial"/>
        </w:rPr>
        <w:t xml:space="preserve">The key benefits of the CCA in the digital dividend auction are that it: </w:t>
      </w:r>
    </w:p>
    <w:p w14:paraId="1161E086" w14:textId="77777777" w:rsidR="008A60B8" w:rsidRPr="00080443" w:rsidRDefault="00CD2C67" w:rsidP="00F04397">
      <w:pPr>
        <w:pStyle w:val="ListBullet"/>
        <w:rPr>
          <w:rFonts w:cs="Arial"/>
        </w:rPr>
      </w:pPr>
      <w:r w:rsidRPr="00080443">
        <w:rPr>
          <w:rFonts w:cs="Arial"/>
          <w:b/>
        </w:rPr>
        <w:t>Enables ‘package bidding</w:t>
      </w:r>
      <w:r w:rsidR="009151C0" w:rsidRPr="00080443">
        <w:rPr>
          <w:rFonts w:cs="Arial"/>
          <w:b/>
        </w:rPr>
        <w:t>’</w:t>
      </w:r>
      <w:r w:rsidR="009151C0" w:rsidRPr="00080443">
        <w:rPr>
          <w:rFonts w:cs="Arial"/>
        </w:rPr>
        <w:t>—</w:t>
      </w:r>
      <w:r w:rsidR="0038015D" w:rsidRPr="00080443">
        <w:rPr>
          <w:rFonts w:cs="Arial"/>
        </w:rPr>
        <w:t>b</w:t>
      </w:r>
      <w:r w:rsidR="008A60B8" w:rsidRPr="00080443">
        <w:rPr>
          <w:rFonts w:cs="Arial"/>
        </w:rPr>
        <w:t xml:space="preserve">idders can bid on the combination, or ‘package’, of lots from each band that is best suited to their </w:t>
      </w:r>
      <w:r w:rsidR="006D5319" w:rsidRPr="00080443">
        <w:rPr>
          <w:rFonts w:cs="Arial"/>
        </w:rPr>
        <w:t xml:space="preserve">business </w:t>
      </w:r>
      <w:r w:rsidR="008A60B8" w:rsidRPr="00080443">
        <w:rPr>
          <w:rFonts w:cs="Arial"/>
        </w:rPr>
        <w:t>needs. Bidders have certainty that if they win lots, they will win all lots in a package</w:t>
      </w:r>
      <w:r w:rsidR="00761206" w:rsidRPr="00080443">
        <w:rPr>
          <w:rFonts w:cs="Arial"/>
        </w:rPr>
        <w:t xml:space="preserve">. This means they do not </w:t>
      </w:r>
      <w:r w:rsidR="008A60B8" w:rsidRPr="00080443">
        <w:rPr>
          <w:rFonts w:cs="Arial"/>
        </w:rPr>
        <w:t xml:space="preserve">risk exposing themselves to winning only part of a package. This feature makes the CCA format well suited to auctions where </w:t>
      </w:r>
      <w:r w:rsidR="006D5319" w:rsidRPr="00080443">
        <w:rPr>
          <w:rFonts w:cs="Arial"/>
        </w:rPr>
        <w:t xml:space="preserve">potentially </w:t>
      </w:r>
      <w:r w:rsidR="008A60B8" w:rsidRPr="00080443">
        <w:rPr>
          <w:rFonts w:cs="Arial"/>
        </w:rPr>
        <w:t xml:space="preserve">complementary </w:t>
      </w:r>
      <w:r w:rsidR="00B95EB6" w:rsidRPr="00080443">
        <w:rPr>
          <w:rFonts w:cs="Arial"/>
        </w:rPr>
        <w:t xml:space="preserve">offerings </w:t>
      </w:r>
      <w:r w:rsidR="008A60B8" w:rsidRPr="00080443">
        <w:rPr>
          <w:rFonts w:cs="Arial"/>
        </w:rPr>
        <w:t xml:space="preserve">(such as the 700 MHz and 2.5 GHz band spectrum) are </w:t>
      </w:r>
      <w:r w:rsidR="00B95EB6" w:rsidRPr="00080443">
        <w:rPr>
          <w:rFonts w:cs="Arial"/>
        </w:rPr>
        <w:t>available</w:t>
      </w:r>
      <w:r w:rsidR="008A60B8" w:rsidRPr="00080443">
        <w:rPr>
          <w:rFonts w:cs="Arial"/>
        </w:rPr>
        <w:t>.</w:t>
      </w:r>
    </w:p>
    <w:p w14:paraId="72EF3531" w14:textId="77777777" w:rsidR="008A60B8" w:rsidRPr="00080443" w:rsidRDefault="00CD2C67" w:rsidP="00F04397">
      <w:pPr>
        <w:pStyle w:val="ListBullet"/>
        <w:rPr>
          <w:rFonts w:cs="Arial"/>
        </w:rPr>
      </w:pPr>
      <w:r w:rsidRPr="00080443">
        <w:rPr>
          <w:rFonts w:cs="Arial"/>
          <w:b/>
        </w:rPr>
        <w:t xml:space="preserve">Enables flexible bidding </w:t>
      </w:r>
      <w:r w:rsidR="006D5319" w:rsidRPr="00080443">
        <w:rPr>
          <w:rFonts w:cs="Arial"/>
          <w:b/>
        </w:rPr>
        <w:t>approaches</w:t>
      </w:r>
      <w:r w:rsidR="009151C0" w:rsidRPr="00080443">
        <w:rPr>
          <w:rFonts w:cs="Arial"/>
        </w:rPr>
        <w:t>—</w:t>
      </w:r>
      <w:r w:rsidR="002F1DE0" w:rsidRPr="00080443">
        <w:rPr>
          <w:rFonts w:cs="Arial"/>
        </w:rPr>
        <w:t>s</w:t>
      </w:r>
      <w:r w:rsidR="00F75FE6" w:rsidRPr="00080443">
        <w:rPr>
          <w:rFonts w:cs="Arial"/>
        </w:rPr>
        <w:t>ubject to the constraints discussed below, b</w:t>
      </w:r>
      <w:r w:rsidR="008A60B8" w:rsidRPr="00080443">
        <w:rPr>
          <w:rFonts w:cs="Arial"/>
        </w:rPr>
        <w:t xml:space="preserve">idders can </w:t>
      </w:r>
      <w:r w:rsidR="006D5319" w:rsidRPr="00080443">
        <w:rPr>
          <w:rFonts w:cs="Arial"/>
        </w:rPr>
        <w:t xml:space="preserve">readily </w:t>
      </w:r>
      <w:r w:rsidR="008A60B8" w:rsidRPr="00080443">
        <w:rPr>
          <w:rFonts w:cs="Arial"/>
        </w:rPr>
        <w:t xml:space="preserve">switch to different packages of lots that may become more </w:t>
      </w:r>
      <w:r w:rsidR="00704F8E" w:rsidRPr="00080443">
        <w:rPr>
          <w:rFonts w:cs="Arial"/>
        </w:rPr>
        <w:t>attractive</w:t>
      </w:r>
      <w:r w:rsidR="00D6222E" w:rsidRPr="00080443">
        <w:rPr>
          <w:rFonts w:cs="Arial"/>
        </w:rPr>
        <w:t xml:space="preserve"> </w:t>
      </w:r>
      <w:r w:rsidR="008A60B8" w:rsidRPr="00080443">
        <w:rPr>
          <w:rFonts w:cs="Arial"/>
        </w:rPr>
        <w:t xml:space="preserve">to them as </w:t>
      </w:r>
      <w:r w:rsidR="00CA37BE" w:rsidRPr="00080443">
        <w:rPr>
          <w:rFonts w:cs="Arial"/>
        </w:rPr>
        <w:t xml:space="preserve">prices change during the course of </w:t>
      </w:r>
      <w:r w:rsidR="008A60B8" w:rsidRPr="00080443">
        <w:rPr>
          <w:rFonts w:cs="Arial"/>
        </w:rPr>
        <w:t>the auction</w:t>
      </w:r>
      <w:r w:rsidR="00CA37BE" w:rsidRPr="00080443">
        <w:rPr>
          <w:rFonts w:cs="Arial"/>
        </w:rPr>
        <w:t>.</w:t>
      </w:r>
    </w:p>
    <w:p w14:paraId="5DD881B3" w14:textId="77777777" w:rsidR="008A60B8" w:rsidRPr="00080443" w:rsidRDefault="00CD2C67" w:rsidP="00F04397">
      <w:pPr>
        <w:pStyle w:val="ListBullet"/>
        <w:rPr>
          <w:rFonts w:cs="Arial"/>
        </w:rPr>
      </w:pPr>
      <w:r w:rsidRPr="00080443">
        <w:rPr>
          <w:rFonts w:cs="Arial"/>
          <w:b/>
        </w:rPr>
        <w:t>Enables assignment of contiguous lots</w:t>
      </w:r>
      <w:r w:rsidR="009151C0" w:rsidRPr="00080443">
        <w:rPr>
          <w:rFonts w:cs="Arial"/>
        </w:rPr>
        <w:t>—</w:t>
      </w:r>
      <w:r w:rsidR="0038015D" w:rsidRPr="00080443">
        <w:rPr>
          <w:rFonts w:cs="Arial"/>
        </w:rPr>
        <w:t>t</w:t>
      </w:r>
      <w:r w:rsidR="008A60B8" w:rsidRPr="00080443">
        <w:rPr>
          <w:rFonts w:cs="Arial"/>
        </w:rPr>
        <w:t xml:space="preserve">he </w:t>
      </w:r>
      <w:r w:rsidR="00EC37E9" w:rsidRPr="00080443">
        <w:rPr>
          <w:rFonts w:cs="Arial"/>
        </w:rPr>
        <w:t xml:space="preserve">configuration </w:t>
      </w:r>
      <w:r w:rsidR="008A60B8" w:rsidRPr="00080443">
        <w:rPr>
          <w:rFonts w:cs="Arial"/>
        </w:rPr>
        <w:t>of the 700 MHz and 2.</w:t>
      </w:r>
      <w:r w:rsidR="009151C0" w:rsidRPr="00080443">
        <w:rPr>
          <w:rFonts w:cs="Arial"/>
        </w:rPr>
        <w:t>5 </w:t>
      </w:r>
      <w:r w:rsidR="008A60B8" w:rsidRPr="00080443">
        <w:rPr>
          <w:rFonts w:cs="Arial"/>
        </w:rPr>
        <w:t xml:space="preserve">GHz bands into </w:t>
      </w:r>
      <w:r w:rsidR="008C2BEE" w:rsidRPr="00080443">
        <w:rPr>
          <w:rFonts w:cs="Arial"/>
        </w:rPr>
        <w:t xml:space="preserve">a series of ‘products’ comprising </w:t>
      </w:r>
      <w:r w:rsidR="008A60B8" w:rsidRPr="00080443">
        <w:rPr>
          <w:rFonts w:cs="Arial"/>
        </w:rPr>
        <w:t>generic spectrum lots</w:t>
      </w:r>
      <w:r w:rsidR="002A346A" w:rsidRPr="00080443">
        <w:rPr>
          <w:rFonts w:cs="Arial"/>
        </w:rPr>
        <w:t xml:space="preserve"> (see 2.2)</w:t>
      </w:r>
      <w:r w:rsidR="008A60B8" w:rsidRPr="00080443">
        <w:rPr>
          <w:rFonts w:cs="Arial"/>
        </w:rPr>
        <w:t>, and the operation of the assignment stage</w:t>
      </w:r>
      <w:r w:rsidR="008E2D51" w:rsidRPr="00080443">
        <w:rPr>
          <w:rFonts w:cs="Arial"/>
        </w:rPr>
        <w:t xml:space="preserve"> (see below)</w:t>
      </w:r>
      <w:r w:rsidR="008A60B8" w:rsidRPr="00080443">
        <w:rPr>
          <w:rFonts w:cs="Arial"/>
        </w:rPr>
        <w:t>, enable the assignment of contiguous frequency lots to winning bidders</w:t>
      </w:r>
      <w:r w:rsidR="009151C0" w:rsidRPr="00080443">
        <w:rPr>
          <w:rFonts w:cs="Arial"/>
        </w:rPr>
        <w:t>—</w:t>
      </w:r>
      <w:r w:rsidR="008A60B8" w:rsidRPr="00080443">
        <w:rPr>
          <w:rFonts w:cs="Arial"/>
        </w:rPr>
        <w:t>thereby minimising the fragmentation of spectrum holdings. One of the potential uses of the 700 MHz and 2.5 GHz bands is for 4G communications services, which can deliver higher data speeds and more data</w:t>
      </w:r>
      <w:r w:rsidR="009151C0" w:rsidRPr="00080443">
        <w:rPr>
          <w:rFonts w:cs="Arial"/>
        </w:rPr>
        <w:t>-</w:t>
      </w:r>
      <w:r w:rsidR="008A60B8" w:rsidRPr="00080443">
        <w:rPr>
          <w:rFonts w:cs="Arial"/>
        </w:rPr>
        <w:t xml:space="preserve">intensive applications with wider bandwidths. Minimising the fragmentation of winners’ spectrum holdings will help to optimise the range and quality of services provided using the spectrum.  </w:t>
      </w:r>
    </w:p>
    <w:p w14:paraId="55F49541" w14:textId="77777777" w:rsidR="00627875" w:rsidRPr="00080443" w:rsidRDefault="00627875" w:rsidP="00F04397">
      <w:pPr>
        <w:pStyle w:val="ListBullet"/>
        <w:spacing w:after="240"/>
        <w:rPr>
          <w:rFonts w:cs="Arial"/>
        </w:rPr>
      </w:pPr>
      <w:r w:rsidRPr="00080443">
        <w:rPr>
          <w:rFonts w:cs="Arial"/>
          <w:b/>
        </w:rPr>
        <w:t>Promotes price discovery</w:t>
      </w:r>
      <w:r w:rsidRPr="00080443">
        <w:rPr>
          <w:rFonts w:cs="Arial"/>
        </w:rPr>
        <w:t>—</w:t>
      </w:r>
      <w:r w:rsidR="00297F19" w:rsidRPr="00080443">
        <w:rPr>
          <w:rFonts w:cs="Arial"/>
        </w:rPr>
        <w:t>t</w:t>
      </w:r>
      <w:r w:rsidRPr="00080443">
        <w:rPr>
          <w:rFonts w:cs="Arial"/>
        </w:rPr>
        <w:t xml:space="preserve">he clock rounds in the CCA format </w:t>
      </w:r>
      <w:r w:rsidR="00297F19" w:rsidRPr="00080443">
        <w:rPr>
          <w:rFonts w:cs="Arial"/>
        </w:rPr>
        <w:t xml:space="preserve">give </w:t>
      </w:r>
      <w:r w:rsidRPr="00080443">
        <w:rPr>
          <w:rFonts w:cs="Arial"/>
        </w:rPr>
        <w:t>bidders the opportunity to see how other bidders value the spectrum.</w:t>
      </w:r>
    </w:p>
    <w:p w14:paraId="230EC7AA" w14:textId="77777777" w:rsidR="006D5319" w:rsidRPr="00080443" w:rsidRDefault="00CD2C67" w:rsidP="00E22691">
      <w:pPr>
        <w:pStyle w:val="ListBullet"/>
        <w:spacing w:after="240"/>
        <w:rPr>
          <w:rFonts w:cs="Arial"/>
        </w:rPr>
      </w:pPr>
      <w:r w:rsidRPr="00080443">
        <w:rPr>
          <w:rFonts w:cs="Arial"/>
          <w:b/>
        </w:rPr>
        <w:lastRenderedPageBreak/>
        <w:t>Creates incentives for truthful bidding</w:t>
      </w:r>
      <w:r w:rsidR="009151C0" w:rsidRPr="00080443">
        <w:rPr>
          <w:rFonts w:cs="Arial"/>
        </w:rPr>
        <w:t>—</w:t>
      </w:r>
      <w:r w:rsidR="00DB6F4B" w:rsidRPr="00080443">
        <w:rPr>
          <w:rFonts w:cs="Arial"/>
        </w:rPr>
        <w:t>t</w:t>
      </w:r>
      <w:r w:rsidR="008A60B8" w:rsidRPr="00080443">
        <w:rPr>
          <w:rFonts w:cs="Arial"/>
        </w:rPr>
        <w:t xml:space="preserve">he pricing and activity rules in the CCA format </w:t>
      </w:r>
      <w:r w:rsidR="00A73E85" w:rsidRPr="00080443">
        <w:rPr>
          <w:rFonts w:cs="Arial"/>
        </w:rPr>
        <w:t xml:space="preserve">are designed to </w:t>
      </w:r>
      <w:r w:rsidR="008A60B8" w:rsidRPr="00080443">
        <w:rPr>
          <w:rFonts w:cs="Arial"/>
        </w:rPr>
        <w:t xml:space="preserve">encourage bidders to bid their </w:t>
      </w:r>
      <w:r w:rsidR="00704F8E" w:rsidRPr="00080443">
        <w:rPr>
          <w:rFonts w:cs="Arial"/>
        </w:rPr>
        <w:t>true</w:t>
      </w:r>
      <w:r w:rsidR="003D430C" w:rsidRPr="00080443">
        <w:rPr>
          <w:rFonts w:cs="Arial"/>
        </w:rPr>
        <w:t xml:space="preserve"> </w:t>
      </w:r>
      <w:r w:rsidR="008A60B8" w:rsidRPr="00080443">
        <w:rPr>
          <w:rFonts w:cs="Arial"/>
        </w:rPr>
        <w:t xml:space="preserve">value for the spectrum, and </w:t>
      </w:r>
      <w:r w:rsidR="00704F8E" w:rsidRPr="00080443">
        <w:rPr>
          <w:rFonts w:cs="Arial"/>
        </w:rPr>
        <w:t xml:space="preserve">discourage </w:t>
      </w:r>
      <w:r w:rsidR="00771212" w:rsidRPr="00080443">
        <w:rPr>
          <w:rFonts w:cs="Arial"/>
        </w:rPr>
        <w:t xml:space="preserve">them </w:t>
      </w:r>
      <w:r w:rsidR="00704F8E" w:rsidRPr="00080443">
        <w:rPr>
          <w:rFonts w:cs="Arial"/>
        </w:rPr>
        <w:t>from engaging in strategic behaviour that could result in an inefficient outcome.</w:t>
      </w:r>
      <w:r w:rsidR="006321EE" w:rsidRPr="00080443">
        <w:rPr>
          <w:rFonts w:cs="Arial"/>
        </w:rPr>
        <w:t xml:space="preserve"> For example</w:t>
      </w:r>
      <w:r w:rsidR="00297F19" w:rsidRPr="00080443">
        <w:rPr>
          <w:rFonts w:cs="Arial"/>
        </w:rPr>
        <w:t>,</w:t>
      </w:r>
      <w:r w:rsidR="006321EE" w:rsidRPr="00080443">
        <w:rPr>
          <w:rFonts w:cs="Arial"/>
        </w:rPr>
        <w:t xml:space="preserve"> the pricing rule requires the winning bidder to only pay an amount just enough to surpass the next highest bidder regardless of how high the winner bid. Such a rule provides an incentive for bidders to bid their true value as it requires them to pay only what the market demands.</w:t>
      </w:r>
      <w:r w:rsidR="00771212" w:rsidRPr="00080443">
        <w:rPr>
          <w:rFonts w:cs="Arial"/>
        </w:rPr>
        <w:t xml:space="preserve"> </w:t>
      </w:r>
    </w:p>
    <w:p w14:paraId="090E9190" w14:textId="77777777" w:rsidR="008A60B8" w:rsidRPr="00080443" w:rsidRDefault="005324AC" w:rsidP="00F04397">
      <w:pPr>
        <w:rPr>
          <w:rFonts w:cs="Arial"/>
        </w:rPr>
      </w:pPr>
      <w:r w:rsidRPr="00080443">
        <w:rPr>
          <w:rFonts w:cs="Arial"/>
        </w:rPr>
        <w:t xml:space="preserve">In recent years, the CCA format has achieved widespread acceptance internationally as a method for price-based allocation of spectrum. </w:t>
      </w:r>
      <w:r w:rsidR="008A60B8" w:rsidRPr="00080443">
        <w:rPr>
          <w:rFonts w:cs="Arial"/>
        </w:rPr>
        <w:t xml:space="preserve">The CCA format has been used in the UK, </w:t>
      </w:r>
      <w:r w:rsidR="00704F8E" w:rsidRPr="00080443">
        <w:rPr>
          <w:rFonts w:cs="Arial"/>
        </w:rPr>
        <w:t xml:space="preserve">Ireland, </w:t>
      </w:r>
      <w:r w:rsidR="008A60B8" w:rsidRPr="00080443">
        <w:rPr>
          <w:rFonts w:cs="Arial"/>
        </w:rPr>
        <w:t>Denmark, the Netherlands, Austria and Switzerland in recent years</w:t>
      </w:r>
      <w:r w:rsidR="009151C0" w:rsidRPr="00080443">
        <w:rPr>
          <w:rFonts w:cs="Arial"/>
        </w:rPr>
        <w:t>—</w:t>
      </w:r>
      <w:r w:rsidR="008A60B8" w:rsidRPr="00080443">
        <w:rPr>
          <w:rFonts w:cs="Arial"/>
        </w:rPr>
        <w:t xml:space="preserve">and </w:t>
      </w:r>
      <w:r w:rsidR="00704F8E" w:rsidRPr="00080443">
        <w:rPr>
          <w:rFonts w:cs="Arial"/>
        </w:rPr>
        <w:t xml:space="preserve">is planned to </w:t>
      </w:r>
      <w:r w:rsidR="008A60B8" w:rsidRPr="00080443">
        <w:rPr>
          <w:rFonts w:cs="Arial"/>
        </w:rPr>
        <w:t>be used in the UK and Canada to auction digital dividend or similar high</w:t>
      </w:r>
      <w:r w:rsidR="009151C0" w:rsidRPr="00080443">
        <w:rPr>
          <w:rFonts w:cs="Arial"/>
        </w:rPr>
        <w:t>-</w:t>
      </w:r>
      <w:r w:rsidR="008A60B8" w:rsidRPr="00080443">
        <w:rPr>
          <w:rFonts w:cs="Arial"/>
        </w:rPr>
        <w:t>value spectrum</w:t>
      </w:r>
      <w:r w:rsidR="00704F8E" w:rsidRPr="00080443">
        <w:rPr>
          <w:rFonts w:cs="Arial"/>
        </w:rPr>
        <w:t xml:space="preserve"> in 2013</w:t>
      </w:r>
      <w:r w:rsidR="008A60B8" w:rsidRPr="00080443">
        <w:rPr>
          <w:rFonts w:cs="Arial"/>
        </w:rPr>
        <w:t>.</w:t>
      </w:r>
    </w:p>
    <w:p w14:paraId="0EF2FBC3" w14:textId="77777777" w:rsidR="00F04397" w:rsidRPr="00080443" w:rsidRDefault="00F04397" w:rsidP="00F04397">
      <w:pPr>
        <w:rPr>
          <w:rFonts w:cs="Arial"/>
        </w:rPr>
      </w:pPr>
    </w:p>
    <w:p w14:paraId="1AB10F08" w14:textId="77777777" w:rsidR="008A60B8" w:rsidRPr="00080443" w:rsidRDefault="008A60B8" w:rsidP="00234088">
      <w:pPr>
        <w:pStyle w:val="Heading3"/>
        <w:numPr>
          <w:ilvl w:val="2"/>
          <w:numId w:val="13"/>
        </w:numPr>
      </w:pPr>
      <w:bookmarkStart w:id="76" w:name="_Toc335246256"/>
      <w:bookmarkStart w:id="77" w:name="_Toc343780465"/>
      <w:r w:rsidRPr="00080443">
        <w:t>Overview of CCA procedures</w:t>
      </w:r>
      <w:bookmarkEnd w:id="76"/>
      <w:bookmarkEnd w:id="77"/>
    </w:p>
    <w:p w14:paraId="159A594F" w14:textId="77777777" w:rsidR="008A60B8" w:rsidRPr="00080443" w:rsidRDefault="008A60B8" w:rsidP="00F04397">
      <w:pPr>
        <w:spacing w:after="80"/>
        <w:rPr>
          <w:rFonts w:cs="Arial"/>
        </w:rPr>
      </w:pPr>
      <w:r w:rsidRPr="00080443">
        <w:rPr>
          <w:rFonts w:cs="Arial"/>
        </w:rPr>
        <w:t xml:space="preserve">The CCA consists of two major stages: </w:t>
      </w:r>
    </w:p>
    <w:p w14:paraId="5D60F667" w14:textId="77777777" w:rsidR="008A60B8" w:rsidRPr="00080443" w:rsidRDefault="00CD2C67" w:rsidP="00F04397">
      <w:pPr>
        <w:pStyle w:val="ListNumber"/>
        <w:rPr>
          <w:rFonts w:cs="Arial"/>
        </w:rPr>
      </w:pPr>
      <w:r w:rsidRPr="00080443">
        <w:rPr>
          <w:rFonts w:cs="Arial"/>
          <w:b/>
        </w:rPr>
        <w:t>An allocation stage</w:t>
      </w:r>
      <w:r w:rsidR="008A60B8" w:rsidRPr="00080443">
        <w:rPr>
          <w:rFonts w:cs="Arial"/>
        </w:rPr>
        <w:t>, which determines the number of lots of each product that each bidder wins. The allocation stage consists of:</w:t>
      </w:r>
    </w:p>
    <w:p w14:paraId="6BD9AAED" w14:textId="77777777" w:rsidR="008A60B8" w:rsidRPr="00080443" w:rsidRDefault="008A60B8" w:rsidP="00F04397">
      <w:pPr>
        <w:pStyle w:val="ListBullet2"/>
        <w:ind w:left="907"/>
        <w:rPr>
          <w:rFonts w:cs="Arial"/>
        </w:rPr>
      </w:pPr>
      <w:r w:rsidRPr="00080443">
        <w:rPr>
          <w:rFonts w:cs="Arial"/>
          <w:i/>
        </w:rPr>
        <w:t>Clock rounds</w:t>
      </w:r>
      <w:r w:rsidR="009151C0" w:rsidRPr="00080443">
        <w:rPr>
          <w:rFonts w:cs="Arial"/>
        </w:rPr>
        <w:t>—</w:t>
      </w:r>
      <w:r w:rsidR="00DB6F4B" w:rsidRPr="00080443">
        <w:rPr>
          <w:rFonts w:cs="Arial"/>
        </w:rPr>
        <w:t>a</w:t>
      </w:r>
      <w:r w:rsidRPr="00080443">
        <w:rPr>
          <w:rFonts w:cs="Arial"/>
        </w:rPr>
        <w:t xml:space="preserve"> series of rounds where bidders submit bids for </w:t>
      </w:r>
      <w:r w:rsidR="00D872D2" w:rsidRPr="00080443">
        <w:rPr>
          <w:rFonts w:cs="Arial"/>
        </w:rPr>
        <w:t xml:space="preserve">generic lots of each product, together as a package, that </w:t>
      </w:r>
      <w:r w:rsidRPr="00080443">
        <w:rPr>
          <w:rFonts w:cs="Arial"/>
        </w:rPr>
        <w:t>they most want at the current round prices. In each subsequent round, the auction manager increases the prices for all products with excess demand. The clock rounds end when there is no excess demand for any product. This is the price discovery phase of the auction.</w:t>
      </w:r>
    </w:p>
    <w:p w14:paraId="187F3A50" w14:textId="77777777" w:rsidR="008A60B8" w:rsidRPr="00080443" w:rsidRDefault="008A60B8" w:rsidP="00F04397">
      <w:pPr>
        <w:pStyle w:val="ListBullet2"/>
        <w:ind w:left="907"/>
        <w:rPr>
          <w:rFonts w:cs="Arial"/>
        </w:rPr>
      </w:pPr>
      <w:r w:rsidRPr="00080443">
        <w:rPr>
          <w:rFonts w:cs="Arial"/>
          <w:i/>
        </w:rPr>
        <w:t>A supplementary round</w:t>
      </w:r>
      <w:r w:rsidR="009151C0" w:rsidRPr="00080443">
        <w:rPr>
          <w:rFonts w:cs="Arial"/>
        </w:rPr>
        <w:t>—</w:t>
      </w:r>
      <w:r w:rsidR="00DB6F4B" w:rsidRPr="00080443">
        <w:rPr>
          <w:rFonts w:cs="Arial"/>
        </w:rPr>
        <w:t>a</w:t>
      </w:r>
      <w:r w:rsidRPr="00080443">
        <w:rPr>
          <w:rFonts w:cs="Arial"/>
        </w:rPr>
        <w:t xml:space="preserve"> single round where bidders </w:t>
      </w:r>
      <w:r w:rsidR="00C70B42" w:rsidRPr="00080443">
        <w:rPr>
          <w:rFonts w:cs="Arial"/>
        </w:rPr>
        <w:t xml:space="preserve">who have </w:t>
      </w:r>
      <w:r w:rsidR="00D72FEA" w:rsidRPr="00080443">
        <w:rPr>
          <w:rFonts w:cs="Arial"/>
        </w:rPr>
        <w:t xml:space="preserve">bid for at least one lot in the first clock round </w:t>
      </w:r>
      <w:r w:rsidRPr="00080443">
        <w:rPr>
          <w:rFonts w:cs="Arial"/>
        </w:rPr>
        <w:t xml:space="preserve">can submit additional bids for packages of lots, at prices that they choose, subject to constraints based on their </w:t>
      </w:r>
      <w:r w:rsidR="00D872D2" w:rsidRPr="00080443">
        <w:rPr>
          <w:rFonts w:cs="Arial"/>
        </w:rPr>
        <w:t xml:space="preserve">initial eligibility, their </w:t>
      </w:r>
      <w:r w:rsidRPr="00080443">
        <w:rPr>
          <w:rFonts w:cs="Arial"/>
        </w:rPr>
        <w:t>clock round bids</w:t>
      </w:r>
      <w:r w:rsidR="00D872D2" w:rsidRPr="00080443">
        <w:rPr>
          <w:rFonts w:cs="Arial"/>
        </w:rPr>
        <w:t>, the initial (</w:t>
      </w:r>
      <w:r w:rsidR="005306FA" w:rsidRPr="00080443">
        <w:rPr>
          <w:rFonts w:cs="Arial"/>
        </w:rPr>
        <w:t>that is</w:t>
      </w:r>
      <w:r w:rsidR="00D872D2" w:rsidRPr="00080443">
        <w:rPr>
          <w:rFonts w:cs="Arial"/>
        </w:rPr>
        <w:t>, reserve) prices and the allocation limits</w:t>
      </w:r>
      <w:r w:rsidRPr="00080443">
        <w:rPr>
          <w:rFonts w:cs="Arial"/>
        </w:rPr>
        <w:t>.</w:t>
      </w:r>
    </w:p>
    <w:p w14:paraId="63ECDE69" w14:textId="77777777" w:rsidR="008A60B8" w:rsidRPr="00080443" w:rsidRDefault="00CD2C67" w:rsidP="00F04397">
      <w:pPr>
        <w:pStyle w:val="ListNumber"/>
        <w:rPr>
          <w:rFonts w:cs="Arial"/>
        </w:rPr>
      </w:pPr>
      <w:r w:rsidRPr="00080443">
        <w:rPr>
          <w:rFonts w:cs="Arial"/>
          <w:b/>
        </w:rPr>
        <w:t>An assignment stage</w:t>
      </w:r>
      <w:r w:rsidR="008A60B8" w:rsidRPr="00080443">
        <w:rPr>
          <w:rFonts w:cs="Arial"/>
        </w:rPr>
        <w:t xml:space="preserve">, which determines the specific frequency ranges awarded to each winning bidder from the allocation stage. In the assignment stage, bidders can submit additional bids, at prices they choose, for particular frequency assignment options listed by the auction manager. </w:t>
      </w:r>
    </w:p>
    <w:p w14:paraId="111D49B3" w14:textId="77777777" w:rsidR="00F04397" w:rsidRPr="00080443" w:rsidRDefault="00F04397" w:rsidP="00F04397">
      <w:pPr>
        <w:pStyle w:val="ListNumber"/>
        <w:numPr>
          <w:ilvl w:val="0"/>
          <w:numId w:val="0"/>
        </w:numPr>
        <w:ind w:left="360" w:hanging="360"/>
        <w:rPr>
          <w:rFonts w:cs="Arial"/>
        </w:rPr>
      </w:pPr>
    </w:p>
    <w:tbl>
      <w:tblPr>
        <w:tblW w:w="9645" w:type="dxa"/>
        <w:tblLayout w:type="fixed"/>
        <w:tblCellMar>
          <w:left w:w="0" w:type="dxa"/>
          <w:right w:w="0" w:type="dxa"/>
        </w:tblCellMar>
        <w:tblLook w:val="01E0" w:firstRow="1" w:lastRow="1" w:firstColumn="1" w:lastColumn="1" w:noHBand="0" w:noVBand="0"/>
      </w:tblPr>
      <w:tblGrid>
        <w:gridCol w:w="9645"/>
      </w:tblGrid>
      <w:tr w:rsidR="00F04397" w:rsidRPr="00080443" w14:paraId="5C6B63B9" w14:textId="77777777" w:rsidTr="00F04397">
        <w:trPr>
          <w:trHeight w:val="570"/>
        </w:trPr>
        <w:tc>
          <w:tcPr>
            <w:tcW w:w="9645" w:type="dxa"/>
            <w:tcBorders>
              <w:top w:val="single" w:sz="2" w:space="0" w:color="505050"/>
            </w:tcBorders>
            <w:shd w:val="clear" w:color="auto" w:fill="auto"/>
            <w:vAlign w:val="center"/>
          </w:tcPr>
          <w:p w14:paraId="2BA10C8E" w14:textId="77777777" w:rsidR="00F04397" w:rsidRPr="00080443" w:rsidRDefault="00F04397" w:rsidP="005376B4">
            <w:pPr>
              <w:pStyle w:val="Caption"/>
              <w:keepNext/>
              <w:pageBreakBefore/>
              <w:rPr>
                <w:rFonts w:cs="Arial"/>
              </w:rPr>
            </w:pPr>
            <w:r w:rsidRPr="00080443">
              <w:rPr>
                <w:rFonts w:cs="Arial"/>
              </w:rPr>
              <w:lastRenderedPageBreak/>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6</w:t>
            </w:r>
            <w:r w:rsidR="00724CDB" w:rsidRPr="00080443">
              <w:rPr>
                <w:rFonts w:cs="Arial"/>
              </w:rPr>
              <w:fldChar w:fldCharType="end"/>
            </w:r>
            <w:r w:rsidRPr="00080443">
              <w:rPr>
                <w:rFonts w:cs="Arial"/>
              </w:rPr>
              <w:t xml:space="preserve"> Key elements of the CCA auction process</w:t>
            </w:r>
          </w:p>
        </w:tc>
      </w:tr>
      <w:tr w:rsidR="00F04397" w:rsidRPr="00080443" w14:paraId="36CE9FF6" w14:textId="77777777" w:rsidTr="00F04397">
        <w:trPr>
          <w:trHeight w:val="3086"/>
        </w:trPr>
        <w:tc>
          <w:tcPr>
            <w:tcW w:w="9645" w:type="dxa"/>
            <w:shd w:val="clear" w:color="auto" w:fill="auto"/>
            <w:tcMar>
              <w:left w:w="28" w:type="dxa"/>
            </w:tcMar>
          </w:tcPr>
          <w:p w14:paraId="1EDD9CA1" w14:textId="77777777" w:rsidR="00F04397" w:rsidRPr="00080443" w:rsidRDefault="00FC3C9C" w:rsidP="00F04397">
            <w:pPr>
              <w:rPr>
                <w:rFonts w:cs="Arial"/>
              </w:rPr>
            </w:pPr>
            <w:r w:rsidRPr="00080443">
              <w:rPr>
                <w:rFonts w:cs="Arial"/>
                <w:noProof/>
              </w:rPr>
              <w:drawing>
                <wp:inline distT="0" distB="0" distL="0" distR="0" wp14:anchorId="35C16D2F" wp14:editId="588672D3">
                  <wp:extent cx="6019800" cy="46958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srcRect l="1404" t="2183"/>
                          <a:stretch>
                            <a:fillRect/>
                          </a:stretch>
                        </pic:blipFill>
                        <pic:spPr bwMode="auto">
                          <a:xfrm>
                            <a:off x="0" y="0"/>
                            <a:ext cx="6019800" cy="4695825"/>
                          </a:xfrm>
                          <a:prstGeom prst="rect">
                            <a:avLst/>
                          </a:prstGeom>
                          <a:noFill/>
                          <a:ln w="9525">
                            <a:noFill/>
                            <a:miter lim="800000"/>
                            <a:headEnd/>
                            <a:tailEnd/>
                          </a:ln>
                        </pic:spPr>
                      </pic:pic>
                    </a:graphicData>
                  </a:graphic>
                </wp:inline>
              </w:drawing>
            </w:r>
          </w:p>
        </w:tc>
      </w:tr>
      <w:tr w:rsidR="00F04397" w:rsidRPr="00080443" w14:paraId="0E2C0020" w14:textId="77777777" w:rsidTr="00F04397">
        <w:trPr>
          <w:trHeight w:val="291"/>
        </w:trPr>
        <w:tc>
          <w:tcPr>
            <w:tcW w:w="9645" w:type="dxa"/>
            <w:tcBorders>
              <w:bottom w:val="single" w:sz="2" w:space="0" w:color="505050"/>
            </w:tcBorders>
            <w:shd w:val="clear" w:color="auto" w:fill="auto"/>
          </w:tcPr>
          <w:p w14:paraId="2FDB612E" w14:textId="77777777" w:rsidR="00F04397" w:rsidRPr="00080443" w:rsidRDefault="00F04397" w:rsidP="00F04397">
            <w:pPr>
              <w:rPr>
                <w:rFonts w:cs="Arial"/>
              </w:rPr>
            </w:pPr>
          </w:p>
        </w:tc>
      </w:tr>
    </w:tbl>
    <w:p w14:paraId="490D7A01" w14:textId="77777777" w:rsidR="00F04397" w:rsidRPr="00080443" w:rsidRDefault="00F04397" w:rsidP="004D411C">
      <w:pPr>
        <w:pStyle w:val="ListNumber"/>
        <w:numPr>
          <w:ilvl w:val="0"/>
          <w:numId w:val="0"/>
        </w:numPr>
        <w:spacing w:after="0"/>
        <w:ind w:left="360" w:hanging="360"/>
        <w:rPr>
          <w:rFonts w:cs="Arial"/>
        </w:rPr>
      </w:pPr>
    </w:p>
    <w:p w14:paraId="250E62EA" w14:textId="77777777" w:rsidR="008A60B8" w:rsidRPr="00080443" w:rsidRDefault="008A60B8" w:rsidP="00F04397">
      <w:pPr>
        <w:pStyle w:val="Bodysubheader"/>
        <w:rPr>
          <w:rFonts w:cs="Arial"/>
        </w:rPr>
      </w:pPr>
      <w:r w:rsidRPr="00080443">
        <w:rPr>
          <w:rFonts w:cs="Arial"/>
        </w:rPr>
        <w:t>Allocation stage</w:t>
      </w:r>
    </w:p>
    <w:p w14:paraId="33F569B9" w14:textId="77777777" w:rsidR="008A60B8" w:rsidRPr="00080443" w:rsidRDefault="008A60B8" w:rsidP="00F04397">
      <w:pPr>
        <w:rPr>
          <w:rFonts w:cs="Arial"/>
        </w:rPr>
      </w:pPr>
      <w:r w:rsidRPr="00080443">
        <w:rPr>
          <w:rFonts w:cs="Arial"/>
        </w:rPr>
        <w:t xml:space="preserve">The allocation stage determines the amount of spectrum (the number of lots of each product) that each bidder wins. </w:t>
      </w:r>
    </w:p>
    <w:p w14:paraId="68E5B951" w14:textId="77777777" w:rsidR="00F04397" w:rsidRPr="00080443" w:rsidRDefault="00F04397" w:rsidP="00F04397">
      <w:pPr>
        <w:rPr>
          <w:rFonts w:cs="Arial"/>
        </w:rPr>
      </w:pPr>
    </w:p>
    <w:p w14:paraId="500353D5" w14:textId="77777777" w:rsidR="008A60B8" w:rsidRPr="00080443" w:rsidRDefault="008A60B8" w:rsidP="00F04397">
      <w:pPr>
        <w:rPr>
          <w:rFonts w:cs="Arial"/>
        </w:rPr>
      </w:pPr>
      <w:r w:rsidRPr="00080443">
        <w:rPr>
          <w:rFonts w:cs="Arial"/>
        </w:rPr>
        <w:t>In all rounds in the allocation stage, a valid bid is a binding commitment to buy the relevant package of lots for any price up to the amount of the bid. Bidders may change their bids during the course of a round</w:t>
      </w:r>
      <w:r w:rsidR="00500350" w:rsidRPr="00080443">
        <w:rPr>
          <w:rFonts w:cs="Arial"/>
        </w:rPr>
        <w:t>—</w:t>
      </w:r>
      <w:r w:rsidRPr="00080443">
        <w:rPr>
          <w:rFonts w:cs="Arial"/>
        </w:rPr>
        <w:t xml:space="preserve">the binding bid will be the last valid bid (or set of supplementary bids) in the auction system at the end of the round. </w:t>
      </w:r>
      <w:r w:rsidR="00E503FD" w:rsidRPr="00080443">
        <w:rPr>
          <w:rFonts w:cs="Arial"/>
        </w:rPr>
        <w:t>It is intended that t</w:t>
      </w:r>
      <w:r w:rsidRPr="00080443">
        <w:rPr>
          <w:rFonts w:cs="Arial"/>
        </w:rPr>
        <w:t>he auction manager will, through the auction system, notify bidders immediately if</w:t>
      </w:r>
      <w:r w:rsidR="00C12E14" w:rsidRPr="00080443">
        <w:rPr>
          <w:rFonts w:cs="Arial"/>
        </w:rPr>
        <w:t xml:space="preserve"> he or she</w:t>
      </w:r>
      <w:r w:rsidRPr="00080443">
        <w:rPr>
          <w:rFonts w:cs="Arial"/>
        </w:rPr>
        <w:t xml:space="preserve"> </w:t>
      </w:r>
      <w:r w:rsidR="00E503FD" w:rsidRPr="00080443">
        <w:rPr>
          <w:rFonts w:cs="Arial"/>
        </w:rPr>
        <w:t xml:space="preserve">becomes aware that </w:t>
      </w:r>
      <w:r w:rsidRPr="00080443">
        <w:rPr>
          <w:rFonts w:cs="Arial"/>
        </w:rPr>
        <w:t xml:space="preserve">a bid they </w:t>
      </w:r>
      <w:r w:rsidR="00E503FD" w:rsidRPr="00080443">
        <w:rPr>
          <w:rFonts w:cs="Arial"/>
        </w:rPr>
        <w:t xml:space="preserve">are </w:t>
      </w:r>
      <w:r w:rsidRPr="00080443">
        <w:rPr>
          <w:rFonts w:cs="Arial"/>
        </w:rPr>
        <w:t>attempt</w:t>
      </w:r>
      <w:r w:rsidR="00E503FD" w:rsidRPr="00080443">
        <w:rPr>
          <w:rFonts w:cs="Arial"/>
        </w:rPr>
        <w:t>ing</w:t>
      </w:r>
      <w:r w:rsidRPr="00080443">
        <w:rPr>
          <w:rFonts w:cs="Arial"/>
        </w:rPr>
        <w:t xml:space="preserve"> to make is invalid. </w:t>
      </w:r>
    </w:p>
    <w:p w14:paraId="2AB3F270" w14:textId="77777777" w:rsidR="00F04397" w:rsidRPr="00080443" w:rsidRDefault="00F04397" w:rsidP="00F04397">
      <w:pPr>
        <w:rPr>
          <w:rFonts w:cs="Arial"/>
        </w:rPr>
      </w:pPr>
    </w:p>
    <w:p w14:paraId="54688748" w14:textId="77777777" w:rsidR="008128F7" w:rsidRPr="00080443" w:rsidRDefault="008A60B8" w:rsidP="008128F7">
      <w:pPr>
        <w:pStyle w:val="Bodysubheader"/>
        <w:rPr>
          <w:rFonts w:cs="Arial"/>
          <w:b w:val="0"/>
        </w:rPr>
      </w:pPr>
      <w:r w:rsidRPr="00080443">
        <w:rPr>
          <w:rFonts w:cs="Arial"/>
          <w:b w:val="0"/>
        </w:rPr>
        <w:t>Clock rounds</w:t>
      </w:r>
    </w:p>
    <w:p w14:paraId="491AB1C4" w14:textId="77777777" w:rsidR="008A60B8" w:rsidRPr="00080443" w:rsidRDefault="008A60B8" w:rsidP="008128F7">
      <w:pPr>
        <w:rPr>
          <w:rFonts w:cs="Arial"/>
        </w:rPr>
      </w:pPr>
      <w:r w:rsidRPr="00080443">
        <w:rPr>
          <w:rFonts w:cs="Arial"/>
        </w:rPr>
        <w:t>In each clock round, bidders can bid for the number of lots of each product they most want at the current round prices</w:t>
      </w:r>
      <w:r w:rsidR="00800DEC" w:rsidRPr="00080443">
        <w:rPr>
          <w:rFonts w:cs="Arial"/>
        </w:rPr>
        <w:t xml:space="preserve"> announced by the auction manager</w:t>
      </w:r>
      <w:r w:rsidRPr="00080443">
        <w:rPr>
          <w:rFonts w:cs="Arial"/>
        </w:rPr>
        <w:t xml:space="preserve">. Each bidder can make one bid in each clock round. Each bid is </w:t>
      </w:r>
      <w:r w:rsidR="00800DEC" w:rsidRPr="00080443">
        <w:rPr>
          <w:rFonts w:cs="Arial"/>
        </w:rPr>
        <w:t xml:space="preserve">treated as </w:t>
      </w:r>
      <w:r w:rsidRPr="00080443">
        <w:rPr>
          <w:rFonts w:cs="Arial"/>
        </w:rPr>
        <w:t xml:space="preserve">a package bid for all of the lots specified. </w:t>
      </w:r>
    </w:p>
    <w:p w14:paraId="20229987" w14:textId="77777777" w:rsidR="008128F7" w:rsidRPr="00080443" w:rsidRDefault="008128F7" w:rsidP="008128F7">
      <w:pPr>
        <w:rPr>
          <w:rFonts w:cs="Arial"/>
        </w:rPr>
      </w:pPr>
    </w:p>
    <w:p w14:paraId="6A68840A" w14:textId="77777777" w:rsidR="008A60B8" w:rsidRPr="00080443" w:rsidRDefault="008A60B8" w:rsidP="008128F7">
      <w:pPr>
        <w:rPr>
          <w:rFonts w:cs="Arial"/>
        </w:rPr>
      </w:pPr>
      <w:r w:rsidRPr="00080443">
        <w:rPr>
          <w:rFonts w:cs="Arial"/>
        </w:rPr>
        <w:t>In the first clock round, the price for the lots of each product will be the initial price (the reserve price) set by the ACMA</w:t>
      </w:r>
      <w:r w:rsidR="00681AAE" w:rsidRPr="00080443">
        <w:rPr>
          <w:rFonts w:cs="Arial"/>
        </w:rPr>
        <w:t xml:space="preserve"> (see 3.2.</w:t>
      </w:r>
      <w:r w:rsidR="0037586E" w:rsidRPr="00080443">
        <w:rPr>
          <w:rFonts w:cs="Arial"/>
        </w:rPr>
        <w:t>4</w:t>
      </w:r>
      <w:r w:rsidR="00681AAE" w:rsidRPr="00080443">
        <w:rPr>
          <w:rFonts w:cs="Arial"/>
        </w:rPr>
        <w:t>)</w:t>
      </w:r>
      <w:r w:rsidRPr="00080443">
        <w:rPr>
          <w:rFonts w:cs="Arial"/>
        </w:rPr>
        <w:t>. In each subsequent clock round, the auction manager will increase the price for all products with excess demand (</w:t>
      </w:r>
      <w:r w:rsidR="00C41449" w:rsidRPr="00080443">
        <w:rPr>
          <w:rFonts w:cs="Arial"/>
        </w:rPr>
        <w:t xml:space="preserve">that is, products for which the aggregate demand </w:t>
      </w:r>
      <w:r w:rsidRPr="00080443">
        <w:rPr>
          <w:rFonts w:cs="Arial"/>
        </w:rPr>
        <w:t xml:space="preserve">in the preceding clock round exceeded the number of lots available). The rate at which the prices of individual products are </w:t>
      </w:r>
      <w:r w:rsidRPr="00080443">
        <w:rPr>
          <w:rFonts w:cs="Arial"/>
        </w:rPr>
        <w:lastRenderedPageBreak/>
        <w:t>increased will vary</w:t>
      </w:r>
      <w:r w:rsidR="00670CBB" w:rsidRPr="00080443">
        <w:rPr>
          <w:rFonts w:cs="Arial"/>
        </w:rPr>
        <w:t xml:space="preserve"> at the auction manager’s discretion</w:t>
      </w:r>
      <w:r w:rsidRPr="00080443">
        <w:rPr>
          <w:rFonts w:cs="Arial"/>
        </w:rPr>
        <w:t xml:space="preserve"> depending on the level of demand for each product. The clock rounds will end when there is no excess demand for any product. Bidding will remain open on all products until the end of the clock rounds. </w:t>
      </w:r>
    </w:p>
    <w:p w14:paraId="469E7615" w14:textId="77777777" w:rsidR="00D63DCA" w:rsidRPr="00080443" w:rsidRDefault="00D63DCA" w:rsidP="008128F7">
      <w:pPr>
        <w:rPr>
          <w:rFonts w:cs="Arial"/>
        </w:rPr>
      </w:pPr>
    </w:p>
    <w:p w14:paraId="4824E689" w14:textId="77777777" w:rsidR="00D63DCA" w:rsidRPr="00080443" w:rsidRDefault="00D63DCA" w:rsidP="00683547">
      <w:pPr>
        <w:spacing w:after="80"/>
        <w:rPr>
          <w:rFonts w:cs="Arial"/>
        </w:rPr>
      </w:pPr>
      <w:r w:rsidRPr="00080443">
        <w:rPr>
          <w:rFonts w:cs="Arial"/>
        </w:rPr>
        <w:t xml:space="preserve">Figure </w:t>
      </w:r>
      <w:r w:rsidR="00DB6F4B" w:rsidRPr="00080443">
        <w:rPr>
          <w:rFonts w:cs="Arial"/>
        </w:rPr>
        <w:t xml:space="preserve">7 </w:t>
      </w:r>
      <w:r w:rsidRPr="00080443">
        <w:rPr>
          <w:rFonts w:cs="Arial"/>
        </w:rPr>
        <w:t>provides a</w:t>
      </w:r>
      <w:r w:rsidR="00683547" w:rsidRPr="00080443">
        <w:rPr>
          <w:rFonts w:cs="Arial"/>
        </w:rPr>
        <w:t xml:space="preserve"> hypothetical </w:t>
      </w:r>
      <w:r w:rsidRPr="00080443">
        <w:rPr>
          <w:rFonts w:cs="Arial"/>
        </w:rPr>
        <w:t xml:space="preserve">example of </w:t>
      </w:r>
      <w:r w:rsidR="00683547" w:rsidRPr="00080443">
        <w:rPr>
          <w:rFonts w:cs="Arial"/>
        </w:rPr>
        <w:t xml:space="preserve">how bidding may progress across </w:t>
      </w:r>
      <w:r w:rsidRPr="00080443">
        <w:rPr>
          <w:rFonts w:cs="Arial"/>
        </w:rPr>
        <w:t>a series of clock rounds. In the example:</w:t>
      </w:r>
    </w:p>
    <w:p w14:paraId="4AACE69E" w14:textId="77777777" w:rsidR="00D63DCA" w:rsidRPr="00080443" w:rsidRDefault="00D63DCA" w:rsidP="00D63DCA">
      <w:pPr>
        <w:pStyle w:val="ListBullet"/>
        <w:rPr>
          <w:rFonts w:cs="Arial"/>
        </w:rPr>
      </w:pPr>
      <w:r w:rsidRPr="00080443">
        <w:rPr>
          <w:rFonts w:cs="Arial"/>
        </w:rPr>
        <w:t>there are three products on offer (</w:t>
      </w:r>
      <w:r w:rsidR="00CD6B96" w:rsidRPr="00080443">
        <w:rPr>
          <w:rFonts w:cs="Arial"/>
        </w:rPr>
        <w:t>X, Y and Z</w:t>
      </w:r>
      <w:r w:rsidRPr="00080443">
        <w:rPr>
          <w:rFonts w:cs="Arial"/>
        </w:rPr>
        <w:t>)</w:t>
      </w:r>
    </w:p>
    <w:p w14:paraId="661814DC" w14:textId="77777777" w:rsidR="00D63DCA" w:rsidRPr="00080443" w:rsidRDefault="00D63DCA" w:rsidP="00D63DCA">
      <w:pPr>
        <w:pStyle w:val="ListBullet"/>
        <w:rPr>
          <w:rFonts w:cs="Arial"/>
        </w:rPr>
      </w:pPr>
      <w:r w:rsidRPr="00080443">
        <w:rPr>
          <w:rFonts w:cs="Arial"/>
        </w:rPr>
        <w:t xml:space="preserve">the number of available lots for each product </w:t>
      </w:r>
      <w:r w:rsidR="00C41449" w:rsidRPr="00080443">
        <w:rPr>
          <w:rFonts w:cs="Arial"/>
        </w:rPr>
        <w:t xml:space="preserve">(supply) </w:t>
      </w:r>
      <w:r w:rsidRPr="00080443">
        <w:rPr>
          <w:rFonts w:cs="Arial"/>
        </w:rPr>
        <w:t>is represented in blue</w:t>
      </w:r>
    </w:p>
    <w:p w14:paraId="44E5377B" w14:textId="77777777" w:rsidR="00D63DCA" w:rsidRPr="00080443" w:rsidRDefault="00D63DCA" w:rsidP="00D63DCA">
      <w:pPr>
        <w:pStyle w:val="ListBullet"/>
        <w:rPr>
          <w:rFonts w:cs="Arial"/>
        </w:rPr>
      </w:pPr>
      <w:r w:rsidRPr="00080443">
        <w:rPr>
          <w:rFonts w:cs="Arial"/>
        </w:rPr>
        <w:t xml:space="preserve">the price of a lot for each product </w:t>
      </w:r>
      <w:r w:rsidR="00683547" w:rsidRPr="00080443">
        <w:rPr>
          <w:rFonts w:cs="Arial"/>
        </w:rPr>
        <w:t xml:space="preserve">in each </w:t>
      </w:r>
      <w:r w:rsidRPr="00080443">
        <w:rPr>
          <w:rFonts w:cs="Arial"/>
        </w:rPr>
        <w:t>round is represented in green</w:t>
      </w:r>
    </w:p>
    <w:p w14:paraId="288E3151" w14:textId="77777777" w:rsidR="00D44899" w:rsidRPr="00080443" w:rsidRDefault="00D63DCA" w:rsidP="00D44899">
      <w:pPr>
        <w:pStyle w:val="ListBullet"/>
        <w:rPr>
          <w:rFonts w:cs="Arial"/>
        </w:rPr>
      </w:pPr>
      <w:r w:rsidRPr="00080443">
        <w:rPr>
          <w:rFonts w:cs="Arial"/>
        </w:rPr>
        <w:t xml:space="preserve">the aggregate demand </w:t>
      </w:r>
      <w:r w:rsidR="00C41449" w:rsidRPr="00080443">
        <w:rPr>
          <w:rFonts w:cs="Arial"/>
        </w:rPr>
        <w:t xml:space="preserve">(AD) </w:t>
      </w:r>
      <w:r w:rsidRPr="00080443">
        <w:rPr>
          <w:rFonts w:cs="Arial"/>
        </w:rPr>
        <w:t xml:space="preserve">for </w:t>
      </w:r>
      <w:r w:rsidR="00683547" w:rsidRPr="00080443">
        <w:rPr>
          <w:rFonts w:cs="Arial"/>
        </w:rPr>
        <w:t xml:space="preserve">each product in each </w:t>
      </w:r>
      <w:r w:rsidRPr="00080443">
        <w:rPr>
          <w:rFonts w:cs="Arial"/>
        </w:rPr>
        <w:t>round is represented in red</w:t>
      </w:r>
      <w:r w:rsidR="00D44899" w:rsidRPr="00080443">
        <w:rPr>
          <w:rFonts w:cs="Arial"/>
        </w:rPr>
        <w:t>.</w:t>
      </w:r>
    </w:p>
    <w:p w14:paraId="7206BCC6" w14:textId="77777777" w:rsidR="00D44899" w:rsidRPr="00080443" w:rsidRDefault="00D44899" w:rsidP="00683547">
      <w:pPr>
        <w:rPr>
          <w:rFonts w:cs="Arial"/>
        </w:rPr>
      </w:pPr>
    </w:p>
    <w:tbl>
      <w:tblPr>
        <w:tblW w:w="9645" w:type="dxa"/>
        <w:tblLayout w:type="fixed"/>
        <w:tblCellMar>
          <w:left w:w="0" w:type="dxa"/>
          <w:right w:w="0" w:type="dxa"/>
        </w:tblCellMar>
        <w:tblLook w:val="01E0" w:firstRow="1" w:lastRow="1" w:firstColumn="1" w:lastColumn="1" w:noHBand="0" w:noVBand="0"/>
      </w:tblPr>
      <w:tblGrid>
        <w:gridCol w:w="9645"/>
      </w:tblGrid>
      <w:tr w:rsidR="001B641C" w:rsidRPr="00080443" w14:paraId="13B71C19" w14:textId="77777777" w:rsidTr="001B641C">
        <w:trPr>
          <w:trHeight w:val="570"/>
        </w:trPr>
        <w:tc>
          <w:tcPr>
            <w:tcW w:w="9645" w:type="dxa"/>
            <w:tcBorders>
              <w:top w:val="single" w:sz="2" w:space="0" w:color="505050"/>
            </w:tcBorders>
            <w:shd w:val="clear" w:color="auto" w:fill="auto"/>
            <w:vAlign w:val="center"/>
          </w:tcPr>
          <w:p w14:paraId="0784FBA8" w14:textId="77777777" w:rsidR="001B641C" w:rsidRPr="00080443" w:rsidRDefault="001B641C" w:rsidP="001B641C">
            <w:pPr>
              <w:pStyle w:val="Caption"/>
              <w:rPr>
                <w:rFonts w:cs="Arial"/>
              </w:rPr>
            </w:pPr>
            <w:r w:rsidRPr="00080443">
              <w:rPr>
                <w:rFonts w:cs="Arial"/>
              </w:rPr>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7</w:t>
            </w:r>
            <w:r w:rsidR="00724CDB" w:rsidRPr="00080443">
              <w:rPr>
                <w:rFonts w:cs="Arial"/>
              </w:rPr>
              <w:fldChar w:fldCharType="end"/>
            </w:r>
            <w:r w:rsidRPr="00080443">
              <w:rPr>
                <w:rFonts w:cs="Arial"/>
              </w:rPr>
              <w:t xml:space="preserve"> Simple example of how the clock rounds can progress</w:t>
            </w:r>
          </w:p>
        </w:tc>
      </w:tr>
      <w:tr w:rsidR="001B641C" w:rsidRPr="00080443" w14:paraId="32ABEAE8" w14:textId="77777777" w:rsidTr="006102CE">
        <w:trPr>
          <w:trHeight w:val="1380"/>
        </w:trPr>
        <w:tc>
          <w:tcPr>
            <w:tcW w:w="9645" w:type="dxa"/>
            <w:shd w:val="clear" w:color="auto" w:fill="auto"/>
            <w:tcMar>
              <w:left w:w="28" w:type="dxa"/>
            </w:tcMar>
          </w:tcPr>
          <w:tbl>
            <w:tblPr>
              <w:tblStyle w:val="TableGrid"/>
              <w:tblW w:w="5000" w:type="pct"/>
              <w:tblLayout w:type="fixed"/>
              <w:tblLook w:val="04A0" w:firstRow="1" w:lastRow="0" w:firstColumn="1" w:lastColumn="0" w:noHBand="0" w:noVBand="1"/>
            </w:tblPr>
            <w:tblGrid>
              <w:gridCol w:w="1102"/>
              <w:gridCol w:w="849"/>
              <w:gridCol w:w="957"/>
              <w:gridCol w:w="957"/>
              <w:gridCol w:w="957"/>
              <w:gridCol w:w="957"/>
              <w:gridCol w:w="957"/>
              <w:gridCol w:w="957"/>
              <w:gridCol w:w="957"/>
              <w:gridCol w:w="957"/>
            </w:tblGrid>
            <w:tr w:rsidR="00F03E6C" w:rsidRPr="00080443" w14:paraId="71363193" w14:textId="77777777" w:rsidTr="00F03E6C">
              <w:tc>
                <w:tcPr>
                  <w:tcW w:w="5000" w:type="pct"/>
                  <w:gridSpan w:val="10"/>
                  <w:tcBorders>
                    <w:top w:val="single" w:sz="4" w:space="0" w:color="auto"/>
                    <w:left w:val="single" w:sz="4" w:space="0" w:color="auto"/>
                    <w:bottom w:val="nil"/>
                  </w:tcBorders>
                  <w:shd w:val="clear" w:color="auto" w:fill="A6A6A6" w:themeFill="background1" w:themeFillShade="A6"/>
                  <w:vAlign w:val="center"/>
                </w:tcPr>
                <w:p w14:paraId="72BDAA2B" w14:textId="77777777" w:rsidR="00F03E6C" w:rsidRPr="00080443" w:rsidRDefault="00F03E6C" w:rsidP="00F03E6C">
                  <w:pPr>
                    <w:pStyle w:val="ListBullet"/>
                    <w:numPr>
                      <w:ilvl w:val="0"/>
                      <w:numId w:val="0"/>
                    </w:numPr>
                    <w:jc w:val="center"/>
                    <w:rPr>
                      <w:rFonts w:cs="Arial"/>
                      <w:b/>
                      <w:sz w:val="16"/>
                      <w:szCs w:val="16"/>
                    </w:rPr>
                  </w:pPr>
                  <w:r w:rsidRPr="00080443">
                    <w:rPr>
                      <w:rFonts w:cs="Arial"/>
                      <w:b/>
                      <w:sz w:val="16"/>
                      <w:szCs w:val="16"/>
                    </w:rPr>
                    <w:t>Round</w:t>
                  </w:r>
                </w:p>
              </w:tc>
            </w:tr>
            <w:tr w:rsidR="006102CE" w:rsidRPr="00080443" w14:paraId="02B9E7D0" w14:textId="77777777" w:rsidTr="00F03E6C">
              <w:tc>
                <w:tcPr>
                  <w:tcW w:w="574" w:type="pct"/>
                  <w:tcBorders>
                    <w:top w:val="nil"/>
                    <w:left w:val="single" w:sz="4" w:space="0" w:color="auto"/>
                  </w:tcBorders>
                  <w:shd w:val="clear" w:color="auto" w:fill="A6A6A6" w:themeFill="background1" w:themeFillShade="A6"/>
                </w:tcPr>
                <w:p w14:paraId="4718BB47" w14:textId="77777777" w:rsidR="006102CE" w:rsidRPr="00080443" w:rsidRDefault="006102CE" w:rsidP="006102CE">
                  <w:pPr>
                    <w:pStyle w:val="ListBullet"/>
                    <w:numPr>
                      <w:ilvl w:val="0"/>
                      <w:numId w:val="0"/>
                    </w:numPr>
                    <w:rPr>
                      <w:rFonts w:cs="Arial"/>
                      <w:sz w:val="16"/>
                      <w:szCs w:val="16"/>
                    </w:rPr>
                  </w:pPr>
                </w:p>
              </w:tc>
              <w:tc>
                <w:tcPr>
                  <w:tcW w:w="442" w:type="pct"/>
                  <w:shd w:val="clear" w:color="auto" w:fill="D9D9D9" w:themeFill="background1" w:themeFillShade="D9"/>
                  <w:vAlign w:val="center"/>
                </w:tcPr>
                <w:p w14:paraId="1AD57BC5" w14:textId="77777777" w:rsidR="006102CE" w:rsidRPr="00080443" w:rsidRDefault="006102CE" w:rsidP="00F03E6C">
                  <w:pPr>
                    <w:pStyle w:val="ListBullet"/>
                    <w:numPr>
                      <w:ilvl w:val="0"/>
                      <w:numId w:val="0"/>
                    </w:numPr>
                    <w:jc w:val="center"/>
                    <w:rPr>
                      <w:rFonts w:cs="Arial"/>
                      <w:b/>
                      <w:sz w:val="16"/>
                      <w:szCs w:val="16"/>
                    </w:rPr>
                  </w:pPr>
                  <w:r w:rsidRPr="00080443">
                    <w:rPr>
                      <w:rFonts w:cs="Arial"/>
                      <w:b/>
                      <w:sz w:val="16"/>
                      <w:szCs w:val="16"/>
                    </w:rPr>
                    <w:t>Supply</w:t>
                  </w:r>
                </w:p>
              </w:tc>
              <w:tc>
                <w:tcPr>
                  <w:tcW w:w="498" w:type="pct"/>
                  <w:shd w:val="clear" w:color="auto" w:fill="D9D9D9" w:themeFill="background1" w:themeFillShade="D9"/>
                  <w:vAlign w:val="center"/>
                </w:tcPr>
                <w:p w14:paraId="0AF9FA67" w14:textId="77777777" w:rsidR="006102CE" w:rsidRPr="00080443" w:rsidRDefault="006102CE" w:rsidP="00F03E6C">
                  <w:pPr>
                    <w:pStyle w:val="ListBullet"/>
                    <w:numPr>
                      <w:ilvl w:val="0"/>
                      <w:numId w:val="0"/>
                    </w:numPr>
                    <w:jc w:val="center"/>
                    <w:rPr>
                      <w:rFonts w:cs="Arial"/>
                      <w:b/>
                      <w:sz w:val="16"/>
                      <w:szCs w:val="16"/>
                    </w:rPr>
                  </w:pPr>
                  <w:r w:rsidRPr="00080443">
                    <w:rPr>
                      <w:rFonts w:cs="Arial"/>
                      <w:b/>
                      <w:sz w:val="16"/>
                      <w:szCs w:val="16"/>
                    </w:rPr>
                    <w:t>R1 price</w:t>
                  </w:r>
                </w:p>
              </w:tc>
              <w:tc>
                <w:tcPr>
                  <w:tcW w:w="498" w:type="pct"/>
                  <w:shd w:val="clear" w:color="auto" w:fill="D9D9D9" w:themeFill="background1" w:themeFillShade="D9"/>
                  <w:vAlign w:val="center"/>
                </w:tcPr>
                <w:p w14:paraId="3307FFFC" w14:textId="77777777" w:rsidR="006102CE" w:rsidRPr="00080443" w:rsidRDefault="006102CE" w:rsidP="00F03E6C">
                  <w:pPr>
                    <w:pStyle w:val="ListBullet"/>
                    <w:numPr>
                      <w:ilvl w:val="0"/>
                      <w:numId w:val="0"/>
                    </w:numPr>
                    <w:jc w:val="center"/>
                    <w:rPr>
                      <w:rFonts w:cs="Arial"/>
                      <w:b/>
                      <w:sz w:val="16"/>
                      <w:szCs w:val="16"/>
                    </w:rPr>
                  </w:pPr>
                  <w:r w:rsidRPr="00080443">
                    <w:rPr>
                      <w:rFonts w:cs="Arial"/>
                      <w:b/>
                      <w:sz w:val="16"/>
                      <w:szCs w:val="16"/>
                    </w:rPr>
                    <w:t>R1 AD</w:t>
                  </w:r>
                </w:p>
              </w:tc>
              <w:tc>
                <w:tcPr>
                  <w:tcW w:w="498" w:type="pct"/>
                  <w:shd w:val="clear" w:color="auto" w:fill="D9D9D9" w:themeFill="background1" w:themeFillShade="D9"/>
                  <w:vAlign w:val="center"/>
                </w:tcPr>
                <w:p w14:paraId="54F433B9" w14:textId="77777777" w:rsidR="006102CE" w:rsidRPr="00080443" w:rsidRDefault="006102CE" w:rsidP="00F03E6C">
                  <w:pPr>
                    <w:pStyle w:val="ListBullet"/>
                    <w:numPr>
                      <w:ilvl w:val="0"/>
                      <w:numId w:val="0"/>
                    </w:numPr>
                    <w:jc w:val="center"/>
                    <w:rPr>
                      <w:rFonts w:cs="Arial"/>
                      <w:b/>
                      <w:sz w:val="16"/>
                      <w:szCs w:val="16"/>
                    </w:rPr>
                  </w:pPr>
                  <w:r w:rsidRPr="00080443">
                    <w:rPr>
                      <w:rFonts w:cs="Arial"/>
                      <w:b/>
                      <w:sz w:val="16"/>
                      <w:szCs w:val="16"/>
                    </w:rPr>
                    <w:t>R2 price</w:t>
                  </w:r>
                </w:p>
              </w:tc>
              <w:tc>
                <w:tcPr>
                  <w:tcW w:w="498" w:type="pct"/>
                  <w:shd w:val="clear" w:color="auto" w:fill="D9D9D9" w:themeFill="background1" w:themeFillShade="D9"/>
                  <w:vAlign w:val="center"/>
                </w:tcPr>
                <w:p w14:paraId="37711D7E" w14:textId="77777777" w:rsidR="006102CE" w:rsidRPr="00080443" w:rsidRDefault="006102CE" w:rsidP="00F03E6C">
                  <w:pPr>
                    <w:pStyle w:val="ListBullet"/>
                    <w:numPr>
                      <w:ilvl w:val="0"/>
                      <w:numId w:val="0"/>
                    </w:numPr>
                    <w:jc w:val="center"/>
                    <w:rPr>
                      <w:rFonts w:cs="Arial"/>
                      <w:b/>
                      <w:sz w:val="16"/>
                      <w:szCs w:val="16"/>
                    </w:rPr>
                  </w:pPr>
                  <w:r w:rsidRPr="00080443">
                    <w:rPr>
                      <w:rFonts w:cs="Arial"/>
                      <w:b/>
                      <w:sz w:val="16"/>
                      <w:szCs w:val="16"/>
                    </w:rPr>
                    <w:t>R2 AD</w:t>
                  </w:r>
                </w:p>
              </w:tc>
              <w:tc>
                <w:tcPr>
                  <w:tcW w:w="498" w:type="pct"/>
                  <w:shd w:val="clear" w:color="auto" w:fill="D9D9D9" w:themeFill="background1" w:themeFillShade="D9"/>
                  <w:vAlign w:val="center"/>
                </w:tcPr>
                <w:p w14:paraId="09854A16" w14:textId="77777777" w:rsidR="006102CE" w:rsidRPr="00080443" w:rsidRDefault="006102CE" w:rsidP="00F03E6C">
                  <w:pPr>
                    <w:pStyle w:val="ListBullet"/>
                    <w:numPr>
                      <w:ilvl w:val="0"/>
                      <w:numId w:val="0"/>
                    </w:numPr>
                    <w:jc w:val="center"/>
                    <w:rPr>
                      <w:rFonts w:cs="Arial"/>
                      <w:b/>
                      <w:sz w:val="16"/>
                      <w:szCs w:val="16"/>
                    </w:rPr>
                  </w:pPr>
                  <w:r w:rsidRPr="00080443">
                    <w:rPr>
                      <w:rFonts w:cs="Arial"/>
                      <w:b/>
                      <w:sz w:val="16"/>
                      <w:szCs w:val="16"/>
                    </w:rPr>
                    <w:t>R3 price</w:t>
                  </w:r>
                </w:p>
              </w:tc>
              <w:tc>
                <w:tcPr>
                  <w:tcW w:w="498" w:type="pct"/>
                  <w:shd w:val="clear" w:color="auto" w:fill="D9D9D9" w:themeFill="background1" w:themeFillShade="D9"/>
                  <w:vAlign w:val="center"/>
                </w:tcPr>
                <w:p w14:paraId="5977E344" w14:textId="77777777" w:rsidR="006102CE" w:rsidRPr="00080443" w:rsidRDefault="006102CE" w:rsidP="00F03E6C">
                  <w:pPr>
                    <w:pStyle w:val="ListBullet"/>
                    <w:numPr>
                      <w:ilvl w:val="0"/>
                      <w:numId w:val="0"/>
                    </w:numPr>
                    <w:jc w:val="center"/>
                    <w:rPr>
                      <w:rFonts w:cs="Arial"/>
                      <w:b/>
                      <w:sz w:val="16"/>
                      <w:szCs w:val="16"/>
                    </w:rPr>
                  </w:pPr>
                  <w:r w:rsidRPr="00080443">
                    <w:rPr>
                      <w:rFonts w:cs="Arial"/>
                      <w:b/>
                      <w:sz w:val="16"/>
                      <w:szCs w:val="16"/>
                    </w:rPr>
                    <w:t>R3 AD</w:t>
                  </w:r>
                </w:p>
              </w:tc>
              <w:tc>
                <w:tcPr>
                  <w:tcW w:w="498" w:type="pct"/>
                  <w:shd w:val="clear" w:color="auto" w:fill="D9D9D9" w:themeFill="background1" w:themeFillShade="D9"/>
                  <w:vAlign w:val="center"/>
                </w:tcPr>
                <w:p w14:paraId="67568729" w14:textId="77777777" w:rsidR="006102CE" w:rsidRPr="00080443" w:rsidRDefault="006102CE" w:rsidP="00F03E6C">
                  <w:pPr>
                    <w:pStyle w:val="ListBullet"/>
                    <w:numPr>
                      <w:ilvl w:val="0"/>
                      <w:numId w:val="0"/>
                    </w:numPr>
                    <w:jc w:val="center"/>
                    <w:rPr>
                      <w:rFonts w:cs="Arial"/>
                      <w:b/>
                      <w:sz w:val="16"/>
                      <w:szCs w:val="16"/>
                    </w:rPr>
                  </w:pPr>
                  <w:r w:rsidRPr="00080443">
                    <w:rPr>
                      <w:rFonts w:cs="Arial"/>
                      <w:b/>
                      <w:sz w:val="16"/>
                      <w:szCs w:val="16"/>
                    </w:rPr>
                    <w:t>R4 price</w:t>
                  </w:r>
                </w:p>
              </w:tc>
              <w:tc>
                <w:tcPr>
                  <w:tcW w:w="498" w:type="pct"/>
                  <w:shd w:val="clear" w:color="auto" w:fill="D9D9D9" w:themeFill="background1" w:themeFillShade="D9"/>
                  <w:vAlign w:val="center"/>
                </w:tcPr>
                <w:p w14:paraId="7D8C1977" w14:textId="77777777" w:rsidR="006102CE" w:rsidRPr="00080443" w:rsidRDefault="006102CE" w:rsidP="00F03E6C">
                  <w:pPr>
                    <w:pStyle w:val="ListBullet"/>
                    <w:numPr>
                      <w:ilvl w:val="0"/>
                      <w:numId w:val="0"/>
                    </w:numPr>
                    <w:jc w:val="center"/>
                    <w:rPr>
                      <w:rFonts w:cs="Arial"/>
                      <w:b/>
                      <w:sz w:val="16"/>
                      <w:szCs w:val="16"/>
                    </w:rPr>
                  </w:pPr>
                  <w:r w:rsidRPr="00080443">
                    <w:rPr>
                      <w:rFonts w:cs="Arial"/>
                      <w:b/>
                      <w:sz w:val="16"/>
                      <w:szCs w:val="16"/>
                    </w:rPr>
                    <w:t>R4 AD</w:t>
                  </w:r>
                </w:p>
              </w:tc>
            </w:tr>
            <w:tr w:rsidR="006102CE" w:rsidRPr="00080443" w14:paraId="526977F7" w14:textId="77777777" w:rsidTr="00F03E6C">
              <w:tc>
                <w:tcPr>
                  <w:tcW w:w="574" w:type="pct"/>
                </w:tcPr>
                <w:p w14:paraId="30FEDA86" w14:textId="77777777" w:rsidR="006102CE" w:rsidRPr="00080443" w:rsidRDefault="006102CE" w:rsidP="00CD6B96">
                  <w:pPr>
                    <w:pStyle w:val="ListBullet"/>
                    <w:numPr>
                      <w:ilvl w:val="0"/>
                      <w:numId w:val="0"/>
                    </w:numPr>
                    <w:rPr>
                      <w:rFonts w:cs="Arial"/>
                      <w:b/>
                      <w:sz w:val="16"/>
                      <w:szCs w:val="16"/>
                    </w:rPr>
                  </w:pPr>
                  <w:r w:rsidRPr="00080443">
                    <w:rPr>
                      <w:rFonts w:cs="Arial"/>
                      <w:b/>
                      <w:sz w:val="16"/>
                      <w:szCs w:val="16"/>
                    </w:rPr>
                    <w:t xml:space="preserve">Product </w:t>
                  </w:r>
                  <w:r w:rsidR="00CD6B96" w:rsidRPr="00080443">
                    <w:rPr>
                      <w:rFonts w:cs="Arial"/>
                      <w:b/>
                      <w:sz w:val="16"/>
                      <w:szCs w:val="16"/>
                    </w:rPr>
                    <w:t>X</w:t>
                  </w:r>
                </w:p>
              </w:tc>
              <w:tc>
                <w:tcPr>
                  <w:tcW w:w="442" w:type="pct"/>
                  <w:vAlign w:val="center"/>
                </w:tcPr>
                <w:p w14:paraId="3C1216DB" w14:textId="77777777" w:rsidR="006102CE" w:rsidRPr="00080443" w:rsidRDefault="006102CE" w:rsidP="00F03E6C">
                  <w:pPr>
                    <w:pStyle w:val="ListBullet"/>
                    <w:numPr>
                      <w:ilvl w:val="0"/>
                      <w:numId w:val="0"/>
                    </w:numPr>
                    <w:jc w:val="center"/>
                    <w:rPr>
                      <w:rFonts w:cs="Arial"/>
                      <w:b/>
                      <w:color w:val="0070C0"/>
                      <w:sz w:val="16"/>
                      <w:szCs w:val="16"/>
                    </w:rPr>
                  </w:pPr>
                  <w:r w:rsidRPr="00080443">
                    <w:rPr>
                      <w:rFonts w:cs="Arial"/>
                      <w:b/>
                      <w:color w:val="0070C0"/>
                      <w:sz w:val="16"/>
                      <w:szCs w:val="16"/>
                    </w:rPr>
                    <w:t>9</w:t>
                  </w:r>
                </w:p>
              </w:tc>
              <w:tc>
                <w:tcPr>
                  <w:tcW w:w="498" w:type="pct"/>
                  <w:vAlign w:val="center"/>
                </w:tcPr>
                <w:p w14:paraId="1D03A7AD" w14:textId="77777777" w:rsidR="006102CE" w:rsidRPr="00080443" w:rsidRDefault="006102CE" w:rsidP="00F03E6C">
                  <w:pPr>
                    <w:pStyle w:val="ListBullet"/>
                    <w:numPr>
                      <w:ilvl w:val="0"/>
                      <w:numId w:val="0"/>
                    </w:numPr>
                    <w:jc w:val="center"/>
                    <w:rPr>
                      <w:rFonts w:cs="Arial"/>
                      <w:sz w:val="16"/>
                      <w:szCs w:val="16"/>
                    </w:rPr>
                  </w:pPr>
                  <w:r w:rsidRPr="00080443">
                    <w:rPr>
                      <w:rFonts w:cs="Arial"/>
                      <w:color w:val="00B050"/>
                      <w:sz w:val="16"/>
                      <w:szCs w:val="16"/>
                    </w:rPr>
                    <w:t>$10</w:t>
                  </w:r>
                </w:p>
              </w:tc>
              <w:tc>
                <w:tcPr>
                  <w:tcW w:w="498" w:type="pct"/>
                  <w:vAlign w:val="center"/>
                </w:tcPr>
                <w:p w14:paraId="304462B4"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12</w:t>
                  </w:r>
                </w:p>
              </w:tc>
              <w:tc>
                <w:tcPr>
                  <w:tcW w:w="498" w:type="pct"/>
                  <w:vAlign w:val="center"/>
                </w:tcPr>
                <w:p w14:paraId="4A8B5879" w14:textId="77777777" w:rsidR="006102CE" w:rsidRPr="00080443" w:rsidRDefault="006102CE" w:rsidP="00F03E6C">
                  <w:pPr>
                    <w:pStyle w:val="ListBullet"/>
                    <w:numPr>
                      <w:ilvl w:val="0"/>
                      <w:numId w:val="0"/>
                    </w:numPr>
                    <w:jc w:val="center"/>
                    <w:rPr>
                      <w:rFonts w:cs="Arial"/>
                      <w:sz w:val="16"/>
                      <w:szCs w:val="16"/>
                    </w:rPr>
                  </w:pPr>
                  <w:r w:rsidRPr="00080443">
                    <w:rPr>
                      <w:rFonts w:cs="Arial"/>
                      <w:color w:val="00B050"/>
                      <w:sz w:val="16"/>
                      <w:szCs w:val="16"/>
                    </w:rPr>
                    <w:t>$12</w:t>
                  </w:r>
                </w:p>
              </w:tc>
              <w:tc>
                <w:tcPr>
                  <w:tcW w:w="498" w:type="pct"/>
                  <w:vAlign w:val="center"/>
                </w:tcPr>
                <w:p w14:paraId="5ECE05ED"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12</w:t>
                  </w:r>
                </w:p>
              </w:tc>
              <w:tc>
                <w:tcPr>
                  <w:tcW w:w="498" w:type="pct"/>
                  <w:vAlign w:val="center"/>
                </w:tcPr>
                <w:p w14:paraId="20C64B7D" w14:textId="77777777" w:rsidR="006102CE" w:rsidRPr="00080443" w:rsidRDefault="006102CE" w:rsidP="00F03E6C">
                  <w:pPr>
                    <w:pStyle w:val="ListBullet"/>
                    <w:numPr>
                      <w:ilvl w:val="0"/>
                      <w:numId w:val="0"/>
                    </w:numPr>
                    <w:jc w:val="center"/>
                    <w:rPr>
                      <w:rFonts w:cs="Arial"/>
                      <w:color w:val="00B050"/>
                      <w:sz w:val="16"/>
                      <w:szCs w:val="16"/>
                    </w:rPr>
                  </w:pPr>
                  <w:r w:rsidRPr="00080443">
                    <w:rPr>
                      <w:rFonts w:cs="Arial"/>
                      <w:color w:val="00B050"/>
                      <w:sz w:val="16"/>
                      <w:szCs w:val="16"/>
                    </w:rPr>
                    <w:t>$14</w:t>
                  </w:r>
                </w:p>
              </w:tc>
              <w:tc>
                <w:tcPr>
                  <w:tcW w:w="498" w:type="pct"/>
                  <w:vAlign w:val="center"/>
                </w:tcPr>
                <w:p w14:paraId="724AAD95"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9*</w:t>
                  </w:r>
                </w:p>
              </w:tc>
              <w:tc>
                <w:tcPr>
                  <w:tcW w:w="498" w:type="pct"/>
                  <w:vAlign w:val="center"/>
                </w:tcPr>
                <w:p w14:paraId="35F22FA8" w14:textId="77777777" w:rsidR="006102CE" w:rsidRPr="00080443" w:rsidRDefault="006102CE" w:rsidP="00F03E6C">
                  <w:pPr>
                    <w:pStyle w:val="ListBullet"/>
                    <w:numPr>
                      <w:ilvl w:val="0"/>
                      <w:numId w:val="0"/>
                    </w:numPr>
                    <w:jc w:val="center"/>
                    <w:rPr>
                      <w:rFonts w:cs="Arial"/>
                      <w:color w:val="00B050"/>
                      <w:sz w:val="16"/>
                      <w:szCs w:val="16"/>
                    </w:rPr>
                  </w:pPr>
                  <w:r w:rsidRPr="00080443">
                    <w:rPr>
                      <w:rFonts w:cs="Arial"/>
                      <w:color w:val="00B050"/>
                      <w:sz w:val="16"/>
                      <w:szCs w:val="16"/>
                    </w:rPr>
                    <w:t>$14</w:t>
                  </w:r>
                </w:p>
              </w:tc>
              <w:tc>
                <w:tcPr>
                  <w:tcW w:w="498" w:type="pct"/>
                  <w:vAlign w:val="center"/>
                </w:tcPr>
                <w:p w14:paraId="271B03B1"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9*</w:t>
                  </w:r>
                </w:p>
              </w:tc>
            </w:tr>
            <w:tr w:rsidR="006102CE" w:rsidRPr="00080443" w14:paraId="1A120474" w14:textId="77777777" w:rsidTr="00F03E6C">
              <w:tc>
                <w:tcPr>
                  <w:tcW w:w="574" w:type="pct"/>
                </w:tcPr>
                <w:p w14:paraId="332C1054" w14:textId="77777777" w:rsidR="006102CE" w:rsidRPr="00080443" w:rsidRDefault="006102CE" w:rsidP="00CD6B96">
                  <w:pPr>
                    <w:pStyle w:val="ListBullet"/>
                    <w:numPr>
                      <w:ilvl w:val="0"/>
                      <w:numId w:val="0"/>
                    </w:numPr>
                    <w:rPr>
                      <w:rFonts w:cs="Arial"/>
                      <w:b/>
                      <w:sz w:val="16"/>
                      <w:szCs w:val="16"/>
                    </w:rPr>
                  </w:pPr>
                  <w:r w:rsidRPr="00080443">
                    <w:rPr>
                      <w:rFonts w:cs="Arial"/>
                      <w:b/>
                      <w:sz w:val="16"/>
                      <w:szCs w:val="16"/>
                    </w:rPr>
                    <w:t xml:space="preserve">Product </w:t>
                  </w:r>
                  <w:r w:rsidR="00CD6B96" w:rsidRPr="00080443">
                    <w:rPr>
                      <w:rFonts w:cs="Arial"/>
                      <w:b/>
                      <w:sz w:val="16"/>
                      <w:szCs w:val="16"/>
                    </w:rPr>
                    <w:t>Y</w:t>
                  </w:r>
                </w:p>
              </w:tc>
              <w:tc>
                <w:tcPr>
                  <w:tcW w:w="442" w:type="pct"/>
                  <w:vAlign w:val="center"/>
                </w:tcPr>
                <w:p w14:paraId="3C7B38F0" w14:textId="77777777" w:rsidR="006102CE" w:rsidRPr="00080443" w:rsidRDefault="006102CE" w:rsidP="00F03E6C">
                  <w:pPr>
                    <w:pStyle w:val="ListBullet"/>
                    <w:numPr>
                      <w:ilvl w:val="0"/>
                      <w:numId w:val="0"/>
                    </w:numPr>
                    <w:jc w:val="center"/>
                    <w:rPr>
                      <w:rFonts w:cs="Arial"/>
                      <w:b/>
                      <w:color w:val="0070C0"/>
                      <w:sz w:val="16"/>
                      <w:szCs w:val="16"/>
                    </w:rPr>
                  </w:pPr>
                  <w:r w:rsidRPr="00080443">
                    <w:rPr>
                      <w:rFonts w:cs="Arial"/>
                      <w:b/>
                      <w:color w:val="0070C0"/>
                      <w:sz w:val="16"/>
                      <w:szCs w:val="16"/>
                    </w:rPr>
                    <w:t>12</w:t>
                  </w:r>
                </w:p>
              </w:tc>
              <w:tc>
                <w:tcPr>
                  <w:tcW w:w="498" w:type="pct"/>
                  <w:vAlign w:val="center"/>
                </w:tcPr>
                <w:p w14:paraId="5E442188" w14:textId="77777777" w:rsidR="006102CE" w:rsidRPr="00080443" w:rsidRDefault="006102CE" w:rsidP="00F03E6C">
                  <w:pPr>
                    <w:pStyle w:val="ListBullet"/>
                    <w:numPr>
                      <w:ilvl w:val="0"/>
                      <w:numId w:val="0"/>
                    </w:numPr>
                    <w:jc w:val="center"/>
                    <w:rPr>
                      <w:rFonts w:cs="Arial"/>
                      <w:sz w:val="16"/>
                      <w:szCs w:val="16"/>
                    </w:rPr>
                  </w:pPr>
                  <w:r w:rsidRPr="00080443">
                    <w:rPr>
                      <w:rFonts w:cs="Arial"/>
                      <w:color w:val="00B050"/>
                      <w:sz w:val="16"/>
                      <w:szCs w:val="16"/>
                    </w:rPr>
                    <w:t>$5</w:t>
                  </w:r>
                </w:p>
              </w:tc>
              <w:tc>
                <w:tcPr>
                  <w:tcW w:w="498" w:type="pct"/>
                  <w:vAlign w:val="center"/>
                </w:tcPr>
                <w:p w14:paraId="76C75025"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18</w:t>
                  </w:r>
                </w:p>
              </w:tc>
              <w:tc>
                <w:tcPr>
                  <w:tcW w:w="498" w:type="pct"/>
                  <w:vAlign w:val="center"/>
                </w:tcPr>
                <w:p w14:paraId="575A914D" w14:textId="77777777" w:rsidR="006102CE" w:rsidRPr="00080443" w:rsidRDefault="006102CE" w:rsidP="00F03E6C">
                  <w:pPr>
                    <w:pStyle w:val="ListBullet"/>
                    <w:numPr>
                      <w:ilvl w:val="0"/>
                      <w:numId w:val="0"/>
                    </w:numPr>
                    <w:jc w:val="center"/>
                    <w:rPr>
                      <w:rFonts w:cs="Arial"/>
                      <w:sz w:val="16"/>
                      <w:szCs w:val="16"/>
                    </w:rPr>
                  </w:pPr>
                  <w:r w:rsidRPr="00080443">
                    <w:rPr>
                      <w:rFonts w:cs="Arial"/>
                      <w:color w:val="00B050"/>
                      <w:sz w:val="16"/>
                      <w:szCs w:val="16"/>
                    </w:rPr>
                    <w:t>$7</w:t>
                  </w:r>
                </w:p>
              </w:tc>
              <w:tc>
                <w:tcPr>
                  <w:tcW w:w="498" w:type="pct"/>
                  <w:vAlign w:val="center"/>
                </w:tcPr>
                <w:p w14:paraId="48852C89"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16</w:t>
                  </w:r>
                </w:p>
              </w:tc>
              <w:tc>
                <w:tcPr>
                  <w:tcW w:w="498" w:type="pct"/>
                  <w:vAlign w:val="center"/>
                </w:tcPr>
                <w:p w14:paraId="380A5D62" w14:textId="77777777" w:rsidR="006102CE" w:rsidRPr="00080443" w:rsidRDefault="006102CE" w:rsidP="00F03E6C">
                  <w:pPr>
                    <w:pStyle w:val="ListBullet"/>
                    <w:numPr>
                      <w:ilvl w:val="0"/>
                      <w:numId w:val="0"/>
                    </w:numPr>
                    <w:jc w:val="center"/>
                    <w:rPr>
                      <w:rFonts w:cs="Arial"/>
                      <w:color w:val="00B050"/>
                      <w:sz w:val="16"/>
                      <w:szCs w:val="16"/>
                    </w:rPr>
                  </w:pPr>
                  <w:r w:rsidRPr="00080443">
                    <w:rPr>
                      <w:rFonts w:cs="Arial"/>
                      <w:color w:val="00B050"/>
                      <w:sz w:val="16"/>
                      <w:szCs w:val="16"/>
                    </w:rPr>
                    <w:t>$8</w:t>
                  </w:r>
                </w:p>
              </w:tc>
              <w:tc>
                <w:tcPr>
                  <w:tcW w:w="498" w:type="pct"/>
                  <w:vAlign w:val="center"/>
                </w:tcPr>
                <w:p w14:paraId="00AD5BBC"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14</w:t>
                  </w:r>
                </w:p>
              </w:tc>
              <w:tc>
                <w:tcPr>
                  <w:tcW w:w="498" w:type="pct"/>
                  <w:vAlign w:val="center"/>
                </w:tcPr>
                <w:p w14:paraId="15A4FAB0" w14:textId="77777777" w:rsidR="006102CE" w:rsidRPr="00080443" w:rsidRDefault="006102CE" w:rsidP="00F03E6C">
                  <w:pPr>
                    <w:pStyle w:val="ListBullet"/>
                    <w:numPr>
                      <w:ilvl w:val="0"/>
                      <w:numId w:val="0"/>
                    </w:numPr>
                    <w:jc w:val="center"/>
                    <w:rPr>
                      <w:rFonts w:cs="Arial"/>
                      <w:color w:val="00B050"/>
                      <w:sz w:val="16"/>
                      <w:szCs w:val="16"/>
                    </w:rPr>
                  </w:pPr>
                  <w:r w:rsidRPr="00080443">
                    <w:rPr>
                      <w:rFonts w:cs="Arial"/>
                      <w:color w:val="00B050"/>
                      <w:sz w:val="16"/>
                      <w:szCs w:val="16"/>
                    </w:rPr>
                    <w:t>$9</w:t>
                  </w:r>
                </w:p>
              </w:tc>
              <w:tc>
                <w:tcPr>
                  <w:tcW w:w="498" w:type="pct"/>
                  <w:vAlign w:val="center"/>
                </w:tcPr>
                <w:p w14:paraId="7531FF09"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12*</w:t>
                  </w:r>
                </w:p>
              </w:tc>
            </w:tr>
            <w:tr w:rsidR="006102CE" w:rsidRPr="00080443" w14:paraId="31F53C94" w14:textId="77777777" w:rsidTr="00F03E6C">
              <w:tc>
                <w:tcPr>
                  <w:tcW w:w="574" w:type="pct"/>
                </w:tcPr>
                <w:p w14:paraId="4041A1E5" w14:textId="77777777" w:rsidR="006102CE" w:rsidRPr="00080443" w:rsidRDefault="006102CE" w:rsidP="00CD6B96">
                  <w:pPr>
                    <w:pStyle w:val="ListBullet"/>
                    <w:numPr>
                      <w:ilvl w:val="0"/>
                      <w:numId w:val="0"/>
                    </w:numPr>
                    <w:rPr>
                      <w:rFonts w:cs="Arial"/>
                      <w:b/>
                      <w:sz w:val="16"/>
                      <w:szCs w:val="16"/>
                    </w:rPr>
                  </w:pPr>
                  <w:r w:rsidRPr="00080443">
                    <w:rPr>
                      <w:rFonts w:cs="Arial"/>
                      <w:b/>
                      <w:sz w:val="16"/>
                      <w:szCs w:val="16"/>
                    </w:rPr>
                    <w:t xml:space="preserve">Product </w:t>
                  </w:r>
                  <w:r w:rsidR="00CD6B96" w:rsidRPr="00080443">
                    <w:rPr>
                      <w:rFonts w:cs="Arial"/>
                      <w:b/>
                      <w:sz w:val="16"/>
                      <w:szCs w:val="16"/>
                    </w:rPr>
                    <w:t>Z</w:t>
                  </w:r>
                </w:p>
              </w:tc>
              <w:tc>
                <w:tcPr>
                  <w:tcW w:w="442" w:type="pct"/>
                  <w:vAlign w:val="center"/>
                </w:tcPr>
                <w:p w14:paraId="30EC9A2C" w14:textId="77777777" w:rsidR="006102CE" w:rsidRPr="00080443" w:rsidRDefault="006102CE" w:rsidP="00F03E6C">
                  <w:pPr>
                    <w:pStyle w:val="ListBullet"/>
                    <w:numPr>
                      <w:ilvl w:val="0"/>
                      <w:numId w:val="0"/>
                    </w:numPr>
                    <w:jc w:val="center"/>
                    <w:rPr>
                      <w:rFonts w:cs="Arial"/>
                      <w:b/>
                      <w:color w:val="0070C0"/>
                      <w:sz w:val="16"/>
                      <w:szCs w:val="16"/>
                    </w:rPr>
                  </w:pPr>
                  <w:r w:rsidRPr="00080443">
                    <w:rPr>
                      <w:rFonts w:cs="Arial"/>
                      <w:b/>
                      <w:color w:val="0070C0"/>
                      <w:sz w:val="16"/>
                      <w:szCs w:val="16"/>
                    </w:rPr>
                    <w:t>7</w:t>
                  </w:r>
                </w:p>
              </w:tc>
              <w:tc>
                <w:tcPr>
                  <w:tcW w:w="498" w:type="pct"/>
                  <w:vAlign w:val="center"/>
                </w:tcPr>
                <w:p w14:paraId="7FE34480" w14:textId="77777777" w:rsidR="006102CE" w:rsidRPr="00080443" w:rsidRDefault="006102CE" w:rsidP="00F03E6C">
                  <w:pPr>
                    <w:pStyle w:val="ListBullet"/>
                    <w:numPr>
                      <w:ilvl w:val="0"/>
                      <w:numId w:val="0"/>
                    </w:numPr>
                    <w:jc w:val="center"/>
                    <w:rPr>
                      <w:rFonts w:cs="Arial"/>
                      <w:sz w:val="16"/>
                      <w:szCs w:val="16"/>
                    </w:rPr>
                  </w:pPr>
                  <w:r w:rsidRPr="00080443">
                    <w:rPr>
                      <w:rFonts w:cs="Arial"/>
                      <w:color w:val="00B050"/>
                      <w:sz w:val="16"/>
                      <w:szCs w:val="16"/>
                    </w:rPr>
                    <w:t>$7</w:t>
                  </w:r>
                </w:p>
              </w:tc>
              <w:tc>
                <w:tcPr>
                  <w:tcW w:w="498" w:type="pct"/>
                  <w:vAlign w:val="center"/>
                </w:tcPr>
                <w:p w14:paraId="4CC7DD62"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10</w:t>
                  </w:r>
                </w:p>
              </w:tc>
              <w:tc>
                <w:tcPr>
                  <w:tcW w:w="498" w:type="pct"/>
                  <w:vAlign w:val="center"/>
                </w:tcPr>
                <w:p w14:paraId="2A84CE3F" w14:textId="77777777" w:rsidR="006102CE" w:rsidRPr="00080443" w:rsidRDefault="006102CE" w:rsidP="00F03E6C">
                  <w:pPr>
                    <w:pStyle w:val="ListBullet"/>
                    <w:numPr>
                      <w:ilvl w:val="0"/>
                      <w:numId w:val="0"/>
                    </w:numPr>
                    <w:jc w:val="center"/>
                    <w:rPr>
                      <w:rFonts w:cs="Arial"/>
                      <w:sz w:val="16"/>
                      <w:szCs w:val="16"/>
                    </w:rPr>
                  </w:pPr>
                  <w:r w:rsidRPr="00080443">
                    <w:rPr>
                      <w:rFonts w:cs="Arial"/>
                      <w:color w:val="00B050"/>
                      <w:sz w:val="16"/>
                      <w:szCs w:val="16"/>
                    </w:rPr>
                    <w:t>$8</w:t>
                  </w:r>
                </w:p>
              </w:tc>
              <w:tc>
                <w:tcPr>
                  <w:tcW w:w="498" w:type="pct"/>
                  <w:vAlign w:val="center"/>
                </w:tcPr>
                <w:p w14:paraId="43E911F7"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7*</w:t>
                  </w:r>
                </w:p>
              </w:tc>
              <w:tc>
                <w:tcPr>
                  <w:tcW w:w="498" w:type="pct"/>
                  <w:vAlign w:val="center"/>
                </w:tcPr>
                <w:p w14:paraId="5F630AB8" w14:textId="77777777" w:rsidR="006102CE" w:rsidRPr="00080443" w:rsidRDefault="006102CE" w:rsidP="00F03E6C">
                  <w:pPr>
                    <w:pStyle w:val="ListBullet"/>
                    <w:numPr>
                      <w:ilvl w:val="0"/>
                      <w:numId w:val="0"/>
                    </w:numPr>
                    <w:jc w:val="center"/>
                    <w:rPr>
                      <w:rFonts w:cs="Arial"/>
                      <w:color w:val="00B050"/>
                      <w:sz w:val="16"/>
                      <w:szCs w:val="16"/>
                    </w:rPr>
                  </w:pPr>
                  <w:r w:rsidRPr="00080443">
                    <w:rPr>
                      <w:rFonts w:cs="Arial"/>
                      <w:color w:val="00B050"/>
                      <w:sz w:val="16"/>
                      <w:szCs w:val="16"/>
                    </w:rPr>
                    <w:t>$8</w:t>
                  </w:r>
                </w:p>
              </w:tc>
              <w:tc>
                <w:tcPr>
                  <w:tcW w:w="498" w:type="pct"/>
                  <w:vAlign w:val="center"/>
                </w:tcPr>
                <w:p w14:paraId="759F1473"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8</w:t>
                  </w:r>
                </w:p>
              </w:tc>
              <w:tc>
                <w:tcPr>
                  <w:tcW w:w="498" w:type="pct"/>
                  <w:vAlign w:val="center"/>
                </w:tcPr>
                <w:p w14:paraId="72E07749" w14:textId="77777777" w:rsidR="006102CE" w:rsidRPr="00080443" w:rsidRDefault="006102CE" w:rsidP="00F03E6C">
                  <w:pPr>
                    <w:pStyle w:val="ListBullet"/>
                    <w:numPr>
                      <w:ilvl w:val="0"/>
                      <w:numId w:val="0"/>
                    </w:numPr>
                    <w:jc w:val="center"/>
                    <w:rPr>
                      <w:rFonts w:cs="Arial"/>
                      <w:color w:val="00B050"/>
                      <w:sz w:val="16"/>
                      <w:szCs w:val="16"/>
                    </w:rPr>
                  </w:pPr>
                  <w:r w:rsidRPr="00080443">
                    <w:rPr>
                      <w:rFonts w:cs="Arial"/>
                      <w:color w:val="00B050"/>
                      <w:sz w:val="16"/>
                      <w:szCs w:val="16"/>
                    </w:rPr>
                    <w:t>$9</w:t>
                  </w:r>
                </w:p>
              </w:tc>
              <w:tc>
                <w:tcPr>
                  <w:tcW w:w="498" w:type="pct"/>
                  <w:vAlign w:val="center"/>
                </w:tcPr>
                <w:p w14:paraId="284D20EF" w14:textId="77777777" w:rsidR="006102CE" w:rsidRPr="00080443" w:rsidRDefault="006102CE" w:rsidP="00F03E6C">
                  <w:pPr>
                    <w:pStyle w:val="ListBullet"/>
                    <w:numPr>
                      <w:ilvl w:val="0"/>
                      <w:numId w:val="0"/>
                    </w:numPr>
                    <w:jc w:val="center"/>
                    <w:rPr>
                      <w:rFonts w:cs="Arial"/>
                      <w:b/>
                      <w:color w:val="FF0000"/>
                      <w:sz w:val="16"/>
                      <w:szCs w:val="16"/>
                    </w:rPr>
                  </w:pPr>
                  <w:r w:rsidRPr="00080443">
                    <w:rPr>
                      <w:rFonts w:cs="Arial"/>
                      <w:b/>
                      <w:color w:val="FF0000"/>
                      <w:sz w:val="16"/>
                      <w:szCs w:val="16"/>
                    </w:rPr>
                    <w:t>7*</w:t>
                  </w:r>
                </w:p>
              </w:tc>
            </w:tr>
          </w:tbl>
          <w:p w14:paraId="2821C5BF" w14:textId="77777777" w:rsidR="001B641C" w:rsidRPr="00080443" w:rsidRDefault="001B641C" w:rsidP="001B641C">
            <w:pPr>
              <w:rPr>
                <w:rFonts w:cs="Arial"/>
              </w:rPr>
            </w:pPr>
          </w:p>
        </w:tc>
      </w:tr>
      <w:tr w:rsidR="001B641C" w:rsidRPr="00080443" w14:paraId="56C2801D" w14:textId="77777777" w:rsidTr="001B641C">
        <w:trPr>
          <w:trHeight w:val="291"/>
        </w:trPr>
        <w:tc>
          <w:tcPr>
            <w:tcW w:w="9645" w:type="dxa"/>
            <w:tcBorders>
              <w:bottom w:val="single" w:sz="2" w:space="0" w:color="505050"/>
            </w:tcBorders>
            <w:shd w:val="clear" w:color="auto" w:fill="auto"/>
          </w:tcPr>
          <w:p w14:paraId="085F9ACE" w14:textId="77777777" w:rsidR="001B641C" w:rsidRPr="00080443" w:rsidRDefault="00F03E6C" w:rsidP="001B641C">
            <w:pPr>
              <w:rPr>
                <w:rFonts w:cs="Arial"/>
              </w:rPr>
            </w:pPr>
            <w:r w:rsidRPr="00080443">
              <w:rPr>
                <w:rFonts w:cs="Arial"/>
                <w:i/>
                <w:sz w:val="16"/>
                <w:szCs w:val="16"/>
              </w:rPr>
              <w:t>*There is no excess demand for this product in this round</w:t>
            </w:r>
            <w:r w:rsidR="00D039D7" w:rsidRPr="00080443">
              <w:rPr>
                <w:rFonts w:cs="Arial"/>
                <w:i/>
                <w:sz w:val="16"/>
                <w:szCs w:val="16"/>
              </w:rPr>
              <w:t>.</w:t>
            </w:r>
          </w:p>
        </w:tc>
      </w:tr>
    </w:tbl>
    <w:p w14:paraId="7EB9C9F9" w14:textId="77777777" w:rsidR="001B641C" w:rsidRPr="00080443" w:rsidRDefault="001B641C" w:rsidP="00683547">
      <w:pPr>
        <w:rPr>
          <w:rFonts w:cs="Arial"/>
        </w:rPr>
      </w:pPr>
    </w:p>
    <w:p w14:paraId="388655CF" w14:textId="77777777" w:rsidR="00D44899" w:rsidRPr="00080443" w:rsidRDefault="00D44899" w:rsidP="00CF6BF8">
      <w:pPr>
        <w:rPr>
          <w:rFonts w:cs="Arial"/>
        </w:rPr>
      </w:pPr>
      <w:r w:rsidRPr="00080443">
        <w:rPr>
          <w:rFonts w:cs="Arial"/>
        </w:rPr>
        <w:t>In th</w:t>
      </w:r>
      <w:r w:rsidR="00365638" w:rsidRPr="00080443">
        <w:rPr>
          <w:rFonts w:cs="Arial"/>
        </w:rPr>
        <w:t>i</w:t>
      </w:r>
      <w:r w:rsidRPr="00080443">
        <w:rPr>
          <w:rFonts w:cs="Arial"/>
        </w:rPr>
        <w:t xml:space="preserve">s example, the clock rounds end at round </w:t>
      </w:r>
      <w:r w:rsidR="00CF6BF8" w:rsidRPr="00080443">
        <w:rPr>
          <w:rFonts w:cs="Arial"/>
        </w:rPr>
        <w:t>four</w:t>
      </w:r>
      <w:r w:rsidRPr="00080443">
        <w:rPr>
          <w:rFonts w:cs="Arial"/>
        </w:rPr>
        <w:t>, when there is no excess demand for any product.</w:t>
      </w:r>
    </w:p>
    <w:p w14:paraId="1496C5E3" w14:textId="77777777" w:rsidR="00D44899" w:rsidRPr="00080443" w:rsidRDefault="00D44899" w:rsidP="008128F7">
      <w:pPr>
        <w:rPr>
          <w:rFonts w:cs="Arial"/>
        </w:rPr>
      </w:pPr>
    </w:p>
    <w:p w14:paraId="77324737" w14:textId="77777777" w:rsidR="008A60B8" w:rsidRPr="00080443" w:rsidRDefault="008A60B8" w:rsidP="008128F7">
      <w:pPr>
        <w:spacing w:after="80"/>
        <w:rPr>
          <w:rFonts w:cs="Arial"/>
        </w:rPr>
      </w:pPr>
      <w:r w:rsidRPr="00080443">
        <w:rPr>
          <w:rFonts w:cs="Arial"/>
        </w:rPr>
        <w:t xml:space="preserve">Bids in clock rounds are subject to </w:t>
      </w:r>
      <w:r w:rsidR="003708B9" w:rsidRPr="00080443">
        <w:rPr>
          <w:rFonts w:cs="Arial"/>
        </w:rPr>
        <w:t xml:space="preserve">all of </w:t>
      </w:r>
      <w:r w:rsidRPr="00080443">
        <w:rPr>
          <w:rFonts w:cs="Arial"/>
        </w:rPr>
        <w:t>the following constraints:</w:t>
      </w:r>
    </w:p>
    <w:p w14:paraId="5EE2FA32" w14:textId="77777777" w:rsidR="008A60B8" w:rsidRPr="00080443" w:rsidRDefault="008A60B8" w:rsidP="008128F7">
      <w:pPr>
        <w:pStyle w:val="ListBullet"/>
        <w:rPr>
          <w:rFonts w:cs="Arial"/>
        </w:rPr>
      </w:pPr>
      <w:r w:rsidRPr="00080443">
        <w:rPr>
          <w:rFonts w:cs="Arial"/>
        </w:rPr>
        <w:t xml:space="preserve">in the first clock round, the value (in eligibility points) of the package of lots bid for must not exceed the bidder’s initial eligibility, as nominated by the bidder in their eligibility nomination form (see </w:t>
      </w:r>
      <w:r w:rsidR="00365638" w:rsidRPr="00080443">
        <w:rPr>
          <w:rFonts w:cs="Arial"/>
        </w:rPr>
        <w:t>4.3.3</w:t>
      </w:r>
      <w:r w:rsidRPr="00080443">
        <w:rPr>
          <w:rFonts w:cs="Arial"/>
        </w:rPr>
        <w:t>)</w:t>
      </w:r>
    </w:p>
    <w:p w14:paraId="44A53BB0" w14:textId="77777777" w:rsidR="00776A6B" w:rsidRPr="00080443" w:rsidRDefault="008A60B8" w:rsidP="00561CE8">
      <w:pPr>
        <w:pStyle w:val="ListBullet"/>
        <w:rPr>
          <w:rFonts w:cs="Arial"/>
        </w:rPr>
      </w:pPr>
      <w:r w:rsidRPr="00080443">
        <w:rPr>
          <w:rFonts w:cs="Arial"/>
        </w:rPr>
        <w:t>in subsequent clock rounds</w:t>
      </w:r>
      <w:r w:rsidR="00776A6B" w:rsidRPr="00080443">
        <w:rPr>
          <w:rFonts w:cs="Arial"/>
        </w:rPr>
        <w:t xml:space="preserve">, </w:t>
      </w:r>
      <w:r w:rsidR="0073111B" w:rsidRPr="00080443">
        <w:rPr>
          <w:rFonts w:cs="Arial"/>
        </w:rPr>
        <w:t xml:space="preserve">the bid must </w:t>
      </w:r>
      <w:r w:rsidR="00776A6B" w:rsidRPr="00080443">
        <w:rPr>
          <w:rFonts w:cs="Arial"/>
        </w:rPr>
        <w:t>either:</w:t>
      </w:r>
    </w:p>
    <w:p w14:paraId="11EF9B84" w14:textId="77777777" w:rsidR="00776A6B" w:rsidRPr="00080443" w:rsidRDefault="0073111B" w:rsidP="00776A6B">
      <w:pPr>
        <w:pStyle w:val="ListBullet2"/>
        <w:rPr>
          <w:rFonts w:cs="Arial"/>
        </w:rPr>
      </w:pPr>
      <w:r w:rsidRPr="00080443">
        <w:rPr>
          <w:rFonts w:cs="Arial"/>
        </w:rPr>
        <w:t>be less than or equal to the bidder’s current eligibility, based on previous clock rounds (see Activity rules below)</w:t>
      </w:r>
    </w:p>
    <w:p w14:paraId="302DE2DB" w14:textId="77777777" w:rsidR="00776A6B" w:rsidRPr="00080443" w:rsidRDefault="00776A6B" w:rsidP="00776A6B">
      <w:pPr>
        <w:pStyle w:val="ListBullet2"/>
        <w:rPr>
          <w:rFonts w:cs="Arial"/>
        </w:rPr>
      </w:pPr>
      <w:r w:rsidRPr="00080443">
        <w:rPr>
          <w:rFonts w:cs="Arial"/>
        </w:rPr>
        <w:t>satisf</w:t>
      </w:r>
      <w:r w:rsidR="008259DA" w:rsidRPr="00080443">
        <w:rPr>
          <w:rFonts w:cs="Arial"/>
        </w:rPr>
        <w:t>y</w:t>
      </w:r>
      <w:r w:rsidRPr="00080443">
        <w:rPr>
          <w:rFonts w:cs="Arial"/>
        </w:rPr>
        <w:t xml:space="preserve"> the ‘revealed preference constraint’</w:t>
      </w:r>
      <w:r w:rsidR="008259DA" w:rsidRPr="00080443">
        <w:rPr>
          <w:rFonts w:cs="Arial"/>
        </w:rPr>
        <w:t xml:space="preserve"> (see Activity rules below)</w:t>
      </w:r>
    </w:p>
    <w:p w14:paraId="6B64C578" w14:textId="77777777" w:rsidR="00CF6BF8" w:rsidRPr="00080443" w:rsidRDefault="00C76F31" w:rsidP="00776A6B">
      <w:pPr>
        <w:pStyle w:val="ListBullet2"/>
        <w:rPr>
          <w:rFonts w:cs="Arial"/>
        </w:rPr>
      </w:pPr>
      <w:r w:rsidRPr="00080443">
        <w:rPr>
          <w:rFonts w:cs="Arial"/>
        </w:rPr>
        <w:t>satisf</w:t>
      </w:r>
      <w:r w:rsidR="0073111B" w:rsidRPr="00080443">
        <w:rPr>
          <w:rFonts w:cs="Arial"/>
        </w:rPr>
        <w:t>y</w:t>
      </w:r>
      <w:r w:rsidRPr="00080443">
        <w:rPr>
          <w:rFonts w:cs="Arial"/>
        </w:rPr>
        <w:t xml:space="preserve"> clause 17(d)(i</w:t>
      </w:r>
      <w:r w:rsidR="00E83F4C" w:rsidRPr="00080443">
        <w:rPr>
          <w:rFonts w:cs="Arial"/>
        </w:rPr>
        <w:t>i</w:t>
      </w:r>
      <w:r w:rsidRPr="00080443">
        <w:rPr>
          <w:rFonts w:cs="Arial"/>
        </w:rPr>
        <w:t>i) of the allocation determination</w:t>
      </w:r>
      <w:r w:rsidR="00E83F4C" w:rsidRPr="00080443">
        <w:rPr>
          <w:rFonts w:cs="Arial"/>
        </w:rPr>
        <w:t xml:space="preserve"> (see Activity rules below) </w:t>
      </w:r>
    </w:p>
    <w:p w14:paraId="13F88B9A" w14:textId="77777777" w:rsidR="002C1B74" w:rsidRPr="00080443" w:rsidRDefault="00CF6BF8" w:rsidP="00561CE8">
      <w:pPr>
        <w:pStyle w:val="ListBullet"/>
        <w:rPr>
          <w:rFonts w:cs="Arial"/>
        </w:rPr>
      </w:pPr>
      <w:r w:rsidRPr="00080443">
        <w:rPr>
          <w:rFonts w:cs="Arial"/>
        </w:rPr>
        <w:t xml:space="preserve">in all </w:t>
      </w:r>
      <w:r w:rsidR="002C1B74" w:rsidRPr="00080443">
        <w:rPr>
          <w:rFonts w:cs="Arial"/>
        </w:rPr>
        <w:t xml:space="preserve">clock </w:t>
      </w:r>
      <w:r w:rsidRPr="00080443">
        <w:rPr>
          <w:rFonts w:cs="Arial"/>
        </w:rPr>
        <w:t>rounds</w:t>
      </w:r>
      <w:r w:rsidR="002C1B74" w:rsidRPr="00080443">
        <w:rPr>
          <w:rFonts w:cs="Arial"/>
        </w:rPr>
        <w:t>:</w:t>
      </w:r>
    </w:p>
    <w:p w14:paraId="411041ED" w14:textId="77777777" w:rsidR="00A23DA9" w:rsidRPr="00080443" w:rsidRDefault="00CF6BF8" w:rsidP="00A23DA9">
      <w:pPr>
        <w:pStyle w:val="ListBullet2"/>
        <w:rPr>
          <w:rFonts w:cs="Arial"/>
        </w:rPr>
      </w:pPr>
      <w:r w:rsidRPr="00080443">
        <w:rPr>
          <w:rFonts w:cs="Arial"/>
        </w:rPr>
        <w:t>the package of lots bid for must not e</w:t>
      </w:r>
      <w:r w:rsidR="00A56999" w:rsidRPr="00080443">
        <w:rPr>
          <w:rFonts w:cs="Arial"/>
        </w:rPr>
        <w:t>x</w:t>
      </w:r>
      <w:r w:rsidRPr="00080443">
        <w:rPr>
          <w:rFonts w:cs="Arial"/>
        </w:rPr>
        <w:t>ceed the allocation limits (see 3.2.</w:t>
      </w:r>
      <w:r w:rsidR="0037586E" w:rsidRPr="00080443">
        <w:rPr>
          <w:rFonts w:cs="Arial"/>
        </w:rPr>
        <w:t>5</w:t>
      </w:r>
      <w:r w:rsidRPr="00080443">
        <w:rPr>
          <w:rFonts w:cs="Arial"/>
        </w:rPr>
        <w:t>)</w:t>
      </w:r>
    </w:p>
    <w:p w14:paraId="27BDF6AB" w14:textId="77777777" w:rsidR="00A23DA9" w:rsidRPr="00080443" w:rsidRDefault="002C1B74" w:rsidP="00A23DA9">
      <w:pPr>
        <w:pStyle w:val="ListBullet2"/>
        <w:rPr>
          <w:rFonts w:cs="Arial"/>
        </w:rPr>
      </w:pPr>
      <w:r w:rsidRPr="00080443">
        <w:rPr>
          <w:rFonts w:cs="Arial"/>
        </w:rPr>
        <w:t>bids must be received between the start and end time of the round</w:t>
      </w:r>
    </w:p>
    <w:p w14:paraId="3DACC23B" w14:textId="77777777" w:rsidR="00A23DA9" w:rsidRPr="00080443" w:rsidRDefault="002C1B74" w:rsidP="00981272">
      <w:pPr>
        <w:pStyle w:val="ListBullet2"/>
        <w:spacing w:after="240"/>
        <w:rPr>
          <w:rFonts w:cs="Arial"/>
        </w:rPr>
      </w:pPr>
      <w:r w:rsidRPr="00080443">
        <w:rPr>
          <w:rFonts w:cs="Arial"/>
        </w:rPr>
        <w:t>for each product, the number of lots bid for must not exceed the number of lots of the product that are available</w:t>
      </w:r>
      <w:r w:rsidR="00561CE8" w:rsidRPr="00080443">
        <w:rPr>
          <w:rFonts w:cs="Arial"/>
        </w:rPr>
        <w:t>.</w:t>
      </w:r>
    </w:p>
    <w:p w14:paraId="27A42F8C" w14:textId="77777777" w:rsidR="008128F7" w:rsidRPr="00080443" w:rsidRDefault="008A60B8" w:rsidP="008A1B77">
      <w:pPr>
        <w:pStyle w:val="Bodysubheader"/>
        <w:keepNext/>
        <w:rPr>
          <w:rFonts w:cs="Arial"/>
          <w:b w:val="0"/>
        </w:rPr>
      </w:pPr>
      <w:r w:rsidRPr="00080443">
        <w:rPr>
          <w:rFonts w:cs="Arial"/>
          <w:b w:val="0"/>
        </w:rPr>
        <w:t>Supplementary round</w:t>
      </w:r>
    </w:p>
    <w:p w14:paraId="60C0C6BA" w14:textId="77777777" w:rsidR="008A60B8" w:rsidRPr="00080443" w:rsidRDefault="008A60B8" w:rsidP="008128F7">
      <w:pPr>
        <w:spacing w:after="80"/>
        <w:rPr>
          <w:rFonts w:cs="Arial"/>
        </w:rPr>
      </w:pPr>
      <w:r w:rsidRPr="00080443">
        <w:rPr>
          <w:rFonts w:cs="Arial"/>
        </w:rPr>
        <w:t>The supplementary round is a single round</w:t>
      </w:r>
      <w:r w:rsidR="006D5319" w:rsidRPr="00080443">
        <w:rPr>
          <w:rFonts w:cs="Arial"/>
        </w:rPr>
        <w:t xml:space="preserve"> in which bidders may submit a number of package bids</w:t>
      </w:r>
      <w:r w:rsidRPr="00080443">
        <w:rPr>
          <w:rFonts w:cs="Arial"/>
        </w:rPr>
        <w:t xml:space="preserve">. While there is no requirement for a bidder to submit any bids during the supplementary round, this round </w:t>
      </w:r>
      <w:r w:rsidR="00500350" w:rsidRPr="00080443">
        <w:rPr>
          <w:rFonts w:cs="Arial"/>
        </w:rPr>
        <w:t xml:space="preserve">gives </w:t>
      </w:r>
      <w:r w:rsidRPr="00080443">
        <w:rPr>
          <w:rFonts w:cs="Arial"/>
        </w:rPr>
        <w:t xml:space="preserve">bidders the opportunity to: </w:t>
      </w:r>
    </w:p>
    <w:p w14:paraId="5E94C89A" w14:textId="77777777" w:rsidR="008A60B8" w:rsidRPr="00080443" w:rsidRDefault="008A60B8" w:rsidP="008128F7">
      <w:pPr>
        <w:pStyle w:val="ListBullet"/>
        <w:rPr>
          <w:rFonts w:cs="Arial"/>
        </w:rPr>
      </w:pPr>
      <w:r w:rsidRPr="00080443">
        <w:rPr>
          <w:rFonts w:cs="Arial"/>
        </w:rPr>
        <w:t>increase their bids for the package(s) of lots they bid on in the clock rounds</w:t>
      </w:r>
    </w:p>
    <w:p w14:paraId="0CE09F87" w14:textId="77777777" w:rsidR="008A60B8" w:rsidRPr="00080443" w:rsidRDefault="0028491F" w:rsidP="008128F7">
      <w:pPr>
        <w:pStyle w:val="ListBullet"/>
        <w:spacing w:after="240"/>
        <w:rPr>
          <w:rFonts w:cs="Arial"/>
        </w:rPr>
      </w:pPr>
      <w:r w:rsidRPr="00080443">
        <w:rPr>
          <w:rFonts w:cs="Arial"/>
        </w:rPr>
        <w:t xml:space="preserve">express their preferences more fully by bidding </w:t>
      </w:r>
      <w:r w:rsidR="008A60B8" w:rsidRPr="00080443">
        <w:rPr>
          <w:rFonts w:cs="Arial"/>
        </w:rPr>
        <w:t>on other packages.</w:t>
      </w:r>
    </w:p>
    <w:p w14:paraId="2054C0E2" w14:textId="77777777" w:rsidR="008A60B8" w:rsidRPr="00080443" w:rsidRDefault="008A60B8" w:rsidP="008128F7">
      <w:pPr>
        <w:rPr>
          <w:rFonts w:cs="Arial"/>
        </w:rPr>
      </w:pPr>
      <w:r w:rsidRPr="00080443">
        <w:rPr>
          <w:rFonts w:cs="Arial"/>
        </w:rPr>
        <w:t xml:space="preserve">Each supplementary round bid must specify the number of lots of each product sought (the package) and the amount the bidder is </w:t>
      </w:r>
      <w:r w:rsidR="00DD0F2A" w:rsidRPr="00080443">
        <w:rPr>
          <w:rFonts w:cs="Arial"/>
        </w:rPr>
        <w:t>willing to pay</w:t>
      </w:r>
      <w:r w:rsidRPr="00080443">
        <w:rPr>
          <w:rFonts w:cs="Arial"/>
        </w:rPr>
        <w:t xml:space="preserve"> for the package. </w:t>
      </w:r>
    </w:p>
    <w:p w14:paraId="6E785279" w14:textId="77777777" w:rsidR="008128F7" w:rsidRPr="00080443" w:rsidRDefault="008128F7" w:rsidP="008128F7">
      <w:pPr>
        <w:rPr>
          <w:rFonts w:cs="Arial"/>
        </w:rPr>
      </w:pPr>
    </w:p>
    <w:p w14:paraId="1900EAE3" w14:textId="77777777" w:rsidR="008A60B8" w:rsidRPr="00080443" w:rsidRDefault="008A60B8" w:rsidP="008128F7">
      <w:pPr>
        <w:spacing w:after="80"/>
        <w:rPr>
          <w:rFonts w:cs="Arial"/>
        </w:rPr>
      </w:pPr>
      <w:r w:rsidRPr="00080443">
        <w:rPr>
          <w:rFonts w:cs="Arial"/>
        </w:rPr>
        <w:lastRenderedPageBreak/>
        <w:t xml:space="preserve">Bids in the supplementary round are subject to </w:t>
      </w:r>
      <w:r w:rsidR="00F92C91" w:rsidRPr="00080443">
        <w:rPr>
          <w:rFonts w:cs="Arial"/>
        </w:rPr>
        <w:t xml:space="preserve">all of </w:t>
      </w:r>
      <w:r w:rsidRPr="00080443">
        <w:rPr>
          <w:rFonts w:cs="Arial"/>
        </w:rPr>
        <w:t>the following constraints:</w:t>
      </w:r>
    </w:p>
    <w:p w14:paraId="533FD4EA" w14:textId="77777777" w:rsidR="00C70B42" w:rsidRPr="00080443" w:rsidRDefault="00C70B42" w:rsidP="008128F7">
      <w:pPr>
        <w:pStyle w:val="ListBullet"/>
        <w:rPr>
          <w:rFonts w:cs="Arial"/>
        </w:rPr>
      </w:pPr>
      <w:r w:rsidRPr="00080443">
        <w:rPr>
          <w:rFonts w:cs="Arial"/>
        </w:rPr>
        <w:t xml:space="preserve">only bidders who </w:t>
      </w:r>
      <w:r w:rsidR="00D72FEA" w:rsidRPr="00080443">
        <w:rPr>
          <w:rFonts w:cs="Arial"/>
        </w:rPr>
        <w:t xml:space="preserve">have bid for at least one lot in the first clock round </w:t>
      </w:r>
      <w:r w:rsidRPr="00080443">
        <w:rPr>
          <w:rFonts w:cs="Arial"/>
        </w:rPr>
        <w:t>can bid in the supplementary round</w:t>
      </w:r>
    </w:p>
    <w:p w14:paraId="52D7F5AA" w14:textId="77777777" w:rsidR="008A60B8" w:rsidRPr="00080443" w:rsidRDefault="008A60B8" w:rsidP="008128F7">
      <w:pPr>
        <w:pStyle w:val="ListBullet"/>
        <w:rPr>
          <w:rFonts w:cs="Arial"/>
        </w:rPr>
      </w:pPr>
      <w:r w:rsidRPr="00080443">
        <w:rPr>
          <w:rFonts w:cs="Arial"/>
        </w:rPr>
        <w:t xml:space="preserve">the value of the package in eligibility points must not exceed the bidder’s initial eligibility, as nominated by the bidder in their eligibility nomination form (see </w:t>
      </w:r>
      <w:r w:rsidR="00681AAE" w:rsidRPr="00080443">
        <w:rPr>
          <w:rFonts w:cs="Arial"/>
        </w:rPr>
        <w:t>4.3.3</w:t>
      </w:r>
      <w:r w:rsidRPr="00080443">
        <w:rPr>
          <w:rFonts w:cs="Arial"/>
        </w:rPr>
        <w:t>)</w:t>
      </w:r>
    </w:p>
    <w:p w14:paraId="41F860BC" w14:textId="77777777" w:rsidR="008A60B8" w:rsidRPr="00080443" w:rsidRDefault="008A60B8" w:rsidP="008128F7">
      <w:pPr>
        <w:pStyle w:val="ListBullet"/>
        <w:rPr>
          <w:rFonts w:cs="Arial"/>
        </w:rPr>
      </w:pPr>
      <w:r w:rsidRPr="00080443">
        <w:rPr>
          <w:rFonts w:cs="Arial"/>
        </w:rPr>
        <w:t>the package of lots bid for must not exceed the allocation limits (see 3.2.</w:t>
      </w:r>
      <w:r w:rsidR="0037586E" w:rsidRPr="00080443">
        <w:rPr>
          <w:rFonts w:cs="Arial"/>
        </w:rPr>
        <w:t>5</w:t>
      </w:r>
      <w:r w:rsidRPr="00080443">
        <w:rPr>
          <w:rFonts w:cs="Arial"/>
        </w:rPr>
        <w:t>)</w:t>
      </w:r>
    </w:p>
    <w:p w14:paraId="70A3EE4D" w14:textId="77777777" w:rsidR="0057020F" w:rsidRPr="00080443" w:rsidRDefault="0057020F" w:rsidP="008128F7">
      <w:pPr>
        <w:pStyle w:val="ListBullet"/>
        <w:rPr>
          <w:rFonts w:cs="Arial"/>
        </w:rPr>
      </w:pPr>
      <w:r w:rsidRPr="00080443">
        <w:rPr>
          <w:rFonts w:cs="Arial"/>
        </w:rPr>
        <w:t>bids must be received between the start and end time of the supplementary round</w:t>
      </w:r>
    </w:p>
    <w:p w14:paraId="5BF9F04A" w14:textId="77777777" w:rsidR="0057020F" w:rsidRPr="00080443" w:rsidRDefault="0057020F" w:rsidP="008128F7">
      <w:pPr>
        <w:pStyle w:val="ListBullet"/>
        <w:rPr>
          <w:rFonts w:cs="Arial"/>
        </w:rPr>
      </w:pPr>
      <w:r w:rsidRPr="00080443">
        <w:rPr>
          <w:rFonts w:cs="Arial"/>
        </w:rPr>
        <w:t>for each product, the number of lots bids for must not exceed the number of lots of the product that are available</w:t>
      </w:r>
    </w:p>
    <w:p w14:paraId="1E842B84" w14:textId="77777777" w:rsidR="00CF5E43" w:rsidRPr="00080443" w:rsidRDefault="00CF5E43" w:rsidP="008128F7">
      <w:pPr>
        <w:pStyle w:val="ListBullet"/>
        <w:rPr>
          <w:rFonts w:cs="Arial"/>
        </w:rPr>
      </w:pPr>
      <w:r w:rsidRPr="00080443">
        <w:rPr>
          <w:rFonts w:cs="Arial"/>
        </w:rPr>
        <w:t xml:space="preserve">although packages bid for may have some products and lots in common, a bidder’s collection of supplementary round bids must </w:t>
      </w:r>
      <w:r w:rsidRPr="00080443">
        <w:rPr>
          <w:rFonts w:cs="Arial"/>
          <w:i/>
        </w:rPr>
        <w:t>not</w:t>
      </w:r>
      <w:r w:rsidRPr="00080443">
        <w:rPr>
          <w:rFonts w:cs="Arial"/>
        </w:rPr>
        <w:t xml:space="preserve"> include more than one supplementary bid for identical packages</w:t>
      </w:r>
    </w:p>
    <w:p w14:paraId="4F861841" w14:textId="77777777" w:rsidR="008A60B8" w:rsidRPr="00080443" w:rsidRDefault="008A60B8" w:rsidP="008128F7">
      <w:pPr>
        <w:pStyle w:val="ListBullet"/>
        <w:rPr>
          <w:rFonts w:cs="Arial"/>
        </w:rPr>
      </w:pPr>
      <w:r w:rsidRPr="00080443">
        <w:rPr>
          <w:rFonts w:cs="Arial"/>
        </w:rPr>
        <w:t xml:space="preserve">the </w:t>
      </w:r>
      <w:r w:rsidR="00DD0F2A" w:rsidRPr="00080443">
        <w:rPr>
          <w:rFonts w:cs="Arial"/>
        </w:rPr>
        <w:t xml:space="preserve">price </w:t>
      </w:r>
      <w:r w:rsidRPr="00080443">
        <w:rPr>
          <w:rFonts w:cs="Arial"/>
        </w:rPr>
        <w:t>of each bid must:</w:t>
      </w:r>
    </w:p>
    <w:p w14:paraId="665D6362" w14:textId="77777777" w:rsidR="008A60B8" w:rsidRPr="00080443" w:rsidRDefault="008A60B8" w:rsidP="008128F7">
      <w:pPr>
        <w:pStyle w:val="ListBullet2"/>
        <w:rPr>
          <w:rFonts w:cs="Arial"/>
        </w:rPr>
      </w:pPr>
      <w:r w:rsidRPr="00080443">
        <w:rPr>
          <w:rFonts w:cs="Arial"/>
        </w:rPr>
        <w:t>be at least the sum of the initial prices (the reserve prices) for the lots in the package</w:t>
      </w:r>
    </w:p>
    <w:p w14:paraId="27BA846A" w14:textId="77777777" w:rsidR="00CD6B96" w:rsidRPr="00080443" w:rsidRDefault="00CD6B96" w:rsidP="008128F7">
      <w:pPr>
        <w:pStyle w:val="ListBullet2"/>
        <w:rPr>
          <w:rFonts w:cs="Arial"/>
        </w:rPr>
      </w:pPr>
      <w:r w:rsidRPr="00080443">
        <w:rPr>
          <w:rFonts w:cs="Arial"/>
        </w:rPr>
        <w:t>be a whole multiple of the minimum increment set by the auction manager for supplementary bids (for example, if the minimum increment set by the auction manager is $1,000, then the bid must be a multiple of $1,000)</w:t>
      </w:r>
    </w:p>
    <w:p w14:paraId="397699DE" w14:textId="77777777" w:rsidR="008A60B8" w:rsidRPr="00080443" w:rsidRDefault="008A60B8" w:rsidP="008128F7">
      <w:pPr>
        <w:pStyle w:val="ListBullet2"/>
        <w:rPr>
          <w:rFonts w:cs="Arial"/>
        </w:rPr>
      </w:pPr>
      <w:r w:rsidRPr="00080443">
        <w:rPr>
          <w:rFonts w:cs="Arial"/>
        </w:rPr>
        <w:t>be greater than any bid that the bidder made for the same package in the clock rounds</w:t>
      </w:r>
    </w:p>
    <w:p w14:paraId="15F9BECE" w14:textId="77777777" w:rsidR="008A60B8" w:rsidRPr="00080443" w:rsidRDefault="008A60B8" w:rsidP="008128F7">
      <w:pPr>
        <w:pStyle w:val="ListBullet2"/>
        <w:rPr>
          <w:rFonts w:cs="Arial"/>
        </w:rPr>
      </w:pPr>
      <w:r w:rsidRPr="00080443">
        <w:rPr>
          <w:rFonts w:cs="Arial"/>
        </w:rPr>
        <w:t>satisfy</w:t>
      </w:r>
      <w:r w:rsidR="00CD6B96" w:rsidRPr="00080443">
        <w:rPr>
          <w:rFonts w:cs="Arial"/>
        </w:rPr>
        <w:t xml:space="preserve"> the</w:t>
      </w:r>
      <w:r w:rsidRPr="00080443">
        <w:rPr>
          <w:rFonts w:cs="Arial"/>
        </w:rPr>
        <w:t xml:space="preserve"> </w:t>
      </w:r>
      <w:r w:rsidR="00C1477F" w:rsidRPr="00080443">
        <w:rPr>
          <w:rFonts w:cs="Arial"/>
        </w:rPr>
        <w:t>‘</w:t>
      </w:r>
      <w:r w:rsidRPr="00080443">
        <w:rPr>
          <w:rFonts w:cs="Arial"/>
        </w:rPr>
        <w:t>revealed-preference</w:t>
      </w:r>
      <w:r w:rsidR="00CD6B96" w:rsidRPr="00080443">
        <w:rPr>
          <w:rFonts w:cs="Arial"/>
        </w:rPr>
        <w:t xml:space="preserve"> cap</w:t>
      </w:r>
      <w:r w:rsidR="00C1477F" w:rsidRPr="00080443">
        <w:rPr>
          <w:rFonts w:cs="Arial"/>
        </w:rPr>
        <w:t>’</w:t>
      </w:r>
      <w:r w:rsidRPr="00080443">
        <w:rPr>
          <w:rFonts w:cs="Arial"/>
        </w:rPr>
        <w:t xml:space="preserve"> </w:t>
      </w:r>
      <w:r w:rsidR="004E52B9" w:rsidRPr="00080443">
        <w:rPr>
          <w:rFonts w:cs="Arial"/>
        </w:rPr>
        <w:t xml:space="preserve">with respect to the last clock round in which the bidder’s eligibility points allowed them to bid on the package </w:t>
      </w:r>
      <w:r w:rsidRPr="00080443">
        <w:rPr>
          <w:rFonts w:cs="Arial"/>
        </w:rPr>
        <w:t xml:space="preserve">(see </w:t>
      </w:r>
      <w:r w:rsidR="00B73AAB" w:rsidRPr="00080443">
        <w:rPr>
          <w:rFonts w:cs="Arial"/>
          <w:i/>
        </w:rPr>
        <w:t>Activity rules</w:t>
      </w:r>
      <w:r w:rsidRPr="00080443">
        <w:rPr>
          <w:rFonts w:cs="Arial"/>
        </w:rPr>
        <w:t xml:space="preserve"> below)</w:t>
      </w:r>
      <w:r w:rsidR="007975C9" w:rsidRPr="00080443">
        <w:rPr>
          <w:rFonts w:cs="Arial"/>
        </w:rPr>
        <w:t>—</w:t>
      </w:r>
      <w:r w:rsidR="00BA10B6" w:rsidRPr="00080443">
        <w:rPr>
          <w:rFonts w:cs="Arial"/>
          <w:i/>
        </w:rPr>
        <w:t>if</w:t>
      </w:r>
      <w:r w:rsidR="00BA10B6" w:rsidRPr="00080443">
        <w:rPr>
          <w:rFonts w:cs="Arial"/>
        </w:rPr>
        <w:t xml:space="preserve"> the bidder did not make a bid for the same package in the final clock round</w:t>
      </w:r>
    </w:p>
    <w:p w14:paraId="2919A08E" w14:textId="77777777" w:rsidR="008128F7" w:rsidRPr="00080443" w:rsidRDefault="008A60B8" w:rsidP="008128F7">
      <w:pPr>
        <w:pStyle w:val="ListBullet"/>
        <w:spacing w:after="240"/>
        <w:rPr>
          <w:rFonts w:cs="Arial"/>
        </w:rPr>
      </w:pPr>
      <w:r w:rsidRPr="00080443">
        <w:rPr>
          <w:rFonts w:cs="Arial"/>
        </w:rPr>
        <w:t xml:space="preserve">the number of bids </w:t>
      </w:r>
      <w:r w:rsidR="007C0E54" w:rsidRPr="00080443">
        <w:rPr>
          <w:rFonts w:cs="Arial"/>
        </w:rPr>
        <w:t xml:space="preserve">for different packages </w:t>
      </w:r>
      <w:r w:rsidRPr="00080443">
        <w:rPr>
          <w:rFonts w:cs="Arial"/>
        </w:rPr>
        <w:t>cannot exceed the supplementary bid limit.</w:t>
      </w:r>
      <w:r w:rsidRPr="00080443">
        <w:rPr>
          <w:rStyle w:val="FootnoteReference"/>
          <w:rFonts w:cs="Arial"/>
        </w:rPr>
        <w:footnoteReference w:id="24"/>
      </w:r>
    </w:p>
    <w:p w14:paraId="57313882" w14:textId="77777777" w:rsidR="008128F7" w:rsidRPr="00080443" w:rsidRDefault="008A60B8" w:rsidP="008128F7">
      <w:pPr>
        <w:pStyle w:val="Bodysubheader"/>
        <w:rPr>
          <w:rFonts w:cs="Arial"/>
          <w:b w:val="0"/>
        </w:rPr>
      </w:pPr>
      <w:r w:rsidRPr="00080443">
        <w:rPr>
          <w:rFonts w:cs="Arial"/>
          <w:b w:val="0"/>
        </w:rPr>
        <w:t>Activity rules (eligibility points and revealed preference)</w:t>
      </w:r>
    </w:p>
    <w:p w14:paraId="1651B3AA" w14:textId="77777777" w:rsidR="008A60B8" w:rsidRPr="00080443" w:rsidRDefault="008A60B8" w:rsidP="008128F7">
      <w:pPr>
        <w:rPr>
          <w:rFonts w:cs="Arial"/>
        </w:rPr>
      </w:pPr>
      <w:r w:rsidRPr="00080443">
        <w:rPr>
          <w:rFonts w:cs="Arial"/>
        </w:rPr>
        <w:t>A key feature of the CCA format is the application of activity rules in the clock and supplementary rounds. The activity rules encourage truthful bidding by</w:t>
      </w:r>
      <w:r w:rsidR="00A41545" w:rsidRPr="00080443">
        <w:rPr>
          <w:rFonts w:cs="Arial"/>
        </w:rPr>
        <w:t xml:space="preserve"> </w:t>
      </w:r>
      <w:r w:rsidR="00CD6B96" w:rsidRPr="00080443">
        <w:rPr>
          <w:rFonts w:cs="Arial"/>
        </w:rPr>
        <w:t xml:space="preserve">discouraging </w:t>
      </w:r>
      <w:r w:rsidR="00A41545" w:rsidRPr="00080443">
        <w:rPr>
          <w:rFonts w:cs="Arial"/>
        </w:rPr>
        <w:t xml:space="preserve">bidders from hiding their intentions in earlier rounds and by limiting strategic bidding. </w:t>
      </w:r>
    </w:p>
    <w:p w14:paraId="57662B77" w14:textId="77777777" w:rsidR="00E452B8" w:rsidRPr="00080443" w:rsidRDefault="00E452B8" w:rsidP="008128F7">
      <w:pPr>
        <w:rPr>
          <w:rFonts w:cs="Arial"/>
        </w:rPr>
      </w:pPr>
    </w:p>
    <w:p w14:paraId="059E629B" w14:textId="77777777" w:rsidR="008A60B8" w:rsidRPr="00080443" w:rsidRDefault="008A60B8" w:rsidP="008128F7">
      <w:pPr>
        <w:rPr>
          <w:rFonts w:cs="Arial"/>
        </w:rPr>
      </w:pPr>
      <w:r w:rsidRPr="00080443">
        <w:rPr>
          <w:rFonts w:cs="Arial"/>
        </w:rPr>
        <w:t xml:space="preserve">When registering to participate in the auction each </w:t>
      </w:r>
      <w:r w:rsidR="00E32D02" w:rsidRPr="00080443">
        <w:rPr>
          <w:rFonts w:cs="Arial"/>
        </w:rPr>
        <w:t xml:space="preserve">applicant must nominate their </w:t>
      </w:r>
      <w:r w:rsidR="0066069B" w:rsidRPr="00080443">
        <w:rPr>
          <w:rFonts w:cs="Arial"/>
        </w:rPr>
        <w:t>‘</w:t>
      </w:r>
      <w:r w:rsidR="00E32D02" w:rsidRPr="00080443">
        <w:rPr>
          <w:rFonts w:cs="Arial"/>
        </w:rPr>
        <w:t>initial eligibility points</w:t>
      </w:r>
      <w:r w:rsidR="0066069B" w:rsidRPr="00080443">
        <w:rPr>
          <w:rFonts w:cs="Arial"/>
        </w:rPr>
        <w:t>’</w:t>
      </w:r>
      <w:r w:rsidR="00E32D02" w:rsidRPr="00080443">
        <w:rPr>
          <w:rFonts w:cs="Arial"/>
        </w:rPr>
        <w:t xml:space="preserve"> by giving the ACMA a completed eligibility nomination form</w:t>
      </w:r>
      <w:r w:rsidR="0066069B" w:rsidRPr="00080443">
        <w:rPr>
          <w:rFonts w:cs="Arial"/>
        </w:rPr>
        <w:t xml:space="preserve"> (see 4.3</w:t>
      </w:r>
      <w:r w:rsidR="008C1B63" w:rsidRPr="00080443">
        <w:rPr>
          <w:rFonts w:cs="Arial"/>
        </w:rPr>
        <w:t>.3</w:t>
      </w:r>
      <w:r w:rsidR="0066069B" w:rsidRPr="00080443">
        <w:rPr>
          <w:rFonts w:cs="Arial"/>
        </w:rPr>
        <w:t>)</w:t>
      </w:r>
      <w:r w:rsidR="00E32D02" w:rsidRPr="00080443">
        <w:rPr>
          <w:rFonts w:cs="Arial"/>
        </w:rPr>
        <w:t xml:space="preserve">. </w:t>
      </w:r>
      <w:r w:rsidR="0066069B" w:rsidRPr="00080443">
        <w:rPr>
          <w:rFonts w:cs="Arial"/>
        </w:rPr>
        <w:t xml:space="preserve">As set out in that form, an applicant’s initial eligibility points can be worked out by identifying which lots the applicant is interested in acquiring and totalling the lot ratings attached to those lots. An applicant’s initial eligibility points determine their maximum eligibility (expressed in eligibility points) to bid in the first clock round. </w:t>
      </w:r>
      <w:r w:rsidRPr="00080443">
        <w:rPr>
          <w:rFonts w:cs="Arial"/>
        </w:rPr>
        <w:t xml:space="preserve"> </w:t>
      </w:r>
    </w:p>
    <w:p w14:paraId="283976C7" w14:textId="77777777" w:rsidR="008128F7" w:rsidRPr="00080443" w:rsidRDefault="008128F7" w:rsidP="008128F7">
      <w:pPr>
        <w:rPr>
          <w:rFonts w:cs="Arial"/>
        </w:rPr>
      </w:pPr>
    </w:p>
    <w:p w14:paraId="3F8E790C" w14:textId="77777777" w:rsidR="00B40672" w:rsidRPr="00080443" w:rsidRDefault="008A60B8" w:rsidP="008128F7">
      <w:pPr>
        <w:rPr>
          <w:rFonts w:cs="Arial"/>
        </w:rPr>
      </w:pPr>
      <w:r w:rsidRPr="00080443">
        <w:rPr>
          <w:rFonts w:cs="Arial"/>
        </w:rPr>
        <w:t>In the first clock round, a bidder can only bid on a package of lots that has a value in eligibility points less than or equal to the bidder’s initial eligibility</w:t>
      </w:r>
      <w:r w:rsidR="00A41545" w:rsidRPr="00080443">
        <w:rPr>
          <w:rFonts w:cs="Arial"/>
        </w:rPr>
        <w:t xml:space="preserve"> points</w:t>
      </w:r>
      <w:r w:rsidRPr="00080443">
        <w:rPr>
          <w:rFonts w:cs="Arial"/>
        </w:rPr>
        <w:t xml:space="preserve">. For example, a bidder with 100 initial eligibility points can bid on lots whose total sum of </w:t>
      </w:r>
      <w:r w:rsidR="00A41545" w:rsidRPr="00080443">
        <w:rPr>
          <w:rFonts w:cs="Arial"/>
        </w:rPr>
        <w:t xml:space="preserve">eligibility </w:t>
      </w:r>
      <w:r w:rsidRPr="00080443">
        <w:rPr>
          <w:rFonts w:cs="Arial"/>
        </w:rPr>
        <w:t xml:space="preserve">points is 100 or less. </w:t>
      </w:r>
    </w:p>
    <w:p w14:paraId="57C6A982" w14:textId="77777777" w:rsidR="006977A1" w:rsidRPr="00080443" w:rsidRDefault="006977A1" w:rsidP="008128F7">
      <w:pPr>
        <w:rPr>
          <w:rFonts w:cs="Arial"/>
        </w:rPr>
      </w:pPr>
    </w:p>
    <w:p w14:paraId="7B61CC7F" w14:textId="77777777" w:rsidR="008A60B8" w:rsidRPr="00080443" w:rsidRDefault="008A60B8" w:rsidP="008128F7">
      <w:pPr>
        <w:rPr>
          <w:rFonts w:cs="Arial"/>
        </w:rPr>
      </w:pPr>
      <w:r w:rsidRPr="00080443">
        <w:rPr>
          <w:rFonts w:cs="Arial"/>
        </w:rPr>
        <w:t>Similarly, in any subsequent clock round, a bidder can bid on a</w:t>
      </w:r>
      <w:r w:rsidR="00A41545" w:rsidRPr="00080443">
        <w:rPr>
          <w:rFonts w:cs="Arial"/>
        </w:rPr>
        <w:t>ny</w:t>
      </w:r>
      <w:r w:rsidRPr="00080443">
        <w:rPr>
          <w:rFonts w:cs="Arial"/>
        </w:rPr>
        <w:t xml:space="preserve"> package of lots that has a value in eligibility points that is less than or equal to their eligibility from the previous round</w:t>
      </w:r>
      <w:r w:rsidR="00A41545" w:rsidRPr="00080443">
        <w:rPr>
          <w:rFonts w:cs="Arial"/>
        </w:rPr>
        <w:t>, or when permitted by ‘revealed preference’</w:t>
      </w:r>
      <w:r w:rsidR="00A41545" w:rsidRPr="00080443">
        <w:rPr>
          <w:rStyle w:val="FootnoteReference"/>
          <w:rFonts w:cs="Arial"/>
        </w:rPr>
        <w:footnoteReference w:id="25"/>
      </w:r>
      <w:r w:rsidR="00E83F4C" w:rsidRPr="00080443">
        <w:rPr>
          <w:rFonts w:cs="Arial"/>
        </w:rPr>
        <w:t xml:space="preserve"> or where clause 17(d)(iii) </w:t>
      </w:r>
      <w:r w:rsidR="00E83F4C" w:rsidRPr="00080443">
        <w:rPr>
          <w:rFonts w:cs="Arial"/>
        </w:rPr>
        <w:lastRenderedPageBreak/>
        <w:t>of the allocation determination is satisfied.</w:t>
      </w:r>
      <w:r w:rsidR="006977A1" w:rsidRPr="00080443">
        <w:rPr>
          <w:rFonts w:cs="Arial"/>
        </w:rPr>
        <w:t xml:space="preserve"> W</w:t>
      </w:r>
      <w:r w:rsidRPr="00080443">
        <w:rPr>
          <w:rFonts w:cs="Arial"/>
        </w:rPr>
        <w:t>here the bidder bids on a package with a lesser point value, their eligibility to bid in the next round is reduced to that figure.</w:t>
      </w:r>
      <w:r w:rsidR="00B40672" w:rsidRPr="00080443">
        <w:rPr>
          <w:rFonts w:cs="Arial"/>
        </w:rPr>
        <w:t xml:space="preserve"> This is illustrated in </w:t>
      </w:r>
      <w:r w:rsidR="00DB6F4B" w:rsidRPr="00080443">
        <w:rPr>
          <w:rFonts w:cs="Arial"/>
        </w:rPr>
        <w:t>F</w:t>
      </w:r>
      <w:r w:rsidR="00B40672" w:rsidRPr="00080443">
        <w:rPr>
          <w:rFonts w:cs="Arial"/>
        </w:rPr>
        <w:t xml:space="preserve">igure </w:t>
      </w:r>
      <w:r w:rsidR="00DB6F4B" w:rsidRPr="00080443">
        <w:rPr>
          <w:rFonts w:cs="Arial"/>
        </w:rPr>
        <w:t>8</w:t>
      </w:r>
      <w:r w:rsidR="00E22691" w:rsidRPr="00080443">
        <w:rPr>
          <w:rFonts w:cs="Arial"/>
        </w:rPr>
        <w:t>,</w:t>
      </w:r>
      <w:r w:rsidR="00A41545" w:rsidRPr="00080443">
        <w:rPr>
          <w:rFonts w:cs="Arial"/>
        </w:rPr>
        <w:t xml:space="preserve"> in which the bidder’s initial eligibility is 250</w:t>
      </w:r>
      <w:r w:rsidR="00B40672" w:rsidRPr="00080443">
        <w:rPr>
          <w:rFonts w:cs="Arial"/>
        </w:rPr>
        <w:t>.</w:t>
      </w:r>
    </w:p>
    <w:p w14:paraId="71EF1008" w14:textId="77777777" w:rsidR="00B40672" w:rsidRPr="00080443" w:rsidRDefault="00B40672" w:rsidP="008128F7">
      <w:pPr>
        <w:rPr>
          <w:rFonts w:cs="Arial"/>
        </w:rPr>
      </w:pPr>
    </w:p>
    <w:tbl>
      <w:tblPr>
        <w:tblW w:w="9645" w:type="dxa"/>
        <w:tblLayout w:type="fixed"/>
        <w:tblCellMar>
          <w:left w:w="0" w:type="dxa"/>
          <w:right w:w="0" w:type="dxa"/>
        </w:tblCellMar>
        <w:tblLook w:val="01E0" w:firstRow="1" w:lastRow="1" w:firstColumn="1" w:lastColumn="1" w:noHBand="0" w:noVBand="0"/>
      </w:tblPr>
      <w:tblGrid>
        <w:gridCol w:w="9645"/>
      </w:tblGrid>
      <w:tr w:rsidR="00CB6614" w:rsidRPr="00080443" w14:paraId="6BCB37E3" w14:textId="77777777" w:rsidTr="00CB6614">
        <w:trPr>
          <w:trHeight w:val="570"/>
        </w:trPr>
        <w:tc>
          <w:tcPr>
            <w:tcW w:w="9645" w:type="dxa"/>
            <w:tcBorders>
              <w:top w:val="single" w:sz="2" w:space="0" w:color="505050"/>
            </w:tcBorders>
            <w:shd w:val="clear" w:color="auto" w:fill="auto"/>
            <w:vAlign w:val="center"/>
          </w:tcPr>
          <w:p w14:paraId="7B46F252" w14:textId="77777777" w:rsidR="00CB6614" w:rsidRPr="00080443" w:rsidRDefault="00CB6614" w:rsidP="00B56906">
            <w:pPr>
              <w:pStyle w:val="Caption"/>
              <w:keepNext/>
              <w:rPr>
                <w:rFonts w:cs="Arial"/>
              </w:rPr>
            </w:pPr>
            <w:r w:rsidRPr="00080443">
              <w:rPr>
                <w:rFonts w:cs="Arial"/>
              </w:rPr>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8</w:t>
            </w:r>
            <w:r w:rsidR="00724CDB" w:rsidRPr="00080443">
              <w:rPr>
                <w:rFonts w:cs="Arial"/>
              </w:rPr>
              <w:fldChar w:fldCharType="end"/>
            </w:r>
            <w:r w:rsidRPr="00080443">
              <w:rPr>
                <w:rFonts w:cs="Arial"/>
              </w:rPr>
              <w:t xml:space="preserve"> Example of how bidding during clock rounds can reduce a bidder’s eligibility</w:t>
            </w:r>
          </w:p>
        </w:tc>
      </w:tr>
      <w:tr w:rsidR="00CB6614" w:rsidRPr="00080443" w14:paraId="02371685" w14:textId="77777777" w:rsidTr="00CB6614">
        <w:trPr>
          <w:trHeight w:val="2177"/>
        </w:trPr>
        <w:tc>
          <w:tcPr>
            <w:tcW w:w="9645" w:type="dxa"/>
            <w:shd w:val="clear" w:color="auto" w:fill="auto"/>
            <w:tcMar>
              <w:left w:w="28" w:type="dxa"/>
            </w:tcMar>
          </w:tcPr>
          <w:tbl>
            <w:tblPr>
              <w:tblStyle w:val="TableGrid"/>
              <w:tblW w:w="4999" w:type="pct"/>
              <w:tblLayout w:type="fixed"/>
              <w:tblLook w:val="04A0" w:firstRow="1" w:lastRow="0" w:firstColumn="1" w:lastColumn="0" w:noHBand="0" w:noVBand="1"/>
            </w:tblPr>
            <w:tblGrid>
              <w:gridCol w:w="1381"/>
              <w:gridCol w:w="1421"/>
              <w:gridCol w:w="757"/>
              <w:gridCol w:w="757"/>
              <w:gridCol w:w="757"/>
              <w:gridCol w:w="757"/>
              <w:gridCol w:w="757"/>
              <w:gridCol w:w="757"/>
              <w:gridCol w:w="757"/>
              <w:gridCol w:w="757"/>
              <w:gridCol w:w="752"/>
            </w:tblGrid>
            <w:tr w:rsidR="00CB6614" w:rsidRPr="00080443" w14:paraId="7C264C37" w14:textId="77777777" w:rsidTr="00CB6614">
              <w:tc>
                <w:tcPr>
                  <w:tcW w:w="718" w:type="pct"/>
                  <w:vMerge w:val="restart"/>
                  <w:tcBorders>
                    <w:top w:val="nil"/>
                    <w:left w:val="nil"/>
                  </w:tcBorders>
                </w:tcPr>
                <w:p w14:paraId="6E2BE24B" w14:textId="77777777" w:rsidR="00CB6614" w:rsidRPr="00080443" w:rsidRDefault="00CB6614" w:rsidP="00CB6614">
                  <w:pPr>
                    <w:rPr>
                      <w:rFonts w:cs="Arial"/>
                      <w:sz w:val="16"/>
                      <w:szCs w:val="16"/>
                    </w:rPr>
                  </w:pPr>
                </w:p>
              </w:tc>
              <w:tc>
                <w:tcPr>
                  <w:tcW w:w="739" w:type="pct"/>
                  <w:vMerge w:val="restart"/>
                  <w:shd w:val="clear" w:color="auto" w:fill="A6A6A6" w:themeFill="background1" w:themeFillShade="A6"/>
                </w:tcPr>
                <w:p w14:paraId="24954791" w14:textId="77777777" w:rsidR="00CB6614" w:rsidRPr="00080443" w:rsidRDefault="00CB6614" w:rsidP="00CB6614">
                  <w:pPr>
                    <w:pStyle w:val="ListBullet"/>
                    <w:numPr>
                      <w:ilvl w:val="0"/>
                      <w:numId w:val="0"/>
                    </w:numPr>
                    <w:jc w:val="center"/>
                    <w:rPr>
                      <w:rFonts w:cs="Arial"/>
                      <w:b/>
                      <w:sz w:val="16"/>
                      <w:szCs w:val="16"/>
                    </w:rPr>
                  </w:pPr>
                  <w:r w:rsidRPr="00080443">
                    <w:rPr>
                      <w:rFonts w:cs="Arial"/>
                      <w:b/>
                      <w:sz w:val="16"/>
                      <w:szCs w:val="16"/>
                    </w:rPr>
                    <w:t>Eligibility points per lot</w:t>
                  </w:r>
                </w:p>
              </w:tc>
              <w:tc>
                <w:tcPr>
                  <w:tcW w:w="3542" w:type="pct"/>
                  <w:gridSpan w:val="9"/>
                  <w:shd w:val="clear" w:color="auto" w:fill="A6A6A6" w:themeFill="background1" w:themeFillShade="A6"/>
                </w:tcPr>
                <w:p w14:paraId="0DE743F2" w14:textId="77777777" w:rsidR="00CB6614" w:rsidRPr="00080443" w:rsidRDefault="00CB6614" w:rsidP="00CB6614">
                  <w:pPr>
                    <w:pStyle w:val="ListBullet"/>
                    <w:numPr>
                      <w:ilvl w:val="0"/>
                      <w:numId w:val="0"/>
                    </w:numPr>
                    <w:jc w:val="center"/>
                    <w:rPr>
                      <w:rFonts w:cs="Arial"/>
                      <w:b/>
                      <w:sz w:val="16"/>
                      <w:szCs w:val="16"/>
                    </w:rPr>
                  </w:pPr>
                  <w:r w:rsidRPr="00080443">
                    <w:rPr>
                      <w:rFonts w:cs="Arial"/>
                      <w:b/>
                      <w:sz w:val="16"/>
                      <w:szCs w:val="16"/>
                    </w:rPr>
                    <w:t>Round</w:t>
                  </w:r>
                </w:p>
              </w:tc>
            </w:tr>
            <w:tr w:rsidR="00CB6614" w:rsidRPr="00080443" w14:paraId="21681E6A" w14:textId="77777777" w:rsidTr="00CB6614">
              <w:tc>
                <w:tcPr>
                  <w:tcW w:w="718" w:type="pct"/>
                  <w:vMerge/>
                  <w:tcBorders>
                    <w:left w:val="nil"/>
                  </w:tcBorders>
                </w:tcPr>
                <w:p w14:paraId="6446C7C0" w14:textId="77777777" w:rsidR="00CB6614" w:rsidRPr="00080443" w:rsidRDefault="00CB6614" w:rsidP="00CB6614">
                  <w:pPr>
                    <w:rPr>
                      <w:rFonts w:cs="Arial"/>
                      <w:sz w:val="16"/>
                      <w:szCs w:val="16"/>
                    </w:rPr>
                  </w:pPr>
                </w:p>
              </w:tc>
              <w:tc>
                <w:tcPr>
                  <w:tcW w:w="739" w:type="pct"/>
                  <w:vMerge/>
                </w:tcPr>
                <w:p w14:paraId="0A69EEA4" w14:textId="77777777" w:rsidR="00CB6614" w:rsidRPr="00080443" w:rsidRDefault="00CB6614" w:rsidP="00CB6614">
                  <w:pPr>
                    <w:pStyle w:val="ListBullet"/>
                    <w:numPr>
                      <w:ilvl w:val="0"/>
                      <w:numId w:val="0"/>
                    </w:numPr>
                    <w:jc w:val="center"/>
                    <w:rPr>
                      <w:rFonts w:cs="Arial"/>
                      <w:b/>
                      <w:sz w:val="16"/>
                      <w:szCs w:val="16"/>
                    </w:rPr>
                  </w:pPr>
                </w:p>
              </w:tc>
              <w:tc>
                <w:tcPr>
                  <w:tcW w:w="394" w:type="pct"/>
                  <w:shd w:val="clear" w:color="auto" w:fill="D9D9D9" w:themeFill="background1" w:themeFillShade="D9"/>
                </w:tcPr>
                <w:p w14:paraId="1CF4AD8C" w14:textId="77777777" w:rsidR="00CB6614" w:rsidRPr="00080443" w:rsidRDefault="00CB6614" w:rsidP="00CB6614">
                  <w:pPr>
                    <w:pStyle w:val="ListBullet"/>
                    <w:numPr>
                      <w:ilvl w:val="0"/>
                      <w:numId w:val="0"/>
                    </w:numPr>
                    <w:jc w:val="center"/>
                    <w:rPr>
                      <w:rFonts w:cs="Arial"/>
                      <w:b/>
                      <w:sz w:val="16"/>
                      <w:szCs w:val="16"/>
                    </w:rPr>
                  </w:pPr>
                  <w:r w:rsidRPr="00080443">
                    <w:rPr>
                      <w:rFonts w:cs="Arial"/>
                      <w:b/>
                      <w:sz w:val="16"/>
                      <w:szCs w:val="16"/>
                    </w:rPr>
                    <w:t>R1 bid</w:t>
                  </w:r>
                </w:p>
              </w:tc>
              <w:tc>
                <w:tcPr>
                  <w:tcW w:w="394" w:type="pct"/>
                  <w:shd w:val="clear" w:color="auto" w:fill="D9D9D9" w:themeFill="background1" w:themeFillShade="D9"/>
                </w:tcPr>
                <w:p w14:paraId="71B28E87" w14:textId="77777777" w:rsidR="00CB6614" w:rsidRPr="00080443" w:rsidRDefault="00CB6614" w:rsidP="00CB6614">
                  <w:pPr>
                    <w:pStyle w:val="ListBullet"/>
                    <w:numPr>
                      <w:ilvl w:val="0"/>
                      <w:numId w:val="0"/>
                    </w:numPr>
                    <w:jc w:val="center"/>
                    <w:rPr>
                      <w:rFonts w:cs="Arial"/>
                      <w:b/>
                      <w:sz w:val="16"/>
                      <w:szCs w:val="16"/>
                    </w:rPr>
                  </w:pPr>
                  <w:r w:rsidRPr="00080443">
                    <w:rPr>
                      <w:rFonts w:cs="Arial"/>
                      <w:b/>
                      <w:sz w:val="16"/>
                      <w:szCs w:val="16"/>
                    </w:rPr>
                    <w:t>R1 pts</w:t>
                  </w:r>
                </w:p>
              </w:tc>
              <w:tc>
                <w:tcPr>
                  <w:tcW w:w="394" w:type="pct"/>
                  <w:shd w:val="clear" w:color="auto" w:fill="D9D9D9" w:themeFill="background1" w:themeFillShade="D9"/>
                </w:tcPr>
                <w:p w14:paraId="6A12B37F" w14:textId="77777777" w:rsidR="00CB6614" w:rsidRPr="00080443" w:rsidRDefault="00CB6614" w:rsidP="00CB6614">
                  <w:pPr>
                    <w:pStyle w:val="ListBullet"/>
                    <w:numPr>
                      <w:ilvl w:val="0"/>
                      <w:numId w:val="0"/>
                    </w:numPr>
                    <w:jc w:val="center"/>
                    <w:rPr>
                      <w:rFonts w:cs="Arial"/>
                      <w:b/>
                      <w:sz w:val="16"/>
                      <w:szCs w:val="16"/>
                    </w:rPr>
                  </w:pPr>
                  <w:r w:rsidRPr="00080443">
                    <w:rPr>
                      <w:rFonts w:cs="Arial"/>
                      <w:b/>
                      <w:sz w:val="16"/>
                      <w:szCs w:val="16"/>
                    </w:rPr>
                    <w:t>R2 bid</w:t>
                  </w:r>
                </w:p>
              </w:tc>
              <w:tc>
                <w:tcPr>
                  <w:tcW w:w="394" w:type="pct"/>
                  <w:shd w:val="clear" w:color="auto" w:fill="D9D9D9" w:themeFill="background1" w:themeFillShade="D9"/>
                </w:tcPr>
                <w:p w14:paraId="6A7D030C" w14:textId="77777777" w:rsidR="00CB6614" w:rsidRPr="00080443" w:rsidRDefault="00CB6614" w:rsidP="00CB6614">
                  <w:pPr>
                    <w:pStyle w:val="ListBullet"/>
                    <w:numPr>
                      <w:ilvl w:val="0"/>
                      <w:numId w:val="0"/>
                    </w:numPr>
                    <w:jc w:val="center"/>
                    <w:rPr>
                      <w:rFonts w:cs="Arial"/>
                      <w:b/>
                      <w:sz w:val="16"/>
                      <w:szCs w:val="16"/>
                    </w:rPr>
                  </w:pPr>
                  <w:r w:rsidRPr="00080443">
                    <w:rPr>
                      <w:rFonts w:cs="Arial"/>
                      <w:b/>
                      <w:sz w:val="16"/>
                      <w:szCs w:val="16"/>
                    </w:rPr>
                    <w:t>R2 pts</w:t>
                  </w:r>
                </w:p>
              </w:tc>
              <w:tc>
                <w:tcPr>
                  <w:tcW w:w="394" w:type="pct"/>
                  <w:shd w:val="clear" w:color="auto" w:fill="D9D9D9" w:themeFill="background1" w:themeFillShade="D9"/>
                </w:tcPr>
                <w:p w14:paraId="58EAE37C" w14:textId="77777777" w:rsidR="00CB6614" w:rsidRPr="00080443" w:rsidRDefault="00CB6614" w:rsidP="00CB6614">
                  <w:pPr>
                    <w:pStyle w:val="ListBullet"/>
                    <w:numPr>
                      <w:ilvl w:val="0"/>
                      <w:numId w:val="0"/>
                    </w:numPr>
                    <w:jc w:val="center"/>
                    <w:rPr>
                      <w:rFonts w:cs="Arial"/>
                      <w:b/>
                      <w:sz w:val="16"/>
                      <w:szCs w:val="16"/>
                    </w:rPr>
                  </w:pPr>
                  <w:r w:rsidRPr="00080443">
                    <w:rPr>
                      <w:rFonts w:cs="Arial"/>
                      <w:b/>
                      <w:sz w:val="16"/>
                      <w:szCs w:val="16"/>
                    </w:rPr>
                    <w:t>R3 bid</w:t>
                  </w:r>
                </w:p>
              </w:tc>
              <w:tc>
                <w:tcPr>
                  <w:tcW w:w="394" w:type="pct"/>
                  <w:shd w:val="clear" w:color="auto" w:fill="D9D9D9" w:themeFill="background1" w:themeFillShade="D9"/>
                </w:tcPr>
                <w:p w14:paraId="4625FD1D" w14:textId="77777777" w:rsidR="00CB6614" w:rsidRPr="00080443" w:rsidRDefault="00CB6614" w:rsidP="00CB6614">
                  <w:pPr>
                    <w:pStyle w:val="ListBullet"/>
                    <w:numPr>
                      <w:ilvl w:val="0"/>
                      <w:numId w:val="0"/>
                    </w:numPr>
                    <w:jc w:val="center"/>
                    <w:rPr>
                      <w:rFonts w:cs="Arial"/>
                      <w:b/>
                      <w:sz w:val="16"/>
                      <w:szCs w:val="16"/>
                    </w:rPr>
                  </w:pPr>
                  <w:r w:rsidRPr="00080443">
                    <w:rPr>
                      <w:rFonts w:cs="Arial"/>
                      <w:b/>
                      <w:sz w:val="16"/>
                      <w:szCs w:val="16"/>
                    </w:rPr>
                    <w:t>R3 pts</w:t>
                  </w:r>
                </w:p>
              </w:tc>
              <w:tc>
                <w:tcPr>
                  <w:tcW w:w="394" w:type="pct"/>
                  <w:shd w:val="clear" w:color="auto" w:fill="D9D9D9" w:themeFill="background1" w:themeFillShade="D9"/>
                </w:tcPr>
                <w:p w14:paraId="3A6C1F0C" w14:textId="77777777" w:rsidR="00CB6614" w:rsidRPr="00080443" w:rsidRDefault="00CB6614" w:rsidP="00CB6614">
                  <w:pPr>
                    <w:pStyle w:val="ListBullet"/>
                    <w:numPr>
                      <w:ilvl w:val="0"/>
                      <w:numId w:val="0"/>
                    </w:numPr>
                    <w:jc w:val="center"/>
                    <w:rPr>
                      <w:rFonts w:cs="Arial"/>
                      <w:b/>
                      <w:sz w:val="16"/>
                      <w:szCs w:val="16"/>
                    </w:rPr>
                  </w:pPr>
                  <w:r w:rsidRPr="00080443">
                    <w:rPr>
                      <w:rFonts w:cs="Arial"/>
                      <w:b/>
                      <w:sz w:val="16"/>
                      <w:szCs w:val="16"/>
                    </w:rPr>
                    <w:t>R4 bid</w:t>
                  </w:r>
                </w:p>
              </w:tc>
              <w:tc>
                <w:tcPr>
                  <w:tcW w:w="394" w:type="pct"/>
                  <w:shd w:val="clear" w:color="auto" w:fill="D9D9D9" w:themeFill="background1" w:themeFillShade="D9"/>
                </w:tcPr>
                <w:p w14:paraId="60EFDD35" w14:textId="77777777" w:rsidR="00CB6614" w:rsidRPr="00080443" w:rsidRDefault="00CB6614" w:rsidP="00CB6614">
                  <w:pPr>
                    <w:pStyle w:val="ListBullet"/>
                    <w:numPr>
                      <w:ilvl w:val="0"/>
                      <w:numId w:val="0"/>
                    </w:numPr>
                    <w:jc w:val="center"/>
                    <w:rPr>
                      <w:rFonts w:cs="Arial"/>
                      <w:b/>
                      <w:sz w:val="16"/>
                      <w:szCs w:val="16"/>
                    </w:rPr>
                  </w:pPr>
                  <w:r w:rsidRPr="00080443">
                    <w:rPr>
                      <w:rFonts w:cs="Arial"/>
                      <w:b/>
                      <w:sz w:val="16"/>
                      <w:szCs w:val="16"/>
                    </w:rPr>
                    <w:t>R4 pts</w:t>
                  </w:r>
                </w:p>
              </w:tc>
              <w:tc>
                <w:tcPr>
                  <w:tcW w:w="394" w:type="pct"/>
                  <w:shd w:val="clear" w:color="auto" w:fill="D9D9D9" w:themeFill="background1" w:themeFillShade="D9"/>
                </w:tcPr>
                <w:p w14:paraId="6D062FE4" w14:textId="77777777" w:rsidR="00CB6614" w:rsidRPr="00080443" w:rsidRDefault="00CB6614" w:rsidP="00CB6614">
                  <w:pPr>
                    <w:pStyle w:val="ListBullet"/>
                    <w:numPr>
                      <w:ilvl w:val="0"/>
                      <w:numId w:val="0"/>
                    </w:numPr>
                    <w:jc w:val="center"/>
                    <w:rPr>
                      <w:rFonts w:cs="Arial"/>
                      <w:b/>
                      <w:sz w:val="16"/>
                      <w:szCs w:val="16"/>
                    </w:rPr>
                  </w:pPr>
                  <w:r w:rsidRPr="00080443">
                    <w:rPr>
                      <w:rFonts w:cs="Arial"/>
                      <w:b/>
                      <w:sz w:val="16"/>
                      <w:szCs w:val="16"/>
                    </w:rPr>
                    <w:t>R5 pts</w:t>
                  </w:r>
                </w:p>
              </w:tc>
            </w:tr>
            <w:tr w:rsidR="00CB6614" w:rsidRPr="00080443" w14:paraId="055188FC" w14:textId="77777777" w:rsidTr="00CB6614">
              <w:tc>
                <w:tcPr>
                  <w:tcW w:w="718" w:type="pct"/>
                  <w:vAlign w:val="center"/>
                </w:tcPr>
                <w:p w14:paraId="3263813B" w14:textId="77777777" w:rsidR="00CB6614" w:rsidRPr="00080443" w:rsidRDefault="00CB6614" w:rsidP="00CD05C9">
                  <w:pPr>
                    <w:pStyle w:val="ListBullet"/>
                    <w:numPr>
                      <w:ilvl w:val="0"/>
                      <w:numId w:val="0"/>
                    </w:numPr>
                    <w:rPr>
                      <w:rFonts w:cs="Arial"/>
                      <w:b/>
                      <w:sz w:val="16"/>
                      <w:szCs w:val="16"/>
                    </w:rPr>
                  </w:pPr>
                  <w:r w:rsidRPr="00080443">
                    <w:rPr>
                      <w:rFonts w:cs="Arial"/>
                      <w:b/>
                      <w:sz w:val="16"/>
                      <w:szCs w:val="16"/>
                    </w:rPr>
                    <w:t xml:space="preserve">Product </w:t>
                  </w:r>
                  <w:r w:rsidR="00CD05C9" w:rsidRPr="00080443">
                    <w:rPr>
                      <w:rFonts w:cs="Arial"/>
                      <w:b/>
                      <w:sz w:val="16"/>
                      <w:szCs w:val="16"/>
                    </w:rPr>
                    <w:t>X</w:t>
                  </w:r>
                </w:p>
              </w:tc>
              <w:tc>
                <w:tcPr>
                  <w:tcW w:w="739" w:type="pct"/>
                  <w:vAlign w:val="center"/>
                </w:tcPr>
                <w:p w14:paraId="2E617B2B"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50</w:t>
                  </w:r>
                </w:p>
              </w:tc>
              <w:tc>
                <w:tcPr>
                  <w:tcW w:w="394" w:type="pct"/>
                  <w:vAlign w:val="center"/>
                </w:tcPr>
                <w:p w14:paraId="6CBEE614"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2</w:t>
                  </w:r>
                </w:p>
              </w:tc>
              <w:tc>
                <w:tcPr>
                  <w:tcW w:w="394" w:type="pct"/>
                  <w:vAlign w:val="center"/>
                </w:tcPr>
                <w:p w14:paraId="728D75B7"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100</w:t>
                  </w:r>
                </w:p>
              </w:tc>
              <w:tc>
                <w:tcPr>
                  <w:tcW w:w="394" w:type="pct"/>
                  <w:vAlign w:val="center"/>
                </w:tcPr>
                <w:p w14:paraId="37E9CF6A"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3</w:t>
                  </w:r>
                </w:p>
              </w:tc>
              <w:tc>
                <w:tcPr>
                  <w:tcW w:w="394" w:type="pct"/>
                  <w:vAlign w:val="center"/>
                </w:tcPr>
                <w:p w14:paraId="1FC6D892"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150</w:t>
                  </w:r>
                </w:p>
              </w:tc>
              <w:tc>
                <w:tcPr>
                  <w:tcW w:w="394" w:type="pct"/>
                  <w:vAlign w:val="center"/>
                </w:tcPr>
                <w:p w14:paraId="2A6F2252"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3</w:t>
                  </w:r>
                </w:p>
              </w:tc>
              <w:tc>
                <w:tcPr>
                  <w:tcW w:w="394" w:type="pct"/>
                  <w:vAlign w:val="center"/>
                </w:tcPr>
                <w:p w14:paraId="04846FFF"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150</w:t>
                  </w:r>
                </w:p>
              </w:tc>
              <w:tc>
                <w:tcPr>
                  <w:tcW w:w="394" w:type="pct"/>
                  <w:vAlign w:val="center"/>
                </w:tcPr>
                <w:p w14:paraId="67C932B2"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0</w:t>
                  </w:r>
                </w:p>
              </w:tc>
              <w:tc>
                <w:tcPr>
                  <w:tcW w:w="394" w:type="pct"/>
                  <w:vAlign w:val="center"/>
                </w:tcPr>
                <w:p w14:paraId="2CAAC52F"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0</w:t>
                  </w:r>
                </w:p>
              </w:tc>
              <w:tc>
                <w:tcPr>
                  <w:tcW w:w="394" w:type="pct"/>
                  <w:vAlign w:val="center"/>
                </w:tcPr>
                <w:p w14:paraId="2E5B72D8" w14:textId="77777777" w:rsidR="00CB6614" w:rsidRPr="00080443" w:rsidRDefault="00CB6614" w:rsidP="00CB6614">
                  <w:pPr>
                    <w:pStyle w:val="ListBullet"/>
                    <w:numPr>
                      <w:ilvl w:val="0"/>
                      <w:numId w:val="0"/>
                    </w:numPr>
                    <w:jc w:val="center"/>
                    <w:rPr>
                      <w:rFonts w:cs="Arial"/>
                      <w:color w:val="000000" w:themeColor="text1"/>
                      <w:sz w:val="16"/>
                      <w:szCs w:val="16"/>
                    </w:rPr>
                  </w:pPr>
                </w:p>
              </w:tc>
            </w:tr>
            <w:tr w:rsidR="00CB6614" w:rsidRPr="00080443" w14:paraId="165B39FE" w14:textId="77777777" w:rsidTr="00CB6614">
              <w:tc>
                <w:tcPr>
                  <w:tcW w:w="718" w:type="pct"/>
                  <w:vAlign w:val="center"/>
                </w:tcPr>
                <w:p w14:paraId="2400EE16" w14:textId="77777777" w:rsidR="00CB6614" w:rsidRPr="00080443" w:rsidRDefault="00CB6614" w:rsidP="00CD05C9">
                  <w:pPr>
                    <w:pStyle w:val="ListBullet"/>
                    <w:numPr>
                      <w:ilvl w:val="0"/>
                      <w:numId w:val="0"/>
                    </w:numPr>
                    <w:rPr>
                      <w:rFonts w:cs="Arial"/>
                      <w:b/>
                      <w:sz w:val="16"/>
                      <w:szCs w:val="16"/>
                    </w:rPr>
                  </w:pPr>
                  <w:r w:rsidRPr="00080443">
                    <w:rPr>
                      <w:rFonts w:cs="Arial"/>
                      <w:b/>
                      <w:sz w:val="16"/>
                      <w:szCs w:val="16"/>
                    </w:rPr>
                    <w:t xml:space="preserve">Product </w:t>
                  </w:r>
                  <w:r w:rsidR="00CD05C9" w:rsidRPr="00080443">
                    <w:rPr>
                      <w:rFonts w:cs="Arial"/>
                      <w:b/>
                      <w:sz w:val="16"/>
                      <w:szCs w:val="16"/>
                    </w:rPr>
                    <w:t>Y</w:t>
                  </w:r>
                </w:p>
              </w:tc>
              <w:tc>
                <w:tcPr>
                  <w:tcW w:w="739" w:type="pct"/>
                  <w:vAlign w:val="center"/>
                </w:tcPr>
                <w:p w14:paraId="52BA80DB"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20</w:t>
                  </w:r>
                </w:p>
              </w:tc>
              <w:tc>
                <w:tcPr>
                  <w:tcW w:w="394" w:type="pct"/>
                  <w:vAlign w:val="center"/>
                </w:tcPr>
                <w:p w14:paraId="57EE3A9B"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1</w:t>
                  </w:r>
                </w:p>
              </w:tc>
              <w:tc>
                <w:tcPr>
                  <w:tcW w:w="394" w:type="pct"/>
                  <w:vAlign w:val="center"/>
                </w:tcPr>
                <w:p w14:paraId="694B3F79"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20</w:t>
                  </w:r>
                </w:p>
              </w:tc>
              <w:tc>
                <w:tcPr>
                  <w:tcW w:w="394" w:type="pct"/>
                  <w:vAlign w:val="center"/>
                </w:tcPr>
                <w:p w14:paraId="06CEE5C5"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2</w:t>
                  </w:r>
                </w:p>
              </w:tc>
              <w:tc>
                <w:tcPr>
                  <w:tcW w:w="394" w:type="pct"/>
                  <w:vAlign w:val="center"/>
                </w:tcPr>
                <w:p w14:paraId="4A515DC1"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40</w:t>
                  </w:r>
                </w:p>
              </w:tc>
              <w:tc>
                <w:tcPr>
                  <w:tcW w:w="394" w:type="pct"/>
                  <w:vAlign w:val="center"/>
                </w:tcPr>
                <w:p w14:paraId="2E868EE1"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1</w:t>
                  </w:r>
                </w:p>
              </w:tc>
              <w:tc>
                <w:tcPr>
                  <w:tcW w:w="394" w:type="pct"/>
                  <w:vAlign w:val="center"/>
                </w:tcPr>
                <w:p w14:paraId="7B241870"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20</w:t>
                  </w:r>
                </w:p>
              </w:tc>
              <w:tc>
                <w:tcPr>
                  <w:tcW w:w="394" w:type="pct"/>
                  <w:vAlign w:val="center"/>
                </w:tcPr>
                <w:p w14:paraId="32CA8490"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0</w:t>
                  </w:r>
                </w:p>
              </w:tc>
              <w:tc>
                <w:tcPr>
                  <w:tcW w:w="394" w:type="pct"/>
                  <w:vAlign w:val="center"/>
                </w:tcPr>
                <w:p w14:paraId="1E4C562A"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0</w:t>
                  </w:r>
                </w:p>
              </w:tc>
              <w:tc>
                <w:tcPr>
                  <w:tcW w:w="394" w:type="pct"/>
                  <w:vAlign w:val="center"/>
                </w:tcPr>
                <w:p w14:paraId="71925887" w14:textId="77777777" w:rsidR="00CB6614" w:rsidRPr="00080443" w:rsidRDefault="00CB6614" w:rsidP="00CB6614">
                  <w:pPr>
                    <w:pStyle w:val="ListBullet"/>
                    <w:numPr>
                      <w:ilvl w:val="0"/>
                      <w:numId w:val="0"/>
                    </w:numPr>
                    <w:jc w:val="center"/>
                    <w:rPr>
                      <w:rFonts w:cs="Arial"/>
                      <w:color w:val="000000" w:themeColor="text1"/>
                      <w:sz w:val="16"/>
                      <w:szCs w:val="16"/>
                    </w:rPr>
                  </w:pPr>
                </w:p>
              </w:tc>
            </w:tr>
            <w:tr w:rsidR="00CB6614" w:rsidRPr="00080443" w14:paraId="4C317962" w14:textId="77777777" w:rsidTr="00CB6614">
              <w:tc>
                <w:tcPr>
                  <w:tcW w:w="718" w:type="pct"/>
                  <w:vAlign w:val="center"/>
                </w:tcPr>
                <w:p w14:paraId="44CC7DFF" w14:textId="77777777" w:rsidR="00CB6614" w:rsidRPr="00080443" w:rsidRDefault="00CB6614" w:rsidP="00CD05C9">
                  <w:pPr>
                    <w:pStyle w:val="ListBullet"/>
                    <w:numPr>
                      <w:ilvl w:val="0"/>
                      <w:numId w:val="0"/>
                    </w:numPr>
                    <w:rPr>
                      <w:rFonts w:cs="Arial"/>
                      <w:b/>
                      <w:sz w:val="16"/>
                      <w:szCs w:val="16"/>
                    </w:rPr>
                  </w:pPr>
                  <w:r w:rsidRPr="00080443">
                    <w:rPr>
                      <w:rFonts w:cs="Arial"/>
                      <w:b/>
                      <w:sz w:val="16"/>
                      <w:szCs w:val="16"/>
                    </w:rPr>
                    <w:t xml:space="preserve">Product </w:t>
                  </w:r>
                  <w:r w:rsidR="00CD05C9" w:rsidRPr="00080443">
                    <w:rPr>
                      <w:rFonts w:cs="Arial"/>
                      <w:b/>
                      <w:sz w:val="16"/>
                      <w:szCs w:val="16"/>
                    </w:rPr>
                    <w:t>Z</w:t>
                  </w:r>
                </w:p>
              </w:tc>
              <w:tc>
                <w:tcPr>
                  <w:tcW w:w="739" w:type="pct"/>
                  <w:vAlign w:val="center"/>
                </w:tcPr>
                <w:p w14:paraId="740A665E"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40</w:t>
                  </w:r>
                </w:p>
              </w:tc>
              <w:tc>
                <w:tcPr>
                  <w:tcW w:w="394" w:type="pct"/>
                  <w:vAlign w:val="center"/>
                </w:tcPr>
                <w:p w14:paraId="4E060FF8"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3</w:t>
                  </w:r>
                </w:p>
              </w:tc>
              <w:tc>
                <w:tcPr>
                  <w:tcW w:w="394" w:type="pct"/>
                  <w:vAlign w:val="center"/>
                </w:tcPr>
                <w:p w14:paraId="599F859E"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120</w:t>
                  </w:r>
                </w:p>
              </w:tc>
              <w:tc>
                <w:tcPr>
                  <w:tcW w:w="394" w:type="pct"/>
                  <w:vAlign w:val="center"/>
                </w:tcPr>
                <w:p w14:paraId="57D5E726"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1</w:t>
                  </w:r>
                </w:p>
              </w:tc>
              <w:tc>
                <w:tcPr>
                  <w:tcW w:w="394" w:type="pct"/>
                  <w:vAlign w:val="center"/>
                </w:tcPr>
                <w:p w14:paraId="44117419"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40</w:t>
                  </w:r>
                </w:p>
              </w:tc>
              <w:tc>
                <w:tcPr>
                  <w:tcW w:w="394" w:type="pct"/>
                  <w:vAlign w:val="center"/>
                </w:tcPr>
                <w:p w14:paraId="6C9FAE02"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0</w:t>
                  </w:r>
                </w:p>
              </w:tc>
              <w:tc>
                <w:tcPr>
                  <w:tcW w:w="394" w:type="pct"/>
                  <w:vAlign w:val="center"/>
                </w:tcPr>
                <w:p w14:paraId="44E37524"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0</w:t>
                  </w:r>
                </w:p>
              </w:tc>
              <w:tc>
                <w:tcPr>
                  <w:tcW w:w="394" w:type="pct"/>
                  <w:vAlign w:val="center"/>
                </w:tcPr>
                <w:p w14:paraId="6511CE00"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0</w:t>
                  </w:r>
                </w:p>
              </w:tc>
              <w:tc>
                <w:tcPr>
                  <w:tcW w:w="394" w:type="pct"/>
                  <w:vAlign w:val="center"/>
                </w:tcPr>
                <w:p w14:paraId="7718D3BA"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0</w:t>
                  </w:r>
                </w:p>
              </w:tc>
              <w:tc>
                <w:tcPr>
                  <w:tcW w:w="394" w:type="pct"/>
                  <w:vAlign w:val="center"/>
                </w:tcPr>
                <w:p w14:paraId="0E7F7ED5" w14:textId="77777777" w:rsidR="00CB6614" w:rsidRPr="00080443" w:rsidRDefault="00CB6614" w:rsidP="00CB6614">
                  <w:pPr>
                    <w:pStyle w:val="ListBullet"/>
                    <w:numPr>
                      <w:ilvl w:val="0"/>
                      <w:numId w:val="0"/>
                    </w:numPr>
                    <w:jc w:val="center"/>
                    <w:rPr>
                      <w:rFonts w:cs="Arial"/>
                      <w:color w:val="000000" w:themeColor="text1"/>
                      <w:sz w:val="16"/>
                      <w:szCs w:val="16"/>
                    </w:rPr>
                  </w:pPr>
                </w:p>
              </w:tc>
            </w:tr>
            <w:tr w:rsidR="00CB6614" w:rsidRPr="00080443" w14:paraId="38B7341B" w14:textId="77777777" w:rsidTr="00CB6614">
              <w:tc>
                <w:tcPr>
                  <w:tcW w:w="718" w:type="pct"/>
                  <w:vAlign w:val="center"/>
                </w:tcPr>
                <w:p w14:paraId="210A93CC" w14:textId="77777777" w:rsidR="00CB6614" w:rsidRPr="00080443" w:rsidRDefault="00CB6614" w:rsidP="00CB6614">
                  <w:pPr>
                    <w:pStyle w:val="ListBullet"/>
                    <w:numPr>
                      <w:ilvl w:val="0"/>
                      <w:numId w:val="0"/>
                    </w:numPr>
                    <w:jc w:val="right"/>
                    <w:rPr>
                      <w:rFonts w:cs="Arial"/>
                      <w:b/>
                      <w:i/>
                      <w:sz w:val="16"/>
                      <w:szCs w:val="16"/>
                    </w:rPr>
                  </w:pPr>
                  <w:r w:rsidRPr="00080443">
                    <w:rPr>
                      <w:rFonts w:cs="Arial"/>
                      <w:b/>
                      <w:i/>
                      <w:sz w:val="16"/>
                      <w:szCs w:val="16"/>
                    </w:rPr>
                    <w:t>Total</w:t>
                  </w:r>
                </w:p>
              </w:tc>
              <w:tc>
                <w:tcPr>
                  <w:tcW w:w="739" w:type="pct"/>
                  <w:vAlign w:val="center"/>
                </w:tcPr>
                <w:p w14:paraId="2DD4C1DE" w14:textId="77777777" w:rsidR="00CB6614" w:rsidRPr="00080443" w:rsidRDefault="00CB6614" w:rsidP="00CB6614">
                  <w:pPr>
                    <w:pStyle w:val="ListBullet"/>
                    <w:numPr>
                      <w:ilvl w:val="0"/>
                      <w:numId w:val="0"/>
                    </w:numPr>
                    <w:jc w:val="center"/>
                    <w:rPr>
                      <w:rFonts w:cs="Arial"/>
                      <w:color w:val="000000" w:themeColor="text1"/>
                      <w:sz w:val="16"/>
                      <w:szCs w:val="16"/>
                    </w:rPr>
                  </w:pPr>
                </w:p>
              </w:tc>
              <w:tc>
                <w:tcPr>
                  <w:tcW w:w="394" w:type="pct"/>
                  <w:vAlign w:val="center"/>
                </w:tcPr>
                <w:p w14:paraId="561E236F" w14:textId="77777777" w:rsidR="00CB6614" w:rsidRPr="00080443" w:rsidRDefault="00CB6614" w:rsidP="00CB6614">
                  <w:pPr>
                    <w:pStyle w:val="ListBullet"/>
                    <w:numPr>
                      <w:ilvl w:val="0"/>
                      <w:numId w:val="0"/>
                    </w:numPr>
                    <w:jc w:val="center"/>
                    <w:rPr>
                      <w:rFonts w:cs="Arial"/>
                      <w:color w:val="000000" w:themeColor="text1"/>
                      <w:sz w:val="16"/>
                      <w:szCs w:val="16"/>
                    </w:rPr>
                  </w:pPr>
                </w:p>
              </w:tc>
              <w:tc>
                <w:tcPr>
                  <w:tcW w:w="394" w:type="pct"/>
                  <w:vAlign w:val="center"/>
                </w:tcPr>
                <w:p w14:paraId="5D424598"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240</w:t>
                  </w:r>
                </w:p>
              </w:tc>
              <w:tc>
                <w:tcPr>
                  <w:tcW w:w="394" w:type="pct"/>
                  <w:vAlign w:val="center"/>
                </w:tcPr>
                <w:p w14:paraId="5274C41D" w14:textId="77777777" w:rsidR="00CB6614" w:rsidRPr="00080443" w:rsidRDefault="00CB6614" w:rsidP="00CB6614">
                  <w:pPr>
                    <w:pStyle w:val="ListBullet"/>
                    <w:numPr>
                      <w:ilvl w:val="0"/>
                      <w:numId w:val="0"/>
                    </w:numPr>
                    <w:jc w:val="center"/>
                    <w:rPr>
                      <w:rFonts w:cs="Arial"/>
                      <w:color w:val="000000" w:themeColor="text1"/>
                      <w:sz w:val="16"/>
                      <w:szCs w:val="16"/>
                    </w:rPr>
                  </w:pPr>
                </w:p>
              </w:tc>
              <w:tc>
                <w:tcPr>
                  <w:tcW w:w="394" w:type="pct"/>
                  <w:vAlign w:val="center"/>
                </w:tcPr>
                <w:p w14:paraId="64947BF4"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230</w:t>
                  </w:r>
                </w:p>
              </w:tc>
              <w:tc>
                <w:tcPr>
                  <w:tcW w:w="394" w:type="pct"/>
                  <w:vAlign w:val="center"/>
                </w:tcPr>
                <w:p w14:paraId="2F641D4D" w14:textId="77777777" w:rsidR="00CB6614" w:rsidRPr="00080443" w:rsidRDefault="00CB6614" w:rsidP="00CB6614">
                  <w:pPr>
                    <w:pStyle w:val="ListBullet"/>
                    <w:numPr>
                      <w:ilvl w:val="0"/>
                      <w:numId w:val="0"/>
                    </w:numPr>
                    <w:jc w:val="center"/>
                    <w:rPr>
                      <w:rFonts w:cs="Arial"/>
                      <w:color w:val="000000" w:themeColor="text1"/>
                      <w:sz w:val="16"/>
                      <w:szCs w:val="16"/>
                    </w:rPr>
                  </w:pPr>
                </w:p>
              </w:tc>
              <w:tc>
                <w:tcPr>
                  <w:tcW w:w="394" w:type="pct"/>
                  <w:vAlign w:val="center"/>
                </w:tcPr>
                <w:p w14:paraId="2EC4EEC3"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170</w:t>
                  </w:r>
                </w:p>
              </w:tc>
              <w:tc>
                <w:tcPr>
                  <w:tcW w:w="394" w:type="pct"/>
                  <w:vAlign w:val="center"/>
                </w:tcPr>
                <w:p w14:paraId="540875DF" w14:textId="77777777" w:rsidR="00CB6614" w:rsidRPr="00080443" w:rsidRDefault="00CB6614" w:rsidP="00CB6614">
                  <w:pPr>
                    <w:pStyle w:val="ListBullet"/>
                    <w:numPr>
                      <w:ilvl w:val="0"/>
                      <w:numId w:val="0"/>
                    </w:numPr>
                    <w:jc w:val="center"/>
                    <w:rPr>
                      <w:rFonts w:cs="Arial"/>
                      <w:color w:val="000000" w:themeColor="text1"/>
                      <w:sz w:val="16"/>
                      <w:szCs w:val="16"/>
                    </w:rPr>
                  </w:pPr>
                </w:p>
              </w:tc>
              <w:tc>
                <w:tcPr>
                  <w:tcW w:w="394" w:type="pct"/>
                  <w:vAlign w:val="center"/>
                </w:tcPr>
                <w:p w14:paraId="639ECD57"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0</w:t>
                  </w:r>
                </w:p>
              </w:tc>
              <w:tc>
                <w:tcPr>
                  <w:tcW w:w="394" w:type="pct"/>
                  <w:vAlign w:val="center"/>
                </w:tcPr>
                <w:p w14:paraId="5E3880EF" w14:textId="77777777" w:rsidR="00CB6614" w:rsidRPr="00080443" w:rsidRDefault="00CB6614" w:rsidP="00CB6614">
                  <w:pPr>
                    <w:pStyle w:val="ListBullet"/>
                    <w:numPr>
                      <w:ilvl w:val="0"/>
                      <w:numId w:val="0"/>
                    </w:numPr>
                    <w:jc w:val="center"/>
                    <w:rPr>
                      <w:rFonts w:cs="Arial"/>
                      <w:color w:val="000000" w:themeColor="text1"/>
                      <w:sz w:val="16"/>
                      <w:szCs w:val="16"/>
                    </w:rPr>
                  </w:pPr>
                </w:p>
              </w:tc>
            </w:tr>
            <w:tr w:rsidR="00CB6614" w:rsidRPr="00080443" w14:paraId="3847FE3B" w14:textId="77777777" w:rsidTr="00CB6614">
              <w:tc>
                <w:tcPr>
                  <w:tcW w:w="718" w:type="pct"/>
                  <w:vAlign w:val="center"/>
                </w:tcPr>
                <w:p w14:paraId="6756BD22" w14:textId="77777777" w:rsidR="00CB6614" w:rsidRPr="00080443" w:rsidRDefault="00CB6614" w:rsidP="00CB6614">
                  <w:pPr>
                    <w:pStyle w:val="ListBullet"/>
                    <w:numPr>
                      <w:ilvl w:val="0"/>
                      <w:numId w:val="0"/>
                    </w:numPr>
                    <w:jc w:val="right"/>
                    <w:rPr>
                      <w:rFonts w:cs="Arial"/>
                      <w:b/>
                      <w:i/>
                      <w:sz w:val="16"/>
                      <w:szCs w:val="16"/>
                    </w:rPr>
                  </w:pPr>
                  <w:r w:rsidRPr="00080443">
                    <w:rPr>
                      <w:rFonts w:cs="Arial"/>
                      <w:b/>
                      <w:i/>
                      <w:sz w:val="16"/>
                      <w:szCs w:val="16"/>
                    </w:rPr>
                    <w:t>Max</w:t>
                  </w:r>
                  <w:r w:rsidR="00AF2CEF" w:rsidRPr="00080443">
                    <w:rPr>
                      <w:rFonts w:cs="Arial"/>
                      <w:b/>
                      <w:i/>
                      <w:sz w:val="16"/>
                      <w:szCs w:val="16"/>
                    </w:rPr>
                    <w:t>.</w:t>
                  </w:r>
                  <w:r w:rsidRPr="00080443">
                    <w:rPr>
                      <w:rFonts w:cs="Arial"/>
                      <w:b/>
                      <w:i/>
                      <w:sz w:val="16"/>
                      <w:szCs w:val="16"/>
                    </w:rPr>
                    <w:t xml:space="preserve"> permitted</w:t>
                  </w:r>
                </w:p>
              </w:tc>
              <w:tc>
                <w:tcPr>
                  <w:tcW w:w="739" w:type="pct"/>
                </w:tcPr>
                <w:p w14:paraId="05A2AC94" w14:textId="77777777" w:rsidR="00CB6614" w:rsidRPr="00080443" w:rsidRDefault="00CB6614" w:rsidP="00CB6614">
                  <w:pPr>
                    <w:pStyle w:val="ListBullet"/>
                    <w:numPr>
                      <w:ilvl w:val="0"/>
                      <w:numId w:val="0"/>
                    </w:numPr>
                    <w:jc w:val="center"/>
                    <w:rPr>
                      <w:rFonts w:cs="Arial"/>
                      <w:color w:val="000000" w:themeColor="text1"/>
                      <w:sz w:val="16"/>
                      <w:szCs w:val="16"/>
                    </w:rPr>
                  </w:pPr>
                </w:p>
              </w:tc>
              <w:tc>
                <w:tcPr>
                  <w:tcW w:w="394" w:type="pct"/>
                </w:tcPr>
                <w:p w14:paraId="4CC35A78" w14:textId="77777777" w:rsidR="00CB6614" w:rsidRPr="00080443" w:rsidRDefault="00CB6614" w:rsidP="00CB6614">
                  <w:pPr>
                    <w:pStyle w:val="ListBullet"/>
                    <w:numPr>
                      <w:ilvl w:val="0"/>
                      <w:numId w:val="0"/>
                    </w:numPr>
                    <w:jc w:val="center"/>
                    <w:rPr>
                      <w:rFonts w:cs="Arial"/>
                      <w:color w:val="000000" w:themeColor="text1"/>
                      <w:sz w:val="16"/>
                      <w:szCs w:val="16"/>
                    </w:rPr>
                  </w:pPr>
                </w:p>
              </w:tc>
              <w:tc>
                <w:tcPr>
                  <w:tcW w:w="394" w:type="pct"/>
                </w:tcPr>
                <w:p w14:paraId="7D7289FA"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250</w:t>
                  </w:r>
                </w:p>
              </w:tc>
              <w:tc>
                <w:tcPr>
                  <w:tcW w:w="394" w:type="pct"/>
                </w:tcPr>
                <w:p w14:paraId="2E243A9A" w14:textId="77777777" w:rsidR="00CB6614" w:rsidRPr="00080443" w:rsidRDefault="00CB6614" w:rsidP="00CB6614">
                  <w:pPr>
                    <w:pStyle w:val="ListBullet"/>
                    <w:numPr>
                      <w:ilvl w:val="0"/>
                      <w:numId w:val="0"/>
                    </w:numPr>
                    <w:jc w:val="center"/>
                    <w:rPr>
                      <w:rFonts w:cs="Arial"/>
                      <w:color w:val="000000" w:themeColor="text1"/>
                      <w:sz w:val="16"/>
                      <w:szCs w:val="16"/>
                    </w:rPr>
                  </w:pPr>
                </w:p>
              </w:tc>
              <w:tc>
                <w:tcPr>
                  <w:tcW w:w="394" w:type="pct"/>
                </w:tcPr>
                <w:p w14:paraId="3EE8E64F"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240*</w:t>
                  </w:r>
                </w:p>
              </w:tc>
              <w:tc>
                <w:tcPr>
                  <w:tcW w:w="394" w:type="pct"/>
                </w:tcPr>
                <w:p w14:paraId="07D83FAA" w14:textId="77777777" w:rsidR="00CB6614" w:rsidRPr="00080443" w:rsidRDefault="00CB6614" w:rsidP="00CB6614">
                  <w:pPr>
                    <w:pStyle w:val="ListBullet"/>
                    <w:numPr>
                      <w:ilvl w:val="0"/>
                      <w:numId w:val="0"/>
                    </w:numPr>
                    <w:jc w:val="center"/>
                    <w:rPr>
                      <w:rFonts w:cs="Arial"/>
                      <w:color w:val="000000" w:themeColor="text1"/>
                      <w:sz w:val="16"/>
                      <w:szCs w:val="16"/>
                    </w:rPr>
                  </w:pPr>
                </w:p>
              </w:tc>
              <w:tc>
                <w:tcPr>
                  <w:tcW w:w="394" w:type="pct"/>
                </w:tcPr>
                <w:p w14:paraId="0E0F23DE"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230*</w:t>
                  </w:r>
                </w:p>
              </w:tc>
              <w:tc>
                <w:tcPr>
                  <w:tcW w:w="394" w:type="pct"/>
                </w:tcPr>
                <w:p w14:paraId="75DFBD95" w14:textId="77777777" w:rsidR="00CB6614" w:rsidRPr="00080443" w:rsidRDefault="00CB6614" w:rsidP="00CB6614">
                  <w:pPr>
                    <w:pStyle w:val="ListBullet"/>
                    <w:numPr>
                      <w:ilvl w:val="0"/>
                      <w:numId w:val="0"/>
                    </w:numPr>
                    <w:jc w:val="center"/>
                    <w:rPr>
                      <w:rFonts w:cs="Arial"/>
                      <w:color w:val="000000" w:themeColor="text1"/>
                      <w:sz w:val="16"/>
                      <w:szCs w:val="16"/>
                    </w:rPr>
                  </w:pPr>
                </w:p>
              </w:tc>
              <w:tc>
                <w:tcPr>
                  <w:tcW w:w="394" w:type="pct"/>
                </w:tcPr>
                <w:p w14:paraId="2378F757"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170*</w:t>
                  </w:r>
                </w:p>
              </w:tc>
              <w:tc>
                <w:tcPr>
                  <w:tcW w:w="394" w:type="pct"/>
                </w:tcPr>
                <w:p w14:paraId="72B581F8" w14:textId="77777777" w:rsidR="00CB6614" w:rsidRPr="00080443" w:rsidRDefault="00CB6614" w:rsidP="00CB6614">
                  <w:pPr>
                    <w:pStyle w:val="ListBullet"/>
                    <w:numPr>
                      <w:ilvl w:val="0"/>
                      <w:numId w:val="0"/>
                    </w:numPr>
                    <w:jc w:val="center"/>
                    <w:rPr>
                      <w:rFonts w:cs="Arial"/>
                      <w:color w:val="000000" w:themeColor="text1"/>
                      <w:sz w:val="16"/>
                      <w:szCs w:val="16"/>
                    </w:rPr>
                  </w:pPr>
                  <w:r w:rsidRPr="00080443">
                    <w:rPr>
                      <w:rFonts w:cs="Arial"/>
                      <w:color w:val="000000" w:themeColor="text1"/>
                      <w:sz w:val="16"/>
                      <w:szCs w:val="16"/>
                    </w:rPr>
                    <w:t>0</w:t>
                  </w:r>
                </w:p>
              </w:tc>
            </w:tr>
          </w:tbl>
          <w:p w14:paraId="3CF0F014" w14:textId="77777777" w:rsidR="00CB6614" w:rsidRPr="00080443" w:rsidRDefault="00CB6614" w:rsidP="00CB6614">
            <w:pPr>
              <w:rPr>
                <w:rFonts w:cs="Arial"/>
              </w:rPr>
            </w:pPr>
          </w:p>
        </w:tc>
      </w:tr>
      <w:tr w:rsidR="00CB6614" w:rsidRPr="00080443" w14:paraId="2224AC82" w14:textId="77777777" w:rsidTr="00CB6614">
        <w:trPr>
          <w:trHeight w:val="291"/>
        </w:trPr>
        <w:tc>
          <w:tcPr>
            <w:tcW w:w="9645" w:type="dxa"/>
            <w:tcBorders>
              <w:bottom w:val="single" w:sz="2" w:space="0" w:color="505050"/>
            </w:tcBorders>
            <w:shd w:val="clear" w:color="auto" w:fill="auto"/>
          </w:tcPr>
          <w:p w14:paraId="1667AB55" w14:textId="77777777" w:rsidR="00CB6614" w:rsidRPr="00080443" w:rsidRDefault="00D039D7" w:rsidP="00CB6614">
            <w:pPr>
              <w:rPr>
                <w:rFonts w:cs="Arial"/>
              </w:rPr>
            </w:pPr>
            <w:r w:rsidRPr="00080443">
              <w:rPr>
                <w:rFonts w:cs="Arial"/>
                <w:i/>
                <w:sz w:val="16"/>
                <w:szCs w:val="16"/>
              </w:rPr>
              <w:t>*Except where the package bid has not become relatively more expensive than the package bid for in a previous clock round</w:t>
            </w:r>
            <w:r w:rsidR="00E83F4C" w:rsidRPr="00080443">
              <w:rPr>
                <w:rFonts w:cs="Arial"/>
                <w:i/>
                <w:sz w:val="16"/>
                <w:szCs w:val="16"/>
              </w:rPr>
              <w:t xml:space="preserve"> or clause 17(d)(iii) is satisfied</w:t>
            </w:r>
            <w:r w:rsidRPr="00080443">
              <w:rPr>
                <w:rFonts w:cs="Arial"/>
                <w:i/>
                <w:sz w:val="16"/>
                <w:szCs w:val="16"/>
              </w:rPr>
              <w:t>.</w:t>
            </w:r>
          </w:p>
        </w:tc>
      </w:tr>
    </w:tbl>
    <w:p w14:paraId="73FAAC6C" w14:textId="77777777" w:rsidR="00CB6614" w:rsidRPr="00080443" w:rsidRDefault="00CB6614" w:rsidP="008128F7">
      <w:pPr>
        <w:rPr>
          <w:rFonts w:cs="Arial"/>
        </w:rPr>
      </w:pPr>
    </w:p>
    <w:p w14:paraId="72B5AA16" w14:textId="77777777" w:rsidR="005F793C" w:rsidRPr="00080443" w:rsidRDefault="005F793C" w:rsidP="00CD05C9">
      <w:pPr>
        <w:rPr>
          <w:rFonts w:cs="Arial"/>
        </w:rPr>
      </w:pPr>
      <w:r w:rsidRPr="00080443">
        <w:rPr>
          <w:rFonts w:cs="Arial"/>
        </w:rPr>
        <w:t>If a bidder places no valid bid in a clock round, the bidder is considered to have placed a bid for zero lots in all products. The bidder’s eligibility points will drop to zero and they will be unable to bid in any further clock rounds.</w:t>
      </w:r>
    </w:p>
    <w:p w14:paraId="3E4AFBC3" w14:textId="77777777" w:rsidR="00E83F4C" w:rsidRPr="00080443" w:rsidRDefault="00E83F4C" w:rsidP="00CD05C9">
      <w:pPr>
        <w:rPr>
          <w:rFonts w:cs="Arial"/>
        </w:rPr>
      </w:pPr>
    </w:p>
    <w:p w14:paraId="5DA945B9" w14:textId="77777777" w:rsidR="00E83F4C" w:rsidRPr="00080443" w:rsidRDefault="00E83F4C" w:rsidP="00CD05C9">
      <w:pPr>
        <w:rPr>
          <w:rFonts w:cs="Arial"/>
        </w:rPr>
      </w:pPr>
      <w:r w:rsidRPr="00080443">
        <w:rPr>
          <w:rFonts w:cs="Arial"/>
        </w:rPr>
        <w:t xml:space="preserve">The effect of clause 17(d)(iii) is that, despite having a greater value in eligibility points than the bidder’s current eligibility and not satisfying the revealed preference constraint, a bid may still be valid if the bid in the previous clock round included at least one lot of the 700 MHz product, and the current bid </w:t>
      </w:r>
      <w:r w:rsidR="002A6919" w:rsidRPr="00080443">
        <w:rPr>
          <w:rFonts w:cs="Arial"/>
        </w:rPr>
        <w:t>is a subset of the bid in the previous clock round (or the same as the previous bid).</w:t>
      </w:r>
      <w:r w:rsidRPr="00080443">
        <w:rPr>
          <w:rFonts w:cs="Arial"/>
        </w:rPr>
        <w:t xml:space="preserve"> </w:t>
      </w:r>
    </w:p>
    <w:p w14:paraId="41E4BAE6" w14:textId="77777777" w:rsidR="005F793C" w:rsidRPr="00080443" w:rsidRDefault="005F793C" w:rsidP="00CD05C9">
      <w:pPr>
        <w:rPr>
          <w:rFonts w:cs="Arial"/>
        </w:rPr>
      </w:pPr>
    </w:p>
    <w:p w14:paraId="7EE2EA95" w14:textId="77777777" w:rsidR="00CD05C9" w:rsidRPr="00080443" w:rsidRDefault="00CD05C9" w:rsidP="00B56906">
      <w:pPr>
        <w:spacing w:after="80"/>
        <w:rPr>
          <w:rFonts w:cs="Arial"/>
        </w:rPr>
      </w:pPr>
      <w:r w:rsidRPr="00080443">
        <w:rPr>
          <w:rFonts w:cs="Arial"/>
        </w:rPr>
        <w:t xml:space="preserve">In addition, the ‘bid </w:t>
      </w:r>
      <w:r w:rsidR="009F770A" w:rsidRPr="00080443">
        <w:rPr>
          <w:rFonts w:cs="Arial"/>
        </w:rPr>
        <w:t xml:space="preserve">reduction </w:t>
      </w:r>
      <w:r w:rsidRPr="00080443">
        <w:rPr>
          <w:rFonts w:cs="Arial"/>
        </w:rPr>
        <w:t>restriction rule’ set out in clauses 1</w:t>
      </w:r>
      <w:r w:rsidR="000E4372" w:rsidRPr="00080443">
        <w:rPr>
          <w:rFonts w:cs="Arial"/>
        </w:rPr>
        <w:t>9</w:t>
      </w:r>
      <w:r w:rsidRPr="00080443">
        <w:rPr>
          <w:rFonts w:cs="Arial"/>
        </w:rPr>
        <w:t xml:space="preserve"> and </w:t>
      </w:r>
      <w:r w:rsidR="000E4372" w:rsidRPr="00080443">
        <w:rPr>
          <w:rFonts w:cs="Arial"/>
        </w:rPr>
        <w:t>20</w:t>
      </w:r>
      <w:r w:rsidRPr="00080443">
        <w:rPr>
          <w:rFonts w:cs="Arial"/>
        </w:rPr>
        <w:t xml:space="preserve"> of Schedule 1 of the allocation determination operates to prevent a bidder from significantly reducing their demand for lots of the 700 MHz band product during the clock rounds. Under this rule: </w:t>
      </w:r>
    </w:p>
    <w:p w14:paraId="624E5EF2" w14:textId="77777777" w:rsidR="00CD05C9" w:rsidRPr="00080443" w:rsidRDefault="00CD05C9" w:rsidP="00CD05C9">
      <w:pPr>
        <w:pStyle w:val="ListBullet"/>
        <w:rPr>
          <w:rFonts w:cs="Arial"/>
        </w:rPr>
      </w:pPr>
      <w:r w:rsidRPr="00080443">
        <w:rPr>
          <w:rFonts w:cs="Arial"/>
        </w:rPr>
        <w:t>a bidder who bid</w:t>
      </w:r>
      <w:r w:rsidR="000E4372" w:rsidRPr="00080443">
        <w:rPr>
          <w:rFonts w:cs="Arial"/>
        </w:rPr>
        <w:t xml:space="preserve"> for </w:t>
      </w:r>
      <w:r w:rsidRPr="00080443">
        <w:rPr>
          <w:rFonts w:cs="Arial"/>
        </w:rPr>
        <w:t xml:space="preserve">three or </w:t>
      </w:r>
      <w:r w:rsidR="000E4372" w:rsidRPr="00080443">
        <w:rPr>
          <w:rFonts w:cs="Arial"/>
        </w:rPr>
        <w:t xml:space="preserve">more </w:t>
      </w:r>
      <w:r w:rsidRPr="00080443">
        <w:rPr>
          <w:rFonts w:cs="Arial"/>
        </w:rPr>
        <w:t xml:space="preserve">lots of the 700 MHz product in the previous clock round </w:t>
      </w:r>
      <w:r w:rsidR="000E4372" w:rsidRPr="00080443">
        <w:rPr>
          <w:rFonts w:cs="Arial"/>
        </w:rPr>
        <w:t xml:space="preserve">must bid for at least </w:t>
      </w:r>
      <w:r w:rsidRPr="00080443">
        <w:rPr>
          <w:rFonts w:cs="Arial"/>
        </w:rPr>
        <w:t xml:space="preserve">two lots </w:t>
      </w:r>
      <w:r w:rsidR="000E4372" w:rsidRPr="00080443">
        <w:rPr>
          <w:rFonts w:cs="Arial"/>
        </w:rPr>
        <w:t xml:space="preserve">of the 700 MHz product </w:t>
      </w:r>
      <w:r w:rsidRPr="00080443">
        <w:rPr>
          <w:rFonts w:cs="Arial"/>
        </w:rPr>
        <w:t>in the current clock round</w:t>
      </w:r>
    </w:p>
    <w:p w14:paraId="739D5DD3" w14:textId="77777777" w:rsidR="00CD05C9" w:rsidRPr="00080443" w:rsidRDefault="00CD05C9" w:rsidP="00B56906">
      <w:pPr>
        <w:pStyle w:val="ListBullet"/>
        <w:spacing w:after="240"/>
        <w:rPr>
          <w:rFonts w:cs="Arial"/>
        </w:rPr>
      </w:pPr>
      <w:r w:rsidRPr="00080443">
        <w:rPr>
          <w:rFonts w:cs="Arial"/>
        </w:rPr>
        <w:t>if the supply of lots of the 700 MHz band product was equal to or greater than demand in the previous clock round (</w:t>
      </w:r>
      <w:r w:rsidR="009F770A" w:rsidRPr="00080443">
        <w:rPr>
          <w:rFonts w:cs="Arial"/>
        </w:rPr>
        <w:t xml:space="preserve">implying </w:t>
      </w:r>
      <w:r w:rsidRPr="00080443">
        <w:rPr>
          <w:rFonts w:cs="Arial"/>
        </w:rPr>
        <w:t xml:space="preserve">that the auction manager did not increase the price for the lots after the round), a bidder cannot reduce </w:t>
      </w:r>
      <w:r w:rsidR="00AB68F9" w:rsidRPr="00080443">
        <w:rPr>
          <w:rFonts w:cs="Arial"/>
        </w:rPr>
        <w:t xml:space="preserve">their </w:t>
      </w:r>
      <w:r w:rsidRPr="00080443">
        <w:rPr>
          <w:rFonts w:cs="Arial"/>
        </w:rPr>
        <w:t>demand for lots of the 700 MHz product in the current round.</w:t>
      </w:r>
    </w:p>
    <w:p w14:paraId="772567C7" w14:textId="77777777" w:rsidR="00734668" w:rsidRPr="00080443" w:rsidRDefault="008A60B8" w:rsidP="00734668">
      <w:pPr>
        <w:rPr>
          <w:rFonts w:cs="Arial"/>
        </w:rPr>
      </w:pPr>
      <w:r w:rsidRPr="00080443">
        <w:rPr>
          <w:rFonts w:cs="Arial"/>
        </w:rPr>
        <w:t xml:space="preserve">In the supplementary round, the activity rule ensures that </w:t>
      </w:r>
      <w:r w:rsidR="00CD05C9" w:rsidRPr="00080443">
        <w:rPr>
          <w:rFonts w:cs="Arial"/>
        </w:rPr>
        <w:t xml:space="preserve">a </w:t>
      </w:r>
      <w:r w:rsidRPr="00080443">
        <w:rPr>
          <w:rFonts w:cs="Arial"/>
        </w:rPr>
        <w:t>bidder</w:t>
      </w:r>
      <w:r w:rsidR="00CD05C9" w:rsidRPr="00080443">
        <w:rPr>
          <w:rFonts w:cs="Arial"/>
        </w:rPr>
        <w:t>’</w:t>
      </w:r>
      <w:r w:rsidRPr="00080443">
        <w:rPr>
          <w:rFonts w:cs="Arial"/>
        </w:rPr>
        <w:t>s supplementary bids are consistent with the</w:t>
      </w:r>
      <w:r w:rsidR="00CD05C9" w:rsidRPr="00080443">
        <w:rPr>
          <w:rFonts w:cs="Arial"/>
        </w:rPr>
        <w:t xml:space="preserve"> preferences revealed by their clock round bids and other supplementary round bids. </w:t>
      </w:r>
      <w:r w:rsidR="004E52B9" w:rsidRPr="00080443">
        <w:rPr>
          <w:rFonts w:cs="Arial"/>
        </w:rPr>
        <w:t xml:space="preserve">This is achieved </w:t>
      </w:r>
      <w:r w:rsidR="00734668" w:rsidRPr="00080443">
        <w:rPr>
          <w:rFonts w:cs="Arial"/>
        </w:rPr>
        <w:t xml:space="preserve">through the </w:t>
      </w:r>
      <w:r w:rsidR="004E52B9" w:rsidRPr="00080443">
        <w:rPr>
          <w:rFonts w:cs="Arial"/>
        </w:rPr>
        <w:t xml:space="preserve">‘revealed preference </w:t>
      </w:r>
      <w:r w:rsidR="00E31B0F" w:rsidRPr="00080443">
        <w:rPr>
          <w:rFonts w:cs="Arial"/>
        </w:rPr>
        <w:t>cap</w:t>
      </w:r>
      <w:r w:rsidR="004E52B9" w:rsidRPr="00080443">
        <w:rPr>
          <w:rFonts w:cs="Arial"/>
        </w:rPr>
        <w:t>’</w:t>
      </w:r>
      <w:r w:rsidR="00DD162F" w:rsidRPr="00080443">
        <w:rPr>
          <w:rFonts w:cs="Arial"/>
        </w:rPr>
        <w:t>.</w:t>
      </w:r>
      <w:r w:rsidR="00734668" w:rsidRPr="00080443">
        <w:rPr>
          <w:rFonts w:cs="Arial"/>
        </w:rPr>
        <w:t xml:space="preserve"> </w:t>
      </w:r>
      <w:r w:rsidR="00CD05C9" w:rsidRPr="00080443">
        <w:rPr>
          <w:rFonts w:cs="Arial"/>
        </w:rPr>
        <w:t xml:space="preserve">Under the revealed preference cap, a bidder can bid any amount they wish for the package on which they bid in the final clock round. However, for other packages, their bid must not be relatively more expensive than the package they bid for in the last clock round in which they were eligible to bid for the desired package. </w:t>
      </w:r>
      <w:r w:rsidR="00EF2561" w:rsidRPr="00080443">
        <w:rPr>
          <w:rFonts w:cs="Arial"/>
        </w:rPr>
        <w:t xml:space="preserve"> </w:t>
      </w:r>
    </w:p>
    <w:p w14:paraId="710B2E82" w14:textId="77777777" w:rsidR="008128F7" w:rsidRPr="00080443" w:rsidRDefault="008128F7" w:rsidP="008128F7">
      <w:pPr>
        <w:rPr>
          <w:rFonts w:cs="Arial"/>
        </w:rPr>
      </w:pPr>
    </w:p>
    <w:p w14:paraId="55041CBF" w14:textId="77777777" w:rsidR="008128F7" w:rsidRPr="00080443" w:rsidRDefault="008A60B8" w:rsidP="008128F7">
      <w:pPr>
        <w:pStyle w:val="Bodysubheader"/>
        <w:rPr>
          <w:rFonts w:cs="Arial"/>
          <w:b w:val="0"/>
        </w:rPr>
      </w:pPr>
      <w:r w:rsidRPr="00080443">
        <w:rPr>
          <w:rFonts w:cs="Arial"/>
          <w:b w:val="0"/>
        </w:rPr>
        <w:t>Determining winning allocation stage bids and prices</w:t>
      </w:r>
    </w:p>
    <w:p w14:paraId="19CFBE68" w14:textId="77777777" w:rsidR="008A60B8" w:rsidRPr="00080443" w:rsidRDefault="008A60B8" w:rsidP="008128F7">
      <w:pPr>
        <w:rPr>
          <w:rFonts w:cs="Arial"/>
        </w:rPr>
      </w:pPr>
      <w:r w:rsidRPr="00080443">
        <w:rPr>
          <w:rFonts w:cs="Arial"/>
        </w:rPr>
        <w:t xml:space="preserve">The winning allocation stage bids and prices will be calculated </w:t>
      </w:r>
      <w:r w:rsidR="00C36732" w:rsidRPr="00080443">
        <w:rPr>
          <w:rFonts w:cs="Arial"/>
        </w:rPr>
        <w:t xml:space="preserve">using </w:t>
      </w:r>
      <w:r w:rsidRPr="00080443">
        <w:rPr>
          <w:rFonts w:cs="Arial"/>
        </w:rPr>
        <w:t xml:space="preserve">the auction system in accordance with the </w:t>
      </w:r>
      <w:r w:rsidR="00DE4C5F" w:rsidRPr="00080443">
        <w:rPr>
          <w:rFonts w:cs="Arial"/>
        </w:rPr>
        <w:t>procedures</w:t>
      </w:r>
      <w:r w:rsidR="001E0E09" w:rsidRPr="00080443">
        <w:rPr>
          <w:rFonts w:cs="Arial"/>
        </w:rPr>
        <w:t xml:space="preserve"> </w:t>
      </w:r>
      <w:r w:rsidRPr="00080443">
        <w:rPr>
          <w:rFonts w:cs="Arial"/>
        </w:rPr>
        <w:t xml:space="preserve">set out in the allocation determination. </w:t>
      </w:r>
    </w:p>
    <w:p w14:paraId="51C8484A" w14:textId="77777777" w:rsidR="008128F7" w:rsidRPr="00080443" w:rsidRDefault="008128F7" w:rsidP="008128F7">
      <w:pPr>
        <w:rPr>
          <w:rFonts w:cs="Arial"/>
        </w:rPr>
      </w:pPr>
    </w:p>
    <w:p w14:paraId="0B8A14AE" w14:textId="77777777" w:rsidR="00BB6A0A" w:rsidRPr="00080443" w:rsidRDefault="008A60B8" w:rsidP="008128F7">
      <w:pPr>
        <w:spacing w:after="80"/>
        <w:rPr>
          <w:rFonts w:cs="Arial"/>
        </w:rPr>
      </w:pPr>
      <w:r w:rsidRPr="00080443">
        <w:rPr>
          <w:rFonts w:cs="Arial"/>
        </w:rPr>
        <w:t>The winning allocation stage bids will be the combination of clock and supplementary round bids that maximises the sum of the bid prices</w:t>
      </w:r>
      <w:r w:rsidR="00566B36" w:rsidRPr="00080443">
        <w:rPr>
          <w:rFonts w:cs="Arial"/>
        </w:rPr>
        <w:t>—</w:t>
      </w:r>
      <w:r w:rsidRPr="00080443">
        <w:rPr>
          <w:rFonts w:cs="Arial"/>
        </w:rPr>
        <w:t xml:space="preserve">subject to the available supply of lots, and no more than one allocation stage bid being accepted from each bidder. </w:t>
      </w:r>
      <w:r w:rsidR="00E45961" w:rsidRPr="00080443">
        <w:rPr>
          <w:rFonts w:cs="Arial"/>
        </w:rPr>
        <w:lastRenderedPageBreak/>
        <w:t xml:space="preserve">Following the example in Figure 9, </w:t>
      </w:r>
      <w:r w:rsidR="007C255B" w:rsidRPr="00080443">
        <w:rPr>
          <w:rFonts w:cs="Arial"/>
        </w:rPr>
        <w:t>assume there are two products being offered (</w:t>
      </w:r>
      <w:r w:rsidR="00CD6081" w:rsidRPr="00080443">
        <w:rPr>
          <w:rFonts w:cs="Arial"/>
        </w:rPr>
        <w:t>X and Y</w:t>
      </w:r>
      <w:r w:rsidR="007C255B" w:rsidRPr="00080443">
        <w:rPr>
          <w:rFonts w:cs="Arial"/>
        </w:rPr>
        <w:t>), three bidders (b1, b2 and b3) and</w:t>
      </w:r>
      <w:r w:rsidR="001932D5" w:rsidRPr="00080443">
        <w:rPr>
          <w:rFonts w:cs="Arial"/>
        </w:rPr>
        <w:t xml:space="preserve"> that</w:t>
      </w:r>
      <w:r w:rsidR="007C255B" w:rsidRPr="00080443">
        <w:rPr>
          <w:rFonts w:cs="Arial"/>
        </w:rPr>
        <w:t>:</w:t>
      </w:r>
    </w:p>
    <w:p w14:paraId="4B4809DD" w14:textId="77777777" w:rsidR="00BB6A0A" w:rsidRPr="00080443" w:rsidRDefault="00BB6A0A" w:rsidP="00BB6A0A">
      <w:pPr>
        <w:pStyle w:val="ListBullet"/>
        <w:rPr>
          <w:rFonts w:cs="Arial"/>
        </w:rPr>
      </w:pPr>
      <w:r w:rsidRPr="00080443">
        <w:rPr>
          <w:rFonts w:cs="Arial"/>
        </w:rPr>
        <w:t xml:space="preserve">b1 only wants </w:t>
      </w:r>
      <w:r w:rsidR="001932D5" w:rsidRPr="00080443">
        <w:rPr>
          <w:rFonts w:cs="Arial"/>
        </w:rPr>
        <w:t xml:space="preserve">Product </w:t>
      </w:r>
      <w:r w:rsidR="00CD6081" w:rsidRPr="00080443">
        <w:rPr>
          <w:rFonts w:cs="Arial"/>
        </w:rPr>
        <w:t>X</w:t>
      </w:r>
      <w:r w:rsidRPr="00080443">
        <w:rPr>
          <w:rFonts w:cs="Arial"/>
        </w:rPr>
        <w:t xml:space="preserve"> and is willing to pay $28 for it</w:t>
      </w:r>
    </w:p>
    <w:p w14:paraId="25AF3509" w14:textId="77777777" w:rsidR="00BB6A0A" w:rsidRPr="00080443" w:rsidRDefault="00BB6A0A" w:rsidP="00BB6A0A">
      <w:pPr>
        <w:pStyle w:val="ListBullet"/>
        <w:rPr>
          <w:rFonts w:cs="Arial"/>
        </w:rPr>
      </w:pPr>
      <w:r w:rsidRPr="00080443">
        <w:rPr>
          <w:rFonts w:cs="Arial"/>
        </w:rPr>
        <w:t xml:space="preserve">b2 only wants </w:t>
      </w:r>
      <w:r w:rsidR="001932D5" w:rsidRPr="00080443">
        <w:rPr>
          <w:rFonts w:cs="Arial"/>
        </w:rPr>
        <w:t xml:space="preserve">Product </w:t>
      </w:r>
      <w:r w:rsidR="00CD6081" w:rsidRPr="00080443">
        <w:rPr>
          <w:rFonts w:cs="Arial"/>
        </w:rPr>
        <w:t>Y</w:t>
      </w:r>
      <w:r w:rsidRPr="00080443">
        <w:rPr>
          <w:rFonts w:cs="Arial"/>
        </w:rPr>
        <w:t xml:space="preserve"> and is willing to pay $20 for it</w:t>
      </w:r>
    </w:p>
    <w:p w14:paraId="4D925443" w14:textId="77777777" w:rsidR="00BB6A0A" w:rsidRPr="00080443" w:rsidRDefault="00BB6A0A" w:rsidP="00BB6A0A">
      <w:pPr>
        <w:pStyle w:val="ListBullet"/>
        <w:rPr>
          <w:rFonts w:cs="Arial"/>
        </w:rPr>
      </w:pPr>
      <w:r w:rsidRPr="00080443">
        <w:rPr>
          <w:rFonts w:cs="Arial"/>
        </w:rPr>
        <w:t xml:space="preserve">b3 wants both </w:t>
      </w:r>
      <w:r w:rsidR="00890986" w:rsidRPr="00080443">
        <w:rPr>
          <w:rFonts w:cs="Arial"/>
        </w:rPr>
        <w:t>p</w:t>
      </w:r>
      <w:r w:rsidR="001932D5" w:rsidRPr="00080443">
        <w:rPr>
          <w:rFonts w:cs="Arial"/>
        </w:rPr>
        <w:t xml:space="preserve">roducts </w:t>
      </w:r>
      <w:r w:rsidR="00CD6081" w:rsidRPr="00080443">
        <w:rPr>
          <w:rFonts w:cs="Arial"/>
        </w:rPr>
        <w:t>X</w:t>
      </w:r>
      <w:r w:rsidRPr="00080443">
        <w:rPr>
          <w:rFonts w:cs="Arial"/>
        </w:rPr>
        <w:t xml:space="preserve"> </w:t>
      </w:r>
      <w:r w:rsidRPr="00080443">
        <w:rPr>
          <w:rFonts w:cs="Arial"/>
          <w:i/>
        </w:rPr>
        <w:t>and</w:t>
      </w:r>
      <w:r w:rsidRPr="00080443">
        <w:rPr>
          <w:rFonts w:cs="Arial"/>
        </w:rPr>
        <w:t xml:space="preserve"> </w:t>
      </w:r>
      <w:r w:rsidR="00CD6081" w:rsidRPr="00080443">
        <w:rPr>
          <w:rFonts w:cs="Arial"/>
        </w:rPr>
        <w:t>Y</w:t>
      </w:r>
      <w:r w:rsidRPr="00080443">
        <w:rPr>
          <w:rFonts w:cs="Arial"/>
        </w:rPr>
        <w:t>, so places a package bid for both at $3</w:t>
      </w:r>
      <w:r w:rsidR="00CA523C" w:rsidRPr="00080443">
        <w:rPr>
          <w:rFonts w:cs="Arial"/>
        </w:rPr>
        <w:t>0</w:t>
      </w:r>
      <w:r w:rsidRPr="00080443">
        <w:rPr>
          <w:rFonts w:cs="Arial"/>
        </w:rPr>
        <w:t>.</w:t>
      </w:r>
    </w:p>
    <w:p w14:paraId="01B77ED0" w14:textId="77777777" w:rsidR="00BB6A0A" w:rsidRPr="00080443" w:rsidRDefault="00BB6A0A" w:rsidP="00561CE8">
      <w:pPr>
        <w:rPr>
          <w:rFonts w:cs="Arial"/>
        </w:rPr>
      </w:pPr>
    </w:p>
    <w:tbl>
      <w:tblPr>
        <w:tblW w:w="9645" w:type="dxa"/>
        <w:tblLayout w:type="fixed"/>
        <w:tblCellMar>
          <w:left w:w="0" w:type="dxa"/>
          <w:right w:w="0" w:type="dxa"/>
        </w:tblCellMar>
        <w:tblLook w:val="01E0" w:firstRow="1" w:lastRow="1" w:firstColumn="1" w:lastColumn="1" w:noHBand="0" w:noVBand="0"/>
      </w:tblPr>
      <w:tblGrid>
        <w:gridCol w:w="9645"/>
      </w:tblGrid>
      <w:tr w:rsidR="00DD162F" w:rsidRPr="00080443" w14:paraId="4E2239F9" w14:textId="77777777" w:rsidTr="00DD162F">
        <w:trPr>
          <w:trHeight w:val="570"/>
        </w:trPr>
        <w:tc>
          <w:tcPr>
            <w:tcW w:w="9645" w:type="dxa"/>
            <w:tcBorders>
              <w:top w:val="single" w:sz="2" w:space="0" w:color="505050"/>
            </w:tcBorders>
            <w:shd w:val="clear" w:color="auto" w:fill="auto"/>
            <w:vAlign w:val="center"/>
          </w:tcPr>
          <w:p w14:paraId="77889753" w14:textId="77777777" w:rsidR="00DD162F" w:rsidRPr="00080443" w:rsidRDefault="00DD162F" w:rsidP="00DD162F">
            <w:pPr>
              <w:pStyle w:val="Caption"/>
              <w:rPr>
                <w:rFonts w:cs="Arial"/>
              </w:rPr>
            </w:pPr>
            <w:r w:rsidRPr="00080443">
              <w:rPr>
                <w:rFonts w:cs="Arial"/>
              </w:rPr>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9</w:t>
            </w:r>
            <w:r w:rsidR="00724CDB" w:rsidRPr="00080443">
              <w:rPr>
                <w:rFonts w:cs="Arial"/>
              </w:rPr>
              <w:fldChar w:fldCharType="end"/>
            </w:r>
            <w:r w:rsidRPr="00080443">
              <w:rPr>
                <w:rFonts w:cs="Arial"/>
              </w:rPr>
              <w:t xml:space="preserve"> Example allocation stage bidding scenario</w:t>
            </w:r>
          </w:p>
        </w:tc>
      </w:tr>
      <w:tr w:rsidR="00DD162F" w:rsidRPr="00080443" w14:paraId="3A0AD032" w14:textId="77777777" w:rsidTr="000B1302">
        <w:trPr>
          <w:trHeight w:val="880"/>
        </w:trPr>
        <w:tc>
          <w:tcPr>
            <w:tcW w:w="9645" w:type="dxa"/>
            <w:shd w:val="clear" w:color="auto" w:fill="auto"/>
            <w:tcMar>
              <w:left w:w="28" w:type="dxa"/>
            </w:tcMar>
          </w:tcPr>
          <w:tbl>
            <w:tblPr>
              <w:tblStyle w:val="TableGrid"/>
              <w:tblW w:w="0" w:type="auto"/>
              <w:tblLayout w:type="fixed"/>
              <w:tblLook w:val="04A0" w:firstRow="1" w:lastRow="0" w:firstColumn="1" w:lastColumn="0" w:noHBand="0" w:noVBand="1"/>
            </w:tblPr>
            <w:tblGrid>
              <w:gridCol w:w="1971"/>
              <w:gridCol w:w="1972"/>
              <w:gridCol w:w="1972"/>
              <w:gridCol w:w="1972"/>
            </w:tblGrid>
            <w:tr w:rsidR="00DD162F" w:rsidRPr="00080443" w14:paraId="0B82303E" w14:textId="77777777" w:rsidTr="000B1302">
              <w:tc>
                <w:tcPr>
                  <w:tcW w:w="1971" w:type="dxa"/>
                  <w:tcBorders>
                    <w:top w:val="nil"/>
                    <w:left w:val="nil"/>
                  </w:tcBorders>
                </w:tcPr>
                <w:p w14:paraId="1216E8BD" w14:textId="77777777" w:rsidR="00DD162F" w:rsidRPr="00080443" w:rsidRDefault="00DD162F" w:rsidP="00DD162F">
                  <w:pPr>
                    <w:pStyle w:val="ListBullet"/>
                    <w:numPr>
                      <w:ilvl w:val="0"/>
                      <w:numId w:val="0"/>
                    </w:numPr>
                    <w:rPr>
                      <w:rFonts w:cs="Arial"/>
                      <w:sz w:val="18"/>
                      <w:szCs w:val="18"/>
                    </w:rPr>
                  </w:pPr>
                </w:p>
              </w:tc>
              <w:tc>
                <w:tcPr>
                  <w:tcW w:w="1972" w:type="dxa"/>
                  <w:shd w:val="clear" w:color="auto" w:fill="A6A6A6" w:themeFill="background1" w:themeFillShade="A6"/>
                </w:tcPr>
                <w:p w14:paraId="13EB67FD" w14:textId="77777777" w:rsidR="00DD162F" w:rsidRPr="00080443" w:rsidRDefault="00DD162F" w:rsidP="00DD162F">
                  <w:pPr>
                    <w:pStyle w:val="ListBullet"/>
                    <w:numPr>
                      <w:ilvl w:val="0"/>
                      <w:numId w:val="0"/>
                    </w:numPr>
                    <w:jc w:val="center"/>
                    <w:rPr>
                      <w:rFonts w:cs="Arial"/>
                      <w:b/>
                      <w:sz w:val="18"/>
                      <w:szCs w:val="18"/>
                    </w:rPr>
                  </w:pPr>
                  <w:r w:rsidRPr="00080443">
                    <w:rPr>
                      <w:rFonts w:cs="Arial"/>
                      <w:b/>
                      <w:sz w:val="18"/>
                      <w:szCs w:val="18"/>
                    </w:rPr>
                    <w:t>b1</w:t>
                  </w:r>
                </w:p>
              </w:tc>
              <w:tc>
                <w:tcPr>
                  <w:tcW w:w="1972" w:type="dxa"/>
                  <w:shd w:val="clear" w:color="auto" w:fill="A6A6A6" w:themeFill="background1" w:themeFillShade="A6"/>
                </w:tcPr>
                <w:p w14:paraId="490119C5" w14:textId="77777777" w:rsidR="00DD162F" w:rsidRPr="00080443" w:rsidRDefault="00DD162F" w:rsidP="00DD162F">
                  <w:pPr>
                    <w:pStyle w:val="ListBullet"/>
                    <w:numPr>
                      <w:ilvl w:val="0"/>
                      <w:numId w:val="0"/>
                    </w:numPr>
                    <w:jc w:val="center"/>
                    <w:rPr>
                      <w:rFonts w:cs="Arial"/>
                      <w:b/>
                      <w:sz w:val="18"/>
                      <w:szCs w:val="18"/>
                    </w:rPr>
                  </w:pPr>
                  <w:r w:rsidRPr="00080443">
                    <w:rPr>
                      <w:rFonts w:cs="Arial"/>
                      <w:b/>
                      <w:sz w:val="18"/>
                      <w:szCs w:val="18"/>
                    </w:rPr>
                    <w:t>b2</w:t>
                  </w:r>
                </w:p>
              </w:tc>
              <w:tc>
                <w:tcPr>
                  <w:tcW w:w="1972" w:type="dxa"/>
                  <w:shd w:val="clear" w:color="auto" w:fill="A6A6A6" w:themeFill="background1" w:themeFillShade="A6"/>
                </w:tcPr>
                <w:p w14:paraId="4A4671A2" w14:textId="77777777" w:rsidR="00DD162F" w:rsidRPr="00080443" w:rsidRDefault="00DD162F" w:rsidP="00DD162F">
                  <w:pPr>
                    <w:pStyle w:val="ListBullet"/>
                    <w:numPr>
                      <w:ilvl w:val="0"/>
                      <w:numId w:val="0"/>
                    </w:numPr>
                    <w:jc w:val="center"/>
                    <w:rPr>
                      <w:rFonts w:cs="Arial"/>
                      <w:b/>
                      <w:sz w:val="18"/>
                      <w:szCs w:val="18"/>
                    </w:rPr>
                  </w:pPr>
                  <w:r w:rsidRPr="00080443">
                    <w:rPr>
                      <w:rFonts w:cs="Arial"/>
                      <w:b/>
                      <w:sz w:val="18"/>
                      <w:szCs w:val="18"/>
                    </w:rPr>
                    <w:t>b3</w:t>
                  </w:r>
                </w:p>
              </w:tc>
            </w:tr>
            <w:tr w:rsidR="00DD162F" w:rsidRPr="00080443" w14:paraId="3B5120B0" w14:textId="77777777" w:rsidTr="00DD162F">
              <w:tc>
                <w:tcPr>
                  <w:tcW w:w="1971" w:type="dxa"/>
                </w:tcPr>
                <w:p w14:paraId="1C816C94" w14:textId="77777777" w:rsidR="00DD162F" w:rsidRPr="00080443" w:rsidRDefault="00DD162F" w:rsidP="00CD6081">
                  <w:pPr>
                    <w:pStyle w:val="ListBullet"/>
                    <w:numPr>
                      <w:ilvl w:val="0"/>
                      <w:numId w:val="0"/>
                    </w:numPr>
                    <w:rPr>
                      <w:rFonts w:cs="Arial"/>
                      <w:b/>
                      <w:sz w:val="18"/>
                      <w:szCs w:val="18"/>
                    </w:rPr>
                  </w:pPr>
                  <w:r w:rsidRPr="00080443">
                    <w:rPr>
                      <w:rFonts w:cs="Arial"/>
                      <w:b/>
                      <w:sz w:val="18"/>
                      <w:szCs w:val="18"/>
                    </w:rPr>
                    <w:t xml:space="preserve">Product </w:t>
                  </w:r>
                  <w:r w:rsidR="00CD6081" w:rsidRPr="00080443">
                    <w:rPr>
                      <w:rFonts w:cs="Arial"/>
                      <w:b/>
                      <w:sz w:val="18"/>
                      <w:szCs w:val="18"/>
                    </w:rPr>
                    <w:t>X</w:t>
                  </w:r>
                </w:p>
              </w:tc>
              <w:tc>
                <w:tcPr>
                  <w:tcW w:w="1972" w:type="dxa"/>
                </w:tcPr>
                <w:p w14:paraId="2C2F2A21" w14:textId="77777777" w:rsidR="00DD162F" w:rsidRPr="00080443" w:rsidRDefault="00DD162F" w:rsidP="00DD162F">
                  <w:pPr>
                    <w:pStyle w:val="ListBullet"/>
                    <w:numPr>
                      <w:ilvl w:val="0"/>
                      <w:numId w:val="0"/>
                    </w:numPr>
                    <w:jc w:val="center"/>
                    <w:rPr>
                      <w:rFonts w:cs="Arial"/>
                      <w:sz w:val="18"/>
                      <w:szCs w:val="18"/>
                    </w:rPr>
                  </w:pPr>
                  <w:r w:rsidRPr="00080443">
                    <w:rPr>
                      <w:rFonts w:cs="Arial"/>
                      <w:sz w:val="18"/>
                      <w:szCs w:val="18"/>
                    </w:rPr>
                    <w:t>$28</w:t>
                  </w:r>
                </w:p>
              </w:tc>
              <w:tc>
                <w:tcPr>
                  <w:tcW w:w="1972" w:type="dxa"/>
                </w:tcPr>
                <w:p w14:paraId="28700EF4" w14:textId="77777777" w:rsidR="00DD162F" w:rsidRPr="00080443" w:rsidRDefault="00DD162F" w:rsidP="00DD162F">
                  <w:pPr>
                    <w:pStyle w:val="ListBullet"/>
                    <w:numPr>
                      <w:ilvl w:val="0"/>
                      <w:numId w:val="0"/>
                    </w:numPr>
                    <w:jc w:val="center"/>
                    <w:rPr>
                      <w:rFonts w:cs="Arial"/>
                      <w:sz w:val="18"/>
                      <w:szCs w:val="18"/>
                    </w:rPr>
                  </w:pPr>
                </w:p>
              </w:tc>
              <w:tc>
                <w:tcPr>
                  <w:tcW w:w="1972" w:type="dxa"/>
                  <w:vMerge w:val="restart"/>
                  <w:vAlign w:val="center"/>
                </w:tcPr>
                <w:p w14:paraId="6DFA6DBF" w14:textId="77777777" w:rsidR="00DD162F" w:rsidRPr="00080443" w:rsidRDefault="00DD162F" w:rsidP="00CA523C">
                  <w:pPr>
                    <w:pStyle w:val="ListBullet"/>
                    <w:numPr>
                      <w:ilvl w:val="0"/>
                      <w:numId w:val="0"/>
                    </w:numPr>
                    <w:jc w:val="center"/>
                    <w:rPr>
                      <w:rFonts w:cs="Arial"/>
                      <w:sz w:val="18"/>
                      <w:szCs w:val="18"/>
                    </w:rPr>
                  </w:pPr>
                  <w:r w:rsidRPr="00080443">
                    <w:rPr>
                      <w:rFonts w:cs="Arial"/>
                      <w:sz w:val="18"/>
                      <w:szCs w:val="18"/>
                    </w:rPr>
                    <w:t>$3</w:t>
                  </w:r>
                  <w:r w:rsidR="00CA523C" w:rsidRPr="00080443">
                    <w:rPr>
                      <w:rFonts w:cs="Arial"/>
                      <w:sz w:val="18"/>
                      <w:szCs w:val="18"/>
                    </w:rPr>
                    <w:t>0</w:t>
                  </w:r>
                </w:p>
              </w:tc>
            </w:tr>
            <w:tr w:rsidR="00DD162F" w:rsidRPr="00080443" w14:paraId="0350DDA6" w14:textId="77777777" w:rsidTr="00DD162F">
              <w:tc>
                <w:tcPr>
                  <w:tcW w:w="1971" w:type="dxa"/>
                </w:tcPr>
                <w:p w14:paraId="325FD3C9" w14:textId="77777777" w:rsidR="00DD162F" w:rsidRPr="00080443" w:rsidRDefault="00DD162F" w:rsidP="00CD6081">
                  <w:pPr>
                    <w:pStyle w:val="ListBullet"/>
                    <w:numPr>
                      <w:ilvl w:val="0"/>
                      <w:numId w:val="0"/>
                    </w:numPr>
                    <w:rPr>
                      <w:rFonts w:cs="Arial"/>
                      <w:b/>
                      <w:sz w:val="18"/>
                      <w:szCs w:val="18"/>
                    </w:rPr>
                  </w:pPr>
                  <w:r w:rsidRPr="00080443">
                    <w:rPr>
                      <w:rFonts w:cs="Arial"/>
                      <w:b/>
                      <w:sz w:val="18"/>
                      <w:szCs w:val="18"/>
                    </w:rPr>
                    <w:t xml:space="preserve">Product </w:t>
                  </w:r>
                  <w:r w:rsidR="00CD6081" w:rsidRPr="00080443">
                    <w:rPr>
                      <w:rFonts w:cs="Arial"/>
                      <w:b/>
                      <w:sz w:val="18"/>
                      <w:szCs w:val="18"/>
                    </w:rPr>
                    <w:t>Y</w:t>
                  </w:r>
                </w:p>
              </w:tc>
              <w:tc>
                <w:tcPr>
                  <w:tcW w:w="1972" w:type="dxa"/>
                </w:tcPr>
                <w:p w14:paraId="214C8350" w14:textId="77777777" w:rsidR="00DD162F" w:rsidRPr="00080443" w:rsidRDefault="00DD162F" w:rsidP="00DD162F">
                  <w:pPr>
                    <w:pStyle w:val="ListBullet"/>
                    <w:numPr>
                      <w:ilvl w:val="0"/>
                      <w:numId w:val="0"/>
                    </w:numPr>
                    <w:jc w:val="center"/>
                    <w:rPr>
                      <w:rFonts w:cs="Arial"/>
                      <w:sz w:val="18"/>
                      <w:szCs w:val="18"/>
                    </w:rPr>
                  </w:pPr>
                </w:p>
              </w:tc>
              <w:tc>
                <w:tcPr>
                  <w:tcW w:w="1972" w:type="dxa"/>
                </w:tcPr>
                <w:p w14:paraId="0F565DDF" w14:textId="77777777" w:rsidR="00DD162F" w:rsidRPr="00080443" w:rsidRDefault="00DD162F" w:rsidP="00DD162F">
                  <w:pPr>
                    <w:pStyle w:val="ListBullet"/>
                    <w:numPr>
                      <w:ilvl w:val="0"/>
                      <w:numId w:val="0"/>
                    </w:numPr>
                    <w:jc w:val="center"/>
                    <w:rPr>
                      <w:rFonts w:cs="Arial"/>
                      <w:sz w:val="18"/>
                      <w:szCs w:val="18"/>
                    </w:rPr>
                  </w:pPr>
                  <w:r w:rsidRPr="00080443">
                    <w:rPr>
                      <w:rFonts w:cs="Arial"/>
                      <w:sz w:val="18"/>
                      <w:szCs w:val="18"/>
                    </w:rPr>
                    <w:t>$20</w:t>
                  </w:r>
                </w:p>
              </w:tc>
              <w:tc>
                <w:tcPr>
                  <w:tcW w:w="1972" w:type="dxa"/>
                  <w:vMerge/>
                </w:tcPr>
                <w:p w14:paraId="7F5BE443" w14:textId="77777777" w:rsidR="00DD162F" w:rsidRPr="00080443" w:rsidRDefault="00DD162F" w:rsidP="00DD162F">
                  <w:pPr>
                    <w:pStyle w:val="ListBullet"/>
                    <w:numPr>
                      <w:ilvl w:val="0"/>
                      <w:numId w:val="0"/>
                    </w:numPr>
                    <w:rPr>
                      <w:rFonts w:cs="Arial"/>
                      <w:sz w:val="18"/>
                      <w:szCs w:val="18"/>
                    </w:rPr>
                  </w:pPr>
                </w:p>
              </w:tc>
            </w:tr>
          </w:tbl>
          <w:p w14:paraId="5053CDCB" w14:textId="77777777" w:rsidR="00DD162F" w:rsidRPr="00080443" w:rsidRDefault="00DD162F" w:rsidP="00DD162F">
            <w:pPr>
              <w:rPr>
                <w:rFonts w:cs="Arial"/>
              </w:rPr>
            </w:pPr>
          </w:p>
        </w:tc>
      </w:tr>
      <w:tr w:rsidR="00DD162F" w:rsidRPr="00080443" w14:paraId="34F89B40" w14:textId="77777777" w:rsidTr="00DD162F">
        <w:trPr>
          <w:trHeight w:val="291"/>
        </w:trPr>
        <w:tc>
          <w:tcPr>
            <w:tcW w:w="9645" w:type="dxa"/>
            <w:tcBorders>
              <w:bottom w:val="single" w:sz="2" w:space="0" w:color="505050"/>
            </w:tcBorders>
            <w:shd w:val="clear" w:color="auto" w:fill="auto"/>
          </w:tcPr>
          <w:p w14:paraId="4BE1EAC6" w14:textId="77777777" w:rsidR="00DD162F" w:rsidRPr="00080443" w:rsidRDefault="00DD162F" w:rsidP="00DD162F">
            <w:pPr>
              <w:rPr>
                <w:rFonts w:cs="Arial"/>
              </w:rPr>
            </w:pPr>
          </w:p>
        </w:tc>
      </w:tr>
    </w:tbl>
    <w:p w14:paraId="4068C09D" w14:textId="77777777" w:rsidR="00DD162F" w:rsidRPr="00080443" w:rsidRDefault="00DD162F" w:rsidP="00561CE8">
      <w:pPr>
        <w:rPr>
          <w:rFonts w:cs="Arial"/>
        </w:rPr>
      </w:pPr>
    </w:p>
    <w:p w14:paraId="0DB22320" w14:textId="77777777" w:rsidR="00BB6A0A" w:rsidRPr="00080443" w:rsidRDefault="001932D5" w:rsidP="0085362C">
      <w:pPr>
        <w:rPr>
          <w:rFonts w:cs="Arial"/>
        </w:rPr>
      </w:pPr>
      <w:r w:rsidRPr="00080443">
        <w:rPr>
          <w:rFonts w:cs="Arial"/>
        </w:rPr>
        <w:t>I</w:t>
      </w:r>
      <w:r w:rsidR="00DD5E30" w:rsidRPr="00080443">
        <w:rPr>
          <w:rFonts w:cs="Arial"/>
        </w:rPr>
        <w:t xml:space="preserve">f you </w:t>
      </w:r>
      <w:r w:rsidR="00B167EE" w:rsidRPr="00080443">
        <w:rPr>
          <w:rFonts w:cs="Arial"/>
        </w:rPr>
        <w:t xml:space="preserve">allocated </w:t>
      </w:r>
      <w:r w:rsidR="007C255B" w:rsidRPr="00080443">
        <w:rPr>
          <w:rFonts w:cs="Arial"/>
        </w:rPr>
        <w:t xml:space="preserve">Product </w:t>
      </w:r>
      <w:r w:rsidR="00CD6081" w:rsidRPr="00080443">
        <w:rPr>
          <w:rFonts w:cs="Arial"/>
        </w:rPr>
        <w:t>X</w:t>
      </w:r>
      <w:r w:rsidR="00DD5E30" w:rsidRPr="00080443">
        <w:rPr>
          <w:rFonts w:cs="Arial"/>
        </w:rPr>
        <w:t xml:space="preserve"> to b1 and </w:t>
      </w:r>
      <w:r w:rsidR="007C255B" w:rsidRPr="00080443">
        <w:rPr>
          <w:rFonts w:cs="Arial"/>
        </w:rPr>
        <w:t xml:space="preserve">Product </w:t>
      </w:r>
      <w:r w:rsidR="00CD6081" w:rsidRPr="00080443">
        <w:rPr>
          <w:rFonts w:cs="Arial"/>
        </w:rPr>
        <w:t>Y</w:t>
      </w:r>
      <w:r w:rsidR="00DD5E30" w:rsidRPr="00080443">
        <w:rPr>
          <w:rFonts w:cs="Arial"/>
        </w:rPr>
        <w:t xml:space="preserve"> to b2, this would </w:t>
      </w:r>
      <w:r w:rsidR="007C255B" w:rsidRPr="00080443">
        <w:rPr>
          <w:rFonts w:cs="Arial"/>
        </w:rPr>
        <w:t xml:space="preserve">produce a total bid price of </w:t>
      </w:r>
      <w:r w:rsidR="00DD5E30" w:rsidRPr="00080443">
        <w:rPr>
          <w:rFonts w:cs="Arial"/>
        </w:rPr>
        <w:t xml:space="preserve">$48. If you gave both products to b3, this would </w:t>
      </w:r>
      <w:r w:rsidR="007C255B" w:rsidRPr="00080443">
        <w:rPr>
          <w:rFonts w:cs="Arial"/>
        </w:rPr>
        <w:t xml:space="preserve">produce a </w:t>
      </w:r>
      <w:r w:rsidR="00DD5E30" w:rsidRPr="00080443">
        <w:rPr>
          <w:rFonts w:cs="Arial"/>
        </w:rPr>
        <w:t xml:space="preserve">total </w:t>
      </w:r>
      <w:r w:rsidR="007C255B" w:rsidRPr="00080443">
        <w:rPr>
          <w:rFonts w:cs="Arial"/>
        </w:rPr>
        <w:t xml:space="preserve">bid price of </w:t>
      </w:r>
      <w:r w:rsidR="00DD5E30" w:rsidRPr="00080443">
        <w:rPr>
          <w:rFonts w:cs="Arial"/>
        </w:rPr>
        <w:t>$3</w:t>
      </w:r>
      <w:r w:rsidR="008830B5" w:rsidRPr="00080443">
        <w:rPr>
          <w:rFonts w:cs="Arial"/>
        </w:rPr>
        <w:t>0</w:t>
      </w:r>
      <w:r w:rsidR="00DD5E30" w:rsidRPr="00080443">
        <w:rPr>
          <w:rFonts w:cs="Arial"/>
        </w:rPr>
        <w:t xml:space="preserve">. </w:t>
      </w:r>
      <w:r w:rsidRPr="00080443">
        <w:rPr>
          <w:rFonts w:cs="Arial"/>
        </w:rPr>
        <w:t xml:space="preserve">In this example then, </w:t>
      </w:r>
      <w:r w:rsidR="007C255B" w:rsidRPr="00080443">
        <w:rPr>
          <w:rFonts w:cs="Arial"/>
        </w:rPr>
        <w:t xml:space="preserve">Product </w:t>
      </w:r>
      <w:r w:rsidR="00CD6081" w:rsidRPr="00080443">
        <w:rPr>
          <w:rFonts w:cs="Arial"/>
        </w:rPr>
        <w:t>X</w:t>
      </w:r>
      <w:r w:rsidR="00DD5E30" w:rsidRPr="00080443">
        <w:rPr>
          <w:rFonts w:cs="Arial"/>
        </w:rPr>
        <w:t xml:space="preserve"> would be allocated to b1 and </w:t>
      </w:r>
      <w:r w:rsidR="007C255B" w:rsidRPr="00080443">
        <w:rPr>
          <w:rFonts w:cs="Arial"/>
        </w:rPr>
        <w:t xml:space="preserve">Product </w:t>
      </w:r>
      <w:r w:rsidR="00CD6081" w:rsidRPr="00080443">
        <w:rPr>
          <w:rFonts w:cs="Arial"/>
        </w:rPr>
        <w:t>Y</w:t>
      </w:r>
      <w:r w:rsidR="00DD5E30" w:rsidRPr="00080443">
        <w:rPr>
          <w:rFonts w:cs="Arial"/>
        </w:rPr>
        <w:t xml:space="preserve"> would be allocated to b2, as this maxim</w:t>
      </w:r>
      <w:r w:rsidR="007C255B" w:rsidRPr="00080443">
        <w:rPr>
          <w:rFonts w:cs="Arial"/>
        </w:rPr>
        <w:t xml:space="preserve">ises </w:t>
      </w:r>
      <w:r w:rsidR="00296C52" w:rsidRPr="00080443">
        <w:rPr>
          <w:rFonts w:cs="Arial"/>
        </w:rPr>
        <w:t>the sum of the bid prices</w:t>
      </w:r>
      <w:r w:rsidR="00DD5E30" w:rsidRPr="00080443">
        <w:rPr>
          <w:rFonts w:cs="Arial"/>
        </w:rPr>
        <w:t>.</w:t>
      </w:r>
    </w:p>
    <w:p w14:paraId="05FA3F2C" w14:textId="77777777" w:rsidR="00283D79" w:rsidRPr="00080443" w:rsidRDefault="00283D79" w:rsidP="0085362C">
      <w:pPr>
        <w:rPr>
          <w:rFonts w:cs="Arial"/>
        </w:rPr>
      </w:pPr>
    </w:p>
    <w:p w14:paraId="6C562577" w14:textId="77777777" w:rsidR="008A60B8" w:rsidRPr="00080443" w:rsidRDefault="00283D79" w:rsidP="00561CE8">
      <w:pPr>
        <w:rPr>
          <w:rFonts w:cs="Arial"/>
        </w:rPr>
      </w:pPr>
      <w:r w:rsidRPr="00080443">
        <w:rPr>
          <w:rFonts w:cs="Arial"/>
        </w:rPr>
        <w:t>The allocation determination contains tie-breaking rules for use in the event that more than one combination of bids maximises the sum of the bid prices.</w:t>
      </w:r>
    </w:p>
    <w:p w14:paraId="3FE8460F" w14:textId="77777777" w:rsidR="00561CE8" w:rsidRPr="00080443" w:rsidRDefault="00561CE8" w:rsidP="00561CE8">
      <w:pPr>
        <w:rPr>
          <w:rFonts w:cs="Arial"/>
        </w:rPr>
      </w:pPr>
    </w:p>
    <w:p w14:paraId="4CD482CB" w14:textId="77777777" w:rsidR="008A60B8" w:rsidRPr="00080443" w:rsidRDefault="008A60B8" w:rsidP="008128F7">
      <w:pPr>
        <w:rPr>
          <w:rFonts w:cs="Arial"/>
        </w:rPr>
      </w:pPr>
      <w:r w:rsidRPr="00080443">
        <w:rPr>
          <w:rFonts w:cs="Arial"/>
        </w:rPr>
        <w:t xml:space="preserve">The allocation price for each winning bid will be calculated using a form of second-price rule referred to as </w:t>
      </w:r>
      <w:r w:rsidR="00CE14EA" w:rsidRPr="00080443">
        <w:rPr>
          <w:rFonts w:cs="Arial"/>
        </w:rPr>
        <w:t>Nearest-</w:t>
      </w:r>
      <w:proofErr w:type="spellStart"/>
      <w:r w:rsidRPr="00080443">
        <w:rPr>
          <w:rFonts w:cs="Arial"/>
        </w:rPr>
        <w:t>Vickrey</w:t>
      </w:r>
      <w:proofErr w:type="spellEnd"/>
      <w:r w:rsidRPr="00080443">
        <w:rPr>
          <w:rFonts w:cs="Arial"/>
        </w:rPr>
        <w:t xml:space="preserve"> Core pricing. Under the rule, the </w:t>
      </w:r>
      <w:proofErr w:type="spellStart"/>
      <w:r w:rsidRPr="00080443">
        <w:rPr>
          <w:rFonts w:cs="Arial"/>
        </w:rPr>
        <w:t>Vickrey</w:t>
      </w:r>
      <w:proofErr w:type="spellEnd"/>
      <w:r w:rsidRPr="00080443">
        <w:rPr>
          <w:rFonts w:cs="Arial"/>
        </w:rPr>
        <w:t xml:space="preserve"> price for each bidder is first calculated. The </w:t>
      </w:r>
      <w:proofErr w:type="spellStart"/>
      <w:r w:rsidRPr="00080443">
        <w:rPr>
          <w:rFonts w:cs="Arial"/>
        </w:rPr>
        <w:t>Vickrey</w:t>
      </w:r>
      <w:proofErr w:type="spellEnd"/>
      <w:r w:rsidRPr="00080443">
        <w:rPr>
          <w:rFonts w:cs="Arial"/>
        </w:rPr>
        <w:t xml:space="preserve"> price is the price bid </w:t>
      </w:r>
      <w:r w:rsidRPr="00080443">
        <w:rPr>
          <w:rFonts w:cs="Arial"/>
          <w:i/>
        </w:rPr>
        <w:t>less</w:t>
      </w:r>
      <w:r w:rsidRPr="00080443">
        <w:rPr>
          <w:rFonts w:cs="Arial"/>
        </w:rPr>
        <w:t xml:space="preserve"> the amount by which the bidder has increased the sum of all high bids. </w:t>
      </w:r>
      <w:r w:rsidR="001E0E09" w:rsidRPr="00080443">
        <w:rPr>
          <w:rFonts w:cs="Arial"/>
        </w:rPr>
        <w:t xml:space="preserve">The core price is an amount that is sufficient to ensure there is no other bidder or group of bidders prepared to pay more for the lots. </w:t>
      </w:r>
      <w:r w:rsidRPr="00080443">
        <w:rPr>
          <w:rFonts w:cs="Arial"/>
        </w:rPr>
        <w:t xml:space="preserve">If the </w:t>
      </w:r>
      <w:proofErr w:type="spellStart"/>
      <w:r w:rsidRPr="00080443">
        <w:rPr>
          <w:rFonts w:cs="Arial"/>
        </w:rPr>
        <w:t>Vickrey</w:t>
      </w:r>
      <w:proofErr w:type="spellEnd"/>
      <w:r w:rsidRPr="00080443">
        <w:rPr>
          <w:rFonts w:cs="Arial"/>
        </w:rPr>
        <w:t xml:space="preserve"> price is less than the core price, the price is increased to the core price in such a way that is closest to the </w:t>
      </w:r>
      <w:proofErr w:type="spellStart"/>
      <w:r w:rsidRPr="00080443">
        <w:rPr>
          <w:rFonts w:cs="Arial"/>
        </w:rPr>
        <w:t>Vickrey</w:t>
      </w:r>
      <w:proofErr w:type="spellEnd"/>
      <w:r w:rsidRPr="00080443">
        <w:rPr>
          <w:rFonts w:cs="Arial"/>
        </w:rPr>
        <w:t xml:space="preserve"> price</w:t>
      </w:r>
      <w:r w:rsidR="00CA523C" w:rsidRPr="00080443">
        <w:rPr>
          <w:rFonts w:cs="Arial"/>
        </w:rPr>
        <w:t xml:space="preserve"> (doing so minimises revenue)</w:t>
      </w:r>
      <w:r w:rsidRPr="00080443">
        <w:rPr>
          <w:rFonts w:cs="Arial"/>
        </w:rPr>
        <w:t>.</w:t>
      </w:r>
      <w:r w:rsidR="00CD6081" w:rsidRPr="00080443">
        <w:rPr>
          <w:rFonts w:cs="Arial"/>
        </w:rPr>
        <w:t xml:space="preserve"> Where this price adjustment is required for a number of bidders, the price increase is shared between the bidders in proportion to the initial prices of their winning packages.</w:t>
      </w:r>
      <w:r w:rsidRPr="00080443">
        <w:rPr>
          <w:rFonts w:cs="Arial"/>
        </w:rPr>
        <w:t xml:space="preserve"> The resulting allocation price will be at least as much as the sum of the initial prices for the lots, and no more than the amount offered by the winning bidder for the lots in the package. </w:t>
      </w:r>
    </w:p>
    <w:p w14:paraId="0FAA7B51" w14:textId="77777777" w:rsidR="009755D4" w:rsidRPr="00080443" w:rsidRDefault="009755D4" w:rsidP="008128F7">
      <w:pPr>
        <w:rPr>
          <w:rFonts w:cs="Arial"/>
        </w:rPr>
      </w:pPr>
    </w:p>
    <w:p w14:paraId="1A49968A" w14:textId="77777777" w:rsidR="009755D4" w:rsidRPr="00080443" w:rsidRDefault="009755D4" w:rsidP="000A6E1E">
      <w:pPr>
        <w:spacing w:after="80"/>
        <w:rPr>
          <w:rFonts w:cs="Arial"/>
        </w:rPr>
      </w:pPr>
      <w:r w:rsidRPr="00080443">
        <w:rPr>
          <w:rFonts w:cs="Arial"/>
        </w:rPr>
        <w:t>The Nearest-</w:t>
      </w:r>
      <w:proofErr w:type="spellStart"/>
      <w:r w:rsidRPr="00080443">
        <w:rPr>
          <w:rFonts w:cs="Arial"/>
        </w:rPr>
        <w:t>Vickrey</w:t>
      </w:r>
      <w:proofErr w:type="spellEnd"/>
      <w:r w:rsidRPr="00080443">
        <w:rPr>
          <w:rFonts w:cs="Arial"/>
        </w:rPr>
        <w:t xml:space="preserve"> Core prices can be calculated for the example in Figure 9. For bidder b1, the </w:t>
      </w:r>
      <w:proofErr w:type="spellStart"/>
      <w:r w:rsidRPr="00080443">
        <w:rPr>
          <w:rFonts w:cs="Arial"/>
        </w:rPr>
        <w:t>Vickrey</w:t>
      </w:r>
      <w:proofErr w:type="spellEnd"/>
      <w:r w:rsidRPr="00080443">
        <w:rPr>
          <w:rFonts w:cs="Arial"/>
        </w:rPr>
        <w:t xml:space="preserve"> price is calculated as:</w:t>
      </w:r>
    </w:p>
    <w:p w14:paraId="1420E3E2" w14:textId="77777777" w:rsidR="009755D4" w:rsidRPr="00080443" w:rsidRDefault="009755D4" w:rsidP="009755D4">
      <w:pPr>
        <w:pStyle w:val="ListBullet"/>
        <w:rPr>
          <w:rFonts w:cs="Arial"/>
        </w:rPr>
      </w:pPr>
      <w:r w:rsidRPr="00080443">
        <w:rPr>
          <w:rFonts w:cs="Arial"/>
        </w:rPr>
        <w:t>with b1 the highest total bid price is $48; without b1 the highest total bid price is $3</w:t>
      </w:r>
      <w:r w:rsidR="00CA523C" w:rsidRPr="00080443">
        <w:rPr>
          <w:rFonts w:cs="Arial"/>
        </w:rPr>
        <w:t>0</w:t>
      </w:r>
      <w:r w:rsidRPr="00080443">
        <w:rPr>
          <w:rFonts w:cs="Arial"/>
        </w:rPr>
        <w:t>, so b1 has increased the sum of all high bids by $1</w:t>
      </w:r>
      <w:r w:rsidR="00CA523C" w:rsidRPr="00080443">
        <w:rPr>
          <w:rFonts w:cs="Arial"/>
        </w:rPr>
        <w:t>8</w:t>
      </w:r>
    </w:p>
    <w:p w14:paraId="4CD30DF9" w14:textId="77777777" w:rsidR="009755D4" w:rsidRPr="00080443" w:rsidRDefault="009755D4" w:rsidP="009755D4">
      <w:pPr>
        <w:pStyle w:val="ListBullet"/>
        <w:rPr>
          <w:rFonts w:cs="Arial"/>
        </w:rPr>
      </w:pPr>
      <w:r w:rsidRPr="00080443">
        <w:rPr>
          <w:rFonts w:cs="Arial"/>
        </w:rPr>
        <w:t xml:space="preserve">the </w:t>
      </w:r>
      <w:proofErr w:type="spellStart"/>
      <w:r w:rsidRPr="00080443">
        <w:rPr>
          <w:rFonts w:cs="Arial"/>
        </w:rPr>
        <w:t>Vickrey</w:t>
      </w:r>
      <w:proofErr w:type="spellEnd"/>
      <w:r w:rsidRPr="00080443">
        <w:rPr>
          <w:rFonts w:cs="Arial"/>
        </w:rPr>
        <w:t xml:space="preserve"> price is the price bid ($28) minus the amount by which the bidder has increased the sum of all high bids ($1</w:t>
      </w:r>
      <w:r w:rsidR="00CA523C" w:rsidRPr="00080443">
        <w:rPr>
          <w:rFonts w:cs="Arial"/>
        </w:rPr>
        <w:t>8</w:t>
      </w:r>
      <w:r w:rsidRPr="00080443">
        <w:rPr>
          <w:rFonts w:cs="Arial"/>
        </w:rPr>
        <w:t>)</w:t>
      </w:r>
      <w:r w:rsidR="00201AA1" w:rsidRPr="00080443">
        <w:rPr>
          <w:rFonts w:cs="Arial"/>
        </w:rPr>
        <w:t>—</w:t>
      </w:r>
      <w:r w:rsidRPr="00080443">
        <w:rPr>
          <w:rFonts w:cs="Arial"/>
        </w:rPr>
        <w:t xml:space="preserve">so the </w:t>
      </w:r>
      <w:proofErr w:type="spellStart"/>
      <w:r w:rsidRPr="00080443">
        <w:rPr>
          <w:rFonts w:cs="Arial"/>
        </w:rPr>
        <w:t>Vickrey</w:t>
      </w:r>
      <w:proofErr w:type="spellEnd"/>
      <w:r w:rsidRPr="00080443">
        <w:rPr>
          <w:rFonts w:cs="Arial"/>
        </w:rPr>
        <w:t xml:space="preserve"> price is $1</w:t>
      </w:r>
      <w:r w:rsidR="00CA523C" w:rsidRPr="00080443">
        <w:rPr>
          <w:rFonts w:cs="Arial"/>
        </w:rPr>
        <w:t>0</w:t>
      </w:r>
      <w:r w:rsidRPr="00080443">
        <w:rPr>
          <w:rFonts w:cs="Arial"/>
        </w:rPr>
        <w:t>.</w:t>
      </w:r>
    </w:p>
    <w:p w14:paraId="57CBDE20" w14:textId="77777777" w:rsidR="009755D4" w:rsidRPr="00080443" w:rsidRDefault="009755D4" w:rsidP="009755D4">
      <w:pPr>
        <w:rPr>
          <w:rFonts w:cs="Arial"/>
        </w:rPr>
      </w:pPr>
    </w:p>
    <w:p w14:paraId="43155534" w14:textId="77777777" w:rsidR="009755D4" w:rsidRPr="00080443" w:rsidRDefault="009755D4" w:rsidP="000A6E1E">
      <w:pPr>
        <w:spacing w:after="80"/>
        <w:rPr>
          <w:rFonts w:cs="Arial"/>
        </w:rPr>
      </w:pPr>
      <w:r w:rsidRPr="00080443">
        <w:rPr>
          <w:rFonts w:cs="Arial"/>
        </w:rPr>
        <w:t xml:space="preserve">Similarly the </w:t>
      </w:r>
      <w:proofErr w:type="spellStart"/>
      <w:r w:rsidRPr="00080443">
        <w:rPr>
          <w:rFonts w:cs="Arial"/>
        </w:rPr>
        <w:t>Vickrey</w:t>
      </w:r>
      <w:proofErr w:type="spellEnd"/>
      <w:r w:rsidRPr="00080443">
        <w:rPr>
          <w:rFonts w:cs="Arial"/>
        </w:rPr>
        <w:t xml:space="preserve"> price for b2 is calculated as:</w:t>
      </w:r>
    </w:p>
    <w:p w14:paraId="24729518" w14:textId="77777777" w:rsidR="009755D4" w:rsidRPr="00080443" w:rsidRDefault="009755D4" w:rsidP="009755D4">
      <w:pPr>
        <w:pStyle w:val="ListBullet"/>
        <w:rPr>
          <w:rFonts w:cs="Arial"/>
        </w:rPr>
      </w:pPr>
      <w:r w:rsidRPr="00080443">
        <w:rPr>
          <w:rFonts w:cs="Arial"/>
        </w:rPr>
        <w:t>with b2 the highest total bid price is $48; without b2 the highest total bid price is $3</w:t>
      </w:r>
      <w:r w:rsidR="008830B5" w:rsidRPr="00080443">
        <w:rPr>
          <w:rFonts w:cs="Arial"/>
        </w:rPr>
        <w:t>0</w:t>
      </w:r>
      <w:r w:rsidRPr="00080443">
        <w:rPr>
          <w:rFonts w:cs="Arial"/>
        </w:rPr>
        <w:t>, so b2 has increased the sum of all high bids by $1</w:t>
      </w:r>
      <w:r w:rsidR="00CA523C" w:rsidRPr="00080443">
        <w:rPr>
          <w:rFonts w:cs="Arial"/>
        </w:rPr>
        <w:t>8</w:t>
      </w:r>
      <w:r w:rsidRPr="00080443">
        <w:rPr>
          <w:rFonts w:cs="Arial"/>
        </w:rPr>
        <w:t>.</w:t>
      </w:r>
    </w:p>
    <w:p w14:paraId="5ACE6E18" w14:textId="77777777" w:rsidR="009755D4" w:rsidRPr="00080443" w:rsidRDefault="000A6E1E" w:rsidP="009755D4">
      <w:pPr>
        <w:pStyle w:val="ListBullet"/>
        <w:rPr>
          <w:rFonts w:cs="Arial"/>
        </w:rPr>
      </w:pPr>
      <w:r w:rsidRPr="00080443">
        <w:rPr>
          <w:rFonts w:cs="Arial"/>
        </w:rPr>
        <w:t>t</w:t>
      </w:r>
      <w:r w:rsidR="009755D4" w:rsidRPr="00080443">
        <w:rPr>
          <w:rFonts w:cs="Arial"/>
        </w:rPr>
        <w:t xml:space="preserve">he </w:t>
      </w:r>
      <w:proofErr w:type="spellStart"/>
      <w:r w:rsidR="009755D4" w:rsidRPr="00080443">
        <w:rPr>
          <w:rFonts w:cs="Arial"/>
        </w:rPr>
        <w:t>Vickrey</w:t>
      </w:r>
      <w:proofErr w:type="spellEnd"/>
      <w:r w:rsidR="009755D4" w:rsidRPr="00080443">
        <w:rPr>
          <w:rFonts w:cs="Arial"/>
        </w:rPr>
        <w:t xml:space="preserve"> price is the price bid ($20) minus the amount by which the bidder has increased the sum of all high bids ($1</w:t>
      </w:r>
      <w:r w:rsidR="008830B5" w:rsidRPr="00080443">
        <w:rPr>
          <w:rFonts w:cs="Arial"/>
        </w:rPr>
        <w:t>8</w:t>
      </w:r>
      <w:r w:rsidR="009755D4" w:rsidRPr="00080443">
        <w:rPr>
          <w:rFonts w:cs="Arial"/>
        </w:rPr>
        <w:t>)</w:t>
      </w:r>
      <w:r w:rsidR="00201AA1" w:rsidRPr="00080443">
        <w:rPr>
          <w:rFonts w:cs="Arial"/>
        </w:rPr>
        <w:t>—</w:t>
      </w:r>
      <w:r w:rsidRPr="00080443">
        <w:rPr>
          <w:rFonts w:cs="Arial"/>
        </w:rPr>
        <w:t xml:space="preserve">so </w:t>
      </w:r>
      <w:r w:rsidR="009755D4" w:rsidRPr="00080443">
        <w:rPr>
          <w:rFonts w:cs="Arial"/>
        </w:rPr>
        <w:t xml:space="preserve">the </w:t>
      </w:r>
      <w:proofErr w:type="spellStart"/>
      <w:r w:rsidR="009755D4" w:rsidRPr="00080443">
        <w:rPr>
          <w:rFonts w:cs="Arial"/>
        </w:rPr>
        <w:t>Vickrey</w:t>
      </w:r>
      <w:proofErr w:type="spellEnd"/>
      <w:r w:rsidR="009755D4" w:rsidRPr="00080443">
        <w:rPr>
          <w:rFonts w:cs="Arial"/>
        </w:rPr>
        <w:t xml:space="preserve"> price is $</w:t>
      </w:r>
      <w:r w:rsidR="00CA523C" w:rsidRPr="00080443">
        <w:rPr>
          <w:rFonts w:cs="Arial"/>
        </w:rPr>
        <w:t>2</w:t>
      </w:r>
      <w:r w:rsidR="009755D4" w:rsidRPr="00080443">
        <w:rPr>
          <w:rFonts w:cs="Arial"/>
        </w:rPr>
        <w:t>.</w:t>
      </w:r>
    </w:p>
    <w:p w14:paraId="3C626749" w14:textId="77777777" w:rsidR="009755D4" w:rsidRPr="00080443" w:rsidRDefault="009755D4" w:rsidP="009755D4">
      <w:pPr>
        <w:rPr>
          <w:rFonts w:cs="Arial"/>
        </w:rPr>
      </w:pPr>
    </w:p>
    <w:p w14:paraId="262129D2" w14:textId="77777777" w:rsidR="009755D4" w:rsidRPr="00080443" w:rsidRDefault="009755D4" w:rsidP="000A6E1E">
      <w:pPr>
        <w:spacing w:after="80"/>
        <w:rPr>
          <w:rFonts w:cs="Arial"/>
        </w:rPr>
      </w:pPr>
      <w:r w:rsidRPr="00080443">
        <w:rPr>
          <w:rFonts w:cs="Arial"/>
        </w:rPr>
        <w:t>However, b3 has bid $3</w:t>
      </w:r>
      <w:r w:rsidR="00CA523C" w:rsidRPr="00080443">
        <w:rPr>
          <w:rFonts w:cs="Arial"/>
        </w:rPr>
        <w:t>0</w:t>
      </w:r>
      <w:r w:rsidRPr="00080443">
        <w:rPr>
          <w:rFonts w:cs="Arial"/>
        </w:rPr>
        <w:t xml:space="preserve"> for both </w:t>
      </w:r>
      <w:r w:rsidR="000A6E1E" w:rsidRPr="00080443">
        <w:rPr>
          <w:rFonts w:cs="Arial"/>
        </w:rPr>
        <w:t>products</w:t>
      </w:r>
      <w:r w:rsidRPr="00080443">
        <w:rPr>
          <w:rFonts w:cs="Arial"/>
        </w:rPr>
        <w:t xml:space="preserve">, which is more than the sum of the </w:t>
      </w:r>
      <w:proofErr w:type="spellStart"/>
      <w:r w:rsidRPr="00080443">
        <w:rPr>
          <w:rFonts w:cs="Arial"/>
        </w:rPr>
        <w:t>Vickrey</w:t>
      </w:r>
      <w:proofErr w:type="spellEnd"/>
      <w:r w:rsidRPr="00080443">
        <w:rPr>
          <w:rFonts w:cs="Arial"/>
        </w:rPr>
        <w:t xml:space="preserve"> prices paid by b1 and b2 ($1</w:t>
      </w:r>
      <w:r w:rsidR="00CA523C" w:rsidRPr="00080443">
        <w:rPr>
          <w:rFonts w:cs="Arial"/>
        </w:rPr>
        <w:t>0</w:t>
      </w:r>
      <w:r w:rsidR="00AF2CEF" w:rsidRPr="00080443">
        <w:rPr>
          <w:rFonts w:cs="Arial"/>
        </w:rPr>
        <w:t xml:space="preserve"> </w:t>
      </w:r>
      <w:r w:rsidRPr="00080443">
        <w:rPr>
          <w:rFonts w:cs="Arial"/>
        </w:rPr>
        <w:t>+</w:t>
      </w:r>
      <w:r w:rsidR="00AF2CEF" w:rsidRPr="00080443">
        <w:rPr>
          <w:rFonts w:cs="Arial"/>
        </w:rPr>
        <w:t xml:space="preserve"> </w:t>
      </w:r>
      <w:r w:rsidRPr="00080443">
        <w:rPr>
          <w:rFonts w:cs="Arial"/>
        </w:rPr>
        <w:t>$</w:t>
      </w:r>
      <w:r w:rsidR="00CA523C" w:rsidRPr="00080443">
        <w:rPr>
          <w:rFonts w:cs="Arial"/>
        </w:rPr>
        <w:t>2</w:t>
      </w:r>
      <w:r w:rsidR="00AF2CEF" w:rsidRPr="00080443">
        <w:rPr>
          <w:rFonts w:cs="Arial"/>
        </w:rPr>
        <w:t xml:space="preserve"> </w:t>
      </w:r>
      <w:r w:rsidRPr="00080443">
        <w:rPr>
          <w:rFonts w:cs="Arial"/>
        </w:rPr>
        <w:t>=</w:t>
      </w:r>
      <w:r w:rsidR="00AF2CEF" w:rsidRPr="00080443">
        <w:rPr>
          <w:rFonts w:cs="Arial"/>
        </w:rPr>
        <w:t xml:space="preserve"> </w:t>
      </w:r>
      <w:r w:rsidRPr="00080443">
        <w:rPr>
          <w:rFonts w:cs="Arial"/>
        </w:rPr>
        <w:t>$1</w:t>
      </w:r>
      <w:r w:rsidR="00CA523C" w:rsidRPr="00080443">
        <w:rPr>
          <w:rFonts w:cs="Arial"/>
        </w:rPr>
        <w:t>2</w:t>
      </w:r>
      <w:r w:rsidRPr="00080443">
        <w:rPr>
          <w:rFonts w:cs="Arial"/>
        </w:rPr>
        <w:t>). The prices need to be increased to the minimum revenue core price ($3</w:t>
      </w:r>
      <w:r w:rsidR="00CA523C" w:rsidRPr="00080443">
        <w:rPr>
          <w:rFonts w:cs="Arial"/>
        </w:rPr>
        <w:t>0</w:t>
      </w:r>
      <w:r w:rsidRPr="00080443">
        <w:rPr>
          <w:rFonts w:cs="Arial"/>
        </w:rPr>
        <w:t xml:space="preserve">). Assuming the initial prices of the products were the same, the prices that minimise the formula in </w:t>
      </w:r>
      <w:r w:rsidR="000A6E1E" w:rsidRPr="00080443">
        <w:rPr>
          <w:rFonts w:cs="Arial"/>
        </w:rPr>
        <w:t xml:space="preserve">clause </w:t>
      </w:r>
      <w:r w:rsidR="008830B5" w:rsidRPr="00080443">
        <w:rPr>
          <w:rFonts w:cs="Arial"/>
        </w:rPr>
        <w:t>50</w:t>
      </w:r>
      <w:r w:rsidRPr="00080443">
        <w:rPr>
          <w:rFonts w:cs="Arial"/>
        </w:rPr>
        <w:t xml:space="preserve"> of Schedule 1 of the allocation determination be found by adding the same amount to each </w:t>
      </w:r>
      <w:proofErr w:type="spellStart"/>
      <w:r w:rsidRPr="00080443">
        <w:rPr>
          <w:rFonts w:cs="Arial"/>
        </w:rPr>
        <w:t>Vickrey</w:t>
      </w:r>
      <w:proofErr w:type="spellEnd"/>
      <w:r w:rsidRPr="00080443">
        <w:rPr>
          <w:rFonts w:cs="Arial"/>
        </w:rPr>
        <w:t xml:space="preserve"> price. The Nearest-</w:t>
      </w:r>
      <w:proofErr w:type="spellStart"/>
      <w:r w:rsidRPr="00080443">
        <w:rPr>
          <w:rFonts w:cs="Arial"/>
        </w:rPr>
        <w:t>Vickrey</w:t>
      </w:r>
      <w:proofErr w:type="spellEnd"/>
      <w:r w:rsidRPr="00080443">
        <w:rPr>
          <w:rFonts w:cs="Arial"/>
        </w:rPr>
        <w:t xml:space="preserve"> Core prices in the example in Figure 9 are:</w:t>
      </w:r>
    </w:p>
    <w:p w14:paraId="614E3002" w14:textId="77777777" w:rsidR="009755D4" w:rsidRPr="00080443" w:rsidRDefault="009755D4" w:rsidP="009755D4">
      <w:pPr>
        <w:pStyle w:val="ListBullet"/>
        <w:rPr>
          <w:rFonts w:cs="Arial"/>
        </w:rPr>
      </w:pPr>
      <w:r w:rsidRPr="00080443">
        <w:rPr>
          <w:rFonts w:cs="Arial"/>
        </w:rPr>
        <w:lastRenderedPageBreak/>
        <w:t>b1 pays $</w:t>
      </w:r>
      <w:r w:rsidR="00CA523C" w:rsidRPr="00080443">
        <w:rPr>
          <w:rFonts w:cs="Arial"/>
        </w:rPr>
        <w:t>19</w:t>
      </w:r>
      <w:r w:rsidRPr="00080443">
        <w:rPr>
          <w:rFonts w:cs="Arial"/>
        </w:rPr>
        <w:t xml:space="preserve">, its </w:t>
      </w:r>
      <w:proofErr w:type="spellStart"/>
      <w:r w:rsidRPr="00080443">
        <w:rPr>
          <w:rFonts w:cs="Arial"/>
        </w:rPr>
        <w:t>Vickrey</w:t>
      </w:r>
      <w:proofErr w:type="spellEnd"/>
      <w:r w:rsidRPr="00080443">
        <w:rPr>
          <w:rFonts w:cs="Arial"/>
        </w:rPr>
        <w:t xml:space="preserve"> price of $1</w:t>
      </w:r>
      <w:r w:rsidR="00CA523C" w:rsidRPr="00080443">
        <w:rPr>
          <w:rFonts w:cs="Arial"/>
        </w:rPr>
        <w:t>0</w:t>
      </w:r>
      <w:r w:rsidRPr="00080443">
        <w:rPr>
          <w:rFonts w:cs="Arial"/>
        </w:rPr>
        <w:t xml:space="preserve"> plus $</w:t>
      </w:r>
      <w:r w:rsidR="00CA523C" w:rsidRPr="00080443">
        <w:rPr>
          <w:rFonts w:cs="Arial"/>
        </w:rPr>
        <w:t>9</w:t>
      </w:r>
    </w:p>
    <w:p w14:paraId="0F94AAF3" w14:textId="77777777" w:rsidR="009755D4" w:rsidRPr="00080443" w:rsidRDefault="009755D4" w:rsidP="009755D4">
      <w:pPr>
        <w:pStyle w:val="ListBullet"/>
        <w:rPr>
          <w:rFonts w:cs="Arial"/>
        </w:rPr>
      </w:pPr>
      <w:r w:rsidRPr="00080443">
        <w:rPr>
          <w:rFonts w:cs="Arial"/>
        </w:rPr>
        <w:t>b2 pays $1</w:t>
      </w:r>
      <w:r w:rsidR="00CA523C" w:rsidRPr="00080443">
        <w:rPr>
          <w:rFonts w:cs="Arial"/>
        </w:rPr>
        <w:t>1</w:t>
      </w:r>
      <w:r w:rsidRPr="00080443">
        <w:rPr>
          <w:rFonts w:cs="Arial"/>
        </w:rPr>
        <w:t xml:space="preserve">, its </w:t>
      </w:r>
      <w:proofErr w:type="spellStart"/>
      <w:r w:rsidRPr="00080443">
        <w:rPr>
          <w:rFonts w:cs="Arial"/>
        </w:rPr>
        <w:t>Vickrey</w:t>
      </w:r>
      <w:proofErr w:type="spellEnd"/>
      <w:r w:rsidRPr="00080443">
        <w:rPr>
          <w:rFonts w:cs="Arial"/>
        </w:rPr>
        <w:t xml:space="preserve"> price of $</w:t>
      </w:r>
      <w:r w:rsidR="00CA523C" w:rsidRPr="00080443">
        <w:rPr>
          <w:rFonts w:cs="Arial"/>
        </w:rPr>
        <w:t>2</w:t>
      </w:r>
      <w:r w:rsidRPr="00080443">
        <w:rPr>
          <w:rFonts w:cs="Arial"/>
        </w:rPr>
        <w:t xml:space="preserve"> plus $</w:t>
      </w:r>
      <w:r w:rsidR="00CA523C" w:rsidRPr="00080443">
        <w:rPr>
          <w:rFonts w:cs="Arial"/>
        </w:rPr>
        <w:t>9</w:t>
      </w:r>
    </w:p>
    <w:p w14:paraId="556EE72C" w14:textId="77777777" w:rsidR="009755D4" w:rsidRPr="00080443" w:rsidRDefault="000A6E1E" w:rsidP="009755D4">
      <w:pPr>
        <w:pStyle w:val="ListBullet"/>
        <w:rPr>
          <w:rFonts w:cs="Arial"/>
        </w:rPr>
      </w:pPr>
      <w:r w:rsidRPr="00080443">
        <w:rPr>
          <w:rFonts w:cs="Arial"/>
        </w:rPr>
        <w:t>t</w:t>
      </w:r>
      <w:r w:rsidR="009755D4" w:rsidRPr="00080443">
        <w:rPr>
          <w:rFonts w:cs="Arial"/>
        </w:rPr>
        <w:t>he total price paid is $</w:t>
      </w:r>
      <w:r w:rsidR="00CA523C" w:rsidRPr="00080443">
        <w:rPr>
          <w:rFonts w:cs="Arial"/>
        </w:rPr>
        <w:t>19</w:t>
      </w:r>
      <w:r w:rsidR="009755D4" w:rsidRPr="00080443">
        <w:rPr>
          <w:rFonts w:cs="Arial"/>
        </w:rPr>
        <w:t xml:space="preserve"> + $1</w:t>
      </w:r>
      <w:r w:rsidR="00CA523C" w:rsidRPr="00080443">
        <w:rPr>
          <w:rFonts w:cs="Arial"/>
        </w:rPr>
        <w:t>1</w:t>
      </w:r>
      <w:r w:rsidR="009755D4" w:rsidRPr="00080443">
        <w:rPr>
          <w:rFonts w:cs="Arial"/>
        </w:rPr>
        <w:t xml:space="preserve"> = $3</w:t>
      </w:r>
      <w:r w:rsidR="00CA523C" w:rsidRPr="00080443">
        <w:rPr>
          <w:rFonts w:cs="Arial"/>
        </w:rPr>
        <w:t>0</w:t>
      </w:r>
      <w:r w:rsidR="009755D4" w:rsidRPr="00080443">
        <w:rPr>
          <w:rFonts w:cs="Arial"/>
        </w:rPr>
        <w:t xml:space="preserve">, which is </w:t>
      </w:r>
      <w:r w:rsidR="00CA523C" w:rsidRPr="00080443">
        <w:rPr>
          <w:rFonts w:cs="Arial"/>
        </w:rPr>
        <w:t xml:space="preserve">the minimum revenue point in the core that is nearest the </w:t>
      </w:r>
      <w:proofErr w:type="spellStart"/>
      <w:r w:rsidR="00CA523C" w:rsidRPr="00080443">
        <w:rPr>
          <w:rFonts w:cs="Arial"/>
        </w:rPr>
        <w:t>Vickrey</w:t>
      </w:r>
      <w:proofErr w:type="spellEnd"/>
      <w:r w:rsidR="00CA523C" w:rsidRPr="00080443">
        <w:rPr>
          <w:rFonts w:cs="Arial"/>
        </w:rPr>
        <w:t xml:space="preserve"> prices. </w:t>
      </w:r>
      <w:r w:rsidR="009755D4" w:rsidRPr="00080443">
        <w:rPr>
          <w:rFonts w:cs="Arial"/>
        </w:rPr>
        <w:t xml:space="preserve"> </w:t>
      </w:r>
    </w:p>
    <w:p w14:paraId="1AA753FC" w14:textId="77777777" w:rsidR="008128F7" w:rsidRPr="00080443" w:rsidRDefault="008128F7" w:rsidP="008128F7">
      <w:pPr>
        <w:rPr>
          <w:rFonts w:cs="Arial"/>
        </w:rPr>
      </w:pPr>
    </w:p>
    <w:p w14:paraId="204DAB96" w14:textId="77777777" w:rsidR="008A60B8" w:rsidRPr="00080443" w:rsidRDefault="008A60B8" w:rsidP="008128F7">
      <w:pPr>
        <w:pStyle w:val="Bodysubheader"/>
        <w:rPr>
          <w:rFonts w:cs="Arial"/>
        </w:rPr>
      </w:pPr>
      <w:r w:rsidRPr="00080443">
        <w:rPr>
          <w:rFonts w:cs="Arial"/>
        </w:rPr>
        <w:t>Assignment stage</w:t>
      </w:r>
    </w:p>
    <w:p w14:paraId="5EBC6671" w14:textId="77777777" w:rsidR="008A60B8" w:rsidRPr="00080443" w:rsidRDefault="008A60B8" w:rsidP="008128F7">
      <w:pPr>
        <w:rPr>
          <w:rFonts w:cs="Arial"/>
        </w:rPr>
      </w:pPr>
      <w:r w:rsidRPr="00080443">
        <w:rPr>
          <w:rFonts w:cs="Arial"/>
        </w:rPr>
        <w:t xml:space="preserve">The assignment stage determines the specific frequency ranges awarded to each winning bidder from the allocation stage. </w:t>
      </w:r>
    </w:p>
    <w:p w14:paraId="7CB2EBCB" w14:textId="77777777" w:rsidR="008128F7" w:rsidRPr="00080443" w:rsidRDefault="008128F7" w:rsidP="008128F7">
      <w:pPr>
        <w:rPr>
          <w:rFonts w:cs="Arial"/>
        </w:rPr>
      </w:pPr>
    </w:p>
    <w:p w14:paraId="770CB66A" w14:textId="77777777" w:rsidR="00A27850" w:rsidRPr="00080443" w:rsidRDefault="008A60B8" w:rsidP="008128F7">
      <w:pPr>
        <w:rPr>
          <w:rFonts w:cs="Arial"/>
        </w:rPr>
      </w:pPr>
      <w:r w:rsidRPr="00080443">
        <w:rPr>
          <w:rFonts w:cs="Arial"/>
        </w:rPr>
        <w:t>Only winning bidders from the allocation stage can bid in the assignment stage</w:t>
      </w:r>
      <w:r w:rsidR="000B1302" w:rsidRPr="00080443">
        <w:rPr>
          <w:rFonts w:cs="Arial"/>
        </w:rPr>
        <w:t>,</w:t>
      </w:r>
      <w:r w:rsidRPr="00080443">
        <w:rPr>
          <w:rFonts w:cs="Arial"/>
        </w:rPr>
        <w:t xml:space="preserve"> and each allocation stage winner is guaranteed to be assigned the number of lots </w:t>
      </w:r>
      <w:r w:rsidR="00B167EE" w:rsidRPr="00080443">
        <w:rPr>
          <w:rFonts w:cs="Arial"/>
        </w:rPr>
        <w:t xml:space="preserve">of each product </w:t>
      </w:r>
      <w:r w:rsidRPr="00080443">
        <w:rPr>
          <w:rFonts w:cs="Arial"/>
        </w:rPr>
        <w:t xml:space="preserve">it </w:t>
      </w:r>
      <w:r w:rsidR="00CE14EA" w:rsidRPr="00080443">
        <w:rPr>
          <w:rFonts w:cs="Arial"/>
        </w:rPr>
        <w:t>won</w:t>
      </w:r>
      <w:r w:rsidRPr="00080443">
        <w:rPr>
          <w:rFonts w:cs="Arial"/>
        </w:rPr>
        <w:t xml:space="preserve"> in the allocation stage. While there is no requirement for a bidder to bid during the assignment stage, this stage </w:t>
      </w:r>
      <w:r w:rsidR="005570E0" w:rsidRPr="00080443">
        <w:rPr>
          <w:rFonts w:cs="Arial"/>
        </w:rPr>
        <w:t xml:space="preserve">gives </w:t>
      </w:r>
      <w:r w:rsidRPr="00080443">
        <w:rPr>
          <w:rFonts w:cs="Arial"/>
        </w:rPr>
        <w:t xml:space="preserve">bidders the opportunity to submit additional bids, at prices they choose, to express their preferences for particular frequency assignments from the options presented by the auction manager. </w:t>
      </w:r>
      <w:r w:rsidR="005570E0" w:rsidRPr="00080443">
        <w:rPr>
          <w:rFonts w:cs="Arial"/>
        </w:rPr>
        <w:t>These</w:t>
      </w:r>
      <w:r w:rsidRPr="00080443">
        <w:rPr>
          <w:rFonts w:cs="Arial"/>
        </w:rPr>
        <w:t xml:space="preserve"> options will be set by the auction manager</w:t>
      </w:r>
      <w:r w:rsidR="0045771A" w:rsidRPr="00080443">
        <w:rPr>
          <w:rFonts w:cs="Arial"/>
        </w:rPr>
        <w:t>,</w:t>
      </w:r>
      <w:r w:rsidRPr="00080443">
        <w:rPr>
          <w:rFonts w:cs="Arial"/>
        </w:rPr>
        <w:t xml:space="preserve"> </w:t>
      </w:r>
      <w:r w:rsidR="0045771A" w:rsidRPr="00080443">
        <w:rPr>
          <w:rFonts w:cs="Arial"/>
        </w:rPr>
        <w:t xml:space="preserve">in accordance with Part 4 of Schedule 1 to the allocation determination, </w:t>
      </w:r>
      <w:r w:rsidRPr="00080443">
        <w:rPr>
          <w:rFonts w:cs="Arial"/>
        </w:rPr>
        <w:t xml:space="preserve">to ensure the </w:t>
      </w:r>
      <w:r w:rsidR="00B167EE" w:rsidRPr="00080443">
        <w:rPr>
          <w:rFonts w:cs="Arial"/>
        </w:rPr>
        <w:t xml:space="preserve">frequency </w:t>
      </w:r>
      <w:r w:rsidRPr="00080443">
        <w:rPr>
          <w:rFonts w:cs="Arial"/>
        </w:rPr>
        <w:t xml:space="preserve">contiguity of the lots of each product that were allocated to each bidder in the allocation stage, and also the </w:t>
      </w:r>
      <w:r w:rsidR="00B167EE" w:rsidRPr="00080443">
        <w:rPr>
          <w:rFonts w:cs="Arial"/>
        </w:rPr>
        <w:t xml:space="preserve">frequency </w:t>
      </w:r>
      <w:r w:rsidRPr="00080443">
        <w:rPr>
          <w:rFonts w:cs="Arial"/>
        </w:rPr>
        <w:t>contiguity of the lots of each product that were unallocated at the end of the allocation stage</w:t>
      </w:r>
      <w:r w:rsidR="00C30A1E" w:rsidRPr="00080443">
        <w:rPr>
          <w:rFonts w:cs="Arial"/>
        </w:rPr>
        <w:t xml:space="preserve"> (see examples in Figure 10)</w:t>
      </w:r>
      <w:r w:rsidRPr="00080443">
        <w:rPr>
          <w:rFonts w:cs="Arial"/>
        </w:rPr>
        <w:t xml:space="preserve">. </w:t>
      </w:r>
    </w:p>
    <w:p w14:paraId="3DBF0176" w14:textId="77777777" w:rsidR="00CE14EA" w:rsidRPr="00080443" w:rsidRDefault="00CE14EA" w:rsidP="008128F7">
      <w:pPr>
        <w:rPr>
          <w:rFonts w:cs="Arial"/>
        </w:rPr>
      </w:pPr>
    </w:p>
    <w:tbl>
      <w:tblPr>
        <w:tblW w:w="9645" w:type="dxa"/>
        <w:tblLayout w:type="fixed"/>
        <w:tblCellMar>
          <w:left w:w="0" w:type="dxa"/>
          <w:right w:w="0" w:type="dxa"/>
        </w:tblCellMar>
        <w:tblLook w:val="01E0" w:firstRow="1" w:lastRow="1" w:firstColumn="1" w:lastColumn="1" w:noHBand="0" w:noVBand="0"/>
      </w:tblPr>
      <w:tblGrid>
        <w:gridCol w:w="9645"/>
      </w:tblGrid>
      <w:tr w:rsidR="002F4BFC" w:rsidRPr="00080443" w14:paraId="38DF7C8D" w14:textId="77777777" w:rsidTr="002F4BFC">
        <w:trPr>
          <w:trHeight w:val="570"/>
        </w:trPr>
        <w:tc>
          <w:tcPr>
            <w:tcW w:w="9645" w:type="dxa"/>
            <w:tcBorders>
              <w:top w:val="single" w:sz="2" w:space="0" w:color="505050"/>
            </w:tcBorders>
            <w:shd w:val="clear" w:color="auto" w:fill="auto"/>
            <w:vAlign w:val="center"/>
          </w:tcPr>
          <w:p w14:paraId="63A7D692" w14:textId="77777777" w:rsidR="002F4BFC" w:rsidRPr="00080443" w:rsidRDefault="002F4BFC" w:rsidP="002F4BFC">
            <w:pPr>
              <w:pStyle w:val="Caption"/>
              <w:rPr>
                <w:rFonts w:cs="Arial"/>
              </w:rPr>
            </w:pPr>
            <w:r w:rsidRPr="00080443">
              <w:rPr>
                <w:rFonts w:cs="Arial"/>
              </w:rPr>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10</w:t>
            </w:r>
            <w:r w:rsidR="00724CDB" w:rsidRPr="00080443">
              <w:rPr>
                <w:rFonts w:cs="Arial"/>
              </w:rPr>
              <w:fldChar w:fldCharType="end"/>
            </w:r>
            <w:r w:rsidRPr="00080443">
              <w:rPr>
                <w:rFonts w:cs="Arial"/>
              </w:rPr>
              <w:t xml:space="preserve"> Example frequency range options for a bidder who won two lots of the 700 MHz band product</w:t>
            </w:r>
          </w:p>
        </w:tc>
      </w:tr>
      <w:tr w:rsidR="002F4BFC" w:rsidRPr="00080443" w14:paraId="372DD14B" w14:textId="77777777" w:rsidTr="002F4BFC">
        <w:trPr>
          <w:trHeight w:val="3086"/>
        </w:trPr>
        <w:tc>
          <w:tcPr>
            <w:tcW w:w="9645" w:type="dxa"/>
            <w:shd w:val="clear" w:color="auto" w:fill="auto"/>
            <w:tcMar>
              <w:left w:w="28" w:type="dxa"/>
            </w:tcMar>
          </w:tcPr>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7"/>
              <w:gridCol w:w="707"/>
              <w:gridCol w:w="706"/>
              <w:gridCol w:w="728"/>
              <w:gridCol w:w="728"/>
              <w:gridCol w:w="706"/>
              <w:gridCol w:w="684"/>
              <w:gridCol w:w="751"/>
              <w:gridCol w:w="728"/>
              <w:gridCol w:w="573"/>
            </w:tblGrid>
            <w:tr w:rsidR="002F4BFC" w:rsidRPr="00080443" w14:paraId="0312DB38" w14:textId="77777777" w:rsidTr="002F4BFC">
              <w:tc>
                <w:tcPr>
                  <w:tcW w:w="1627" w:type="dxa"/>
                </w:tcPr>
                <w:p w14:paraId="70B9FB12" w14:textId="77777777" w:rsidR="002F4BFC" w:rsidRPr="00080443" w:rsidRDefault="002F4BFC" w:rsidP="002F4BFC">
                  <w:pPr>
                    <w:rPr>
                      <w:rFonts w:cs="Arial"/>
                    </w:rPr>
                  </w:pPr>
                </w:p>
              </w:tc>
              <w:tc>
                <w:tcPr>
                  <w:tcW w:w="707" w:type="dxa"/>
                  <w:tcBorders>
                    <w:bottom w:val="single" w:sz="4" w:space="0" w:color="auto"/>
                  </w:tcBorders>
                </w:tcPr>
                <w:p w14:paraId="29E1D72E" w14:textId="77777777" w:rsidR="002F4BFC" w:rsidRPr="00080443" w:rsidRDefault="002F4BFC" w:rsidP="002F4BFC">
                  <w:pPr>
                    <w:rPr>
                      <w:rFonts w:cs="Arial"/>
                      <w:b/>
                    </w:rPr>
                  </w:pPr>
                  <w:r w:rsidRPr="00080443">
                    <w:rPr>
                      <w:rFonts w:cs="Arial"/>
                      <w:b/>
                    </w:rPr>
                    <w:t>A</w:t>
                  </w:r>
                </w:p>
              </w:tc>
              <w:tc>
                <w:tcPr>
                  <w:tcW w:w="706" w:type="dxa"/>
                  <w:tcBorders>
                    <w:bottom w:val="single" w:sz="4" w:space="0" w:color="auto"/>
                  </w:tcBorders>
                </w:tcPr>
                <w:p w14:paraId="5808BA14" w14:textId="77777777" w:rsidR="002F4BFC" w:rsidRPr="00080443" w:rsidRDefault="002F4BFC" w:rsidP="002F4BFC">
                  <w:pPr>
                    <w:rPr>
                      <w:rFonts w:cs="Arial"/>
                      <w:b/>
                    </w:rPr>
                  </w:pPr>
                  <w:r w:rsidRPr="00080443">
                    <w:rPr>
                      <w:rFonts w:cs="Arial"/>
                      <w:b/>
                    </w:rPr>
                    <w:t>B</w:t>
                  </w:r>
                </w:p>
              </w:tc>
              <w:tc>
                <w:tcPr>
                  <w:tcW w:w="728" w:type="dxa"/>
                  <w:tcBorders>
                    <w:bottom w:val="single" w:sz="4" w:space="0" w:color="auto"/>
                  </w:tcBorders>
                </w:tcPr>
                <w:p w14:paraId="61D77E36" w14:textId="77777777" w:rsidR="002F4BFC" w:rsidRPr="00080443" w:rsidRDefault="002F4BFC" w:rsidP="002F4BFC">
                  <w:pPr>
                    <w:rPr>
                      <w:rFonts w:cs="Arial"/>
                      <w:b/>
                    </w:rPr>
                  </w:pPr>
                  <w:r w:rsidRPr="00080443">
                    <w:rPr>
                      <w:rFonts w:cs="Arial"/>
                      <w:b/>
                    </w:rPr>
                    <w:t>C</w:t>
                  </w:r>
                </w:p>
              </w:tc>
              <w:tc>
                <w:tcPr>
                  <w:tcW w:w="728" w:type="dxa"/>
                  <w:tcBorders>
                    <w:bottom w:val="single" w:sz="4" w:space="0" w:color="auto"/>
                  </w:tcBorders>
                </w:tcPr>
                <w:p w14:paraId="2311BB81" w14:textId="77777777" w:rsidR="002F4BFC" w:rsidRPr="00080443" w:rsidRDefault="002F4BFC" w:rsidP="002F4BFC">
                  <w:pPr>
                    <w:rPr>
                      <w:rFonts w:cs="Arial"/>
                      <w:b/>
                    </w:rPr>
                  </w:pPr>
                  <w:r w:rsidRPr="00080443">
                    <w:rPr>
                      <w:rFonts w:cs="Arial"/>
                      <w:b/>
                    </w:rPr>
                    <w:t>D</w:t>
                  </w:r>
                </w:p>
              </w:tc>
              <w:tc>
                <w:tcPr>
                  <w:tcW w:w="706" w:type="dxa"/>
                  <w:tcBorders>
                    <w:bottom w:val="single" w:sz="4" w:space="0" w:color="auto"/>
                  </w:tcBorders>
                </w:tcPr>
                <w:p w14:paraId="7A530E30" w14:textId="77777777" w:rsidR="002F4BFC" w:rsidRPr="00080443" w:rsidRDefault="002F4BFC" w:rsidP="002F4BFC">
                  <w:pPr>
                    <w:rPr>
                      <w:rFonts w:cs="Arial"/>
                      <w:b/>
                    </w:rPr>
                  </w:pPr>
                  <w:r w:rsidRPr="00080443">
                    <w:rPr>
                      <w:rFonts w:cs="Arial"/>
                      <w:b/>
                    </w:rPr>
                    <w:t>E</w:t>
                  </w:r>
                </w:p>
              </w:tc>
              <w:tc>
                <w:tcPr>
                  <w:tcW w:w="684" w:type="dxa"/>
                  <w:tcBorders>
                    <w:bottom w:val="single" w:sz="4" w:space="0" w:color="auto"/>
                  </w:tcBorders>
                </w:tcPr>
                <w:p w14:paraId="5F544ED5" w14:textId="77777777" w:rsidR="002F4BFC" w:rsidRPr="00080443" w:rsidRDefault="002F4BFC" w:rsidP="002F4BFC">
                  <w:pPr>
                    <w:rPr>
                      <w:rFonts w:cs="Arial"/>
                      <w:b/>
                    </w:rPr>
                  </w:pPr>
                  <w:r w:rsidRPr="00080443">
                    <w:rPr>
                      <w:rFonts w:cs="Arial"/>
                      <w:b/>
                    </w:rPr>
                    <w:t>F</w:t>
                  </w:r>
                </w:p>
              </w:tc>
              <w:tc>
                <w:tcPr>
                  <w:tcW w:w="751" w:type="dxa"/>
                  <w:tcBorders>
                    <w:bottom w:val="single" w:sz="4" w:space="0" w:color="auto"/>
                  </w:tcBorders>
                </w:tcPr>
                <w:p w14:paraId="406123E9" w14:textId="77777777" w:rsidR="002F4BFC" w:rsidRPr="00080443" w:rsidRDefault="002F4BFC" w:rsidP="002F4BFC">
                  <w:pPr>
                    <w:rPr>
                      <w:rFonts w:cs="Arial"/>
                      <w:b/>
                    </w:rPr>
                  </w:pPr>
                  <w:r w:rsidRPr="00080443">
                    <w:rPr>
                      <w:rFonts w:cs="Arial"/>
                      <w:b/>
                    </w:rPr>
                    <w:t>G</w:t>
                  </w:r>
                </w:p>
              </w:tc>
              <w:tc>
                <w:tcPr>
                  <w:tcW w:w="728" w:type="dxa"/>
                  <w:tcBorders>
                    <w:bottom w:val="single" w:sz="4" w:space="0" w:color="auto"/>
                  </w:tcBorders>
                </w:tcPr>
                <w:p w14:paraId="69AB7603" w14:textId="77777777" w:rsidR="002F4BFC" w:rsidRPr="00080443" w:rsidRDefault="002F4BFC" w:rsidP="002F4BFC">
                  <w:pPr>
                    <w:rPr>
                      <w:rFonts w:cs="Arial"/>
                      <w:b/>
                    </w:rPr>
                  </w:pPr>
                  <w:r w:rsidRPr="00080443">
                    <w:rPr>
                      <w:rFonts w:cs="Arial"/>
                      <w:b/>
                    </w:rPr>
                    <w:t>H</w:t>
                  </w:r>
                </w:p>
              </w:tc>
              <w:tc>
                <w:tcPr>
                  <w:tcW w:w="573" w:type="dxa"/>
                  <w:tcBorders>
                    <w:bottom w:val="single" w:sz="4" w:space="0" w:color="auto"/>
                  </w:tcBorders>
                </w:tcPr>
                <w:p w14:paraId="71DB3F28" w14:textId="77777777" w:rsidR="002F4BFC" w:rsidRPr="00080443" w:rsidRDefault="002F4BFC" w:rsidP="002F4BFC">
                  <w:pPr>
                    <w:rPr>
                      <w:rFonts w:cs="Arial"/>
                      <w:b/>
                    </w:rPr>
                  </w:pPr>
                  <w:r w:rsidRPr="00080443">
                    <w:rPr>
                      <w:rFonts w:cs="Arial"/>
                      <w:b/>
                    </w:rPr>
                    <w:t>I</w:t>
                  </w:r>
                </w:p>
              </w:tc>
            </w:tr>
            <w:tr w:rsidR="002F4BFC" w:rsidRPr="00080443" w14:paraId="1F7C5B49" w14:textId="77777777" w:rsidTr="002F4BFC">
              <w:tc>
                <w:tcPr>
                  <w:tcW w:w="1627" w:type="dxa"/>
                  <w:tcBorders>
                    <w:right w:val="single" w:sz="4" w:space="0" w:color="auto"/>
                  </w:tcBorders>
                </w:tcPr>
                <w:p w14:paraId="0570A639" w14:textId="77777777" w:rsidR="002F4BFC" w:rsidRPr="00080443" w:rsidRDefault="002F4BFC" w:rsidP="002F4BFC">
                  <w:pPr>
                    <w:rPr>
                      <w:rFonts w:cs="Arial"/>
                      <w:b/>
                    </w:rPr>
                  </w:pPr>
                  <w:r w:rsidRPr="00080443">
                    <w:rPr>
                      <w:rFonts w:cs="Arial"/>
                      <w:b/>
                    </w:rPr>
                    <w:t>Option 1</w:t>
                  </w:r>
                </w:p>
              </w:tc>
              <w:tc>
                <w:tcPr>
                  <w:tcW w:w="70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DA598FF"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EB599F"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33DA285E"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534B5E70"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0D72C2AF" w14:textId="77777777" w:rsidR="002F4BFC" w:rsidRPr="00080443" w:rsidRDefault="002F4BFC" w:rsidP="002F4BFC">
                  <w:pPr>
                    <w:rPr>
                      <w:rFonts w:cs="Arial"/>
                    </w:rPr>
                  </w:pPr>
                </w:p>
              </w:tc>
              <w:tc>
                <w:tcPr>
                  <w:tcW w:w="684" w:type="dxa"/>
                  <w:tcBorders>
                    <w:top w:val="single" w:sz="4" w:space="0" w:color="auto"/>
                    <w:left w:val="single" w:sz="4" w:space="0" w:color="auto"/>
                    <w:bottom w:val="single" w:sz="4" w:space="0" w:color="auto"/>
                    <w:right w:val="single" w:sz="4" w:space="0" w:color="auto"/>
                  </w:tcBorders>
                </w:tcPr>
                <w:p w14:paraId="06A37ECE" w14:textId="77777777" w:rsidR="002F4BFC" w:rsidRPr="00080443" w:rsidRDefault="002F4BFC" w:rsidP="002F4BFC">
                  <w:pPr>
                    <w:rPr>
                      <w:rFonts w:cs="Arial"/>
                    </w:rPr>
                  </w:pPr>
                </w:p>
              </w:tc>
              <w:tc>
                <w:tcPr>
                  <w:tcW w:w="751" w:type="dxa"/>
                  <w:tcBorders>
                    <w:top w:val="single" w:sz="4" w:space="0" w:color="auto"/>
                    <w:left w:val="single" w:sz="4" w:space="0" w:color="auto"/>
                    <w:bottom w:val="single" w:sz="4" w:space="0" w:color="auto"/>
                    <w:right w:val="single" w:sz="4" w:space="0" w:color="auto"/>
                  </w:tcBorders>
                </w:tcPr>
                <w:p w14:paraId="49446666"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60192E6B" w14:textId="77777777" w:rsidR="002F4BFC" w:rsidRPr="00080443" w:rsidRDefault="002F4BFC" w:rsidP="002F4BFC">
                  <w:pPr>
                    <w:rPr>
                      <w:rFonts w:cs="Arial"/>
                    </w:rPr>
                  </w:pPr>
                </w:p>
              </w:tc>
              <w:tc>
                <w:tcPr>
                  <w:tcW w:w="573" w:type="dxa"/>
                  <w:tcBorders>
                    <w:top w:val="single" w:sz="4" w:space="0" w:color="auto"/>
                    <w:left w:val="single" w:sz="4" w:space="0" w:color="auto"/>
                    <w:bottom w:val="single" w:sz="4" w:space="0" w:color="auto"/>
                    <w:right w:val="single" w:sz="4" w:space="0" w:color="auto"/>
                  </w:tcBorders>
                </w:tcPr>
                <w:p w14:paraId="4116B722" w14:textId="77777777" w:rsidR="002F4BFC" w:rsidRPr="00080443" w:rsidRDefault="002F4BFC" w:rsidP="002F4BFC">
                  <w:pPr>
                    <w:rPr>
                      <w:rFonts w:cs="Arial"/>
                    </w:rPr>
                  </w:pPr>
                </w:p>
              </w:tc>
            </w:tr>
            <w:tr w:rsidR="002F4BFC" w:rsidRPr="00080443" w14:paraId="23F4B436" w14:textId="77777777" w:rsidTr="002F4BFC">
              <w:tc>
                <w:tcPr>
                  <w:tcW w:w="1627" w:type="dxa"/>
                </w:tcPr>
                <w:p w14:paraId="00C6C163" w14:textId="77777777" w:rsidR="002F4BFC" w:rsidRPr="00080443" w:rsidRDefault="002F4BFC" w:rsidP="002F4BFC">
                  <w:pPr>
                    <w:rPr>
                      <w:rFonts w:cs="Arial"/>
                      <w:b/>
                    </w:rPr>
                  </w:pPr>
                </w:p>
              </w:tc>
              <w:tc>
                <w:tcPr>
                  <w:tcW w:w="707" w:type="dxa"/>
                  <w:tcBorders>
                    <w:top w:val="single" w:sz="4" w:space="0" w:color="auto"/>
                    <w:bottom w:val="single" w:sz="4" w:space="0" w:color="auto"/>
                  </w:tcBorders>
                </w:tcPr>
                <w:p w14:paraId="63F5997A"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600DC518"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0B4F24FB"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764A5CF0"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1DDC6664" w14:textId="77777777" w:rsidR="002F4BFC" w:rsidRPr="00080443" w:rsidRDefault="002F4BFC" w:rsidP="002F4BFC">
                  <w:pPr>
                    <w:rPr>
                      <w:rFonts w:cs="Arial"/>
                    </w:rPr>
                  </w:pPr>
                </w:p>
              </w:tc>
              <w:tc>
                <w:tcPr>
                  <w:tcW w:w="684" w:type="dxa"/>
                  <w:tcBorders>
                    <w:top w:val="single" w:sz="4" w:space="0" w:color="auto"/>
                    <w:bottom w:val="single" w:sz="4" w:space="0" w:color="auto"/>
                  </w:tcBorders>
                </w:tcPr>
                <w:p w14:paraId="2B50BFE7" w14:textId="77777777" w:rsidR="002F4BFC" w:rsidRPr="00080443" w:rsidRDefault="002F4BFC" w:rsidP="002F4BFC">
                  <w:pPr>
                    <w:rPr>
                      <w:rFonts w:cs="Arial"/>
                    </w:rPr>
                  </w:pPr>
                </w:p>
              </w:tc>
              <w:tc>
                <w:tcPr>
                  <w:tcW w:w="751" w:type="dxa"/>
                  <w:tcBorders>
                    <w:top w:val="single" w:sz="4" w:space="0" w:color="auto"/>
                    <w:bottom w:val="single" w:sz="4" w:space="0" w:color="auto"/>
                  </w:tcBorders>
                </w:tcPr>
                <w:p w14:paraId="53DED5E3"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26C03E8E" w14:textId="77777777" w:rsidR="002F4BFC" w:rsidRPr="00080443" w:rsidRDefault="002F4BFC" w:rsidP="002F4BFC">
                  <w:pPr>
                    <w:rPr>
                      <w:rFonts w:cs="Arial"/>
                    </w:rPr>
                  </w:pPr>
                </w:p>
              </w:tc>
              <w:tc>
                <w:tcPr>
                  <w:tcW w:w="573" w:type="dxa"/>
                  <w:tcBorders>
                    <w:top w:val="single" w:sz="4" w:space="0" w:color="auto"/>
                    <w:bottom w:val="single" w:sz="4" w:space="0" w:color="auto"/>
                  </w:tcBorders>
                </w:tcPr>
                <w:p w14:paraId="382CA64D" w14:textId="77777777" w:rsidR="002F4BFC" w:rsidRPr="00080443" w:rsidRDefault="002F4BFC" w:rsidP="002F4BFC">
                  <w:pPr>
                    <w:rPr>
                      <w:rFonts w:cs="Arial"/>
                    </w:rPr>
                  </w:pPr>
                </w:p>
              </w:tc>
            </w:tr>
            <w:tr w:rsidR="002F4BFC" w:rsidRPr="00080443" w14:paraId="306B88E2" w14:textId="77777777" w:rsidTr="002F4BFC">
              <w:tc>
                <w:tcPr>
                  <w:tcW w:w="1627" w:type="dxa"/>
                  <w:tcBorders>
                    <w:right w:val="single" w:sz="4" w:space="0" w:color="auto"/>
                  </w:tcBorders>
                </w:tcPr>
                <w:p w14:paraId="7DB24618" w14:textId="77777777" w:rsidR="002F4BFC" w:rsidRPr="00080443" w:rsidRDefault="002F4BFC" w:rsidP="002F4BFC">
                  <w:pPr>
                    <w:rPr>
                      <w:rFonts w:cs="Arial"/>
                      <w:b/>
                    </w:rPr>
                  </w:pPr>
                  <w:r w:rsidRPr="00080443">
                    <w:rPr>
                      <w:rFonts w:cs="Arial"/>
                      <w:b/>
                    </w:rPr>
                    <w:t>Option 2</w:t>
                  </w:r>
                </w:p>
              </w:tc>
              <w:tc>
                <w:tcPr>
                  <w:tcW w:w="707" w:type="dxa"/>
                  <w:tcBorders>
                    <w:top w:val="single" w:sz="4" w:space="0" w:color="auto"/>
                    <w:left w:val="single" w:sz="4" w:space="0" w:color="auto"/>
                    <w:bottom w:val="single" w:sz="4" w:space="0" w:color="auto"/>
                    <w:right w:val="single" w:sz="4" w:space="0" w:color="auto"/>
                  </w:tcBorders>
                </w:tcPr>
                <w:p w14:paraId="3B37F5B0"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CD93B39"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C1F530"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7FE81976"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0625BAB5" w14:textId="77777777" w:rsidR="002F4BFC" w:rsidRPr="00080443" w:rsidRDefault="002F4BFC" w:rsidP="002F4BFC">
                  <w:pPr>
                    <w:rPr>
                      <w:rFonts w:cs="Arial"/>
                    </w:rPr>
                  </w:pPr>
                </w:p>
              </w:tc>
              <w:tc>
                <w:tcPr>
                  <w:tcW w:w="684" w:type="dxa"/>
                  <w:tcBorders>
                    <w:top w:val="single" w:sz="4" w:space="0" w:color="auto"/>
                    <w:left w:val="single" w:sz="4" w:space="0" w:color="auto"/>
                    <w:bottom w:val="single" w:sz="4" w:space="0" w:color="auto"/>
                    <w:right w:val="single" w:sz="4" w:space="0" w:color="auto"/>
                  </w:tcBorders>
                </w:tcPr>
                <w:p w14:paraId="70786886" w14:textId="77777777" w:rsidR="002F4BFC" w:rsidRPr="00080443" w:rsidRDefault="002F4BFC" w:rsidP="002F4BFC">
                  <w:pPr>
                    <w:rPr>
                      <w:rFonts w:cs="Arial"/>
                    </w:rPr>
                  </w:pPr>
                </w:p>
              </w:tc>
              <w:tc>
                <w:tcPr>
                  <w:tcW w:w="751" w:type="dxa"/>
                  <w:tcBorders>
                    <w:top w:val="single" w:sz="4" w:space="0" w:color="auto"/>
                    <w:left w:val="single" w:sz="4" w:space="0" w:color="auto"/>
                    <w:bottom w:val="single" w:sz="4" w:space="0" w:color="auto"/>
                    <w:right w:val="single" w:sz="4" w:space="0" w:color="auto"/>
                  </w:tcBorders>
                </w:tcPr>
                <w:p w14:paraId="564ED46A"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2937CA8A" w14:textId="77777777" w:rsidR="002F4BFC" w:rsidRPr="00080443" w:rsidRDefault="002F4BFC" w:rsidP="002F4BFC">
                  <w:pPr>
                    <w:rPr>
                      <w:rFonts w:cs="Arial"/>
                    </w:rPr>
                  </w:pPr>
                </w:p>
              </w:tc>
              <w:tc>
                <w:tcPr>
                  <w:tcW w:w="573" w:type="dxa"/>
                  <w:tcBorders>
                    <w:top w:val="single" w:sz="4" w:space="0" w:color="auto"/>
                    <w:left w:val="single" w:sz="4" w:space="0" w:color="auto"/>
                    <w:bottom w:val="single" w:sz="4" w:space="0" w:color="auto"/>
                    <w:right w:val="single" w:sz="4" w:space="0" w:color="auto"/>
                  </w:tcBorders>
                </w:tcPr>
                <w:p w14:paraId="5C61D66A" w14:textId="77777777" w:rsidR="002F4BFC" w:rsidRPr="00080443" w:rsidRDefault="002F4BFC" w:rsidP="002F4BFC">
                  <w:pPr>
                    <w:rPr>
                      <w:rFonts w:cs="Arial"/>
                    </w:rPr>
                  </w:pPr>
                </w:p>
              </w:tc>
            </w:tr>
            <w:tr w:rsidR="002F4BFC" w:rsidRPr="00080443" w14:paraId="2FD54D2C" w14:textId="77777777" w:rsidTr="002F4BFC">
              <w:tc>
                <w:tcPr>
                  <w:tcW w:w="1627" w:type="dxa"/>
                </w:tcPr>
                <w:p w14:paraId="286F20EB" w14:textId="77777777" w:rsidR="002F4BFC" w:rsidRPr="00080443" w:rsidRDefault="002F4BFC" w:rsidP="002F4BFC">
                  <w:pPr>
                    <w:rPr>
                      <w:rFonts w:cs="Arial"/>
                      <w:b/>
                    </w:rPr>
                  </w:pPr>
                </w:p>
              </w:tc>
              <w:tc>
                <w:tcPr>
                  <w:tcW w:w="707" w:type="dxa"/>
                  <w:tcBorders>
                    <w:top w:val="single" w:sz="4" w:space="0" w:color="auto"/>
                    <w:bottom w:val="single" w:sz="4" w:space="0" w:color="auto"/>
                  </w:tcBorders>
                </w:tcPr>
                <w:p w14:paraId="4A4E908B"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430BEEAD"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3BD035F2"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3DB24940"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7BB0E8E6" w14:textId="77777777" w:rsidR="002F4BFC" w:rsidRPr="00080443" w:rsidRDefault="002F4BFC" w:rsidP="002F4BFC">
                  <w:pPr>
                    <w:rPr>
                      <w:rFonts w:cs="Arial"/>
                    </w:rPr>
                  </w:pPr>
                </w:p>
              </w:tc>
              <w:tc>
                <w:tcPr>
                  <w:tcW w:w="684" w:type="dxa"/>
                  <w:tcBorders>
                    <w:top w:val="single" w:sz="4" w:space="0" w:color="auto"/>
                    <w:bottom w:val="single" w:sz="4" w:space="0" w:color="auto"/>
                  </w:tcBorders>
                </w:tcPr>
                <w:p w14:paraId="4CE3B8CA" w14:textId="77777777" w:rsidR="002F4BFC" w:rsidRPr="00080443" w:rsidRDefault="002F4BFC" w:rsidP="002F4BFC">
                  <w:pPr>
                    <w:rPr>
                      <w:rFonts w:cs="Arial"/>
                    </w:rPr>
                  </w:pPr>
                </w:p>
              </w:tc>
              <w:tc>
                <w:tcPr>
                  <w:tcW w:w="751" w:type="dxa"/>
                  <w:tcBorders>
                    <w:top w:val="single" w:sz="4" w:space="0" w:color="auto"/>
                    <w:bottom w:val="single" w:sz="4" w:space="0" w:color="auto"/>
                  </w:tcBorders>
                </w:tcPr>
                <w:p w14:paraId="5734F353"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25679E1B" w14:textId="77777777" w:rsidR="002F4BFC" w:rsidRPr="00080443" w:rsidRDefault="002F4BFC" w:rsidP="002F4BFC">
                  <w:pPr>
                    <w:rPr>
                      <w:rFonts w:cs="Arial"/>
                    </w:rPr>
                  </w:pPr>
                </w:p>
              </w:tc>
              <w:tc>
                <w:tcPr>
                  <w:tcW w:w="573" w:type="dxa"/>
                  <w:tcBorders>
                    <w:top w:val="single" w:sz="4" w:space="0" w:color="auto"/>
                    <w:bottom w:val="single" w:sz="4" w:space="0" w:color="auto"/>
                  </w:tcBorders>
                </w:tcPr>
                <w:p w14:paraId="13293B51" w14:textId="77777777" w:rsidR="002F4BFC" w:rsidRPr="00080443" w:rsidRDefault="002F4BFC" w:rsidP="002F4BFC">
                  <w:pPr>
                    <w:rPr>
                      <w:rFonts w:cs="Arial"/>
                    </w:rPr>
                  </w:pPr>
                </w:p>
              </w:tc>
            </w:tr>
            <w:tr w:rsidR="002F4BFC" w:rsidRPr="00080443" w14:paraId="3DB49262" w14:textId="77777777" w:rsidTr="002F4BFC">
              <w:tc>
                <w:tcPr>
                  <w:tcW w:w="1627" w:type="dxa"/>
                  <w:tcBorders>
                    <w:right w:val="single" w:sz="4" w:space="0" w:color="auto"/>
                  </w:tcBorders>
                </w:tcPr>
                <w:p w14:paraId="24FE540C" w14:textId="77777777" w:rsidR="002F4BFC" w:rsidRPr="00080443" w:rsidRDefault="002F4BFC" w:rsidP="002F4BFC">
                  <w:pPr>
                    <w:rPr>
                      <w:rFonts w:cs="Arial"/>
                      <w:b/>
                    </w:rPr>
                  </w:pPr>
                  <w:r w:rsidRPr="00080443">
                    <w:rPr>
                      <w:rFonts w:cs="Arial"/>
                      <w:b/>
                    </w:rPr>
                    <w:t>Option 3</w:t>
                  </w:r>
                </w:p>
              </w:tc>
              <w:tc>
                <w:tcPr>
                  <w:tcW w:w="707" w:type="dxa"/>
                  <w:tcBorders>
                    <w:top w:val="single" w:sz="4" w:space="0" w:color="auto"/>
                    <w:left w:val="single" w:sz="4" w:space="0" w:color="auto"/>
                    <w:bottom w:val="single" w:sz="4" w:space="0" w:color="auto"/>
                    <w:right w:val="single" w:sz="4" w:space="0" w:color="auto"/>
                  </w:tcBorders>
                </w:tcPr>
                <w:p w14:paraId="4BEB19A4"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154374C8"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7E3EC14"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DE4A9C9"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28525ACA" w14:textId="77777777" w:rsidR="002F4BFC" w:rsidRPr="00080443" w:rsidRDefault="002F4BFC" w:rsidP="002F4BFC">
                  <w:pPr>
                    <w:rPr>
                      <w:rFonts w:cs="Arial"/>
                    </w:rPr>
                  </w:pPr>
                </w:p>
              </w:tc>
              <w:tc>
                <w:tcPr>
                  <w:tcW w:w="684" w:type="dxa"/>
                  <w:tcBorders>
                    <w:top w:val="single" w:sz="4" w:space="0" w:color="auto"/>
                    <w:left w:val="single" w:sz="4" w:space="0" w:color="auto"/>
                    <w:bottom w:val="single" w:sz="4" w:space="0" w:color="auto"/>
                    <w:right w:val="single" w:sz="4" w:space="0" w:color="auto"/>
                  </w:tcBorders>
                </w:tcPr>
                <w:p w14:paraId="7A71B7E5" w14:textId="77777777" w:rsidR="002F4BFC" w:rsidRPr="00080443" w:rsidRDefault="002F4BFC" w:rsidP="002F4BFC">
                  <w:pPr>
                    <w:rPr>
                      <w:rFonts w:cs="Arial"/>
                    </w:rPr>
                  </w:pPr>
                </w:p>
              </w:tc>
              <w:tc>
                <w:tcPr>
                  <w:tcW w:w="751" w:type="dxa"/>
                  <w:tcBorders>
                    <w:top w:val="single" w:sz="4" w:space="0" w:color="auto"/>
                    <w:left w:val="single" w:sz="4" w:space="0" w:color="auto"/>
                    <w:bottom w:val="single" w:sz="4" w:space="0" w:color="auto"/>
                    <w:right w:val="single" w:sz="4" w:space="0" w:color="auto"/>
                  </w:tcBorders>
                </w:tcPr>
                <w:p w14:paraId="77A8B517"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1E381896" w14:textId="77777777" w:rsidR="002F4BFC" w:rsidRPr="00080443" w:rsidRDefault="002F4BFC" w:rsidP="002F4BFC">
                  <w:pPr>
                    <w:rPr>
                      <w:rFonts w:cs="Arial"/>
                    </w:rPr>
                  </w:pPr>
                </w:p>
              </w:tc>
              <w:tc>
                <w:tcPr>
                  <w:tcW w:w="573" w:type="dxa"/>
                  <w:tcBorders>
                    <w:top w:val="single" w:sz="4" w:space="0" w:color="auto"/>
                    <w:left w:val="single" w:sz="4" w:space="0" w:color="auto"/>
                    <w:bottom w:val="single" w:sz="4" w:space="0" w:color="auto"/>
                    <w:right w:val="single" w:sz="4" w:space="0" w:color="auto"/>
                  </w:tcBorders>
                </w:tcPr>
                <w:p w14:paraId="6913F540" w14:textId="77777777" w:rsidR="002F4BFC" w:rsidRPr="00080443" w:rsidRDefault="002F4BFC" w:rsidP="002F4BFC">
                  <w:pPr>
                    <w:rPr>
                      <w:rFonts w:cs="Arial"/>
                    </w:rPr>
                  </w:pPr>
                </w:p>
              </w:tc>
            </w:tr>
            <w:tr w:rsidR="002F4BFC" w:rsidRPr="00080443" w14:paraId="5EEE1D49" w14:textId="77777777" w:rsidTr="002F4BFC">
              <w:tc>
                <w:tcPr>
                  <w:tcW w:w="1627" w:type="dxa"/>
                </w:tcPr>
                <w:p w14:paraId="53609649" w14:textId="77777777" w:rsidR="002F4BFC" w:rsidRPr="00080443" w:rsidRDefault="002F4BFC" w:rsidP="002F4BFC">
                  <w:pPr>
                    <w:rPr>
                      <w:rFonts w:cs="Arial"/>
                      <w:b/>
                    </w:rPr>
                  </w:pPr>
                </w:p>
              </w:tc>
              <w:tc>
                <w:tcPr>
                  <w:tcW w:w="707" w:type="dxa"/>
                  <w:tcBorders>
                    <w:top w:val="single" w:sz="4" w:space="0" w:color="auto"/>
                    <w:bottom w:val="single" w:sz="4" w:space="0" w:color="auto"/>
                  </w:tcBorders>
                </w:tcPr>
                <w:p w14:paraId="3B7262CF"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2E457571"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39B74C83"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47FF1CF9"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21075F11" w14:textId="77777777" w:rsidR="002F4BFC" w:rsidRPr="00080443" w:rsidRDefault="002F4BFC" w:rsidP="002F4BFC">
                  <w:pPr>
                    <w:rPr>
                      <w:rFonts w:cs="Arial"/>
                    </w:rPr>
                  </w:pPr>
                </w:p>
              </w:tc>
              <w:tc>
                <w:tcPr>
                  <w:tcW w:w="684" w:type="dxa"/>
                  <w:tcBorders>
                    <w:top w:val="single" w:sz="4" w:space="0" w:color="auto"/>
                    <w:bottom w:val="single" w:sz="4" w:space="0" w:color="auto"/>
                  </w:tcBorders>
                </w:tcPr>
                <w:p w14:paraId="32D6C427" w14:textId="77777777" w:rsidR="002F4BFC" w:rsidRPr="00080443" w:rsidRDefault="002F4BFC" w:rsidP="002F4BFC">
                  <w:pPr>
                    <w:rPr>
                      <w:rFonts w:cs="Arial"/>
                    </w:rPr>
                  </w:pPr>
                </w:p>
              </w:tc>
              <w:tc>
                <w:tcPr>
                  <w:tcW w:w="751" w:type="dxa"/>
                  <w:tcBorders>
                    <w:top w:val="single" w:sz="4" w:space="0" w:color="auto"/>
                    <w:bottom w:val="single" w:sz="4" w:space="0" w:color="auto"/>
                  </w:tcBorders>
                </w:tcPr>
                <w:p w14:paraId="742FCFC0"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6941F2CE" w14:textId="77777777" w:rsidR="002F4BFC" w:rsidRPr="00080443" w:rsidRDefault="002F4BFC" w:rsidP="002F4BFC">
                  <w:pPr>
                    <w:rPr>
                      <w:rFonts w:cs="Arial"/>
                    </w:rPr>
                  </w:pPr>
                </w:p>
              </w:tc>
              <w:tc>
                <w:tcPr>
                  <w:tcW w:w="573" w:type="dxa"/>
                  <w:tcBorders>
                    <w:top w:val="single" w:sz="4" w:space="0" w:color="auto"/>
                    <w:bottom w:val="single" w:sz="4" w:space="0" w:color="auto"/>
                  </w:tcBorders>
                </w:tcPr>
                <w:p w14:paraId="220CC4FF" w14:textId="77777777" w:rsidR="002F4BFC" w:rsidRPr="00080443" w:rsidRDefault="002F4BFC" w:rsidP="002F4BFC">
                  <w:pPr>
                    <w:rPr>
                      <w:rFonts w:cs="Arial"/>
                    </w:rPr>
                  </w:pPr>
                </w:p>
              </w:tc>
            </w:tr>
            <w:tr w:rsidR="002F4BFC" w:rsidRPr="00080443" w14:paraId="7EADBEA4" w14:textId="77777777" w:rsidTr="002F4BFC">
              <w:tc>
                <w:tcPr>
                  <w:tcW w:w="1627" w:type="dxa"/>
                  <w:tcBorders>
                    <w:right w:val="single" w:sz="4" w:space="0" w:color="auto"/>
                  </w:tcBorders>
                </w:tcPr>
                <w:p w14:paraId="6FE671A1" w14:textId="77777777" w:rsidR="002F4BFC" w:rsidRPr="00080443" w:rsidRDefault="002F4BFC" w:rsidP="002F4BFC">
                  <w:pPr>
                    <w:rPr>
                      <w:rFonts w:cs="Arial"/>
                      <w:b/>
                    </w:rPr>
                  </w:pPr>
                  <w:r w:rsidRPr="00080443">
                    <w:rPr>
                      <w:rFonts w:cs="Arial"/>
                      <w:b/>
                    </w:rPr>
                    <w:t>Option 4</w:t>
                  </w:r>
                </w:p>
              </w:tc>
              <w:tc>
                <w:tcPr>
                  <w:tcW w:w="707" w:type="dxa"/>
                  <w:tcBorders>
                    <w:top w:val="single" w:sz="4" w:space="0" w:color="auto"/>
                    <w:left w:val="single" w:sz="4" w:space="0" w:color="auto"/>
                    <w:bottom w:val="single" w:sz="4" w:space="0" w:color="auto"/>
                    <w:right w:val="single" w:sz="4" w:space="0" w:color="auto"/>
                  </w:tcBorders>
                </w:tcPr>
                <w:p w14:paraId="76A20DD8"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41FA0816"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30150E22"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CBF589"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9751AC" w14:textId="77777777" w:rsidR="002F4BFC" w:rsidRPr="00080443" w:rsidRDefault="002F4BFC" w:rsidP="002F4BFC">
                  <w:pPr>
                    <w:rPr>
                      <w:rFonts w:cs="Arial"/>
                    </w:rPr>
                  </w:pPr>
                </w:p>
              </w:tc>
              <w:tc>
                <w:tcPr>
                  <w:tcW w:w="684" w:type="dxa"/>
                  <w:tcBorders>
                    <w:top w:val="single" w:sz="4" w:space="0" w:color="auto"/>
                    <w:left w:val="single" w:sz="4" w:space="0" w:color="auto"/>
                    <w:bottom w:val="single" w:sz="4" w:space="0" w:color="auto"/>
                    <w:right w:val="single" w:sz="4" w:space="0" w:color="auto"/>
                  </w:tcBorders>
                </w:tcPr>
                <w:p w14:paraId="29252993" w14:textId="77777777" w:rsidR="002F4BFC" w:rsidRPr="00080443" w:rsidRDefault="002F4BFC" w:rsidP="002F4BFC">
                  <w:pPr>
                    <w:rPr>
                      <w:rFonts w:cs="Arial"/>
                    </w:rPr>
                  </w:pPr>
                </w:p>
              </w:tc>
              <w:tc>
                <w:tcPr>
                  <w:tcW w:w="751" w:type="dxa"/>
                  <w:tcBorders>
                    <w:top w:val="single" w:sz="4" w:space="0" w:color="auto"/>
                    <w:left w:val="single" w:sz="4" w:space="0" w:color="auto"/>
                    <w:bottom w:val="single" w:sz="4" w:space="0" w:color="auto"/>
                    <w:right w:val="single" w:sz="4" w:space="0" w:color="auto"/>
                  </w:tcBorders>
                </w:tcPr>
                <w:p w14:paraId="11B8AA12"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74613AD2" w14:textId="77777777" w:rsidR="002F4BFC" w:rsidRPr="00080443" w:rsidRDefault="002F4BFC" w:rsidP="002F4BFC">
                  <w:pPr>
                    <w:rPr>
                      <w:rFonts w:cs="Arial"/>
                    </w:rPr>
                  </w:pPr>
                </w:p>
              </w:tc>
              <w:tc>
                <w:tcPr>
                  <w:tcW w:w="573" w:type="dxa"/>
                  <w:tcBorders>
                    <w:top w:val="single" w:sz="4" w:space="0" w:color="auto"/>
                    <w:left w:val="single" w:sz="4" w:space="0" w:color="auto"/>
                    <w:bottom w:val="single" w:sz="4" w:space="0" w:color="auto"/>
                    <w:right w:val="single" w:sz="4" w:space="0" w:color="auto"/>
                  </w:tcBorders>
                </w:tcPr>
                <w:p w14:paraId="511A72AA" w14:textId="77777777" w:rsidR="002F4BFC" w:rsidRPr="00080443" w:rsidRDefault="002F4BFC" w:rsidP="002F4BFC">
                  <w:pPr>
                    <w:rPr>
                      <w:rFonts w:cs="Arial"/>
                    </w:rPr>
                  </w:pPr>
                </w:p>
              </w:tc>
            </w:tr>
            <w:tr w:rsidR="002F4BFC" w:rsidRPr="00080443" w14:paraId="364FF7E8" w14:textId="77777777" w:rsidTr="002F4BFC">
              <w:tc>
                <w:tcPr>
                  <w:tcW w:w="1627" w:type="dxa"/>
                </w:tcPr>
                <w:p w14:paraId="6A77A671" w14:textId="77777777" w:rsidR="002F4BFC" w:rsidRPr="00080443" w:rsidRDefault="002F4BFC" w:rsidP="002F4BFC">
                  <w:pPr>
                    <w:rPr>
                      <w:rFonts w:cs="Arial"/>
                      <w:b/>
                    </w:rPr>
                  </w:pPr>
                </w:p>
              </w:tc>
              <w:tc>
                <w:tcPr>
                  <w:tcW w:w="707" w:type="dxa"/>
                  <w:tcBorders>
                    <w:top w:val="single" w:sz="4" w:space="0" w:color="auto"/>
                    <w:bottom w:val="single" w:sz="4" w:space="0" w:color="auto"/>
                  </w:tcBorders>
                </w:tcPr>
                <w:p w14:paraId="0B39297A"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2AF8DA6E"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27E06EC7"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68068056"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5C765E59" w14:textId="77777777" w:rsidR="002F4BFC" w:rsidRPr="00080443" w:rsidRDefault="002F4BFC" w:rsidP="002F4BFC">
                  <w:pPr>
                    <w:rPr>
                      <w:rFonts w:cs="Arial"/>
                    </w:rPr>
                  </w:pPr>
                </w:p>
              </w:tc>
              <w:tc>
                <w:tcPr>
                  <w:tcW w:w="684" w:type="dxa"/>
                  <w:tcBorders>
                    <w:top w:val="single" w:sz="4" w:space="0" w:color="auto"/>
                    <w:bottom w:val="single" w:sz="4" w:space="0" w:color="auto"/>
                  </w:tcBorders>
                </w:tcPr>
                <w:p w14:paraId="440E66E1" w14:textId="77777777" w:rsidR="002F4BFC" w:rsidRPr="00080443" w:rsidRDefault="002F4BFC" w:rsidP="002F4BFC">
                  <w:pPr>
                    <w:rPr>
                      <w:rFonts w:cs="Arial"/>
                    </w:rPr>
                  </w:pPr>
                </w:p>
              </w:tc>
              <w:tc>
                <w:tcPr>
                  <w:tcW w:w="751" w:type="dxa"/>
                  <w:tcBorders>
                    <w:top w:val="single" w:sz="4" w:space="0" w:color="auto"/>
                    <w:bottom w:val="single" w:sz="4" w:space="0" w:color="auto"/>
                  </w:tcBorders>
                </w:tcPr>
                <w:p w14:paraId="778DAAD0"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10DEEF0B" w14:textId="77777777" w:rsidR="002F4BFC" w:rsidRPr="00080443" w:rsidRDefault="002F4BFC" w:rsidP="002F4BFC">
                  <w:pPr>
                    <w:rPr>
                      <w:rFonts w:cs="Arial"/>
                    </w:rPr>
                  </w:pPr>
                </w:p>
              </w:tc>
              <w:tc>
                <w:tcPr>
                  <w:tcW w:w="573" w:type="dxa"/>
                  <w:tcBorders>
                    <w:top w:val="single" w:sz="4" w:space="0" w:color="auto"/>
                    <w:bottom w:val="single" w:sz="4" w:space="0" w:color="auto"/>
                  </w:tcBorders>
                </w:tcPr>
                <w:p w14:paraId="538527AD" w14:textId="77777777" w:rsidR="002F4BFC" w:rsidRPr="00080443" w:rsidRDefault="002F4BFC" w:rsidP="002F4BFC">
                  <w:pPr>
                    <w:rPr>
                      <w:rFonts w:cs="Arial"/>
                    </w:rPr>
                  </w:pPr>
                </w:p>
              </w:tc>
            </w:tr>
            <w:tr w:rsidR="002F4BFC" w:rsidRPr="00080443" w14:paraId="2AF65E8B" w14:textId="77777777" w:rsidTr="002F4BFC">
              <w:tc>
                <w:tcPr>
                  <w:tcW w:w="1627" w:type="dxa"/>
                  <w:tcBorders>
                    <w:right w:val="single" w:sz="4" w:space="0" w:color="auto"/>
                  </w:tcBorders>
                </w:tcPr>
                <w:p w14:paraId="34E653E0" w14:textId="77777777" w:rsidR="002F4BFC" w:rsidRPr="00080443" w:rsidRDefault="002F4BFC" w:rsidP="002F4BFC">
                  <w:pPr>
                    <w:rPr>
                      <w:rFonts w:cs="Arial"/>
                      <w:b/>
                    </w:rPr>
                  </w:pPr>
                  <w:r w:rsidRPr="00080443">
                    <w:rPr>
                      <w:rFonts w:cs="Arial"/>
                      <w:b/>
                    </w:rPr>
                    <w:t>Option 5</w:t>
                  </w:r>
                </w:p>
              </w:tc>
              <w:tc>
                <w:tcPr>
                  <w:tcW w:w="707" w:type="dxa"/>
                  <w:tcBorders>
                    <w:top w:val="single" w:sz="4" w:space="0" w:color="auto"/>
                    <w:left w:val="single" w:sz="4" w:space="0" w:color="auto"/>
                    <w:bottom w:val="single" w:sz="4" w:space="0" w:color="auto"/>
                    <w:right w:val="single" w:sz="4" w:space="0" w:color="auto"/>
                  </w:tcBorders>
                </w:tcPr>
                <w:p w14:paraId="032C94FE"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605C74DE"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55FC4303"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49A3BD2E"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9D678D" w14:textId="77777777" w:rsidR="002F4BFC" w:rsidRPr="00080443" w:rsidRDefault="002F4BFC" w:rsidP="002F4BFC">
                  <w:pPr>
                    <w:rPr>
                      <w:rFonts w:cs="Arial"/>
                    </w:rPr>
                  </w:pPr>
                </w:p>
              </w:tc>
              <w:tc>
                <w:tcPr>
                  <w:tcW w:w="68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69A5DE6" w14:textId="77777777" w:rsidR="002F4BFC" w:rsidRPr="00080443" w:rsidRDefault="002F4BFC" w:rsidP="002F4BFC">
                  <w:pPr>
                    <w:rPr>
                      <w:rFonts w:cs="Arial"/>
                    </w:rPr>
                  </w:pPr>
                </w:p>
              </w:tc>
              <w:tc>
                <w:tcPr>
                  <w:tcW w:w="751" w:type="dxa"/>
                  <w:tcBorders>
                    <w:top w:val="single" w:sz="4" w:space="0" w:color="auto"/>
                    <w:left w:val="single" w:sz="4" w:space="0" w:color="auto"/>
                    <w:bottom w:val="single" w:sz="4" w:space="0" w:color="auto"/>
                    <w:right w:val="single" w:sz="4" w:space="0" w:color="auto"/>
                  </w:tcBorders>
                </w:tcPr>
                <w:p w14:paraId="3B10F395"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145D695B" w14:textId="77777777" w:rsidR="002F4BFC" w:rsidRPr="00080443" w:rsidRDefault="002F4BFC" w:rsidP="002F4BFC">
                  <w:pPr>
                    <w:rPr>
                      <w:rFonts w:cs="Arial"/>
                    </w:rPr>
                  </w:pPr>
                </w:p>
              </w:tc>
              <w:tc>
                <w:tcPr>
                  <w:tcW w:w="573" w:type="dxa"/>
                  <w:tcBorders>
                    <w:top w:val="single" w:sz="4" w:space="0" w:color="auto"/>
                    <w:left w:val="single" w:sz="4" w:space="0" w:color="auto"/>
                    <w:bottom w:val="single" w:sz="4" w:space="0" w:color="auto"/>
                    <w:right w:val="single" w:sz="4" w:space="0" w:color="auto"/>
                  </w:tcBorders>
                </w:tcPr>
                <w:p w14:paraId="5E9F93CF" w14:textId="77777777" w:rsidR="002F4BFC" w:rsidRPr="00080443" w:rsidRDefault="002F4BFC" w:rsidP="002F4BFC">
                  <w:pPr>
                    <w:rPr>
                      <w:rFonts w:cs="Arial"/>
                    </w:rPr>
                  </w:pPr>
                </w:p>
              </w:tc>
            </w:tr>
            <w:tr w:rsidR="002F4BFC" w:rsidRPr="00080443" w14:paraId="246D72C3" w14:textId="77777777" w:rsidTr="002F4BFC">
              <w:tc>
                <w:tcPr>
                  <w:tcW w:w="1627" w:type="dxa"/>
                </w:tcPr>
                <w:p w14:paraId="4895B504" w14:textId="77777777" w:rsidR="002F4BFC" w:rsidRPr="00080443" w:rsidRDefault="002F4BFC" w:rsidP="002F4BFC">
                  <w:pPr>
                    <w:rPr>
                      <w:rFonts w:cs="Arial"/>
                      <w:b/>
                    </w:rPr>
                  </w:pPr>
                </w:p>
              </w:tc>
              <w:tc>
                <w:tcPr>
                  <w:tcW w:w="707" w:type="dxa"/>
                  <w:tcBorders>
                    <w:top w:val="single" w:sz="4" w:space="0" w:color="auto"/>
                    <w:bottom w:val="single" w:sz="4" w:space="0" w:color="auto"/>
                  </w:tcBorders>
                </w:tcPr>
                <w:p w14:paraId="324E2EF9"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7C6CDC19"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77449C85"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1E359AD2"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0981318D" w14:textId="77777777" w:rsidR="002F4BFC" w:rsidRPr="00080443" w:rsidRDefault="002F4BFC" w:rsidP="002F4BFC">
                  <w:pPr>
                    <w:rPr>
                      <w:rFonts w:cs="Arial"/>
                    </w:rPr>
                  </w:pPr>
                </w:p>
              </w:tc>
              <w:tc>
                <w:tcPr>
                  <w:tcW w:w="684" w:type="dxa"/>
                  <w:tcBorders>
                    <w:top w:val="single" w:sz="4" w:space="0" w:color="auto"/>
                    <w:bottom w:val="single" w:sz="4" w:space="0" w:color="auto"/>
                  </w:tcBorders>
                </w:tcPr>
                <w:p w14:paraId="3C5697BC" w14:textId="77777777" w:rsidR="002F4BFC" w:rsidRPr="00080443" w:rsidRDefault="002F4BFC" w:rsidP="002F4BFC">
                  <w:pPr>
                    <w:rPr>
                      <w:rFonts w:cs="Arial"/>
                    </w:rPr>
                  </w:pPr>
                </w:p>
              </w:tc>
              <w:tc>
                <w:tcPr>
                  <w:tcW w:w="751" w:type="dxa"/>
                  <w:tcBorders>
                    <w:top w:val="single" w:sz="4" w:space="0" w:color="auto"/>
                    <w:bottom w:val="single" w:sz="4" w:space="0" w:color="auto"/>
                  </w:tcBorders>
                </w:tcPr>
                <w:p w14:paraId="6107D2E6"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0432A5F6" w14:textId="77777777" w:rsidR="002F4BFC" w:rsidRPr="00080443" w:rsidRDefault="002F4BFC" w:rsidP="002F4BFC">
                  <w:pPr>
                    <w:rPr>
                      <w:rFonts w:cs="Arial"/>
                    </w:rPr>
                  </w:pPr>
                </w:p>
              </w:tc>
              <w:tc>
                <w:tcPr>
                  <w:tcW w:w="573" w:type="dxa"/>
                  <w:tcBorders>
                    <w:top w:val="single" w:sz="4" w:space="0" w:color="auto"/>
                    <w:bottom w:val="single" w:sz="4" w:space="0" w:color="auto"/>
                  </w:tcBorders>
                </w:tcPr>
                <w:p w14:paraId="26159121" w14:textId="77777777" w:rsidR="002F4BFC" w:rsidRPr="00080443" w:rsidRDefault="002F4BFC" w:rsidP="002F4BFC">
                  <w:pPr>
                    <w:rPr>
                      <w:rFonts w:cs="Arial"/>
                    </w:rPr>
                  </w:pPr>
                </w:p>
              </w:tc>
            </w:tr>
            <w:tr w:rsidR="002F4BFC" w:rsidRPr="00080443" w14:paraId="28511B7F" w14:textId="77777777" w:rsidTr="002F4BFC">
              <w:tc>
                <w:tcPr>
                  <w:tcW w:w="1627" w:type="dxa"/>
                  <w:tcBorders>
                    <w:right w:val="single" w:sz="4" w:space="0" w:color="auto"/>
                  </w:tcBorders>
                </w:tcPr>
                <w:p w14:paraId="15D8592A" w14:textId="77777777" w:rsidR="002F4BFC" w:rsidRPr="00080443" w:rsidRDefault="002F4BFC" w:rsidP="002F4BFC">
                  <w:pPr>
                    <w:rPr>
                      <w:rFonts w:cs="Arial"/>
                      <w:b/>
                    </w:rPr>
                  </w:pPr>
                  <w:r w:rsidRPr="00080443">
                    <w:rPr>
                      <w:rFonts w:cs="Arial"/>
                      <w:b/>
                    </w:rPr>
                    <w:t>Option 6</w:t>
                  </w:r>
                </w:p>
              </w:tc>
              <w:tc>
                <w:tcPr>
                  <w:tcW w:w="707" w:type="dxa"/>
                  <w:tcBorders>
                    <w:top w:val="single" w:sz="4" w:space="0" w:color="auto"/>
                    <w:left w:val="single" w:sz="4" w:space="0" w:color="auto"/>
                    <w:bottom w:val="single" w:sz="4" w:space="0" w:color="auto"/>
                    <w:right w:val="single" w:sz="4" w:space="0" w:color="auto"/>
                  </w:tcBorders>
                </w:tcPr>
                <w:p w14:paraId="27E16E2F"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0E4CD752"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34ED1AE3"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072D55DA"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7143486F" w14:textId="77777777" w:rsidR="002F4BFC" w:rsidRPr="00080443" w:rsidRDefault="002F4BFC" w:rsidP="002F4BFC">
                  <w:pPr>
                    <w:rPr>
                      <w:rFonts w:cs="Arial"/>
                    </w:rPr>
                  </w:pPr>
                </w:p>
              </w:tc>
              <w:tc>
                <w:tcPr>
                  <w:tcW w:w="68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D3ECC07" w14:textId="77777777" w:rsidR="002F4BFC" w:rsidRPr="00080443" w:rsidRDefault="002F4BFC" w:rsidP="002F4BFC">
                  <w:pPr>
                    <w:rPr>
                      <w:rFonts w:cs="Arial"/>
                    </w:rPr>
                  </w:pPr>
                </w:p>
              </w:tc>
              <w:tc>
                <w:tcPr>
                  <w:tcW w:w="7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D25EC34"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22E3618E" w14:textId="77777777" w:rsidR="002F4BFC" w:rsidRPr="00080443" w:rsidRDefault="002F4BFC" w:rsidP="002F4BFC">
                  <w:pPr>
                    <w:rPr>
                      <w:rFonts w:cs="Arial"/>
                    </w:rPr>
                  </w:pPr>
                </w:p>
              </w:tc>
              <w:tc>
                <w:tcPr>
                  <w:tcW w:w="573" w:type="dxa"/>
                  <w:tcBorders>
                    <w:top w:val="single" w:sz="4" w:space="0" w:color="auto"/>
                    <w:left w:val="single" w:sz="4" w:space="0" w:color="auto"/>
                    <w:bottom w:val="single" w:sz="4" w:space="0" w:color="auto"/>
                    <w:right w:val="single" w:sz="4" w:space="0" w:color="auto"/>
                  </w:tcBorders>
                </w:tcPr>
                <w:p w14:paraId="08225630" w14:textId="77777777" w:rsidR="002F4BFC" w:rsidRPr="00080443" w:rsidRDefault="002F4BFC" w:rsidP="002F4BFC">
                  <w:pPr>
                    <w:rPr>
                      <w:rFonts w:cs="Arial"/>
                    </w:rPr>
                  </w:pPr>
                </w:p>
              </w:tc>
            </w:tr>
            <w:tr w:rsidR="002F4BFC" w:rsidRPr="00080443" w14:paraId="6CE4197F" w14:textId="77777777" w:rsidTr="002F4BFC">
              <w:tc>
                <w:tcPr>
                  <w:tcW w:w="1627" w:type="dxa"/>
                </w:tcPr>
                <w:p w14:paraId="4A98A97C" w14:textId="77777777" w:rsidR="002F4BFC" w:rsidRPr="00080443" w:rsidRDefault="002F4BFC" w:rsidP="002F4BFC">
                  <w:pPr>
                    <w:rPr>
                      <w:rFonts w:cs="Arial"/>
                      <w:b/>
                    </w:rPr>
                  </w:pPr>
                </w:p>
              </w:tc>
              <w:tc>
                <w:tcPr>
                  <w:tcW w:w="707" w:type="dxa"/>
                  <w:tcBorders>
                    <w:top w:val="single" w:sz="4" w:space="0" w:color="auto"/>
                    <w:bottom w:val="single" w:sz="4" w:space="0" w:color="auto"/>
                  </w:tcBorders>
                </w:tcPr>
                <w:p w14:paraId="5DAAC56C"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7B64B618"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61AAAC34"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6B9D3FE6"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0AA941CF" w14:textId="77777777" w:rsidR="002F4BFC" w:rsidRPr="00080443" w:rsidRDefault="002F4BFC" w:rsidP="002F4BFC">
                  <w:pPr>
                    <w:rPr>
                      <w:rFonts w:cs="Arial"/>
                    </w:rPr>
                  </w:pPr>
                </w:p>
              </w:tc>
              <w:tc>
                <w:tcPr>
                  <w:tcW w:w="684" w:type="dxa"/>
                  <w:tcBorders>
                    <w:top w:val="single" w:sz="4" w:space="0" w:color="auto"/>
                    <w:bottom w:val="single" w:sz="4" w:space="0" w:color="auto"/>
                  </w:tcBorders>
                </w:tcPr>
                <w:p w14:paraId="1A4E615E" w14:textId="77777777" w:rsidR="002F4BFC" w:rsidRPr="00080443" w:rsidRDefault="002F4BFC" w:rsidP="002F4BFC">
                  <w:pPr>
                    <w:rPr>
                      <w:rFonts w:cs="Arial"/>
                    </w:rPr>
                  </w:pPr>
                </w:p>
              </w:tc>
              <w:tc>
                <w:tcPr>
                  <w:tcW w:w="751" w:type="dxa"/>
                  <w:tcBorders>
                    <w:top w:val="single" w:sz="4" w:space="0" w:color="auto"/>
                    <w:bottom w:val="single" w:sz="4" w:space="0" w:color="auto"/>
                  </w:tcBorders>
                </w:tcPr>
                <w:p w14:paraId="4BFA0B58"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529211A6" w14:textId="77777777" w:rsidR="002F4BFC" w:rsidRPr="00080443" w:rsidRDefault="002F4BFC" w:rsidP="002F4BFC">
                  <w:pPr>
                    <w:rPr>
                      <w:rFonts w:cs="Arial"/>
                    </w:rPr>
                  </w:pPr>
                </w:p>
              </w:tc>
              <w:tc>
                <w:tcPr>
                  <w:tcW w:w="573" w:type="dxa"/>
                  <w:tcBorders>
                    <w:top w:val="single" w:sz="4" w:space="0" w:color="auto"/>
                    <w:bottom w:val="single" w:sz="4" w:space="0" w:color="auto"/>
                  </w:tcBorders>
                </w:tcPr>
                <w:p w14:paraId="48BBEF9C" w14:textId="77777777" w:rsidR="002F4BFC" w:rsidRPr="00080443" w:rsidRDefault="002F4BFC" w:rsidP="002F4BFC">
                  <w:pPr>
                    <w:rPr>
                      <w:rFonts w:cs="Arial"/>
                    </w:rPr>
                  </w:pPr>
                </w:p>
              </w:tc>
            </w:tr>
            <w:tr w:rsidR="002F4BFC" w:rsidRPr="00080443" w14:paraId="467162D7" w14:textId="77777777" w:rsidTr="002F4BFC">
              <w:tc>
                <w:tcPr>
                  <w:tcW w:w="1627" w:type="dxa"/>
                  <w:tcBorders>
                    <w:right w:val="single" w:sz="4" w:space="0" w:color="auto"/>
                  </w:tcBorders>
                </w:tcPr>
                <w:p w14:paraId="05B31793" w14:textId="77777777" w:rsidR="002F4BFC" w:rsidRPr="00080443" w:rsidRDefault="002F4BFC" w:rsidP="002F4BFC">
                  <w:pPr>
                    <w:rPr>
                      <w:rFonts w:cs="Arial"/>
                      <w:b/>
                    </w:rPr>
                  </w:pPr>
                  <w:r w:rsidRPr="00080443">
                    <w:rPr>
                      <w:rFonts w:cs="Arial"/>
                      <w:b/>
                    </w:rPr>
                    <w:t>Option 7</w:t>
                  </w:r>
                </w:p>
              </w:tc>
              <w:tc>
                <w:tcPr>
                  <w:tcW w:w="707" w:type="dxa"/>
                  <w:tcBorders>
                    <w:top w:val="single" w:sz="4" w:space="0" w:color="auto"/>
                    <w:left w:val="single" w:sz="4" w:space="0" w:color="auto"/>
                    <w:bottom w:val="single" w:sz="4" w:space="0" w:color="auto"/>
                    <w:right w:val="single" w:sz="4" w:space="0" w:color="auto"/>
                  </w:tcBorders>
                </w:tcPr>
                <w:p w14:paraId="429C0E63"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77E0B757"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02E67A79"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5EF51CCB"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7C5E715C" w14:textId="77777777" w:rsidR="002F4BFC" w:rsidRPr="00080443" w:rsidRDefault="002F4BFC" w:rsidP="002F4BFC">
                  <w:pPr>
                    <w:rPr>
                      <w:rFonts w:cs="Arial"/>
                    </w:rPr>
                  </w:pPr>
                </w:p>
              </w:tc>
              <w:tc>
                <w:tcPr>
                  <w:tcW w:w="684" w:type="dxa"/>
                  <w:tcBorders>
                    <w:top w:val="single" w:sz="4" w:space="0" w:color="auto"/>
                    <w:left w:val="single" w:sz="4" w:space="0" w:color="auto"/>
                    <w:bottom w:val="single" w:sz="4" w:space="0" w:color="auto"/>
                    <w:right w:val="single" w:sz="4" w:space="0" w:color="auto"/>
                  </w:tcBorders>
                </w:tcPr>
                <w:p w14:paraId="4E2FD08E" w14:textId="77777777" w:rsidR="002F4BFC" w:rsidRPr="00080443" w:rsidRDefault="002F4BFC" w:rsidP="002F4BFC">
                  <w:pPr>
                    <w:rPr>
                      <w:rFonts w:cs="Arial"/>
                    </w:rPr>
                  </w:pPr>
                </w:p>
              </w:tc>
              <w:tc>
                <w:tcPr>
                  <w:tcW w:w="7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60B46D"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7F66F18" w14:textId="77777777" w:rsidR="002F4BFC" w:rsidRPr="00080443" w:rsidRDefault="002F4BFC" w:rsidP="002F4BFC">
                  <w:pPr>
                    <w:rPr>
                      <w:rFonts w:cs="Arial"/>
                    </w:rPr>
                  </w:pPr>
                </w:p>
              </w:tc>
              <w:tc>
                <w:tcPr>
                  <w:tcW w:w="573" w:type="dxa"/>
                  <w:tcBorders>
                    <w:top w:val="single" w:sz="4" w:space="0" w:color="auto"/>
                    <w:left w:val="single" w:sz="4" w:space="0" w:color="auto"/>
                    <w:bottom w:val="single" w:sz="4" w:space="0" w:color="auto"/>
                    <w:right w:val="single" w:sz="4" w:space="0" w:color="auto"/>
                  </w:tcBorders>
                </w:tcPr>
                <w:p w14:paraId="7410E014" w14:textId="77777777" w:rsidR="002F4BFC" w:rsidRPr="00080443" w:rsidRDefault="002F4BFC" w:rsidP="002F4BFC">
                  <w:pPr>
                    <w:rPr>
                      <w:rFonts w:cs="Arial"/>
                    </w:rPr>
                  </w:pPr>
                </w:p>
              </w:tc>
            </w:tr>
            <w:tr w:rsidR="002F4BFC" w:rsidRPr="00080443" w14:paraId="13A041B6" w14:textId="77777777" w:rsidTr="002F4BFC">
              <w:tc>
                <w:tcPr>
                  <w:tcW w:w="1627" w:type="dxa"/>
                </w:tcPr>
                <w:p w14:paraId="06E9AA73" w14:textId="77777777" w:rsidR="002F4BFC" w:rsidRPr="00080443" w:rsidRDefault="002F4BFC" w:rsidP="002F4BFC">
                  <w:pPr>
                    <w:rPr>
                      <w:rFonts w:cs="Arial"/>
                      <w:b/>
                    </w:rPr>
                  </w:pPr>
                </w:p>
              </w:tc>
              <w:tc>
                <w:tcPr>
                  <w:tcW w:w="707" w:type="dxa"/>
                  <w:tcBorders>
                    <w:top w:val="single" w:sz="4" w:space="0" w:color="auto"/>
                    <w:bottom w:val="single" w:sz="4" w:space="0" w:color="auto"/>
                  </w:tcBorders>
                </w:tcPr>
                <w:p w14:paraId="4D3CB72C"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2D4BF212"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55926345"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6BF739E3" w14:textId="77777777" w:rsidR="002F4BFC" w:rsidRPr="00080443" w:rsidRDefault="002F4BFC" w:rsidP="002F4BFC">
                  <w:pPr>
                    <w:rPr>
                      <w:rFonts w:cs="Arial"/>
                    </w:rPr>
                  </w:pPr>
                </w:p>
              </w:tc>
              <w:tc>
                <w:tcPr>
                  <w:tcW w:w="706" w:type="dxa"/>
                  <w:tcBorders>
                    <w:top w:val="single" w:sz="4" w:space="0" w:color="auto"/>
                    <w:bottom w:val="single" w:sz="4" w:space="0" w:color="auto"/>
                  </w:tcBorders>
                </w:tcPr>
                <w:p w14:paraId="0674A1EB" w14:textId="77777777" w:rsidR="002F4BFC" w:rsidRPr="00080443" w:rsidRDefault="002F4BFC" w:rsidP="002F4BFC">
                  <w:pPr>
                    <w:rPr>
                      <w:rFonts w:cs="Arial"/>
                    </w:rPr>
                  </w:pPr>
                </w:p>
              </w:tc>
              <w:tc>
                <w:tcPr>
                  <w:tcW w:w="684" w:type="dxa"/>
                  <w:tcBorders>
                    <w:top w:val="single" w:sz="4" w:space="0" w:color="auto"/>
                    <w:bottom w:val="single" w:sz="4" w:space="0" w:color="auto"/>
                  </w:tcBorders>
                </w:tcPr>
                <w:p w14:paraId="43746FF0" w14:textId="77777777" w:rsidR="002F4BFC" w:rsidRPr="00080443" w:rsidRDefault="002F4BFC" w:rsidP="002F4BFC">
                  <w:pPr>
                    <w:rPr>
                      <w:rFonts w:cs="Arial"/>
                    </w:rPr>
                  </w:pPr>
                </w:p>
              </w:tc>
              <w:tc>
                <w:tcPr>
                  <w:tcW w:w="751" w:type="dxa"/>
                  <w:tcBorders>
                    <w:top w:val="single" w:sz="4" w:space="0" w:color="auto"/>
                    <w:bottom w:val="single" w:sz="4" w:space="0" w:color="auto"/>
                  </w:tcBorders>
                </w:tcPr>
                <w:p w14:paraId="64F73389" w14:textId="77777777" w:rsidR="002F4BFC" w:rsidRPr="00080443" w:rsidRDefault="002F4BFC" w:rsidP="002F4BFC">
                  <w:pPr>
                    <w:rPr>
                      <w:rFonts w:cs="Arial"/>
                    </w:rPr>
                  </w:pPr>
                </w:p>
              </w:tc>
              <w:tc>
                <w:tcPr>
                  <w:tcW w:w="728" w:type="dxa"/>
                  <w:tcBorders>
                    <w:top w:val="single" w:sz="4" w:space="0" w:color="auto"/>
                    <w:bottom w:val="single" w:sz="4" w:space="0" w:color="auto"/>
                  </w:tcBorders>
                </w:tcPr>
                <w:p w14:paraId="7A80F771" w14:textId="77777777" w:rsidR="002F4BFC" w:rsidRPr="00080443" w:rsidRDefault="002F4BFC" w:rsidP="002F4BFC">
                  <w:pPr>
                    <w:rPr>
                      <w:rFonts w:cs="Arial"/>
                    </w:rPr>
                  </w:pPr>
                </w:p>
              </w:tc>
              <w:tc>
                <w:tcPr>
                  <w:tcW w:w="573" w:type="dxa"/>
                  <w:tcBorders>
                    <w:top w:val="single" w:sz="4" w:space="0" w:color="auto"/>
                    <w:bottom w:val="single" w:sz="4" w:space="0" w:color="auto"/>
                  </w:tcBorders>
                </w:tcPr>
                <w:p w14:paraId="40A1A0BD" w14:textId="77777777" w:rsidR="002F4BFC" w:rsidRPr="00080443" w:rsidRDefault="002F4BFC" w:rsidP="002F4BFC">
                  <w:pPr>
                    <w:rPr>
                      <w:rFonts w:cs="Arial"/>
                    </w:rPr>
                  </w:pPr>
                </w:p>
              </w:tc>
            </w:tr>
            <w:tr w:rsidR="002F4BFC" w:rsidRPr="00080443" w14:paraId="19300E35" w14:textId="77777777" w:rsidTr="002F4BFC">
              <w:tc>
                <w:tcPr>
                  <w:tcW w:w="1627" w:type="dxa"/>
                  <w:tcBorders>
                    <w:right w:val="single" w:sz="4" w:space="0" w:color="auto"/>
                  </w:tcBorders>
                </w:tcPr>
                <w:p w14:paraId="0605AECC" w14:textId="77777777" w:rsidR="002F4BFC" w:rsidRPr="00080443" w:rsidRDefault="002F4BFC" w:rsidP="002F4BFC">
                  <w:pPr>
                    <w:rPr>
                      <w:rFonts w:cs="Arial"/>
                      <w:b/>
                    </w:rPr>
                  </w:pPr>
                  <w:r w:rsidRPr="00080443">
                    <w:rPr>
                      <w:rFonts w:cs="Arial"/>
                      <w:b/>
                    </w:rPr>
                    <w:t>Option 8</w:t>
                  </w:r>
                </w:p>
              </w:tc>
              <w:tc>
                <w:tcPr>
                  <w:tcW w:w="707" w:type="dxa"/>
                  <w:tcBorders>
                    <w:top w:val="single" w:sz="4" w:space="0" w:color="auto"/>
                    <w:left w:val="single" w:sz="4" w:space="0" w:color="auto"/>
                    <w:bottom w:val="single" w:sz="4" w:space="0" w:color="auto"/>
                    <w:right w:val="single" w:sz="4" w:space="0" w:color="auto"/>
                  </w:tcBorders>
                </w:tcPr>
                <w:p w14:paraId="230F8D1F"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26A59CE7"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3A811E10"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tcPr>
                <w:p w14:paraId="066B24FB" w14:textId="77777777" w:rsidR="002F4BFC" w:rsidRPr="00080443" w:rsidRDefault="002F4BFC" w:rsidP="002F4BFC">
                  <w:pPr>
                    <w:rPr>
                      <w:rFonts w:cs="Arial"/>
                    </w:rPr>
                  </w:pPr>
                </w:p>
              </w:tc>
              <w:tc>
                <w:tcPr>
                  <w:tcW w:w="706" w:type="dxa"/>
                  <w:tcBorders>
                    <w:top w:val="single" w:sz="4" w:space="0" w:color="auto"/>
                    <w:left w:val="single" w:sz="4" w:space="0" w:color="auto"/>
                    <w:bottom w:val="single" w:sz="4" w:space="0" w:color="auto"/>
                    <w:right w:val="single" w:sz="4" w:space="0" w:color="auto"/>
                  </w:tcBorders>
                </w:tcPr>
                <w:p w14:paraId="57766A81" w14:textId="77777777" w:rsidR="002F4BFC" w:rsidRPr="00080443" w:rsidRDefault="002F4BFC" w:rsidP="002F4BFC">
                  <w:pPr>
                    <w:rPr>
                      <w:rFonts w:cs="Arial"/>
                    </w:rPr>
                  </w:pPr>
                </w:p>
              </w:tc>
              <w:tc>
                <w:tcPr>
                  <w:tcW w:w="684" w:type="dxa"/>
                  <w:tcBorders>
                    <w:top w:val="single" w:sz="4" w:space="0" w:color="auto"/>
                    <w:left w:val="single" w:sz="4" w:space="0" w:color="auto"/>
                    <w:bottom w:val="single" w:sz="4" w:space="0" w:color="auto"/>
                    <w:right w:val="single" w:sz="4" w:space="0" w:color="auto"/>
                  </w:tcBorders>
                </w:tcPr>
                <w:p w14:paraId="74E0AEFA" w14:textId="77777777" w:rsidR="002F4BFC" w:rsidRPr="00080443" w:rsidRDefault="002F4BFC" w:rsidP="002F4BFC">
                  <w:pPr>
                    <w:rPr>
                      <w:rFonts w:cs="Arial"/>
                    </w:rPr>
                  </w:pPr>
                </w:p>
              </w:tc>
              <w:tc>
                <w:tcPr>
                  <w:tcW w:w="751" w:type="dxa"/>
                  <w:tcBorders>
                    <w:top w:val="single" w:sz="4" w:space="0" w:color="auto"/>
                    <w:left w:val="single" w:sz="4" w:space="0" w:color="auto"/>
                    <w:bottom w:val="single" w:sz="4" w:space="0" w:color="auto"/>
                    <w:right w:val="single" w:sz="4" w:space="0" w:color="auto"/>
                  </w:tcBorders>
                </w:tcPr>
                <w:p w14:paraId="6AA59E09" w14:textId="77777777" w:rsidR="002F4BFC" w:rsidRPr="00080443" w:rsidRDefault="002F4BFC" w:rsidP="002F4BFC">
                  <w:pPr>
                    <w:rPr>
                      <w:rFonts w:cs="Arial"/>
                    </w:rPr>
                  </w:pPr>
                </w:p>
              </w:tc>
              <w:tc>
                <w:tcPr>
                  <w:tcW w:w="7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EACAACA" w14:textId="77777777" w:rsidR="002F4BFC" w:rsidRPr="00080443" w:rsidRDefault="002F4BFC" w:rsidP="002F4BFC">
                  <w:pPr>
                    <w:rPr>
                      <w:rFonts w:cs="Arial"/>
                    </w:rPr>
                  </w:pPr>
                </w:p>
              </w:tc>
              <w:tc>
                <w:tcPr>
                  <w:tcW w:w="57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20FA52" w14:textId="77777777" w:rsidR="002F4BFC" w:rsidRPr="00080443" w:rsidRDefault="002F4BFC" w:rsidP="002F4BFC">
                  <w:pPr>
                    <w:rPr>
                      <w:rFonts w:cs="Arial"/>
                    </w:rPr>
                  </w:pPr>
                </w:p>
              </w:tc>
            </w:tr>
          </w:tbl>
          <w:p w14:paraId="639DC8D0" w14:textId="77777777" w:rsidR="002F4BFC" w:rsidRPr="00080443" w:rsidRDefault="002F4BFC" w:rsidP="002F4BFC">
            <w:pPr>
              <w:rPr>
                <w:rFonts w:cs="Arial"/>
              </w:rPr>
            </w:pPr>
          </w:p>
        </w:tc>
      </w:tr>
      <w:tr w:rsidR="002F4BFC" w:rsidRPr="00080443" w14:paraId="1A4FDF60" w14:textId="77777777" w:rsidTr="002F4BFC">
        <w:trPr>
          <w:trHeight w:val="291"/>
        </w:trPr>
        <w:tc>
          <w:tcPr>
            <w:tcW w:w="9645" w:type="dxa"/>
            <w:tcBorders>
              <w:bottom w:val="single" w:sz="2" w:space="0" w:color="505050"/>
            </w:tcBorders>
            <w:shd w:val="clear" w:color="auto" w:fill="auto"/>
          </w:tcPr>
          <w:p w14:paraId="73C2FC24" w14:textId="77777777" w:rsidR="002F4BFC" w:rsidRPr="00080443" w:rsidRDefault="002F4BFC" w:rsidP="002F4BFC">
            <w:pPr>
              <w:rPr>
                <w:rFonts w:cs="Arial"/>
              </w:rPr>
            </w:pPr>
          </w:p>
        </w:tc>
      </w:tr>
    </w:tbl>
    <w:p w14:paraId="053927BE" w14:textId="77777777" w:rsidR="002F4BFC" w:rsidRPr="00080443" w:rsidRDefault="002F4BFC" w:rsidP="008128F7">
      <w:pPr>
        <w:rPr>
          <w:rFonts w:cs="Arial"/>
        </w:rPr>
      </w:pPr>
    </w:p>
    <w:p w14:paraId="7CB64A89" w14:textId="77777777" w:rsidR="00CE14EA" w:rsidRPr="00080443" w:rsidRDefault="00CE14EA" w:rsidP="00CE14EA">
      <w:pPr>
        <w:rPr>
          <w:rFonts w:cs="Arial"/>
        </w:rPr>
      </w:pPr>
      <w:r w:rsidRPr="00080443">
        <w:rPr>
          <w:rFonts w:cs="Arial"/>
          <w:sz w:val="18"/>
          <w:szCs w:val="18"/>
          <w:u w:val="single"/>
        </w:rPr>
        <w:t xml:space="preserve"> </w:t>
      </w:r>
      <w:r w:rsidRPr="00080443">
        <w:rPr>
          <w:rFonts w:cs="Arial"/>
        </w:rPr>
        <w:t>At the start of each assignment round, the auction manager will (via the auction system) provide each bidder with the list of frequency options available to the bidder in the round.</w:t>
      </w:r>
    </w:p>
    <w:p w14:paraId="7856518B" w14:textId="77777777" w:rsidR="00CE14EA" w:rsidRPr="00080443" w:rsidRDefault="00CE14EA" w:rsidP="008128F7">
      <w:pPr>
        <w:rPr>
          <w:rFonts w:cs="Arial"/>
        </w:rPr>
      </w:pPr>
    </w:p>
    <w:p w14:paraId="2283315E" w14:textId="77777777" w:rsidR="008A60B8" w:rsidRPr="00080443" w:rsidRDefault="008A60B8" w:rsidP="008128F7">
      <w:pPr>
        <w:rPr>
          <w:rFonts w:cs="Arial"/>
        </w:rPr>
      </w:pPr>
      <w:r w:rsidRPr="00080443">
        <w:rPr>
          <w:rFonts w:cs="Arial"/>
        </w:rPr>
        <w:t xml:space="preserve">The assignment stage will consist of </w:t>
      </w:r>
      <w:r w:rsidR="00CD6081" w:rsidRPr="00080443">
        <w:rPr>
          <w:rFonts w:cs="Arial"/>
        </w:rPr>
        <w:t>two</w:t>
      </w:r>
      <w:r w:rsidRPr="00080443">
        <w:rPr>
          <w:rFonts w:cs="Arial"/>
        </w:rPr>
        <w:t xml:space="preserve"> or more assignment rounds. </w:t>
      </w:r>
      <w:r w:rsidR="009A06FB" w:rsidRPr="00080443">
        <w:rPr>
          <w:rFonts w:cs="Arial"/>
        </w:rPr>
        <w:t xml:space="preserve">The 700 MHz band will be assigned in a single round. </w:t>
      </w:r>
      <w:r w:rsidRPr="00080443">
        <w:rPr>
          <w:rFonts w:cs="Arial"/>
        </w:rPr>
        <w:t xml:space="preserve">In the 2.5 GHz band, </w:t>
      </w:r>
      <w:r w:rsidR="009A06FB" w:rsidRPr="00080443">
        <w:rPr>
          <w:rFonts w:cs="Arial"/>
        </w:rPr>
        <w:t>one</w:t>
      </w:r>
      <w:r w:rsidRPr="00080443">
        <w:rPr>
          <w:rFonts w:cs="Arial"/>
        </w:rPr>
        <w:t xml:space="preserve"> or more products may be the subject of a given round. The number of assignment rounds held will depend on the number of winning bidders for each product and the number of lots won by each winning bidder. </w:t>
      </w:r>
    </w:p>
    <w:p w14:paraId="1E099DF8" w14:textId="77777777" w:rsidR="008128F7" w:rsidRPr="00080443" w:rsidRDefault="008128F7" w:rsidP="008128F7">
      <w:pPr>
        <w:rPr>
          <w:rFonts w:cs="Arial"/>
        </w:rPr>
      </w:pPr>
    </w:p>
    <w:p w14:paraId="71FDFD1F" w14:textId="77777777" w:rsidR="008A60B8" w:rsidRPr="00080443" w:rsidRDefault="008A60B8" w:rsidP="008128F7">
      <w:pPr>
        <w:spacing w:after="80"/>
        <w:rPr>
          <w:rFonts w:cs="Arial"/>
        </w:rPr>
      </w:pPr>
      <w:r w:rsidRPr="00080443">
        <w:rPr>
          <w:rFonts w:cs="Arial"/>
        </w:rPr>
        <w:t xml:space="preserve">Assignment round bids must specify the additional amount (if any), over and above the bidder’s allocation stage price, the bidder is willing to pay to be allocated a specific frequency range. Assignment round bids are subject to </w:t>
      </w:r>
      <w:r w:rsidR="00F92C91" w:rsidRPr="00080443">
        <w:rPr>
          <w:rFonts w:cs="Arial"/>
        </w:rPr>
        <w:t xml:space="preserve">all of </w:t>
      </w:r>
      <w:r w:rsidRPr="00080443">
        <w:rPr>
          <w:rFonts w:cs="Arial"/>
        </w:rPr>
        <w:t>the following constraints:</w:t>
      </w:r>
    </w:p>
    <w:p w14:paraId="37E479C9" w14:textId="77777777" w:rsidR="008A60B8" w:rsidRPr="00080443" w:rsidRDefault="008A60B8" w:rsidP="008128F7">
      <w:pPr>
        <w:pStyle w:val="ListBullet"/>
        <w:rPr>
          <w:rFonts w:cs="Arial"/>
        </w:rPr>
      </w:pPr>
      <w:r w:rsidRPr="00080443">
        <w:rPr>
          <w:rFonts w:cs="Arial"/>
        </w:rPr>
        <w:lastRenderedPageBreak/>
        <w:t>bidding for a product in an assignment round is only open to bidders who won lots of the product in the allocation stage</w:t>
      </w:r>
    </w:p>
    <w:p w14:paraId="5320E0AC" w14:textId="77777777" w:rsidR="008A60B8" w:rsidRPr="00080443" w:rsidRDefault="008A60B8" w:rsidP="008128F7">
      <w:pPr>
        <w:pStyle w:val="ListBullet"/>
        <w:rPr>
          <w:rFonts w:cs="Arial"/>
        </w:rPr>
      </w:pPr>
      <w:r w:rsidRPr="00080443">
        <w:rPr>
          <w:rFonts w:cs="Arial"/>
        </w:rPr>
        <w:t>bidders can bid only on the frequency range options presented to them by the auction manager</w:t>
      </w:r>
    </w:p>
    <w:p w14:paraId="2F57F95B" w14:textId="77777777" w:rsidR="008A60B8" w:rsidRPr="00080443" w:rsidRDefault="008A60B8" w:rsidP="008128F7">
      <w:pPr>
        <w:pStyle w:val="ListBullet"/>
        <w:rPr>
          <w:rFonts w:cs="Arial"/>
        </w:rPr>
      </w:pPr>
      <w:r w:rsidRPr="00080443">
        <w:rPr>
          <w:rFonts w:cs="Arial"/>
        </w:rPr>
        <w:t>bids must be received between the start and end time of the assignment round for the relevant product</w:t>
      </w:r>
    </w:p>
    <w:p w14:paraId="5D05EDDA" w14:textId="77777777" w:rsidR="008A60B8" w:rsidRPr="00080443" w:rsidRDefault="008A60B8" w:rsidP="008128F7">
      <w:pPr>
        <w:pStyle w:val="ListBullet"/>
        <w:spacing w:after="240"/>
        <w:rPr>
          <w:rFonts w:cs="Arial"/>
        </w:rPr>
      </w:pPr>
      <w:r w:rsidRPr="00080443">
        <w:rPr>
          <w:rFonts w:cs="Arial"/>
        </w:rPr>
        <w:t>bids must be a single amount that is a whole multiple of the minimum increment set by the auction manager for assignment round bids</w:t>
      </w:r>
      <w:r w:rsidR="00046413" w:rsidRPr="00080443">
        <w:rPr>
          <w:rFonts w:cs="Arial"/>
        </w:rPr>
        <w:t xml:space="preserve"> (for example, if the minimum increment set by the auction manager is $1,000, then the bid must be a multiple of $1,000)</w:t>
      </w:r>
      <w:r w:rsidR="006F7110" w:rsidRPr="00080443">
        <w:rPr>
          <w:rFonts w:cs="Arial"/>
        </w:rPr>
        <w:t>.</w:t>
      </w:r>
    </w:p>
    <w:p w14:paraId="47829D36" w14:textId="77777777" w:rsidR="008A60B8" w:rsidRPr="00080443" w:rsidRDefault="008A60B8" w:rsidP="008128F7">
      <w:pPr>
        <w:rPr>
          <w:rFonts w:cs="Arial"/>
        </w:rPr>
      </w:pPr>
      <w:r w:rsidRPr="00080443">
        <w:rPr>
          <w:rFonts w:cs="Arial"/>
        </w:rPr>
        <w:t>A valid assignment round bid is binding. Bidders may change, delete or replace their bid</w:t>
      </w:r>
      <w:r w:rsidR="003878C0" w:rsidRPr="00080443">
        <w:rPr>
          <w:rFonts w:cs="Arial"/>
        </w:rPr>
        <w:t xml:space="preserve"> on each frequency range option </w:t>
      </w:r>
      <w:r w:rsidRPr="00080443">
        <w:rPr>
          <w:rFonts w:cs="Arial"/>
        </w:rPr>
        <w:t>as often as they wish within an assignment round</w:t>
      </w:r>
      <w:r w:rsidR="005570E0" w:rsidRPr="00080443">
        <w:rPr>
          <w:rFonts w:cs="Arial"/>
        </w:rPr>
        <w:t>—</w:t>
      </w:r>
      <w:r w:rsidRPr="00080443">
        <w:rPr>
          <w:rFonts w:cs="Arial"/>
        </w:rPr>
        <w:t xml:space="preserve">the last valid set of bids in the auction system at the end of the round will be treated as binding. </w:t>
      </w:r>
      <w:r w:rsidR="0034750A" w:rsidRPr="00080443">
        <w:rPr>
          <w:rFonts w:cs="Arial"/>
        </w:rPr>
        <w:t>It is intended that t</w:t>
      </w:r>
      <w:r w:rsidRPr="00080443">
        <w:rPr>
          <w:rFonts w:cs="Arial"/>
        </w:rPr>
        <w:t xml:space="preserve">he auction manager will, through the auction system, notify bidders immediately if </w:t>
      </w:r>
      <w:r w:rsidR="0034750A" w:rsidRPr="00080443">
        <w:rPr>
          <w:rFonts w:cs="Arial"/>
        </w:rPr>
        <w:t xml:space="preserve">the auction manager becomes aware that </w:t>
      </w:r>
      <w:r w:rsidRPr="00080443">
        <w:rPr>
          <w:rFonts w:cs="Arial"/>
        </w:rPr>
        <w:t xml:space="preserve">a bid they </w:t>
      </w:r>
      <w:r w:rsidR="0034750A" w:rsidRPr="00080443">
        <w:rPr>
          <w:rFonts w:cs="Arial"/>
        </w:rPr>
        <w:t xml:space="preserve">are </w:t>
      </w:r>
      <w:r w:rsidRPr="00080443">
        <w:rPr>
          <w:rFonts w:cs="Arial"/>
        </w:rPr>
        <w:t>attempt</w:t>
      </w:r>
      <w:r w:rsidR="0034750A" w:rsidRPr="00080443">
        <w:rPr>
          <w:rFonts w:cs="Arial"/>
        </w:rPr>
        <w:t>ing</w:t>
      </w:r>
      <w:r w:rsidRPr="00080443">
        <w:rPr>
          <w:rFonts w:cs="Arial"/>
        </w:rPr>
        <w:t xml:space="preserve"> to make is invalid. </w:t>
      </w:r>
    </w:p>
    <w:p w14:paraId="78D5F25C" w14:textId="77777777" w:rsidR="00B167EE" w:rsidRPr="00080443" w:rsidRDefault="00B167EE" w:rsidP="008128F7">
      <w:pPr>
        <w:rPr>
          <w:rFonts w:cs="Arial"/>
        </w:rPr>
      </w:pPr>
    </w:p>
    <w:p w14:paraId="42BFBA25" w14:textId="77777777" w:rsidR="00B167EE" w:rsidRPr="00080443" w:rsidRDefault="00B167EE" w:rsidP="008128F7">
      <w:pPr>
        <w:rPr>
          <w:rFonts w:cs="Arial"/>
        </w:rPr>
      </w:pPr>
      <w:r w:rsidRPr="00080443">
        <w:rPr>
          <w:rFonts w:cs="Arial"/>
        </w:rPr>
        <w:t xml:space="preserve">The options set by the auction manager will only ensure the frequency contiguity of lots </w:t>
      </w:r>
      <w:r w:rsidRPr="00080443">
        <w:rPr>
          <w:rFonts w:cs="Arial"/>
          <w:i/>
        </w:rPr>
        <w:t>within</w:t>
      </w:r>
      <w:r w:rsidRPr="00080443">
        <w:rPr>
          <w:rFonts w:cs="Arial"/>
        </w:rPr>
        <w:t xml:space="preserve"> the geographic area covered by each product. This means that bidders who win lots of more than one product in the 2.5 GHz band, and who wish for their lots to be contiguous </w:t>
      </w:r>
      <w:r w:rsidRPr="00080443">
        <w:rPr>
          <w:rFonts w:cs="Arial"/>
          <w:i/>
        </w:rPr>
        <w:t>across</w:t>
      </w:r>
      <w:r w:rsidRPr="00080443">
        <w:rPr>
          <w:rFonts w:cs="Arial"/>
        </w:rPr>
        <w:t xml:space="preserve"> the geographic areas covered by the products, will need to bid in the assignment rounds with the objective of being allocated the same frequency ranges in each product. The ACMA does not intend to undertake a further process after the end of the assignment stage to aggregate the spectrum allocated to winning bidders as a result of the auction.</w:t>
      </w:r>
    </w:p>
    <w:p w14:paraId="5054E7B2" w14:textId="77777777" w:rsidR="008128F7" w:rsidRPr="00080443" w:rsidRDefault="008128F7" w:rsidP="008128F7">
      <w:pPr>
        <w:rPr>
          <w:rFonts w:cs="Arial"/>
        </w:rPr>
      </w:pPr>
    </w:p>
    <w:p w14:paraId="644971BA" w14:textId="77777777" w:rsidR="00C02A8E" w:rsidRPr="00080443" w:rsidRDefault="008A60B8" w:rsidP="00C02A8E">
      <w:pPr>
        <w:pStyle w:val="Bodysubheader"/>
        <w:rPr>
          <w:rFonts w:cs="Arial"/>
          <w:b w:val="0"/>
        </w:rPr>
      </w:pPr>
      <w:r w:rsidRPr="00080443">
        <w:rPr>
          <w:rFonts w:cs="Arial"/>
          <w:b w:val="0"/>
        </w:rPr>
        <w:t>Determining winning assignment stage bids and prices</w:t>
      </w:r>
    </w:p>
    <w:p w14:paraId="709CD325" w14:textId="77777777" w:rsidR="008A60B8" w:rsidRPr="00080443" w:rsidRDefault="008A60B8" w:rsidP="00C02A8E">
      <w:pPr>
        <w:rPr>
          <w:rFonts w:cs="Arial"/>
        </w:rPr>
      </w:pPr>
      <w:r w:rsidRPr="00080443">
        <w:rPr>
          <w:rFonts w:cs="Arial"/>
        </w:rPr>
        <w:t xml:space="preserve">The winning assignment bids and prices will be calculated </w:t>
      </w:r>
      <w:r w:rsidR="00C36732" w:rsidRPr="00080443">
        <w:rPr>
          <w:rFonts w:cs="Arial"/>
        </w:rPr>
        <w:t xml:space="preserve">using </w:t>
      </w:r>
      <w:r w:rsidRPr="00080443">
        <w:rPr>
          <w:rFonts w:cs="Arial"/>
        </w:rPr>
        <w:t xml:space="preserve">the auction system in accordance with the </w:t>
      </w:r>
      <w:r w:rsidR="00DE4C5F" w:rsidRPr="00080443">
        <w:rPr>
          <w:rFonts w:cs="Arial"/>
        </w:rPr>
        <w:t xml:space="preserve">procedures </w:t>
      </w:r>
      <w:r w:rsidRPr="00080443">
        <w:rPr>
          <w:rFonts w:cs="Arial"/>
        </w:rPr>
        <w:t>set out in the allocation determination.</w:t>
      </w:r>
    </w:p>
    <w:p w14:paraId="4B5D25D5" w14:textId="77777777" w:rsidR="00C02A8E" w:rsidRPr="00080443" w:rsidRDefault="00C02A8E" w:rsidP="00C02A8E">
      <w:pPr>
        <w:rPr>
          <w:rFonts w:cs="Arial"/>
          <w:b/>
        </w:rPr>
      </w:pPr>
    </w:p>
    <w:p w14:paraId="4F812BBA" w14:textId="77777777" w:rsidR="008A60B8" w:rsidRPr="00080443" w:rsidRDefault="008A60B8" w:rsidP="00C02A8E">
      <w:pPr>
        <w:rPr>
          <w:rFonts w:cs="Arial"/>
        </w:rPr>
      </w:pPr>
      <w:r w:rsidRPr="00080443">
        <w:rPr>
          <w:rFonts w:cs="Arial"/>
        </w:rPr>
        <w:t>The winning assignment bids for each product will be the combination of bids that maximises the sum of the bid prices</w:t>
      </w:r>
      <w:r w:rsidR="005570E0" w:rsidRPr="00080443">
        <w:rPr>
          <w:rFonts w:cs="Arial"/>
        </w:rPr>
        <w:t>—</w:t>
      </w:r>
      <w:r w:rsidRPr="00080443">
        <w:rPr>
          <w:rFonts w:cs="Arial"/>
        </w:rPr>
        <w:t>subject to there being no overlap between the frequency ranges included in any two winning bids, and exactly one bid being accepted from each bidder. If more than one combination of bids meets these criteria, the winning combination of bids will be selected by pseudorandom selection.</w:t>
      </w:r>
      <w:r w:rsidR="0045771A" w:rsidRPr="00080443">
        <w:rPr>
          <w:rStyle w:val="FootnoteReference"/>
          <w:rFonts w:cs="Arial"/>
        </w:rPr>
        <w:footnoteReference w:id="26"/>
      </w:r>
      <w:r w:rsidRPr="00080443">
        <w:rPr>
          <w:rFonts w:cs="Arial"/>
        </w:rPr>
        <w:t xml:space="preserve"> </w:t>
      </w:r>
    </w:p>
    <w:p w14:paraId="2977661F" w14:textId="77777777" w:rsidR="00C02A8E" w:rsidRPr="00080443" w:rsidRDefault="00C02A8E" w:rsidP="00C02A8E">
      <w:pPr>
        <w:rPr>
          <w:rFonts w:cs="Arial"/>
        </w:rPr>
      </w:pPr>
    </w:p>
    <w:p w14:paraId="64958E26" w14:textId="77777777" w:rsidR="000C0966" w:rsidRPr="00080443" w:rsidRDefault="000C0966" w:rsidP="00127FEE">
      <w:pPr>
        <w:spacing w:after="80"/>
        <w:rPr>
          <w:rFonts w:cs="Arial"/>
        </w:rPr>
      </w:pPr>
      <w:r w:rsidRPr="00080443">
        <w:rPr>
          <w:rFonts w:cs="Arial"/>
        </w:rPr>
        <w:t>For example, if there were three blocks available (</w:t>
      </w:r>
      <w:r w:rsidR="00852DEC" w:rsidRPr="00080443">
        <w:rPr>
          <w:rFonts w:cs="Arial"/>
        </w:rPr>
        <w:t>X, Y and Z</w:t>
      </w:r>
      <w:r w:rsidRPr="00080443">
        <w:rPr>
          <w:rFonts w:cs="Arial"/>
        </w:rPr>
        <w:t>), and two winners from the allocation stage</w:t>
      </w:r>
      <w:r w:rsidR="00127FEE" w:rsidRPr="00080443">
        <w:rPr>
          <w:rFonts w:cs="Arial"/>
        </w:rPr>
        <w:t>—</w:t>
      </w:r>
      <w:r w:rsidR="00C4495C" w:rsidRPr="00080443">
        <w:rPr>
          <w:rFonts w:cs="Arial"/>
        </w:rPr>
        <w:t xml:space="preserve">in </w:t>
      </w:r>
      <w:r w:rsidRPr="00080443">
        <w:rPr>
          <w:rFonts w:cs="Arial"/>
        </w:rPr>
        <w:t>which the first bidder has won one lot and the second bidder has won two lots</w:t>
      </w:r>
      <w:r w:rsidR="00127FEE" w:rsidRPr="00080443">
        <w:rPr>
          <w:rFonts w:cs="Arial"/>
        </w:rPr>
        <w:t>—</w:t>
      </w:r>
      <w:r w:rsidR="00C4495C" w:rsidRPr="00080443">
        <w:rPr>
          <w:rFonts w:cs="Arial"/>
        </w:rPr>
        <w:t xml:space="preserve">they </w:t>
      </w:r>
      <w:r w:rsidRPr="00080443">
        <w:rPr>
          <w:rFonts w:cs="Arial"/>
        </w:rPr>
        <w:t>would each have two options on which to bid.</w:t>
      </w:r>
      <w:r w:rsidRPr="00080443">
        <w:rPr>
          <w:rFonts w:cs="Arial"/>
          <w:vertAlign w:val="superscript"/>
        </w:rPr>
        <w:footnoteReference w:id="27"/>
      </w:r>
      <w:r w:rsidRPr="00080443">
        <w:rPr>
          <w:rFonts w:cs="Arial"/>
        </w:rPr>
        <w:t xml:space="preserve"> In this example, the bidders placed the following bids:</w:t>
      </w:r>
    </w:p>
    <w:p w14:paraId="587B2E4E" w14:textId="77777777" w:rsidR="000C0966" w:rsidRPr="00080443" w:rsidRDefault="00AF2CEF" w:rsidP="000C0966">
      <w:pPr>
        <w:pStyle w:val="ListBullet"/>
        <w:rPr>
          <w:rFonts w:cs="Arial"/>
        </w:rPr>
      </w:pPr>
      <w:r w:rsidRPr="00080443">
        <w:rPr>
          <w:rFonts w:cs="Arial"/>
        </w:rPr>
        <w:t>b</w:t>
      </w:r>
      <w:r w:rsidR="000C0966" w:rsidRPr="00080443">
        <w:rPr>
          <w:rFonts w:cs="Arial"/>
        </w:rPr>
        <w:t>idder 1</w:t>
      </w:r>
      <w:r w:rsidR="00127FEE" w:rsidRPr="00080443">
        <w:rPr>
          <w:rFonts w:cs="Arial"/>
        </w:rPr>
        <w:t>—</w:t>
      </w:r>
      <w:r w:rsidR="000C0966" w:rsidRPr="00080443">
        <w:rPr>
          <w:rFonts w:cs="Arial"/>
        </w:rPr>
        <w:t>Option 1 (</w:t>
      </w:r>
      <w:r w:rsidR="00852DEC" w:rsidRPr="00080443">
        <w:rPr>
          <w:rFonts w:cs="Arial"/>
        </w:rPr>
        <w:t>X</w:t>
      </w:r>
      <w:r w:rsidR="000C0966" w:rsidRPr="00080443">
        <w:rPr>
          <w:rFonts w:cs="Arial"/>
        </w:rPr>
        <w:t xml:space="preserve"> only)</w:t>
      </w:r>
      <w:r w:rsidR="00C4495C" w:rsidRPr="00080443">
        <w:rPr>
          <w:rFonts w:cs="Arial"/>
        </w:rPr>
        <w:t xml:space="preserve"> = </w:t>
      </w:r>
      <w:r w:rsidR="000C0966" w:rsidRPr="00080443">
        <w:rPr>
          <w:rFonts w:cs="Arial"/>
        </w:rPr>
        <w:t>$20</w:t>
      </w:r>
      <w:r w:rsidR="00C4495C" w:rsidRPr="00080443">
        <w:rPr>
          <w:rFonts w:cs="Arial"/>
        </w:rPr>
        <w:t xml:space="preserve">, </w:t>
      </w:r>
      <w:r w:rsidR="000C0966" w:rsidRPr="00080443">
        <w:rPr>
          <w:rFonts w:cs="Arial"/>
        </w:rPr>
        <w:t>Option 2 (</w:t>
      </w:r>
      <w:r w:rsidR="00852DEC" w:rsidRPr="00080443">
        <w:rPr>
          <w:rFonts w:cs="Arial"/>
        </w:rPr>
        <w:t>Z</w:t>
      </w:r>
      <w:r w:rsidR="000C0966" w:rsidRPr="00080443">
        <w:rPr>
          <w:rFonts w:cs="Arial"/>
        </w:rPr>
        <w:t xml:space="preserve"> only)</w:t>
      </w:r>
      <w:r w:rsidR="00C4495C" w:rsidRPr="00080443">
        <w:rPr>
          <w:rFonts w:cs="Arial"/>
        </w:rPr>
        <w:t xml:space="preserve"> =</w:t>
      </w:r>
      <w:r w:rsidR="000C0966" w:rsidRPr="00080443">
        <w:rPr>
          <w:rFonts w:cs="Arial"/>
        </w:rPr>
        <w:t xml:space="preserve"> $12 </w:t>
      </w:r>
    </w:p>
    <w:p w14:paraId="08AC52C3" w14:textId="77777777" w:rsidR="000C0966" w:rsidRPr="00080443" w:rsidRDefault="00AF2CEF" w:rsidP="000C0966">
      <w:pPr>
        <w:pStyle w:val="ListBullet"/>
        <w:spacing w:after="240"/>
        <w:rPr>
          <w:rFonts w:cs="Arial"/>
        </w:rPr>
      </w:pPr>
      <w:r w:rsidRPr="00080443">
        <w:rPr>
          <w:rFonts w:cs="Arial"/>
        </w:rPr>
        <w:t>b</w:t>
      </w:r>
      <w:r w:rsidR="000C0966" w:rsidRPr="00080443">
        <w:rPr>
          <w:rFonts w:cs="Arial"/>
        </w:rPr>
        <w:t>idder 2</w:t>
      </w:r>
      <w:r w:rsidR="00127FEE" w:rsidRPr="00080443">
        <w:rPr>
          <w:rFonts w:cs="Arial"/>
        </w:rPr>
        <w:t>—</w:t>
      </w:r>
      <w:r w:rsidR="000C0966" w:rsidRPr="00080443">
        <w:rPr>
          <w:rFonts w:cs="Arial"/>
        </w:rPr>
        <w:t>Option 1 (</w:t>
      </w:r>
      <w:r w:rsidR="00852DEC" w:rsidRPr="00080443">
        <w:rPr>
          <w:rFonts w:cs="Arial"/>
        </w:rPr>
        <w:t>X&amp;Y</w:t>
      </w:r>
      <w:r w:rsidR="000C0966" w:rsidRPr="00080443">
        <w:rPr>
          <w:rFonts w:cs="Arial"/>
        </w:rPr>
        <w:t>)</w:t>
      </w:r>
      <w:r w:rsidR="00C4495C" w:rsidRPr="00080443">
        <w:rPr>
          <w:rFonts w:cs="Arial"/>
        </w:rPr>
        <w:t xml:space="preserve"> = </w:t>
      </w:r>
      <w:r w:rsidR="000C0966" w:rsidRPr="00080443">
        <w:rPr>
          <w:rFonts w:cs="Arial"/>
        </w:rPr>
        <w:t>$25</w:t>
      </w:r>
      <w:r w:rsidR="00C4495C" w:rsidRPr="00080443">
        <w:rPr>
          <w:rFonts w:cs="Arial"/>
        </w:rPr>
        <w:t>,</w:t>
      </w:r>
      <w:r w:rsidR="000C0966" w:rsidRPr="00080443">
        <w:rPr>
          <w:rFonts w:cs="Arial"/>
        </w:rPr>
        <w:t xml:space="preserve"> Option 2 (</w:t>
      </w:r>
      <w:r w:rsidR="00852DEC" w:rsidRPr="00080443">
        <w:rPr>
          <w:rFonts w:cs="Arial"/>
        </w:rPr>
        <w:t>Y&amp;Z</w:t>
      </w:r>
      <w:r w:rsidR="000C0966" w:rsidRPr="00080443">
        <w:rPr>
          <w:rFonts w:cs="Arial"/>
        </w:rPr>
        <w:t>)</w:t>
      </w:r>
      <w:r w:rsidR="00C4495C" w:rsidRPr="00080443">
        <w:rPr>
          <w:rFonts w:cs="Arial"/>
        </w:rPr>
        <w:t xml:space="preserve"> =</w:t>
      </w:r>
      <w:r w:rsidR="000C0966" w:rsidRPr="00080443">
        <w:rPr>
          <w:rFonts w:cs="Arial"/>
        </w:rPr>
        <w:t xml:space="preserve"> $15</w:t>
      </w:r>
      <w:r w:rsidR="00C4495C" w:rsidRPr="00080443">
        <w:rPr>
          <w:rFonts w:cs="Arial"/>
        </w:rPr>
        <w:t>.</w:t>
      </w:r>
      <w:r w:rsidR="000C0966" w:rsidRPr="00080443">
        <w:rPr>
          <w:rFonts w:cs="Arial"/>
        </w:rPr>
        <w:t xml:space="preserve">  </w:t>
      </w:r>
    </w:p>
    <w:p w14:paraId="55EFAFF2" w14:textId="77777777" w:rsidR="000C0966" w:rsidRPr="00080443" w:rsidRDefault="000C0966" w:rsidP="000C0966">
      <w:pPr>
        <w:rPr>
          <w:rFonts w:cs="Arial"/>
        </w:rPr>
      </w:pPr>
      <w:r w:rsidRPr="00080443">
        <w:rPr>
          <w:rFonts w:cs="Arial"/>
        </w:rPr>
        <w:t>In th</w:t>
      </w:r>
      <w:r w:rsidR="00C4495C" w:rsidRPr="00080443">
        <w:rPr>
          <w:rFonts w:cs="Arial"/>
        </w:rPr>
        <w:t>e</w:t>
      </w:r>
      <w:r w:rsidRPr="00080443">
        <w:rPr>
          <w:rFonts w:cs="Arial"/>
        </w:rPr>
        <w:t xml:space="preserve"> example, </w:t>
      </w:r>
      <w:r w:rsidR="00AF2CEF" w:rsidRPr="00080443">
        <w:rPr>
          <w:rFonts w:cs="Arial"/>
        </w:rPr>
        <w:t>b</w:t>
      </w:r>
      <w:r w:rsidRPr="00080443">
        <w:rPr>
          <w:rFonts w:cs="Arial"/>
        </w:rPr>
        <w:t>idder 1 w</w:t>
      </w:r>
      <w:r w:rsidR="00C4495C" w:rsidRPr="00080443">
        <w:rPr>
          <w:rFonts w:cs="Arial"/>
        </w:rPr>
        <w:t xml:space="preserve">ould receive </w:t>
      </w:r>
      <w:r w:rsidR="00852DEC" w:rsidRPr="00080443">
        <w:rPr>
          <w:rFonts w:cs="Arial"/>
        </w:rPr>
        <w:t>Z</w:t>
      </w:r>
      <w:r w:rsidR="00C4495C" w:rsidRPr="00080443">
        <w:rPr>
          <w:rFonts w:cs="Arial"/>
        </w:rPr>
        <w:t xml:space="preserve"> and </w:t>
      </w:r>
      <w:r w:rsidR="00AF2CEF" w:rsidRPr="00080443">
        <w:rPr>
          <w:rFonts w:cs="Arial"/>
        </w:rPr>
        <w:t>b</w:t>
      </w:r>
      <w:r w:rsidR="00C4495C" w:rsidRPr="00080443">
        <w:rPr>
          <w:rFonts w:cs="Arial"/>
        </w:rPr>
        <w:t xml:space="preserve">idder 2 would </w:t>
      </w:r>
      <w:r w:rsidRPr="00080443">
        <w:rPr>
          <w:rFonts w:cs="Arial"/>
        </w:rPr>
        <w:t xml:space="preserve">receive </w:t>
      </w:r>
      <w:r w:rsidR="00852DEC" w:rsidRPr="00080443">
        <w:rPr>
          <w:rFonts w:cs="Arial"/>
        </w:rPr>
        <w:t>X&amp;Y</w:t>
      </w:r>
      <w:r w:rsidR="00C4495C" w:rsidRPr="00080443">
        <w:rPr>
          <w:rFonts w:cs="Arial"/>
        </w:rPr>
        <w:t xml:space="preserve">. This is because the </w:t>
      </w:r>
      <w:r w:rsidRPr="00080443">
        <w:rPr>
          <w:rFonts w:cs="Arial"/>
        </w:rPr>
        <w:t>combined bid for these options is $12</w:t>
      </w:r>
      <w:r w:rsidR="0066467B" w:rsidRPr="00080443">
        <w:rPr>
          <w:rFonts w:cs="Arial"/>
        </w:rPr>
        <w:t xml:space="preserve"> </w:t>
      </w:r>
      <w:r w:rsidRPr="00080443">
        <w:rPr>
          <w:rFonts w:cs="Arial"/>
        </w:rPr>
        <w:t>+</w:t>
      </w:r>
      <w:r w:rsidR="0066467B" w:rsidRPr="00080443">
        <w:rPr>
          <w:rFonts w:cs="Arial"/>
        </w:rPr>
        <w:t xml:space="preserve"> </w:t>
      </w:r>
      <w:r w:rsidRPr="00080443">
        <w:rPr>
          <w:rFonts w:cs="Arial"/>
        </w:rPr>
        <w:t xml:space="preserve">25 ($37), which is higher than the alternative </w:t>
      </w:r>
      <w:r w:rsidR="00127FEE" w:rsidRPr="00080443">
        <w:rPr>
          <w:rFonts w:cs="Arial"/>
        </w:rPr>
        <w:t xml:space="preserve">of </w:t>
      </w:r>
      <w:r w:rsidRPr="00080443">
        <w:rPr>
          <w:rFonts w:cs="Arial"/>
        </w:rPr>
        <w:t>$20</w:t>
      </w:r>
      <w:r w:rsidR="0066467B" w:rsidRPr="00080443">
        <w:rPr>
          <w:rFonts w:cs="Arial"/>
        </w:rPr>
        <w:t xml:space="preserve"> </w:t>
      </w:r>
      <w:r w:rsidRPr="00080443">
        <w:rPr>
          <w:rFonts w:cs="Arial"/>
        </w:rPr>
        <w:t>+</w:t>
      </w:r>
      <w:r w:rsidR="0066467B" w:rsidRPr="00080443">
        <w:rPr>
          <w:rFonts w:cs="Arial"/>
        </w:rPr>
        <w:t xml:space="preserve"> </w:t>
      </w:r>
      <w:r w:rsidRPr="00080443">
        <w:rPr>
          <w:rFonts w:cs="Arial"/>
        </w:rPr>
        <w:t xml:space="preserve">$15 ($35).  </w:t>
      </w:r>
    </w:p>
    <w:p w14:paraId="673DBE17" w14:textId="77777777" w:rsidR="000C0966" w:rsidRPr="00080443" w:rsidRDefault="000C0966" w:rsidP="00C02A8E">
      <w:pPr>
        <w:rPr>
          <w:rFonts w:cs="Arial"/>
        </w:rPr>
      </w:pPr>
    </w:p>
    <w:p w14:paraId="46B256C4" w14:textId="77777777" w:rsidR="008A60B8" w:rsidRPr="00080443" w:rsidRDefault="008A60B8" w:rsidP="00814F17">
      <w:pPr>
        <w:rPr>
          <w:rFonts w:cs="Arial"/>
        </w:rPr>
      </w:pPr>
      <w:r w:rsidRPr="00080443">
        <w:rPr>
          <w:rFonts w:cs="Arial"/>
        </w:rPr>
        <w:t xml:space="preserve">If there is only one bidder for </w:t>
      </w:r>
      <w:r w:rsidR="00D10FAF" w:rsidRPr="00080443">
        <w:rPr>
          <w:rFonts w:cs="Arial"/>
        </w:rPr>
        <w:t xml:space="preserve">the </w:t>
      </w:r>
      <w:r w:rsidRPr="00080443">
        <w:rPr>
          <w:rFonts w:cs="Arial"/>
        </w:rPr>
        <w:t>product</w:t>
      </w:r>
      <w:r w:rsidR="00D10FAF" w:rsidRPr="00080443">
        <w:rPr>
          <w:rFonts w:cs="Arial"/>
        </w:rPr>
        <w:t>(s)</w:t>
      </w:r>
      <w:r w:rsidRPr="00080443">
        <w:rPr>
          <w:rFonts w:cs="Arial"/>
        </w:rPr>
        <w:t xml:space="preserve"> in an assignment round, the assignment price for the product</w:t>
      </w:r>
      <w:r w:rsidR="00D10FAF" w:rsidRPr="00080443">
        <w:rPr>
          <w:rFonts w:cs="Arial"/>
        </w:rPr>
        <w:t>(s)</w:t>
      </w:r>
      <w:r w:rsidRPr="00080443">
        <w:rPr>
          <w:rFonts w:cs="Arial"/>
        </w:rPr>
        <w:t xml:space="preserve"> (which is payable in addition to the allocation price) will be zero. Otherwise, the assignment price for each winning bid in each assignment round will be calculated using the same pricing rule employed in the allocation stage </w:t>
      </w:r>
      <w:r w:rsidRPr="00080443">
        <w:rPr>
          <w:rFonts w:cs="Arial"/>
        </w:rPr>
        <w:lastRenderedPageBreak/>
        <w:t>(</w:t>
      </w:r>
      <w:r w:rsidR="00D10FAF" w:rsidRPr="00080443">
        <w:rPr>
          <w:rFonts w:cs="Arial"/>
        </w:rPr>
        <w:t>Nearest-</w:t>
      </w:r>
      <w:proofErr w:type="spellStart"/>
      <w:r w:rsidRPr="00080443">
        <w:rPr>
          <w:rFonts w:cs="Arial"/>
        </w:rPr>
        <w:t>Vickrey</w:t>
      </w:r>
      <w:proofErr w:type="spellEnd"/>
      <w:r w:rsidRPr="00080443">
        <w:rPr>
          <w:rFonts w:cs="Arial"/>
        </w:rPr>
        <w:t xml:space="preserve"> Core pricing). Under this rule, the assignment price for each winning bidder will</w:t>
      </w:r>
      <w:r w:rsidR="002B1A3F" w:rsidRPr="00080443">
        <w:rPr>
          <w:rFonts w:cs="Arial"/>
        </w:rPr>
        <w:t xml:space="preserve"> </w:t>
      </w:r>
      <w:r w:rsidRPr="00080443">
        <w:rPr>
          <w:rFonts w:cs="Arial"/>
        </w:rPr>
        <w:t xml:space="preserve">be an amount that is sufficient to ensure there is no other bidder or group of bidders prepared to pay more for the frequency range options, and is no greater than the amount offered by the winning bidder for the specific frequency range option it has been assigned. </w:t>
      </w:r>
    </w:p>
    <w:p w14:paraId="42B771F2" w14:textId="77777777" w:rsidR="00814F17" w:rsidRPr="00080443" w:rsidRDefault="00814F17" w:rsidP="00814F17">
      <w:pPr>
        <w:rPr>
          <w:rFonts w:cs="Arial"/>
        </w:rPr>
      </w:pPr>
    </w:p>
    <w:p w14:paraId="129B3B77" w14:textId="77777777" w:rsidR="008A60B8" w:rsidRPr="00080443" w:rsidRDefault="008A60B8" w:rsidP="00C02A8E">
      <w:pPr>
        <w:rPr>
          <w:rFonts w:cs="Arial"/>
        </w:rPr>
      </w:pPr>
      <w:r w:rsidRPr="00080443">
        <w:rPr>
          <w:rFonts w:cs="Arial"/>
        </w:rPr>
        <w:t xml:space="preserve">The balance of the winning price payable by each winning bidder will be the total of the allocation price and assignment price for the lots they won, less any eligibility payment they made. Arrangements </w:t>
      </w:r>
      <w:r w:rsidR="00A60870" w:rsidRPr="00080443">
        <w:rPr>
          <w:rFonts w:cs="Arial"/>
        </w:rPr>
        <w:t>to</w:t>
      </w:r>
      <w:r w:rsidRPr="00080443">
        <w:rPr>
          <w:rFonts w:cs="Arial"/>
        </w:rPr>
        <w:t xml:space="preserve"> issu</w:t>
      </w:r>
      <w:r w:rsidR="00A60870" w:rsidRPr="00080443">
        <w:rPr>
          <w:rFonts w:cs="Arial"/>
        </w:rPr>
        <w:t>e</w:t>
      </w:r>
      <w:r w:rsidRPr="00080443">
        <w:rPr>
          <w:rFonts w:cs="Arial"/>
        </w:rPr>
        <w:t xml:space="preserve"> invoices, lodge payments, pay refunds and issu</w:t>
      </w:r>
      <w:r w:rsidR="00A60870" w:rsidRPr="00080443">
        <w:rPr>
          <w:rFonts w:cs="Arial"/>
        </w:rPr>
        <w:t>e</w:t>
      </w:r>
      <w:r w:rsidRPr="00080443">
        <w:rPr>
          <w:rFonts w:cs="Arial"/>
        </w:rPr>
        <w:t xml:space="preserve"> licences are discussed </w:t>
      </w:r>
      <w:r w:rsidR="00A60870" w:rsidRPr="00080443">
        <w:rPr>
          <w:rFonts w:cs="Arial"/>
        </w:rPr>
        <w:t>at</w:t>
      </w:r>
      <w:r w:rsidRPr="00080443">
        <w:rPr>
          <w:rFonts w:cs="Arial"/>
        </w:rPr>
        <w:t xml:space="preserve"> 3.2.1</w:t>
      </w:r>
      <w:r w:rsidR="0037586E" w:rsidRPr="00080443">
        <w:rPr>
          <w:rFonts w:cs="Arial"/>
        </w:rPr>
        <w:t>1</w:t>
      </w:r>
      <w:r w:rsidR="00D40320" w:rsidRPr="00080443">
        <w:rPr>
          <w:rFonts w:cs="Arial"/>
        </w:rPr>
        <w:t xml:space="preserve"> </w:t>
      </w:r>
      <w:r w:rsidR="002F1551" w:rsidRPr="00080443">
        <w:rPr>
          <w:rFonts w:cs="Arial"/>
        </w:rPr>
        <w:t xml:space="preserve">(with reference to 4.6.1) </w:t>
      </w:r>
      <w:r w:rsidR="00D40320" w:rsidRPr="00080443">
        <w:rPr>
          <w:rFonts w:cs="Arial"/>
        </w:rPr>
        <w:t>and 3.2.12</w:t>
      </w:r>
      <w:r w:rsidRPr="00080443">
        <w:rPr>
          <w:rFonts w:cs="Arial"/>
        </w:rPr>
        <w:t xml:space="preserve">. </w:t>
      </w:r>
    </w:p>
    <w:p w14:paraId="684502F1" w14:textId="77777777" w:rsidR="00C02A8E" w:rsidRPr="00080443" w:rsidRDefault="00C02A8E" w:rsidP="00C02A8E">
      <w:pPr>
        <w:rPr>
          <w:rFonts w:cs="Arial"/>
        </w:rPr>
      </w:pPr>
    </w:p>
    <w:p w14:paraId="3A8ED907" w14:textId="77777777" w:rsidR="008A60B8" w:rsidRPr="00080443" w:rsidRDefault="008A60B8" w:rsidP="00234088">
      <w:pPr>
        <w:pStyle w:val="Heading2"/>
        <w:numPr>
          <w:ilvl w:val="1"/>
          <w:numId w:val="13"/>
        </w:numPr>
        <w:ind w:hanging="792"/>
      </w:pPr>
      <w:bookmarkStart w:id="78" w:name="_Toc335246257"/>
      <w:bookmarkStart w:id="79" w:name="_Toc343780466"/>
      <w:r w:rsidRPr="00080443">
        <w:t>Other key auction procedures</w:t>
      </w:r>
      <w:bookmarkEnd w:id="78"/>
      <w:bookmarkEnd w:id="79"/>
    </w:p>
    <w:p w14:paraId="1528B697" w14:textId="77777777" w:rsidR="008A60B8" w:rsidRPr="00080443" w:rsidRDefault="008A60B8" w:rsidP="00234088">
      <w:pPr>
        <w:pStyle w:val="Heading3"/>
        <w:numPr>
          <w:ilvl w:val="2"/>
          <w:numId w:val="13"/>
        </w:numPr>
      </w:pPr>
      <w:bookmarkStart w:id="80" w:name="_Toc335246258"/>
      <w:bookmarkStart w:id="81" w:name="_Toc343780467"/>
      <w:r w:rsidRPr="00080443">
        <w:t>Bidder registration</w:t>
      </w:r>
      <w:bookmarkEnd w:id="80"/>
      <w:bookmarkEnd w:id="81"/>
    </w:p>
    <w:p w14:paraId="55F1788D" w14:textId="77777777" w:rsidR="008A60B8" w:rsidRPr="00080443" w:rsidRDefault="00A60870" w:rsidP="00814F17">
      <w:pPr>
        <w:rPr>
          <w:rFonts w:cs="Arial"/>
        </w:rPr>
      </w:pPr>
      <w:r w:rsidRPr="00080443">
        <w:rPr>
          <w:rFonts w:cs="Arial"/>
        </w:rPr>
        <w:t>P</w:t>
      </w:r>
      <w:r w:rsidR="00D10FAF" w:rsidRPr="00080443">
        <w:rPr>
          <w:rFonts w:cs="Arial"/>
        </w:rPr>
        <w:t xml:space="preserve">arties </w:t>
      </w:r>
      <w:r w:rsidR="008A60B8" w:rsidRPr="00080443">
        <w:rPr>
          <w:rFonts w:cs="Arial"/>
        </w:rPr>
        <w:t xml:space="preserve">wishing to participate in the auction will need to register as a bidder. The registration process is performed in </w:t>
      </w:r>
      <w:r w:rsidR="004E59C4" w:rsidRPr="00080443">
        <w:rPr>
          <w:rFonts w:cs="Arial"/>
        </w:rPr>
        <w:t>three</w:t>
      </w:r>
      <w:r w:rsidR="008A60B8" w:rsidRPr="00080443">
        <w:rPr>
          <w:rFonts w:cs="Arial"/>
        </w:rPr>
        <w:t xml:space="preserve"> stages</w:t>
      </w:r>
      <w:r w:rsidR="001A07D6" w:rsidRPr="00080443">
        <w:rPr>
          <w:rFonts w:cs="Arial"/>
        </w:rPr>
        <w:t>—</w:t>
      </w:r>
      <w:r w:rsidR="00843E00" w:rsidRPr="00080443">
        <w:rPr>
          <w:rFonts w:cs="Arial"/>
        </w:rPr>
        <w:t>A, B and C</w:t>
      </w:r>
      <w:r w:rsidR="008A60B8" w:rsidRPr="00080443">
        <w:rPr>
          <w:rFonts w:cs="Arial"/>
        </w:rPr>
        <w:t xml:space="preserve">. </w:t>
      </w:r>
      <w:r w:rsidR="004E59C4" w:rsidRPr="00080443">
        <w:rPr>
          <w:rFonts w:cs="Arial"/>
        </w:rPr>
        <w:t xml:space="preserve">Details about the procedures involved at each stage (including information about the relevant payments, forms and deadlines) </w:t>
      </w:r>
      <w:r w:rsidR="008A60B8" w:rsidRPr="00080443">
        <w:rPr>
          <w:rFonts w:cs="Arial"/>
        </w:rPr>
        <w:t xml:space="preserve">are provided in </w:t>
      </w:r>
      <w:r w:rsidR="00D40320" w:rsidRPr="00080443">
        <w:rPr>
          <w:rFonts w:cs="Arial"/>
        </w:rPr>
        <w:t xml:space="preserve">Step 3 in </w:t>
      </w:r>
      <w:r w:rsidR="008A60B8" w:rsidRPr="00080443">
        <w:rPr>
          <w:rFonts w:cs="Arial"/>
        </w:rPr>
        <w:t xml:space="preserve">the step-by-step guide in </w:t>
      </w:r>
      <w:r w:rsidR="009733DC" w:rsidRPr="00080443">
        <w:rPr>
          <w:rFonts w:cs="Arial"/>
        </w:rPr>
        <w:t>C</w:t>
      </w:r>
      <w:r w:rsidR="008A60B8" w:rsidRPr="00080443">
        <w:rPr>
          <w:rFonts w:cs="Arial"/>
        </w:rPr>
        <w:t>hapter 4.</w:t>
      </w:r>
      <w:r w:rsidR="004E59C4" w:rsidRPr="00080443">
        <w:rPr>
          <w:rFonts w:cs="Arial"/>
        </w:rPr>
        <w:t xml:space="preserve"> </w:t>
      </w:r>
    </w:p>
    <w:p w14:paraId="2BAA8DD1" w14:textId="77777777" w:rsidR="00814F17" w:rsidRPr="00080443" w:rsidRDefault="00814F17" w:rsidP="00814F17">
      <w:pPr>
        <w:rPr>
          <w:rFonts w:cs="Arial"/>
        </w:rPr>
      </w:pPr>
    </w:p>
    <w:p w14:paraId="490F6789" w14:textId="77777777" w:rsidR="006F4107" w:rsidRPr="00080443" w:rsidRDefault="004E59C4" w:rsidP="00C02A8E">
      <w:pPr>
        <w:rPr>
          <w:rFonts w:cs="Arial"/>
        </w:rPr>
      </w:pPr>
      <w:r w:rsidRPr="00080443">
        <w:rPr>
          <w:rFonts w:cs="Arial"/>
        </w:rPr>
        <w:t xml:space="preserve">Only </w:t>
      </w:r>
      <w:r w:rsidR="00D10FAF" w:rsidRPr="00080443">
        <w:rPr>
          <w:rFonts w:cs="Arial"/>
        </w:rPr>
        <w:t xml:space="preserve">parties </w:t>
      </w:r>
      <w:r w:rsidRPr="00080443">
        <w:rPr>
          <w:rFonts w:cs="Arial"/>
        </w:rPr>
        <w:t xml:space="preserve">who have fulfilled all requirements in each of the three stages </w:t>
      </w:r>
      <w:r w:rsidR="00852DEC" w:rsidRPr="00080443">
        <w:rPr>
          <w:rFonts w:cs="Arial"/>
        </w:rPr>
        <w:t xml:space="preserve">(including the completion and lodgement of all relevant deeds and other forms) within the applicable deadlines </w:t>
      </w:r>
      <w:r w:rsidRPr="00080443">
        <w:rPr>
          <w:rFonts w:cs="Arial"/>
        </w:rPr>
        <w:t xml:space="preserve">will be entitled to participate in the auction. </w:t>
      </w:r>
    </w:p>
    <w:p w14:paraId="6F03E016" w14:textId="77777777" w:rsidR="006F4107" w:rsidRPr="00080443" w:rsidRDefault="006F4107" w:rsidP="00C02A8E">
      <w:pPr>
        <w:rPr>
          <w:rFonts w:cs="Arial"/>
        </w:rPr>
      </w:pPr>
    </w:p>
    <w:p w14:paraId="02B8ACB9" w14:textId="77777777" w:rsidR="008A60B8" w:rsidRPr="00080443" w:rsidRDefault="004E59C4" w:rsidP="00C02A8E">
      <w:pPr>
        <w:rPr>
          <w:rFonts w:cs="Arial"/>
        </w:rPr>
      </w:pPr>
      <w:r w:rsidRPr="00080443">
        <w:rPr>
          <w:rFonts w:cs="Arial"/>
        </w:rPr>
        <w:t xml:space="preserve">Subject to the requirements </w:t>
      </w:r>
      <w:r w:rsidR="00000D0C" w:rsidRPr="00080443">
        <w:rPr>
          <w:rFonts w:cs="Arial"/>
        </w:rPr>
        <w:t xml:space="preserve">of each stage </w:t>
      </w:r>
      <w:r w:rsidRPr="00080443">
        <w:rPr>
          <w:rFonts w:cs="Arial"/>
        </w:rPr>
        <w:t xml:space="preserve">being met, the ACMA will contact registered bidders after the eligibility deadline to confirm their registration and provide </w:t>
      </w:r>
      <w:r w:rsidR="006F4107" w:rsidRPr="00080443">
        <w:rPr>
          <w:rFonts w:cs="Arial"/>
        </w:rPr>
        <w:t xml:space="preserve">them with material (including information about how to access and use the online auction system) to enable </w:t>
      </w:r>
      <w:r w:rsidRPr="00080443">
        <w:rPr>
          <w:rFonts w:cs="Arial"/>
        </w:rPr>
        <w:t>them to participate in the auction</w:t>
      </w:r>
      <w:r w:rsidR="006F4107" w:rsidRPr="00080443">
        <w:rPr>
          <w:rFonts w:cs="Arial"/>
        </w:rPr>
        <w:t xml:space="preserve">. A full list of the material that will be </w:t>
      </w:r>
      <w:r w:rsidR="00890986" w:rsidRPr="00080443">
        <w:rPr>
          <w:rFonts w:cs="Arial"/>
        </w:rPr>
        <w:t xml:space="preserve">given </w:t>
      </w:r>
      <w:r w:rsidR="006F4107" w:rsidRPr="00080443">
        <w:rPr>
          <w:rFonts w:cs="Arial"/>
        </w:rPr>
        <w:t xml:space="preserve">to registered bidders at this point is provided at </w:t>
      </w:r>
      <w:r w:rsidR="00B54B12" w:rsidRPr="00080443">
        <w:rPr>
          <w:rFonts w:cs="Arial"/>
        </w:rPr>
        <w:t>4.3.4</w:t>
      </w:r>
      <w:r w:rsidR="006F4107" w:rsidRPr="00080443">
        <w:rPr>
          <w:rFonts w:cs="Arial"/>
        </w:rPr>
        <w:t xml:space="preserve">. </w:t>
      </w:r>
      <w:r w:rsidR="008A60B8" w:rsidRPr="00080443">
        <w:rPr>
          <w:rFonts w:cs="Arial"/>
        </w:rPr>
        <w:t xml:space="preserve">Bidders will be required to keep this </w:t>
      </w:r>
      <w:r w:rsidR="006F4107" w:rsidRPr="00080443">
        <w:rPr>
          <w:rFonts w:cs="Arial"/>
        </w:rPr>
        <w:t xml:space="preserve">material </w:t>
      </w:r>
      <w:r w:rsidR="008A60B8" w:rsidRPr="00080443">
        <w:rPr>
          <w:rFonts w:cs="Arial"/>
        </w:rPr>
        <w:t>secure during the auction period</w:t>
      </w:r>
      <w:r w:rsidR="006F4107" w:rsidRPr="00080443">
        <w:rPr>
          <w:rStyle w:val="FootnoteReference"/>
          <w:rFonts w:cs="Arial"/>
        </w:rPr>
        <w:t xml:space="preserve"> </w:t>
      </w:r>
      <w:r w:rsidR="008A60B8" w:rsidRPr="00080443">
        <w:rPr>
          <w:rFonts w:cs="Arial"/>
        </w:rPr>
        <w:t>and to notify the ACMA immediately of any relevant disclosure, loss or theft.</w:t>
      </w:r>
      <w:r w:rsidR="00143E2A" w:rsidRPr="00080443">
        <w:rPr>
          <w:rStyle w:val="FootnoteReference"/>
          <w:rFonts w:cs="Arial"/>
        </w:rPr>
        <w:footnoteReference w:id="28"/>
      </w:r>
      <w:r w:rsidR="008A60B8" w:rsidRPr="00080443">
        <w:rPr>
          <w:rFonts w:cs="Arial"/>
        </w:rPr>
        <w:t xml:space="preserve"> If the ACMA </w:t>
      </w:r>
      <w:r w:rsidR="00852DEC" w:rsidRPr="00080443">
        <w:rPr>
          <w:rFonts w:cs="Arial"/>
        </w:rPr>
        <w:t xml:space="preserve">is satisfied that </w:t>
      </w:r>
      <w:r w:rsidR="008A60B8" w:rsidRPr="00080443">
        <w:rPr>
          <w:rFonts w:cs="Arial"/>
        </w:rPr>
        <w:t xml:space="preserve">a bidder breached these requirements, and that the breach affected or may have affected the auction outcome, </w:t>
      </w:r>
      <w:r w:rsidR="0005727F" w:rsidRPr="00080443">
        <w:rPr>
          <w:rFonts w:cs="Arial"/>
        </w:rPr>
        <w:t>it</w:t>
      </w:r>
      <w:r w:rsidR="008A60B8" w:rsidRPr="00080443">
        <w:rPr>
          <w:rFonts w:cs="Arial"/>
        </w:rPr>
        <w:t xml:space="preserve"> may take action under the breach provisions discussed </w:t>
      </w:r>
      <w:r w:rsidR="0005727F" w:rsidRPr="00080443">
        <w:rPr>
          <w:rFonts w:cs="Arial"/>
        </w:rPr>
        <w:t>at</w:t>
      </w:r>
      <w:r w:rsidR="008A60B8" w:rsidRPr="00080443">
        <w:rPr>
          <w:rFonts w:cs="Arial"/>
        </w:rPr>
        <w:t xml:space="preserve"> 3.2.</w:t>
      </w:r>
      <w:r w:rsidR="0037586E" w:rsidRPr="00080443">
        <w:rPr>
          <w:rFonts w:cs="Arial"/>
        </w:rPr>
        <w:t>8</w:t>
      </w:r>
      <w:r w:rsidR="008A60B8" w:rsidRPr="00080443">
        <w:rPr>
          <w:rFonts w:cs="Arial"/>
        </w:rPr>
        <w:t>.</w:t>
      </w:r>
    </w:p>
    <w:p w14:paraId="01C6EB16" w14:textId="77777777" w:rsidR="00C02A8E" w:rsidRPr="00080443" w:rsidRDefault="00C02A8E" w:rsidP="00C02A8E">
      <w:pPr>
        <w:rPr>
          <w:rFonts w:cs="Arial"/>
        </w:rPr>
      </w:pPr>
    </w:p>
    <w:p w14:paraId="47354F1C" w14:textId="77777777" w:rsidR="008A60B8" w:rsidRPr="00080443" w:rsidRDefault="008A60B8" w:rsidP="00234088">
      <w:pPr>
        <w:pStyle w:val="Heading3"/>
        <w:numPr>
          <w:ilvl w:val="2"/>
          <w:numId w:val="13"/>
        </w:numPr>
      </w:pPr>
      <w:bookmarkStart w:id="82" w:name="_Toc335246259"/>
      <w:bookmarkStart w:id="83" w:name="_Toc343780468"/>
      <w:r w:rsidRPr="00080443">
        <w:t>Withdrawal from the auction</w:t>
      </w:r>
      <w:bookmarkEnd w:id="82"/>
      <w:bookmarkEnd w:id="83"/>
    </w:p>
    <w:p w14:paraId="6328C4C6" w14:textId="77777777" w:rsidR="008A60B8" w:rsidRPr="00080443" w:rsidRDefault="008A60B8" w:rsidP="00C02A8E">
      <w:pPr>
        <w:rPr>
          <w:rFonts w:cs="Arial"/>
        </w:rPr>
      </w:pPr>
      <w:r w:rsidRPr="00080443">
        <w:rPr>
          <w:rFonts w:cs="Arial"/>
        </w:rPr>
        <w:t xml:space="preserve">A person who has applied for registration as a bidder may </w:t>
      </w:r>
      <w:r w:rsidR="0005727F" w:rsidRPr="00080443">
        <w:rPr>
          <w:rFonts w:cs="Arial"/>
        </w:rPr>
        <w:t xml:space="preserve">only </w:t>
      </w:r>
      <w:r w:rsidRPr="00080443">
        <w:rPr>
          <w:rFonts w:cs="Arial"/>
        </w:rPr>
        <w:t xml:space="preserve">withdraw from the auction </w:t>
      </w:r>
      <w:r w:rsidR="00CD2C67" w:rsidRPr="00080443">
        <w:rPr>
          <w:rFonts w:cs="Arial"/>
          <w:i/>
        </w:rPr>
        <w:t>before</w:t>
      </w:r>
      <w:r w:rsidRPr="00080443">
        <w:rPr>
          <w:rFonts w:cs="Arial"/>
        </w:rPr>
        <w:t xml:space="preserve"> the eligibility deadline</w:t>
      </w:r>
      <w:r w:rsidR="005D5F90" w:rsidRPr="00080443">
        <w:rPr>
          <w:rFonts w:cs="Arial"/>
        </w:rPr>
        <w:t xml:space="preserve"> by written notice given to the ACMA</w:t>
      </w:r>
      <w:r w:rsidRPr="00080443">
        <w:rPr>
          <w:rFonts w:cs="Arial"/>
        </w:rPr>
        <w:t xml:space="preserve">. </w:t>
      </w:r>
      <w:r w:rsidR="00E37C96" w:rsidRPr="00080443">
        <w:rPr>
          <w:rFonts w:cs="Arial"/>
        </w:rPr>
        <w:t xml:space="preserve">An applicant may not withdraw after the eligibility deadline. </w:t>
      </w:r>
      <w:r w:rsidRPr="00080443">
        <w:rPr>
          <w:rFonts w:cs="Arial"/>
        </w:rPr>
        <w:t xml:space="preserve">An applicant who has withdrawn will not be readmitted to the auction. </w:t>
      </w:r>
    </w:p>
    <w:p w14:paraId="2E11CFCD" w14:textId="77777777" w:rsidR="00C02A8E" w:rsidRPr="00080443" w:rsidRDefault="00C02A8E" w:rsidP="00C02A8E">
      <w:pPr>
        <w:rPr>
          <w:rFonts w:cs="Arial"/>
        </w:rPr>
      </w:pPr>
    </w:p>
    <w:p w14:paraId="7C5DA637" w14:textId="77777777" w:rsidR="008A60B8" w:rsidRPr="00080443" w:rsidRDefault="008A60B8" w:rsidP="00C02A8E">
      <w:pPr>
        <w:rPr>
          <w:rFonts w:cs="Arial"/>
        </w:rPr>
      </w:pPr>
      <w:r w:rsidRPr="00080443">
        <w:rPr>
          <w:rFonts w:cs="Arial"/>
        </w:rPr>
        <w:t>Applicants who withdraw from the auction will remain subject to the confidentiality provisions in the allocation determination until after the end of the auction period (see 3.2.</w:t>
      </w:r>
      <w:r w:rsidR="0037586E" w:rsidRPr="00080443">
        <w:rPr>
          <w:rFonts w:cs="Arial"/>
        </w:rPr>
        <w:t>7</w:t>
      </w:r>
      <w:r w:rsidRPr="00080443">
        <w:rPr>
          <w:rFonts w:cs="Arial"/>
        </w:rPr>
        <w:t>)</w:t>
      </w:r>
      <w:r w:rsidR="00AF1F7B" w:rsidRPr="00080443">
        <w:rPr>
          <w:rFonts w:cs="Arial"/>
        </w:rPr>
        <w:t xml:space="preserve">. </w:t>
      </w:r>
      <w:r w:rsidR="00143E2A" w:rsidRPr="00080443">
        <w:rPr>
          <w:rFonts w:cs="Arial"/>
        </w:rPr>
        <w:t>The ACMA will notify w</w:t>
      </w:r>
      <w:r w:rsidR="00AF1F7B" w:rsidRPr="00080443">
        <w:rPr>
          <w:rFonts w:cs="Arial"/>
        </w:rPr>
        <w:t>ithdrawn applicants as soon as practicable after the end of the auction period that their confidentiality obligations have ended</w:t>
      </w:r>
      <w:r w:rsidRPr="00080443">
        <w:rPr>
          <w:rFonts w:cs="Arial"/>
        </w:rPr>
        <w:t>. Withdrawn applicants will not be refunded their application fee, but will be refunded any eligibility payment they have made to the ACMA (see 3.2.</w:t>
      </w:r>
      <w:r w:rsidR="00D404FB" w:rsidRPr="00080443">
        <w:rPr>
          <w:rFonts w:cs="Arial"/>
        </w:rPr>
        <w:t>1</w:t>
      </w:r>
      <w:r w:rsidR="0037586E" w:rsidRPr="00080443">
        <w:rPr>
          <w:rFonts w:cs="Arial"/>
        </w:rPr>
        <w:t>2</w:t>
      </w:r>
      <w:r w:rsidRPr="00080443">
        <w:rPr>
          <w:rFonts w:cs="Arial"/>
        </w:rPr>
        <w:t xml:space="preserve">). </w:t>
      </w:r>
    </w:p>
    <w:p w14:paraId="2FBE7568" w14:textId="77777777" w:rsidR="00C02A8E" w:rsidRPr="00080443" w:rsidRDefault="00C02A8E" w:rsidP="00C02A8E">
      <w:pPr>
        <w:rPr>
          <w:rFonts w:cs="Arial"/>
        </w:rPr>
      </w:pPr>
    </w:p>
    <w:p w14:paraId="38AAE023" w14:textId="77777777" w:rsidR="008A60B8" w:rsidRPr="00080443" w:rsidRDefault="008A60B8" w:rsidP="00234088">
      <w:pPr>
        <w:pStyle w:val="Heading3"/>
        <w:numPr>
          <w:ilvl w:val="2"/>
          <w:numId w:val="13"/>
        </w:numPr>
      </w:pPr>
      <w:bookmarkStart w:id="84" w:name="_Toc335246260"/>
      <w:bookmarkStart w:id="85" w:name="_Toc343780469"/>
      <w:r w:rsidRPr="00080443">
        <w:t>Lot ratings</w:t>
      </w:r>
      <w:bookmarkEnd w:id="84"/>
      <w:bookmarkEnd w:id="85"/>
    </w:p>
    <w:p w14:paraId="0E6571E3" w14:textId="77777777" w:rsidR="008A60B8" w:rsidRPr="00080443" w:rsidRDefault="008A60B8" w:rsidP="00C02A8E">
      <w:pPr>
        <w:rPr>
          <w:rFonts w:cs="Arial"/>
        </w:rPr>
      </w:pPr>
      <w:r w:rsidRPr="00080443">
        <w:rPr>
          <w:rFonts w:cs="Arial"/>
        </w:rPr>
        <w:t>The ACMA will set a lot rating for the lots of each product on offer. Th</w:t>
      </w:r>
      <w:r w:rsidR="00D40320" w:rsidRPr="00080443">
        <w:rPr>
          <w:rFonts w:cs="Arial"/>
        </w:rPr>
        <w:t xml:space="preserve">e ACMA </w:t>
      </w:r>
      <w:r w:rsidR="005E4FAB" w:rsidRPr="00080443">
        <w:rPr>
          <w:rFonts w:cs="Arial"/>
        </w:rPr>
        <w:t xml:space="preserve">will publish the lot ratings on its website no later than </w:t>
      </w:r>
      <w:r w:rsidR="00E967A2" w:rsidRPr="00080443">
        <w:rPr>
          <w:rFonts w:cs="Arial"/>
        </w:rPr>
        <w:t>7</w:t>
      </w:r>
      <w:r w:rsidR="005E4FAB" w:rsidRPr="00080443">
        <w:rPr>
          <w:rFonts w:cs="Arial"/>
        </w:rPr>
        <w:t xml:space="preserve">0 days after it advertises the auction </w:t>
      </w:r>
      <w:r w:rsidR="00122B36" w:rsidRPr="00080443">
        <w:rPr>
          <w:rFonts w:cs="Arial"/>
        </w:rPr>
        <w:t xml:space="preserve">in accordance with </w:t>
      </w:r>
      <w:r w:rsidR="005E4FAB" w:rsidRPr="00080443">
        <w:rPr>
          <w:rFonts w:cs="Arial"/>
        </w:rPr>
        <w:t xml:space="preserve">subsection 4.4(1) of the allocation determination. </w:t>
      </w:r>
      <w:r w:rsidR="00B86458" w:rsidRPr="00080443">
        <w:rPr>
          <w:rFonts w:cs="Arial"/>
        </w:rPr>
        <w:t xml:space="preserve">Consistent with the notion that, up to the end of the allocation stage all lots of a </w:t>
      </w:r>
      <w:r w:rsidR="00B86458" w:rsidRPr="00080443">
        <w:rPr>
          <w:rFonts w:cs="Arial"/>
        </w:rPr>
        <w:lastRenderedPageBreak/>
        <w:t>product are good substitutes for each other, all lots in a given product will have the same lot rating.</w:t>
      </w:r>
    </w:p>
    <w:p w14:paraId="64CEDCC4" w14:textId="77777777" w:rsidR="00C02A8E" w:rsidRPr="00080443" w:rsidRDefault="00C02A8E" w:rsidP="00C02A8E">
      <w:pPr>
        <w:rPr>
          <w:rFonts w:cs="Arial"/>
        </w:rPr>
      </w:pPr>
    </w:p>
    <w:p w14:paraId="6EF83A18" w14:textId="77777777" w:rsidR="00B86458" w:rsidRDefault="008A60B8" w:rsidP="00AF74C5">
      <w:pPr>
        <w:rPr>
          <w:rFonts w:cs="Arial"/>
        </w:rPr>
      </w:pPr>
      <w:r w:rsidRPr="00080443">
        <w:rPr>
          <w:rFonts w:cs="Arial"/>
        </w:rPr>
        <w:t xml:space="preserve">Lot ratings </w:t>
      </w:r>
      <w:r w:rsidR="00B86458" w:rsidRPr="00080443">
        <w:rPr>
          <w:rFonts w:cs="Arial"/>
        </w:rPr>
        <w:t xml:space="preserve">provide the basis for the eligibility and activity rules during the clock rounds (see 3.1.2). </w:t>
      </w:r>
      <w:r w:rsidRPr="00080443">
        <w:rPr>
          <w:rFonts w:cs="Arial"/>
        </w:rPr>
        <w:t>Each lot is ascribed a lot rating</w:t>
      </w:r>
      <w:r w:rsidR="00B86458" w:rsidRPr="00080443">
        <w:rPr>
          <w:rFonts w:cs="Arial"/>
        </w:rPr>
        <w:t xml:space="preserve">, </w:t>
      </w:r>
      <w:r w:rsidRPr="00080443">
        <w:rPr>
          <w:rFonts w:cs="Arial"/>
        </w:rPr>
        <w:t>expressed in eligibility points</w:t>
      </w:r>
      <w:r w:rsidR="00B86458" w:rsidRPr="00080443">
        <w:rPr>
          <w:rFonts w:cs="Arial"/>
        </w:rPr>
        <w:t xml:space="preserve">. </w:t>
      </w:r>
    </w:p>
    <w:p w14:paraId="43D9A454" w14:textId="77777777" w:rsidR="00AF74C5" w:rsidRPr="00080443" w:rsidRDefault="00AF74C5" w:rsidP="00AF74C5">
      <w:pPr>
        <w:rPr>
          <w:rFonts w:cs="Arial"/>
        </w:rPr>
      </w:pPr>
    </w:p>
    <w:p w14:paraId="0F81FCDD" w14:textId="77777777" w:rsidR="008A60B8" w:rsidRPr="00080443" w:rsidRDefault="008A60B8" w:rsidP="00C02A8E">
      <w:pPr>
        <w:spacing w:after="80"/>
        <w:rPr>
          <w:rFonts w:cs="Arial"/>
        </w:rPr>
      </w:pPr>
      <w:r w:rsidRPr="00080443">
        <w:rPr>
          <w:rFonts w:cs="Arial"/>
        </w:rPr>
        <w:t xml:space="preserve">In </w:t>
      </w:r>
      <w:r w:rsidR="0035323D" w:rsidRPr="00080443">
        <w:rPr>
          <w:rFonts w:cs="Arial"/>
        </w:rPr>
        <w:t>S</w:t>
      </w:r>
      <w:r w:rsidRPr="00080443">
        <w:rPr>
          <w:rFonts w:cs="Arial"/>
        </w:rPr>
        <w:t xml:space="preserve">tage </w:t>
      </w:r>
      <w:r w:rsidR="000865E8" w:rsidRPr="00080443">
        <w:rPr>
          <w:rFonts w:cs="Arial"/>
        </w:rPr>
        <w:t>C</w:t>
      </w:r>
      <w:r w:rsidRPr="00080443">
        <w:rPr>
          <w:rFonts w:cs="Arial"/>
        </w:rPr>
        <w:t xml:space="preserve"> of the bidder registration process, applicants are required to nominate</w:t>
      </w:r>
      <w:r w:rsidR="008D1C8C" w:rsidRPr="00080443">
        <w:rPr>
          <w:rFonts w:cs="Arial"/>
        </w:rPr>
        <w:t xml:space="preserve"> their initial eligibility points by giving the ACMA a completed eligibility nomination form. As set out in that form, an applicant’s initial eligibility points can be worked out by identifying which lots the applicant is </w:t>
      </w:r>
      <w:r w:rsidRPr="00080443">
        <w:rPr>
          <w:rFonts w:cs="Arial"/>
        </w:rPr>
        <w:t>interested in acquiring and sum</w:t>
      </w:r>
      <w:r w:rsidR="008D1C8C" w:rsidRPr="00080443">
        <w:rPr>
          <w:rFonts w:cs="Arial"/>
        </w:rPr>
        <w:t>ming</w:t>
      </w:r>
      <w:r w:rsidRPr="00080443">
        <w:rPr>
          <w:rFonts w:cs="Arial"/>
        </w:rPr>
        <w:t xml:space="preserve"> up the total of the lot ratings ascribed to the lots. This determines: </w:t>
      </w:r>
    </w:p>
    <w:p w14:paraId="08CE75AB" w14:textId="77777777" w:rsidR="008A60B8" w:rsidRPr="00080443" w:rsidRDefault="008A60B8" w:rsidP="00C02A8E">
      <w:pPr>
        <w:pStyle w:val="ListBullet"/>
        <w:rPr>
          <w:rFonts w:cs="Arial"/>
        </w:rPr>
      </w:pPr>
      <w:r w:rsidRPr="00080443">
        <w:rPr>
          <w:rFonts w:cs="Arial"/>
        </w:rPr>
        <w:t>a bidder’s maximum eligibility to bid in the first clock round</w:t>
      </w:r>
    </w:p>
    <w:p w14:paraId="7384CA41" w14:textId="77777777" w:rsidR="008A60B8" w:rsidRPr="00080443" w:rsidRDefault="008A60B8" w:rsidP="00C02A8E">
      <w:pPr>
        <w:pStyle w:val="ListBullet"/>
        <w:spacing w:after="240"/>
        <w:rPr>
          <w:rFonts w:cs="Arial"/>
        </w:rPr>
      </w:pPr>
      <w:r w:rsidRPr="00080443">
        <w:rPr>
          <w:rFonts w:cs="Arial"/>
        </w:rPr>
        <w:t xml:space="preserve">the amount of the eligibility payment, deed of financial security or combination of the two, they must make or give to the ACMA (see </w:t>
      </w:r>
      <w:r w:rsidR="00D308F4" w:rsidRPr="00080443">
        <w:rPr>
          <w:rFonts w:cs="Arial"/>
        </w:rPr>
        <w:t>4.3.3</w:t>
      </w:r>
      <w:r w:rsidRPr="00080443">
        <w:rPr>
          <w:rFonts w:cs="Arial"/>
        </w:rPr>
        <w:t xml:space="preserve">). </w:t>
      </w:r>
    </w:p>
    <w:p w14:paraId="4850151A" w14:textId="77777777" w:rsidR="008A60B8" w:rsidRPr="00080443" w:rsidRDefault="00B86458" w:rsidP="00C02A8E">
      <w:pPr>
        <w:rPr>
          <w:rFonts w:cs="Arial"/>
        </w:rPr>
      </w:pPr>
      <w:r w:rsidRPr="00080443">
        <w:rPr>
          <w:rFonts w:cs="Arial"/>
        </w:rPr>
        <w:t xml:space="preserve">The auction will be more efficient if the lot ratings reflect the relative value of the different lots on offer. </w:t>
      </w:r>
      <w:r w:rsidR="008A60B8" w:rsidRPr="00080443">
        <w:rPr>
          <w:rFonts w:cs="Arial"/>
        </w:rPr>
        <w:t xml:space="preserve">Appropriate lot ratings will enable bidders to bid on their most profitable package of lots in each round and, where they consider appropriate, substitute different lots in response to changes in their relative price. The lot ratings may, for example, increase the ease with which bidders can switch bids between </w:t>
      </w:r>
      <w:r w:rsidR="00D308F4" w:rsidRPr="00080443">
        <w:rPr>
          <w:rFonts w:cs="Arial"/>
        </w:rPr>
        <w:t xml:space="preserve">lots in the </w:t>
      </w:r>
      <w:r w:rsidR="008320ED" w:rsidRPr="00080443">
        <w:rPr>
          <w:rFonts w:cs="Arial"/>
        </w:rPr>
        <w:t xml:space="preserve">two bands being auctioned </w:t>
      </w:r>
      <w:r w:rsidR="008A60B8" w:rsidRPr="00080443">
        <w:rPr>
          <w:rFonts w:cs="Arial"/>
        </w:rPr>
        <w:t>(</w:t>
      </w:r>
      <w:r w:rsidR="00CA54E6" w:rsidRPr="00080443">
        <w:rPr>
          <w:rFonts w:cs="Arial"/>
        </w:rPr>
        <w:t>that is</w:t>
      </w:r>
      <w:r w:rsidR="008A60B8" w:rsidRPr="00080443">
        <w:rPr>
          <w:rFonts w:cs="Arial"/>
        </w:rPr>
        <w:t xml:space="preserve">, between </w:t>
      </w:r>
      <w:r w:rsidR="00D308F4" w:rsidRPr="00080443">
        <w:rPr>
          <w:rFonts w:cs="Arial"/>
        </w:rPr>
        <w:t xml:space="preserve">lots in </w:t>
      </w:r>
      <w:r w:rsidR="008A60B8" w:rsidRPr="00080443">
        <w:rPr>
          <w:rFonts w:cs="Arial"/>
        </w:rPr>
        <w:t>the 700 MHz and 2.5 GHz band)</w:t>
      </w:r>
      <w:r w:rsidR="008320ED" w:rsidRPr="00080443">
        <w:rPr>
          <w:rFonts w:cs="Arial"/>
        </w:rPr>
        <w:t xml:space="preserve"> and </w:t>
      </w:r>
      <w:r w:rsidR="00D308F4" w:rsidRPr="00080443">
        <w:rPr>
          <w:rFonts w:cs="Arial"/>
        </w:rPr>
        <w:t xml:space="preserve">between the </w:t>
      </w:r>
      <w:r w:rsidR="008320ED" w:rsidRPr="00080443">
        <w:rPr>
          <w:rFonts w:cs="Arial"/>
        </w:rPr>
        <w:t xml:space="preserve">regional lots </w:t>
      </w:r>
      <w:r w:rsidR="00D308F4" w:rsidRPr="00080443">
        <w:rPr>
          <w:rFonts w:cs="Arial"/>
        </w:rPr>
        <w:t xml:space="preserve">on offer </w:t>
      </w:r>
      <w:r w:rsidR="008320ED" w:rsidRPr="00080443">
        <w:rPr>
          <w:rFonts w:cs="Arial"/>
        </w:rPr>
        <w:t>in the 2.5 GHz band</w:t>
      </w:r>
      <w:r w:rsidR="008A60B8" w:rsidRPr="00080443">
        <w:rPr>
          <w:rFonts w:cs="Arial"/>
        </w:rPr>
        <w:t xml:space="preserve">. </w:t>
      </w:r>
    </w:p>
    <w:p w14:paraId="43465917" w14:textId="77777777" w:rsidR="00C02A8E" w:rsidRPr="00080443" w:rsidRDefault="00C02A8E" w:rsidP="00C02A8E">
      <w:pPr>
        <w:rPr>
          <w:rFonts w:cs="Arial"/>
        </w:rPr>
      </w:pPr>
    </w:p>
    <w:p w14:paraId="7CD4AE9A" w14:textId="77777777" w:rsidR="00AB42E5" w:rsidRPr="00080443" w:rsidRDefault="009F3A71" w:rsidP="00ED3D16">
      <w:pPr>
        <w:spacing w:after="80"/>
        <w:rPr>
          <w:rFonts w:cs="Arial"/>
        </w:rPr>
      </w:pPr>
      <w:r w:rsidRPr="00080443">
        <w:rPr>
          <w:rFonts w:cs="Arial"/>
        </w:rPr>
        <w:t>Factors considered by the ACMA in setting the lot ratings include, but are not limited to:</w:t>
      </w:r>
    </w:p>
    <w:p w14:paraId="063B55B1" w14:textId="77777777" w:rsidR="00765998" w:rsidRPr="00080443" w:rsidRDefault="00765998" w:rsidP="00765998">
      <w:pPr>
        <w:pStyle w:val="ListBullet"/>
        <w:rPr>
          <w:rFonts w:cs="Arial"/>
        </w:rPr>
      </w:pPr>
      <w:r w:rsidRPr="00080443">
        <w:rPr>
          <w:rFonts w:cs="Arial"/>
        </w:rPr>
        <w:t>results of similar spectrum auctions overseas</w:t>
      </w:r>
    </w:p>
    <w:p w14:paraId="2D5311A3" w14:textId="77777777" w:rsidR="009F3A71" w:rsidRPr="00080443" w:rsidRDefault="009F3A71" w:rsidP="009F3A71">
      <w:pPr>
        <w:pStyle w:val="ListBullet"/>
        <w:rPr>
          <w:rFonts w:cs="Arial"/>
        </w:rPr>
      </w:pPr>
      <w:r w:rsidRPr="00080443">
        <w:rPr>
          <w:rFonts w:cs="Arial"/>
        </w:rPr>
        <w:t>the populations of the geographic regions covered by the lots of each product in the 2.5 GHz band category (see 2.2.2)</w:t>
      </w:r>
    </w:p>
    <w:p w14:paraId="66D865BE" w14:textId="77777777" w:rsidR="009F3A71" w:rsidRPr="00080443" w:rsidRDefault="009F3A71" w:rsidP="00ED3D16">
      <w:pPr>
        <w:pStyle w:val="ListBullet"/>
        <w:spacing w:after="240"/>
        <w:rPr>
          <w:rFonts w:cs="Arial"/>
        </w:rPr>
      </w:pPr>
      <w:r w:rsidRPr="00080443">
        <w:rPr>
          <w:rFonts w:cs="Arial"/>
        </w:rPr>
        <w:t>the shorter duration of spectrum licences for the Metro Perth and Regional Western Australia regions</w:t>
      </w:r>
      <w:r w:rsidR="007D6FE1" w:rsidRPr="00080443">
        <w:rPr>
          <w:rFonts w:cs="Arial"/>
        </w:rPr>
        <w:t xml:space="preserve">, </w:t>
      </w:r>
      <w:r w:rsidRPr="00080443">
        <w:rPr>
          <w:rFonts w:cs="Arial"/>
        </w:rPr>
        <w:t>relative to other regions in the 2.5 GHz band (see 2.3.3)</w:t>
      </w:r>
      <w:r w:rsidR="007D6FE1" w:rsidRPr="00080443">
        <w:rPr>
          <w:rFonts w:cs="Arial"/>
        </w:rPr>
        <w:t>.</w:t>
      </w:r>
    </w:p>
    <w:p w14:paraId="16C40776" w14:textId="77777777" w:rsidR="00F45BF3" w:rsidRPr="00080443" w:rsidRDefault="00B21C37" w:rsidP="00F45BF3">
      <w:pPr>
        <w:pStyle w:val="Heading3"/>
        <w:numPr>
          <w:ilvl w:val="2"/>
          <w:numId w:val="13"/>
        </w:numPr>
      </w:pPr>
      <w:bookmarkStart w:id="86" w:name="_Toc335246261"/>
      <w:bookmarkStart w:id="87" w:name="_Toc343780470"/>
      <w:r w:rsidRPr="00080443">
        <w:t xml:space="preserve">Initial </w:t>
      </w:r>
      <w:r w:rsidR="00C061F7" w:rsidRPr="00080443">
        <w:t>(</w:t>
      </w:r>
      <w:r w:rsidRPr="00080443">
        <w:t>reserve</w:t>
      </w:r>
      <w:r w:rsidR="00C061F7" w:rsidRPr="00080443">
        <w:t xml:space="preserve">) </w:t>
      </w:r>
      <w:r w:rsidR="00F45BF3" w:rsidRPr="00080443">
        <w:t>prices</w:t>
      </w:r>
      <w:bookmarkEnd w:id="86"/>
      <w:bookmarkEnd w:id="87"/>
    </w:p>
    <w:p w14:paraId="795F00BF" w14:textId="77777777" w:rsidR="00F45BF3" w:rsidRPr="00080443" w:rsidRDefault="00F45BF3" w:rsidP="00E04DE0">
      <w:pPr>
        <w:rPr>
          <w:rFonts w:cs="Arial"/>
        </w:rPr>
      </w:pPr>
      <w:r w:rsidRPr="00080443">
        <w:rPr>
          <w:rFonts w:cs="Arial"/>
        </w:rPr>
        <w:t xml:space="preserve">The </w:t>
      </w:r>
      <w:r w:rsidR="00B21C37" w:rsidRPr="00080443">
        <w:rPr>
          <w:rFonts w:cs="Arial"/>
        </w:rPr>
        <w:t xml:space="preserve">ACMA will set an initial (or reserve) price for the lots of each product on offer. The initial price for the lots of each product will signify the price of the lots in the first clock round. </w:t>
      </w:r>
      <w:r w:rsidR="000232E6" w:rsidRPr="00080443">
        <w:rPr>
          <w:rFonts w:cs="Arial"/>
        </w:rPr>
        <w:t xml:space="preserve">It is expected that all lots in a given product will have the same initial price. </w:t>
      </w:r>
      <w:r w:rsidR="00B21C37" w:rsidRPr="00080443">
        <w:rPr>
          <w:rFonts w:cs="Arial"/>
        </w:rPr>
        <w:t xml:space="preserve">The initial prices </w:t>
      </w:r>
      <w:r w:rsidRPr="00080443">
        <w:rPr>
          <w:rFonts w:cs="Arial"/>
        </w:rPr>
        <w:t xml:space="preserve">reflect the minimum price below which the </w:t>
      </w:r>
      <w:r w:rsidR="008F4565" w:rsidRPr="00080443">
        <w:rPr>
          <w:rFonts w:cs="Arial"/>
        </w:rPr>
        <w:t>seller</w:t>
      </w:r>
      <w:r w:rsidRPr="00080443">
        <w:rPr>
          <w:rFonts w:cs="Arial"/>
        </w:rPr>
        <w:t xml:space="preserve"> would prefer to leave the lots unallocated in the auction. The auction system </w:t>
      </w:r>
      <w:r w:rsidR="00467531" w:rsidRPr="00080443">
        <w:rPr>
          <w:rFonts w:cs="Arial"/>
        </w:rPr>
        <w:t xml:space="preserve">is designed to prevent bidders from submitting </w:t>
      </w:r>
      <w:r w:rsidRPr="00080443">
        <w:rPr>
          <w:rFonts w:cs="Arial"/>
        </w:rPr>
        <w:t>bids for packages at an amount below the initial price for the package.</w:t>
      </w:r>
    </w:p>
    <w:p w14:paraId="4CAC9925" w14:textId="77777777" w:rsidR="00F45BF3" w:rsidRPr="00080443" w:rsidRDefault="00F45BF3" w:rsidP="00E04DE0">
      <w:pPr>
        <w:rPr>
          <w:rFonts w:cs="Arial"/>
        </w:rPr>
      </w:pPr>
    </w:p>
    <w:p w14:paraId="147C00BA" w14:textId="77777777" w:rsidR="004C6E23" w:rsidRPr="00080443" w:rsidRDefault="004C6E23" w:rsidP="004C6E23">
      <w:pPr>
        <w:spacing w:after="80"/>
        <w:rPr>
          <w:rFonts w:cs="Arial"/>
        </w:rPr>
      </w:pPr>
      <w:r w:rsidRPr="00080443">
        <w:rPr>
          <w:rFonts w:cs="Arial"/>
        </w:rPr>
        <w:t>The minister has directed the ACMA on matters related to initial prices for the auction. The direction requires the ACMA not to set the initial prices until the earlier of:</w:t>
      </w:r>
    </w:p>
    <w:p w14:paraId="7434A2B4" w14:textId="77777777" w:rsidR="004C6E23" w:rsidRPr="00080443" w:rsidRDefault="004C6E23" w:rsidP="004C6E23">
      <w:pPr>
        <w:pStyle w:val="ListBullet"/>
        <w:rPr>
          <w:rFonts w:cs="Arial"/>
        </w:rPr>
      </w:pPr>
      <w:r w:rsidRPr="00080443">
        <w:rPr>
          <w:rFonts w:cs="Arial"/>
        </w:rPr>
        <w:t>the day after a further ministerial direction is given to the ACMA on initial prices, or</w:t>
      </w:r>
    </w:p>
    <w:p w14:paraId="2252CA01" w14:textId="77777777" w:rsidR="004C6E23" w:rsidRPr="00080443" w:rsidRDefault="004C6E23" w:rsidP="004C6E23">
      <w:pPr>
        <w:pStyle w:val="ListBullet"/>
        <w:spacing w:after="240"/>
        <w:rPr>
          <w:rFonts w:cs="Arial"/>
        </w:rPr>
      </w:pPr>
      <w:r w:rsidRPr="00080443">
        <w:rPr>
          <w:rFonts w:cs="Arial"/>
        </w:rPr>
        <w:t xml:space="preserve">60 days after the ACMA advertises the auction by publishing a notice </w:t>
      </w:r>
      <w:r w:rsidR="00957191" w:rsidRPr="00080443">
        <w:rPr>
          <w:rFonts w:cs="Arial"/>
        </w:rPr>
        <w:t xml:space="preserve">in accordance with </w:t>
      </w:r>
      <w:r w:rsidRPr="00080443">
        <w:rPr>
          <w:rFonts w:cs="Arial"/>
        </w:rPr>
        <w:t>subsection 4.4(1) of the allocation determination.</w:t>
      </w:r>
    </w:p>
    <w:p w14:paraId="5D1C5085" w14:textId="77777777" w:rsidR="007F73E0" w:rsidRPr="00080443" w:rsidRDefault="007F73E0" w:rsidP="00E04DE0">
      <w:pPr>
        <w:rPr>
          <w:rFonts w:cs="Arial"/>
        </w:rPr>
      </w:pPr>
      <w:r w:rsidRPr="00080443">
        <w:rPr>
          <w:rFonts w:cs="Arial"/>
        </w:rPr>
        <w:t xml:space="preserve">As set out in the explanatory statement to the minister’s direction, </w:t>
      </w:r>
      <w:r w:rsidR="00E007E0" w:rsidRPr="00080443">
        <w:rPr>
          <w:rFonts w:cs="Arial"/>
        </w:rPr>
        <w:t xml:space="preserve">it is intended that </w:t>
      </w:r>
      <w:r w:rsidRPr="00080443">
        <w:rPr>
          <w:rFonts w:cs="Arial"/>
        </w:rPr>
        <w:t>the minister will direct the ACMA as to the specific amount it must set for the initial prices. If no such further direction is made, then the ACMA may set the initial prices 60 days after it advertises the auction</w:t>
      </w:r>
      <w:r w:rsidR="00847D2B" w:rsidRPr="00080443">
        <w:rPr>
          <w:rFonts w:cs="Arial"/>
        </w:rPr>
        <w:t xml:space="preserve"> in accordance with subsection 4.4(1) of the allocation determination.</w:t>
      </w:r>
    </w:p>
    <w:p w14:paraId="2249D516" w14:textId="77777777" w:rsidR="007F73E0" w:rsidRPr="00080443" w:rsidRDefault="007F73E0" w:rsidP="00E04DE0">
      <w:pPr>
        <w:rPr>
          <w:rFonts w:cs="Arial"/>
        </w:rPr>
      </w:pPr>
    </w:p>
    <w:p w14:paraId="05806D82" w14:textId="77777777" w:rsidR="000232E6" w:rsidRPr="00080443" w:rsidRDefault="000232E6" w:rsidP="00E04DE0">
      <w:pPr>
        <w:rPr>
          <w:rFonts w:cs="Arial"/>
        </w:rPr>
      </w:pPr>
      <w:r w:rsidRPr="00080443">
        <w:rPr>
          <w:rFonts w:cs="Arial"/>
        </w:rPr>
        <w:t xml:space="preserve">A copy of the minister’s direction to the ACMA, and the associated explanatory statement, is provided at Attachment </w:t>
      </w:r>
      <w:r w:rsidR="00C535E3" w:rsidRPr="00080443">
        <w:rPr>
          <w:rFonts w:cs="Arial"/>
        </w:rPr>
        <w:t>P</w:t>
      </w:r>
      <w:r w:rsidRPr="00080443">
        <w:rPr>
          <w:rFonts w:cs="Arial"/>
        </w:rPr>
        <w:t>.</w:t>
      </w:r>
    </w:p>
    <w:p w14:paraId="2AF5D6C4" w14:textId="77777777" w:rsidR="006C659B" w:rsidRPr="00080443" w:rsidRDefault="006C659B" w:rsidP="00E04DE0">
      <w:pPr>
        <w:rPr>
          <w:rFonts w:cs="Arial"/>
        </w:rPr>
      </w:pPr>
    </w:p>
    <w:p w14:paraId="343CDC12" w14:textId="77777777" w:rsidR="00E2428E" w:rsidRPr="00080443" w:rsidRDefault="006C659B" w:rsidP="00E04DE0">
      <w:pPr>
        <w:rPr>
          <w:rFonts w:cs="Arial"/>
        </w:rPr>
      </w:pPr>
      <w:r w:rsidRPr="00080443">
        <w:rPr>
          <w:rFonts w:cs="Arial"/>
        </w:rPr>
        <w:lastRenderedPageBreak/>
        <w:t>The ACMA will publish the initial prices on its website as soon as practicable after it sets them</w:t>
      </w:r>
      <w:r w:rsidR="00595350" w:rsidRPr="00080443">
        <w:rPr>
          <w:rFonts w:cs="Arial"/>
        </w:rPr>
        <w:t xml:space="preserve">—and </w:t>
      </w:r>
      <w:r w:rsidRPr="00080443">
        <w:rPr>
          <w:rFonts w:cs="Arial"/>
        </w:rPr>
        <w:t xml:space="preserve">no later </w:t>
      </w:r>
      <w:r w:rsidR="00595350" w:rsidRPr="00080443">
        <w:rPr>
          <w:rFonts w:cs="Arial"/>
        </w:rPr>
        <w:t xml:space="preserve">than </w:t>
      </w:r>
      <w:r w:rsidR="00E2428E" w:rsidRPr="00080443">
        <w:rPr>
          <w:rFonts w:cs="Arial"/>
        </w:rPr>
        <w:t>70</w:t>
      </w:r>
      <w:r w:rsidR="00595350" w:rsidRPr="00080443">
        <w:rPr>
          <w:rFonts w:cs="Arial"/>
        </w:rPr>
        <w:t xml:space="preserve"> </w:t>
      </w:r>
      <w:r w:rsidRPr="00080443">
        <w:rPr>
          <w:rFonts w:cs="Arial"/>
        </w:rPr>
        <w:t>days after it advertises the auction.</w:t>
      </w:r>
    </w:p>
    <w:p w14:paraId="1DD3613A" w14:textId="77777777" w:rsidR="00E2428E" w:rsidRPr="00080443" w:rsidRDefault="00E2428E" w:rsidP="00E04DE0">
      <w:pPr>
        <w:rPr>
          <w:rFonts w:cs="Arial"/>
        </w:rPr>
      </w:pPr>
    </w:p>
    <w:p w14:paraId="5145BADF" w14:textId="77777777" w:rsidR="008A60B8" w:rsidRPr="00080443" w:rsidRDefault="008A60B8" w:rsidP="00234088">
      <w:pPr>
        <w:pStyle w:val="Heading3"/>
        <w:numPr>
          <w:ilvl w:val="2"/>
          <w:numId w:val="13"/>
        </w:numPr>
      </w:pPr>
      <w:bookmarkStart w:id="88" w:name="_Toc335246262"/>
      <w:bookmarkStart w:id="89" w:name="_Toc343780471"/>
      <w:r w:rsidRPr="00080443">
        <w:t>Allocation limits</w:t>
      </w:r>
      <w:bookmarkEnd w:id="88"/>
      <w:bookmarkEnd w:id="89"/>
    </w:p>
    <w:p w14:paraId="7B1EDDD1" w14:textId="77777777" w:rsidR="008B5D16" w:rsidRPr="00080443" w:rsidRDefault="008B5D16" w:rsidP="008B5D16">
      <w:pPr>
        <w:rPr>
          <w:rFonts w:cs="Arial"/>
        </w:rPr>
      </w:pPr>
      <w:r w:rsidRPr="00080443">
        <w:rPr>
          <w:rFonts w:cs="Arial"/>
        </w:rPr>
        <w:t xml:space="preserve">Under subsection 60(5) of the Act, an allocation determination may impose limits on the aggregate amount of spectrum that can be </w:t>
      </w:r>
      <w:r w:rsidR="003332F7" w:rsidRPr="00080443">
        <w:rPr>
          <w:rFonts w:cs="Arial"/>
        </w:rPr>
        <w:t>used by</w:t>
      </w:r>
      <w:r w:rsidRPr="00080443">
        <w:rPr>
          <w:rFonts w:cs="Arial"/>
        </w:rPr>
        <w:t xml:space="preserve"> a bidder. However, under subsection 60(9), such limits can only be imposed if the minister directs the ACMA to do so.</w:t>
      </w:r>
    </w:p>
    <w:p w14:paraId="6A308ED6" w14:textId="77777777" w:rsidR="008B5D16" w:rsidRPr="00080443" w:rsidRDefault="008B5D16" w:rsidP="00C02A8E">
      <w:pPr>
        <w:rPr>
          <w:rFonts w:cs="Arial"/>
        </w:rPr>
      </w:pPr>
    </w:p>
    <w:p w14:paraId="63E4A7F1" w14:textId="77777777" w:rsidR="008A60B8" w:rsidRPr="00080443" w:rsidRDefault="008A60B8" w:rsidP="00C02A8E">
      <w:pPr>
        <w:rPr>
          <w:rFonts w:cs="Arial"/>
        </w:rPr>
      </w:pPr>
      <w:r w:rsidRPr="00080443">
        <w:rPr>
          <w:rFonts w:cs="Arial"/>
        </w:rPr>
        <w:t xml:space="preserve">The minister has directed the ACMA to impose </w:t>
      </w:r>
      <w:r w:rsidR="00B9601F" w:rsidRPr="00080443">
        <w:rPr>
          <w:rFonts w:cs="Arial"/>
        </w:rPr>
        <w:t xml:space="preserve">such </w:t>
      </w:r>
      <w:r w:rsidRPr="00080443">
        <w:rPr>
          <w:rFonts w:cs="Arial"/>
        </w:rPr>
        <w:t>limits on the amount of spectrum that may be allocated to any one bidder and its associates in the 700 MHz and 2.5</w:t>
      </w:r>
      <w:r w:rsidR="00890986" w:rsidRPr="00080443">
        <w:rPr>
          <w:rFonts w:cs="Arial"/>
        </w:rPr>
        <w:t> </w:t>
      </w:r>
      <w:r w:rsidRPr="00080443">
        <w:rPr>
          <w:rFonts w:cs="Arial"/>
        </w:rPr>
        <w:t xml:space="preserve">GHz bands. Copies of the minister’s directions to the ACMA, and the associated explanatory statements, are provided at </w:t>
      </w:r>
      <w:r w:rsidR="00837369" w:rsidRPr="00080443">
        <w:rPr>
          <w:rFonts w:cs="Arial"/>
        </w:rPr>
        <w:t>Attachment L</w:t>
      </w:r>
      <w:r w:rsidR="006B5FA6" w:rsidRPr="00080443">
        <w:rPr>
          <w:rFonts w:cs="Arial"/>
        </w:rPr>
        <w:t xml:space="preserve"> and </w:t>
      </w:r>
      <w:r w:rsidR="00C535E3" w:rsidRPr="00080443">
        <w:rPr>
          <w:rFonts w:cs="Arial"/>
        </w:rPr>
        <w:t>M</w:t>
      </w:r>
      <w:r w:rsidRPr="00080443">
        <w:rPr>
          <w:rFonts w:cs="Arial"/>
        </w:rPr>
        <w:t xml:space="preserve"> (for the 700 MHz band) and </w:t>
      </w:r>
      <w:r w:rsidR="00837369" w:rsidRPr="00080443">
        <w:rPr>
          <w:rFonts w:cs="Arial"/>
        </w:rPr>
        <w:t xml:space="preserve">Attachment </w:t>
      </w:r>
      <w:r w:rsidR="00C535E3" w:rsidRPr="00080443">
        <w:rPr>
          <w:rFonts w:cs="Arial"/>
        </w:rPr>
        <w:t xml:space="preserve">N </w:t>
      </w:r>
      <w:r w:rsidR="006B5FA6" w:rsidRPr="00080443">
        <w:rPr>
          <w:rFonts w:cs="Arial"/>
        </w:rPr>
        <w:t>and</w:t>
      </w:r>
      <w:r w:rsidR="00C535E3" w:rsidRPr="00080443">
        <w:rPr>
          <w:rFonts w:cs="Arial"/>
        </w:rPr>
        <w:t xml:space="preserve"> O</w:t>
      </w:r>
      <w:r w:rsidRPr="00080443">
        <w:rPr>
          <w:rFonts w:cs="Arial"/>
        </w:rPr>
        <w:t xml:space="preserve"> (for the 2.5 GHz band).</w:t>
      </w:r>
    </w:p>
    <w:p w14:paraId="560BC096" w14:textId="77777777" w:rsidR="00C02A8E" w:rsidRPr="00080443" w:rsidRDefault="00C02A8E" w:rsidP="00C02A8E">
      <w:pPr>
        <w:rPr>
          <w:rFonts w:cs="Arial"/>
        </w:rPr>
      </w:pPr>
    </w:p>
    <w:p w14:paraId="1BE813E2" w14:textId="77777777" w:rsidR="008A60B8" w:rsidRPr="00080443" w:rsidRDefault="008A60B8" w:rsidP="00C02A8E">
      <w:pPr>
        <w:rPr>
          <w:rFonts w:cs="Arial"/>
        </w:rPr>
      </w:pPr>
      <w:r w:rsidRPr="00080443">
        <w:rPr>
          <w:rFonts w:cs="Arial"/>
        </w:rPr>
        <w:t>These allocation limits, also referred to as ‘competition limits’ or ‘spectrum caps,’ have the effect of capping the total amount of spectrum that a single bidder can acquire in each band</w:t>
      </w:r>
      <w:r w:rsidR="00B9601F" w:rsidRPr="00080443">
        <w:rPr>
          <w:rFonts w:cs="Arial"/>
        </w:rPr>
        <w:t xml:space="preserve"> as a result of the auction</w:t>
      </w:r>
      <w:r w:rsidRPr="00080443">
        <w:rPr>
          <w:rFonts w:cs="Arial"/>
        </w:rPr>
        <w:t>.</w:t>
      </w:r>
    </w:p>
    <w:p w14:paraId="314F9354" w14:textId="77777777" w:rsidR="00C02A8E" w:rsidRPr="00080443" w:rsidRDefault="00C02A8E" w:rsidP="00C02A8E">
      <w:pPr>
        <w:rPr>
          <w:rFonts w:cs="Arial"/>
        </w:rPr>
      </w:pPr>
    </w:p>
    <w:p w14:paraId="54D3C944" w14:textId="77777777" w:rsidR="008A60B8" w:rsidRPr="00080443" w:rsidRDefault="008A60B8" w:rsidP="00C02A8E">
      <w:pPr>
        <w:spacing w:after="80"/>
        <w:rPr>
          <w:rFonts w:cs="Arial"/>
        </w:rPr>
      </w:pPr>
      <w:r w:rsidRPr="00080443">
        <w:rPr>
          <w:rFonts w:cs="Arial"/>
        </w:rPr>
        <w:t>In the digital dividend auction, bidders will be able to acquire a maximum of:</w:t>
      </w:r>
    </w:p>
    <w:p w14:paraId="5BDD280B" w14:textId="77777777" w:rsidR="008A60B8" w:rsidRPr="00080443" w:rsidRDefault="008A60B8" w:rsidP="00C02A8E">
      <w:pPr>
        <w:pStyle w:val="ListBullet"/>
        <w:rPr>
          <w:rFonts w:cs="Arial"/>
        </w:rPr>
      </w:pPr>
      <w:r w:rsidRPr="00080443">
        <w:rPr>
          <w:rFonts w:cs="Arial"/>
        </w:rPr>
        <w:t>2</w:t>
      </w:r>
      <w:r w:rsidR="00E967A2" w:rsidRPr="00080443">
        <w:rPr>
          <w:rFonts w:cs="Arial"/>
        </w:rPr>
        <w:t>5</w:t>
      </w:r>
      <w:r w:rsidRPr="00080443">
        <w:rPr>
          <w:rFonts w:cs="Arial"/>
        </w:rPr>
        <w:t xml:space="preserve"> MHz paired (</w:t>
      </w:r>
      <w:r w:rsidR="00E967A2" w:rsidRPr="00080443">
        <w:rPr>
          <w:rFonts w:cs="Arial"/>
        </w:rPr>
        <w:t>5</w:t>
      </w:r>
      <w:r w:rsidRPr="00080443">
        <w:rPr>
          <w:rFonts w:cs="Arial"/>
        </w:rPr>
        <w:t>0 MHz in total) in the 700 MHz band</w:t>
      </w:r>
    </w:p>
    <w:p w14:paraId="4E560EE1" w14:textId="77777777" w:rsidR="008A60B8" w:rsidRPr="00080443" w:rsidRDefault="008A60B8" w:rsidP="00C02A8E">
      <w:pPr>
        <w:pStyle w:val="ListBullet"/>
        <w:spacing w:after="240"/>
        <w:rPr>
          <w:rFonts w:cs="Arial"/>
        </w:rPr>
      </w:pPr>
      <w:r w:rsidRPr="00080443">
        <w:rPr>
          <w:rFonts w:cs="Arial"/>
        </w:rPr>
        <w:t>40 MHz paired (80 MHz in total) in the 2.5 GHz band.</w:t>
      </w:r>
    </w:p>
    <w:p w14:paraId="5685A242" w14:textId="77777777" w:rsidR="008A60B8" w:rsidRPr="00080443" w:rsidRDefault="008A60B8" w:rsidP="00C02A8E">
      <w:pPr>
        <w:rPr>
          <w:rFonts w:cs="Arial"/>
        </w:rPr>
      </w:pPr>
      <w:r w:rsidRPr="00080443">
        <w:rPr>
          <w:rFonts w:cs="Arial"/>
        </w:rPr>
        <w:t xml:space="preserve">The term ‘paired’ refers to the paired lot configuration of each band discussed </w:t>
      </w:r>
      <w:r w:rsidR="004C781E" w:rsidRPr="00080443">
        <w:rPr>
          <w:rFonts w:cs="Arial"/>
        </w:rPr>
        <w:t>at</w:t>
      </w:r>
      <w:r w:rsidRPr="00080443">
        <w:rPr>
          <w:rFonts w:cs="Arial"/>
        </w:rPr>
        <w:t xml:space="preserve"> 2.2. Under this configuration, each frequency lot in each band consists of 10 MHz of spectrum (2x5 MHz), comprising a block of 5 MHz in the </w:t>
      </w:r>
      <w:r w:rsidRPr="00080443">
        <w:rPr>
          <w:rFonts w:cs="Arial"/>
          <w:i/>
        </w:rPr>
        <w:t>lower</w:t>
      </w:r>
      <w:r w:rsidRPr="00080443">
        <w:rPr>
          <w:rFonts w:cs="Arial"/>
        </w:rPr>
        <w:t xml:space="preserve"> part of the band and </w:t>
      </w:r>
      <w:r w:rsidR="004C781E" w:rsidRPr="00080443">
        <w:rPr>
          <w:rFonts w:cs="Arial"/>
        </w:rPr>
        <w:t>5 </w:t>
      </w:r>
      <w:r w:rsidRPr="00080443">
        <w:rPr>
          <w:rFonts w:cs="Arial"/>
        </w:rPr>
        <w:t xml:space="preserve">MHz in the </w:t>
      </w:r>
      <w:r w:rsidRPr="00080443">
        <w:rPr>
          <w:rFonts w:cs="Arial"/>
          <w:i/>
        </w:rPr>
        <w:t xml:space="preserve">upper </w:t>
      </w:r>
      <w:r w:rsidRPr="00080443">
        <w:rPr>
          <w:rFonts w:cs="Arial"/>
        </w:rPr>
        <w:t xml:space="preserve">part of the band. </w:t>
      </w:r>
    </w:p>
    <w:p w14:paraId="5FAE939E" w14:textId="77777777" w:rsidR="00C02A8E" w:rsidRPr="00080443" w:rsidRDefault="00C02A8E" w:rsidP="00C02A8E">
      <w:pPr>
        <w:rPr>
          <w:rFonts w:cs="Arial"/>
        </w:rPr>
      </w:pPr>
    </w:p>
    <w:p w14:paraId="476205D7" w14:textId="77777777" w:rsidR="008A60B8" w:rsidRPr="00080443" w:rsidRDefault="00D40320" w:rsidP="00C02A8E">
      <w:pPr>
        <w:rPr>
          <w:rFonts w:cs="Arial"/>
        </w:rPr>
      </w:pPr>
      <w:r w:rsidRPr="00080443">
        <w:rPr>
          <w:rFonts w:cs="Arial"/>
        </w:rPr>
        <w:t xml:space="preserve">Bidders must not bid in a way that could place them in contravention of the allocation limits if their bid was successful. </w:t>
      </w:r>
      <w:r w:rsidR="004C781E" w:rsidRPr="00080443">
        <w:rPr>
          <w:rFonts w:cs="Arial"/>
        </w:rPr>
        <w:t xml:space="preserve">The auction system </w:t>
      </w:r>
      <w:r w:rsidR="00DB3F2D" w:rsidRPr="00080443">
        <w:rPr>
          <w:rFonts w:cs="Arial"/>
        </w:rPr>
        <w:t xml:space="preserve">is designed to prevent bidders from bidding </w:t>
      </w:r>
      <w:r w:rsidR="008A60B8" w:rsidRPr="00080443">
        <w:rPr>
          <w:rFonts w:cs="Arial"/>
        </w:rPr>
        <w:t>in a way that contravenes the allocation limits.</w:t>
      </w:r>
    </w:p>
    <w:p w14:paraId="1686E319" w14:textId="77777777" w:rsidR="00C02A8E" w:rsidRPr="00080443" w:rsidRDefault="00C02A8E" w:rsidP="00C02A8E">
      <w:pPr>
        <w:rPr>
          <w:rFonts w:cs="Arial"/>
        </w:rPr>
      </w:pPr>
    </w:p>
    <w:p w14:paraId="4FC2EF54" w14:textId="77777777" w:rsidR="008A60B8" w:rsidRPr="00080443" w:rsidRDefault="008A60B8" w:rsidP="00234088">
      <w:pPr>
        <w:pStyle w:val="Heading3"/>
        <w:numPr>
          <w:ilvl w:val="2"/>
          <w:numId w:val="13"/>
        </w:numPr>
      </w:pPr>
      <w:bookmarkStart w:id="90" w:name="_Toc335246263"/>
      <w:bookmarkStart w:id="91" w:name="_Toc343780472"/>
      <w:r w:rsidRPr="00080443">
        <w:t>Affiliations</w:t>
      </w:r>
      <w:bookmarkEnd w:id="90"/>
      <w:bookmarkEnd w:id="91"/>
    </w:p>
    <w:p w14:paraId="04643AAB" w14:textId="77777777" w:rsidR="008A60B8" w:rsidRPr="00080443" w:rsidRDefault="008A60B8" w:rsidP="00C02A8E">
      <w:pPr>
        <w:rPr>
          <w:rFonts w:cs="Arial"/>
        </w:rPr>
      </w:pPr>
      <w:r w:rsidRPr="00080443">
        <w:rPr>
          <w:rFonts w:cs="Arial"/>
        </w:rPr>
        <w:t xml:space="preserve">Applicants and bidders who are ‘affiliated’ will not be permitted to participate in the auction as separate bidding entities. The affiliated applicant rules </w:t>
      </w:r>
      <w:r w:rsidR="00956825" w:rsidRPr="00080443">
        <w:rPr>
          <w:rFonts w:cs="Arial"/>
        </w:rPr>
        <w:t xml:space="preserve">in Part 2 of the allocation determination </w:t>
      </w:r>
      <w:r w:rsidRPr="00080443">
        <w:rPr>
          <w:rFonts w:cs="Arial"/>
        </w:rPr>
        <w:t>are in place to ensure compliance with the allocation limits, prevent (in conjunction with the confidentiality provisions discussed below) the movement of confidential information between bidders</w:t>
      </w:r>
      <w:r w:rsidR="004C781E" w:rsidRPr="00080443">
        <w:rPr>
          <w:rFonts w:cs="Arial"/>
        </w:rPr>
        <w:t>,</w:t>
      </w:r>
      <w:r w:rsidRPr="00080443">
        <w:rPr>
          <w:rFonts w:cs="Arial"/>
        </w:rPr>
        <w:t xml:space="preserve"> and deliver a fair and competitive auction. Two applicants or bidders will be considered affiliated if one is an ‘associate’ of the other, or if they have an associate in common.</w:t>
      </w:r>
      <w:r w:rsidRPr="00080443">
        <w:rPr>
          <w:rStyle w:val="FootnoteReference"/>
          <w:rFonts w:cs="Arial"/>
        </w:rPr>
        <w:footnoteReference w:id="29"/>
      </w:r>
      <w:r w:rsidRPr="00080443">
        <w:rPr>
          <w:rFonts w:cs="Arial"/>
        </w:rPr>
        <w:t xml:space="preserve">  </w:t>
      </w:r>
    </w:p>
    <w:p w14:paraId="142B5ABC" w14:textId="77777777" w:rsidR="00C02A8E" w:rsidRPr="00080443" w:rsidRDefault="00C02A8E" w:rsidP="00C02A8E">
      <w:pPr>
        <w:rPr>
          <w:rFonts w:cs="Arial"/>
        </w:rPr>
      </w:pPr>
    </w:p>
    <w:p w14:paraId="5E44A301" w14:textId="77777777" w:rsidR="008A60B8" w:rsidRPr="00080443" w:rsidRDefault="008A60B8" w:rsidP="00C02A8E">
      <w:pPr>
        <w:rPr>
          <w:rFonts w:cs="Arial"/>
        </w:rPr>
      </w:pPr>
      <w:r w:rsidRPr="00080443">
        <w:rPr>
          <w:rFonts w:cs="Arial"/>
        </w:rPr>
        <w:t xml:space="preserve">There are rules in place to identify and respond to affiliations formed before, during and after the auction. </w:t>
      </w:r>
    </w:p>
    <w:p w14:paraId="0A2E4CDC" w14:textId="77777777" w:rsidR="00C02A8E" w:rsidRPr="00080443" w:rsidRDefault="00C02A8E" w:rsidP="00C02A8E">
      <w:pPr>
        <w:rPr>
          <w:rFonts w:cs="Arial"/>
        </w:rPr>
      </w:pPr>
    </w:p>
    <w:p w14:paraId="2D475230" w14:textId="77777777" w:rsidR="008A60B8" w:rsidRPr="00080443" w:rsidRDefault="00956825" w:rsidP="00C02A8E">
      <w:pPr>
        <w:rPr>
          <w:rFonts w:cs="Arial"/>
        </w:rPr>
      </w:pPr>
      <w:r w:rsidRPr="00080443">
        <w:rPr>
          <w:rFonts w:cs="Arial"/>
        </w:rPr>
        <w:t xml:space="preserve">At Stage A of the bidder registration process, applicants will be required to provide information about the identity of their associates. </w:t>
      </w:r>
      <w:r w:rsidR="003332F7" w:rsidRPr="00080443">
        <w:rPr>
          <w:rFonts w:cs="Arial"/>
        </w:rPr>
        <w:t>A</w:t>
      </w:r>
      <w:r w:rsidR="0056191D" w:rsidRPr="00080443">
        <w:rPr>
          <w:rFonts w:cs="Arial"/>
        </w:rPr>
        <w:t>t Stage B of the process</w:t>
      </w:r>
      <w:r w:rsidRPr="00080443">
        <w:rPr>
          <w:rFonts w:cs="Arial"/>
        </w:rPr>
        <w:t xml:space="preserve">, </w:t>
      </w:r>
      <w:r w:rsidR="008A60B8" w:rsidRPr="00080443">
        <w:rPr>
          <w:rFonts w:cs="Arial"/>
        </w:rPr>
        <w:t>the ACMA will give each applicant details about the identity of all other applicants and their associates. Applicants will then be required to provide a statutory declaration stating whether they are affiliated with another applicant</w:t>
      </w:r>
      <w:r w:rsidR="004C781E" w:rsidRPr="00080443">
        <w:rPr>
          <w:rFonts w:cs="Arial"/>
        </w:rPr>
        <w:t>—</w:t>
      </w:r>
      <w:r w:rsidR="008A60B8" w:rsidRPr="00080443">
        <w:rPr>
          <w:rFonts w:cs="Arial"/>
        </w:rPr>
        <w:t>and</w:t>
      </w:r>
      <w:r w:rsidR="004C781E" w:rsidRPr="00080443">
        <w:rPr>
          <w:rFonts w:cs="Arial"/>
        </w:rPr>
        <w:t>,</w:t>
      </w:r>
      <w:r w:rsidR="008A60B8" w:rsidRPr="00080443">
        <w:rPr>
          <w:rFonts w:cs="Arial"/>
        </w:rPr>
        <w:t xml:space="preserve"> if so, providing details of the affiliation. If an affiliation is identified at this stage, the affiliated applicants will have the option of withdrawing all of their applications and submitting a new application as a single applicant, or withdrawing all but one of their applications</w:t>
      </w:r>
      <w:r w:rsidR="00EB4AD2" w:rsidRPr="00080443">
        <w:rPr>
          <w:rFonts w:cs="Arial"/>
        </w:rPr>
        <w:t xml:space="preserve"> (see 4.3.2)</w:t>
      </w:r>
      <w:r w:rsidR="008A60B8" w:rsidRPr="00080443">
        <w:rPr>
          <w:rFonts w:cs="Arial"/>
        </w:rPr>
        <w:t xml:space="preserve">. </w:t>
      </w:r>
    </w:p>
    <w:p w14:paraId="2428D31B" w14:textId="77777777" w:rsidR="00C02A8E" w:rsidRPr="00080443" w:rsidRDefault="00C02A8E" w:rsidP="00C02A8E">
      <w:pPr>
        <w:rPr>
          <w:rFonts w:cs="Arial"/>
        </w:rPr>
      </w:pPr>
    </w:p>
    <w:p w14:paraId="4D377A37" w14:textId="77777777" w:rsidR="008A60B8" w:rsidRPr="00080443" w:rsidRDefault="008A60B8" w:rsidP="00C02A8E">
      <w:pPr>
        <w:rPr>
          <w:rFonts w:cs="Arial"/>
        </w:rPr>
      </w:pPr>
      <w:r w:rsidRPr="00080443">
        <w:rPr>
          <w:rFonts w:cs="Arial"/>
        </w:rPr>
        <w:lastRenderedPageBreak/>
        <w:t xml:space="preserve">A bidder must not be affiliated with another bidder during the auction period (from the eligibility deadline to the completion of the assignment stage). If during the auction period a bidder believes it may be affiliated with another bidder, the bidder must report the matter to the ACMA. If the ACMA </w:t>
      </w:r>
      <w:r w:rsidR="008F4565" w:rsidRPr="00080443">
        <w:rPr>
          <w:rFonts w:cs="Arial"/>
        </w:rPr>
        <w:t xml:space="preserve">is satisfied that </w:t>
      </w:r>
      <w:r w:rsidRPr="00080443">
        <w:rPr>
          <w:rFonts w:cs="Arial"/>
        </w:rPr>
        <w:t xml:space="preserve">one bidder was affiliated with another during the auction period, and the affiliation affected or may have affected the auction outcome, </w:t>
      </w:r>
      <w:r w:rsidR="004C781E" w:rsidRPr="00080443">
        <w:rPr>
          <w:rFonts w:cs="Arial"/>
        </w:rPr>
        <w:t>it</w:t>
      </w:r>
      <w:r w:rsidRPr="00080443">
        <w:rPr>
          <w:rFonts w:cs="Arial"/>
        </w:rPr>
        <w:t xml:space="preserve"> may take action under the breach provisions discussed </w:t>
      </w:r>
      <w:r w:rsidR="004C781E" w:rsidRPr="00080443">
        <w:rPr>
          <w:rFonts w:cs="Arial"/>
        </w:rPr>
        <w:t>at</w:t>
      </w:r>
      <w:r w:rsidRPr="00080443">
        <w:rPr>
          <w:rFonts w:cs="Arial"/>
        </w:rPr>
        <w:t xml:space="preserve"> 3.2.</w:t>
      </w:r>
      <w:r w:rsidR="0037586E" w:rsidRPr="00080443">
        <w:rPr>
          <w:rFonts w:cs="Arial"/>
        </w:rPr>
        <w:t>8</w:t>
      </w:r>
      <w:r w:rsidRPr="00080443">
        <w:rPr>
          <w:rFonts w:cs="Arial"/>
        </w:rPr>
        <w:t xml:space="preserve">. </w:t>
      </w:r>
    </w:p>
    <w:p w14:paraId="64586DCA" w14:textId="77777777" w:rsidR="00C02A8E" w:rsidRPr="00080443" w:rsidRDefault="00C02A8E" w:rsidP="00C02A8E">
      <w:pPr>
        <w:rPr>
          <w:rFonts w:cs="Arial"/>
        </w:rPr>
      </w:pPr>
    </w:p>
    <w:p w14:paraId="2F78C81C" w14:textId="77777777" w:rsidR="008A60B8" w:rsidRPr="00080443" w:rsidRDefault="008A60B8" w:rsidP="00C02A8E">
      <w:pPr>
        <w:rPr>
          <w:rFonts w:cs="Arial"/>
        </w:rPr>
      </w:pPr>
      <w:r w:rsidRPr="00080443">
        <w:rPr>
          <w:rFonts w:cs="Arial"/>
        </w:rPr>
        <w:t>As soon as practicable after the end of the auction period, the ACMA will give each winning bidder details about the identity of all other winning bidders. Each winning bidder will then be required to provide to the ACMA a statement about whether they are affiliated with another winning bidder</w:t>
      </w:r>
      <w:r w:rsidR="004C781E" w:rsidRPr="00080443">
        <w:rPr>
          <w:rFonts w:cs="Arial"/>
        </w:rPr>
        <w:t>—</w:t>
      </w:r>
      <w:r w:rsidRPr="00080443">
        <w:rPr>
          <w:rFonts w:cs="Arial"/>
        </w:rPr>
        <w:t>and</w:t>
      </w:r>
      <w:r w:rsidR="004C781E" w:rsidRPr="00080443">
        <w:rPr>
          <w:rFonts w:cs="Arial"/>
        </w:rPr>
        <w:t>,</w:t>
      </w:r>
      <w:r w:rsidRPr="00080443">
        <w:rPr>
          <w:rFonts w:cs="Arial"/>
        </w:rPr>
        <w:t xml:space="preserve"> if so, providing details of the affiliation. If an affiliation commences at this stage, the allocation limits will cap the amount of spectrum issued to the affiliated bidders</w:t>
      </w:r>
      <w:r w:rsidR="004C781E" w:rsidRPr="00080443">
        <w:rPr>
          <w:rFonts w:cs="Arial"/>
        </w:rPr>
        <w:t>. R</w:t>
      </w:r>
      <w:r w:rsidRPr="00080443">
        <w:rPr>
          <w:rFonts w:cs="Arial"/>
        </w:rPr>
        <w:t>egardless of whether the bidders are consequently issued licences for fewer lots than they won in the auction, each of them will remain liable to pay the full balance of the winning price for all of the lots they won</w:t>
      </w:r>
      <w:r w:rsidR="00524900" w:rsidRPr="00080443">
        <w:rPr>
          <w:rFonts w:cs="Arial"/>
        </w:rPr>
        <w:t xml:space="preserve"> (see 4.6.1)</w:t>
      </w:r>
      <w:r w:rsidRPr="00080443">
        <w:rPr>
          <w:rFonts w:cs="Arial"/>
        </w:rPr>
        <w:t xml:space="preserve">. </w:t>
      </w:r>
    </w:p>
    <w:p w14:paraId="47A198F6" w14:textId="77777777" w:rsidR="00C02A8E" w:rsidRDefault="00C02A8E" w:rsidP="00C02A8E">
      <w:pPr>
        <w:rPr>
          <w:rFonts w:cs="Arial"/>
        </w:rPr>
      </w:pPr>
    </w:p>
    <w:p w14:paraId="1D75F773" w14:textId="77777777" w:rsidR="008A60B8" w:rsidRPr="00080443" w:rsidRDefault="008A60B8" w:rsidP="00234088">
      <w:pPr>
        <w:pStyle w:val="Heading3"/>
        <w:numPr>
          <w:ilvl w:val="2"/>
          <w:numId w:val="13"/>
        </w:numPr>
      </w:pPr>
      <w:bookmarkStart w:id="92" w:name="_Toc335246264"/>
      <w:bookmarkStart w:id="93" w:name="_Toc343780473"/>
      <w:r w:rsidRPr="00080443">
        <w:t>Confidentiality</w:t>
      </w:r>
      <w:bookmarkEnd w:id="92"/>
      <w:bookmarkEnd w:id="93"/>
    </w:p>
    <w:p w14:paraId="51A2C7B3" w14:textId="77777777" w:rsidR="008A60B8" w:rsidRPr="00080443" w:rsidRDefault="008A60B8" w:rsidP="00C02A8E">
      <w:pPr>
        <w:rPr>
          <w:rFonts w:cs="Arial"/>
        </w:rPr>
      </w:pPr>
      <w:r w:rsidRPr="00080443">
        <w:rPr>
          <w:rFonts w:cs="Arial"/>
        </w:rPr>
        <w:t>Applicants, bidders and ‘related persons’</w:t>
      </w:r>
      <w:r w:rsidR="000A2D26" w:rsidRPr="00080443">
        <w:rPr>
          <w:rStyle w:val="FootnoteReference"/>
          <w:rFonts w:cs="Arial"/>
        </w:rPr>
        <w:footnoteReference w:id="30"/>
      </w:r>
      <w:r w:rsidRPr="00080443">
        <w:rPr>
          <w:rFonts w:cs="Arial"/>
        </w:rPr>
        <w:t xml:space="preserve"> who have knowledge of an applicant’s or bidder’s confidential information will be prohibited from disclosing confidential information</w:t>
      </w:r>
      <w:r w:rsidRPr="00080443">
        <w:rPr>
          <w:rFonts w:cs="Arial"/>
          <w:i/>
        </w:rPr>
        <w:t xml:space="preserve"> </w:t>
      </w:r>
      <w:r w:rsidRPr="00080443">
        <w:rPr>
          <w:rFonts w:cs="Arial"/>
        </w:rPr>
        <w:t>about the auction to any person, except in specified circumstances. The confidentiality rules, in conjunction with the affiliations provisions discussed above, are in place to protect the integrity of the auction process by prohibiting communications that could influence the auction outcome</w:t>
      </w:r>
      <w:r w:rsidR="004C781E" w:rsidRPr="00080443">
        <w:rPr>
          <w:rFonts w:cs="Arial"/>
        </w:rPr>
        <w:t>. The</w:t>
      </w:r>
      <w:r w:rsidR="003A1A57" w:rsidRPr="00080443">
        <w:rPr>
          <w:rFonts w:cs="Arial"/>
        </w:rPr>
        <w:t xml:space="preserve"> rules are intended to guard against anti-competitive behaviour in the auction and to complement the prohibition on </w:t>
      </w:r>
      <w:r w:rsidRPr="00080443">
        <w:rPr>
          <w:rFonts w:cs="Arial"/>
        </w:rPr>
        <w:t xml:space="preserve">cartel conduct contained in the </w:t>
      </w:r>
      <w:r w:rsidRPr="00080443">
        <w:rPr>
          <w:rFonts w:cs="Arial"/>
          <w:i/>
        </w:rPr>
        <w:t>Competition and Consumer Act 2010</w:t>
      </w:r>
      <w:r w:rsidRPr="00080443">
        <w:rPr>
          <w:rFonts w:cs="Arial"/>
        </w:rPr>
        <w:t xml:space="preserve">.  </w:t>
      </w:r>
    </w:p>
    <w:p w14:paraId="6CD3FE75" w14:textId="77777777" w:rsidR="00C02A8E" w:rsidRPr="00080443" w:rsidRDefault="00C02A8E" w:rsidP="00C02A8E">
      <w:pPr>
        <w:rPr>
          <w:rFonts w:cs="Arial"/>
        </w:rPr>
      </w:pPr>
    </w:p>
    <w:p w14:paraId="1BD5C5F1" w14:textId="77777777" w:rsidR="008A60B8" w:rsidRPr="00080443" w:rsidRDefault="008A60B8" w:rsidP="00C02A8E">
      <w:pPr>
        <w:spacing w:after="80"/>
        <w:rPr>
          <w:rFonts w:cs="Arial"/>
        </w:rPr>
      </w:pPr>
      <w:r w:rsidRPr="00080443">
        <w:rPr>
          <w:rFonts w:cs="Arial"/>
        </w:rPr>
        <w:t>The general prohibition on disclosing confidential information does not apply where the disclosure is made</w:t>
      </w:r>
      <w:r w:rsidR="00D40320" w:rsidRPr="00080443">
        <w:rPr>
          <w:rFonts w:cs="Arial"/>
        </w:rPr>
        <w:t xml:space="preserve"> either</w:t>
      </w:r>
      <w:r w:rsidRPr="00080443">
        <w:rPr>
          <w:rFonts w:cs="Arial"/>
        </w:rPr>
        <w:t xml:space="preserve">: </w:t>
      </w:r>
    </w:p>
    <w:p w14:paraId="731776B4" w14:textId="77777777" w:rsidR="008A60B8" w:rsidRPr="00080443" w:rsidRDefault="004C781E" w:rsidP="00C02A8E">
      <w:pPr>
        <w:pStyle w:val="ListBullet"/>
        <w:rPr>
          <w:rFonts w:cs="Arial"/>
        </w:rPr>
      </w:pPr>
      <w:r w:rsidRPr="00080443">
        <w:rPr>
          <w:rFonts w:cs="Arial"/>
        </w:rPr>
        <w:t>to</w:t>
      </w:r>
      <w:r w:rsidR="008A60B8" w:rsidRPr="00080443">
        <w:rPr>
          <w:rFonts w:cs="Arial"/>
        </w:rPr>
        <w:t xml:space="preserve"> obtain advice </w:t>
      </w:r>
      <w:r w:rsidRPr="00080443">
        <w:rPr>
          <w:rFonts w:cs="Arial"/>
        </w:rPr>
        <w:t>on</w:t>
      </w:r>
      <w:r w:rsidR="008A60B8" w:rsidRPr="00080443">
        <w:rPr>
          <w:rFonts w:cs="Arial"/>
        </w:rPr>
        <w:t xml:space="preserve"> the auction from a person in the</w:t>
      </w:r>
      <w:r w:rsidRPr="00080443">
        <w:rPr>
          <w:rFonts w:cs="Arial"/>
        </w:rPr>
        <w:t>ir</w:t>
      </w:r>
      <w:r w:rsidR="008A60B8" w:rsidRPr="00080443">
        <w:rPr>
          <w:rFonts w:cs="Arial"/>
        </w:rPr>
        <w:t xml:space="preserve"> professional capacity</w:t>
      </w:r>
    </w:p>
    <w:p w14:paraId="6631D485" w14:textId="77777777" w:rsidR="008A60B8" w:rsidRPr="00080443" w:rsidRDefault="004C781E" w:rsidP="00C02A8E">
      <w:pPr>
        <w:pStyle w:val="ListBullet"/>
        <w:rPr>
          <w:rFonts w:cs="Arial"/>
        </w:rPr>
      </w:pPr>
      <w:r w:rsidRPr="00080443">
        <w:rPr>
          <w:rFonts w:cs="Arial"/>
        </w:rPr>
        <w:t>to</w:t>
      </w:r>
      <w:r w:rsidR="008A60B8" w:rsidRPr="00080443">
        <w:rPr>
          <w:rFonts w:cs="Arial"/>
        </w:rPr>
        <w:t xml:space="preserve"> obtain finance to purchase spectrum licences in the auction</w:t>
      </w:r>
    </w:p>
    <w:p w14:paraId="20B2D958" w14:textId="77777777" w:rsidR="008A60B8" w:rsidRPr="00080443" w:rsidRDefault="008A60B8" w:rsidP="00C02A8E">
      <w:pPr>
        <w:pStyle w:val="ListBullet"/>
        <w:rPr>
          <w:rFonts w:cs="Arial"/>
        </w:rPr>
      </w:pPr>
      <w:r w:rsidRPr="00080443">
        <w:rPr>
          <w:rFonts w:cs="Arial"/>
        </w:rPr>
        <w:t>to the ACMA</w:t>
      </w:r>
    </w:p>
    <w:p w14:paraId="0848D572" w14:textId="77777777" w:rsidR="008A60B8" w:rsidRPr="00080443" w:rsidRDefault="008A60B8" w:rsidP="00C02A8E">
      <w:pPr>
        <w:pStyle w:val="ListBullet"/>
        <w:rPr>
          <w:rFonts w:cs="Arial"/>
        </w:rPr>
      </w:pPr>
      <w:r w:rsidRPr="00080443">
        <w:rPr>
          <w:rFonts w:cs="Arial"/>
        </w:rPr>
        <w:t>to another related person of th</w:t>
      </w:r>
      <w:r w:rsidR="003A1A57" w:rsidRPr="00080443">
        <w:rPr>
          <w:rFonts w:cs="Arial"/>
        </w:rPr>
        <w:t>at</w:t>
      </w:r>
      <w:r w:rsidRPr="00080443">
        <w:rPr>
          <w:rFonts w:cs="Arial"/>
        </w:rPr>
        <w:t xml:space="preserve"> applicant or bidder</w:t>
      </w:r>
    </w:p>
    <w:p w14:paraId="6D312D09" w14:textId="77777777" w:rsidR="008A60B8" w:rsidRPr="00080443" w:rsidRDefault="008A60B8" w:rsidP="00C02A8E">
      <w:pPr>
        <w:pStyle w:val="ListBullet"/>
        <w:rPr>
          <w:rFonts w:cs="Arial"/>
        </w:rPr>
      </w:pPr>
      <w:r w:rsidRPr="00080443">
        <w:rPr>
          <w:rFonts w:cs="Arial"/>
        </w:rPr>
        <w:t>as authorised by the allocation determination or otherwise required by law</w:t>
      </w:r>
    </w:p>
    <w:p w14:paraId="12999C12" w14:textId="77777777" w:rsidR="008A60B8" w:rsidRPr="00080443" w:rsidRDefault="004C781E" w:rsidP="00C02A8E">
      <w:pPr>
        <w:pStyle w:val="ListBullet"/>
        <w:spacing w:after="240"/>
        <w:rPr>
          <w:rFonts w:cs="Arial"/>
        </w:rPr>
      </w:pPr>
      <w:r w:rsidRPr="00080443">
        <w:rPr>
          <w:rFonts w:cs="Arial"/>
        </w:rPr>
        <w:t xml:space="preserve">because </w:t>
      </w:r>
      <w:r w:rsidR="008A60B8" w:rsidRPr="00080443">
        <w:rPr>
          <w:rFonts w:cs="Arial"/>
        </w:rPr>
        <w:t xml:space="preserve">the information is publicly available and was not made available because of a breach of the confidentiality rules. </w:t>
      </w:r>
    </w:p>
    <w:p w14:paraId="2A05244D" w14:textId="77777777" w:rsidR="008A60B8" w:rsidRPr="00080443" w:rsidRDefault="008A60B8" w:rsidP="00C02A8E">
      <w:pPr>
        <w:rPr>
          <w:rFonts w:cs="Arial"/>
        </w:rPr>
      </w:pPr>
      <w:r w:rsidRPr="00080443">
        <w:rPr>
          <w:rFonts w:cs="Arial"/>
        </w:rPr>
        <w:t>Confidential information includes any information that, if disclosed, could be reasonably expected to affect another applicant</w:t>
      </w:r>
      <w:r w:rsidR="00814A12" w:rsidRPr="00080443">
        <w:rPr>
          <w:rFonts w:cs="Arial"/>
        </w:rPr>
        <w:t>’s</w:t>
      </w:r>
      <w:r w:rsidRPr="00080443">
        <w:rPr>
          <w:rFonts w:cs="Arial"/>
        </w:rPr>
        <w:t xml:space="preserve"> or bidder’s behaviour in the auction, or the auction outcome. This includes information about an applicant</w:t>
      </w:r>
      <w:r w:rsidR="00814A12" w:rsidRPr="00080443">
        <w:rPr>
          <w:rFonts w:cs="Arial"/>
        </w:rPr>
        <w:t>’s</w:t>
      </w:r>
      <w:r w:rsidRPr="00080443">
        <w:rPr>
          <w:rFonts w:cs="Arial"/>
        </w:rPr>
        <w:t xml:space="preserve"> or </w:t>
      </w:r>
      <w:r w:rsidR="007849CA" w:rsidRPr="00080443">
        <w:rPr>
          <w:rFonts w:cs="Arial"/>
        </w:rPr>
        <w:t xml:space="preserve">a </w:t>
      </w:r>
      <w:r w:rsidRPr="00080443">
        <w:rPr>
          <w:rFonts w:cs="Arial"/>
        </w:rPr>
        <w:t>bidder’s bids or proposed bids, bidding strategy or lot valuations.</w:t>
      </w:r>
      <w:r w:rsidR="00CD2C67" w:rsidRPr="00080443">
        <w:rPr>
          <w:rStyle w:val="FootnoteReference"/>
          <w:rFonts w:cs="Arial"/>
        </w:rPr>
        <w:footnoteReference w:id="31"/>
      </w:r>
    </w:p>
    <w:p w14:paraId="224E5592" w14:textId="77777777" w:rsidR="00C02A8E" w:rsidRPr="00080443" w:rsidRDefault="00C02A8E" w:rsidP="00C02A8E">
      <w:pPr>
        <w:rPr>
          <w:rFonts w:cs="Arial"/>
        </w:rPr>
      </w:pPr>
    </w:p>
    <w:p w14:paraId="32359356" w14:textId="77777777" w:rsidR="008A60B8" w:rsidRPr="00080443" w:rsidRDefault="008A60B8" w:rsidP="00C02A8E">
      <w:pPr>
        <w:rPr>
          <w:rFonts w:cs="Arial"/>
        </w:rPr>
      </w:pPr>
      <w:r w:rsidRPr="00080443">
        <w:rPr>
          <w:rFonts w:cs="Arial"/>
        </w:rPr>
        <w:t xml:space="preserve">Applicants are required to complete a deed of confidentiality as part of </w:t>
      </w:r>
      <w:r w:rsidR="00E214D7" w:rsidRPr="00080443">
        <w:rPr>
          <w:rFonts w:cs="Arial"/>
        </w:rPr>
        <w:t>Stage A</w:t>
      </w:r>
      <w:r w:rsidRPr="00080443">
        <w:rPr>
          <w:rFonts w:cs="Arial"/>
        </w:rPr>
        <w:t xml:space="preserve"> of the bidder registration process. Each ‘related person’</w:t>
      </w:r>
      <w:r w:rsidR="00BD6BC3" w:rsidRPr="00080443">
        <w:rPr>
          <w:rFonts w:cs="Arial"/>
        </w:rPr>
        <w:t xml:space="preserve"> </w:t>
      </w:r>
      <w:r w:rsidRPr="00080443">
        <w:rPr>
          <w:rFonts w:cs="Arial"/>
        </w:rPr>
        <w:t>who has knowledge of the applicant</w:t>
      </w:r>
      <w:r w:rsidR="00814A12" w:rsidRPr="00080443">
        <w:rPr>
          <w:rFonts w:cs="Arial"/>
        </w:rPr>
        <w:t>’s</w:t>
      </w:r>
      <w:r w:rsidRPr="00080443">
        <w:rPr>
          <w:rFonts w:cs="Arial"/>
        </w:rPr>
        <w:t xml:space="preserve"> or bidder’s confidential information will (if they are an employee of the applicant or bidder, or of a related body corporate of the applicant or bidder that provides services to it) be </w:t>
      </w:r>
      <w:r w:rsidR="00BD6BC3" w:rsidRPr="00080443">
        <w:rPr>
          <w:rFonts w:cs="Arial"/>
        </w:rPr>
        <w:t xml:space="preserve">also </w:t>
      </w:r>
      <w:r w:rsidRPr="00080443">
        <w:rPr>
          <w:rFonts w:cs="Arial"/>
        </w:rPr>
        <w:t>required to complete a deed of confidentiality.</w:t>
      </w:r>
      <w:r w:rsidR="00F05026" w:rsidRPr="00080443">
        <w:rPr>
          <w:rStyle w:val="FootnoteReference"/>
          <w:rFonts w:cs="Arial"/>
        </w:rPr>
        <w:t xml:space="preserve"> </w:t>
      </w:r>
      <w:r w:rsidRPr="00080443">
        <w:rPr>
          <w:rFonts w:cs="Arial"/>
        </w:rPr>
        <w:t>By completing the deed, applicants and their related persons will be agree</w:t>
      </w:r>
      <w:r w:rsidR="00BD6BC3" w:rsidRPr="00080443">
        <w:rPr>
          <w:rFonts w:cs="Arial"/>
        </w:rPr>
        <w:t>ing</w:t>
      </w:r>
      <w:r w:rsidRPr="00080443">
        <w:rPr>
          <w:rFonts w:cs="Arial"/>
        </w:rPr>
        <w:t xml:space="preserve"> not to disclose confidential information before their confidentiality obligations have ceased to apply. The precise point at which the rules cease to apply to an applicant, bidder or their related persons will depend on whether the applicant or bidder is a winning bidder, is not a winning bidder or withdraw</w:t>
      </w:r>
      <w:r w:rsidR="00BD6BC3" w:rsidRPr="00080443">
        <w:rPr>
          <w:rFonts w:cs="Arial"/>
        </w:rPr>
        <w:t>s</w:t>
      </w:r>
      <w:r w:rsidRPr="00080443">
        <w:rPr>
          <w:rFonts w:cs="Arial"/>
        </w:rPr>
        <w:t xml:space="preserve"> from the auction</w:t>
      </w:r>
      <w:r w:rsidR="000A2D26" w:rsidRPr="00080443">
        <w:rPr>
          <w:rFonts w:cs="Arial"/>
        </w:rPr>
        <w:t xml:space="preserve"> (see 4.6)</w:t>
      </w:r>
      <w:r w:rsidRPr="00080443">
        <w:rPr>
          <w:rFonts w:cs="Arial"/>
        </w:rPr>
        <w:t xml:space="preserve">. </w:t>
      </w:r>
    </w:p>
    <w:p w14:paraId="4C622727" w14:textId="77777777" w:rsidR="00C02A8E" w:rsidRPr="00080443" w:rsidRDefault="00C02A8E" w:rsidP="00C02A8E">
      <w:pPr>
        <w:rPr>
          <w:rFonts w:cs="Arial"/>
        </w:rPr>
      </w:pPr>
    </w:p>
    <w:p w14:paraId="6C84E5FF" w14:textId="77777777" w:rsidR="008A60B8" w:rsidRPr="00080443" w:rsidRDefault="008A60B8" w:rsidP="00C02A8E">
      <w:pPr>
        <w:rPr>
          <w:rFonts w:cs="Arial"/>
        </w:rPr>
      </w:pPr>
      <w:r w:rsidRPr="00080443">
        <w:rPr>
          <w:rFonts w:cs="Arial"/>
        </w:rPr>
        <w:t xml:space="preserve">Applicants, bidders and their related persons are required to notify the ACMA in writing about any breach of the confidentiality rules of which they become aware. The notification must be made as soon as possible, and no later than two working days after they become aware the breach has occurred. If the auction manager is satisfied that the auction has been affected by a breach of the confidentiality rules, </w:t>
      </w:r>
      <w:r w:rsidR="00533298" w:rsidRPr="00080443">
        <w:rPr>
          <w:rFonts w:cs="Arial"/>
        </w:rPr>
        <w:t>they</w:t>
      </w:r>
      <w:r w:rsidRPr="00080443">
        <w:rPr>
          <w:rFonts w:cs="Arial"/>
        </w:rPr>
        <w:t xml:space="preserve"> may take steps to</w:t>
      </w:r>
      <w:r w:rsidR="00057032" w:rsidRPr="00080443">
        <w:rPr>
          <w:rFonts w:cs="Arial"/>
        </w:rPr>
        <w:t>, among other options,</w:t>
      </w:r>
      <w:r w:rsidRPr="00080443">
        <w:rPr>
          <w:rFonts w:cs="Arial"/>
        </w:rPr>
        <w:t xml:space="preserve"> stop the auction or wind the auction back to an earlier point (see 3.2.1</w:t>
      </w:r>
      <w:r w:rsidR="0037586E" w:rsidRPr="00080443">
        <w:rPr>
          <w:rFonts w:cs="Arial"/>
        </w:rPr>
        <w:t>4</w:t>
      </w:r>
      <w:r w:rsidRPr="00080443">
        <w:rPr>
          <w:rFonts w:cs="Arial"/>
        </w:rPr>
        <w:t xml:space="preserve">). Applicants or bidders who breach the confidentiality rules will be subject to the breach provisions discussed </w:t>
      </w:r>
      <w:r w:rsidR="00BD6BC3" w:rsidRPr="00080443">
        <w:rPr>
          <w:rFonts w:cs="Arial"/>
        </w:rPr>
        <w:t>at</w:t>
      </w:r>
      <w:r w:rsidRPr="00080443">
        <w:rPr>
          <w:rFonts w:cs="Arial"/>
        </w:rPr>
        <w:t xml:space="preserve"> 3.2.</w:t>
      </w:r>
      <w:r w:rsidR="0037586E" w:rsidRPr="00080443">
        <w:rPr>
          <w:rFonts w:cs="Arial"/>
        </w:rPr>
        <w:t>8</w:t>
      </w:r>
      <w:r w:rsidRPr="00080443">
        <w:rPr>
          <w:rFonts w:cs="Arial"/>
        </w:rPr>
        <w:t xml:space="preserve">. </w:t>
      </w:r>
    </w:p>
    <w:p w14:paraId="417857E1" w14:textId="77777777" w:rsidR="00B86E4D" w:rsidRPr="00080443" w:rsidRDefault="00B86E4D" w:rsidP="00C02A8E">
      <w:pPr>
        <w:rPr>
          <w:rFonts w:cs="Arial"/>
        </w:rPr>
      </w:pPr>
    </w:p>
    <w:p w14:paraId="40D03079" w14:textId="77777777" w:rsidR="008A60B8" w:rsidRPr="00080443" w:rsidRDefault="008A60B8" w:rsidP="00234088">
      <w:pPr>
        <w:pStyle w:val="Heading3"/>
        <w:numPr>
          <w:ilvl w:val="2"/>
          <w:numId w:val="13"/>
        </w:numPr>
      </w:pPr>
      <w:bookmarkStart w:id="94" w:name="_Toc335246265"/>
      <w:bookmarkStart w:id="95" w:name="_Toc343780474"/>
      <w:r w:rsidRPr="00080443">
        <w:t>Breaches of the auction procedures</w:t>
      </w:r>
      <w:bookmarkEnd w:id="94"/>
      <w:bookmarkEnd w:id="95"/>
    </w:p>
    <w:p w14:paraId="0DE074B7" w14:textId="77777777" w:rsidR="008A60B8" w:rsidRPr="00080443" w:rsidRDefault="003A1A57" w:rsidP="00C02A8E">
      <w:pPr>
        <w:spacing w:after="80"/>
        <w:rPr>
          <w:rFonts w:cs="Arial"/>
        </w:rPr>
      </w:pPr>
      <w:r w:rsidRPr="00080443">
        <w:rPr>
          <w:rFonts w:cs="Arial"/>
        </w:rPr>
        <w:t>E</w:t>
      </w:r>
      <w:r w:rsidR="008A60B8" w:rsidRPr="00080443">
        <w:rPr>
          <w:rFonts w:cs="Arial"/>
        </w:rPr>
        <w:t xml:space="preserve">nforcement provisions </w:t>
      </w:r>
      <w:r w:rsidR="0070684A" w:rsidRPr="00080443">
        <w:rPr>
          <w:rFonts w:cs="Arial"/>
        </w:rPr>
        <w:t xml:space="preserve">set out in section 7.6 of the allocation determination </w:t>
      </w:r>
      <w:r w:rsidR="008A60B8" w:rsidRPr="00080443">
        <w:rPr>
          <w:rFonts w:cs="Arial"/>
        </w:rPr>
        <w:t xml:space="preserve">will apply in cases where </w:t>
      </w:r>
      <w:r w:rsidR="004E7483" w:rsidRPr="00080443">
        <w:rPr>
          <w:rFonts w:cs="Arial"/>
        </w:rPr>
        <w:t xml:space="preserve">the ACMA </w:t>
      </w:r>
      <w:r w:rsidR="00AC6C26" w:rsidRPr="00080443">
        <w:rPr>
          <w:rFonts w:cs="Arial"/>
        </w:rPr>
        <w:t xml:space="preserve">is satisfied </w:t>
      </w:r>
      <w:r w:rsidR="004E7483" w:rsidRPr="00080443">
        <w:rPr>
          <w:rFonts w:cs="Arial"/>
        </w:rPr>
        <w:t xml:space="preserve">that </w:t>
      </w:r>
      <w:r w:rsidR="008A60B8" w:rsidRPr="00080443">
        <w:rPr>
          <w:rFonts w:cs="Arial"/>
        </w:rPr>
        <w:t xml:space="preserve">an applicant or bidder (or, where applicable, a related person) </w:t>
      </w:r>
      <w:r w:rsidR="004E7483" w:rsidRPr="00080443">
        <w:rPr>
          <w:rFonts w:cs="Arial"/>
        </w:rPr>
        <w:t xml:space="preserve">has </w:t>
      </w:r>
      <w:r w:rsidR="008A60B8" w:rsidRPr="00080443">
        <w:rPr>
          <w:rFonts w:cs="Arial"/>
        </w:rPr>
        <w:t>breache</w:t>
      </w:r>
      <w:r w:rsidR="004E7483" w:rsidRPr="00080443">
        <w:rPr>
          <w:rFonts w:cs="Arial"/>
        </w:rPr>
        <w:t>d</w:t>
      </w:r>
      <w:r w:rsidR="008A60B8" w:rsidRPr="00080443">
        <w:rPr>
          <w:rFonts w:cs="Arial"/>
        </w:rPr>
        <w:t xml:space="preserve"> a provision of the allocation determination. Under the enforcement provisions: </w:t>
      </w:r>
    </w:p>
    <w:p w14:paraId="76EA5363" w14:textId="77777777" w:rsidR="008A60B8" w:rsidRPr="00080443" w:rsidRDefault="008A60B8" w:rsidP="00C02A8E">
      <w:pPr>
        <w:pStyle w:val="ListBullet"/>
        <w:rPr>
          <w:rFonts w:cs="Arial"/>
        </w:rPr>
      </w:pPr>
      <w:r w:rsidRPr="00080443">
        <w:rPr>
          <w:rFonts w:cs="Arial"/>
        </w:rPr>
        <w:t>the ACMA may retain an eligibility payment made, or enforce a deed of financial security given, by the applicant or bidder</w:t>
      </w:r>
    </w:p>
    <w:p w14:paraId="168E050A" w14:textId="77777777" w:rsidR="008A60B8" w:rsidRPr="00080443" w:rsidRDefault="008A60B8" w:rsidP="00C02A8E">
      <w:pPr>
        <w:pStyle w:val="ListBullet"/>
        <w:spacing w:after="240"/>
        <w:rPr>
          <w:rFonts w:cs="Arial"/>
        </w:rPr>
      </w:pPr>
      <w:r w:rsidRPr="00080443">
        <w:rPr>
          <w:rFonts w:cs="Arial"/>
        </w:rPr>
        <w:t xml:space="preserve">a winning bidder may not, regardless of whether they have paid their winning price, be issued a licence for any spectrum they won in the auction. </w:t>
      </w:r>
    </w:p>
    <w:p w14:paraId="6163FEB6" w14:textId="77777777" w:rsidR="008A60B8" w:rsidRPr="00080443" w:rsidRDefault="008A60B8" w:rsidP="00C02A8E">
      <w:pPr>
        <w:rPr>
          <w:rFonts w:cs="Arial"/>
        </w:rPr>
      </w:pPr>
      <w:r w:rsidRPr="00080443">
        <w:rPr>
          <w:rFonts w:cs="Arial"/>
        </w:rPr>
        <w:t xml:space="preserve">For example, </w:t>
      </w:r>
      <w:r w:rsidR="004653D5" w:rsidRPr="00080443">
        <w:rPr>
          <w:rFonts w:cs="Arial"/>
        </w:rPr>
        <w:t xml:space="preserve">the ACMA may apply </w:t>
      </w:r>
      <w:r w:rsidRPr="00080443">
        <w:rPr>
          <w:rFonts w:cs="Arial"/>
        </w:rPr>
        <w:t xml:space="preserve">these sanctions if it </w:t>
      </w:r>
      <w:r w:rsidR="008F4565" w:rsidRPr="00080443">
        <w:rPr>
          <w:rFonts w:cs="Arial"/>
        </w:rPr>
        <w:t xml:space="preserve">is satisfied that </w:t>
      </w:r>
      <w:r w:rsidRPr="00080443">
        <w:rPr>
          <w:rFonts w:cs="Arial"/>
        </w:rPr>
        <w:t xml:space="preserve">an applicant or bidder (or one of their related persons) breached the confidentiality rules or was affiliated with another bidder, during the auction period in a way that affected the outcome of the auction. They may also be applied if, after the end of the auction period, a winning bidder (or one of their related persons) breaches the confidentiality rules before their confidentiality obligations come to an end, or fails to provide a statement about whether they are affiliated with another winning bidder. </w:t>
      </w:r>
      <w:r w:rsidR="006808B4" w:rsidRPr="00080443">
        <w:rPr>
          <w:rFonts w:cs="Arial"/>
        </w:rPr>
        <w:t>These examples do not limit the circumstances in which</w:t>
      </w:r>
      <w:r w:rsidR="009C7262" w:rsidRPr="00080443">
        <w:rPr>
          <w:rFonts w:cs="Arial"/>
        </w:rPr>
        <w:t xml:space="preserve"> the ACMA may take</w:t>
      </w:r>
      <w:r w:rsidR="006808B4" w:rsidRPr="00080443">
        <w:rPr>
          <w:rFonts w:cs="Arial"/>
        </w:rPr>
        <w:t xml:space="preserve"> enforcement action.</w:t>
      </w:r>
    </w:p>
    <w:p w14:paraId="542F8127" w14:textId="77777777" w:rsidR="00C02A8E" w:rsidRPr="00080443" w:rsidRDefault="00C02A8E" w:rsidP="00C02A8E">
      <w:pPr>
        <w:rPr>
          <w:rFonts w:cs="Arial"/>
        </w:rPr>
      </w:pPr>
    </w:p>
    <w:p w14:paraId="3D7AAABB" w14:textId="77777777" w:rsidR="008A60B8" w:rsidRPr="00080443" w:rsidRDefault="0070684A" w:rsidP="00C02A8E">
      <w:pPr>
        <w:rPr>
          <w:rFonts w:cs="Arial"/>
        </w:rPr>
      </w:pPr>
      <w:r w:rsidRPr="00080443">
        <w:rPr>
          <w:rFonts w:cs="Arial"/>
        </w:rPr>
        <w:t>Section 7.8 of the allocation determination provides that, w</w:t>
      </w:r>
      <w:r w:rsidR="008A60B8" w:rsidRPr="00080443">
        <w:rPr>
          <w:rFonts w:cs="Arial"/>
        </w:rPr>
        <w:t>here the ACMA applies the sanctions, the affected applicant or bidder may, within a year of being notified by the ACMA about the breach, apply to the Federal Court for the return of</w:t>
      </w:r>
      <w:r w:rsidR="00195C59" w:rsidRPr="00080443">
        <w:rPr>
          <w:rFonts w:cs="Arial"/>
        </w:rPr>
        <w:t xml:space="preserve"> all or part of </w:t>
      </w:r>
      <w:r w:rsidR="008A60B8" w:rsidRPr="00080443">
        <w:rPr>
          <w:rFonts w:cs="Arial"/>
        </w:rPr>
        <w:t xml:space="preserve">any amount retained by the ACMA. </w:t>
      </w:r>
    </w:p>
    <w:p w14:paraId="25F4A18D" w14:textId="77777777" w:rsidR="00C02A8E" w:rsidRPr="00080443" w:rsidRDefault="00C02A8E" w:rsidP="00C02A8E">
      <w:pPr>
        <w:rPr>
          <w:rFonts w:cs="Arial"/>
        </w:rPr>
      </w:pPr>
    </w:p>
    <w:p w14:paraId="34E65AFE" w14:textId="77777777" w:rsidR="00F6195E" w:rsidRPr="00080443" w:rsidRDefault="00F6195E" w:rsidP="00234088">
      <w:pPr>
        <w:pStyle w:val="Heading3"/>
        <w:numPr>
          <w:ilvl w:val="2"/>
          <w:numId w:val="13"/>
        </w:numPr>
      </w:pPr>
      <w:bookmarkStart w:id="96" w:name="_Toc335246266"/>
      <w:bookmarkStart w:id="97" w:name="_Toc343780475"/>
      <w:r w:rsidRPr="00080443">
        <w:t>Procedures if there is only one bidder</w:t>
      </w:r>
      <w:bookmarkEnd w:id="96"/>
      <w:bookmarkEnd w:id="97"/>
    </w:p>
    <w:p w14:paraId="043D81AB" w14:textId="77777777" w:rsidR="00F6195E" w:rsidRPr="00080443" w:rsidRDefault="00F6195E" w:rsidP="00F6195E">
      <w:pPr>
        <w:rPr>
          <w:rFonts w:cs="Arial"/>
        </w:rPr>
      </w:pPr>
      <w:r w:rsidRPr="00080443">
        <w:rPr>
          <w:rFonts w:cs="Arial"/>
        </w:rPr>
        <w:t>If there is only one registered bidder (</w:t>
      </w:r>
      <w:r w:rsidR="00890986" w:rsidRPr="00080443">
        <w:rPr>
          <w:rFonts w:cs="Arial"/>
        </w:rPr>
        <w:t>for example</w:t>
      </w:r>
      <w:r w:rsidRPr="00080443">
        <w:rPr>
          <w:rFonts w:cs="Arial"/>
        </w:rPr>
        <w:t>, if only one party applies to participate, or a group of affiliated</w:t>
      </w:r>
      <w:r w:rsidR="004E4026" w:rsidRPr="00080443">
        <w:rPr>
          <w:rFonts w:cs="Arial"/>
        </w:rPr>
        <w:t xml:space="preserve"> </w:t>
      </w:r>
      <w:r w:rsidR="000B262D" w:rsidRPr="00080443">
        <w:rPr>
          <w:rFonts w:cs="Arial"/>
        </w:rPr>
        <w:t>applicants</w:t>
      </w:r>
      <w:r w:rsidRPr="00080443">
        <w:rPr>
          <w:rFonts w:cs="Arial"/>
        </w:rPr>
        <w:t xml:space="preserve"> is taken to have withdrawn), the auction will proceed under an abbreviated set of procedures. The abbreviated procedures avoid unnecessary delay by bypassing a number of steps that would otherwise have been necessary in a multiple bidder scenario.</w:t>
      </w:r>
    </w:p>
    <w:p w14:paraId="46A423DC" w14:textId="77777777" w:rsidR="00F6195E" w:rsidRPr="00080443" w:rsidRDefault="00F6195E" w:rsidP="00F6195E">
      <w:pPr>
        <w:rPr>
          <w:rFonts w:cs="Arial"/>
        </w:rPr>
      </w:pPr>
    </w:p>
    <w:p w14:paraId="2200853E" w14:textId="77777777" w:rsidR="00F6195E" w:rsidRPr="00080443" w:rsidRDefault="00F6195E" w:rsidP="00197E31">
      <w:pPr>
        <w:spacing w:after="80"/>
        <w:rPr>
          <w:rFonts w:cs="Arial"/>
        </w:rPr>
      </w:pPr>
      <w:r w:rsidRPr="00080443">
        <w:rPr>
          <w:rFonts w:cs="Arial"/>
        </w:rPr>
        <w:t>The abbreviated procedures are set out in section 5.2 of the allocation determination. Under the procedures:</w:t>
      </w:r>
    </w:p>
    <w:p w14:paraId="09045898" w14:textId="77777777" w:rsidR="00F6195E" w:rsidRPr="00080443" w:rsidRDefault="00F6195E" w:rsidP="00F6195E">
      <w:pPr>
        <w:pStyle w:val="ListBullet"/>
        <w:rPr>
          <w:rFonts w:cs="Arial"/>
        </w:rPr>
      </w:pPr>
      <w:r w:rsidRPr="00080443">
        <w:rPr>
          <w:rFonts w:cs="Arial"/>
        </w:rPr>
        <w:t>as soon as practicable after the eligibility deadline, the ACMA will notify the bidder that they are the only bidder, and that the procedures in section 5.2 will apply</w:t>
      </w:r>
    </w:p>
    <w:p w14:paraId="06C7741F" w14:textId="77777777" w:rsidR="00F6195E" w:rsidRPr="00080443" w:rsidRDefault="00F6195E" w:rsidP="00F6195E">
      <w:pPr>
        <w:pStyle w:val="ListBullet"/>
        <w:rPr>
          <w:rFonts w:cs="Arial"/>
        </w:rPr>
      </w:pPr>
      <w:r w:rsidRPr="00080443">
        <w:rPr>
          <w:rFonts w:cs="Arial"/>
        </w:rPr>
        <w:t>there will be only one clock round, in which the one bidder can bid at the initial prices set by the ACMA</w:t>
      </w:r>
    </w:p>
    <w:p w14:paraId="2CBE85E1" w14:textId="77777777" w:rsidR="00F6195E" w:rsidRPr="00080443" w:rsidRDefault="00F6195E" w:rsidP="00F6195E">
      <w:pPr>
        <w:pStyle w:val="ListBullet"/>
        <w:rPr>
          <w:rFonts w:cs="Arial"/>
        </w:rPr>
      </w:pPr>
      <w:r w:rsidRPr="00080443">
        <w:rPr>
          <w:rFonts w:cs="Arial"/>
        </w:rPr>
        <w:t>there will be no supplementary round</w:t>
      </w:r>
    </w:p>
    <w:p w14:paraId="2422E08E" w14:textId="77777777" w:rsidR="00F6195E" w:rsidRPr="00080443" w:rsidRDefault="00F6195E" w:rsidP="00F6195E">
      <w:pPr>
        <w:pStyle w:val="ListBullet"/>
        <w:rPr>
          <w:rFonts w:cs="Arial"/>
        </w:rPr>
      </w:pPr>
      <w:r w:rsidRPr="00080443">
        <w:rPr>
          <w:rFonts w:cs="Arial"/>
        </w:rPr>
        <w:t>the assignment stage will be conducted as soon as possible after the clock round to enable the bidder to indicate the frequency ranges the</w:t>
      </w:r>
      <w:r w:rsidR="00890986" w:rsidRPr="00080443">
        <w:rPr>
          <w:rFonts w:cs="Arial"/>
        </w:rPr>
        <w:t>y</w:t>
      </w:r>
      <w:r w:rsidRPr="00080443">
        <w:rPr>
          <w:rFonts w:cs="Arial"/>
        </w:rPr>
        <w:t xml:space="preserve"> wish to be assigned</w:t>
      </w:r>
      <w:r w:rsidR="00890986" w:rsidRPr="00080443">
        <w:rPr>
          <w:rFonts w:cs="Arial"/>
        </w:rPr>
        <w:t>—</w:t>
      </w:r>
      <w:r w:rsidRPr="00080443">
        <w:rPr>
          <w:rFonts w:cs="Arial"/>
        </w:rPr>
        <w:t>although the assignment prices will be zero.</w:t>
      </w:r>
    </w:p>
    <w:p w14:paraId="690D7CED" w14:textId="77777777" w:rsidR="00F6195E" w:rsidRPr="00080443" w:rsidRDefault="00F6195E" w:rsidP="00F6195E">
      <w:pPr>
        <w:rPr>
          <w:rFonts w:cs="Arial"/>
        </w:rPr>
      </w:pPr>
    </w:p>
    <w:p w14:paraId="457E8C07" w14:textId="77777777" w:rsidR="00F6195E" w:rsidRPr="00080443" w:rsidRDefault="00F6195E" w:rsidP="00234088">
      <w:pPr>
        <w:pStyle w:val="Heading3"/>
        <w:numPr>
          <w:ilvl w:val="2"/>
          <w:numId w:val="13"/>
        </w:numPr>
      </w:pPr>
      <w:bookmarkStart w:id="98" w:name="_Toc335246267"/>
      <w:bookmarkStart w:id="99" w:name="_Toc343780476"/>
      <w:r w:rsidRPr="00080443">
        <w:lastRenderedPageBreak/>
        <w:t>Publication of auction results</w:t>
      </w:r>
      <w:bookmarkEnd w:id="98"/>
      <w:bookmarkEnd w:id="99"/>
    </w:p>
    <w:p w14:paraId="22CED305" w14:textId="77777777" w:rsidR="00F6195E" w:rsidRPr="00080443" w:rsidRDefault="00EE078D" w:rsidP="00197E31">
      <w:pPr>
        <w:spacing w:after="80"/>
        <w:rPr>
          <w:rFonts w:cs="Arial"/>
        </w:rPr>
      </w:pPr>
      <w:r w:rsidRPr="00080443">
        <w:rPr>
          <w:rFonts w:cs="Arial"/>
        </w:rPr>
        <w:t>F</w:t>
      </w:r>
      <w:r w:rsidR="00F6195E" w:rsidRPr="00080443">
        <w:rPr>
          <w:rFonts w:cs="Arial"/>
        </w:rPr>
        <w:t xml:space="preserve">ollowing completion of the independent verification process discussed at 3.3.4, </w:t>
      </w:r>
      <w:r w:rsidRPr="00080443">
        <w:rPr>
          <w:rFonts w:cs="Arial"/>
        </w:rPr>
        <w:t xml:space="preserve">and after the end of the auction period, </w:t>
      </w:r>
      <w:r w:rsidR="00F6195E" w:rsidRPr="00080443">
        <w:rPr>
          <w:rFonts w:cs="Arial"/>
        </w:rPr>
        <w:t xml:space="preserve">the ACMA will </w:t>
      </w:r>
      <w:r w:rsidR="00881466" w:rsidRPr="00080443">
        <w:rPr>
          <w:rFonts w:cs="Arial"/>
        </w:rPr>
        <w:t xml:space="preserve">announce or </w:t>
      </w:r>
      <w:r w:rsidR="00F6195E" w:rsidRPr="00080443">
        <w:rPr>
          <w:rFonts w:cs="Arial"/>
        </w:rPr>
        <w:t>publish:</w:t>
      </w:r>
    </w:p>
    <w:p w14:paraId="73821E8F" w14:textId="77777777" w:rsidR="00F6195E" w:rsidRPr="00080443" w:rsidRDefault="00F6195E" w:rsidP="00F6195E">
      <w:pPr>
        <w:pStyle w:val="ListBullet"/>
        <w:rPr>
          <w:rFonts w:cs="Arial"/>
        </w:rPr>
      </w:pPr>
      <w:r w:rsidRPr="00080443">
        <w:rPr>
          <w:rFonts w:cs="Arial"/>
        </w:rPr>
        <w:t>the names of the winning bidders</w:t>
      </w:r>
    </w:p>
    <w:p w14:paraId="61DB598B" w14:textId="77777777" w:rsidR="00F6195E" w:rsidRPr="00080443" w:rsidRDefault="00F6195E" w:rsidP="00F6195E">
      <w:pPr>
        <w:pStyle w:val="ListBullet"/>
        <w:rPr>
          <w:rFonts w:cs="Arial"/>
        </w:rPr>
      </w:pPr>
      <w:r w:rsidRPr="00080443">
        <w:rPr>
          <w:rFonts w:cs="Arial"/>
        </w:rPr>
        <w:t>the spectrum allocated to each winning bidder</w:t>
      </w:r>
    </w:p>
    <w:p w14:paraId="3707249B" w14:textId="77777777" w:rsidR="00F6195E" w:rsidRPr="00080443" w:rsidRDefault="00F6195E" w:rsidP="004D411C">
      <w:pPr>
        <w:pStyle w:val="ListBullet"/>
        <w:spacing w:after="0"/>
        <w:rPr>
          <w:rFonts w:cs="Arial"/>
        </w:rPr>
      </w:pPr>
      <w:r w:rsidRPr="00080443">
        <w:rPr>
          <w:rFonts w:cs="Arial"/>
        </w:rPr>
        <w:t>the total sum paid, or to be paid, by each winning bidder</w:t>
      </w:r>
      <w:r w:rsidR="00890986" w:rsidRPr="00080443">
        <w:rPr>
          <w:rFonts w:cs="Arial"/>
        </w:rPr>
        <w:t>—</w:t>
      </w:r>
      <w:r w:rsidRPr="00080443">
        <w:rPr>
          <w:rFonts w:cs="Arial"/>
        </w:rPr>
        <w:t>that is, the total of the allocation price and the assignment prices for the lots won by the bidder.</w:t>
      </w:r>
    </w:p>
    <w:p w14:paraId="2814127F" w14:textId="77777777" w:rsidR="00F6195E" w:rsidRPr="00080443" w:rsidRDefault="00F6195E" w:rsidP="00F6195E">
      <w:pPr>
        <w:rPr>
          <w:rFonts w:cs="Arial"/>
        </w:rPr>
      </w:pPr>
    </w:p>
    <w:p w14:paraId="251650DB" w14:textId="77777777" w:rsidR="00F6195E" w:rsidRPr="00080443" w:rsidRDefault="00F6195E" w:rsidP="00234088">
      <w:pPr>
        <w:pStyle w:val="Heading3"/>
        <w:numPr>
          <w:ilvl w:val="2"/>
          <w:numId w:val="13"/>
        </w:numPr>
      </w:pPr>
      <w:bookmarkStart w:id="100" w:name="_Toc335246268"/>
      <w:bookmarkStart w:id="101" w:name="_Toc343780477"/>
      <w:r w:rsidRPr="00080443">
        <w:t>Payment of winning prices and issue of licences</w:t>
      </w:r>
      <w:bookmarkEnd w:id="100"/>
      <w:bookmarkEnd w:id="101"/>
    </w:p>
    <w:p w14:paraId="6428964E" w14:textId="77777777" w:rsidR="00F6195E" w:rsidRPr="00080443" w:rsidRDefault="00F6195E" w:rsidP="00F6195E">
      <w:pPr>
        <w:rPr>
          <w:rFonts w:cs="Arial"/>
        </w:rPr>
      </w:pPr>
      <w:r w:rsidRPr="00080443">
        <w:rPr>
          <w:rFonts w:cs="Arial"/>
        </w:rPr>
        <w:t xml:space="preserve">After the end of the auction period, the ACMA will </w:t>
      </w:r>
      <w:r w:rsidR="008F4565" w:rsidRPr="00080443">
        <w:rPr>
          <w:rFonts w:cs="Arial"/>
        </w:rPr>
        <w:t>apply the procedures set out in Part 6 of the allocation determination for the calculation and payment of the balance of the winning price payable by each winning bidder. After paying the balance of their winning price in accordance with those procedures, winning bidders will be entitled to be issued a spectrum licence for each part of the spectrum they won. A summary of the procedures is provided at 4.6.1.</w:t>
      </w:r>
      <w:r w:rsidRPr="00080443">
        <w:rPr>
          <w:rFonts w:cs="Arial"/>
        </w:rPr>
        <w:t xml:space="preserve"> </w:t>
      </w:r>
      <w:r w:rsidR="004514F9" w:rsidRPr="00080443">
        <w:rPr>
          <w:rFonts w:cs="Arial"/>
        </w:rPr>
        <w:t xml:space="preserve">GST is not payable on the ACMA’s spectrum access charges </w:t>
      </w:r>
      <w:r w:rsidR="00420576" w:rsidRPr="00080443">
        <w:rPr>
          <w:rFonts w:cs="Arial"/>
        </w:rPr>
        <w:t xml:space="preserve">(for example, the winning price payable by a bidder) </w:t>
      </w:r>
      <w:r w:rsidR="00164B41" w:rsidRPr="00080443">
        <w:rPr>
          <w:rFonts w:cs="Arial"/>
        </w:rPr>
        <w:t>imposed before 1 </w:t>
      </w:r>
      <w:r w:rsidR="004514F9" w:rsidRPr="00080443">
        <w:rPr>
          <w:rFonts w:cs="Arial"/>
        </w:rPr>
        <w:t>July 2013.</w:t>
      </w:r>
    </w:p>
    <w:p w14:paraId="041B29BF" w14:textId="77777777" w:rsidR="00C02A8E" w:rsidRPr="00080443" w:rsidRDefault="00C02A8E" w:rsidP="00C02A8E">
      <w:pPr>
        <w:rPr>
          <w:rFonts w:cs="Arial"/>
        </w:rPr>
      </w:pPr>
    </w:p>
    <w:p w14:paraId="211D3E15" w14:textId="77777777" w:rsidR="008A60B8" w:rsidRPr="00080443" w:rsidRDefault="008A60B8" w:rsidP="00234088">
      <w:pPr>
        <w:pStyle w:val="Heading3"/>
        <w:numPr>
          <w:ilvl w:val="2"/>
          <w:numId w:val="13"/>
        </w:numPr>
      </w:pPr>
      <w:bookmarkStart w:id="102" w:name="_Toc335246269"/>
      <w:bookmarkStart w:id="103" w:name="_Toc343780478"/>
      <w:r w:rsidRPr="00080443">
        <w:t>Refunds</w:t>
      </w:r>
      <w:bookmarkEnd w:id="102"/>
      <w:bookmarkEnd w:id="103"/>
    </w:p>
    <w:p w14:paraId="79E38038" w14:textId="77777777" w:rsidR="008A60B8" w:rsidRPr="00080443" w:rsidRDefault="008A60B8" w:rsidP="00C02A8E">
      <w:pPr>
        <w:rPr>
          <w:rFonts w:cs="Arial"/>
        </w:rPr>
      </w:pPr>
      <w:r w:rsidRPr="00080443">
        <w:rPr>
          <w:rFonts w:cs="Arial"/>
        </w:rPr>
        <w:t xml:space="preserve">An application fee paid at </w:t>
      </w:r>
      <w:r w:rsidR="001E0E09" w:rsidRPr="00080443">
        <w:rPr>
          <w:rFonts w:cs="Arial"/>
        </w:rPr>
        <w:t xml:space="preserve">Stage A </w:t>
      </w:r>
      <w:r w:rsidRPr="00080443">
        <w:rPr>
          <w:rFonts w:cs="Arial"/>
        </w:rPr>
        <w:t xml:space="preserve">of the bidder registration process will not be refunded in any circumstances, including if an applicant or bidder withdraws before the auction or is excluded from the auction. </w:t>
      </w:r>
    </w:p>
    <w:p w14:paraId="27BAE752" w14:textId="77777777" w:rsidR="00C02A8E" w:rsidRPr="00080443" w:rsidRDefault="00C02A8E" w:rsidP="00C02A8E">
      <w:pPr>
        <w:rPr>
          <w:rFonts w:cs="Arial"/>
        </w:rPr>
      </w:pPr>
    </w:p>
    <w:p w14:paraId="4848FBBF" w14:textId="77777777" w:rsidR="008A60B8" w:rsidRPr="00080443" w:rsidRDefault="008A60B8" w:rsidP="00C02A8E">
      <w:pPr>
        <w:spacing w:after="80"/>
        <w:rPr>
          <w:rFonts w:cs="Arial"/>
        </w:rPr>
      </w:pPr>
      <w:r w:rsidRPr="00080443">
        <w:rPr>
          <w:rFonts w:cs="Arial"/>
        </w:rPr>
        <w:t xml:space="preserve">All or part of an eligibility payment paid at </w:t>
      </w:r>
      <w:r w:rsidR="008F2147" w:rsidRPr="00080443">
        <w:rPr>
          <w:rFonts w:cs="Arial"/>
        </w:rPr>
        <w:t>Stage C</w:t>
      </w:r>
      <w:r w:rsidRPr="00080443">
        <w:rPr>
          <w:rFonts w:cs="Arial"/>
        </w:rPr>
        <w:t xml:space="preserve"> of the bidder registration process will be refunded:</w:t>
      </w:r>
    </w:p>
    <w:p w14:paraId="32EEA8C0" w14:textId="77777777" w:rsidR="008A60B8" w:rsidRPr="00080443" w:rsidRDefault="008A60B8" w:rsidP="00C02A8E">
      <w:pPr>
        <w:pStyle w:val="ListBullet"/>
        <w:rPr>
          <w:rFonts w:cs="Arial"/>
        </w:rPr>
      </w:pPr>
      <w:r w:rsidRPr="00080443">
        <w:rPr>
          <w:rFonts w:cs="Arial"/>
        </w:rPr>
        <w:t>to applicants who withdraw from the auction before the eligibility deadline</w:t>
      </w:r>
    </w:p>
    <w:p w14:paraId="08CCA9D7" w14:textId="77777777" w:rsidR="008A60B8" w:rsidRPr="00080443" w:rsidRDefault="008A60B8" w:rsidP="00C02A8E">
      <w:pPr>
        <w:pStyle w:val="ListBullet"/>
        <w:rPr>
          <w:rFonts w:cs="Arial"/>
        </w:rPr>
      </w:pPr>
      <w:r w:rsidRPr="00080443">
        <w:rPr>
          <w:rFonts w:cs="Arial"/>
        </w:rPr>
        <w:t>to bidders who do not win any spectrum in the auction</w:t>
      </w:r>
    </w:p>
    <w:p w14:paraId="2E9C59A6" w14:textId="77777777" w:rsidR="008A60B8" w:rsidRPr="00080443" w:rsidRDefault="008A60B8" w:rsidP="004D411C">
      <w:pPr>
        <w:pStyle w:val="ListBullet"/>
        <w:spacing w:after="0"/>
        <w:rPr>
          <w:rFonts w:cs="Arial"/>
        </w:rPr>
      </w:pPr>
      <w:r w:rsidRPr="00080443">
        <w:rPr>
          <w:rFonts w:cs="Arial"/>
        </w:rPr>
        <w:t>to winning bidders whose eligibility payment exceeds the total of the allocation price and assignment prices for the lots they won in the auction</w:t>
      </w:r>
      <w:r w:rsidR="004653D5" w:rsidRPr="00080443">
        <w:rPr>
          <w:rFonts w:cs="Arial"/>
        </w:rPr>
        <w:t>. I</w:t>
      </w:r>
      <w:r w:rsidRPr="00080443">
        <w:rPr>
          <w:rFonts w:cs="Arial"/>
        </w:rPr>
        <w:t xml:space="preserve">n </w:t>
      </w:r>
      <w:r w:rsidR="004653D5" w:rsidRPr="00080443">
        <w:rPr>
          <w:rFonts w:cs="Arial"/>
        </w:rPr>
        <w:t>this</w:t>
      </w:r>
      <w:r w:rsidRPr="00080443">
        <w:rPr>
          <w:rFonts w:cs="Arial"/>
        </w:rPr>
        <w:t xml:space="preserve"> case</w:t>
      </w:r>
      <w:r w:rsidR="004653D5" w:rsidRPr="00080443">
        <w:rPr>
          <w:rFonts w:cs="Arial"/>
        </w:rPr>
        <w:t>,</w:t>
      </w:r>
      <w:r w:rsidRPr="00080443">
        <w:rPr>
          <w:rFonts w:cs="Arial"/>
        </w:rPr>
        <w:t xml:space="preserve"> the amount of the eligibility payment, less the total of the allocation and assignment prices, will be refunded.</w:t>
      </w:r>
    </w:p>
    <w:p w14:paraId="3F280627" w14:textId="77777777" w:rsidR="00C02A8E" w:rsidRPr="00080443" w:rsidRDefault="00C02A8E" w:rsidP="00C02A8E">
      <w:pPr>
        <w:rPr>
          <w:rFonts w:cs="Arial"/>
        </w:rPr>
      </w:pPr>
    </w:p>
    <w:p w14:paraId="7D80DFA1" w14:textId="77777777" w:rsidR="00F6195E" w:rsidRPr="00080443" w:rsidRDefault="00F6195E" w:rsidP="00234088">
      <w:pPr>
        <w:pStyle w:val="Heading3"/>
        <w:numPr>
          <w:ilvl w:val="2"/>
          <w:numId w:val="13"/>
        </w:numPr>
      </w:pPr>
      <w:bookmarkStart w:id="104" w:name="_Toc335246270"/>
      <w:bookmarkStart w:id="105" w:name="_Toc343780479"/>
      <w:r w:rsidRPr="00080443">
        <w:t>Unallocated spectrum</w:t>
      </w:r>
      <w:bookmarkEnd w:id="104"/>
      <w:bookmarkEnd w:id="105"/>
    </w:p>
    <w:p w14:paraId="54101F0B" w14:textId="77777777" w:rsidR="00F6195E" w:rsidRPr="00080443" w:rsidRDefault="00F6195E" w:rsidP="00F6195E">
      <w:pPr>
        <w:rPr>
          <w:rFonts w:cs="Arial"/>
        </w:rPr>
      </w:pPr>
      <w:r w:rsidRPr="00080443">
        <w:rPr>
          <w:rFonts w:cs="Arial"/>
        </w:rPr>
        <w:t>Any spectrum lots that are left unallocated (for example, due to insufficient bidder demand, the operation of the affiliation rules or the operation of the breach provisions) may be later offered for allocation by a procedure to be determined by the ACMA.</w:t>
      </w:r>
    </w:p>
    <w:p w14:paraId="0983D712" w14:textId="77777777" w:rsidR="00DE3F65" w:rsidRPr="00080443" w:rsidRDefault="00DE3F65" w:rsidP="00F6195E">
      <w:pPr>
        <w:rPr>
          <w:rFonts w:cs="Arial"/>
        </w:rPr>
      </w:pPr>
    </w:p>
    <w:p w14:paraId="21DE7A80" w14:textId="77777777" w:rsidR="00DE3F65" w:rsidRPr="00080443" w:rsidRDefault="00DE3F65" w:rsidP="00F6195E">
      <w:pPr>
        <w:rPr>
          <w:rFonts w:cs="Arial"/>
        </w:rPr>
      </w:pPr>
      <w:r w:rsidRPr="00080443">
        <w:rPr>
          <w:rFonts w:cs="Arial"/>
        </w:rPr>
        <w:t>Prospective bidders should not assume that unallocated lots will be offered for allocation soon after the auction, or that they will be offered for allocation at less than the initial prices set by the ACMA for the auction (see 3.2.</w:t>
      </w:r>
      <w:r w:rsidR="0037586E" w:rsidRPr="00080443">
        <w:rPr>
          <w:rFonts w:cs="Arial"/>
        </w:rPr>
        <w:t>4</w:t>
      </w:r>
      <w:r w:rsidRPr="00080443">
        <w:rPr>
          <w:rFonts w:cs="Arial"/>
        </w:rPr>
        <w:t>).</w:t>
      </w:r>
    </w:p>
    <w:p w14:paraId="6F0E3360" w14:textId="77777777" w:rsidR="00402AB5" w:rsidRPr="00080443" w:rsidRDefault="00402AB5" w:rsidP="00C02A8E">
      <w:pPr>
        <w:rPr>
          <w:rFonts w:cs="Arial"/>
        </w:rPr>
      </w:pPr>
    </w:p>
    <w:p w14:paraId="0ED5D088" w14:textId="77777777" w:rsidR="008A60B8" w:rsidRPr="00080443" w:rsidRDefault="008A60B8" w:rsidP="00234088">
      <w:pPr>
        <w:pStyle w:val="Heading3"/>
        <w:numPr>
          <w:ilvl w:val="2"/>
          <w:numId w:val="13"/>
        </w:numPr>
      </w:pPr>
      <w:bookmarkStart w:id="106" w:name="_Toc335246271"/>
      <w:bookmarkStart w:id="107" w:name="_Toc343780480"/>
      <w:r w:rsidRPr="00080443">
        <w:t>Auction manager</w:t>
      </w:r>
      <w:bookmarkEnd w:id="106"/>
      <w:bookmarkEnd w:id="107"/>
    </w:p>
    <w:p w14:paraId="3BAD9F30" w14:textId="77777777" w:rsidR="008A60B8" w:rsidRPr="00080443" w:rsidRDefault="00B1212B" w:rsidP="00C02A8E">
      <w:pPr>
        <w:rPr>
          <w:rFonts w:cs="Arial"/>
        </w:rPr>
      </w:pPr>
      <w:r w:rsidRPr="00080443">
        <w:rPr>
          <w:rFonts w:cs="Arial"/>
        </w:rPr>
        <w:t>Pursuant to section 4.1 of the allocation determination, t</w:t>
      </w:r>
      <w:r w:rsidR="008A60B8" w:rsidRPr="00080443">
        <w:rPr>
          <w:rFonts w:cs="Arial"/>
        </w:rPr>
        <w:t xml:space="preserve">he ACMA has appointed </w:t>
      </w:r>
      <w:r w:rsidR="00BE6E0F" w:rsidRPr="00080443">
        <w:rPr>
          <w:rFonts w:cs="Arial"/>
        </w:rPr>
        <w:t xml:space="preserve">the </w:t>
      </w:r>
      <w:r w:rsidR="008A60B8" w:rsidRPr="00080443">
        <w:rPr>
          <w:rFonts w:cs="Arial"/>
        </w:rPr>
        <w:t xml:space="preserve">Manager, Major Spectrum Allocations Section, ACMA, </w:t>
      </w:r>
      <w:r w:rsidR="006779A6" w:rsidRPr="00080443">
        <w:rPr>
          <w:rFonts w:cs="Arial"/>
        </w:rPr>
        <w:t xml:space="preserve">as the auction manager for </w:t>
      </w:r>
      <w:r w:rsidR="008A60B8" w:rsidRPr="00080443">
        <w:rPr>
          <w:rFonts w:cs="Arial"/>
        </w:rPr>
        <w:t xml:space="preserve">the digital dividend auction. A copy of the instrument </w:t>
      </w:r>
      <w:r w:rsidR="006779A6" w:rsidRPr="00080443">
        <w:rPr>
          <w:rFonts w:cs="Arial"/>
        </w:rPr>
        <w:t>of appointment</w:t>
      </w:r>
      <w:r w:rsidRPr="00080443">
        <w:rPr>
          <w:rFonts w:cs="Arial"/>
        </w:rPr>
        <w:t xml:space="preserve"> </w:t>
      </w:r>
      <w:r w:rsidR="008A60B8" w:rsidRPr="00080443">
        <w:rPr>
          <w:rFonts w:cs="Arial"/>
        </w:rPr>
        <w:t xml:space="preserve">is provided at </w:t>
      </w:r>
      <w:r w:rsidR="00837369" w:rsidRPr="00080443">
        <w:rPr>
          <w:rFonts w:cs="Arial"/>
        </w:rPr>
        <w:t xml:space="preserve">Attachment </w:t>
      </w:r>
      <w:r w:rsidR="00C535E3" w:rsidRPr="00080443">
        <w:rPr>
          <w:rFonts w:cs="Arial"/>
        </w:rPr>
        <w:t>Q</w:t>
      </w:r>
      <w:r w:rsidR="008A60B8" w:rsidRPr="00080443">
        <w:rPr>
          <w:rFonts w:cs="Arial"/>
        </w:rPr>
        <w:t>.</w:t>
      </w:r>
    </w:p>
    <w:p w14:paraId="0EC0CD9B" w14:textId="77777777" w:rsidR="00C02A8E" w:rsidRPr="00080443" w:rsidRDefault="00C02A8E" w:rsidP="00C02A8E">
      <w:pPr>
        <w:rPr>
          <w:rFonts w:cs="Arial"/>
        </w:rPr>
      </w:pPr>
    </w:p>
    <w:p w14:paraId="159C6CA2" w14:textId="77777777" w:rsidR="008A60B8" w:rsidRPr="00080443" w:rsidRDefault="008A60B8" w:rsidP="00C02A8E">
      <w:pPr>
        <w:spacing w:after="80"/>
        <w:rPr>
          <w:rFonts w:cs="Arial"/>
        </w:rPr>
      </w:pPr>
      <w:r w:rsidRPr="00080443">
        <w:rPr>
          <w:rFonts w:cs="Arial"/>
        </w:rPr>
        <w:t xml:space="preserve">The auction manager has a number of specific responsibilities and discretionary powers under the allocation determination. </w:t>
      </w:r>
      <w:r w:rsidR="004653D5" w:rsidRPr="00080443">
        <w:rPr>
          <w:rFonts w:cs="Arial"/>
        </w:rPr>
        <w:t>These</w:t>
      </w:r>
      <w:r w:rsidRPr="00080443">
        <w:rPr>
          <w:rFonts w:cs="Arial"/>
        </w:rPr>
        <w:t xml:space="preserve"> include: </w:t>
      </w:r>
    </w:p>
    <w:p w14:paraId="2D00349B" w14:textId="77777777" w:rsidR="004D1788" w:rsidRPr="00080443" w:rsidRDefault="003A51CE" w:rsidP="00C02A8E">
      <w:pPr>
        <w:pStyle w:val="ListBullet"/>
        <w:rPr>
          <w:rFonts w:cs="Arial"/>
        </w:rPr>
      </w:pPr>
      <w:r w:rsidRPr="00080443">
        <w:rPr>
          <w:rFonts w:cs="Arial"/>
        </w:rPr>
        <w:t>n</w:t>
      </w:r>
      <w:r w:rsidR="004D1788" w:rsidRPr="00080443">
        <w:rPr>
          <w:rFonts w:cs="Arial"/>
        </w:rPr>
        <w:t>otifying bidders of the start date and time of the first clock round</w:t>
      </w:r>
    </w:p>
    <w:p w14:paraId="7BEEE929" w14:textId="77777777" w:rsidR="008A60B8" w:rsidRPr="00080443" w:rsidRDefault="008A60B8" w:rsidP="00C02A8E">
      <w:pPr>
        <w:pStyle w:val="ListBullet"/>
        <w:rPr>
          <w:rFonts w:cs="Arial"/>
        </w:rPr>
      </w:pPr>
      <w:r w:rsidRPr="00080443">
        <w:rPr>
          <w:rFonts w:cs="Arial"/>
        </w:rPr>
        <w:t xml:space="preserve">scheduling the clock rounds and supplementary round, subject to the parameters discussed </w:t>
      </w:r>
      <w:r w:rsidR="004653D5" w:rsidRPr="00080443">
        <w:rPr>
          <w:rFonts w:cs="Arial"/>
        </w:rPr>
        <w:t>at</w:t>
      </w:r>
      <w:r w:rsidRPr="00080443">
        <w:rPr>
          <w:rFonts w:cs="Arial"/>
        </w:rPr>
        <w:t xml:space="preserve"> 3.1.2</w:t>
      </w:r>
    </w:p>
    <w:p w14:paraId="1773B558" w14:textId="77777777" w:rsidR="008A60B8" w:rsidRPr="00080443" w:rsidRDefault="008A60B8" w:rsidP="00C02A8E">
      <w:pPr>
        <w:pStyle w:val="ListBullet"/>
        <w:rPr>
          <w:rFonts w:cs="Arial"/>
        </w:rPr>
      </w:pPr>
      <w:r w:rsidRPr="00080443">
        <w:rPr>
          <w:rFonts w:cs="Arial"/>
        </w:rPr>
        <w:t>setting the prices that will apply to the lots of each product in each clock round</w:t>
      </w:r>
    </w:p>
    <w:p w14:paraId="4D00B6BA" w14:textId="77777777" w:rsidR="008A60B8" w:rsidRPr="00080443" w:rsidRDefault="008A60B8" w:rsidP="00C02A8E">
      <w:pPr>
        <w:pStyle w:val="ListBullet"/>
        <w:rPr>
          <w:rFonts w:cs="Arial"/>
        </w:rPr>
      </w:pPr>
      <w:r w:rsidRPr="00080443">
        <w:rPr>
          <w:rFonts w:cs="Arial"/>
        </w:rPr>
        <w:lastRenderedPageBreak/>
        <w:t>announcing the conclusion of the clock rounds</w:t>
      </w:r>
    </w:p>
    <w:p w14:paraId="2F6EDB88" w14:textId="77777777" w:rsidR="008A60B8" w:rsidRPr="00080443" w:rsidRDefault="008A60B8" w:rsidP="00C02A8E">
      <w:pPr>
        <w:pStyle w:val="ListBullet"/>
        <w:rPr>
          <w:rFonts w:cs="Arial"/>
        </w:rPr>
      </w:pPr>
      <w:r w:rsidRPr="00080443">
        <w:rPr>
          <w:rFonts w:cs="Arial"/>
        </w:rPr>
        <w:t>scheduling the start and end time of each assignment round and the product or products that will be the subject of each assignment round</w:t>
      </w:r>
    </w:p>
    <w:p w14:paraId="4AE8C1B4" w14:textId="77777777" w:rsidR="008A60B8" w:rsidRPr="00080443" w:rsidRDefault="008A60B8" w:rsidP="00C02A8E">
      <w:pPr>
        <w:pStyle w:val="ListBullet"/>
        <w:rPr>
          <w:rFonts w:cs="Arial"/>
        </w:rPr>
      </w:pPr>
      <w:r w:rsidRPr="00080443">
        <w:rPr>
          <w:rFonts w:cs="Arial"/>
        </w:rPr>
        <w:t xml:space="preserve">determining the set of frequency range options available to each bidder, and the frequency range options assigned to unallocated lots, for each product in each assignment round, subject to the parameters discussed </w:t>
      </w:r>
      <w:r w:rsidR="004653D5" w:rsidRPr="00080443">
        <w:rPr>
          <w:rFonts w:cs="Arial"/>
        </w:rPr>
        <w:t>at</w:t>
      </w:r>
      <w:r w:rsidRPr="00080443">
        <w:rPr>
          <w:rFonts w:cs="Arial"/>
        </w:rPr>
        <w:t xml:space="preserve"> 3.1.2</w:t>
      </w:r>
    </w:p>
    <w:p w14:paraId="5E5BF34D" w14:textId="77777777" w:rsidR="008A60B8" w:rsidRPr="00080443" w:rsidRDefault="008A60B8" w:rsidP="00C02A8E">
      <w:pPr>
        <w:pStyle w:val="ListBullet"/>
        <w:spacing w:after="240"/>
        <w:rPr>
          <w:rFonts w:cs="Arial"/>
        </w:rPr>
      </w:pPr>
      <w:r w:rsidRPr="00080443">
        <w:rPr>
          <w:rFonts w:cs="Arial"/>
        </w:rPr>
        <w:t xml:space="preserve">determining the winning bids and prices from the allocation and assignment stages, in accordance with the procedures discussed </w:t>
      </w:r>
      <w:r w:rsidR="004653D5" w:rsidRPr="00080443">
        <w:rPr>
          <w:rFonts w:cs="Arial"/>
        </w:rPr>
        <w:t>at</w:t>
      </w:r>
      <w:r w:rsidRPr="00080443">
        <w:rPr>
          <w:rFonts w:cs="Arial"/>
        </w:rPr>
        <w:t xml:space="preserve"> 3.1.2.</w:t>
      </w:r>
    </w:p>
    <w:p w14:paraId="0891B3CF" w14:textId="77777777" w:rsidR="008A60B8" w:rsidRPr="00080443" w:rsidRDefault="008A60B8" w:rsidP="00C02A8E">
      <w:pPr>
        <w:spacing w:after="80"/>
        <w:rPr>
          <w:rFonts w:cs="Arial"/>
        </w:rPr>
      </w:pPr>
      <w:r w:rsidRPr="00080443">
        <w:rPr>
          <w:rFonts w:cs="Arial"/>
        </w:rPr>
        <w:t xml:space="preserve">The auction manager’s discretionary powers </w:t>
      </w:r>
      <w:r w:rsidR="00B35DEC" w:rsidRPr="00080443">
        <w:rPr>
          <w:rFonts w:cs="Arial"/>
        </w:rPr>
        <w:t>under section</w:t>
      </w:r>
      <w:r w:rsidR="004A0125" w:rsidRPr="00080443">
        <w:rPr>
          <w:rFonts w:cs="Arial"/>
        </w:rPr>
        <w:t xml:space="preserve">s 5.7 and </w:t>
      </w:r>
      <w:r w:rsidR="00B35DEC" w:rsidRPr="00080443">
        <w:rPr>
          <w:rFonts w:cs="Arial"/>
        </w:rPr>
        <w:t xml:space="preserve">5.8 of the allocation determination </w:t>
      </w:r>
      <w:r w:rsidRPr="00080443">
        <w:rPr>
          <w:rFonts w:cs="Arial"/>
        </w:rPr>
        <w:t>include:</w:t>
      </w:r>
    </w:p>
    <w:p w14:paraId="58ABAFB7" w14:textId="77777777" w:rsidR="008A60B8" w:rsidRPr="00080443" w:rsidRDefault="008A60B8" w:rsidP="00C02A8E">
      <w:pPr>
        <w:pStyle w:val="ListBullet"/>
        <w:rPr>
          <w:rFonts w:cs="Arial"/>
        </w:rPr>
      </w:pPr>
      <w:r w:rsidRPr="00080443">
        <w:rPr>
          <w:rFonts w:cs="Arial"/>
        </w:rPr>
        <w:t xml:space="preserve">permitting a bidder to submit a bid by a method other than the auction system, if </w:t>
      </w:r>
      <w:r w:rsidR="00CF14FD" w:rsidRPr="00080443">
        <w:rPr>
          <w:rFonts w:cs="Arial"/>
        </w:rPr>
        <w:t xml:space="preserve">he or </w:t>
      </w:r>
      <w:r w:rsidR="004653D5" w:rsidRPr="00080443">
        <w:rPr>
          <w:rFonts w:cs="Arial"/>
        </w:rPr>
        <w:t xml:space="preserve">she </w:t>
      </w:r>
      <w:r w:rsidRPr="00080443">
        <w:rPr>
          <w:rFonts w:cs="Arial"/>
        </w:rPr>
        <w:t>is satisfied that the bidder is unable to submit a bid using the auction system</w:t>
      </w:r>
    </w:p>
    <w:p w14:paraId="4D80DD11" w14:textId="77777777" w:rsidR="008A60B8" w:rsidRPr="00080443" w:rsidRDefault="008A60B8" w:rsidP="00C02A8E">
      <w:pPr>
        <w:pStyle w:val="ListBullet"/>
        <w:rPr>
          <w:rFonts w:cs="Arial"/>
        </w:rPr>
      </w:pPr>
      <w:r w:rsidRPr="00080443">
        <w:rPr>
          <w:rFonts w:cs="Arial"/>
        </w:rPr>
        <w:t xml:space="preserve">permitting a bidder to submit a bid for a round after the end of the round (but not after information about the outcome of the round has been given to bidders), if </w:t>
      </w:r>
      <w:r w:rsidR="00CF14FD" w:rsidRPr="00080443">
        <w:rPr>
          <w:rFonts w:cs="Arial"/>
        </w:rPr>
        <w:t xml:space="preserve">he or </w:t>
      </w:r>
      <w:r w:rsidR="004653D5" w:rsidRPr="00080443">
        <w:rPr>
          <w:rFonts w:cs="Arial"/>
        </w:rPr>
        <w:t>she</w:t>
      </w:r>
      <w:r w:rsidRPr="00080443">
        <w:rPr>
          <w:rFonts w:cs="Arial"/>
        </w:rPr>
        <w:t xml:space="preserve"> is satisfied that </w:t>
      </w:r>
      <w:r w:rsidR="004653D5" w:rsidRPr="00080443">
        <w:rPr>
          <w:rFonts w:cs="Arial"/>
        </w:rPr>
        <w:t>t</w:t>
      </w:r>
      <w:r w:rsidRPr="00080443">
        <w:rPr>
          <w:rFonts w:cs="Arial"/>
        </w:rPr>
        <w:t>he bidder could not submit the bid during the round because of technical or communication problems</w:t>
      </w:r>
    </w:p>
    <w:p w14:paraId="63ADA9FE" w14:textId="77777777" w:rsidR="008A60B8" w:rsidRPr="00080443" w:rsidRDefault="008A60B8" w:rsidP="00C02A8E">
      <w:pPr>
        <w:pStyle w:val="ListBullet"/>
        <w:rPr>
          <w:rFonts w:cs="Arial"/>
        </w:rPr>
      </w:pPr>
      <w:r w:rsidRPr="00080443">
        <w:rPr>
          <w:rFonts w:cs="Arial"/>
        </w:rPr>
        <w:t xml:space="preserve">taking any of the following actions if </w:t>
      </w:r>
      <w:r w:rsidR="00CF14FD" w:rsidRPr="00080443">
        <w:rPr>
          <w:rFonts w:cs="Arial"/>
        </w:rPr>
        <w:t xml:space="preserve">he or </w:t>
      </w:r>
      <w:r w:rsidR="004653D5" w:rsidRPr="00080443">
        <w:rPr>
          <w:rFonts w:cs="Arial"/>
        </w:rPr>
        <w:t>she</w:t>
      </w:r>
      <w:r w:rsidRPr="00080443">
        <w:rPr>
          <w:rFonts w:cs="Arial"/>
        </w:rPr>
        <w:t xml:space="preserve"> is satisfied that the auction is affected by exceptional circumstances (</w:t>
      </w:r>
      <w:r w:rsidR="004653D5" w:rsidRPr="00080443">
        <w:rPr>
          <w:rFonts w:cs="Arial"/>
        </w:rPr>
        <w:t>for example</w:t>
      </w:r>
      <w:r w:rsidRPr="00080443">
        <w:rPr>
          <w:rFonts w:cs="Arial"/>
        </w:rPr>
        <w:t xml:space="preserve">, a significant technical difficulty with the auction system or a breach of the confidentiality rules): </w:t>
      </w:r>
    </w:p>
    <w:p w14:paraId="185F66CB" w14:textId="77777777" w:rsidR="008A60B8" w:rsidRPr="00080443" w:rsidRDefault="008A60B8" w:rsidP="00C02A8E">
      <w:pPr>
        <w:pStyle w:val="ListBullet2"/>
        <w:rPr>
          <w:rFonts w:cs="Arial"/>
        </w:rPr>
      </w:pPr>
      <w:r w:rsidRPr="00080443">
        <w:rPr>
          <w:rFonts w:cs="Arial"/>
        </w:rPr>
        <w:t>restart the current round</w:t>
      </w:r>
    </w:p>
    <w:p w14:paraId="1EF73458" w14:textId="77777777" w:rsidR="008A60B8" w:rsidRPr="00080443" w:rsidRDefault="008A60B8" w:rsidP="00C02A8E">
      <w:pPr>
        <w:pStyle w:val="ListBullet2"/>
        <w:rPr>
          <w:rFonts w:cs="Arial"/>
        </w:rPr>
      </w:pPr>
      <w:r w:rsidRPr="00080443">
        <w:rPr>
          <w:rFonts w:cs="Arial"/>
        </w:rPr>
        <w:t>cancel the results of one or more rounds and restart the auction from the point before those rounds</w:t>
      </w:r>
    </w:p>
    <w:p w14:paraId="0C9FC919" w14:textId="77777777" w:rsidR="008A60B8" w:rsidRPr="00080443" w:rsidRDefault="008A60B8" w:rsidP="00C02A8E">
      <w:pPr>
        <w:pStyle w:val="ListBullet2"/>
        <w:rPr>
          <w:rFonts w:cs="Arial"/>
        </w:rPr>
      </w:pPr>
      <w:r w:rsidRPr="00080443">
        <w:rPr>
          <w:rFonts w:cs="Arial"/>
        </w:rPr>
        <w:t xml:space="preserve">restart the auction from the first clock round </w:t>
      </w:r>
    </w:p>
    <w:p w14:paraId="68F26F3D" w14:textId="77777777" w:rsidR="008A60B8" w:rsidRPr="00080443" w:rsidRDefault="008A60B8" w:rsidP="00C02A8E">
      <w:pPr>
        <w:pStyle w:val="ListBullet2"/>
        <w:spacing w:after="240"/>
        <w:rPr>
          <w:rFonts w:cs="Arial"/>
        </w:rPr>
      </w:pPr>
      <w:r w:rsidRPr="00080443">
        <w:rPr>
          <w:rFonts w:cs="Arial"/>
        </w:rPr>
        <w:t>stop the auction.</w:t>
      </w:r>
    </w:p>
    <w:p w14:paraId="37A268FA" w14:textId="77777777" w:rsidR="00B35DEC" w:rsidRPr="00080443" w:rsidRDefault="00B35DEC" w:rsidP="00B35DEC">
      <w:pPr>
        <w:spacing w:after="80"/>
        <w:rPr>
          <w:rFonts w:cs="Arial"/>
        </w:rPr>
      </w:pPr>
      <w:r w:rsidRPr="00080443">
        <w:rPr>
          <w:rFonts w:cs="Arial"/>
        </w:rPr>
        <w:t>The auction manager may delegate any of</w:t>
      </w:r>
      <w:r w:rsidR="004A0125" w:rsidRPr="00080443">
        <w:rPr>
          <w:rFonts w:cs="Arial"/>
        </w:rPr>
        <w:t xml:space="preserve"> his or her </w:t>
      </w:r>
      <w:r w:rsidRPr="00080443">
        <w:rPr>
          <w:rFonts w:cs="Arial"/>
        </w:rPr>
        <w:t>functions under the allocation determination to another person.</w:t>
      </w:r>
    </w:p>
    <w:p w14:paraId="6CA21549" w14:textId="77777777" w:rsidR="00B35DEC" w:rsidRPr="00080443" w:rsidRDefault="00B35DEC" w:rsidP="00B35DEC">
      <w:pPr>
        <w:spacing w:after="80"/>
        <w:rPr>
          <w:rFonts w:cs="Arial"/>
        </w:rPr>
      </w:pPr>
    </w:p>
    <w:p w14:paraId="211782E3" w14:textId="77777777" w:rsidR="00BB17CA" w:rsidRPr="00080443" w:rsidRDefault="00BB17CA" w:rsidP="00234088">
      <w:pPr>
        <w:pStyle w:val="Heading3"/>
        <w:numPr>
          <w:ilvl w:val="2"/>
          <w:numId w:val="13"/>
        </w:numPr>
      </w:pPr>
      <w:bookmarkStart w:id="108" w:name="_Toc335246272"/>
      <w:bookmarkStart w:id="109" w:name="_Toc343780481"/>
      <w:r w:rsidRPr="00080443">
        <w:t>Communicat</w:t>
      </w:r>
      <w:r w:rsidR="0016292D" w:rsidRPr="00080443">
        <w:t>i</w:t>
      </w:r>
      <w:r w:rsidR="00F31564" w:rsidRPr="00080443">
        <w:t xml:space="preserve">ng with </w:t>
      </w:r>
      <w:r w:rsidRPr="00080443">
        <w:t>the auction manager</w:t>
      </w:r>
      <w:bookmarkEnd w:id="108"/>
      <w:bookmarkEnd w:id="109"/>
    </w:p>
    <w:p w14:paraId="1E051190" w14:textId="77777777" w:rsidR="00BB17CA" w:rsidRPr="00080443" w:rsidRDefault="00BB17CA" w:rsidP="00BB17CA">
      <w:pPr>
        <w:rPr>
          <w:rFonts w:cs="Arial"/>
        </w:rPr>
      </w:pPr>
      <w:r w:rsidRPr="00080443">
        <w:rPr>
          <w:rFonts w:cs="Arial"/>
        </w:rPr>
        <w:t>Prior to the start of the auction period</w:t>
      </w:r>
      <w:r w:rsidR="00AD273D" w:rsidRPr="00080443">
        <w:rPr>
          <w:rFonts w:cs="Arial"/>
        </w:rPr>
        <w:t xml:space="preserve"> (that is, prior to the eligibility deadline)</w:t>
      </w:r>
      <w:r w:rsidRPr="00080443">
        <w:rPr>
          <w:rFonts w:cs="Arial"/>
        </w:rPr>
        <w:t xml:space="preserve">, all contact with the auction manager should in the first instance occur through the Allocation Liaison Officer using the contact details provided </w:t>
      </w:r>
      <w:r w:rsidR="00AD273D" w:rsidRPr="00080443">
        <w:rPr>
          <w:rFonts w:cs="Arial"/>
        </w:rPr>
        <w:t>at 6.2</w:t>
      </w:r>
      <w:r w:rsidRPr="00080443">
        <w:rPr>
          <w:rFonts w:cs="Arial"/>
        </w:rPr>
        <w:t>.</w:t>
      </w:r>
    </w:p>
    <w:p w14:paraId="437F85A6" w14:textId="77777777" w:rsidR="00BB17CA" w:rsidRPr="00080443" w:rsidRDefault="00BB17CA" w:rsidP="00BB17CA">
      <w:pPr>
        <w:rPr>
          <w:rFonts w:cs="Arial"/>
        </w:rPr>
      </w:pPr>
    </w:p>
    <w:p w14:paraId="0E36FDF6" w14:textId="77777777" w:rsidR="005376AC" w:rsidRPr="00080443" w:rsidRDefault="00BB17CA" w:rsidP="002A7F71">
      <w:pPr>
        <w:rPr>
          <w:rFonts w:cs="Arial"/>
        </w:rPr>
      </w:pPr>
      <w:r w:rsidRPr="00080443">
        <w:rPr>
          <w:rFonts w:cs="Arial"/>
        </w:rPr>
        <w:t xml:space="preserve">During the auction period, contact with the auction manager should occur through either the </w:t>
      </w:r>
      <w:r w:rsidR="008245CC" w:rsidRPr="00080443">
        <w:rPr>
          <w:rFonts w:cs="Arial"/>
        </w:rPr>
        <w:t xml:space="preserve">electronic messaging facility </w:t>
      </w:r>
      <w:r w:rsidR="00E86983" w:rsidRPr="00080443">
        <w:rPr>
          <w:rFonts w:cs="Arial"/>
        </w:rPr>
        <w:t>with</w:t>
      </w:r>
      <w:r w:rsidR="008245CC" w:rsidRPr="00080443">
        <w:rPr>
          <w:rFonts w:cs="Arial"/>
        </w:rPr>
        <w:t xml:space="preserve">in the </w:t>
      </w:r>
      <w:r w:rsidRPr="00080443">
        <w:rPr>
          <w:rFonts w:cs="Arial"/>
        </w:rPr>
        <w:t>auction system, or the email address, telephone number or fax number that will be provided to registered bidders after the eligibility deadline</w:t>
      </w:r>
      <w:r w:rsidR="00740AD1" w:rsidRPr="00080443">
        <w:rPr>
          <w:rFonts w:cs="Arial"/>
        </w:rPr>
        <w:t xml:space="preserve"> (see 4.3.4)</w:t>
      </w:r>
      <w:r w:rsidRPr="00080443">
        <w:rPr>
          <w:rFonts w:cs="Arial"/>
        </w:rPr>
        <w:t>.</w:t>
      </w:r>
    </w:p>
    <w:p w14:paraId="6EB972DF" w14:textId="77777777" w:rsidR="00606A21" w:rsidRPr="00080443" w:rsidRDefault="005376AC" w:rsidP="00F6195E">
      <w:pPr>
        <w:rPr>
          <w:rFonts w:cs="Arial"/>
        </w:rPr>
      </w:pPr>
      <w:r w:rsidRPr="00080443">
        <w:rPr>
          <w:rFonts w:cs="Arial"/>
        </w:rPr>
        <w:t xml:space="preserve"> </w:t>
      </w:r>
      <w:r w:rsidR="00BB17CA" w:rsidRPr="00080443">
        <w:rPr>
          <w:rFonts w:cs="Arial"/>
        </w:rPr>
        <w:t xml:space="preserve"> </w:t>
      </w:r>
    </w:p>
    <w:p w14:paraId="5B78D12B" w14:textId="77777777" w:rsidR="008A60B8" w:rsidRPr="00080443" w:rsidRDefault="008A60B8" w:rsidP="00234088">
      <w:pPr>
        <w:pStyle w:val="Heading2"/>
        <w:numPr>
          <w:ilvl w:val="1"/>
          <w:numId w:val="13"/>
        </w:numPr>
        <w:ind w:hanging="792"/>
      </w:pPr>
      <w:bookmarkStart w:id="110" w:name="_Toc335246273"/>
      <w:bookmarkStart w:id="111" w:name="_Toc343780482"/>
      <w:r w:rsidRPr="00080443">
        <w:t>Online auction system</w:t>
      </w:r>
      <w:bookmarkEnd w:id="110"/>
      <w:bookmarkEnd w:id="111"/>
    </w:p>
    <w:p w14:paraId="44FD37B6" w14:textId="77777777" w:rsidR="008A60B8" w:rsidRPr="00080443" w:rsidRDefault="008A60B8" w:rsidP="00C02A8E">
      <w:pPr>
        <w:rPr>
          <w:rFonts w:cs="Arial"/>
        </w:rPr>
      </w:pPr>
      <w:r w:rsidRPr="00080443">
        <w:rPr>
          <w:rFonts w:cs="Arial"/>
        </w:rPr>
        <w:t xml:space="preserve">The auction will be conducted over the internet using auction system software developed for the ACMA by </w:t>
      </w:r>
      <w:hyperlink r:id="rId39" w:history="1">
        <w:r w:rsidRPr="00080443">
          <w:rPr>
            <w:rStyle w:val="Hyperlink"/>
            <w:rFonts w:cs="Arial"/>
          </w:rPr>
          <w:t>Power Auctions LLC</w:t>
        </w:r>
      </w:hyperlink>
      <w:r w:rsidRPr="00080443">
        <w:rPr>
          <w:rFonts w:cs="Arial"/>
        </w:rPr>
        <w:t xml:space="preserve">. Subject to the user system </w:t>
      </w:r>
      <w:r w:rsidR="002A7F71" w:rsidRPr="00080443">
        <w:rPr>
          <w:rFonts w:cs="Arial"/>
        </w:rPr>
        <w:t>requirements</w:t>
      </w:r>
      <w:r w:rsidRPr="00080443">
        <w:rPr>
          <w:rFonts w:cs="Arial"/>
        </w:rPr>
        <w:t xml:space="preserve"> discussed below, the online auction system </w:t>
      </w:r>
      <w:r w:rsidR="00B35DEC" w:rsidRPr="00080443">
        <w:rPr>
          <w:rFonts w:cs="Arial"/>
        </w:rPr>
        <w:t xml:space="preserve">is designed to </w:t>
      </w:r>
      <w:r w:rsidRPr="00080443">
        <w:rPr>
          <w:rFonts w:cs="Arial"/>
        </w:rPr>
        <w:t>allow bidders to participate in the auction from their normal office locations, or any other location of their choosing.</w:t>
      </w:r>
    </w:p>
    <w:p w14:paraId="414F19D5" w14:textId="77777777" w:rsidR="00C02A8E" w:rsidRPr="00080443" w:rsidRDefault="00C02A8E" w:rsidP="00C02A8E">
      <w:pPr>
        <w:rPr>
          <w:rFonts w:cs="Arial"/>
        </w:rPr>
      </w:pPr>
    </w:p>
    <w:p w14:paraId="129EDC9E" w14:textId="77777777" w:rsidR="00A23DA9" w:rsidRPr="00080443" w:rsidRDefault="0002370C" w:rsidP="00A23DA9">
      <w:pPr>
        <w:spacing w:after="80"/>
        <w:rPr>
          <w:rFonts w:cs="Arial"/>
        </w:rPr>
      </w:pPr>
      <w:r w:rsidRPr="00080443">
        <w:rPr>
          <w:rFonts w:cs="Arial"/>
        </w:rPr>
        <w:t>Bidders will use t</w:t>
      </w:r>
      <w:r w:rsidR="008A60B8" w:rsidRPr="00080443">
        <w:rPr>
          <w:rFonts w:cs="Arial"/>
        </w:rPr>
        <w:t>he auction system to bid in all rounds of the auction. It will also be the primary mode of communication between the ACMA and bidders during the auction period</w:t>
      </w:r>
      <w:r w:rsidR="00587AEF" w:rsidRPr="00080443">
        <w:rPr>
          <w:rFonts w:cs="Arial"/>
        </w:rPr>
        <w:t xml:space="preserve"> (see the introduction to Chapter 4). </w:t>
      </w:r>
    </w:p>
    <w:p w14:paraId="738263E0" w14:textId="77777777" w:rsidR="008A60B8" w:rsidRPr="00080443" w:rsidRDefault="008A60B8" w:rsidP="00C02A8E">
      <w:pPr>
        <w:rPr>
          <w:rFonts w:cs="Arial"/>
        </w:rPr>
      </w:pPr>
      <w:r w:rsidRPr="00080443">
        <w:rPr>
          <w:rFonts w:cs="Arial"/>
        </w:rPr>
        <w:t>Backup bidding and communication arrangements will be in place in the event that technical or other problems prevent use of the auction system for a period.</w:t>
      </w:r>
    </w:p>
    <w:p w14:paraId="6C3E7757" w14:textId="77777777" w:rsidR="00C02A8E" w:rsidRPr="00080443" w:rsidRDefault="00C02A8E" w:rsidP="00C02A8E">
      <w:pPr>
        <w:rPr>
          <w:rFonts w:cs="Arial"/>
        </w:rPr>
      </w:pPr>
    </w:p>
    <w:p w14:paraId="33754542" w14:textId="77777777" w:rsidR="008A60B8" w:rsidRPr="00080443" w:rsidRDefault="008A60B8" w:rsidP="00C02A8E">
      <w:pPr>
        <w:rPr>
          <w:rFonts w:cs="Arial"/>
        </w:rPr>
      </w:pPr>
      <w:r w:rsidRPr="00080443">
        <w:rPr>
          <w:rFonts w:cs="Arial"/>
        </w:rPr>
        <w:lastRenderedPageBreak/>
        <w:t>Procedures conducted before the beginning of the auction period (</w:t>
      </w:r>
      <w:r w:rsidR="002A7F71" w:rsidRPr="00080443">
        <w:rPr>
          <w:rFonts w:cs="Arial"/>
        </w:rPr>
        <w:t xml:space="preserve">that is, all steps other than Step 4 in Chapter 4) </w:t>
      </w:r>
      <w:r w:rsidRPr="00080443">
        <w:rPr>
          <w:rFonts w:cs="Arial"/>
        </w:rPr>
        <w:t>will be performed independently of the auction system, in accordance with the process</w:t>
      </w:r>
      <w:r w:rsidR="002A7F71" w:rsidRPr="00080443">
        <w:rPr>
          <w:rFonts w:cs="Arial"/>
        </w:rPr>
        <w:t>es</w:t>
      </w:r>
      <w:r w:rsidRPr="00080443">
        <w:rPr>
          <w:rFonts w:cs="Arial"/>
        </w:rPr>
        <w:t xml:space="preserve"> set out in </w:t>
      </w:r>
      <w:r w:rsidR="0002370C" w:rsidRPr="00080443">
        <w:rPr>
          <w:rFonts w:cs="Arial"/>
        </w:rPr>
        <w:t>C</w:t>
      </w:r>
      <w:r w:rsidRPr="00080443">
        <w:rPr>
          <w:rFonts w:cs="Arial"/>
        </w:rPr>
        <w:t>hapter 4.</w:t>
      </w:r>
    </w:p>
    <w:p w14:paraId="34EECA2C" w14:textId="77777777" w:rsidR="00C02A8E" w:rsidRPr="00080443" w:rsidRDefault="00C02A8E" w:rsidP="00C02A8E">
      <w:pPr>
        <w:rPr>
          <w:rFonts w:cs="Arial"/>
        </w:rPr>
      </w:pPr>
    </w:p>
    <w:p w14:paraId="47CEC19E" w14:textId="77777777" w:rsidR="008A60B8" w:rsidRPr="00080443" w:rsidRDefault="008A60B8" w:rsidP="00234088">
      <w:pPr>
        <w:pStyle w:val="Heading3"/>
        <w:numPr>
          <w:ilvl w:val="2"/>
          <w:numId w:val="13"/>
        </w:numPr>
      </w:pPr>
      <w:bookmarkStart w:id="112" w:name="_Toc335246274"/>
      <w:bookmarkStart w:id="113" w:name="_Toc343780483"/>
      <w:r w:rsidRPr="00080443">
        <w:t>Accessing and using the auction system</w:t>
      </w:r>
      <w:bookmarkEnd w:id="112"/>
      <w:bookmarkEnd w:id="113"/>
    </w:p>
    <w:p w14:paraId="61E696C0" w14:textId="77777777" w:rsidR="008A60B8" w:rsidRPr="00080443" w:rsidRDefault="008A60B8" w:rsidP="00C02A8E">
      <w:pPr>
        <w:rPr>
          <w:rFonts w:cs="Arial"/>
        </w:rPr>
      </w:pPr>
      <w:r w:rsidRPr="00080443">
        <w:rPr>
          <w:rFonts w:cs="Arial"/>
        </w:rPr>
        <w:t>Bidders will use the auction system from their own computers connected to the internet, by accessing the auction system internet site. The system has been designed to minimise the requirements on bidders’ equipment and to make the bid submission process as straightforward as possible. The auction system internet site will use secure sockets layer (SSL) technology to ensure all transmissions are secure.</w:t>
      </w:r>
    </w:p>
    <w:p w14:paraId="6632211C" w14:textId="77777777" w:rsidR="00C02A8E" w:rsidRPr="00080443" w:rsidRDefault="00C02A8E" w:rsidP="00C02A8E">
      <w:pPr>
        <w:rPr>
          <w:rFonts w:cs="Arial"/>
        </w:rPr>
      </w:pPr>
    </w:p>
    <w:p w14:paraId="2C2D1573" w14:textId="77777777" w:rsidR="008A60B8" w:rsidRPr="00080443" w:rsidRDefault="008A60B8" w:rsidP="00C02A8E">
      <w:pPr>
        <w:spacing w:after="80"/>
        <w:rPr>
          <w:rFonts w:cs="Arial"/>
        </w:rPr>
      </w:pPr>
      <w:r w:rsidRPr="00080443">
        <w:rPr>
          <w:rFonts w:cs="Arial"/>
        </w:rPr>
        <w:t xml:space="preserve">After the eligibility deadline, the ACMA will </w:t>
      </w:r>
      <w:r w:rsidR="0002370C" w:rsidRPr="00080443">
        <w:rPr>
          <w:rFonts w:cs="Arial"/>
        </w:rPr>
        <w:t xml:space="preserve">give </w:t>
      </w:r>
      <w:r w:rsidRPr="00080443">
        <w:rPr>
          <w:rFonts w:cs="Arial"/>
        </w:rPr>
        <w:t xml:space="preserve">registered bidders </w:t>
      </w:r>
      <w:r w:rsidR="0069091A" w:rsidRPr="00080443">
        <w:rPr>
          <w:rFonts w:cs="Arial"/>
        </w:rPr>
        <w:t xml:space="preserve">further </w:t>
      </w:r>
      <w:r w:rsidRPr="00080443">
        <w:rPr>
          <w:rFonts w:cs="Arial"/>
        </w:rPr>
        <w:t xml:space="preserve">information </w:t>
      </w:r>
      <w:r w:rsidR="0069091A" w:rsidRPr="00080443">
        <w:rPr>
          <w:rFonts w:cs="Arial"/>
        </w:rPr>
        <w:t xml:space="preserve">to explain how </w:t>
      </w:r>
      <w:r w:rsidR="0002370C" w:rsidRPr="00080443">
        <w:rPr>
          <w:rFonts w:cs="Arial"/>
        </w:rPr>
        <w:t xml:space="preserve">they </w:t>
      </w:r>
      <w:r w:rsidR="0069091A" w:rsidRPr="00080443">
        <w:rPr>
          <w:rFonts w:cs="Arial"/>
        </w:rPr>
        <w:t>can</w:t>
      </w:r>
      <w:r w:rsidRPr="00080443">
        <w:rPr>
          <w:rFonts w:cs="Arial"/>
        </w:rPr>
        <w:t xml:space="preserve"> participate in the auction</w:t>
      </w:r>
      <w:r w:rsidR="00E47715" w:rsidRPr="00080443">
        <w:rPr>
          <w:rFonts w:cs="Arial"/>
        </w:rPr>
        <w:t xml:space="preserve"> (see 4.3.4)</w:t>
      </w:r>
      <w:r w:rsidRPr="00080443">
        <w:rPr>
          <w:rFonts w:cs="Arial"/>
        </w:rPr>
        <w:t xml:space="preserve">. </w:t>
      </w:r>
      <w:r w:rsidR="0002370C" w:rsidRPr="00080443">
        <w:rPr>
          <w:rFonts w:cs="Arial"/>
        </w:rPr>
        <w:t>This</w:t>
      </w:r>
      <w:r w:rsidRPr="00080443">
        <w:rPr>
          <w:rFonts w:cs="Arial"/>
        </w:rPr>
        <w:t xml:space="preserve"> will include the following material about how to access and use the auction system: </w:t>
      </w:r>
    </w:p>
    <w:p w14:paraId="589CB44B" w14:textId="77777777" w:rsidR="008A60B8" w:rsidRPr="00080443" w:rsidRDefault="008A60B8" w:rsidP="00C02A8E">
      <w:pPr>
        <w:pStyle w:val="ListBullet"/>
        <w:rPr>
          <w:rFonts w:cs="Arial"/>
        </w:rPr>
      </w:pPr>
      <w:r w:rsidRPr="00080443">
        <w:rPr>
          <w:rFonts w:cs="Arial"/>
        </w:rPr>
        <w:t>An auction system user manual</w:t>
      </w:r>
      <w:r w:rsidR="0002370C" w:rsidRPr="00080443">
        <w:rPr>
          <w:rFonts w:cs="Arial"/>
        </w:rPr>
        <w:t>—</w:t>
      </w:r>
      <w:r w:rsidRPr="00080443">
        <w:rPr>
          <w:rFonts w:cs="Arial"/>
        </w:rPr>
        <w:t>providing instructions about how to access and log</w:t>
      </w:r>
      <w:r w:rsidR="002F3C03" w:rsidRPr="00080443">
        <w:rPr>
          <w:rFonts w:cs="Arial"/>
        </w:rPr>
        <w:t xml:space="preserve"> </w:t>
      </w:r>
      <w:r w:rsidRPr="00080443">
        <w:rPr>
          <w:rFonts w:cs="Arial"/>
        </w:rPr>
        <w:t>in to the auction system internet site; participate in the clock, supplementary and assignment rounds; view round schedules and results; and communicate with the auction manager using the auction system.</w:t>
      </w:r>
    </w:p>
    <w:p w14:paraId="0EBD8115" w14:textId="77777777" w:rsidR="008A60B8" w:rsidRPr="00080443" w:rsidRDefault="008A60B8" w:rsidP="00C02A8E">
      <w:pPr>
        <w:pStyle w:val="ListBullet"/>
        <w:rPr>
          <w:rFonts w:cs="Arial"/>
        </w:rPr>
      </w:pPr>
      <w:r w:rsidRPr="00080443">
        <w:rPr>
          <w:rFonts w:cs="Arial"/>
        </w:rPr>
        <w:t>A username, password and</w:t>
      </w:r>
      <w:r w:rsidR="004A0125" w:rsidRPr="00080443">
        <w:rPr>
          <w:rFonts w:cs="Arial"/>
        </w:rPr>
        <w:t xml:space="preserve"> security token </w:t>
      </w:r>
      <w:r w:rsidRPr="00080443">
        <w:rPr>
          <w:rFonts w:cs="Arial"/>
        </w:rPr>
        <w:t>for each of the ‘authorised persons’ identified on the bidder’s application form as requiring access to the auction system.</w:t>
      </w:r>
    </w:p>
    <w:p w14:paraId="170DC252" w14:textId="77777777" w:rsidR="008A60B8" w:rsidRPr="00080443" w:rsidRDefault="008A60B8" w:rsidP="00C02A8E">
      <w:pPr>
        <w:pStyle w:val="ListBullet"/>
        <w:spacing w:after="240"/>
        <w:rPr>
          <w:rFonts w:cs="Arial"/>
        </w:rPr>
      </w:pPr>
      <w:r w:rsidRPr="00080443">
        <w:rPr>
          <w:rFonts w:cs="Arial"/>
        </w:rPr>
        <w:t xml:space="preserve">Instructions about how to use the backup bidding arrangements that will apply in the event that a bidder is unable to submit a bid using the auction system. </w:t>
      </w:r>
    </w:p>
    <w:p w14:paraId="05E48667" w14:textId="77777777" w:rsidR="008A60B8" w:rsidRPr="00080443" w:rsidRDefault="008A60B8" w:rsidP="00C02A8E">
      <w:pPr>
        <w:rPr>
          <w:rFonts w:cs="Arial"/>
        </w:rPr>
      </w:pPr>
      <w:r w:rsidRPr="00080443">
        <w:rPr>
          <w:rFonts w:cs="Arial"/>
        </w:rPr>
        <w:t xml:space="preserve">This information will be supplemented by the other bidder training and support material discussed </w:t>
      </w:r>
      <w:r w:rsidR="0002370C" w:rsidRPr="00080443">
        <w:rPr>
          <w:rFonts w:cs="Arial"/>
        </w:rPr>
        <w:t>at</w:t>
      </w:r>
      <w:r w:rsidRPr="00080443">
        <w:rPr>
          <w:rFonts w:cs="Arial"/>
        </w:rPr>
        <w:t xml:space="preserve"> 3.4.</w:t>
      </w:r>
    </w:p>
    <w:p w14:paraId="2B04E341" w14:textId="77777777" w:rsidR="00C02A8E" w:rsidRPr="00080443" w:rsidRDefault="00C02A8E" w:rsidP="00C02A8E">
      <w:pPr>
        <w:rPr>
          <w:rFonts w:cs="Arial"/>
        </w:rPr>
      </w:pPr>
    </w:p>
    <w:p w14:paraId="758EF32D" w14:textId="77777777" w:rsidR="008A60B8" w:rsidRPr="00080443" w:rsidRDefault="008A60B8" w:rsidP="00C02A8E">
      <w:pPr>
        <w:rPr>
          <w:rFonts w:cs="Arial"/>
        </w:rPr>
      </w:pPr>
      <w:r w:rsidRPr="00080443">
        <w:rPr>
          <w:rFonts w:cs="Arial"/>
        </w:rPr>
        <w:t>Bidders may access and use the auction system only in accordance with the</w:t>
      </w:r>
      <w:r w:rsidR="00533298" w:rsidRPr="00080443">
        <w:rPr>
          <w:rFonts w:cs="Arial"/>
        </w:rPr>
        <w:t xml:space="preserve"> applicable rules in the allocation determination. </w:t>
      </w:r>
      <w:r w:rsidR="0002370C" w:rsidRPr="00080443">
        <w:rPr>
          <w:rFonts w:cs="Arial"/>
        </w:rPr>
        <w:t>They</w:t>
      </w:r>
      <w:r w:rsidRPr="00080443">
        <w:rPr>
          <w:rFonts w:cs="Arial"/>
        </w:rPr>
        <w:t xml:space="preserve"> must not attempt to interfere with the auction system or use it in an unlawful way. Bidders will also be required to keep th</w:t>
      </w:r>
      <w:r w:rsidR="002346DD" w:rsidRPr="00080443">
        <w:rPr>
          <w:rFonts w:cs="Arial"/>
        </w:rPr>
        <w:t xml:space="preserve">e items above </w:t>
      </w:r>
      <w:r w:rsidRPr="00080443">
        <w:rPr>
          <w:rFonts w:cs="Arial"/>
        </w:rPr>
        <w:t>secure during the auction period</w:t>
      </w:r>
      <w:r w:rsidR="0002370C" w:rsidRPr="00080443">
        <w:rPr>
          <w:rFonts w:cs="Arial"/>
        </w:rPr>
        <w:t>,</w:t>
      </w:r>
      <w:r w:rsidRPr="00080443">
        <w:rPr>
          <w:rFonts w:cs="Arial"/>
        </w:rPr>
        <w:t xml:space="preserve"> and to notify the ACMA immediately of any relevant disclosure, loss or theft. If the ACMA </w:t>
      </w:r>
      <w:r w:rsidR="004A0125" w:rsidRPr="00080443">
        <w:rPr>
          <w:rFonts w:cs="Arial"/>
        </w:rPr>
        <w:t xml:space="preserve">is satisfied </w:t>
      </w:r>
      <w:r w:rsidR="00B35DEC" w:rsidRPr="00080443">
        <w:rPr>
          <w:rFonts w:cs="Arial"/>
        </w:rPr>
        <w:t xml:space="preserve">that </w:t>
      </w:r>
      <w:r w:rsidRPr="00080443">
        <w:rPr>
          <w:rFonts w:cs="Arial"/>
        </w:rPr>
        <w:t xml:space="preserve">a bidder </w:t>
      </w:r>
      <w:r w:rsidR="00B35DEC" w:rsidRPr="00080443">
        <w:rPr>
          <w:rFonts w:cs="Arial"/>
        </w:rPr>
        <w:t xml:space="preserve">has </w:t>
      </w:r>
      <w:r w:rsidRPr="00080443">
        <w:rPr>
          <w:rFonts w:cs="Arial"/>
        </w:rPr>
        <w:t xml:space="preserve">breached these requirements, and that the breach affected or may have affected the auction outcome, the ACMA may take action under the breach provisions discussed </w:t>
      </w:r>
      <w:r w:rsidR="0002370C" w:rsidRPr="00080443">
        <w:rPr>
          <w:rFonts w:cs="Arial"/>
        </w:rPr>
        <w:t>at</w:t>
      </w:r>
      <w:r w:rsidRPr="00080443">
        <w:rPr>
          <w:rFonts w:cs="Arial"/>
        </w:rPr>
        <w:t xml:space="preserve"> 3.2.</w:t>
      </w:r>
      <w:r w:rsidR="0037586E" w:rsidRPr="00080443">
        <w:rPr>
          <w:rFonts w:cs="Arial"/>
        </w:rPr>
        <w:t>8</w:t>
      </w:r>
      <w:r w:rsidRPr="00080443">
        <w:rPr>
          <w:rFonts w:cs="Arial"/>
        </w:rPr>
        <w:t>.</w:t>
      </w:r>
    </w:p>
    <w:p w14:paraId="0813F8E4" w14:textId="77777777" w:rsidR="00C02A8E" w:rsidRPr="00080443" w:rsidRDefault="00C02A8E" w:rsidP="00C02A8E">
      <w:pPr>
        <w:rPr>
          <w:rFonts w:cs="Arial"/>
        </w:rPr>
      </w:pPr>
    </w:p>
    <w:p w14:paraId="013FF9E8" w14:textId="77777777" w:rsidR="008A60B8" w:rsidRPr="00080443" w:rsidRDefault="008A60B8" w:rsidP="00234088">
      <w:pPr>
        <w:pStyle w:val="Heading3"/>
        <w:numPr>
          <w:ilvl w:val="2"/>
          <w:numId w:val="13"/>
        </w:numPr>
      </w:pPr>
      <w:bookmarkStart w:id="114" w:name="_Toc335246275"/>
      <w:bookmarkStart w:id="115" w:name="_Toc343780484"/>
      <w:r w:rsidRPr="00080443">
        <w:t xml:space="preserve">User system </w:t>
      </w:r>
      <w:r w:rsidR="007B2B1E" w:rsidRPr="00080443">
        <w:t>requirements</w:t>
      </w:r>
      <w:bookmarkEnd w:id="114"/>
      <w:bookmarkEnd w:id="115"/>
    </w:p>
    <w:p w14:paraId="0E62D9CE" w14:textId="77777777" w:rsidR="007B2B1E" w:rsidRPr="00080443" w:rsidRDefault="008A60B8" w:rsidP="007F537F">
      <w:pPr>
        <w:rPr>
          <w:rFonts w:cs="Arial"/>
        </w:rPr>
      </w:pPr>
      <w:r w:rsidRPr="00080443">
        <w:rPr>
          <w:rFonts w:cs="Arial"/>
        </w:rPr>
        <w:t>The auction system will be accessible using a standard, internet</w:t>
      </w:r>
      <w:r w:rsidR="004D3507" w:rsidRPr="00080443">
        <w:rPr>
          <w:rFonts w:cs="Arial"/>
        </w:rPr>
        <w:t>-</w:t>
      </w:r>
      <w:r w:rsidRPr="00080443">
        <w:rPr>
          <w:rFonts w:cs="Arial"/>
        </w:rPr>
        <w:t>connected personal computer (PC) with an internet browser with a minimum of 128-bit SSL security. The</w:t>
      </w:r>
      <w:r w:rsidR="00771879" w:rsidRPr="00080443">
        <w:rPr>
          <w:rFonts w:cs="Arial"/>
        </w:rPr>
        <w:t xml:space="preserve"> auction system user manual</w:t>
      </w:r>
      <w:r w:rsidR="007B2B1E" w:rsidRPr="00080443">
        <w:rPr>
          <w:rFonts w:cs="Arial"/>
        </w:rPr>
        <w:t xml:space="preserve"> will contain details of the recommended configuration for user equipment.</w:t>
      </w:r>
    </w:p>
    <w:p w14:paraId="014A60E0" w14:textId="77777777" w:rsidR="007F537F" w:rsidRPr="00080443" w:rsidRDefault="007F537F" w:rsidP="00D90A45">
      <w:pPr>
        <w:rPr>
          <w:rFonts w:cs="Arial"/>
        </w:rPr>
      </w:pPr>
    </w:p>
    <w:p w14:paraId="1D73105C" w14:textId="77777777" w:rsidR="008A60B8" w:rsidRPr="00080443" w:rsidRDefault="008A60B8" w:rsidP="00D90A45">
      <w:pPr>
        <w:rPr>
          <w:rFonts w:cs="Arial"/>
        </w:rPr>
      </w:pPr>
      <w:r w:rsidRPr="00080443">
        <w:rPr>
          <w:rFonts w:cs="Arial"/>
        </w:rPr>
        <w:t>The auction system may run on PC configurations</w:t>
      </w:r>
      <w:r w:rsidR="007B2B1E" w:rsidRPr="00080443">
        <w:rPr>
          <w:rFonts w:cs="Arial"/>
        </w:rPr>
        <w:t xml:space="preserve"> other than the one recommended in the user manual</w:t>
      </w:r>
      <w:r w:rsidRPr="00080443">
        <w:rPr>
          <w:rFonts w:cs="Arial"/>
        </w:rPr>
        <w:t xml:space="preserve">. However, it is the bidder’s responsibility to </w:t>
      </w:r>
      <w:r w:rsidR="004D3507" w:rsidRPr="00080443">
        <w:rPr>
          <w:rFonts w:cs="Arial"/>
        </w:rPr>
        <w:t xml:space="preserve">check </w:t>
      </w:r>
      <w:r w:rsidRPr="00080443">
        <w:rPr>
          <w:rFonts w:cs="Arial"/>
        </w:rPr>
        <w:t>they can use the system on another configuration</w:t>
      </w:r>
      <w:r w:rsidR="004D3507" w:rsidRPr="00080443">
        <w:rPr>
          <w:rFonts w:cs="Arial"/>
        </w:rPr>
        <w:t>—</w:t>
      </w:r>
      <w:r w:rsidRPr="00080443">
        <w:rPr>
          <w:rFonts w:cs="Arial"/>
        </w:rPr>
        <w:t xml:space="preserve">preferably by testing the other configuration during the mock auctions discussed </w:t>
      </w:r>
      <w:r w:rsidR="004D3507" w:rsidRPr="00080443">
        <w:rPr>
          <w:rFonts w:cs="Arial"/>
        </w:rPr>
        <w:t>at</w:t>
      </w:r>
      <w:r w:rsidRPr="00080443">
        <w:rPr>
          <w:rFonts w:cs="Arial"/>
        </w:rPr>
        <w:t xml:space="preserve"> 3.4. It is recommended that bidders use the same configuration for the mock auctions as they intend to use for the live auction. Bidders are encouraged to install the latest updates for their operating system and browser to maximise protection against potential security vulnerabilities.</w:t>
      </w:r>
    </w:p>
    <w:p w14:paraId="6247643D" w14:textId="77777777" w:rsidR="00D90A45" w:rsidRPr="00080443" w:rsidRDefault="00D90A45" w:rsidP="00D90A45">
      <w:pPr>
        <w:rPr>
          <w:rFonts w:cs="Arial"/>
        </w:rPr>
      </w:pPr>
    </w:p>
    <w:p w14:paraId="67DD5871" w14:textId="77777777" w:rsidR="008A60B8" w:rsidRPr="00080443" w:rsidRDefault="008A60B8" w:rsidP="00D90A45">
      <w:pPr>
        <w:rPr>
          <w:rFonts w:cs="Arial"/>
        </w:rPr>
      </w:pPr>
      <w:r w:rsidRPr="00080443">
        <w:rPr>
          <w:rFonts w:cs="Arial"/>
        </w:rPr>
        <w:t>Bidders are discouraged from using web browsers containing third-party modifications such as search bars, tool bars or other third-party browser extensions. Third-party browser extensions may cause problems for users of interactive websites</w:t>
      </w:r>
      <w:r w:rsidR="004D3507" w:rsidRPr="00080443">
        <w:rPr>
          <w:rFonts w:cs="Arial"/>
        </w:rPr>
        <w:t>—</w:t>
      </w:r>
      <w:r w:rsidRPr="00080443">
        <w:rPr>
          <w:rFonts w:cs="Arial"/>
        </w:rPr>
        <w:t>such as the auction system</w:t>
      </w:r>
      <w:r w:rsidR="004D3507" w:rsidRPr="00080443">
        <w:rPr>
          <w:rFonts w:cs="Arial"/>
        </w:rPr>
        <w:t>—</w:t>
      </w:r>
      <w:r w:rsidRPr="00080443">
        <w:rPr>
          <w:rFonts w:cs="Arial"/>
        </w:rPr>
        <w:t xml:space="preserve">and in principle may render bidders’ computers more vulnerable to hacker attacks. If in doubt, bidders should seek their own expert advice to disable </w:t>
      </w:r>
      <w:r w:rsidRPr="00080443">
        <w:rPr>
          <w:rFonts w:cs="Arial"/>
        </w:rPr>
        <w:lastRenderedPageBreak/>
        <w:t xml:space="preserve">third-party browser extensions or, if necessary, obtain clean installations of a recommended web browser. </w:t>
      </w:r>
    </w:p>
    <w:p w14:paraId="3196D08D" w14:textId="77777777" w:rsidR="00D90A45" w:rsidRPr="00080443" w:rsidRDefault="00D90A45" w:rsidP="00D90A45">
      <w:pPr>
        <w:rPr>
          <w:rFonts w:cs="Arial"/>
        </w:rPr>
      </w:pPr>
    </w:p>
    <w:p w14:paraId="01CB817A" w14:textId="77777777" w:rsidR="008A60B8" w:rsidRPr="00080443" w:rsidRDefault="008A60B8" w:rsidP="00D90A45">
      <w:pPr>
        <w:rPr>
          <w:rFonts w:cs="Arial"/>
        </w:rPr>
      </w:pPr>
      <w:r w:rsidRPr="00080443">
        <w:rPr>
          <w:rFonts w:cs="Arial"/>
        </w:rPr>
        <w:t>Bidders are encouraged to establish a backup means of connecting to the internet for use during the auction in the event that their primary internet connection fails. For example, bidders could arrange to have a mobile internet service available for use if their normal cable or ADSL broadband service is disrupted; or a backup bid team, with its own power and communications services</w:t>
      </w:r>
      <w:r w:rsidR="00B35DEC" w:rsidRPr="00080443">
        <w:rPr>
          <w:rFonts w:cs="Arial"/>
        </w:rPr>
        <w:t xml:space="preserve"> and authorisation to access the auction system</w:t>
      </w:r>
      <w:r w:rsidRPr="00080443">
        <w:rPr>
          <w:rFonts w:cs="Arial"/>
        </w:rPr>
        <w:t xml:space="preserve">, at a separate location from the primary bid team. </w:t>
      </w:r>
    </w:p>
    <w:p w14:paraId="7732C709" w14:textId="77777777" w:rsidR="00D90A45" w:rsidRPr="00080443" w:rsidRDefault="00D90A45" w:rsidP="00D90A45">
      <w:pPr>
        <w:rPr>
          <w:rFonts w:cs="Arial"/>
        </w:rPr>
      </w:pPr>
    </w:p>
    <w:p w14:paraId="720A9A6E" w14:textId="77777777" w:rsidR="008A60B8" w:rsidRPr="00080443" w:rsidRDefault="008A60B8" w:rsidP="00234088">
      <w:pPr>
        <w:pStyle w:val="Heading3"/>
        <w:numPr>
          <w:ilvl w:val="2"/>
          <w:numId w:val="13"/>
        </w:numPr>
      </w:pPr>
      <w:bookmarkStart w:id="116" w:name="_Toc335246276"/>
      <w:bookmarkStart w:id="117" w:name="_Toc343780485"/>
      <w:r w:rsidRPr="00080443">
        <w:t>Development of the auction system</w:t>
      </w:r>
      <w:bookmarkEnd w:id="116"/>
      <w:bookmarkEnd w:id="117"/>
    </w:p>
    <w:p w14:paraId="1BD36FF7" w14:textId="77777777" w:rsidR="008A60B8" w:rsidRPr="00080443" w:rsidRDefault="008A60B8" w:rsidP="00D90A45">
      <w:pPr>
        <w:rPr>
          <w:rFonts w:cs="Arial"/>
        </w:rPr>
      </w:pPr>
      <w:r w:rsidRPr="00080443">
        <w:rPr>
          <w:rFonts w:cs="Arial"/>
        </w:rPr>
        <w:t xml:space="preserve">In September 2011, the ACMA announced </w:t>
      </w:r>
      <w:r w:rsidR="00DF1A48" w:rsidRPr="00080443">
        <w:rPr>
          <w:rFonts w:cs="Arial"/>
        </w:rPr>
        <w:t>Power Auctions LLC</w:t>
      </w:r>
      <w:r w:rsidRPr="00080443">
        <w:rPr>
          <w:rFonts w:cs="Arial"/>
        </w:rPr>
        <w:t xml:space="preserve"> as the successful tenderer for provision of the spectrum auction capability, implementation and related advisory services for the digital dividend auction. Power Auctions</w:t>
      </w:r>
      <w:r w:rsidR="00874F6D" w:rsidRPr="00080443">
        <w:rPr>
          <w:rFonts w:cs="Arial"/>
        </w:rPr>
        <w:t>, based in the US,</w:t>
      </w:r>
      <w:r w:rsidRPr="00080443">
        <w:rPr>
          <w:rFonts w:cs="Arial"/>
        </w:rPr>
        <w:t xml:space="preserve"> is a leading international provider of expert auction design advice, auction implementation services and web-based auction software for spectrum auctions and other high-stakes auctions. The company has extensive experience in providing auction designs, implementation services and software in the electricity, natural gas, resources and telecommunications sectors. Power Auctions</w:t>
      </w:r>
      <w:r w:rsidR="004D3507" w:rsidRPr="00080443">
        <w:rPr>
          <w:rFonts w:cs="Arial"/>
        </w:rPr>
        <w:t xml:space="preserve"> </w:t>
      </w:r>
      <w:r w:rsidR="00D10FAF" w:rsidRPr="00080443">
        <w:rPr>
          <w:rFonts w:cs="Arial"/>
        </w:rPr>
        <w:t xml:space="preserve">and its principals have </w:t>
      </w:r>
      <w:r w:rsidRPr="00080443">
        <w:rPr>
          <w:rFonts w:cs="Arial"/>
        </w:rPr>
        <w:t xml:space="preserve">worked extensively with overseas spectrum regulators, including the US Federal Communications Commission, Industry Canada and the UK’s </w:t>
      </w:r>
      <w:proofErr w:type="spellStart"/>
      <w:r w:rsidRPr="00080443">
        <w:rPr>
          <w:rFonts w:cs="Arial"/>
        </w:rPr>
        <w:t>Ofcom</w:t>
      </w:r>
      <w:proofErr w:type="spellEnd"/>
      <w:r w:rsidRPr="00080443">
        <w:rPr>
          <w:rFonts w:cs="Arial"/>
        </w:rPr>
        <w:t xml:space="preserve">, and are </w:t>
      </w:r>
      <w:r w:rsidR="00016540" w:rsidRPr="00080443">
        <w:rPr>
          <w:rFonts w:cs="Arial"/>
        </w:rPr>
        <w:t>leaders</w:t>
      </w:r>
      <w:r w:rsidRPr="00080443">
        <w:rPr>
          <w:rFonts w:cs="Arial"/>
        </w:rPr>
        <w:t xml:space="preserve"> in CCA design.</w:t>
      </w:r>
    </w:p>
    <w:p w14:paraId="197B0FE7" w14:textId="77777777" w:rsidR="00D90A45" w:rsidRPr="00080443" w:rsidRDefault="00D90A45" w:rsidP="00D90A45">
      <w:pPr>
        <w:rPr>
          <w:rFonts w:cs="Arial"/>
        </w:rPr>
      </w:pPr>
    </w:p>
    <w:p w14:paraId="211DDB19" w14:textId="77777777" w:rsidR="008A60B8" w:rsidRPr="00080443" w:rsidRDefault="008A60B8" w:rsidP="00D90A45">
      <w:pPr>
        <w:rPr>
          <w:rFonts w:cs="Arial"/>
        </w:rPr>
      </w:pPr>
      <w:r w:rsidRPr="00080443">
        <w:rPr>
          <w:rFonts w:cs="Arial"/>
        </w:rPr>
        <w:t xml:space="preserve">The ACMA has worked closely with Power Auctions </w:t>
      </w:r>
      <w:r w:rsidR="004D3507" w:rsidRPr="00080443">
        <w:rPr>
          <w:rFonts w:cs="Arial"/>
        </w:rPr>
        <w:t>to</w:t>
      </w:r>
      <w:r w:rsidRPr="00080443">
        <w:rPr>
          <w:rFonts w:cs="Arial"/>
        </w:rPr>
        <w:t xml:space="preserve"> develop the auction system and bidder support and training materials</w:t>
      </w:r>
      <w:r w:rsidR="004D3507" w:rsidRPr="00080443">
        <w:rPr>
          <w:rFonts w:cs="Arial"/>
        </w:rPr>
        <w:t xml:space="preserve"> so they</w:t>
      </w:r>
      <w:r w:rsidRPr="00080443">
        <w:rPr>
          <w:rFonts w:cs="Arial"/>
        </w:rPr>
        <w:t xml:space="preserve"> reflect the CCA procedures set out in the allocation determination. Power Auctions ha</w:t>
      </w:r>
      <w:r w:rsidR="004D3507" w:rsidRPr="00080443">
        <w:rPr>
          <w:rFonts w:cs="Arial"/>
        </w:rPr>
        <w:t>s</w:t>
      </w:r>
      <w:r w:rsidRPr="00080443">
        <w:rPr>
          <w:rFonts w:cs="Arial"/>
        </w:rPr>
        <w:t>, and will continue to be</w:t>
      </w:r>
      <w:r w:rsidR="004D3507" w:rsidRPr="00080443">
        <w:rPr>
          <w:rFonts w:cs="Arial"/>
        </w:rPr>
        <w:t>,</w:t>
      </w:r>
      <w:r w:rsidRPr="00080443">
        <w:rPr>
          <w:rFonts w:cs="Arial"/>
        </w:rPr>
        <w:t xml:space="preserve"> involved in the bidder training activities discussed </w:t>
      </w:r>
      <w:r w:rsidR="004D3507" w:rsidRPr="00080443">
        <w:rPr>
          <w:rFonts w:cs="Arial"/>
        </w:rPr>
        <w:t>at</w:t>
      </w:r>
      <w:r w:rsidRPr="00080443">
        <w:rPr>
          <w:rFonts w:cs="Arial"/>
        </w:rPr>
        <w:t xml:space="preserve"> 3.4 and will be present in the ACMA’s auction room during the live auction. </w:t>
      </w:r>
    </w:p>
    <w:p w14:paraId="116B212E" w14:textId="77777777" w:rsidR="00D90A45" w:rsidRPr="00080443" w:rsidRDefault="00D90A45" w:rsidP="00D90A45">
      <w:pPr>
        <w:rPr>
          <w:rFonts w:cs="Arial"/>
          <w:u w:val="single"/>
        </w:rPr>
      </w:pPr>
    </w:p>
    <w:p w14:paraId="55E4A60B" w14:textId="77777777" w:rsidR="008A60B8" w:rsidRPr="00080443" w:rsidRDefault="008A60B8" w:rsidP="00234088">
      <w:pPr>
        <w:pStyle w:val="Heading3"/>
        <w:numPr>
          <w:ilvl w:val="2"/>
          <w:numId w:val="13"/>
        </w:numPr>
      </w:pPr>
      <w:bookmarkStart w:id="118" w:name="_Toc335246277"/>
      <w:bookmarkStart w:id="119" w:name="_Toc343780486"/>
      <w:r w:rsidRPr="00080443">
        <w:t>Independent verification of results produced by the auction system</w:t>
      </w:r>
      <w:bookmarkEnd w:id="118"/>
      <w:bookmarkEnd w:id="119"/>
    </w:p>
    <w:p w14:paraId="3FC2E703" w14:textId="77777777" w:rsidR="008A60B8" w:rsidRPr="00080443" w:rsidRDefault="008A60B8" w:rsidP="00D90A45">
      <w:pPr>
        <w:rPr>
          <w:rFonts w:cs="Arial"/>
          <w:lang w:val="en-US"/>
        </w:rPr>
      </w:pPr>
      <w:r w:rsidRPr="00080443">
        <w:rPr>
          <w:rFonts w:cs="Arial"/>
          <w:lang w:val="en-US"/>
        </w:rPr>
        <w:t>The ACMA has engaged</w:t>
      </w:r>
      <w:r w:rsidR="004A0125" w:rsidRPr="00080443">
        <w:rPr>
          <w:rFonts w:cs="Arial"/>
          <w:lang w:val="en-US"/>
        </w:rPr>
        <w:t xml:space="preserve"> the </w:t>
      </w:r>
      <w:hyperlink r:id="rId40" w:history="1">
        <w:r w:rsidR="004A0125" w:rsidRPr="00080443">
          <w:rPr>
            <w:rStyle w:val="Hyperlink"/>
            <w:rFonts w:cs="Arial"/>
            <w:lang w:val="en-US"/>
          </w:rPr>
          <w:t>Smith Institute Ltd</w:t>
        </w:r>
      </w:hyperlink>
      <w:r w:rsidR="004A0125" w:rsidRPr="00080443">
        <w:rPr>
          <w:rFonts w:cs="Arial"/>
          <w:lang w:val="en-US"/>
        </w:rPr>
        <w:t xml:space="preserve"> </w:t>
      </w:r>
      <w:r w:rsidRPr="00080443">
        <w:rPr>
          <w:rFonts w:cs="Arial"/>
          <w:lang w:val="en-US"/>
        </w:rPr>
        <w:t xml:space="preserve">to provide auction outcome verification and related services for the auction. </w:t>
      </w:r>
      <w:r w:rsidR="004A0125" w:rsidRPr="00080443">
        <w:rPr>
          <w:rFonts w:cs="Arial"/>
          <w:lang w:val="en-US"/>
        </w:rPr>
        <w:t>The Smith Institute</w:t>
      </w:r>
      <w:r w:rsidRPr="00080443">
        <w:rPr>
          <w:rFonts w:cs="Arial"/>
          <w:lang w:val="en-US"/>
        </w:rPr>
        <w:t xml:space="preserve">, based in </w:t>
      </w:r>
      <w:r w:rsidR="004A0125" w:rsidRPr="00080443">
        <w:rPr>
          <w:rFonts w:cs="Arial"/>
          <w:lang w:val="en-US"/>
        </w:rPr>
        <w:t>the UK</w:t>
      </w:r>
      <w:r w:rsidRPr="00080443">
        <w:rPr>
          <w:rFonts w:cs="Arial"/>
          <w:lang w:val="en-US"/>
        </w:rPr>
        <w:t>, has extensive experience in supporting regulators in the auction of spectrum using the CCA format. Its work in this area includes provi</w:t>
      </w:r>
      <w:r w:rsidR="006D4548" w:rsidRPr="00080443">
        <w:rPr>
          <w:rFonts w:cs="Arial"/>
          <w:lang w:val="en-US"/>
        </w:rPr>
        <w:t>ding</w:t>
      </w:r>
      <w:r w:rsidRPr="00080443">
        <w:rPr>
          <w:rFonts w:cs="Arial"/>
          <w:lang w:val="en-US"/>
        </w:rPr>
        <w:t xml:space="preserve"> auction verification services to </w:t>
      </w:r>
      <w:r w:rsidR="004A0125" w:rsidRPr="00080443">
        <w:rPr>
          <w:rFonts w:cs="Arial"/>
          <w:lang w:val="en-US"/>
        </w:rPr>
        <w:t xml:space="preserve">the UK’s </w:t>
      </w:r>
      <w:proofErr w:type="spellStart"/>
      <w:r w:rsidRPr="00080443">
        <w:rPr>
          <w:rFonts w:cs="Arial"/>
          <w:lang w:val="en-US"/>
        </w:rPr>
        <w:t>Ofcom</w:t>
      </w:r>
      <w:proofErr w:type="spellEnd"/>
      <w:r w:rsidRPr="00080443">
        <w:rPr>
          <w:rFonts w:cs="Arial"/>
          <w:lang w:val="en-US"/>
        </w:rPr>
        <w:t>, BAKOM in Switzerland and RTR in Austria.</w:t>
      </w:r>
    </w:p>
    <w:p w14:paraId="332530F6" w14:textId="77777777" w:rsidR="00D90A45" w:rsidRPr="00080443" w:rsidRDefault="00D90A45" w:rsidP="00D90A45">
      <w:pPr>
        <w:rPr>
          <w:rFonts w:cs="Arial"/>
          <w:lang w:val="en-US"/>
        </w:rPr>
      </w:pPr>
    </w:p>
    <w:p w14:paraId="34D42329" w14:textId="77777777" w:rsidR="008A60B8" w:rsidRPr="00080443" w:rsidRDefault="008A60B8" w:rsidP="00D90A45">
      <w:pPr>
        <w:rPr>
          <w:rFonts w:cs="Arial"/>
          <w:lang w:val="en-US"/>
        </w:rPr>
      </w:pPr>
      <w:r w:rsidRPr="00080443">
        <w:rPr>
          <w:rFonts w:cs="Arial"/>
          <w:lang w:val="en-US"/>
        </w:rPr>
        <w:t>During the lead</w:t>
      </w:r>
      <w:r w:rsidR="006D4548" w:rsidRPr="00080443">
        <w:rPr>
          <w:rFonts w:cs="Arial"/>
          <w:lang w:val="en-US"/>
        </w:rPr>
        <w:t>-</w:t>
      </w:r>
      <w:r w:rsidRPr="00080443">
        <w:rPr>
          <w:rFonts w:cs="Arial"/>
          <w:lang w:val="en-US"/>
        </w:rPr>
        <w:t xml:space="preserve">up to the auction, </w:t>
      </w:r>
      <w:r w:rsidR="004A0125" w:rsidRPr="00080443">
        <w:rPr>
          <w:rFonts w:cs="Arial"/>
          <w:lang w:val="en-US"/>
        </w:rPr>
        <w:t>the Smith Institute</w:t>
      </w:r>
      <w:r w:rsidRPr="00080443">
        <w:rPr>
          <w:rFonts w:cs="Arial"/>
          <w:lang w:val="en-US"/>
        </w:rPr>
        <w:t xml:space="preserve"> will test the performance of the auction software designed by Power Auctions</w:t>
      </w:r>
      <w:r w:rsidR="00F84FFE" w:rsidRPr="00080443">
        <w:rPr>
          <w:rFonts w:cs="Arial"/>
          <w:lang w:val="en-US"/>
        </w:rPr>
        <w:t xml:space="preserve"> to </w:t>
      </w:r>
      <w:r w:rsidR="0069091A" w:rsidRPr="00080443">
        <w:rPr>
          <w:rFonts w:cs="Arial"/>
          <w:lang w:val="en-US"/>
        </w:rPr>
        <w:t xml:space="preserve">verify </w:t>
      </w:r>
      <w:r w:rsidR="00F84FFE" w:rsidRPr="00080443">
        <w:rPr>
          <w:rFonts w:cs="Arial"/>
          <w:lang w:val="en-US"/>
        </w:rPr>
        <w:t xml:space="preserve">that it </w:t>
      </w:r>
      <w:r w:rsidRPr="00080443">
        <w:rPr>
          <w:rFonts w:cs="Arial"/>
          <w:lang w:val="en-US"/>
        </w:rPr>
        <w:t xml:space="preserve">correctly implements the auction </w:t>
      </w:r>
      <w:r w:rsidR="00DE4C5F" w:rsidRPr="00080443">
        <w:rPr>
          <w:rFonts w:cs="Arial"/>
          <w:lang w:val="en-US"/>
        </w:rPr>
        <w:t xml:space="preserve">procedures </w:t>
      </w:r>
      <w:r w:rsidRPr="00080443">
        <w:rPr>
          <w:rFonts w:cs="Arial"/>
          <w:lang w:val="en-US"/>
        </w:rPr>
        <w:t>set out in the allocation determination</w:t>
      </w:r>
      <w:r w:rsidR="0003619F" w:rsidRPr="00080443">
        <w:rPr>
          <w:rFonts w:cs="Arial"/>
          <w:lang w:val="en-US"/>
        </w:rPr>
        <w:t xml:space="preserve">. </w:t>
      </w:r>
      <w:r w:rsidR="004A0125" w:rsidRPr="00080443">
        <w:rPr>
          <w:rFonts w:cs="Arial"/>
          <w:lang w:val="en-US"/>
        </w:rPr>
        <w:t>The Smith Institute</w:t>
      </w:r>
      <w:r w:rsidRPr="00080443">
        <w:rPr>
          <w:rFonts w:cs="Arial"/>
          <w:lang w:val="en-US"/>
        </w:rPr>
        <w:t xml:space="preserve"> will independently design its own </w:t>
      </w:r>
      <w:r w:rsidR="00F84FFE" w:rsidRPr="00080443">
        <w:rPr>
          <w:rFonts w:cs="Arial"/>
          <w:lang w:val="en-US"/>
        </w:rPr>
        <w:t xml:space="preserve">test cases and </w:t>
      </w:r>
      <w:r w:rsidR="0003619F" w:rsidRPr="00080443">
        <w:rPr>
          <w:rFonts w:cs="Arial"/>
          <w:lang w:val="en-US"/>
        </w:rPr>
        <w:t xml:space="preserve">methodology </w:t>
      </w:r>
      <w:r w:rsidRPr="00080443">
        <w:rPr>
          <w:rFonts w:cs="Arial"/>
          <w:lang w:val="en-US"/>
        </w:rPr>
        <w:t xml:space="preserve">for this purpose.  </w:t>
      </w:r>
    </w:p>
    <w:p w14:paraId="4955B4E9" w14:textId="77777777" w:rsidR="00D90A45" w:rsidRPr="00080443" w:rsidRDefault="00D90A45" w:rsidP="00D90A45">
      <w:pPr>
        <w:rPr>
          <w:rFonts w:cs="Arial"/>
          <w:lang w:val="en-US"/>
        </w:rPr>
      </w:pPr>
    </w:p>
    <w:p w14:paraId="780A2063" w14:textId="77777777" w:rsidR="00475F0E" w:rsidRPr="00080443" w:rsidRDefault="008A60B8" w:rsidP="00D90A45">
      <w:pPr>
        <w:rPr>
          <w:rFonts w:cs="Arial"/>
          <w:lang w:val="en-US"/>
        </w:rPr>
      </w:pPr>
      <w:r w:rsidRPr="00080443">
        <w:rPr>
          <w:rFonts w:cs="Arial"/>
          <w:lang w:val="en-US"/>
        </w:rPr>
        <w:t xml:space="preserve">For the auction itself, </w:t>
      </w:r>
      <w:r w:rsidR="004A0125" w:rsidRPr="00080443">
        <w:rPr>
          <w:rFonts w:cs="Arial"/>
          <w:lang w:val="en-US"/>
        </w:rPr>
        <w:t>the Smith Institute</w:t>
      </w:r>
      <w:r w:rsidRPr="00080443">
        <w:rPr>
          <w:rFonts w:cs="Arial"/>
          <w:lang w:val="en-US"/>
        </w:rPr>
        <w:t xml:space="preserve"> will </w:t>
      </w:r>
      <w:r w:rsidR="0003619F" w:rsidRPr="00080443">
        <w:rPr>
          <w:rFonts w:cs="Arial"/>
          <w:lang w:val="en-US"/>
        </w:rPr>
        <w:t xml:space="preserve">assess </w:t>
      </w:r>
      <w:r w:rsidRPr="00080443">
        <w:rPr>
          <w:rFonts w:cs="Arial"/>
          <w:lang w:val="en-US"/>
        </w:rPr>
        <w:t xml:space="preserve">the actual bid data to verify that the </w:t>
      </w:r>
      <w:r w:rsidR="0003619F" w:rsidRPr="00080443">
        <w:rPr>
          <w:rFonts w:cs="Arial"/>
          <w:lang w:val="en-US"/>
        </w:rPr>
        <w:t xml:space="preserve">results produced </w:t>
      </w:r>
      <w:r w:rsidRPr="00080443">
        <w:rPr>
          <w:rFonts w:cs="Arial"/>
          <w:lang w:val="en-US"/>
        </w:rPr>
        <w:t xml:space="preserve">by the auction software accord with the </w:t>
      </w:r>
      <w:r w:rsidR="00DE4C5F" w:rsidRPr="00080443">
        <w:rPr>
          <w:rFonts w:cs="Arial"/>
          <w:lang w:val="en-US"/>
        </w:rPr>
        <w:t xml:space="preserve">procedures </w:t>
      </w:r>
      <w:r w:rsidRPr="00080443">
        <w:rPr>
          <w:rFonts w:cs="Arial"/>
          <w:lang w:val="en-US"/>
        </w:rPr>
        <w:t>in the allocation determination.</w:t>
      </w:r>
      <w:r w:rsidR="00231F9E" w:rsidRPr="00080443">
        <w:rPr>
          <w:rFonts w:cs="Arial"/>
          <w:lang w:val="en-US"/>
        </w:rPr>
        <w:t xml:space="preserve"> </w:t>
      </w:r>
      <w:r w:rsidR="00475F0E" w:rsidRPr="00080443">
        <w:rPr>
          <w:rFonts w:cs="Arial"/>
          <w:lang w:val="en-US"/>
        </w:rPr>
        <w:t xml:space="preserve">Information about the timing of </w:t>
      </w:r>
      <w:r w:rsidR="00F528D3" w:rsidRPr="00080443">
        <w:rPr>
          <w:rFonts w:cs="Arial"/>
          <w:lang w:val="en-US"/>
        </w:rPr>
        <w:t xml:space="preserve">the </w:t>
      </w:r>
      <w:r w:rsidR="00475F0E" w:rsidRPr="00080443">
        <w:rPr>
          <w:rFonts w:cs="Arial"/>
          <w:lang w:val="en-US"/>
        </w:rPr>
        <w:t>verification process</w:t>
      </w:r>
      <w:r w:rsidR="00231F9E" w:rsidRPr="00080443">
        <w:rPr>
          <w:rFonts w:cs="Arial"/>
          <w:lang w:val="en-US"/>
        </w:rPr>
        <w:t xml:space="preserve">, and </w:t>
      </w:r>
      <w:r w:rsidR="00475F0E" w:rsidRPr="00080443">
        <w:rPr>
          <w:rFonts w:cs="Arial"/>
          <w:lang w:val="en-US"/>
        </w:rPr>
        <w:t xml:space="preserve">the </w:t>
      </w:r>
      <w:r w:rsidR="00CE5182" w:rsidRPr="00080443">
        <w:rPr>
          <w:rFonts w:cs="Arial"/>
          <w:lang w:val="en-US"/>
        </w:rPr>
        <w:t>release</w:t>
      </w:r>
      <w:r w:rsidR="00475F0E" w:rsidRPr="00080443">
        <w:rPr>
          <w:rFonts w:cs="Arial"/>
          <w:lang w:val="en-US"/>
        </w:rPr>
        <w:t xml:space="preserve"> of </w:t>
      </w:r>
      <w:r w:rsidR="00F528D3" w:rsidRPr="00080443">
        <w:rPr>
          <w:rFonts w:cs="Arial"/>
          <w:lang w:val="en-US"/>
        </w:rPr>
        <w:t xml:space="preserve">its </w:t>
      </w:r>
      <w:r w:rsidR="00231F9E" w:rsidRPr="00080443">
        <w:rPr>
          <w:rFonts w:cs="Arial"/>
          <w:lang w:val="en-US"/>
        </w:rPr>
        <w:t xml:space="preserve">outcome, is provided </w:t>
      </w:r>
      <w:r w:rsidR="00A027C8" w:rsidRPr="00080443">
        <w:rPr>
          <w:rFonts w:cs="Arial"/>
          <w:lang w:val="en-US"/>
        </w:rPr>
        <w:t>at 4.5</w:t>
      </w:r>
      <w:r w:rsidR="00231F9E" w:rsidRPr="00080443">
        <w:rPr>
          <w:rFonts w:cs="Arial"/>
          <w:lang w:val="en-US"/>
        </w:rPr>
        <w:t>.</w:t>
      </w:r>
      <w:r w:rsidR="00475F0E" w:rsidRPr="00080443">
        <w:rPr>
          <w:rFonts w:cs="Arial"/>
          <w:lang w:val="en-US"/>
        </w:rPr>
        <w:t xml:space="preserve">  </w:t>
      </w:r>
    </w:p>
    <w:p w14:paraId="37897CB0" w14:textId="77777777" w:rsidR="00D90A45" w:rsidRPr="00080443" w:rsidRDefault="00D90A45" w:rsidP="00D90A45">
      <w:pPr>
        <w:rPr>
          <w:rFonts w:cs="Arial"/>
          <w:lang w:val="en-US"/>
        </w:rPr>
      </w:pPr>
    </w:p>
    <w:p w14:paraId="30813631" w14:textId="77777777" w:rsidR="008A60B8" w:rsidRPr="00080443" w:rsidRDefault="008A60B8" w:rsidP="00234088">
      <w:pPr>
        <w:pStyle w:val="Heading2"/>
        <w:numPr>
          <w:ilvl w:val="1"/>
          <w:numId w:val="13"/>
        </w:numPr>
        <w:ind w:hanging="792"/>
      </w:pPr>
      <w:bookmarkStart w:id="120" w:name="_Toc335246278"/>
      <w:bookmarkStart w:id="121" w:name="_Toc343780487"/>
      <w:r w:rsidRPr="00080443">
        <w:t>Bidder support and training</w:t>
      </w:r>
      <w:bookmarkEnd w:id="120"/>
      <w:bookmarkEnd w:id="121"/>
    </w:p>
    <w:p w14:paraId="6808CFDD" w14:textId="77777777" w:rsidR="008A60B8" w:rsidRPr="00080443" w:rsidRDefault="008A60B8" w:rsidP="00D90A45">
      <w:pPr>
        <w:spacing w:after="80"/>
        <w:rPr>
          <w:rFonts w:cs="Arial"/>
        </w:rPr>
      </w:pPr>
      <w:r w:rsidRPr="00080443">
        <w:rPr>
          <w:rFonts w:cs="Arial"/>
        </w:rPr>
        <w:t xml:space="preserve">In addition to this </w:t>
      </w:r>
      <w:r w:rsidR="00F916B7" w:rsidRPr="00080443">
        <w:rPr>
          <w:rFonts w:cs="Arial"/>
          <w:i/>
        </w:rPr>
        <w:t>A</w:t>
      </w:r>
      <w:r w:rsidR="0078123F" w:rsidRPr="00080443">
        <w:rPr>
          <w:rFonts w:cs="Arial"/>
          <w:i/>
        </w:rPr>
        <w:t>uction guide</w:t>
      </w:r>
      <w:r w:rsidRPr="00080443">
        <w:rPr>
          <w:rFonts w:cs="Arial"/>
        </w:rPr>
        <w:t xml:space="preserve">, and the instruments and explanatory statements attached, the ACMA has published a range of information to inform prospective bidders about the CCA format and the auction procedures more broadly. Information published to date includes: </w:t>
      </w:r>
    </w:p>
    <w:p w14:paraId="351B37DD" w14:textId="77777777" w:rsidR="008A60B8" w:rsidRPr="00080443" w:rsidRDefault="00CD2C67" w:rsidP="006D4548">
      <w:pPr>
        <w:pStyle w:val="ListBullet"/>
        <w:rPr>
          <w:rFonts w:cs="Arial"/>
        </w:rPr>
      </w:pPr>
      <w:r w:rsidRPr="00080443">
        <w:rPr>
          <w:rFonts w:cs="Arial"/>
          <w:b/>
        </w:rPr>
        <w:t>CCA workshops</w:t>
      </w:r>
      <w:r w:rsidR="006D4548" w:rsidRPr="00080443">
        <w:rPr>
          <w:rFonts w:cs="Arial"/>
        </w:rPr>
        <w:t>—</w:t>
      </w:r>
      <w:r w:rsidR="00890986" w:rsidRPr="00080443">
        <w:rPr>
          <w:rFonts w:cs="Arial"/>
        </w:rPr>
        <w:t>t</w:t>
      </w:r>
      <w:r w:rsidR="008A60B8" w:rsidRPr="00080443">
        <w:rPr>
          <w:rFonts w:cs="Arial"/>
        </w:rPr>
        <w:t xml:space="preserve">he day-long workshops, held in Melbourne and Sydney in January 2012, included a series of presentations by the ACMA and Power Auctions about the CCA format and procedures, and an opportunity to ask questions. </w:t>
      </w:r>
      <w:r w:rsidR="008A60B8" w:rsidRPr="00080443">
        <w:rPr>
          <w:rFonts w:cs="Arial"/>
        </w:rPr>
        <w:lastRenderedPageBreak/>
        <w:t xml:space="preserve">Copies of workshop presentations, and responses to questions raised at the workshops, are available on the ACMA’s </w:t>
      </w:r>
      <w:r w:rsidRPr="00080443">
        <w:rPr>
          <w:rFonts w:cs="Arial"/>
          <w:i/>
        </w:rPr>
        <w:t>engage</w:t>
      </w:r>
      <w:r w:rsidR="008A60B8" w:rsidRPr="00080443">
        <w:rPr>
          <w:rFonts w:cs="Arial"/>
        </w:rPr>
        <w:t xml:space="preserve"> website.</w:t>
      </w:r>
      <w:r w:rsidR="008A60B8" w:rsidRPr="00080443">
        <w:rPr>
          <w:rStyle w:val="FootnoteReference"/>
          <w:rFonts w:cs="Arial"/>
        </w:rPr>
        <w:footnoteReference w:id="32"/>
      </w:r>
      <w:r w:rsidR="008A60B8" w:rsidRPr="00080443">
        <w:rPr>
          <w:rFonts w:cs="Arial"/>
        </w:rPr>
        <w:t xml:space="preserve"> </w:t>
      </w:r>
    </w:p>
    <w:p w14:paraId="703AE64F" w14:textId="77777777" w:rsidR="008A60B8" w:rsidRPr="00080443" w:rsidRDefault="00CD2C67" w:rsidP="00D90A45">
      <w:pPr>
        <w:pStyle w:val="ListBullet"/>
        <w:spacing w:after="240"/>
        <w:rPr>
          <w:rFonts w:cs="Arial"/>
        </w:rPr>
      </w:pPr>
      <w:r w:rsidRPr="00080443">
        <w:rPr>
          <w:rFonts w:cs="Arial"/>
          <w:b/>
        </w:rPr>
        <w:t>Briefing on draft legislative instruments</w:t>
      </w:r>
      <w:r w:rsidR="006D4548" w:rsidRPr="00080443">
        <w:rPr>
          <w:rFonts w:cs="Arial"/>
        </w:rPr>
        <w:t>—</w:t>
      </w:r>
      <w:r w:rsidR="00890986" w:rsidRPr="00080443">
        <w:rPr>
          <w:rFonts w:cs="Arial"/>
        </w:rPr>
        <w:t>t</w:t>
      </w:r>
      <w:r w:rsidR="008A60B8" w:rsidRPr="00080443">
        <w:rPr>
          <w:rFonts w:cs="Arial"/>
        </w:rPr>
        <w:t>he 90</w:t>
      </w:r>
      <w:r w:rsidR="006D4548" w:rsidRPr="00080443">
        <w:rPr>
          <w:rFonts w:cs="Arial"/>
        </w:rPr>
        <w:t>-</w:t>
      </w:r>
      <w:r w:rsidR="008A60B8" w:rsidRPr="00080443">
        <w:rPr>
          <w:rFonts w:cs="Arial"/>
        </w:rPr>
        <w:t xml:space="preserve">minute briefing, held online in May 2012, provided an overview of the draft legislative instruments for the auction that were released for comment on 11 April 2012, and an opportunity to ask questions. A copy of the ACMA’s presentation is available on </w:t>
      </w:r>
      <w:r w:rsidR="006D4548" w:rsidRPr="00080443">
        <w:rPr>
          <w:rFonts w:cs="Arial"/>
        </w:rPr>
        <w:t xml:space="preserve">its </w:t>
      </w:r>
      <w:r w:rsidRPr="00080443">
        <w:rPr>
          <w:rFonts w:cs="Arial"/>
          <w:i/>
        </w:rPr>
        <w:t>engage</w:t>
      </w:r>
      <w:r w:rsidR="008A60B8" w:rsidRPr="00080443">
        <w:rPr>
          <w:rFonts w:cs="Arial"/>
        </w:rPr>
        <w:t xml:space="preserve"> website.</w:t>
      </w:r>
      <w:r w:rsidR="008A60B8" w:rsidRPr="00080443">
        <w:rPr>
          <w:rStyle w:val="FootnoteReference"/>
          <w:rFonts w:cs="Arial"/>
        </w:rPr>
        <w:footnoteReference w:id="33"/>
      </w:r>
    </w:p>
    <w:p w14:paraId="1EA25A6A" w14:textId="77777777" w:rsidR="008A60B8" w:rsidRPr="00080443" w:rsidRDefault="008A60B8" w:rsidP="00D90A45">
      <w:pPr>
        <w:spacing w:after="80"/>
        <w:rPr>
          <w:rFonts w:cs="Arial"/>
        </w:rPr>
      </w:pPr>
      <w:r w:rsidRPr="00080443">
        <w:rPr>
          <w:rFonts w:cs="Arial"/>
        </w:rPr>
        <w:t xml:space="preserve">Further information will be made available </w:t>
      </w:r>
      <w:r w:rsidR="006D4548" w:rsidRPr="00080443">
        <w:rPr>
          <w:rFonts w:cs="Arial"/>
        </w:rPr>
        <w:t xml:space="preserve">in </w:t>
      </w:r>
      <w:r w:rsidRPr="00080443">
        <w:rPr>
          <w:rFonts w:cs="Arial"/>
        </w:rPr>
        <w:t xml:space="preserve">the lead-up to the auction. This will include: </w:t>
      </w:r>
    </w:p>
    <w:p w14:paraId="557355C5" w14:textId="77777777" w:rsidR="008A60B8" w:rsidRPr="00080443" w:rsidRDefault="00CD2C67" w:rsidP="00D90A45">
      <w:pPr>
        <w:pStyle w:val="ListBullet"/>
        <w:rPr>
          <w:rFonts w:cs="Arial"/>
          <w:i/>
        </w:rPr>
      </w:pPr>
      <w:r w:rsidRPr="00080443">
        <w:rPr>
          <w:rFonts w:cs="Arial"/>
          <w:b/>
        </w:rPr>
        <w:t>Auction system user manual</w:t>
      </w:r>
      <w:r w:rsidR="006D4548" w:rsidRPr="00080443">
        <w:rPr>
          <w:rFonts w:cs="Arial"/>
          <w:b/>
          <w:i/>
        </w:rPr>
        <w:t>—</w:t>
      </w:r>
      <w:r w:rsidR="00890986" w:rsidRPr="00080443">
        <w:rPr>
          <w:rFonts w:cs="Arial"/>
        </w:rPr>
        <w:t>t</w:t>
      </w:r>
      <w:r w:rsidR="008A60B8" w:rsidRPr="00080443">
        <w:rPr>
          <w:rFonts w:cs="Arial"/>
        </w:rPr>
        <w:t>o be made available to registered bidders after the eligibility deadline (see 3.</w:t>
      </w:r>
      <w:r w:rsidR="00050D13" w:rsidRPr="00080443">
        <w:rPr>
          <w:rFonts w:cs="Arial"/>
        </w:rPr>
        <w:t>3</w:t>
      </w:r>
      <w:r w:rsidR="008A60B8" w:rsidRPr="00080443">
        <w:rPr>
          <w:rFonts w:cs="Arial"/>
        </w:rPr>
        <w:t>.1).</w:t>
      </w:r>
      <w:r w:rsidR="008A60B8" w:rsidRPr="00080443">
        <w:rPr>
          <w:rFonts w:cs="Arial"/>
          <w:b/>
          <w:i/>
        </w:rPr>
        <w:t xml:space="preserve">  </w:t>
      </w:r>
    </w:p>
    <w:p w14:paraId="44AE486C" w14:textId="77777777" w:rsidR="008A60B8" w:rsidRPr="00080443" w:rsidRDefault="00CD2C67" w:rsidP="00D90A45">
      <w:pPr>
        <w:pStyle w:val="ListBullet"/>
        <w:rPr>
          <w:rFonts w:cs="Arial"/>
        </w:rPr>
      </w:pPr>
      <w:r w:rsidRPr="00080443">
        <w:rPr>
          <w:rFonts w:cs="Arial"/>
          <w:b/>
        </w:rPr>
        <w:t>Two mock auctions</w:t>
      </w:r>
      <w:r w:rsidR="006D4548" w:rsidRPr="00080443">
        <w:rPr>
          <w:rFonts w:cs="Arial"/>
        </w:rPr>
        <w:t>—</w:t>
      </w:r>
      <w:r w:rsidR="00427DFB" w:rsidRPr="00080443">
        <w:rPr>
          <w:rFonts w:cs="Arial"/>
        </w:rPr>
        <w:t xml:space="preserve">expected </w:t>
      </w:r>
      <w:r w:rsidR="00890986" w:rsidRPr="00080443">
        <w:rPr>
          <w:rFonts w:cs="Arial"/>
        </w:rPr>
        <w:t>t</w:t>
      </w:r>
      <w:r w:rsidR="00582812" w:rsidRPr="00080443">
        <w:rPr>
          <w:rFonts w:cs="Arial"/>
        </w:rPr>
        <w:t>o</w:t>
      </w:r>
      <w:r w:rsidR="006D4548" w:rsidRPr="00080443">
        <w:rPr>
          <w:rFonts w:cs="Arial"/>
        </w:rPr>
        <w:t xml:space="preserve"> </w:t>
      </w:r>
      <w:r w:rsidR="008A60B8" w:rsidRPr="00080443">
        <w:rPr>
          <w:rFonts w:cs="Arial"/>
        </w:rPr>
        <w:t xml:space="preserve">be held in March </w:t>
      </w:r>
      <w:r w:rsidR="007C4FDA" w:rsidRPr="00080443">
        <w:rPr>
          <w:rFonts w:cs="Arial"/>
        </w:rPr>
        <w:t xml:space="preserve">and April </w:t>
      </w:r>
      <w:r w:rsidR="008A60B8" w:rsidRPr="00080443">
        <w:rPr>
          <w:rFonts w:cs="Arial"/>
        </w:rPr>
        <w:t xml:space="preserve">2013. The mock (trial) auctions will </w:t>
      </w:r>
      <w:r w:rsidR="006D4548" w:rsidRPr="00080443">
        <w:rPr>
          <w:rFonts w:cs="Arial"/>
        </w:rPr>
        <w:t xml:space="preserve">give </w:t>
      </w:r>
      <w:r w:rsidR="008A60B8" w:rsidRPr="00080443">
        <w:rPr>
          <w:rFonts w:cs="Arial"/>
        </w:rPr>
        <w:t xml:space="preserve">prospective bidders </w:t>
      </w:r>
      <w:r w:rsidR="00582812" w:rsidRPr="00080443">
        <w:rPr>
          <w:rFonts w:cs="Arial"/>
        </w:rPr>
        <w:t>the</w:t>
      </w:r>
      <w:r w:rsidR="008A60B8" w:rsidRPr="00080443">
        <w:rPr>
          <w:rFonts w:cs="Arial"/>
        </w:rPr>
        <w:t xml:space="preserve"> opportunity to practi</w:t>
      </w:r>
      <w:r w:rsidR="00582812" w:rsidRPr="00080443">
        <w:rPr>
          <w:rFonts w:cs="Arial"/>
        </w:rPr>
        <w:t>s</w:t>
      </w:r>
      <w:r w:rsidR="008A60B8" w:rsidRPr="00080443">
        <w:rPr>
          <w:rFonts w:cs="Arial"/>
        </w:rPr>
        <w:t>e using the auction system, from their own location, in a simulated auction environment. The mock auctions will run through the entire auction process (a number of clock rounds, a supplementary round and a number of assignment rounds) under a compressed schedule</w:t>
      </w:r>
      <w:r w:rsidR="00582812" w:rsidRPr="00080443">
        <w:rPr>
          <w:rFonts w:cs="Arial"/>
        </w:rPr>
        <w:t>—</w:t>
      </w:r>
      <w:r w:rsidR="008A60B8" w:rsidRPr="00080443">
        <w:rPr>
          <w:rFonts w:cs="Arial"/>
        </w:rPr>
        <w:t>that is, the duration of rounds will be shorter, and the number of rounds fewer, than will be likely in the actual auction. The mock auctions will use fictitious lot ratings and reserve prices, and bidders will be free to bid as they wish. However, the ACMA may (</w:t>
      </w:r>
      <w:r w:rsidR="00582812" w:rsidRPr="00080443">
        <w:rPr>
          <w:rFonts w:cs="Arial"/>
        </w:rPr>
        <w:t>for example</w:t>
      </w:r>
      <w:r w:rsidR="008A60B8" w:rsidRPr="00080443">
        <w:rPr>
          <w:rFonts w:cs="Arial"/>
        </w:rPr>
        <w:t>, as a clearly identified participating bidder) intervene as appropriate to ensure the mock auctions progress in a timely and comprehensive manner. It is expected that each mock auction will span a full day.</w:t>
      </w:r>
    </w:p>
    <w:p w14:paraId="6D1D399D" w14:textId="77777777" w:rsidR="008A60B8" w:rsidRPr="00080443" w:rsidRDefault="00CD2C67" w:rsidP="00D90A45">
      <w:pPr>
        <w:pStyle w:val="ListBullet"/>
        <w:rPr>
          <w:rFonts w:cs="Arial"/>
        </w:rPr>
      </w:pPr>
      <w:r w:rsidRPr="00080443">
        <w:rPr>
          <w:rFonts w:cs="Arial"/>
          <w:b/>
        </w:rPr>
        <w:t>A screencast demonstration</w:t>
      </w:r>
      <w:r w:rsidR="00582812" w:rsidRPr="00080443">
        <w:rPr>
          <w:rFonts w:cs="Arial"/>
        </w:rPr>
        <w:t>—</w:t>
      </w:r>
      <w:r w:rsidR="00890986" w:rsidRPr="00080443">
        <w:rPr>
          <w:rFonts w:cs="Arial"/>
        </w:rPr>
        <w:t>t</w:t>
      </w:r>
      <w:r w:rsidR="008A60B8" w:rsidRPr="00080443">
        <w:rPr>
          <w:rFonts w:cs="Arial"/>
        </w:rPr>
        <w:t xml:space="preserve">o be made available </w:t>
      </w:r>
      <w:r w:rsidR="00AE6075" w:rsidRPr="00080443">
        <w:rPr>
          <w:rFonts w:cs="Arial"/>
        </w:rPr>
        <w:t xml:space="preserve">to applicants </w:t>
      </w:r>
      <w:r w:rsidR="008A60B8" w:rsidRPr="00080443">
        <w:rPr>
          <w:rFonts w:cs="Arial"/>
        </w:rPr>
        <w:t>prior to the first mock auction as an interactive user guide to the auction system. The screencast demonstration will provide examples of auction system screens, and animated demonstrations of how to use the system (</w:t>
      </w:r>
      <w:r w:rsidR="00582812" w:rsidRPr="00080443">
        <w:rPr>
          <w:rFonts w:cs="Arial"/>
        </w:rPr>
        <w:t>for example,</w:t>
      </w:r>
      <w:r w:rsidR="008A60B8" w:rsidRPr="00080443">
        <w:rPr>
          <w:rFonts w:cs="Arial"/>
        </w:rPr>
        <w:t xml:space="preserve"> plac</w:t>
      </w:r>
      <w:r w:rsidR="00582812" w:rsidRPr="00080443">
        <w:rPr>
          <w:rFonts w:cs="Arial"/>
        </w:rPr>
        <w:t>ing</w:t>
      </w:r>
      <w:r w:rsidR="008A60B8" w:rsidRPr="00080443">
        <w:rPr>
          <w:rFonts w:cs="Arial"/>
        </w:rPr>
        <w:t xml:space="preserve"> bids in each round, view</w:t>
      </w:r>
      <w:r w:rsidR="00582812" w:rsidRPr="00080443">
        <w:rPr>
          <w:rFonts w:cs="Arial"/>
        </w:rPr>
        <w:t>ing</w:t>
      </w:r>
      <w:r w:rsidR="008A60B8" w:rsidRPr="00080443">
        <w:rPr>
          <w:rFonts w:cs="Arial"/>
        </w:rPr>
        <w:t xml:space="preserve"> round results or submit</w:t>
      </w:r>
      <w:r w:rsidR="00582812" w:rsidRPr="00080443">
        <w:rPr>
          <w:rFonts w:cs="Arial"/>
        </w:rPr>
        <w:t>ting</w:t>
      </w:r>
      <w:r w:rsidR="008A60B8" w:rsidRPr="00080443">
        <w:rPr>
          <w:rFonts w:cs="Arial"/>
        </w:rPr>
        <w:t xml:space="preserve"> a query to the auction manager). </w:t>
      </w:r>
    </w:p>
    <w:p w14:paraId="153828D5" w14:textId="77777777" w:rsidR="008A60B8" w:rsidRPr="00080443" w:rsidRDefault="00CD2C67" w:rsidP="00D90A45">
      <w:pPr>
        <w:pStyle w:val="ListBullet"/>
        <w:spacing w:after="240"/>
        <w:rPr>
          <w:rFonts w:cs="Arial"/>
        </w:rPr>
      </w:pPr>
      <w:r w:rsidRPr="00080443">
        <w:rPr>
          <w:rFonts w:cs="Arial"/>
          <w:b/>
        </w:rPr>
        <w:t>A bidder tutorial</w:t>
      </w:r>
      <w:r w:rsidR="00582812" w:rsidRPr="00080443">
        <w:rPr>
          <w:rFonts w:cs="Arial"/>
        </w:rPr>
        <w:t>—</w:t>
      </w:r>
      <w:r w:rsidR="00890986" w:rsidRPr="00080443">
        <w:rPr>
          <w:rFonts w:cs="Arial"/>
        </w:rPr>
        <w:t>t</w:t>
      </w:r>
      <w:r w:rsidR="008A60B8" w:rsidRPr="00080443">
        <w:rPr>
          <w:rFonts w:cs="Arial"/>
        </w:rPr>
        <w:t xml:space="preserve">o be made available </w:t>
      </w:r>
      <w:r w:rsidR="00AE6075" w:rsidRPr="00080443">
        <w:rPr>
          <w:rFonts w:cs="Arial"/>
        </w:rPr>
        <w:t xml:space="preserve">to applicants </w:t>
      </w:r>
      <w:r w:rsidR="008A60B8" w:rsidRPr="00080443">
        <w:rPr>
          <w:rFonts w:cs="Arial"/>
        </w:rPr>
        <w:t xml:space="preserve">prior to the first mock auction as a short step-by-step guide to the auction system, to supplement the more detailed user manual. The tutorial will </w:t>
      </w:r>
      <w:r w:rsidR="00582812" w:rsidRPr="00080443">
        <w:rPr>
          <w:rFonts w:cs="Arial"/>
        </w:rPr>
        <w:t xml:space="preserve">give </w:t>
      </w:r>
      <w:r w:rsidR="008A60B8" w:rsidRPr="00080443">
        <w:rPr>
          <w:rFonts w:cs="Arial"/>
        </w:rPr>
        <w:t>prospective bidders who may be less familiar with the CCA format concise, reader-friendly instructions about how to perform basic system functions (</w:t>
      </w:r>
      <w:r w:rsidR="00582812" w:rsidRPr="00080443">
        <w:rPr>
          <w:rFonts w:cs="Arial"/>
        </w:rPr>
        <w:t>for example</w:t>
      </w:r>
      <w:r w:rsidR="008A60B8" w:rsidRPr="00080443">
        <w:rPr>
          <w:rFonts w:cs="Arial"/>
        </w:rPr>
        <w:t xml:space="preserve">, place bids) during the mock auctions. </w:t>
      </w:r>
    </w:p>
    <w:p w14:paraId="26834354" w14:textId="77777777" w:rsidR="00BA2BB3" w:rsidRPr="00080443" w:rsidRDefault="008A60B8" w:rsidP="00BA2BB3">
      <w:pPr>
        <w:rPr>
          <w:rFonts w:cs="Arial"/>
        </w:rPr>
      </w:pPr>
      <w:r w:rsidRPr="00080443">
        <w:rPr>
          <w:rFonts w:cs="Arial"/>
        </w:rPr>
        <w:t>Announcements about the release of this information</w:t>
      </w:r>
      <w:r w:rsidR="00D41559" w:rsidRPr="00080443">
        <w:rPr>
          <w:rFonts w:cs="Arial"/>
        </w:rPr>
        <w:t>, including the final dates for the mock auctions,</w:t>
      </w:r>
      <w:r w:rsidRPr="00080443">
        <w:rPr>
          <w:rFonts w:cs="Arial"/>
        </w:rPr>
        <w:t xml:space="preserve"> will be made </w:t>
      </w:r>
      <w:r w:rsidR="009859A4" w:rsidRPr="00080443">
        <w:rPr>
          <w:rFonts w:cs="Arial"/>
        </w:rPr>
        <w:t>during the lead-up to the auction through the sources listed at 6.1</w:t>
      </w:r>
      <w:r w:rsidR="0069091A" w:rsidRPr="00080443">
        <w:rPr>
          <w:rFonts w:cs="Arial"/>
        </w:rPr>
        <w:t>. It is the responsibility of applicants</w:t>
      </w:r>
      <w:r w:rsidR="00BA2BB3" w:rsidRPr="00080443">
        <w:rPr>
          <w:rFonts w:cs="Arial"/>
        </w:rPr>
        <w:t xml:space="preserve"> and registered bidders to ensure that they review those sources regularly in order to receive all such information for the purposes of preparing for the auction.</w:t>
      </w:r>
    </w:p>
    <w:p w14:paraId="14BAC017" w14:textId="77777777" w:rsidR="00BA2BB3" w:rsidRPr="00080443" w:rsidRDefault="00BA2BB3" w:rsidP="00D90A45">
      <w:pPr>
        <w:rPr>
          <w:rFonts w:cs="Arial"/>
        </w:rPr>
      </w:pPr>
    </w:p>
    <w:p w14:paraId="5B67EC46" w14:textId="77777777" w:rsidR="008A60B8" w:rsidRPr="00080443" w:rsidRDefault="00C579CE" w:rsidP="00234088">
      <w:pPr>
        <w:pStyle w:val="Heading1"/>
        <w:numPr>
          <w:ilvl w:val="0"/>
          <w:numId w:val="13"/>
        </w:numPr>
      </w:pPr>
      <w:bookmarkStart w:id="122" w:name="_Toc335246279"/>
      <w:bookmarkStart w:id="123" w:name="_Toc343780488"/>
      <w:r w:rsidRPr="00080443">
        <w:lastRenderedPageBreak/>
        <w:t>How do I participate in the auction?</w:t>
      </w:r>
      <w:bookmarkEnd w:id="122"/>
      <w:bookmarkEnd w:id="123"/>
    </w:p>
    <w:p w14:paraId="3CE022EE" w14:textId="77777777" w:rsidR="00C579CE" w:rsidRPr="00080443" w:rsidRDefault="00C579CE" w:rsidP="00C579CE">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color w:val="000000" w:themeColor="text1"/>
        </w:rPr>
      </w:pPr>
    </w:p>
    <w:p w14:paraId="7DA8D4B5" w14:textId="77777777" w:rsidR="00C579CE" w:rsidRPr="00080443" w:rsidRDefault="00C579CE" w:rsidP="00C579CE">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color w:val="000000" w:themeColor="text1"/>
        </w:rPr>
      </w:pPr>
      <w:r w:rsidRPr="00080443">
        <w:rPr>
          <w:rFonts w:cs="Arial"/>
          <w:b/>
          <w:color w:val="000000" w:themeColor="text1"/>
        </w:rPr>
        <w:t xml:space="preserve">On the basis of the auction procedures discussed in Chapter 3, this chapter provides practical information to guide participants through the auction process. It includes information about: </w:t>
      </w:r>
    </w:p>
    <w:p w14:paraId="50F51233" w14:textId="77777777" w:rsidR="00C579CE" w:rsidRPr="00080443" w:rsidRDefault="00C579CE" w:rsidP="00C579CE">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color w:val="000000" w:themeColor="text1"/>
        </w:rPr>
      </w:pPr>
      <w:r w:rsidRPr="00080443">
        <w:rPr>
          <w:rFonts w:cs="Arial"/>
          <w:b/>
          <w:color w:val="000000" w:themeColor="text1"/>
        </w:rPr>
        <w:t>steps that should be taken before applying to register as a bidder</w:t>
      </w:r>
    </w:p>
    <w:p w14:paraId="64C7FE79" w14:textId="77777777" w:rsidR="00C579CE" w:rsidRPr="00080443" w:rsidRDefault="00C579CE" w:rsidP="00C579CE">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color w:val="000000" w:themeColor="text1"/>
        </w:rPr>
      </w:pPr>
      <w:r w:rsidRPr="00080443">
        <w:rPr>
          <w:rFonts w:cs="Arial"/>
          <w:b/>
          <w:color w:val="000000" w:themeColor="text1"/>
        </w:rPr>
        <w:t>the bidder registration process – including relevant forms, payments and deadlines</w:t>
      </w:r>
    </w:p>
    <w:p w14:paraId="677A60E4" w14:textId="77777777" w:rsidR="00C579CE" w:rsidRPr="00080443" w:rsidRDefault="00C579CE" w:rsidP="00C579CE">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color w:val="000000" w:themeColor="text1"/>
        </w:rPr>
      </w:pPr>
      <w:r w:rsidRPr="00080443">
        <w:rPr>
          <w:rFonts w:cs="Arial"/>
          <w:b/>
          <w:color w:val="000000" w:themeColor="text1"/>
        </w:rPr>
        <w:t xml:space="preserve">material the ACMA will provide to registered bidders after the eligibility deadline to help them access and use </w:t>
      </w:r>
      <w:r w:rsidR="00533298" w:rsidRPr="00080443">
        <w:rPr>
          <w:rFonts w:cs="Arial"/>
          <w:b/>
          <w:color w:val="000000" w:themeColor="text1"/>
        </w:rPr>
        <w:t xml:space="preserve">the </w:t>
      </w:r>
      <w:r w:rsidRPr="00080443">
        <w:rPr>
          <w:rFonts w:cs="Arial"/>
          <w:b/>
          <w:color w:val="000000" w:themeColor="text1"/>
        </w:rPr>
        <w:t>auction system</w:t>
      </w:r>
    </w:p>
    <w:p w14:paraId="5CE3EB1C" w14:textId="77777777" w:rsidR="00C579CE" w:rsidRPr="00080443" w:rsidRDefault="00C579CE" w:rsidP="00C579CE">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color w:val="000000" w:themeColor="text1"/>
        </w:rPr>
      </w:pPr>
      <w:r w:rsidRPr="00080443">
        <w:rPr>
          <w:rFonts w:cs="Arial"/>
          <w:b/>
          <w:color w:val="000000" w:themeColor="text1"/>
        </w:rPr>
        <w:t>the announcement of round schedules and results during the auction</w:t>
      </w:r>
    </w:p>
    <w:p w14:paraId="2EBF7AAC" w14:textId="77777777" w:rsidR="00C579CE" w:rsidRPr="00080443" w:rsidRDefault="00C579CE" w:rsidP="00C579CE">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color w:val="000000" w:themeColor="text1"/>
        </w:rPr>
      </w:pPr>
      <w:r w:rsidRPr="00080443">
        <w:rPr>
          <w:rFonts w:cs="Arial"/>
          <w:b/>
          <w:color w:val="000000" w:themeColor="text1"/>
        </w:rPr>
        <w:t>post-auction processes.</w:t>
      </w:r>
    </w:p>
    <w:p w14:paraId="02D1E8BD" w14:textId="77777777" w:rsidR="00C579CE" w:rsidRPr="00080443" w:rsidRDefault="00C579CE" w:rsidP="00C579CE">
      <w:pPr>
        <w:pStyle w:val="ListBullet"/>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color w:val="000000" w:themeColor="text1"/>
        </w:rPr>
      </w:pPr>
    </w:p>
    <w:p w14:paraId="49DA3C61" w14:textId="77777777" w:rsidR="00C579CE" w:rsidRPr="00080443" w:rsidRDefault="00C579CE" w:rsidP="00C579CE">
      <w:pPr>
        <w:spacing w:before="80" w:after="120"/>
        <w:rPr>
          <w:rFonts w:cs="Arial"/>
          <w:highlight w:val="yellow"/>
        </w:rPr>
      </w:pPr>
    </w:p>
    <w:p w14:paraId="544B250A" w14:textId="77777777" w:rsidR="008A60B8" w:rsidRPr="00080443" w:rsidRDefault="00C579CE" w:rsidP="00C579CE">
      <w:pPr>
        <w:spacing w:before="80" w:after="120"/>
        <w:rPr>
          <w:rFonts w:cs="Arial"/>
        </w:rPr>
      </w:pPr>
      <w:r w:rsidRPr="00080443">
        <w:rPr>
          <w:rFonts w:cs="Arial"/>
          <w:highlight w:val="yellow"/>
        </w:rPr>
        <w:br w:type="page"/>
      </w:r>
    </w:p>
    <w:p w14:paraId="61D8CC45" w14:textId="77777777" w:rsidR="007C06B4" w:rsidRPr="00080443" w:rsidRDefault="007C06B4" w:rsidP="007C06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u w:val="single"/>
        </w:rPr>
        <w:lastRenderedPageBreak/>
        <w:t>Important warning</w:t>
      </w:r>
      <w:r w:rsidRPr="00080443">
        <w:rPr>
          <w:rFonts w:cs="Arial"/>
          <w:b/>
        </w:rPr>
        <w:t xml:space="preserve">: The information in this chapter is intended to provide a guide only to the steps required to participate in the auction process in accordance with the procedures contained in the Radiocommunications (Spectrum Licence Allocation — Combinatorial Clock Auction) Determination 2012. Potential applicants should </w:t>
      </w:r>
      <w:r w:rsidRPr="00080443">
        <w:rPr>
          <w:rFonts w:cs="Arial"/>
          <w:b/>
          <w:i/>
        </w:rPr>
        <w:t>not</w:t>
      </w:r>
      <w:r w:rsidRPr="00080443">
        <w:rPr>
          <w:rFonts w:cs="Arial"/>
          <w:b/>
        </w:rPr>
        <w:t xml:space="preserve"> rely on this information, but should instead carefully review and understand the content of the allocation determination itself.</w:t>
      </w:r>
    </w:p>
    <w:p w14:paraId="55215286" w14:textId="77777777" w:rsidR="007C06B4" w:rsidRPr="00080443" w:rsidRDefault="007C06B4" w:rsidP="006B688B">
      <w:pPr>
        <w:rPr>
          <w:rFonts w:cs="Arial"/>
          <w:lang w:val="en-US"/>
        </w:rPr>
      </w:pPr>
    </w:p>
    <w:p w14:paraId="7A67C840" w14:textId="77777777" w:rsidR="006B688B" w:rsidRPr="00080443" w:rsidRDefault="006B688B" w:rsidP="006B688B">
      <w:pPr>
        <w:rPr>
          <w:rFonts w:cs="Arial"/>
          <w:lang w:val="en-US"/>
        </w:rPr>
      </w:pPr>
      <w:r w:rsidRPr="00080443">
        <w:rPr>
          <w:rFonts w:cs="Arial"/>
          <w:lang w:val="en-US"/>
        </w:rPr>
        <w:t>This chapter provides practical information to guide participants through the key steps in the auction process</w:t>
      </w:r>
      <w:r w:rsidR="005F1240" w:rsidRPr="00080443">
        <w:rPr>
          <w:rFonts w:cs="Arial"/>
          <w:lang w:val="en-US"/>
        </w:rPr>
        <w:t xml:space="preserve"> (see Figure 11):</w:t>
      </w:r>
    </w:p>
    <w:p w14:paraId="7A7A3CD4" w14:textId="77777777" w:rsidR="005F1240" w:rsidRPr="00080443" w:rsidRDefault="005F1240" w:rsidP="006B688B">
      <w:pPr>
        <w:rPr>
          <w:rFonts w:cs="Arial"/>
          <w:lang w:val="en-US"/>
        </w:rPr>
      </w:pPr>
    </w:p>
    <w:tbl>
      <w:tblPr>
        <w:tblW w:w="9645" w:type="dxa"/>
        <w:tblLayout w:type="fixed"/>
        <w:tblCellMar>
          <w:left w:w="0" w:type="dxa"/>
          <w:right w:w="0" w:type="dxa"/>
        </w:tblCellMar>
        <w:tblLook w:val="01E0" w:firstRow="1" w:lastRow="1" w:firstColumn="1" w:lastColumn="1" w:noHBand="0" w:noVBand="0"/>
      </w:tblPr>
      <w:tblGrid>
        <w:gridCol w:w="9645"/>
      </w:tblGrid>
      <w:tr w:rsidR="005F1240" w:rsidRPr="00080443" w14:paraId="489488DA" w14:textId="77777777" w:rsidTr="005F1240">
        <w:trPr>
          <w:trHeight w:val="570"/>
        </w:trPr>
        <w:tc>
          <w:tcPr>
            <w:tcW w:w="9645" w:type="dxa"/>
            <w:tcBorders>
              <w:top w:val="single" w:sz="2" w:space="0" w:color="505050"/>
            </w:tcBorders>
            <w:shd w:val="clear" w:color="auto" w:fill="auto"/>
            <w:vAlign w:val="center"/>
          </w:tcPr>
          <w:p w14:paraId="3E7C7B57" w14:textId="77777777" w:rsidR="005F1240" w:rsidRPr="00080443" w:rsidRDefault="005F1240" w:rsidP="005F1240">
            <w:pPr>
              <w:pStyle w:val="Caption"/>
              <w:rPr>
                <w:rFonts w:cs="Arial"/>
              </w:rPr>
            </w:pPr>
            <w:r w:rsidRPr="00080443">
              <w:rPr>
                <w:rFonts w:cs="Arial"/>
              </w:rPr>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11</w:t>
            </w:r>
            <w:r w:rsidR="00724CDB" w:rsidRPr="00080443">
              <w:rPr>
                <w:rFonts w:cs="Arial"/>
              </w:rPr>
              <w:fldChar w:fldCharType="end"/>
            </w:r>
            <w:r w:rsidRPr="00080443">
              <w:rPr>
                <w:rFonts w:cs="Arial"/>
              </w:rPr>
              <w:t xml:space="preserve"> Summary of key steps in the auction process</w:t>
            </w:r>
          </w:p>
        </w:tc>
      </w:tr>
      <w:tr w:rsidR="005F1240" w:rsidRPr="00080443" w14:paraId="5C72C060" w14:textId="77777777" w:rsidTr="005F1240">
        <w:trPr>
          <w:trHeight w:val="3086"/>
        </w:trPr>
        <w:tc>
          <w:tcPr>
            <w:tcW w:w="9645" w:type="dxa"/>
            <w:shd w:val="clear" w:color="auto" w:fill="auto"/>
            <w:tcMar>
              <w:left w:w="28" w:type="dxa"/>
            </w:tcMar>
          </w:tcPr>
          <w:p w14:paraId="055301A5" w14:textId="77777777" w:rsidR="005F1240" w:rsidRPr="00080443" w:rsidRDefault="002F3C03" w:rsidP="005F1240">
            <w:pPr>
              <w:rPr>
                <w:rFonts w:cs="Arial"/>
              </w:rPr>
            </w:pPr>
            <w:r w:rsidRPr="00080443">
              <w:rPr>
                <w:rFonts w:cs="Arial"/>
                <w:noProof/>
              </w:rPr>
              <w:drawing>
                <wp:inline distT="0" distB="0" distL="0" distR="0" wp14:anchorId="38EFDED2" wp14:editId="6543F3C8">
                  <wp:extent cx="5476875" cy="49911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srcRect/>
                          <a:stretch>
                            <a:fillRect/>
                          </a:stretch>
                        </pic:blipFill>
                        <pic:spPr bwMode="auto">
                          <a:xfrm>
                            <a:off x="0" y="0"/>
                            <a:ext cx="5476875" cy="4991100"/>
                          </a:xfrm>
                          <a:prstGeom prst="rect">
                            <a:avLst/>
                          </a:prstGeom>
                          <a:noFill/>
                          <a:ln w="9525">
                            <a:noFill/>
                            <a:miter lim="800000"/>
                            <a:headEnd/>
                            <a:tailEnd/>
                          </a:ln>
                        </pic:spPr>
                      </pic:pic>
                    </a:graphicData>
                  </a:graphic>
                </wp:inline>
              </w:drawing>
            </w:r>
          </w:p>
        </w:tc>
      </w:tr>
      <w:tr w:rsidR="005F1240" w:rsidRPr="00080443" w14:paraId="0F600C8A" w14:textId="77777777" w:rsidTr="005F1240">
        <w:trPr>
          <w:trHeight w:val="291"/>
        </w:trPr>
        <w:tc>
          <w:tcPr>
            <w:tcW w:w="9645" w:type="dxa"/>
            <w:tcBorders>
              <w:bottom w:val="single" w:sz="2" w:space="0" w:color="505050"/>
            </w:tcBorders>
            <w:shd w:val="clear" w:color="auto" w:fill="auto"/>
          </w:tcPr>
          <w:p w14:paraId="394B0DE0" w14:textId="77777777" w:rsidR="005F1240" w:rsidRPr="00080443" w:rsidRDefault="005F1240" w:rsidP="005F1240">
            <w:pPr>
              <w:rPr>
                <w:rFonts w:cs="Arial"/>
              </w:rPr>
            </w:pPr>
          </w:p>
        </w:tc>
      </w:tr>
    </w:tbl>
    <w:p w14:paraId="72CDCC84" w14:textId="77777777" w:rsidR="005F1240" w:rsidRPr="00080443" w:rsidRDefault="005F1240" w:rsidP="006B688B">
      <w:pPr>
        <w:rPr>
          <w:rFonts w:cs="Arial"/>
          <w:lang w:val="en-US"/>
        </w:rPr>
      </w:pPr>
    </w:p>
    <w:p w14:paraId="5C2BE19B" w14:textId="77777777" w:rsidR="006B688B" w:rsidRPr="00080443" w:rsidRDefault="006B688B" w:rsidP="006B688B">
      <w:pPr>
        <w:rPr>
          <w:rFonts w:cs="Arial"/>
        </w:rPr>
      </w:pPr>
      <w:r w:rsidRPr="00080443">
        <w:rPr>
          <w:rFonts w:cs="Arial"/>
        </w:rPr>
        <w:t xml:space="preserve">Several of </w:t>
      </w:r>
      <w:r w:rsidR="0011143E" w:rsidRPr="00080443">
        <w:rPr>
          <w:rFonts w:cs="Arial"/>
        </w:rPr>
        <w:t>these</w:t>
      </w:r>
      <w:r w:rsidRPr="00080443">
        <w:rPr>
          <w:rFonts w:cs="Arial"/>
        </w:rPr>
        <w:t xml:space="preserve"> steps require auction participants to lodge forms with the ACMA. </w:t>
      </w:r>
      <w:r w:rsidR="000E25D5" w:rsidRPr="00080443">
        <w:rPr>
          <w:rFonts w:cs="Arial"/>
        </w:rPr>
        <w:t xml:space="preserve">Seven of the eight forms are </w:t>
      </w:r>
      <w:r w:rsidRPr="00080443">
        <w:rPr>
          <w:rFonts w:cs="Arial"/>
        </w:rPr>
        <w:t xml:space="preserve">available in the </w:t>
      </w:r>
      <w:hyperlink r:id="rId42" w:history="1">
        <w:r w:rsidR="00CB37BC" w:rsidRPr="00080443">
          <w:rPr>
            <w:rStyle w:val="Hyperlink"/>
            <w:rFonts w:cs="Arial"/>
            <w:i/>
          </w:rPr>
          <w:t>A</w:t>
        </w:r>
        <w:r w:rsidR="00BE0F34" w:rsidRPr="00080443">
          <w:rPr>
            <w:rStyle w:val="Hyperlink"/>
            <w:rFonts w:cs="Arial"/>
            <w:i/>
          </w:rPr>
          <w:t xml:space="preserve">uction </w:t>
        </w:r>
        <w:r w:rsidRPr="00080443">
          <w:rPr>
            <w:rStyle w:val="Hyperlink"/>
            <w:rFonts w:cs="Arial"/>
            <w:i/>
          </w:rPr>
          <w:t>forms</w:t>
        </w:r>
        <w:r w:rsidRPr="00080443">
          <w:rPr>
            <w:rStyle w:val="Hyperlink"/>
            <w:rFonts w:cs="Arial"/>
          </w:rPr>
          <w:t xml:space="preserve"> </w:t>
        </w:r>
        <w:r w:rsidR="00BE0F34" w:rsidRPr="00080443">
          <w:rPr>
            <w:rStyle w:val="Hyperlink"/>
            <w:rFonts w:cs="Arial"/>
          </w:rPr>
          <w:t>booklet</w:t>
        </w:r>
      </w:hyperlink>
      <w:r w:rsidRPr="00080443">
        <w:rPr>
          <w:rFonts w:cs="Arial"/>
        </w:rPr>
        <w:t>.</w:t>
      </w:r>
      <w:r w:rsidR="000E25D5" w:rsidRPr="00080443">
        <w:rPr>
          <w:rFonts w:cs="Arial"/>
        </w:rPr>
        <w:t xml:space="preserve"> </w:t>
      </w:r>
      <w:r w:rsidR="002D73DD" w:rsidRPr="00080443">
        <w:rPr>
          <w:rFonts w:cs="Arial"/>
          <w:b/>
        </w:rPr>
        <w:t>F</w:t>
      </w:r>
      <w:r w:rsidR="000E25D5" w:rsidRPr="00080443">
        <w:rPr>
          <w:rFonts w:cs="Arial"/>
          <w:b/>
        </w:rPr>
        <w:t>orm</w:t>
      </w:r>
      <w:r w:rsidR="002D73DD" w:rsidRPr="00080443">
        <w:rPr>
          <w:rFonts w:cs="Arial"/>
          <w:b/>
        </w:rPr>
        <w:t xml:space="preserve"> 8—E</w:t>
      </w:r>
      <w:r w:rsidR="003C5C37" w:rsidRPr="00080443">
        <w:rPr>
          <w:rFonts w:cs="Arial"/>
          <w:b/>
        </w:rPr>
        <w:t>ligibility nomination form</w:t>
      </w:r>
      <w:r w:rsidR="00BE0F34" w:rsidRPr="00080443">
        <w:rPr>
          <w:rFonts w:cs="Arial"/>
        </w:rPr>
        <w:t xml:space="preserve"> will be published </w:t>
      </w:r>
      <w:r w:rsidR="000E25D5" w:rsidRPr="00080443">
        <w:rPr>
          <w:rFonts w:cs="Arial"/>
        </w:rPr>
        <w:t>on the ACMA website</w:t>
      </w:r>
      <w:r w:rsidR="00093930" w:rsidRPr="00080443">
        <w:rPr>
          <w:rFonts w:cs="Arial"/>
        </w:rPr>
        <w:t xml:space="preserve"> </w:t>
      </w:r>
      <w:r w:rsidR="003D5A10" w:rsidRPr="00080443">
        <w:rPr>
          <w:rFonts w:cs="Arial"/>
        </w:rPr>
        <w:t>separately from the AIP (see 4.3.3).</w:t>
      </w:r>
    </w:p>
    <w:p w14:paraId="1A7AE8AD" w14:textId="77777777" w:rsidR="006B688B" w:rsidRPr="00080443" w:rsidRDefault="006B688B" w:rsidP="006B688B">
      <w:pPr>
        <w:rPr>
          <w:rFonts w:cs="Arial"/>
        </w:rPr>
      </w:pPr>
    </w:p>
    <w:p w14:paraId="783D07DD" w14:textId="77777777" w:rsidR="006B688B" w:rsidRPr="00080443" w:rsidRDefault="006B688B" w:rsidP="006B688B">
      <w:pPr>
        <w:rPr>
          <w:rFonts w:cs="Arial"/>
          <w:color w:val="000000" w:themeColor="text1"/>
        </w:rPr>
      </w:pPr>
      <w:r w:rsidRPr="00080443">
        <w:rPr>
          <w:rFonts w:cs="Arial"/>
        </w:rPr>
        <w:t xml:space="preserve">Where an auction participant is required to lodge a form with, or make a payment to, the ACMA, they must do so in accordance with the relevant procedures in the </w:t>
      </w:r>
      <w:r w:rsidRPr="00080443">
        <w:rPr>
          <w:rFonts w:cs="Arial"/>
        </w:rPr>
        <w:lastRenderedPageBreak/>
        <w:t>allocation determination.</w:t>
      </w:r>
      <w:r w:rsidRPr="00080443">
        <w:rPr>
          <w:rStyle w:val="FootnoteReference"/>
          <w:rFonts w:cs="Arial"/>
        </w:rPr>
        <w:footnoteReference w:id="34"/>
      </w:r>
      <w:r w:rsidRPr="00080443">
        <w:rPr>
          <w:rFonts w:cs="Arial"/>
        </w:rPr>
        <w:t xml:space="preserve"> A summary of the lodgement and payment procedures is provided </w:t>
      </w:r>
      <w:r w:rsidRPr="00080443">
        <w:rPr>
          <w:rFonts w:cs="Arial"/>
          <w:color w:val="000000" w:themeColor="text1"/>
        </w:rPr>
        <w:t>at 6.3 and 6.4, respectively</w:t>
      </w:r>
      <w:r w:rsidR="0016592B" w:rsidRPr="00080443">
        <w:rPr>
          <w:rFonts w:cs="Arial"/>
          <w:color w:val="000000" w:themeColor="text1"/>
        </w:rPr>
        <w:t>,</w:t>
      </w:r>
      <w:r w:rsidR="00D60B6A" w:rsidRPr="00080443">
        <w:rPr>
          <w:rFonts w:cs="Arial"/>
          <w:color w:val="000000" w:themeColor="text1"/>
        </w:rPr>
        <w:t xml:space="preserve"> and in the </w:t>
      </w:r>
      <w:r w:rsidR="0016592B" w:rsidRPr="00080443">
        <w:rPr>
          <w:rFonts w:cs="Arial"/>
          <w:i/>
          <w:color w:val="000000" w:themeColor="text1"/>
        </w:rPr>
        <w:t>A</w:t>
      </w:r>
      <w:r w:rsidR="00D60B6A" w:rsidRPr="00080443">
        <w:rPr>
          <w:rFonts w:cs="Arial"/>
          <w:i/>
          <w:color w:val="000000" w:themeColor="text1"/>
        </w:rPr>
        <w:t>uction forms</w:t>
      </w:r>
      <w:r w:rsidR="00D60B6A" w:rsidRPr="00080443">
        <w:rPr>
          <w:rFonts w:cs="Arial"/>
          <w:color w:val="000000" w:themeColor="text1"/>
        </w:rPr>
        <w:t xml:space="preserve"> booklet.</w:t>
      </w:r>
    </w:p>
    <w:p w14:paraId="5863B360" w14:textId="77777777" w:rsidR="006B688B" w:rsidRPr="00080443" w:rsidRDefault="006B688B" w:rsidP="006B688B">
      <w:pPr>
        <w:rPr>
          <w:rFonts w:cs="Arial"/>
          <w:color w:val="000000" w:themeColor="text1"/>
        </w:rPr>
      </w:pPr>
    </w:p>
    <w:p w14:paraId="03E56117" w14:textId="77777777" w:rsidR="006B688B" w:rsidRPr="00080443" w:rsidRDefault="006B688B" w:rsidP="006B688B">
      <w:pPr>
        <w:rPr>
          <w:rFonts w:cs="Arial"/>
          <w:color w:val="000000" w:themeColor="text1"/>
        </w:rPr>
      </w:pPr>
      <w:r w:rsidRPr="00080443">
        <w:rPr>
          <w:rFonts w:cs="Arial"/>
          <w:color w:val="000000" w:themeColor="text1"/>
        </w:rPr>
        <w:t>Several of the steps require the ACMA to provide auction participants with information or material</w:t>
      </w:r>
      <w:r w:rsidR="0011143E" w:rsidRPr="00080443">
        <w:rPr>
          <w:rFonts w:cs="Arial"/>
        </w:rPr>
        <w:t>:</w:t>
      </w:r>
      <w:r w:rsidRPr="00080443">
        <w:rPr>
          <w:rFonts w:cs="Arial"/>
          <w:color w:val="000000" w:themeColor="text1"/>
        </w:rPr>
        <w:t xml:space="preserve"> </w:t>
      </w:r>
    </w:p>
    <w:p w14:paraId="11CA6276" w14:textId="77777777" w:rsidR="006B688B" w:rsidRPr="00080443" w:rsidRDefault="0011143E" w:rsidP="006B688B">
      <w:pPr>
        <w:pStyle w:val="ListBullet"/>
        <w:rPr>
          <w:rFonts w:cs="Arial"/>
          <w:color w:val="000000" w:themeColor="text1"/>
          <w:lang w:val="en-US"/>
        </w:rPr>
      </w:pPr>
      <w:r w:rsidRPr="00080443">
        <w:rPr>
          <w:rFonts w:cs="Arial"/>
        </w:rPr>
        <w:t>Prior to</w:t>
      </w:r>
      <w:r w:rsidR="006B688B" w:rsidRPr="00080443">
        <w:rPr>
          <w:rFonts w:cs="Arial"/>
          <w:color w:val="000000" w:themeColor="text1"/>
        </w:rPr>
        <w:t xml:space="preserve"> the start of the auction period, and </w:t>
      </w:r>
      <w:r w:rsidRPr="00080443">
        <w:rPr>
          <w:rFonts w:cs="Arial"/>
        </w:rPr>
        <w:t>after</w:t>
      </w:r>
      <w:r w:rsidR="006B688B" w:rsidRPr="00080443">
        <w:rPr>
          <w:rFonts w:cs="Arial"/>
          <w:color w:val="000000" w:themeColor="text1"/>
        </w:rPr>
        <w:t xml:space="preserve"> the end of the auction period, the ACMA will direct all such communication to the </w:t>
      </w:r>
      <w:r w:rsidR="00573FF0" w:rsidRPr="00080443">
        <w:rPr>
          <w:rFonts w:cs="Arial"/>
          <w:color w:val="000000" w:themeColor="text1"/>
        </w:rPr>
        <w:t>‘</w:t>
      </w:r>
      <w:r w:rsidR="006B688B" w:rsidRPr="00080443">
        <w:rPr>
          <w:rFonts w:cs="Arial"/>
          <w:color w:val="000000" w:themeColor="text1"/>
        </w:rPr>
        <w:t>contact person</w:t>
      </w:r>
      <w:r w:rsidR="00573FF0" w:rsidRPr="00080443">
        <w:rPr>
          <w:rFonts w:cs="Arial"/>
          <w:color w:val="000000" w:themeColor="text1"/>
        </w:rPr>
        <w:t>’</w:t>
      </w:r>
      <w:r w:rsidR="006B688B" w:rsidRPr="00080443">
        <w:rPr>
          <w:rFonts w:cs="Arial"/>
          <w:color w:val="000000" w:themeColor="text1"/>
        </w:rPr>
        <w:t xml:space="preserve"> nominated by the auction participant in </w:t>
      </w:r>
      <w:r w:rsidR="00573FF0" w:rsidRPr="00080443">
        <w:rPr>
          <w:rFonts w:cs="Arial"/>
          <w:color w:val="000000" w:themeColor="text1"/>
        </w:rPr>
        <w:t xml:space="preserve">Part 2 of </w:t>
      </w:r>
      <w:r w:rsidR="006B688B" w:rsidRPr="00080443">
        <w:rPr>
          <w:rFonts w:cs="Arial"/>
          <w:color w:val="000000" w:themeColor="text1"/>
        </w:rPr>
        <w:t>their application form, using the nominated contact details.</w:t>
      </w:r>
    </w:p>
    <w:p w14:paraId="1C2FF7B3" w14:textId="77777777" w:rsidR="006B688B" w:rsidRPr="00080443" w:rsidRDefault="006B688B" w:rsidP="001C26E5">
      <w:pPr>
        <w:pStyle w:val="ListBullet"/>
        <w:spacing w:after="240"/>
        <w:rPr>
          <w:rFonts w:cs="Arial"/>
          <w:lang w:val="en-US"/>
        </w:rPr>
      </w:pPr>
      <w:r w:rsidRPr="00080443">
        <w:rPr>
          <w:rFonts w:cs="Arial"/>
          <w:color w:val="000000" w:themeColor="text1"/>
        </w:rPr>
        <w:t xml:space="preserve">During the auction period, </w:t>
      </w:r>
      <w:r w:rsidR="00573FF0" w:rsidRPr="00080443">
        <w:rPr>
          <w:rFonts w:cs="Arial"/>
          <w:color w:val="000000" w:themeColor="text1"/>
        </w:rPr>
        <w:t xml:space="preserve">the ACMA will, where practicable, direct communications to the ‘authorised persons’ nominated by the auction participant in Part 3 of their application form, using </w:t>
      </w:r>
      <w:r w:rsidRPr="00080443">
        <w:rPr>
          <w:rFonts w:cs="Arial"/>
          <w:color w:val="000000" w:themeColor="text1"/>
        </w:rPr>
        <w:t>the electronic messaging facility in the auction system. Where an alternative mode of communication is required</w:t>
      </w:r>
      <w:r w:rsidR="00573FF0" w:rsidRPr="00080443">
        <w:rPr>
          <w:rFonts w:cs="Arial"/>
          <w:color w:val="000000" w:themeColor="text1"/>
        </w:rPr>
        <w:t xml:space="preserve"> (</w:t>
      </w:r>
      <w:r w:rsidR="00402783" w:rsidRPr="00080443">
        <w:rPr>
          <w:rFonts w:cs="Arial"/>
          <w:color w:val="000000" w:themeColor="text1"/>
        </w:rPr>
        <w:t>for example</w:t>
      </w:r>
      <w:r w:rsidR="00573FF0" w:rsidRPr="00080443">
        <w:rPr>
          <w:rFonts w:cs="Arial"/>
          <w:color w:val="000000" w:themeColor="text1"/>
        </w:rPr>
        <w:t xml:space="preserve">, </w:t>
      </w:r>
      <w:r w:rsidR="00AC509D" w:rsidRPr="00080443">
        <w:rPr>
          <w:rFonts w:cs="Arial"/>
          <w:color w:val="000000" w:themeColor="text1"/>
        </w:rPr>
        <w:t xml:space="preserve">during the period </w:t>
      </w:r>
      <w:r w:rsidR="00573FF0" w:rsidRPr="00080443">
        <w:rPr>
          <w:rFonts w:cs="Arial"/>
          <w:color w:val="000000" w:themeColor="text1"/>
        </w:rPr>
        <w:t>before the authorised persons have access to the auction system, or if the ACMA is unable to communicate reliably using the auction system)</w:t>
      </w:r>
      <w:r w:rsidRPr="00080443">
        <w:rPr>
          <w:rFonts w:cs="Arial"/>
          <w:color w:val="000000" w:themeColor="text1"/>
        </w:rPr>
        <w:t xml:space="preserve">, the </w:t>
      </w:r>
      <w:r w:rsidR="00AC509D" w:rsidRPr="00080443">
        <w:rPr>
          <w:rFonts w:cs="Arial"/>
          <w:color w:val="000000" w:themeColor="text1"/>
        </w:rPr>
        <w:t>ACMA</w:t>
      </w:r>
      <w:r w:rsidRPr="00080443">
        <w:rPr>
          <w:rFonts w:cs="Arial"/>
          <w:color w:val="000000" w:themeColor="text1"/>
        </w:rPr>
        <w:t xml:space="preserve"> will direct communications to the contact person nominated by the auction participant</w:t>
      </w:r>
      <w:r w:rsidRPr="00080443">
        <w:rPr>
          <w:rFonts w:cs="Arial"/>
        </w:rPr>
        <w:t xml:space="preserve"> in their application form, using the nominated contact details. </w:t>
      </w:r>
    </w:p>
    <w:p w14:paraId="773E55A8" w14:textId="77777777" w:rsidR="006B688B" w:rsidRPr="00080443" w:rsidRDefault="006B688B" w:rsidP="006B688B">
      <w:pPr>
        <w:rPr>
          <w:rFonts w:cs="Arial"/>
        </w:rPr>
      </w:pPr>
      <w:r w:rsidRPr="00080443">
        <w:rPr>
          <w:rFonts w:cs="Arial"/>
        </w:rPr>
        <w:t xml:space="preserve">In addition to the information and material the ACMA </w:t>
      </w:r>
      <w:r w:rsidR="003E76BB" w:rsidRPr="00080443">
        <w:rPr>
          <w:rFonts w:cs="Arial"/>
        </w:rPr>
        <w:t xml:space="preserve">will </w:t>
      </w:r>
      <w:r w:rsidRPr="00080443">
        <w:rPr>
          <w:rFonts w:cs="Arial"/>
        </w:rPr>
        <w:t>provide to auction participants under the steps below, updates about auction developments and events</w:t>
      </w:r>
      <w:r w:rsidR="001C26E5" w:rsidRPr="00080443">
        <w:rPr>
          <w:rFonts w:cs="Arial"/>
        </w:rPr>
        <w:t xml:space="preserve">, </w:t>
      </w:r>
      <w:r w:rsidRPr="00080443">
        <w:rPr>
          <w:rFonts w:cs="Arial"/>
        </w:rPr>
        <w:t>including information about the TLAP development process</w:t>
      </w:r>
      <w:r w:rsidR="006E56B4" w:rsidRPr="00080443">
        <w:rPr>
          <w:rFonts w:cs="Arial"/>
        </w:rPr>
        <w:t xml:space="preserve"> </w:t>
      </w:r>
      <w:r w:rsidR="006C7C9A" w:rsidRPr="00080443">
        <w:rPr>
          <w:rFonts w:cs="Arial"/>
        </w:rPr>
        <w:t>and its potential impact on the availability of the spectrum in the 700 MHz band</w:t>
      </w:r>
      <w:r w:rsidR="001C26E5" w:rsidRPr="00080443">
        <w:rPr>
          <w:rFonts w:cs="Arial"/>
        </w:rPr>
        <w:t xml:space="preserve">, </w:t>
      </w:r>
      <w:r w:rsidRPr="00080443">
        <w:rPr>
          <w:rFonts w:cs="Arial"/>
        </w:rPr>
        <w:t>will be released by the ACMA from time to time through the sources listed at 6.1.</w:t>
      </w:r>
      <w:r w:rsidR="00A14180" w:rsidRPr="00080443">
        <w:rPr>
          <w:rFonts w:cs="Arial"/>
        </w:rPr>
        <w:t xml:space="preserve"> It is the responsibility of prospective applicants, applicants and registered bidders to ensure that they review the sources listed at 6.1 in order to receive all updated information. </w:t>
      </w:r>
    </w:p>
    <w:p w14:paraId="2D6900BF" w14:textId="77777777" w:rsidR="006B688B" w:rsidRPr="00080443" w:rsidRDefault="006B688B" w:rsidP="006B688B">
      <w:pPr>
        <w:rPr>
          <w:rFonts w:cs="Arial"/>
        </w:rPr>
      </w:pPr>
    </w:p>
    <w:p w14:paraId="304E7CD3" w14:textId="77777777" w:rsidR="006B688B" w:rsidRPr="00080443" w:rsidRDefault="006B688B" w:rsidP="006B688B">
      <w:pPr>
        <w:pStyle w:val="Heading2"/>
        <w:numPr>
          <w:ilvl w:val="1"/>
          <w:numId w:val="13"/>
        </w:numPr>
        <w:rPr>
          <w:color w:val="000000" w:themeColor="text1"/>
        </w:rPr>
      </w:pPr>
      <w:bookmarkStart w:id="124" w:name="_Toc335246280"/>
      <w:bookmarkStart w:id="125" w:name="_Toc343780489"/>
      <w:r w:rsidRPr="00080443">
        <w:rPr>
          <w:color w:val="000000" w:themeColor="text1"/>
        </w:rPr>
        <w:t>Step 1</w:t>
      </w:r>
      <w:r w:rsidR="0011143E" w:rsidRPr="00080443">
        <w:rPr>
          <w:color w:val="000000" w:themeColor="text1"/>
        </w:rPr>
        <w:t>—</w:t>
      </w:r>
      <w:r w:rsidRPr="00080443">
        <w:rPr>
          <w:color w:val="000000" w:themeColor="text1"/>
        </w:rPr>
        <w:t>Consider the AIP</w:t>
      </w:r>
      <w:r w:rsidR="00FF2155" w:rsidRPr="00080443">
        <w:rPr>
          <w:color w:val="000000" w:themeColor="text1"/>
        </w:rPr>
        <w:t xml:space="preserve"> and monitor developments</w:t>
      </w:r>
      <w:bookmarkEnd w:id="124"/>
      <w:bookmarkEnd w:id="125"/>
    </w:p>
    <w:p w14:paraId="4E177189" w14:textId="77777777" w:rsidR="006B688B" w:rsidRPr="00080443" w:rsidRDefault="006B688B" w:rsidP="006B688B">
      <w:pPr>
        <w:rPr>
          <w:rFonts w:cs="Arial"/>
        </w:rPr>
      </w:pPr>
      <w:r w:rsidRPr="00080443">
        <w:rPr>
          <w:rFonts w:cs="Arial"/>
        </w:rPr>
        <w:t xml:space="preserve">Before applying to participate in the auction, prospective bidders should read and understand all of the material in the AIP, including this </w:t>
      </w:r>
      <w:r w:rsidR="00F916B7" w:rsidRPr="00080443">
        <w:rPr>
          <w:rFonts w:cs="Arial"/>
          <w:i/>
        </w:rPr>
        <w:t>A</w:t>
      </w:r>
      <w:r w:rsidRPr="00080443">
        <w:rPr>
          <w:rFonts w:cs="Arial"/>
          <w:i/>
        </w:rPr>
        <w:t>uction guide</w:t>
      </w:r>
      <w:r w:rsidRPr="00080443">
        <w:rPr>
          <w:rFonts w:cs="Arial"/>
        </w:rPr>
        <w:t xml:space="preserve"> and the instruments and explanatory statements at </w:t>
      </w:r>
      <w:r w:rsidR="0016592B" w:rsidRPr="00080443">
        <w:rPr>
          <w:rFonts w:cs="Arial"/>
        </w:rPr>
        <w:t>a</w:t>
      </w:r>
      <w:r w:rsidRPr="00080443">
        <w:rPr>
          <w:rFonts w:cs="Arial"/>
        </w:rPr>
        <w:t xml:space="preserve">ttachments A to </w:t>
      </w:r>
      <w:r w:rsidR="007C7630" w:rsidRPr="00080443">
        <w:rPr>
          <w:rFonts w:cs="Arial"/>
        </w:rPr>
        <w:t>R</w:t>
      </w:r>
      <w:r w:rsidR="005C04A7" w:rsidRPr="00080443">
        <w:rPr>
          <w:rFonts w:cs="Arial"/>
        </w:rPr>
        <w:t>, and should seek their own advice on regulatory and other matters</w:t>
      </w:r>
      <w:r w:rsidRPr="00080443">
        <w:rPr>
          <w:rFonts w:cs="Arial"/>
        </w:rPr>
        <w:t xml:space="preserve">. </w:t>
      </w:r>
    </w:p>
    <w:p w14:paraId="746B6829" w14:textId="77777777" w:rsidR="00CF12BF" w:rsidRPr="00080443" w:rsidRDefault="00CF12BF" w:rsidP="00CF12BF">
      <w:pPr>
        <w:rPr>
          <w:rFonts w:cs="Arial"/>
        </w:rPr>
      </w:pPr>
    </w:p>
    <w:p w14:paraId="5787F377" w14:textId="77777777" w:rsidR="00E607BA" w:rsidRPr="00080443" w:rsidRDefault="0011143E" w:rsidP="00402783">
      <w:pPr>
        <w:spacing w:after="80"/>
        <w:rPr>
          <w:rFonts w:cs="Arial"/>
        </w:rPr>
      </w:pPr>
      <w:r w:rsidRPr="00080443">
        <w:rPr>
          <w:rFonts w:cs="Arial"/>
        </w:rPr>
        <w:t>During the lead-up to the auction, p</w:t>
      </w:r>
      <w:r w:rsidRPr="00080443">
        <w:rPr>
          <w:rFonts w:cs="Arial"/>
          <w:color w:val="000000" w:themeColor="text1"/>
        </w:rPr>
        <w:t>rospective</w:t>
      </w:r>
      <w:r w:rsidR="00CF12BF" w:rsidRPr="00080443">
        <w:rPr>
          <w:rFonts w:cs="Arial"/>
          <w:color w:val="000000" w:themeColor="text1"/>
        </w:rPr>
        <w:t xml:space="preserve"> bidders should also </w:t>
      </w:r>
      <w:r w:rsidRPr="00080443">
        <w:rPr>
          <w:rFonts w:cs="Arial"/>
          <w:color w:val="000000" w:themeColor="text1"/>
        </w:rPr>
        <w:t xml:space="preserve">regularly </w:t>
      </w:r>
      <w:r w:rsidR="00CF12BF" w:rsidRPr="00080443">
        <w:rPr>
          <w:rFonts w:cs="Arial"/>
          <w:color w:val="000000" w:themeColor="text1"/>
        </w:rPr>
        <w:t xml:space="preserve">monitor the sources listed at 6.1 </w:t>
      </w:r>
      <w:r w:rsidRPr="00080443">
        <w:rPr>
          <w:rFonts w:cs="Arial"/>
          <w:color w:val="000000" w:themeColor="text1"/>
        </w:rPr>
        <w:t>to</w:t>
      </w:r>
      <w:r w:rsidR="00CF12BF" w:rsidRPr="00080443">
        <w:rPr>
          <w:rFonts w:cs="Arial"/>
          <w:color w:val="000000" w:themeColor="text1"/>
        </w:rPr>
        <w:t xml:space="preserve"> remain informed about </w:t>
      </w:r>
      <w:r w:rsidR="00CF12BF" w:rsidRPr="00080443">
        <w:rPr>
          <w:rFonts w:cs="Arial"/>
        </w:rPr>
        <w:t>auction-related developments and events, including</w:t>
      </w:r>
      <w:r w:rsidR="00E607BA" w:rsidRPr="00080443">
        <w:rPr>
          <w:rFonts w:cs="Arial"/>
        </w:rPr>
        <w:t xml:space="preserve"> the:</w:t>
      </w:r>
      <w:r w:rsidR="00CF12BF" w:rsidRPr="00080443">
        <w:rPr>
          <w:rFonts w:cs="Arial"/>
        </w:rPr>
        <w:t xml:space="preserve"> </w:t>
      </w:r>
    </w:p>
    <w:p w14:paraId="1593FEC4" w14:textId="77777777" w:rsidR="006F40AA" w:rsidRPr="00080443" w:rsidRDefault="00913037">
      <w:pPr>
        <w:pStyle w:val="ListBullet"/>
        <w:rPr>
          <w:rFonts w:cs="Arial"/>
          <w:color w:val="000000" w:themeColor="text1"/>
        </w:rPr>
      </w:pPr>
      <w:r w:rsidRPr="00080443">
        <w:rPr>
          <w:rFonts w:cs="Arial"/>
          <w:color w:val="000000" w:themeColor="text1"/>
        </w:rPr>
        <w:t>publication</w:t>
      </w:r>
      <w:r w:rsidR="00E607BA" w:rsidRPr="00080443">
        <w:rPr>
          <w:rFonts w:cs="Arial"/>
        </w:rPr>
        <w:t xml:space="preserve"> of the lot ratings and </w:t>
      </w:r>
      <w:r w:rsidR="007C4FDA" w:rsidRPr="00080443">
        <w:rPr>
          <w:rFonts w:cs="Arial"/>
        </w:rPr>
        <w:t>initial (</w:t>
      </w:r>
      <w:r w:rsidR="00E607BA" w:rsidRPr="00080443">
        <w:rPr>
          <w:rFonts w:cs="Arial"/>
        </w:rPr>
        <w:t>reserve</w:t>
      </w:r>
      <w:r w:rsidR="007C4FDA" w:rsidRPr="00080443">
        <w:rPr>
          <w:rFonts w:cs="Arial"/>
        </w:rPr>
        <w:t>)</w:t>
      </w:r>
      <w:r w:rsidR="00E607BA" w:rsidRPr="00080443">
        <w:rPr>
          <w:rFonts w:cs="Arial"/>
        </w:rPr>
        <w:t xml:space="preserve"> prices set by the ACMA (see 3.2.3 and 3.2.4)</w:t>
      </w:r>
    </w:p>
    <w:p w14:paraId="69A15335" w14:textId="77777777" w:rsidR="006F40AA" w:rsidRPr="00080443" w:rsidRDefault="00913037">
      <w:pPr>
        <w:pStyle w:val="ListBullet"/>
        <w:spacing w:after="240"/>
        <w:rPr>
          <w:rFonts w:cs="Arial"/>
          <w:color w:val="000000" w:themeColor="text1"/>
        </w:rPr>
      </w:pPr>
      <w:r w:rsidRPr="00080443">
        <w:rPr>
          <w:rFonts w:cs="Arial"/>
          <w:color w:val="000000" w:themeColor="text1"/>
        </w:rPr>
        <w:t>progress</w:t>
      </w:r>
      <w:r w:rsidR="00CF12BF" w:rsidRPr="00080443">
        <w:rPr>
          <w:rFonts w:cs="Arial"/>
        </w:rPr>
        <w:t xml:space="preserve"> of the TLAP development process. </w:t>
      </w:r>
    </w:p>
    <w:p w14:paraId="6D020652" w14:textId="77777777" w:rsidR="00CF12BF" w:rsidRPr="00080443" w:rsidRDefault="00CF12BF" w:rsidP="00CF12BF">
      <w:pPr>
        <w:pStyle w:val="Heading2"/>
        <w:numPr>
          <w:ilvl w:val="1"/>
          <w:numId w:val="13"/>
        </w:numPr>
        <w:rPr>
          <w:color w:val="000000" w:themeColor="text1"/>
        </w:rPr>
      </w:pPr>
      <w:bookmarkStart w:id="126" w:name="_Toc331758154"/>
      <w:bookmarkStart w:id="127" w:name="_Toc335246281"/>
      <w:bookmarkStart w:id="128" w:name="_Toc343780490"/>
      <w:r w:rsidRPr="00080443">
        <w:rPr>
          <w:color w:val="000000" w:themeColor="text1"/>
        </w:rPr>
        <w:t>Step 2</w:t>
      </w:r>
      <w:r w:rsidR="0011143E" w:rsidRPr="00080443">
        <w:rPr>
          <w:color w:val="000000" w:themeColor="text1"/>
        </w:rPr>
        <w:t>—</w:t>
      </w:r>
      <w:r w:rsidRPr="00080443">
        <w:rPr>
          <w:color w:val="000000" w:themeColor="text1"/>
        </w:rPr>
        <w:t>Access bidder training</w:t>
      </w:r>
      <w:bookmarkEnd w:id="126"/>
      <w:bookmarkEnd w:id="127"/>
      <w:bookmarkEnd w:id="128"/>
      <w:r w:rsidRPr="00080443">
        <w:rPr>
          <w:color w:val="000000" w:themeColor="text1"/>
        </w:rPr>
        <w:t xml:space="preserve"> </w:t>
      </w:r>
    </w:p>
    <w:p w14:paraId="01B9717A" w14:textId="77777777" w:rsidR="00CF12BF" w:rsidRPr="00080443" w:rsidRDefault="00CF12BF" w:rsidP="00CF12BF">
      <w:pPr>
        <w:rPr>
          <w:rFonts w:cs="Arial"/>
        </w:rPr>
      </w:pPr>
      <w:r w:rsidRPr="00080443">
        <w:rPr>
          <w:rFonts w:cs="Arial"/>
        </w:rPr>
        <w:t xml:space="preserve">Prospective bidders are encouraged to access the bidder support and training information and events discussed at 3.4. </w:t>
      </w:r>
      <w:r w:rsidR="0011143E" w:rsidRPr="00080443">
        <w:rPr>
          <w:rFonts w:cs="Arial"/>
        </w:rPr>
        <w:t>During</w:t>
      </w:r>
      <w:r w:rsidRPr="00080443">
        <w:rPr>
          <w:rFonts w:cs="Arial"/>
        </w:rPr>
        <w:t xml:space="preserve"> the lead-up to the auction</w:t>
      </w:r>
      <w:r w:rsidR="0011143E" w:rsidRPr="00080443">
        <w:rPr>
          <w:rFonts w:cs="Arial"/>
        </w:rPr>
        <w:t>, announcements about training and events</w:t>
      </w:r>
      <w:r w:rsidRPr="00080443">
        <w:rPr>
          <w:rFonts w:cs="Arial"/>
        </w:rPr>
        <w:t xml:space="preserve"> will be made through the sources listed at 6.1.</w:t>
      </w:r>
    </w:p>
    <w:p w14:paraId="42430832" w14:textId="77777777" w:rsidR="00CF12BF" w:rsidRPr="00080443" w:rsidRDefault="00CF12BF" w:rsidP="00CF12BF">
      <w:pPr>
        <w:rPr>
          <w:rFonts w:cs="Arial"/>
        </w:rPr>
      </w:pPr>
    </w:p>
    <w:p w14:paraId="209E4CD2" w14:textId="77777777" w:rsidR="00CF12BF" w:rsidRPr="00080443" w:rsidRDefault="00CF12BF" w:rsidP="00CF12BF">
      <w:pPr>
        <w:pStyle w:val="Heading2"/>
        <w:numPr>
          <w:ilvl w:val="1"/>
          <w:numId w:val="13"/>
        </w:numPr>
        <w:rPr>
          <w:color w:val="000000" w:themeColor="text1"/>
        </w:rPr>
      </w:pPr>
      <w:bookmarkStart w:id="129" w:name="_Toc335246282"/>
      <w:bookmarkStart w:id="130" w:name="_Toc343780491"/>
      <w:r w:rsidRPr="00080443">
        <w:rPr>
          <w:color w:val="000000" w:themeColor="text1"/>
        </w:rPr>
        <w:t>Step 3</w:t>
      </w:r>
      <w:r w:rsidR="0011143E" w:rsidRPr="00080443">
        <w:rPr>
          <w:color w:val="000000" w:themeColor="text1"/>
        </w:rPr>
        <w:t>—</w:t>
      </w:r>
      <w:r w:rsidRPr="00080443">
        <w:rPr>
          <w:color w:val="000000" w:themeColor="text1"/>
        </w:rPr>
        <w:t>Register as a bidder</w:t>
      </w:r>
      <w:bookmarkEnd w:id="129"/>
      <w:bookmarkEnd w:id="130"/>
    </w:p>
    <w:p w14:paraId="73F5D8EC" w14:textId="77777777" w:rsidR="00CF12BF" w:rsidRPr="00080443" w:rsidRDefault="00CF12BF" w:rsidP="00CF12BF">
      <w:pPr>
        <w:rPr>
          <w:rFonts w:cs="Arial"/>
          <w:color w:val="000000" w:themeColor="text1"/>
        </w:rPr>
      </w:pPr>
      <w:r w:rsidRPr="00080443">
        <w:rPr>
          <w:rFonts w:cs="Arial"/>
        </w:rPr>
        <w:t>People wishing to participate in the auction will need to register as a bidder. The registration process involves three stages</w:t>
      </w:r>
      <w:r w:rsidR="003B4218" w:rsidRPr="00080443">
        <w:rPr>
          <w:rFonts w:cs="Arial"/>
        </w:rPr>
        <w:t>—</w:t>
      </w:r>
      <w:r w:rsidRPr="00080443">
        <w:rPr>
          <w:rFonts w:cs="Arial"/>
        </w:rPr>
        <w:t>A, B and C</w:t>
      </w:r>
      <w:r w:rsidR="003B4218" w:rsidRPr="00080443">
        <w:rPr>
          <w:rFonts w:cs="Arial"/>
        </w:rPr>
        <w:t xml:space="preserve"> (see Figure 12)</w:t>
      </w:r>
      <w:r w:rsidRPr="00080443">
        <w:rPr>
          <w:rFonts w:cs="Arial"/>
        </w:rPr>
        <w:t>.</w:t>
      </w:r>
      <w:r w:rsidR="004A0125" w:rsidRPr="00080443">
        <w:rPr>
          <w:rFonts w:cs="Arial"/>
        </w:rPr>
        <w:t xml:space="preserve"> Only parties who have fulfilled all requirements in each of the three stages (including the </w:t>
      </w:r>
      <w:r w:rsidR="004A0125" w:rsidRPr="00080443">
        <w:rPr>
          <w:rFonts w:cs="Arial"/>
        </w:rPr>
        <w:lastRenderedPageBreak/>
        <w:t xml:space="preserve">completion and lodgement of all relevant deeds and other forms) within the applicable deadlines will be entitled to participate in the auction. </w:t>
      </w:r>
      <w:r w:rsidRPr="00080443">
        <w:rPr>
          <w:rFonts w:cs="Arial"/>
          <w:color w:val="000000" w:themeColor="text1"/>
        </w:rPr>
        <w:t xml:space="preserve"> </w:t>
      </w:r>
    </w:p>
    <w:p w14:paraId="398FBE43" w14:textId="77777777" w:rsidR="00E06588" w:rsidRPr="00080443" w:rsidRDefault="00E06588" w:rsidP="00CF12BF">
      <w:pPr>
        <w:rPr>
          <w:rFonts w:cs="Arial"/>
          <w:color w:val="000000" w:themeColor="text1"/>
        </w:rPr>
      </w:pPr>
    </w:p>
    <w:tbl>
      <w:tblPr>
        <w:tblW w:w="9645" w:type="dxa"/>
        <w:tblLayout w:type="fixed"/>
        <w:tblCellMar>
          <w:left w:w="0" w:type="dxa"/>
          <w:right w:w="0" w:type="dxa"/>
        </w:tblCellMar>
        <w:tblLook w:val="01E0" w:firstRow="1" w:lastRow="1" w:firstColumn="1" w:lastColumn="1" w:noHBand="0" w:noVBand="0"/>
      </w:tblPr>
      <w:tblGrid>
        <w:gridCol w:w="9645"/>
      </w:tblGrid>
      <w:tr w:rsidR="00E06588" w:rsidRPr="00080443" w14:paraId="67DDE0BB" w14:textId="77777777" w:rsidTr="00E06588">
        <w:trPr>
          <w:trHeight w:val="570"/>
        </w:trPr>
        <w:tc>
          <w:tcPr>
            <w:tcW w:w="9645" w:type="dxa"/>
            <w:tcBorders>
              <w:top w:val="single" w:sz="2" w:space="0" w:color="505050"/>
            </w:tcBorders>
            <w:shd w:val="clear" w:color="auto" w:fill="auto"/>
            <w:vAlign w:val="center"/>
          </w:tcPr>
          <w:p w14:paraId="5A82D2CD" w14:textId="77777777" w:rsidR="00E06588" w:rsidRPr="00080443" w:rsidRDefault="00E06588" w:rsidP="003B4218">
            <w:pPr>
              <w:pStyle w:val="Caption"/>
              <w:keepNext/>
              <w:rPr>
                <w:rFonts w:cs="Arial"/>
              </w:rPr>
            </w:pPr>
            <w:r w:rsidRPr="00080443">
              <w:rPr>
                <w:rFonts w:cs="Arial"/>
              </w:rPr>
              <w:t xml:space="preserve">Figure </w:t>
            </w:r>
            <w:r w:rsidR="00724CDB" w:rsidRPr="00080443">
              <w:rPr>
                <w:rFonts w:cs="Arial"/>
              </w:rPr>
              <w:fldChar w:fldCharType="begin"/>
            </w:r>
            <w:r w:rsidR="00DF1A48" w:rsidRPr="00080443">
              <w:rPr>
                <w:rFonts w:cs="Arial"/>
              </w:rPr>
              <w:instrText xml:space="preserve"> SEQ Figure \* ARABIC  </w:instrText>
            </w:r>
            <w:r w:rsidR="00724CDB" w:rsidRPr="00080443">
              <w:rPr>
                <w:rFonts w:cs="Arial"/>
              </w:rPr>
              <w:fldChar w:fldCharType="separate"/>
            </w:r>
            <w:r w:rsidR="00B8500D" w:rsidRPr="00080443">
              <w:rPr>
                <w:rFonts w:cs="Arial"/>
                <w:noProof/>
              </w:rPr>
              <w:t>12</w:t>
            </w:r>
            <w:r w:rsidR="00724CDB" w:rsidRPr="00080443">
              <w:rPr>
                <w:rFonts w:cs="Arial"/>
              </w:rPr>
              <w:fldChar w:fldCharType="end"/>
            </w:r>
            <w:r w:rsidRPr="00080443">
              <w:rPr>
                <w:rFonts w:cs="Arial"/>
              </w:rPr>
              <w:t xml:space="preserve"> Summary of stages in the bidder registration process</w:t>
            </w:r>
          </w:p>
        </w:tc>
      </w:tr>
      <w:tr w:rsidR="00E06588" w:rsidRPr="00080443" w14:paraId="0897FF3D" w14:textId="77777777" w:rsidTr="00E06588">
        <w:trPr>
          <w:trHeight w:val="3086"/>
        </w:trPr>
        <w:tc>
          <w:tcPr>
            <w:tcW w:w="9645" w:type="dxa"/>
            <w:shd w:val="clear" w:color="auto" w:fill="auto"/>
            <w:tcMar>
              <w:left w:w="28" w:type="dxa"/>
            </w:tcMar>
          </w:tcPr>
          <w:p w14:paraId="4603531B" w14:textId="77777777" w:rsidR="00E06588" w:rsidRPr="00080443" w:rsidRDefault="00FC3C9C" w:rsidP="00E06588">
            <w:pPr>
              <w:rPr>
                <w:rFonts w:cs="Arial"/>
              </w:rPr>
            </w:pPr>
            <w:r w:rsidRPr="00080443">
              <w:rPr>
                <w:rFonts w:cs="Arial"/>
                <w:noProof/>
              </w:rPr>
              <w:drawing>
                <wp:inline distT="0" distB="0" distL="0" distR="0" wp14:anchorId="7AEC2328" wp14:editId="500DBE20">
                  <wp:extent cx="6096000" cy="2333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srcRect/>
                          <a:stretch>
                            <a:fillRect/>
                          </a:stretch>
                        </pic:blipFill>
                        <pic:spPr bwMode="auto">
                          <a:xfrm>
                            <a:off x="0" y="0"/>
                            <a:ext cx="6096000" cy="2333625"/>
                          </a:xfrm>
                          <a:prstGeom prst="rect">
                            <a:avLst/>
                          </a:prstGeom>
                          <a:noFill/>
                          <a:ln w="9525">
                            <a:noFill/>
                            <a:miter lim="800000"/>
                            <a:headEnd/>
                            <a:tailEnd/>
                          </a:ln>
                        </pic:spPr>
                      </pic:pic>
                    </a:graphicData>
                  </a:graphic>
                </wp:inline>
              </w:drawing>
            </w:r>
          </w:p>
        </w:tc>
      </w:tr>
      <w:tr w:rsidR="00E06588" w:rsidRPr="00080443" w14:paraId="692AFEC7" w14:textId="77777777" w:rsidTr="00E06588">
        <w:trPr>
          <w:trHeight w:val="291"/>
        </w:trPr>
        <w:tc>
          <w:tcPr>
            <w:tcW w:w="9645" w:type="dxa"/>
            <w:tcBorders>
              <w:bottom w:val="single" w:sz="2" w:space="0" w:color="505050"/>
            </w:tcBorders>
            <w:shd w:val="clear" w:color="auto" w:fill="auto"/>
          </w:tcPr>
          <w:p w14:paraId="4A278520" w14:textId="77777777" w:rsidR="00E06588" w:rsidRPr="00080443" w:rsidRDefault="00E06588" w:rsidP="00E06588">
            <w:pPr>
              <w:rPr>
                <w:rFonts w:cs="Arial"/>
              </w:rPr>
            </w:pPr>
          </w:p>
        </w:tc>
      </w:tr>
    </w:tbl>
    <w:p w14:paraId="317D168C" w14:textId="77777777" w:rsidR="00E06588" w:rsidRPr="00080443" w:rsidRDefault="00E06588" w:rsidP="00CF12BF">
      <w:pPr>
        <w:rPr>
          <w:rFonts w:cs="Arial"/>
          <w:color w:val="000000" w:themeColor="text1"/>
        </w:rPr>
      </w:pPr>
    </w:p>
    <w:p w14:paraId="26D6D52C" w14:textId="77777777" w:rsidR="00CF12BF" w:rsidRPr="00080443" w:rsidRDefault="00CF12BF" w:rsidP="00CF12BF">
      <w:pPr>
        <w:pStyle w:val="Heading3"/>
        <w:numPr>
          <w:ilvl w:val="2"/>
          <w:numId w:val="13"/>
        </w:numPr>
      </w:pPr>
      <w:bookmarkStart w:id="131" w:name="_Toc331758156"/>
      <w:bookmarkStart w:id="132" w:name="_Toc335246283"/>
      <w:bookmarkStart w:id="133" w:name="_Toc343780492"/>
      <w:r w:rsidRPr="00080443">
        <w:t>Stage A</w:t>
      </w:r>
      <w:r w:rsidR="0011143E" w:rsidRPr="00080443">
        <w:t>—</w:t>
      </w:r>
      <w:r w:rsidRPr="00080443">
        <w:t>Lodge an application</w:t>
      </w:r>
      <w:bookmarkEnd w:id="131"/>
      <w:bookmarkEnd w:id="132"/>
      <w:bookmarkEnd w:id="133"/>
    </w:p>
    <w:p w14:paraId="1ABCCA6F" w14:textId="77777777" w:rsidR="00CF12BF" w:rsidRPr="00080443" w:rsidRDefault="00CF12BF" w:rsidP="00CF12BF">
      <w:pPr>
        <w:rPr>
          <w:rFonts w:cs="Arial"/>
        </w:rPr>
      </w:pPr>
      <w:r w:rsidRPr="00080443">
        <w:rPr>
          <w:rFonts w:cs="Arial"/>
        </w:rPr>
        <w:t>Prospective bidders will need to lodge an application by:</w:t>
      </w:r>
    </w:p>
    <w:p w14:paraId="57AEC8CF" w14:textId="77777777" w:rsidR="00CF12BF" w:rsidRPr="00080443" w:rsidRDefault="00CF12BF" w:rsidP="00CF12BF">
      <w:pPr>
        <w:pStyle w:val="ListBullet"/>
        <w:rPr>
          <w:rFonts w:cs="Arial"/>
        </w:rPr>
      </w:pPr>
      <w:r w:rsidRPr="00080443">
        <w:rPr>
          <w:rFonts w:cs="Arial"/>
        </w:rPr>
        <w:t>Paying the non-refundable application fee of $</w:t>
      </w:r>
      <w:r w:rsidR="00827403" w:rsidRPr="00080443">
        <w:rPr>
          <w:rFonts w:cs="Arial"/>
        </w:rPr>
        <w:t>25,000</w:t>
      </w:r>
      <w:r w:rsidRPr="00080443">
        <w:rPr>
          <w:rFonts w:cs="Arial"/>
        </w:rPr>
        <w:t>.</w:t>
      </w:r>
      <w:r w:rsidRPr="00080443">
        <w:rPr>
          <w:rStyle w:val="FootnoteReference"/>
          <w:rFonts w:cs="Arial"/>
        </w:rPr>
        <w:footnoteReference w:id="35"/>
      </w:r>
    </w:p>
    <w:p w14:paraId="675A87C9" w14:textId="77777777" w:rsidR="00CF12BF" w:rsidRPr="00080443" w:rsidRDefault="00CF12BF" w:rsidP="00CF12BF">
      <w:pPr>
        <w:pStyle w:val="ListBullet"/>
        <w:rPr>
          <w:rFonts w:cs="Arial"/>
        </w:rPr>
      </w:pPr>
      <w:r w:rsidRPr="00080443">
        <w:rPr>
          <w:rFonts w:cs="Arial"/>
        </w:rPr>
        <w:t>Lodging a completed application form (Form 1)—providing information about:</w:t>
      </w:r>
    </w:p>
    <w:p w14:paraId="17181B04" w14:textId="77777777" w:rsidR="00CF12BF" w:rsidRPr="00080443" w:rsidRDefault="00CF12BF" w:rsidP="00CF12BF">
      <w:pPr>
        <w:pStyle w:val="ListBullet"/>
        <w:tabs>
          <w:tab w:val="clear" w:pos="295"/>
          <w:tab w:val="num" w:pos="590"/>
        </w:tabs>
        <w:ind w:left="590"/>
        <w:rPr>
          <w:rFonts w:cs="Arial"/>
        </w:rPr>
      </w:pPr>
      <w:r w:rsidRPr="00080443">
        <w:rPr>
          <w:rFonts w:cs="Arial"/>
        </w:rPr>
        <w:t>the applicant and any associates (information about the applicant’s associates is required for the purposes of the ‘affiliation’ rules discussed at 3.2.</w:t>
      </w:r>
      <w:r w:rsidR="0037586E" w:rsidRPr="00080443">
        <w:rPr>
          <w:rFonts w:cs="Arial"/>
        </w:rPr>
        <w:t>6</w:t>
      </w:r>
      <w:r w:rsidRPr="00080443">
        <w:rPr>
          <w:rFonts w:cs="Arial"/>
        </w:rPr>
        <w:t>)</w:t>
      </w:r>
    </w:p>
    <w:p w14:paraId="12D118A3" w14:textId="77777777" w:rsidR="00CF12BF" w:rsidRPr="00080443" w:rsidRDefault="00CF12BF" w:rsidP="00CF12BF">
      <w:pPr>
        <w:pStyle w:val="ListBullet"/>
        <w:tabs>
          <w:tab w:val="clear" w:pos="295"/>
          <w:tab w:val="num" w:pos="590"/>
        </w:tabs>
        <w:ind w:left="590"/>
        <w:rPr>
          <w:rFonts w:cs="Arial"/>
        </w:rPr>
      </w:pPr>
      <w:r w:rsidRPr="00080443">
        <w:rPr>
          <w:rFonts w:cs="Arial"/>
        </w:rPr>
        <w:t xml:space="preserve">up to </w:t>
      </w:r>
      <w:r w:rsidR="00A02270" w:rsidRPr="00080443">
        <w:rPr>
          <w:rFonts w:cs="Arial"/>
        </w:rPr>
        <w:t>three</w:t>
      </w:r>
      <w:r w:rsidRPr="00080443">
        <w:rPr>
          <w:rFonts w:cs="Arial"/>
        </w:rPr>
        <w:t xml:space="preserve"> ‘authorised persons’ (for example, individual staff of</w:t>
      </w:r>
      <w:r w:rsidR="002F3C03" w:rsidRPr="00080443">
        <w:rPr>
          <w:rFonts w:cs="Arial"/>
        </w:rPr>
        <w:t xml:space="preserve"> the applicant) who require log</w:t>
      </w:r>
      <w:r w:rsidRPr="00080443">
        <w:rPr>
          <w:rFonts w:cs="Arial"/>
        </w:rPr>
        <w:t>in details for the auction system.</w:t>
      </w:r>
      <w:r w:rsidR="00A02270" w:rsidRPr="00080443">
        <w:rPr>
          <w:rStyle w:val="FootnoteReference"/>
          <w:rFonts w:cs="Arial"/>
        </w:rPr>
        <w:footnoteReference w:id="36"/>
      </w:r>
    </w:p>
    <w:p w14:paraId="7AAAD0D2" w14:textId="77777777" w:rsidR="00D65EEB" w:rsidRPr="00080443" w:rsidRDefault="00CF12BF" w:rsidP="00CF12BF">
      <w:pPr>
        <w:pStyle w:val="ListBullet"/>
        <w:rPr>
          <w:rFonts w:cs="Arial"/>
        </w:rPr>
      </w:pPr>
      <w:r w:rsidRPr="00080443">
        <w:rPr>
          <w:rFonts w:cs="Arial"/>
        </w:rPr>
        <w:t>Lodging a completed deed of acknowledgement form (Form 2)—containing</w:t>
      </w:r>
      <w:r w:rsidR="00D65EEB" w:rsidRPr="00080443">
        <w:rPr>
          <w:rFonts w:cs="Arial"/>
        </w:rPr>
        <w:t>, among other things,</w:t>
      </w:r>
      <w:r w:rsidRPr="00080443">
        <w:rPr>
          <w:rFonts w:cs="Arial"/>
        </w:rPr>
        <w:t xml:space="preserve"> provisions to the effect that</w:t>
      </w:r>
      <w:r w:rsidR="00D65EEB" w:rsidRPr="00080443">
        <w:rPr>
          <w:rFonts w:cs="Arial"/>
        </w:rPr>
        <w:t>:</w:t>
      </w:r>
      <w:r w:rsidRPr="00080443">
        <w:rPr>
          <w:rFonts w:cs="Arial"/>
        </w:rPr>
        <w:t xml:space="preserve"> </w:t>
      </w:r>
    </w:p>
    <w:p w14:paraId="0619FD8E" w14:textId="77777777" w:rsidR="004F63A4" w:rsidRPr="00080443" w:rsidRDefault="00CF12BF">
      <w:pPr>
        <w:pStyle w:val="ListBullet"/>
        <w:tabs>
          <w:tab w:val="clear" w:pos="295"/>
          <w:tab w:val="num" w:pos="590"/>
        </w:tabs>
        <w:ind w:left="590"/>
        <w:rPr>
          <w:rFonts w:cs="Arial"/>
        </w:rPr>
      </w:pPr>
      <w:r w:rsidRPr="00080443">
        <w:rPr>
          <w:rFonts w:cs="Arial"/>
        </w:rPr>
        <w:t>the applicant understands and agrees to be bound by the provisions of the allocation determination</w:t>
      </w:r>
    </w:p>
    <w:p w14:paraId="2E20EE67" w14:textId="77777777" w:rsidR="004F63A4" w:rsidRPr="00080443" w:rsidRDefault="00D65EEB">
      <w:pPr>
        <w:pStyle w:val="ListBullet"/>
        <w:tabs>
          <w:tab w:val="clear" w:pos="295"/>
          <w:tab w:val="num" w:pos="590"/>
        </w:tabs>
        <w:ind w:left="590"/>
        <w:rPr>
          <w:rFonts w:cs="Arial"/>
        </w:rPr>
      </w:pPr>
      <w:r w:rsidRPr="00080443">
        <w:rPr>
          <w:rFonts w:cs="Arial"/>
        </w:rPr>
        <w:t>the applicant agrees to indemnify the ACMA and the Commonwealth against any liability, damages, losses, costs or expenses arising from the actions of the applicant or its associates in relation to the auction, or from any breach by the applicant of the allocation determination or deed of acknowledgement</w:t>
      </w:r>
    </w:p>
    <w:p w14:paraId="4066B9A3" w14:textId="77777777" w:rsidR="005C04A7" w:rsidRPr="00080443" w:rsidRDefault="00901E13">
      <w:pPr>
        <w:pStyle w:val="ListBullet"/>
        <w:tabs>
          <w:tab w:val="clear" w:pos="295"/>
          <w:tab w:val="num" w:pos="590"/>
        </w:tabs>
        <w:ind w:left="590"/>
        <w:rPr>
          <w:rFonts w:cs="Arial"/>
        </w:rPr>
      </w:pPr>
      <w:r w:rsidRPr="00080443">
        <w:rPr>
          <w:rFonts w:cs="Arial"/>
        </w:rPr>
        <w:t>the liability of the ACMA, the auction manager, the Commonwealth, and their officers, employees, agents, contractors, subcontractors, associates and delegates in connection with the auction process or delays in access to spectrum caused by the restack is excluded</w:t>
      </w:r>
    </w:p>
    <w:p w14:paraId="3FEC8259" w14:textId="77777777" w:rsidR="004F63A4" w:rsidRPr="00080443" w:rsidRDefault="005C04A7">
      <w:pPr>
        <w:pStyle w:val="ListBullet"/>
        <w:tabs>
          <w:tab w:val="clear" w:pos="295"/>
          <w:tab w:val="num" w:pos="590"/>
        </w:tabs>
        <w:ind w:left="590"/>
        <w:rPr>
          <w:rFonts w:cs="Arial"/>
        </w:rPr>
      </w:pPr>
      <w:r w:rsidRPr="00080443">
        <w:rPr>
          <w:rFonts w:cs="Arial"/>
        </w:rPr>
        <w:t>the applicant agrees not to bring a claim of any kind against Broadcast Australia in respect of any delays in the restack process</w:t>
      </w:r>
      <w:r w:rsidR="00D65EEB" w:rsidRPr="00080443">
        <w:rPr>
          <w:rFonts w:cs="Arial"/>
        </w:rPr>
        <w:t>.</w:t>
      </w:r>
    </w:p>
    <w:p w14:paraId="6F516BE4" w14:textId="77777777" w:rsidR="00CF12BF" w:rsidRPr="00080443" w:rsidRDefault="00CF12BF" w:rsidP="00870550">
      <w:pPr>
        <w:pStyle w:val="ListBullet"/>
        <w:spacing w:after="240"/>
        <w:rPr>
          <w:rFonts w:cs="Arial"/>
        </w:rPr>
      </w:pPr>
      <w:r w:rsidRPr="00080443">
        <w:rPr>
          <w:rFonts w:cs="Arial"/>
        </w:rPr>
        <w:lastRenderedPageBreak/>
        <w:t>Lodging a completed deed of confidentiality form (Form 3)—containing provisions to the effect that the applicant agrees not to disclose confidential information before their confidentiality obligations cease to apply (see ‘confidentiality rules’ discussed at 3.2.</w:t>
      </w:r>
      <w:r w:rsidR="0037586E" w:rsidRPr="00080443">
        <w:rPr>
          <w:rFonts w:cs="Arial"/>
        </w:rPr>
        <w:t>7</w:t>
      </w:r>
      <w:r w:rsidRPr="00080443">
        <w:rPr>
          <w:rFonts w:cs="Arial"/>
        </w:rPr>
        <w:t>).</w:t>
      </w:r>
    </w:p>
    <w:p w14:paraId="21A508AF" w14:textId="77777777" w:rsidR="00CF12BF" w:rsidRPr="00080443" w:rsidRDefault="00CF12BF" w:rsidP="00CF12BF">
      <w:pPr>
        <w:rPr>
          <w:rFonts w:cs="Arial"/>
        </w:rPr>
      </w:pPr>
      <w:r w:rsidRPr="00080443">
        <w:rPr>
          <w:rFonts w:cs="Arial"/>
        </w:rPr>
        <w:t xml:space="preserve">Applications must be lodged by the application deadline of </w:t>
      </w:r>
      <w:r w:rsidR="001133F7" w:rsidRPr="00080443">
        <w:rPr>
          <w:rFonts w:cs="Arial"/>
          <w:b/>
        </w:rPr>
        <w:t>24</w:t>
      </w:r>
      <w:r w:rsidR="00C22F89" w:rsidRPr="00080443">
        <w:rPr>
          <w:rFonts w:cs="Arial"/>
          <w:b/>
        </w:rPr>
        <w:t xml:space="preserve"> January 2013</w:t>
      </w:r>
      <w:r w:rsidRPr="00080443">
        <w:rPr>
          <w:rFonts w:cs="Arial"/>
        </w:rPr>
        <w:t xml:space="preserve">. </w:t>
      </w:r>
    </w:p>
    <w:p w14:paraId="534AE8FB" w14:textId="77777777" w:rsidR="00CF12BF" w:rsidRPr="00080443" w:rsidRDefault="00CF12BF" w:rsidP="00CF12BF">
      <w:pPr>
        <w:rPr>
          <w:rFonts w:cs="Arial"/>
        </w:rPr>
      </w:pPr>
    </w:p>
    <w:p w14:paraId="7BD8C2FE" w14:textId="77777777" w:rsidR="00A901E5" w:rsidRPr="00080443" w:rsidRDefault="00A901E5" w:rsidP="00CF12BF">
      <w:pPr>
        <w:rPr>
          <w:rFonts w:cs="Arial"/>
        </w:rPr>
      </w:pPr>
      <w:r w:rsidRPr="00080443">
        <w:rPr>
          <w:rFonts w:cs="Arial"/>
        </w:rPr>
        <w:t xml:space="preserve">Under the confidentiality rules, a ‘related person’ of an applicant or bidder who has knowledge of the applicant’s or bidder’s </w:t>
      </w:r>
      <w:r w:rsidR="003D2871" w:rsidRPr="00080443">
        <w:rPr>
          <w:rFonts w:cs="Arial"/>
        </w:rPr>
        <w:t>‘</w:t>
      </w:r>
      <w:r w:rsidRPr="00080443">
        <w:rPr>
          <w:rFonts w:cs="Arial"/>
        </w:rPr>
        <w:t>confidential information</w:t>
      </w:r>
      <w:r w:rsidR="003D2871" w:rsidRPr="00080443">
        <w:rPr>
          <w:rFonts w:cs="Arial"/>
        </w:rPr>
        <w:t>’</w:t>
      </w:r>
      <w:r w:rsidRPr="00080443">
        <w:rPr>
          <w:rFonts w:cs="Arial"/>
        </w:rPr>
        <w:t xml:space="preserve"> must also lodge a completed deed of confidentiality form</w:t>
      </w:r>
      <w:r w:rsidR="003C6547" w:rsidRPr="00080443">
        <w:rPr>
          <w:rFonts w:cs="Arial"/>
        </w:rPr>
        <w:t xml:space="preserve"> (see 3.2.7)</w:t>
      </w:r>
      <w:r w:rsidRPr="00080443">
        <w:rPr>
          <w:rFonts w:cs="Arial"/>
        </w:rPr>
        <w:t xml:space="preserve">. Where the related person receives knowledge of the applicant’s confidential information </w:t>
      </w:r>
      <w:r w:rsidRPr="00080443">
        <w:rPr>
          <w:rFonts w:cs="Arial"/>
          <w:i/>
        </w:rPr>
        <w:t>before</w:t>
      </w:r>
      <w:r w:rsidRPr="00080443">
        <w:rPr>
          <w:rFonts w:cs="Arial"/>
        </w:rPr>
        <w:t xml:space="preserve"> the application deadline, the person must lodge a completed deed before the application deadline. Otherwise, the</w:t>
      </w:r>
      <w:r w:rsidR="003D2871" w:rsidRPr="00080443">
        <w:rPr>
          <w:rFonts w:cs="Arial"/>
        </w:rPr>
        <w:t xml:space="preserve">y must lodge a completed </w:t>
      </w:r>
      <w:r w:rsidRPr="00080443">
        <w:rPr>
          <w:rFonts w:cs="Arial"/>
        </w:rPr>
        <w:t xml:space="preserve">deed as soon as </w:t>
      </w:r>
      <w:r w:rsidR="003D2871" w:rsidRPr="00080443">
        <w:rPr>
          <w:rFonts w:cs="Arial"/>
        </w:rPr>
        <w:t xml:space="preserve">reasonably practicable after receiving knowledge of an </w:t>
      </w:r>
      <w:r w:rsidRPr="00080443">
        <w:rPr>
          <w:rFonts w:cs="Arial"/>
        </w:rPr>
        <w:t>applicant’s or bidder’s confidential information.</w:t>
      </w:r>
    </w:p>
    <w:p w14:paraId="45BD73FF" w14:textId="77777777" w:rsidR="00A901E5" w:rsidRPr="00080443" w:rsidRDefault="00A901E5" w:rsidP="00CF12BF">
      <w:pPr>
        <w:rPr>
          <w:rFonts w:cs="Arial"/>
        </w:rPr>
      </w:pPr>
    </w:p>
    <w:p w14:paraId="1017E2DE" w14:textId="77777777" w:rsidR="00CF12BF" w:rsidRPr="00080443" w:rsidRDefault="00CF12BF" w:rsidP="00CF12BF">
      <w:pPr>
        <w:rPr>
          <w:rFonts w:cs="Arial"/>
        </w:rPr>
      </w:pPr>
      <w:r w:rsidRPr="00080443">
        <w:rPr>
          <w:rFonts w:cs="Arial"/>
        </w:rPr>
        <w:t>The ACMA will contact applicants as soon as practicable after receiving the material above to confirm receipt and, if necessary</w:t>
      </w:r>
      <w:r w:rsidR="00533298" w:rsidRPr="00080443">
        <w:rPr>
          <w:rFonts w:cs="Arial"/>
        </w:rPr>
        <w:t xml:space="preserve"> and possible</w:t>
      </w:r>
      <w:r w:rsidRPr="00080443">
        <w:rPr>
          <w:rFonts w:cs="Arial"/>
        </w:rPr>
        <w:t xml:space="preserve">, resolve cases where an element of the application is missing, incomplete or unclear. Applicants are encouraged to lodge their applications as early as possible. This will enable the ACMA to resolve such cases, and applicants to update their application if they wish, </w:t>
      </w:r>
      <w:r w:rsidRPr="00080443">
        <w:rPr>
          <w:rFonts w:cs="Arial"/>
          <w:i/>
        </w:rPr>
        <w:t>before</w:t>
      </w:r>
      <w:r w:rsidRPr="00080443">
        <w:rPr>
          <w:rFonts w:cs="Arial"/>
        </w:rPr>
        <w:t xml:space="preserve"> the application deadline. </w:t>
      </w:r>
    </w:p>
    <w:p w14:paraId="7F672155" w14:textId="77777777" w:rsidR="00CF12BF" w:rsidRPr="00080443" w:rsidRDefault="00CF12BF" w:rsidP="00CF12BF">
      <w:pPr>
        <w:rPr>
          <w:rFonts w:cs="Arial"/>
        </w:rPr>
      </w:pPr>
    </w:p>
    <w:p w14:paraId="3276AD0B" w14:textId="77777777" w:rsidR="00CF12BF" w:rsidRPr="00080443" w:rsidRDefault="00CF12BF" w:rsidP="00CF12BF">
      <w:pPr>
        <w:pStyle w:val="Heading3"/>
        <w:numPr>
          <w:ilvl w:val="2"/>
          <w:numId w:val="13"/>
        </w:numPr>
      </w:pPr>
      <w:bookmarkStart w:id="134" w:name="_Toc335246284"/>
      <w:bookmarkStart w:id="135" w:name="_Toc343780493"/>
      <w:r w:rsidRPr="00080443">
        <w:t>Stage B</w:t>
      </w:r>
      <w:r w:rsidR="0011143E" w:rsidRPr="00080443">
        <w:t>—</w:t>
      </w:r>
      <w:r w:rsidRPr="00080443">
        <w:t>Provide statutory declaration about affiliations with other applicants</w:t>
      </w:r>
      <w:bookmarkEnd w:id="134"/>
      <w:bookmarkEnd w:id="135"/>
    </w:p>
    <w:p w14:paraId="0DD95FE2" w14:textId="77777777" w:rsidR="00CF12BF" w:rsidRPr="00080443" w:rsidRDefault="00CF12BF" w:rsidP="004D411C">
      <w:pPr>
        <w:spacing w:after="80"/>
        <w:rPr>
          <w:rFonts w:cs="Arial"/>
        </w:rPr>
      </w:pPr>
      <w:r w:rsidRPr="00080443">
        <w:rPr>
          <w:rFonts w:cs="Arial"/>
        </w:rPr>
        <w:t xml:space="preserve">After the application deadline, the ACMA will: </w:t>
      </w:r>
    </w:p>
    <w:p w14:paraId="67400F41" w14:textId="77777777" w:rsidR="00CF12BF" w:rsidRPr="00080443" w:rsidRDefault="00CF12BF" w:rsidP="00CF12BF">
      <w:pPr>
        <w:pStyle w:val="ListBullet"/>
        <w:rPr>
          <w:rFonts w:cs="Arial"/>
        </w:rPr>
      </w:pPr>
      <w:r w:rsidRPr="00080443">
        <w:rPr>
          <w:rFonts w:cs="Arial"/>
        </w:rPr>
        <w:t>give each applicant details about the identity of all other applicants, and the persons identified (by each applicant in their application form) as the associates of other applicants</w:t>
      </w:r>
    </w:p>
    <w:p w14:paraId="1F962C9F" w14:textId="77777777" w:rsidR="00CF12BF" w:rsidRPr="00080443" w:rsidRDefault="00CF12BF" w:rsidP="00870550">
      <w:pPr>
        <w:pStyle w:val="ListBullet"/>
        <w:spacing w:after="240"/>
        <w:rPr>
          <w:rFonts w:cs="Arial"/>
        </w:rPr>
      </w:pPr>
      <w:r w:rsidRPr="00080443">
        <w:rPr>
          <w:rFonts w:cs="Arial"/>
        </w:rPr>
        <w:t>ask each applicant to make a statutory declaration for the purposes of section 4.</w:t>
      </w:r>
      <w:r w:rsidR="00307479" w:rsidRPr="00080443">
        <w:rPr>
          <w:rFonts w:cs="Arial"/>
        </w:rPr>
        <w:t>9</w:t>
      </w:r>
      <w:r w:rsidRPr="00080443">
        <w:rPr>
          <w:rFonts w:cs="Arial"/>
        </w:rPr>
        <w:t xml:space="preserve"> of the allocation determination (Form 4) stating whether the applicant is affiliated with another applicant and, if so, identifying the other applicant and giving details of the affiliation</w:t>
      </w:r>
      <w:r w:rsidR="0011143E" w:rsidRPr="00080443">
        <w:rPr>
          <w:rFonts w:cs="Arial"/>
        </w:rPr>
        <w:t>.</w:t>
      </w:r>
    </w:p>
    <w:p w14:paraId="5F3A9AD7" w14:textId="77777777" w:rsidR="00CF12BF" w:rsidRPr="00080443" w:rsidRDefault="00C63B98" w:rsidP="00CF12BF">
      <w:pPr>
        <w:rPr>
          <w:rFonts w:cs="Arial"/>
        </w:rPr>
      </w:pPr>
      <w:r w:rsidRPr="00080443">
        <w:rPr>
          <w:rFonts w:cs="Arial"/>
        </w:rPr>
        <w:t xml:space="preserve">Statutory declarations made for the purposes of section 4.9 of the allocation determination must be lodged by the deadline stated in the ACMA’s request. The deadline will be at least five working days </w:t>
      </w:r>
      <w:r w:rsidR="00307479" w:rsidRPr="00080443">
        <w:rPr>
          <w:rFonts w:cs="Arial"/>
        </w:rPr>
        <w:t xml:space="preserve">after the date of the request. </w:t>
      </w:r>
    </w:p>
    <w:p w14:paraId="66530418" w14:textId="77777777" w:rsidR="00CF12BF" w:rsidRPr="00080443" w:rsidRDefault="00CF12BF" w:rsidP="00CF12BF">
      <w:pPr>
        <w:rPr>
          <w:rFonts w:cs="Arial"/>
        </w:rPr>
      </w:pPr>
    </w:p>
    <w:p w14:paraId="19D0EC54" w14:textId="77777777" w:rsidR="00CF12BF" w:rsidRPr="00080443" w:rsidRDefault="00CF12BF" w:rsidP="00CF12BF">
      <w:pPr>
        <w:rPr>
          <w:rFonts w:cs="Arial"/>
        </w:rPr>
      </w:pPr>
      <w:r w:rsidRPr="00080443">
        <w:rPr>
          <w:rFonts w:cs="Arial"/>
        </w:rPr>
        <w:t xml:space="preserve">If an applicant does not give the ACMA a statutory declaration as requested, </w:t>
      </w:r>
      <w:r w:rsidR="0011143E" w:rsidRPr="00080443">
        <w:rPr>
          <w:rFonts w:cs="Arial"/>
        </w:rPr>
        <w:t>they</w:t>
      </w:r>
      <w:r w:rsidRPr="00080443">
        <w:rPr>
          <w:rFonts w:cs="Arial"/>
        </w:rPr>
        <w:t xml:space="preserve"> will be taken to have withdrawn their application. The implications of </w:t>
      </w:r>
      <w:r w:rsidR="0011143E" w:rsidRPr="00080443">
        <w:rPr>
          <w:rFonts w:cs="Arial"/>
        </w:rPr>
        <w:t>this</w:t>
      </w:r>
      <w:r w:rsidRPr="00080443">
        <w:rPr>
          <w:rFonts w:cs="Arial"/>
        </w:rPr>
        <w:t xml:space="preserve"> are discussed at 3.2.2. </w:t>
      </w:r>
    </w:p>
    <w:p w14:paraId="7F0723A9" w14:textId="77777777" w:rsidR="00CF12BF" w:rsidRPr="00080443" w:rsidRDefault="00CF12BF" w:rsidP="00CF12BF">
      <w:pPr>
        <w:rPr>
          <w:rFonts w:cs="Arial"/>
        </w:rPr>
      </w:pPr>
    </w:p>
    <w:p w14:paraId="4FEFFFBB" w14:textId="77777777" w:rsidR="00CF12BF" w:rsidRPr="00080443" w:rsidRDefault="00CF12BF" w:rsidP="00C53B4A">
      <w:pPr>
        <w:spacing w:after="80"/>
        <w:rPr>
          <w:rFonts w:cs="Arial"/>
        </w:rPr>
      </w:pPr>
      <w:r w:rsidRPr="00080443">
        <w:rPr>
          <w:rFonts w:cs="Arial"/>
        </w:rPr>
        <w:t xml:space="preserve">If the ACMA is satisfied that two or more applicants are affiliated, it will, in writing: </w:t>
      </w:r>
    </w:p>
    <w:p w14:paraId="45329428" w14:textId="77777777" w:rsidR="00CF12BF" w:rsidRPr="00080443" w:rsidRDefault="00CF12BF" w:rsidP="00CF12BF">
      <w:pPr>
        <w:pStyle w:val="ListBullet"/>
        <w:rPr>
          <w:rFonts w:cs="Arial"/>
        </w:rPr>
      </w:pPr>
      <w:r w:rsidRPr="00080443">
        <w:rPr>
          <w:rFonts w:cs="Arial"/>
        </w:rPr>
        <w:t>notify the applicants and tell them the basis on which it is satisfied they are affiliated</w:t>
      </w:r>
    </w:p>
    <w:p w14:paraId="406A9999" w14:textId="77777777" w:rsidR="00CF12BF" w:rsidRPr="00080443" w:rsidRDefault="00CF12BF" w:rsidP="00CF12BF">
      <w:pPr>
        <w:pStyle w:val="ListBullet"/>
        <w:rPr>
          <w:rFonts w:cs="Arial"/>
        </w:rPr>
      </w:pPr>
      <w:r w:rsidRPr="00080443">
        <w:rPr>
          <w:rFonts w:cs="Arial"/>
        </w:rPr>
        <w:t xml:space="preserve">notify the affiliated applicants that to participate in the auction they must either: </w:t>
      </w:r>
    </w:p>
    <w:p w14:paraId="54935EF8" w14:textId="77777777" w:rsidR="00CF12BF" w:rsidRPr="00080443" w:rsidRDefault="00CF12BF" w:rsidP="006630E6">
      <w:pPr>
        <w:pStyle w:val="ListBullet"/>
        <w:numPr>
          <w:ilvl w:val="0"/>
          <w:numId w:val="15"/>
        </w:numPr>
        <w:rPr>
          <w:rFonts w:cs="Arial"/>
        </w:rPr>
      </w:pPr>
      <w:r w:rsidRPr="00080443">
        <w:rPr>
          <w:rFonts w:cs="Arial"/>
        </w:rPr>
        <w:t>withdraw all of their applications and submit a new application as a single applicant</w:t>
      </w:r>
    </w:p>
    <w:p w14:paraId="34AF2883" w14:textId="77777777" w:rsidR="00CF12BF" w:rsidRPr="00080443" w:rsidRDefault="00CF12BF" w:rsidP="006630E6">
      <w:pPr>
        <w:pStyle w:val="ListBullet"/>
        <w:numPr>
          <w:ilvl w:val="0"/>
          <w:numId w:val="15"/>
        </w:numPr>
        <w:spacing w:after="240"/>
        <w:rPr>
          <w:rFonts w:cs="Arial"/>
        </w:rPr>
      </w:pPr>
      <w:r w:rsidRPr="00080443">
        <w:rPr>
          <w:rFonts w:cs="Arial"/>
        </w:rPr>
        <w:t>withdraw all but one of their applications.</w:t>
      </w:r>
    </w:p>
    <w:p w14:paraId="3EB1E9F4" w14:textId="77777777" w:rsidR="00CF12BF" w:rsidRPr="00080443" w:rsidRDefault="00CF12BF" w:rsidP="00CF12BF">
      <w:pPr>
        <w:rPr>
          <w:rFonts w:cs="Arial"/>
        </w:rPr>
      </w:pPr>
      <w:r w:rsidRPr="00080443">
        <w:rPr>
          <w:rFonts w:cs="Arial"/>
        </w:rPr>
        <w:t xml:space="preserve">Within 10 working days of being notified about the affiliation, the affiliated applicants must notify the ACMA in writing about which of the two options they wish to take. If they do not do so, they will be taken to have withdrawn their applications. If some of the affiliated applicants withdraw their applications, but more than one of them does not, </w:t>
      </w:r>
      <w:r w:rsidRPr="00080443">
        <w:rPr>
          <w:rFonts w:cs="Arial"/>
          <w:i/>
        </w:rPr>
        <w:t>all</w:t>
      </w:r>
      <w:r w:rsidRPr="00080443">
        <w:rPr>
          <w:rFonts w:cs="Arial"/>
        </w:rPr>
        <w:t xml:space="preserve"> of the affiliated applicants will be taken to have withdrawn their applications. </w:t>
      </w:r>
      <w:r w:rsidRPr="00080443">
        <w:rPr>
          <w:rFonts w:cs="Arial"/>
        </w:rPr>
        <w:lastRenderedPageBreak/>
        <w:t xml:space="preserve">Where an applicant is taken to have withdrawn its application in such circumstances, the ACMA will tell </w:t>
      </w:r>
      <w:r w:rsidR="0011143E" w:rsidRPr="00080443">
        <w:rPr>
          <w:rFonts w:cs="Arial"/>
        </w:rPr>
        <w:t>it</w:t>
      </w:r>
      <w:r w:rsidRPr="00080443">
        <w:rPr>
          <w:rFonts w:cs="Arial"/>
        </w:rPr>
        <w:t xml:space="preserve"> in writing that this is the case. </w:t>
      </w:r>
    </w:p>
    <w:p w14:paraId="4A69109A" w14:textId="77777777" w:rsidR="00CF12BF" w:rsidRPr="00080443" w:rsidRDefault="00CF12BF" w:rsidP="00CF12BF">
      <w:pPr>
        <w:rPr>
          <w:rFonts w:cs="Arial"/>
        </w:rPr>
      </w:pPr>
    </w:p>
    <w:p w14:paraId="3BAED16B" w14:textId="77777777" w:rsidR="00CF12BF" w:rsidRPr="00080443" w:rsidRDefault="00CF12BF" w:rsidP="00F72EA1">
      <w:pPr>
        <w:spacing w:after="80"/>
        <w:rPr>
          <w:rFonts w:cs="Arial"/>
        </w:rPr>
      </w:pPr>
      <w:r w:rsidRPr="00080443">
        <w:rPr>
          <w:rFonts w:cs="Arial"/>
        </w:rPr>
        <w:t>A new application submitted under option (a) must comply with the procedures set out in section 4.1</w:t>
      </w:r>
      <w:r w:rsidR="00353AD9" w:rsidRPr="00080443">
        <w:rPr>
          <w:rFonts w:cs="Arial"/>
        </w:rPr>
        <w:t>2</w:t>
      </w:r>
      <w:r w:rsidRPr="00080443">
        <w:rPr>
          <w:rFonts w:cs="Arial"/>
        </w:rPr>
        <w:t xml:space="preserve"> of the allocation determination. Among other things, section 4.1</w:t>
      </w:r>
      <w:r w:rsidR="00353AD9" w:rsidRPr="00080443">
        <w:rPr>
          <w:rFonts w:cs="Arial"/>
        </w:rPr>
        <w:t>2</w:t>
      </w:r>
      <w:r w:rsidRPr="00080443">
        <w:rPr>
          <w:rFonts w:cs="Arial"/>
        </w:rPr>
        <w:t xml:space="preserve"> requires that the new applicant must:</w:t>
      </w:r>
    </w:p>
    <w:p w14:paraId="3CA4B7CF" w14:textId="77777777" w:rsidR="00CF12BF" w:rsidRPr="00080443" w:rsidRDefault="00CF12BF" w:rsidP="00CF12BF">
      <w:pPr>
        <w:pStyle w:val="ListBullet"/>
        <w:rPr>
          <w:rFonts w:cs="Arial"/>
        </w:rPr>
      </w:pPr>
      <w:r w:rsidRPr="00080443">
        <w:rPr>
          <w:rFonts w:cs="Arial"/>
        </w:rPr>
        <w:t>be a body corporate whose only members are one or more of the affiliated applicants</w:t>
      </w:r>
    </w:p>
    <w:p w14:paraId="162C540C" w14:textId="77777777" w:rsidR="00CF12BF" w:rsidRPr="00080443" w:rsidRDefault="00CF12BF" w:rsidP="00CF12BF">
      <w:pPr>
        <w:pStyle w:val="ListBullet"/>
        <w:rPr>
          <w:rFonts w:cs="Arial"/>
        </w:rPr>
      </w:pPr>
      <w:r w:rsidRPr="00080443">
        <w:rPr>
          <w:rFonts w:cs="Arial"/>
        </w:rPr>
        <w:t>within 10 working days of being notified about the affiliation, lodge a completed application form (Form 1) and pay the application fee</w:t>
      </w:r>
      <w:r w:rsidR="00353AD9" w:rsidRPr="00080443">
        <w:rPr>
          <w:rFonts w:cs="Arial"/>
        </w:rPr>
        <w:t xml:space="preserve"> of $25,000</w:t>
      </w:r>
    </w:p>
    <w:p w14:paraId="3DA10DA7" w14:textId="77777777" w:rsidR="00CF12BF" w:rsidRPr="00080443" w:rsidRDefault="00CF12BF" w:rsidP="00CF12BF">
      <w:pPr>
        <w:pStyle w:val="ListBullet"/>
        <w:rPr>
          <w:rFonts w:cs="Arial"/>
        </w:rPr>
      </w:pPr>
      <w:r w:rsidRPr="00080443">
        <w:rPr>
          <w:rFonts w:cs="Arial"/>
        </w:rPr>
        <w:t xml:space="preserve">within three working days of the ACMA </w:t>
      </w:r>
      <w:r w:rsidR="0011143E" w:rsidRPr="00080443">
        <w:rPr>
          <w:rFonts w:cs="Arial"/>
        </w:rPr>
        <w:t>providing</w:t>
      </w:r>
      <w:r w:rsidRPr="00080443">
        <w:rPr>
          <w:rFonts w:cs="Arial"/>
        </w:rPr>
        <w:t xml:space="preserve"> updated details about the identity of all other applicants and their associates</w:t>
      </w:r>
      <w:r w:rsidR="0011143E" w:rsidRPr="00080443">
        <w:rPr>
          <w:rFonts w:cs="Arial"/>
        </w:rPr>
        <w:t>—</w:t>
      </w:r>
      <w:r w:rsidRPr="00080443">
        <w:rPr>
          <w:rFonts w:cs="Arial"/>
        </w:rPr>
        <w:t>including any new applicants arising from option (a</w:t>
      </w:r>
      <w:r w:rsidR="0011143E" w:rsidRPr="00080443">
        <w:rPr>
          <w:rFonts w:cs="Arial"/>
        </w:rPr>
        <w:t>)—</w:t>
      </w:r>
      <w:r w:rsidRPr="00080443">
        <w:rPr>
          <w:rFonts w:cs="Arial"/>
        </w:rPr>
        <w:t xml:space="preserve">lodge: </w:t>
      </w:r>
    </w:p>
    <w:p w14:paraId="66958978" w14:textId="77777777" w:rsidR="00CF12BF" w:rsidRPr="00080443" w:rsidRDefault="00CF12BF" w:rsidP="00CF12BF">
      <w:pPr>
        <w:pStyle w:val="ListBullet"/>
        <w:tabs>
          <w:tab w:val="clear" w:pos="295"/>
          <w:tab w:val="num" w:pos="590"/>
        </w:tabs>
        <w:ind w:left="590"/>
        <w:rPr>
          <w:rFonts w:cs="Arial"/>
        </w:rPr>
      </w:pPr>
      <w:r w:rsidRPr="00080443">
        <w:rPr>
          <w:rFonts w:cs="Arial"/>
        </w:rPr>
        <w:t>a completed deed of acknowledgement form (Form 2)</w:t>
      </w:r>
    </w:p>
    <w:p w14:paraId="11C7BD94" w14:textId="77777777" w:rsidR="00CF12BF" w:rsidRPr="00080443" w:rsidRDefault="00CF12BF" w:rsidP="00CF12BF">
      <w:pPr>
        <w:pStyle w:val="ListBullet"/>
        <w:tabs>
          <w:tab w:val="clear" w:pos="295"/>
          <w:tab w:val="num" w:pos="590"/>
        </w:tabs>
        <w:ind w:left="590"/>
        <w:rPr>
          <w:rFonts w:cs="Arial"/>
        </w:rPr>
      </w:pPr>
      <w:r w:rsidRPr="00080443">
        <w:rPr>
          <w:rFonts w:cs="Arial"/>
        </w:rPr>
        <w:t>a completed deed of confidentiality form (Form 3)</w:t>
      </w:r>
    </w:p>
    <w:p w14:paraId="36C08958" w14:textId="77777777" w:rsidR="00CF12BF" w:rsidRPr="00080443" w:rsidRDefault="00CF12BF" w:rsidP="00E93C36">
      <w:pPr>
        <w:pStyle w:val="ListBullet"/>
        <w:tabs>
          <w:tab w:val="clear" w:pos="295"/>
          <w:tab w:val="num" w:pos="590"/>
        </w:tabs>
        <w:spacing w:after="240"/>
        <w:ind w:left="590"/>
        <w:rPr>
          <w:rFonts w:cs="Arial"/>
        </w:rPr>
      </w:pPr>
      <w:r w:rsidRPr="00080443">
        <w:rPr>
          <w:rFonts w:cs="Arial"/>
        </w:rPr>
        <w:t>a statutory declaration for the purposes of subsection 4.1</w:t>
      </w:r>
      <w:r w:rsidR="00353AD9" w:rsidRPr="00080443">
        <w:rPr>
          <w:rFonts w:cs="Arial"/>
        </w:rPr>
        <w:t>2</w:t>
      </w:r>
      <w:r w:rsidRPr="00080443">
        <w:rPr>
          <w:rFonts w:cs="Arial"/>
        </w:rPr>
        <w:t>(5) of the allocation determination that the new applicant is not affiliated with any other applicant in the updated list (Form 5).</w:t>
      </w:r>
    </w:p>
    <w:p w14:paraId="1361BFC0" w14:textId="77777777" w:rsidR="00CF12BF" w:rsidRPr="00080443" w:rsidRDefault="00CF12BF" w:rsidP="004D411C">
      <w:pPr>
        <w:pStyle w:val="ListBullet"/>
        <w:numPr>
          <w:ilvl w:val="0"/>
          <w:numId w:val="0"/>
        </w:numPr>
        <w:spacing w:after="0"/>
        <w:rPr>
          <w:rFonts w:cs="Arial"/>
        </w:rPr>
      </w:pPr>
      <w:r w:rsidRPr="00080443">
        <w:rPr>
          <w:rFonts w:cs="Arial"/>
        </w:rPr>
        <w:t>The ACMA will not accept a new application under section 4.1</w:t>
      </w:r>
      <w:r w:rsidR="00353AD9" w:rsidRPr="00080443">
        <w:rPr>
          <w:rFonts w:cs="Arial"/>
        </w:rPr>
        <w:t>2</w:t>
      </w:r>
      <w:r w:rsidRPr="00080443">
        <w:rPr>
          <w:rFonts w:cs="Arial"/>
        </w:rPr>
        <w:t xml:space="preserve"> unless it is satisfied that the new applicant is not affiliated with any applicant who has not withdrawn, including another new applicant.</w:t>
      </w:r>
    </w:p>
    <w:p w14:paraId="2805E6DE" w14:textId="77777777" w:rsidR="00CF12BF" w:rsidRPr="00080443" w:rsidRDefault="00CF12BF" w:rsidP="00CF12BF">
      <w:pPr>
        <w:pStyle w:val="ListBullet"/>
        <w:numPr>
          <w:ilvl w:val="0"/>
          <w:numId w:val="0"/>
        </w:numPr>
        <w:rPr>
          <w:rFonts w:cs="Arial"/>
        </w:rPr>
      </w:pPr>
    </w:p>
    <w:p w14:paraId="05769C62" w14:textId="77777777" w:rsidR="00CF12BF" w:rsidRPr="00080443" w:rsidRDefault="00CF12BF" w:rsidP="00CF12BF">
      <w:pPr>
        <w:pStyle w:val="Heading3"/>
        <w:numPr>
          <w:ilvl w:val="2"/>
          <w:numId w:val="13"/>
        </w:numPr>
      </w:pPr>
      <w:bookmarkStart w:id="136" w:name="_Toc335246285"/>
      <w:bookmarkStart w:id="137" w:name="_Toc343780494"/>
      <w:r w:rsidRPr="00080443">
        <w:t>Stage C</w:t>
      </w:r>
      <w:r w:rsidR="0011143E" w:rsidRPr="00080443">
        <w:t>—</w:t>
      </w:r>
      <w:r w:rsidRPr="00080443">
        <w:t>Nominate and secure initial eligibility points</w:t>
      </w:r>
      <w:bookmarkEnd w:id="136"/>
      <w:bookmarkEnd w:id="137"/>
    </w:p>
    <w:p w14:paraId="325A04E3" w14:textId="77777777" w:rsidR="00CF12BF" w:rsidRPr="00080443" w:rsidRDefault="00CF12BF" w:rsidP="00E93C36">
      <w:pPr>
        <w:spacing w:after="80"/>
        <w:rPr>
          <w:rFonts w:cs="Arial"/>
          <w:color w:val="000000" w:themeColor="text1"/>
        </w:rPr>
      </w:pPr>
      <w:r w:rsidRPr="00080443">
        <w:rPr>
          <w:rFonts w:cs="Arial"/>
          <w:color w:val="000000" w:themeColor="text1"/>
        </w:rPr>
        <w:t xml:space="preserve">To complete the registration process, applicants will need to: </w:t>
      </w:r>
    </w:p>
    <w:p w14:paraId="427A5587" w14:textId="77777777" w:rsidR="00CF12BF" w:rsidRPr="00080443" w:rsidRDefault="00CF12BF" w:rsidP="00CF12BF">
      <w:pPr>
        <w:pStyle w:val="ListBullet"/>
        <w:rPr>
          <w:rFonts w:cs="Arial"/>
          <w:color w:val="000000" w:themeColor="text1"/>
        </w:rPr>
      </w:pPr>
      <w:r w:rsidRPr="00080443">
        <w:rPr>
          <w:rFonts w:cs="Arial"/>
        </w:rPr>
        <w:t>Lodge</w:t>
      </w:r>
      <w:r w:rsidRPr="00080443">
        <w:rPr>
          <w:rFonts w:cs="Arial"/>
          <w:color w:val="000000" w:themeColor="text1"/>
        </w:rPr>
        <w:t xml:space="preserve"> a completed eligibility nomination form</w:t>
      </w:r>
      <w:r w:rsidR="00E52ABE" w:rsidRPr="00080443">
        <w:rPr>
          <w:rFonts w:cs="Arial"/>
          <w:color w:val="000000" w:themeColor="text1"/>
        </w:rPr>
        <w:t xml:space="preserve"> (Form 8)</w:t>
      </w:r>
      <w:r w:rsidRPr="00080443">
        <w:rPr>
          <w:rFonts w:cs="Arial"/>
          <w:color w:val="000000" w:themeColor="text1"/>
        </w:rPr>
        <w:t>—nominating their initial eligibility points, which will determine their maximum eligibility to bid in the first clock round (see 3.1.2).</w:t>
      </w:r>
    </w:p>
    <w:p w14:paraId="6A2FE672" w14:textId="77777777" w:rsidR="00CF12BF" w:rsidRPr="00080443" w:rsidRDefault="00CF12BF" w:rsidP="00E93C36">
      <w:pPr>
        <w:pStyle w:val="ListBullet"/>
        <w:spacing w:after="240"/>
        <w:rPr>
          <w:rFonts w:cs="Arial"/>
          <w:color w:val="000000" w:themeColor="text1"/>
        </w:rPr>
      </w:pPr>
      <w:r w:rsidRPr="00080443">
        <w:rPr>
          <w:rFonts w:cs="Arial"/>
        </w:rPr>
        <w:t>Secure</w:t>
      </w:r>
      <w:r w:rsidRPr="00080443">
        <w:rPr>
          <w:rFonts w:cs="Arial"/>
          <w:color w:val="000000" w:themeColor="text1"/>
        </w:rPr>
        <w:t xml:space="preserve"> their initial eligibility points by making an eligibility payment to the ACMA, giving the ACMA a deed of financial security (Form 6), or</w:t>
      </w:r>
      <w:r w:rsidR="00066A7B" w:rsidRPr="00080443">
        <w:rPr>
          <w:rFonts w:cs="Arial"/>
          <w:color w:val="000000" w:themeColor="text1"/>
        </w:rPr>
        <w:t xml:space="preserve"> a combination of</w:t>
      </w:r>
      <w:r w:rsidRPr="00080443">
        <w:rPr>
          <w:rFonts w:cs="Arial"/>
          <w:color w:val="000000" w:themeColor="text1"/>
        </w:rPr>
        <w:t xml:space="preserve"> both</w:t>
      </w:r>
      <w:r w:rsidR="00DB3FD6" w:rsidRPr="00080443">
        <w:rPr>
          <w:rFonts w:cs="Arial"/>
          <w:color w:val="000000" w:themeColor="text1"/>
        </w:rPr>
        <w:t>, for an amount</w:t>
      </w:r>
      <w:r w:rsidRPr="00080443">
        <w:rPr>
          <w:rFonts w:cs="Arial"/>
          <w:color w:val="000000" w:themeColor="text1"/>
        </w:rPr>
        <w:t xml:space="preserve">. </w:t>
      </w:r>
    </w:p>
    <w:p w14:paraId="4AA88B6A" w14:textId="77777777" w:rsidR="0038022B" w:rsidRPr="00080443" w:rsidRDefault="00CF12BF">
      <w:pPr>
        <w:spacing w:after="80"/>
        <w:rPr>
          <w:rFonts w:cs="Arial"/>
        </w:rPr>
      </w:pPr>
      <w:r w:rsidRPr="00080443">
        <w:rPr>
          <w:rFonts w:cs="Arial"/>
          <w:color w:val="000000" w:themeColor="text1"/>
        </w:rPr>
        <w:t xml:space="preserve">The eligibility nomination form is </w:t>
      </w:r>
      <w:r w:rsidRPr="00080443">
        <w:rPr>
          <w:rFonts w:cs="Arial"/>
          <w:i/>
          <w:color w:val="000000" w:themeColor="text1"/>
        </w:rPr>
        <w:t>not</w:t>
      </w:r>
      <w:r w:rsidRPr="00080443">
        <w:rPr>
          <w:rFonts w:cs="Arial"/>
          <w:color w:val="000000" w:themeColor="text1"/>
        </w:rPr>
        <w:t xml:space="preserve"> included in the </w:t>
      </w:r>
      <w:r w:rsidR="00F72EA1" w:rsidRPr="00080443">
        <w:rPr>
          <w:rFonts w:cs="Arial"/>
          <w:i/>
          <w:color w:val="000000" w:themeColor="text1"/>
        </w:rPr>
        <w:t>A</w:t>
      </w:r>
      <w:r w:rsidR="003D5A10" w:rsidRPr="00080443">
        <w:rPr>
          <w:rFonts w:cs="Arial"/>
          <w:i/>
          <w:color w:val="000000" w:themeColor="text1"/>
        </w:rPr>
        <w:t xml:space="preserve">uction </w:t>
      </w:r>
      <w:r w:rsidRPr="00080443">
        <w:rPr>
          <w:rFonts w:cs="Arial"/>
          <w:i/>
          <w:color w:val="000000" w:themeColor="text1"/>
        </w:rPr>
        <w:t>forms</w:t>
      </w:r>
      <w:r w:rsidRPr="00080443">
        <w:rPr>
          <w:rFonts w:cs="Arial"/>
          <w:color w:val="000000" w:themeColor="text1"/>
        </w:rPr>
        <w:t xml:space="preserve"> </w:t>
      </w:r>
      <w:r w:rsidR="00E52ABE" w:rsidRPr="00080443">
        <w:rPr>
          <w:rFonts w:cs="Arial"/>
          <w:color w:val="000000" w:themeColor="text1"/>
        </w:rPr>
        <w:t>booklet</w:t>
      </w:r>
      <w:r w:rsidRPr="00080443">
        <w:rPr>
          <w:rFonts w:cs="Arial"/>
          <w:color w:val="000000" w:themeColor="text1"/>
        </w:rPr>
        <w:t xml:space="preserve"> provided in this AIP. </w:t>
      </w:r>
      <w:r w:rsidR="00C22F89" w:rsidRPr="00080443">
        <w:rPr>
          <w:rFonts w:cs="Arial"/>
        </w:rPr>
        <w:t xml:space="preserve">The </w:t>
      </w:r>
      <w:r w:rsidR="009D335F" w:rsidRPr="00080443">
        <w:rPr>
          <w:rFonts w:cs="Arial"/>
        </w:rPr>
        <w:t xml:space="preserve">ACMA will publish the </w:t>
      </w:r>
      <w:r w:rsidR="00C22F89" w:rsidRPr="00080443">
        <w:rPr>
          <w:rFonts w:cs="Arial"/>
        </w:rPr>
        <w:t>eligibility nomination form</w:t>
      </w:r>
      <w:r w:rsidR="00043138" w:rsidRPr="00080443">
        <w:rPr>
          <w:rFonts w:cs="Arial"/>
        </w:rPr>
        <w:t xml:space="preserve"> on its website</w:t>
      </w:r>
      <w:r w:rsidR="00201A24" w:rsidRPr="00080443">
        <w:rPr>
          <w:rFonts w:cs="Arial"/>
        </w:rPr>
        <w:t>— together with the lot ratings and dollar value of initial eligibility points set by the ACMA under paragraphs 4.6(1)(a) and (b) of the allocation determination—</w:t>
      </w:r>
      <w:r w:rsidR="00C22F89" w:rsidRPr="00080443">
        <w:rPr>
          <w:rFonts w:cs="Arial"/>
        </w:rPr>
        <w:t xml:space="preserve">no later than </w:t>
      </w:r>
      <w:r w:rsidR="00E967A2" w:rsidRPr="00080443">
        <w:rPr>
          <w:rFonts w:cs="Arial"/>
        </w:rPr>
        <w:t>7</w:t>
      </w:r>
      <w:r w:rsidR="00C22F89" w:rsidRPr="00080443">
        <w:rPr>
          <w:rFonts w:cs="Arial"/>
        </w:rPr>
        <w:t>0 days after it advertises the auction</w:t>
      </w:r>
      <w:r w:rsidR="00957191" w:rsidRPr="00080443">
        <w:rPr>
          <w:rFonts w:cs="Arial"/>
        </w:rPr>
        <w:t xml:space="preserve"> in accordance with subsection 4.4(1) of the allocation determination</w:t>
      </w:r>
      <w:r w:rsidR="00C22F89" w:rsidRPr="00080443">
        <w:rPr>
          <w:rFonts w:cs="Arial"/>
        </w:rPr>
        <w:t xml:space="preserve">. </w:t>
      </w:r>
      <w:r w:rsidRPr="00080443">
        <w:rPr>
          <w:rFonts w:cs="Arial"/>
          <w:color w:val="000000" w:themeColor="text1"/>
        </w:rPr>
        <w:t>The form will, among other things, contain</w:t>
      </w:r>
      <w:r w:rsidR="0011143E" w:rsidRPr="00080443">
        <w:rPr>
          <w:rFonts w:cs="Arial"/>
          <w:color w:val="000000" w:themeColor="text1"/>
        </w:rPr>
        <w:t>:</w:t>
      </w:r>
    </w:p>
    <w:p w14:paraId="3EF93FD8" w14:textId="77777777" w:rsidR="00E22B3C" w:rsidRPr="00080443" w:rsidRDefault="0011143E">
      <w:pPr>
        <w:pStyle w:val="ListBullet"/>
        <w:rPr>
          <w:rFonts w:cs="Arial"/>
        </w:rPr>
      </w:pPr>
      <w:r w:rsidRPr="00080443">
        <w:rPr>
          <w:rFonts w:cs="Arial"/>
        </w:rPr>
        <w:t>a guide to calculating initial eligibility points</w:t>
      </w:r>
    </w:p>
    <w:p w14:paraId="7B130F3E" w14:textId="77777777" w:rsidR="00E22B3C" w:rsidRPr="00080443" w:rsidRDefault="0011143E">
      <w:pPr>
        <w:pStyle w:val="ListBullet"/>
        <w:spacing w:after="240"/>
        <w:rPr>
          <w:rFonts w:cs="Arial"/>
        </w:rPr>
      </w:pPr>
      <w:r w:rsidRPr="00080443">
        <w:rPr>
          <w:rFonts w:cs="Arial"/>
        </w:rPr>
        <w:t>a guide to calculating the amount required to secure the nominated initial eligibility points</w:t>
      </w:r>
      <w:r w:rsidR="00643200" w:rsidRPr="00080443">
        <w:rPr>
          <w:rFonts w:cs="Arial"/>
        </w:rPr>
        <w:t xml:space="preserve"> (</w:t>
      </w:r>
      <w:r w:rsidR="00A875C7" w:rsidRPr="00080443">
        <w:rPr>
          <w:rFonts w:cs="Arial"/>
        </w:rPr>
        <w:t xml:space="preserve">the guide will explain that </w:t>
      </w:r>
      <w:r w:rsidR="00643200" w:rsidRPr="00080443">
        <w:rPr>
          <w:rFonts w:cs="Arial"/>
        </w:rPr>
        <w:t xml:space="preserve">the amount </w:t>
      </w:r>
      <w:r w:rsidR="00A875C7" w:rsidRPr="00080443">
        <w:rPr>
          <w:rFonts w:cs="Arial"/>
        </w:rPr>
        <w:t xml:space="preserve">is </w:t>
      </w:r>
      <w:r w:rsidR="00643200" w:rsidRPr="00080443">
        <w:rPr>
          <w:rFonts w:cs="Arial"/>
        </w:rPr>
        <w:t>calculated by multiplying the nominated number of points by the dollar value of initial eligibility points set by the ACMA)</w:t>
      </w:r>
      <w:r w:rsidRPr="00080443">
        <w:rPr>
          <w:rFonts w:cs="Arial"/>
        </w:rPr>
        <w:t xml:space="preserve">. </w:t>
      </w:r>
    </w:p>
    <w:p w14:paraId="253CAC32" w14:textId="77777777" w:rsidR="009C3153" w:rsidRPr="00080443" w:rsidRDefault="009C3153" w:rsidP="00CF12BF">
      <w:pPr>
        <w:rPr>
          <w:rFonts w:cs="Arial"/>
          <w:color w:val="000000" w:themeColor="text1"/>
        </w:rPr>
      </w:pPr>
      <w:r w:rsidRPr="00080443">
        <w:rPr>
          <w:rFonts w:cs="Arial"/>
          <w:color w:val="000000" w:themeColor="text1"/>
        </w:rPr>
        <w:t xml:space="preserve">GST is not payable on an </w:t>
      </w:r>
      <w:r w:rsidR="007F0636" w:rsidRPr="00080443">
        <w:rPr>
          <w:rFonts w:cs="Arial"/>
          <w:color w:val="000000" w:themeColor="text1"/>
        </w:rPr>
        <w:t>amount required to secure initial eligibility points.</w:t>
      </w:r>
    </w:p>
    <w:p w14:paraId="23A6B895" w14:textId="77777777" w:rsidR="009C3153" w:rsidRPr="00080443" w:rsidRDefault="009C3153" w:rsidP="00CF12BF">
      <w:pPr>
        <w:rPr>
          <w:rFonts w:cs="Arial"/>
          <w:color w:val="000000" w:themeColor="text1"/>
        </w:rPr>
      </w:pPr>
    </w:p>
    <w:p w14:paraId="4E03EB5E" w14:textId="77777777" w:rsidR="00CF12BF" w:rsidRPr="00080443" w:rsidRDefault="00CF12BF" w:rsidP="00CF12BF">
      <w:pPr>
        <w:rPr>
          <w:rFonts w:cs="Arial"/>
          <w:color w:val="000000" w:themeColor="text1"/>
        </w:rPr>
      </w:pPr>
      <w:r w:rsidRPr="00080443">
        <w:rPr>
          <w:rFonts w:cs="Arial"/>
          <w:color w:val="000000" w:themeColor="text1"/>
        </w:rPr>
        <w:t>The completed eligibility nomination form, and eligibility payment and/or deed of financial security, must be given to the ACMA by the eligibility deadline of</w:t>
      </w:r>
      <w:r w:rsidR="0011143E" w:rsidRPr="00080443">
        <w:rPr>
          <w:rFonts w:cs="Arial"/>
          <w:color w:val="000000" w:themeColor="text1"/>
        </w:rPr>
        <w:t xml:space="preserve"> </w:t>
      </w:r>
      <w:r w:rsidR="001133F7" w:rsidRPr="00080443">
        <w:rPr>
          <w:rFonts w:cs="Arial"/>
          <w:b/>
          <w:color w:val="000000" w:themeColor="text1"/>
        </w:rPr>
        <w:t>2</w:t>
      </w:r>
      <w:r w:rsidR="009D2A3A">
        <w:rPr>
          <w:rFonts w:cs="Arial"/>
          <w:b/>
          <w:color w:val="000000" w:themeColor="text1"/>
        </w:rPr>
        <w:t>8</w:t>
      </w:r>
      <w:r w:rsidR="001133F7" w:rsidRPr="00080443">
        <w:rPr>
          <w:rFonts w:cs="Arial"/>
          <w:color w:val="000000" w:themeColor="text1"/>
        </w:rPr>
        <w:t xml:space="preserve"> </w:t>
      </w:r>
      <w:r w:rsidRPr="00080443">
        <w:rPr>
          <w:rFonts w:cs="Arial"/>
          <w:b/>
          <w:color w:val="000000" w:themeColor="text1"/>
        </w:rPr>
        <w:t>March 2013</w:t>
      </w:r>
      <w:r w:rsidRPr="00080443">
        <w:rPr>
          <w:rFonts w:cs="Arial"/>
          <w:color w:val="000000" w:themeColor="text1"/>
        </w:rPr>
        <w:t>.</w:t>
      </w:r>
    </w:p>
    <w:p w14:paraId="07695AAE" w14:textId="77777777" w:rsidR="00C6323D" w:rsidRPr="00080443" w:rsidRDefault="00C6323D" w:rsidP="00CF12BF">
      <w:pPr>
        <w:rPr>
          <w:rFonts w:cs="Arial"/>
          <w:color w:val="000000" w:themeColor="text1"/>
        </w:rPr>
      </w:pPr>
    </w:p>
    <w:p w14:paraId="6FC87D68" w14:textId="77777777" w:rsidR="00C6323D" w:rsidRPr="00080443" w:rsidRDefault="00C6323D" w:rsidP="00CF12BF">
      <w:pPr>
        <w:rPr>
          <w:rFonts w:cs="Arial"/>
          <w:color w:val="000000" w:themeColor="text1"/>
        </w:rPr>
      </w:pPr>
      <w:r w:rsidRPr="00080443">
        <w:rPr>
          <w:rFonts w:cs="Arial"/>
          <w:color w:val="000000" w:themeColor="text1"/>
        </w:rPr>
        <w:t>The ACMA will set the supplementary bid limit (see 3.1.2) after the application deadline, and will notify applicant</w:t>
      </w:r>
      <w:r w:rsidR="00847C1A" w:rsidRPr="00080443">
        <w:rPr>
          <w:rFonts w:cs="Arial"/>
          <w:color w:val="000000" w:themeColor="text1"/>
        </w:rPr>
        <w:t xml:space="preserve">s about the limit </w:t>
      </w:r>
      <w:r w:rsidRPr="00080443">
        <w:rPr>
          <w:rFonts w:cs="Arial"/>
          <w:color w:val="000000" w:themeColor="text1"/>
        </w:rPr>
        <w:t xml:space="preserve">at least five working days before the eligibility deadline. </w:t>
      </w:r>
    </w:p>
    <w:p w14:paraId="797FE175" w14:textId="77777777" w:rsidR="00CF12BF" w:rsidRPr="00080443" w:rsidRDefault="00CF12BF" w:rsidP="00CF12BF">
      <w:pPr>
        <w:rPr>
          <w:rFonts w:cs="Arial"/>
          <w:color w:val="000000" w:themeColor="text1"/>
        </w:rPr>
      </w:pPr>
    </w:p>
    <w:p w14:paraId="39F94E40" w14:textId="77777777" w:rsidR="00CF12BF" w:rsidRPr="00080443" w:rsidRDefault="00CF12BF" w:rsidP="00CF12BF">
      <w:pPr>
        <w:pStyle w:val="Heading3"/>
        <w:numPr>
          <w:ilvl w:val="2"/>
          <w:numId w:val="13"/>
        </w:numPr>
      </w:pPr>
      <w:bookmarkStart w:id="138" w:name="_Toc335246286"/>
      <w:bookmarkStart w:id="139" w:name="_Toc343780495"/>
      <w:r w:rsidRPr="00080443">
        <w:lastRenderedPageBreak/>
        <w:t>ACMA confirms registration and provides information</w:t>
      </w:r>
      <w:bookmarkEnd w:id="138"/>
      <w:bookmarkEnd w:id="139"/>
    </w:p>
    <w:p w14:paraId="2C3BB3C2" w14:textId="77777777" w:rsidR="00CF12BF" w:rsidRPr="00080443" w:rsidRDefault="00CF12BF" w:rsidP="00E93C36">
      <w:pPr>
        <w:spacing w:after="80"/>
        <w:rPr>
          <w:rFonts w:cs="Arial"/>
          <w:color w:val="000000" w:themeColor="text1"/>
        </w:rPr>
      </w:pPr>
      <w:r w:rsidRPr="00080443">
        <w:rPr>
          <w:rFonts w:cs="Arial"/>
          <w:color w:val="000000" w:themeColor="text1"/>
        </w:rPr>
        <w:t>Subject to the requirements of stages A, B and C of the registration process having been met, the ACMA will contact registered bidders after the eligibility deadline to confirm that they have been registered to participate in the auction, and provide them with the following:</w:t>
      </w:r>
    </w:p>
    <w:p w14:paraId="096BF066" w14:textId="77777777" w:rsidR="00CF12BF" w:rsidRPr="00080443" w:rsidRDefault="00CF12BF" w:rsidP="00CF12BF">
      <w:pPr>
        <w:pStyle w:val="ListBullet"/>
        <w:rPr>
          <w:rFonts w:cs="Arial"/>
          <w:color w:val="000000" w:themeColor="text1"/>
        </w:rPr>
      </w:pPr>
      <w:r w:rsidRPr="00080443">
        <w:rPr>
          <w:rFonts w:cs="Arial"/>
          <w:color w:val="000000" w:themeColor="text1"/>
        </w:rPr>
        <w:t>a copy of the information about the bidder recorded on the register of bidders maintained by the ACMA under section 4.</w:t>
      </w:r>
      <w:r w:rsidR="00085667" w:rsidRPr="00080443">
        <w:rPr>
          <w:rFonts w:cs="Arial"/>
          <w:color w:val="000000" w:themeColor="text1"/>
        </w:rPr>
        <w:t>1</w:t>
      </w:r>
      <w:r w:rsidR="00E84A03" w:rsidRPr="00080443">
        <w:rPr>
          <w:rFonts w:cs="Arial"/>
          <w:color w:val="000000" w:themeColor="text1"/>
        </w:rPr>
        <w:t>8</w:t>
      </w:r>
      <w:r w:rsidRPr="00080443">
        <w:rPr>
          <w:rFonts w:cs="Arial"/>
          <w:color w:val="000000" w:themeColor="text1"/>
        </w:rPr>
        <w:t xml:space="preserve"> of the allocation determination</w:t>
      </w:r>
    </w:p>
    <w:p w14:paraId="0CF22125" w14:textId="77777777" w:rsidR="00CF12BF" w:rsidRPr="00080443" w:rsidRDefault="00CF12BF" w:rsidP="00CF12BF">
      <w:pPr>
        <w:pStyle w:val="ListBullet"/>
        <w:rPr>
          <w:rFonts w:cs="Arial"/>
          <w:color w:val="000000" w:themeColor="text1"/>
        </w:rPr>
      </w:pPr>
      <w:r w:rsidRPr="00080443">
        <w:rPr>
          <w:rFonts w:cs="Arial"/>
          <w:color w:val="000000" w:themeColor="text1"/>
        </w:rPr>
        <w:t xml:space="preserve">the </w:t>
      </w:r>
      <w:r w:rsidRPr="00080443">
        <w:rPr>
          <w:rFonts w:cs="Arial"/>
        </w:rPr>
        <w:t>ACMA’s</w:t>
      </w:r>
      <w:r w:rsidRPr="00080443">
        <w:rPr>
          <w:rFonts w:cs="Arial"/>
          <w:color w:val="000000" w:themeColor="text1"/>
        </w:rPr>
        <w:t xml:space="preserve"> email address and telephone and fax numbers available for registered bidders to use</w:t>
      </w:r>
    </w:p>
    <w:p w14:paraId="3FEE42BC" w14:textId="77777777" w:rsidR="000B733D" w:rsidRPr="00080443" w:rsidRDefault="00C31B66" w:rsidP="00E93C36">
      <w:pPr>
        <w:pStyle w:val="ListBullet"/>
        <w:rPr>
          <w:rFonts w:cs="Arial"/>
        </w:rPr>
      </w:pPr>
      <w:r w:rsidRPr="00080443">
        <w:rPr>
          <w:rFonts w:cs="Arial"/>
        </w:rPr>
        <w:t>as discussed at 3.</w:t>
      </w:r>
      <w:r w:rsidR="00771879" w:rsidRPr="00080443">
        <w:rPr>
          <w:rFonts w:cs="Arial"/>
        </w:rPr>
        <w:t>3.</w:t>
      </w:r>
      <w:r w:rsidRPr="00080443">
        <w:rPr>
          <w:rFonts w:cs="Arial"/>
        </w:rPr>
        <w:t xml:space="preserve">1, information about </w:t>
      </w:r>
      <w:r w:rsidR="0011143E" w:rsidRPr="00080443">
        <w:rPr>
          <w:rFonts w:cs="Arial"/>
        </w:rPr>
        <w:t>accessing</w:t>
      </w:r>
      <w:r w:rsidRPr="00080443">
        <w:rPr>
          <w:rFonts w:cs="Arial"/>
        </w:rPr>
        <w:t xml:space="preserve"> and </w:t>
      </w:r>
      <w:r w:rsidR="0011143E" w:rsidRPr="00080443">
        <w:rPr>
          <w:rFonts w:cs="Arial"/>
        </w:rPr>
        <w:t>using</w:t>
      </w:r>
      <w:r w:rsidRPr="00080443">
        <w:rPr>
          <w:rFonts w:cs="Arial"/>
        </w:rPr>
        <w:t xml:space="preserve"> the auction system</w:t>
      </w:r>
      <w:r w:rsidR="0011143E" w:rsidRPr="00080443">
        <w:rPr>
          <w:rFonts w:cs="Arial"/>
        </w:rPr>
        <w:t>—</w:t>
      </w:r>
      <w:r w:rsidRPr="00080443">
        <w:rPr>
          <w:rFonts w:cs="Arial"/>
        </w:rPr>
        <w:t>for example</w:t>
      </w:r>
      <w:r w:rsidR="0011143E" w:rsidRPr="00080443">
        <w:rPr>
          <w:rFonts w:cs="Arial"/>
        </w:rPr>
        <w:t xml:space="preserve">, </w:t>
      </w:r>
      <w:r w:rsidR="00CF12BF" w:rsidRPr="00080443">
        <w:rPr>
          <w:rFonts w:cs="Arial"/>
        </w:rPr>
        <w:t xml:space="preserve">a user manual for the auction system; the URL for accessing the auction system internet site; and a </w:t>
      </w:r>
      <w:r w:rsidR="0011143E" w:rsidRPr="00080443">
        <w:rPr>
          <w:rFonts w:cs="Arial"/>
        </w:rPr>
        <w:t>username</w:t>
      </w:r>
      <w:r w:rsidR="00CF12BF" w:rsidRPr="00080443">
        <w:rPr>
          <w:rFonts w:cs="Arial"/>
        </w:rPr>
        <w:t xml:space="preserve">, password and security token for each of the ‘authorised persons’ </w:t>
      </w:r>
      <w:r w:rsidR="00085667" w:rsidRPr="00080443">
        <w:rPr>
          <w:rFonts w:cs="Arial"/>
        </w:rPr>
        <w:t xml:space="preserve">nominated in </w:t>
      </w:r>
      <w:r w:rsidR="00CF12BF" w:rsidRPr="00080443">
        <w:rPr>
          <w:rFonts w:cs="Arial"/>
        </w:rPr>
        <w:t>the bidder’s application form</w:t>
      </w:r>
      <w:r w:rsidR="00085667" w:rsidRPr="00080443">
        <w:rPr>
          <w:rFonts w:cs="Arial"/>
        </w:rPr>
        <w:t xml:space="preserve"> at Stage A</w:t>
      </w:r>
    </w:p>
    <w:p w14:paraId="32830C47" w14:textId="77777777" w:rsidR="00183F72" w:rsidRPr="00080443" w:rsidRDefault="00CF12BF" w:rsidP="004D411C">
      <w:pPr>
        <w:pStyle w:val="ListBullet"/>
        <w:spacing w:after="240"/>
        <w:rPr>
          <w:rFonts w:cs="Arial"/>
        </w:rPr>
      </w:pPr>
      <w:r w:rsidRPr="00080443">
        <w:rPr>
          <w:rFonts w:cs="Arial"/>
        </w:rPr>
        <w:t>information about how to bid by alternative means if the bidder is unable to submit a bid using the auction system.</w:t>
      </w:r>
    </w:p>
    <w:p w14:paraId="687ABB6F" w14:textId="77777777" w:rsidR="00CF12BF" w:rsidRPr="00080443" w:rsidRDefault="00AC2683" w:rsidP="00CF12BF">
      <w:pPr>
        <w:rPr>
          <w:rFonts w:cs="Arial"/>
          <w:color w:val="000000" w:themeColor="text1"/>
        </w:rPr>
      </w:pPr>
      <w:r w:rsidRPr="00080443">
        <w:rPr>
          <w:rFonts w:cs="Arial"/>
          <w:color w:val="000000" w:themeColor="text1"/>
        </w:rPr>
        <w:t xml:space="preserve">A set of this material will be provided for each authorised person nominated </w:t>
      </w:r>
      <w:r w:rsidR="00085667" w:rsidRPr="00080443">
        <w:rPr>
          <w:rFonts w:cs="Arial"/>
          <w:color w:val="000000" w:themeColor="text1"/>
        </w:rPr>
        <w:t>in the bidder’s application form</w:t>
      </w:r>
      <w:r w:rsidRPr="00080443">
        <w:rPr>
          <w:rFonts w:cs="Arial"/>
          <w:color w:val="000000" w:themeColor="text1"/>
        </w:rPr>
        <w:t xml:space="preserve">. The ACMA will </w:t>
      </w:r>
      <w:r w:rsidR="00606BD0" w:rsidRPr="00080443">
        <w:rPr>
          <w:rFonts w:cs="Arial"/>
          <w:color w:val="000000" w:themeColor="text1"/>
        </w:rPr>
        <w:t xml:space="preserve">give </w:t>
      </w:r>
      <w:r w:rsidR="00085667" w:rsidRPr="00080443">
        <w:rPr>
          <w:rFonts w:cs="Arial"/>
          <w:color w:val="000000" w:themeColor="text1"/>
        </w:rPr>
        <w:t xml:space="preserve">the </w:t>
      </w:r>
      <w:r w:rsidR="00FA5887" w:rsidRPr="00080443">
        <w:rPr>
          <w:rFonts w:cs="Arial"/>
          <w:color w:val="000000" w:themeColor="text1"/>
        </w:rPr>
        <w:t xml:space="preserve">sets of </w:t>
      </w:r>
      <w:r w:rsidR="00085667" w:rsidRPr="00080443">
        <w:rPr>
          <w:rFonts w:cs="Arial"/>
          <w:color w:val="000000" w:themeColor="text1"/>
        </w:rPr>
        <w:t xml:space="preserve">material for all of the bidder’s authorised persons to the contact person </w:t>
      </w:r>
      <w:r w:rsidRPr="00080443">
        <w:rPr>
          <w:rFonts w:cs="Arial"/>
          <w:color w:val="000000" w:themeColor="text1"/>
        </w:rPr>
        <w:t xml:space="preserve">nominated </w:t>
      </w:r>
      <w:r w:rsidR="00085667" w:rsidRPr="00080443">
        <w:rPr>
          <w:rFonts w:cs="Arial"/>
          <w:color w:val="000000" w:themeColor="text1"/>
        </w:rPr>
        <w:t xml:space="preserve">in the bidder’s application form. The contact person will then be </w:t>
      </w:r>
      <w:r w:rsidRPr="00080443">
        <w:rPr>
          <w:rFonts w:cs="Arial"/>
          <w:color w:val="000000" w:themeColor="text1"/>
        </w:rPr>
        <w:t xml:space="preserve">responsible for </w:t>
      </w:r>
      <w:r w:rsidR="00FA5887" w:rsidRPr="00080443">
        <w:rPr>
          <w:rFonts w:cs="Arial"/>
          <w:color w:val="000000" w:themeColor="text1"/>
        </w:rPr>
        <w:t xml:space="preserve">giving </w:t>
      </w:r>
      <w:r w:rsidR="00085667" w:rsidRPr="00080443">
        <w:rPr>
          <w:rFonts w:cs="Arial"/>
          <w:color w:val="000000" w:themeColor="text1"/>
        </w:rPr>
        <w:t xml:space="preserve">the </w:t>
      </w:r>
      <w:r w:rsidR="00FA5887" w:rsidRPr="00080443">
        <w:rPr>
          <w:rFonts w:cs="Arial"/>
          <w:color w:val="000000" w:themeColor="text1"/>
        </w:rPr>
        <w:t xml:space="preserve">sets of material to the authorised persons. </w:t>
      </w:r>
    </w:p>
    <w:p w14:paraId="477581A4" w14:textId="77777777" w:rsidR="00AC2683" w:rsidRPr="00080443" w:rsidRDefault="00AC2683" w:rsidP="00CF12BF">
      <w:pPr>
        <w:rPr>
          <w:rFonts w:cs="Arial"/>
          <w:color w:val="000000" w:themeColor="text1"/>
        </w:rPr>
      </w:pPr>
    </w:p>
    <w:p w14:paraId="01FB5523" w14:textId="77777777" w:rsidR="00CF12BF" w:rsidRPr="00080443" w:rsidRDefault="00CF12BF" w:rsidP="00CF12BF">
      <w:pPr>
        <w:pStyle w:val="Heading2"/>
        <w:numPr>
          <w:ilvl w:val="1"/>
          <w:numId w:val="13"/>
        </w:numPr>
        <w:rPr>
          <w:color w:val="000000" w:themeColor="text1"/>
        </w:rPr>
      </w:pPr>
      <w:bookmarkStart w:id="140" w:name="_Toc335246287"/>
      <w:bookmarkStart w:id="141" w:name="_Toc343780496"/>
      <w:r w:rsidRPr="00080443">
        <w:rPr>
          <w:color w:val="000000" w:themeColor="text1"/>
        </w:rPr>
        <w:t>Step 4</w:t>
      </w:r>
      <w:r w:rsidR="0011143E" w:rsidRPr="00080443">
        <w:rPr>
          <w:color w:val="000000" w:themeColor="text1"/>
        </w:rPr>
        <w:t>—</w:t>
      </w:r>
      <w:r w:rsidRPr="00080443">
        <w:rPr>
          <w:color w:val="000000" w:themeColor="text1"/>
        </w:rPr>
        <w:t>Bid in the auction</w:t>
      </w:r>
      <w:bookmarkEnd w:id="140"/>
      <w:bookmarkEnd w:id="141"/>
    </w:p>
    <w:p w14:paraId="21FDCA0D" w14:textId="77777777" w:rsidR="00CF12BF" w:rsidRPr="00080443" w:rsidRDefault="00CF12BF" w:rsidP="00CF12BF">
      <w:pPr>
        <w:rPr>
          <w:rFonts w:cs="Arial"/>
        </w:rPr>
      </w:pPr>
      <w:r w:rsidRPr="00080443">
        <w:rPr>
          <w:rFonts w:cs="Arial"/>
        </w:rPr>
        <w:t xml:space="preserve">The auction will be conducted over the internet using auction system software (see 3.3). </w:t>
      </w:r>
    </w:p>
    <w:p w14:paraId="203D2041" w14:textId="77777777" w:rsidR="00CF12BF" w:rsidRPr="00080443" w:rsidRDefault="00CF12BF" w:rsidP="00CF12BF">
      <w:pPr>
        <w:rPr>
          <w:rFonts w:cs="Arial"/>
        </w:rPr>
      </w:pPr>
    </w:p>
    <w:p w14:paraId="640B2BB0" w14:textId="77777777" w:rsidR="00CF12BF" w:rsidRPr="00080443" w:rsidRDefault="00CF12BF" w:rsidP="00CF12BF">
      <w:pPr>
        <w:rPr>
          <w:rFonts w:cs="Arial"/>
        </w:rPr>
      </w:pPr>
      <w:r w:rsidRPr="00080443">
        <w:rPr>
          <w:rFonts w:cs="Arial"/>
        </w:rPr>
        <w:t xml:space="preserve">Information about how to access and use the auction system, including an ‘auction system user </w:t>
      </w:r>
      <w:r w:rsidR="0011143E" w:rsidRPr="00080443">
        <w:rPr>
          <w:rFonts w:cs="Arial"/>
        </w:rPr>
        <w:t>manual’,</w:t>
      </w:r>
      <w:r w:rsidRPr="00080443">
        <w:rPr>
          <w:rFonts w:cs="Arial"/>
        </w:rPr>
        <w:t xml:space="preserve"> will be provided to registered bidders after the eligibility deadline (see 4.3.4). That information will be supplemented by other bidder training and support material (see 3.4).</w:t>
      </w:r>
    </w:p>
    <w:p w14:paraId="1B97E31F" w14:textId="77777777" w:rsidR="00CF12BF" w:rsidRPr="00080443" w:rsidRDefault="00CF12BF" w:rsidP="00CF12BF">
      <w:pPr>
        <w:rPr>
          <w:rFonts w:cs="Arial"/>
        </w:rPr>
      </w:pPr>
    </w:p>
    <w:p w14:paraId="2CF0CA1F" w14:textId="77777777" w:rsidR="00CF12BF" w:rsidRPr="00080443" w:rsidRDefault="00CF12BF" w:rsidP="00CF12BF">
      <w:pPr>
        <w:rPr>
          <w:rFonts w:cs="Arial"/>
        </w:rPr>
      </w:pPr>
      <w:r w:rsidRPr="00080443">
        <w:rPr>
          <w:rFonts w:cs="Arial"/>
        </w:rPr>
        <w:t>This</w:t>
      </w:r>
      <w:r w:rsidR="00F916B7" w:rsidRPr="00080443">
        <w:rPr>
          <w:rFonts w:cs="Arial"/>
        </w:rPr>
        <w:t xml:space="preserve"> section of the </w:t>
      </w:r>
      <w:r w:rsidR="00F916B7" w:rsidRPr="00080443">
        <w:rPr>
          <w:rFonts w:cs="Arial"/>
          <w:i/>
        </w:rPr>
        <w:t>A</w:t>
      </w:r>
      <w:r w:rsidRPr="00080443">
        <w:rPr>
          <w:rFonts w:cs="Arial"/>
          <w:i/>
        </w:rPr>
        <w:t>uction guide</w:t>
      </w:r>
      <w:r w:rsidRPr="00080443">
        <w:rPr>
          <w:rFonts w:cs="Arial"/>
        </w:rPr>
        <w:t xml:space="preserve"> </w:t>
      </w:r>
      <w:r w:rsidR="0011143E" w:rsidRPr="00080443">
        <w:rPr>
          <w:rFonts w:cs="Arial"/>
        </w:rPr>
        <w:t>outlines how the</w:t>
      </w:r>
      <w:r w:rsidRPr="00080443">
        <w:rPr>
          <w:rFonts w:cs="Arial"/>
        </w:rPr>
        <w:t xml:space="preserve"> auction rounds will be scheduled, and how the schedules and other relevant information (</w:t>
      </w:r>
      <w:r w:rsidR="0011143E" w:rsidRPr="00080443">
        <w:rPr>
          <w:rFonts w:cs="Arial"/>
        </w:rPr>
        <w:t>for example,</w:t>
      </w:r>
      <w:r w:rsidRPr="00080443">
        <w:rPr>
          <w:rFonts w:cs="Arial"/>
        </w:rPr>
        <w:t xml:space="preserve"> round results and the conclusion of the clock rounds) will be announced to bidders during the auction period. </w:t>
      </w:r>
      <w:r w:rsidRPr="00080443">
        <w:rPr>
          <w:rFonts w:cs="Arial"/>
          <w:b/>
        </w:rPr>
        <w:t>Detailed instructions about how to use the auction system to participate in each stage of the auction (for example, how to log</w:t>
      </w:r>
      <w:r w:rsidR="002F3C03" w:rsidRPr="00080443">
        <w:rPr>
          <w:rFonts w:cs="Arial"/>
          <w:b/>
        </w:rPr>
        <w:t xml:space="preserve"> </w:t>
      </w:r>
      <w:r w:rsidRPr="00080443">
        <w:rPr>
          <w:rFonts w:cs="Arial"/>
          <w:b/>
        </w:rPr>
        <w:t>in to the auction system and submit bids and view results at each stage) will be provided in the auction system user manual.</w:t>
      </w:r>
      <w:r w:rsidRPr="00080443">
        <w:rPr>
          <w:rFonts w:cs="Arial"/>
        </w:rPr>
        <w:t xml:space="preserve"> </w:t>
      </w:r>
    </w:p>
    <w:p w14:paraId="2C86C108" w14:textId="77777777" w:rsidR="00546E39" w:rsidRPr="00080443" w:rsidRDefault="00546E39" w:rsidP="00CF12BF">
      <w:pPr>
        <w:rPr>
          <w:rFonts w:cs="Arial"/>
        </w:rPr>
      </w:pPr>
    </w:p>
    <w:p w14:paraId="48A82B78" w14:textId="77777777" w:rsidR="005A2740" w:rsidRPr="00080443" w:rsidRDefault="00096B29" w:rsidP="00006283">
      <w:pPr>
        <w:spacing w:after="80"/>
        <w:rPr>
          <w:rFonts w:cs="Arial"/>
        </w:rPr>
      </w:pPr>
      <w:r w:rsidRPr="00080443">
        <w:rPr>
          <w:rFonts w:cs="Arial"/>
        </w:rPr>
        <w:t>During the auction period, b</w:t>
      </w:r>
      <w:r w:rsidR="005F6B79" w:rsidRPr="00080443">
        <w:rPr>
          <w:rFonts w:cs="Arial"/>
        </w:rPr>
        <w:t>idders</w:t>
      </w:r>
      <w:r w:rsidR="0080222B" w:rsidRPr="00080443">
        <w:rPr>
          <w:rFonts w:cs="Arial"/>
        </w:rPr>
        <w:t xml:space="preserve"> and their ‘related persons’ </w:t>
      </w:r>
      <w:r w:rsidR="005F6B79" w:rsidRPr="00080443">
        <w:rPr>
          <w:rFonts w:cs="Arial"/>
        </w:rPr>
        <w:t xml:space="preserve">should remain aware </w:t>
      </w:r>
      <w:r w:rsidRPr="00080443">
        <w:rPr>
          <w:rFonts w:cs="Arial"/>
        </w:rPr>
        <w:t>of the</w:t>
      </w:r>
      <w:r w:rsidR="009417B0" w:rsidRPr="00080443">
        <w:rPr>
          <w:rFonts w:cs="Arial"/>
        </w:rPr>
        <w:t>ir</w:t>
      </w:r>
      <w:r w:rsidRPr="00080443">
        <w:rPr>
          <w:rFonts w:cs="Arial"/>
        </w:rPr>
        <w:t xml:space="preserve"> </w:t>
      </w:r>
      <w:r w:rsidR="005F6B79" w:rsidRPr="00080443">
        <w:rPr>
          <w:rFonts w:cs="Arial"/>
        </w:rPr>
        <w:t>reporting obligations</w:t>
      </w:r>
      <w:r w:rsidR="0080222B" w:rsidRPr="00080443">
        <w:rPr>
          <w:rFonts w:cs="Arial"/>
        </w:rPr>
        <w:t xml:space="preserve"> </w:t>
      </w:r>
      <w:r w:rsidR="009417B0" w:rsidRPr="00080443">
        <w:rPr>
          <w:rFonts w:cs="Arial"/>
        </w:rPr>
        <w:t xml:space="preserve">under </w:t>
      </w:r>
      <w:r w:rsidRPr="00080443">
        <w:rPr>
          <w:rFonts w:cs="Arial"/>
        </w:rPr>
        <w:t>t</w:t>
      </w:r>
      <w:r w:rsidR="0080222B" w:rsidRPr="00080443">
        <w:rPr>
          <w:rFonts w:cs="Arial"/>
        </w:rPr>
        <w:t xml:space="preserve">he allocation determination. </w:t>
      </w:r>
      <w:r w:rsidR="00783AB3" w:rsidRPr="00080443">
        <w:rPr>
          <w:rFonts w:cs="Arial"/>
        </w:rPr>
        <w:t xml:space="preserve">Under these obligations: </w:t>
      </w:r>
    </w:p>
    <w:p w14:paraId="76987315" w14:textId="77777777" w:rsidR="007258C7" w:rsidRPr="00080443" w:rsidRDefault="005A2740" w:rsidP="007258C7">
      <w:pPr>
        <w:pStyle w:val="ListBullet"/>
        <w:rPr>
          <w:rFonts w:cs="Arial"/>
        </w:rPr>
      </w:pPr>
      <w:r w:rsidRPr="00080443">
        <w:rPr>
          <w:rFonts w:cs="Arial"/>
        </w:rPr>
        <w:t xml:space="preserve">if at any time during the auction period, a bidder </w:t>
      </w:r>
      <w:r w:rsidR="004353AC" w:rsidRPr="00080443">
        <w:rPr>
          <w:rFonts w:cs="Arial"/>
        </w:rPr>
        <w:t>believes</w:t>
      </w:r>
      <w:r w:rsidRPr="00080443">
        <w:rPr>
          <w:rFonts w:cs="Arial"/>
        </w:rPr>
        <w:t xml:space="preserve"> </w:t>
      </w:r>
      <w:r w:rsidR="004353AC" w:rsidRPr="00080443">
        <w:rPr>
          <w:rFonts w:cs="Arial"/>
        </w:rPr>
        <w:t>they</w:t>
      </w:r>
      <w:r w:rsidRPr="00080443">
        <w:rPr>
          <w:rFonts w:cs="Arial"/>
        </w:rPr>
        <w:t xml:space="preserve"> may be an affiliate of another bidder, </w:t>
      </w:r>
      <w:r w:rsidR="004353AC" w:rsidRPr="00080443">
        <w:rPr>
          <w:rFonts w:cs="Arial"/>
        </w:rPr>
        <w:t xml:space="preserve">they </w:t>
      </w:r>
      <w:r w:rsidRPr="00080443">
        <w:rPr>
          <w:rFonts w:cs="Arial"/>
        </w:rPr>
        <w:t>must immediately tell the ACMA in writing the identity of the other bidder and give details of the affiliation</w:t>
      </w:r>
      <w:r w:rsidR="00C675C1" w:rsidRPr="00080443">
        <w:rPr>
          <w:rFonts w:cs="Arial"/>
        </w:rPr>
        <w:t xml:space="preserve"> (see 3.2.6)</w:t>
      </w:r>
    </w:p>
    <w:p w14:paraId="5183DA53" w14:textId="77777777" w:rsidR="007B2F76" w:rsidRPr="00080443" w:rsidRDefault="00C675C1" w:rsidP="007258C7">
      <w:pPr>
        <w:pStyle w:val="ListBullet"/>
        <w:rPr>
          <w:rFonts w:cs="Arial"/>
        </w:rPr>
      </w:pPr>
      <w:r w:rsidRPr="00080443">
        <w:rPr>
          <w:rFonts w:cs="Arial"/>
        </w:rPr>
        <w:t xml:space="preserve">a bidder, or a related person of a bidder, who discloses confidential information, or who receives the confidential information of another applicant or bidder must report the </w:t>
      </w:r>
      <w:r w:rsidR="007B2F76" w:rsidRPr="00080443">
        <w:rPr>
          <w:rFonts w:cs="Arial"/>
        </w:rPr>
        <w:t>matter to</w:t>
      </w:r>
      <w:r w:rsidRPr="00080443">
        <w:rPr>
          <w:rFonts w:cs="Arial"/>
        </w:rPr>
        <w:t xml:space="preserve"> the ACMA in writing as soon as possible, but no later than two working days after becoming aware the disclosure or receipt has occurred</w:t>
      </w:r>
      <w:r w:rsidR="007B2F76" w:rsidRPr="00080443">
        <w:rPr>
          <w:rFonts w:cs="Arial"/>
        </w:rPr>
        <w:t xml:space="preserve"> (see 3.2.7)</w:t>
      </w:r>
      <w:r w:rsidR="00215EDA" w:rsidRPr="00080443">
        <w:rPr>
          <w:rStyle w:val="FootnoteReference"/>
          <w:rFonts w:cs="Arial"/>
        </w:rPr>
        <w:footnoteReference w:id="37"/>
      </w:r>
    </w:p>
    <w:p w14:paraId="4A5B78FE" w14:textId="77777777" w:rsidR="005A2740" w:rsidRPr="00080443" w:rsidRDefault="007B2F76" w:rsidP="004D411C">
      <w:pPr>
        <w:pStyle w:val="ListBullet"/>
        <w:spacing w:after="0"/>
        <w:rPr>
          <w:rFonts w:cs="Arial"/>
        </w:rPr>
      </w:pPr>
      <w:r w:rsidRPr="00080443">
        <w:rPr>
          <w:rFonts w:cs="Arial"/>
        </w:rPr>
        <w:lastRenderedPageBreak/>
        <w:t>if any item provided by the ACMA to a bidder for the purpose of accessing the auction system is lost or stolen during the auction period, the bidder must notify the ACMA immediately (see 3.3.1)</w:t>
      </w:r>
      <w:r w:rsidR="00C675C1" w:rsidRPr="00080443">
        <w:rPr>
          <w:rFonts w:cs="Arial"/>
        </w:rPr>
        <w:t>.</w:t>
      </w:r>
      <w:r w:rsidR="005A2740" w:rsidRPr="00080443">
        <w:rPr>
          <w:rFonts w:cs="Arial"/>
        </w:rPr>
        <w:t xml:space="preserve"> </w:t>
      </w:r>
    </w:p>
    <w:p w14:paraId="323D961F" w14:textId="77777777" w:rsidR="00CF12BF" w:rsidRPr="00080443" w:rsidRDefault="00CF12BF" w:rsidP="00CF12BF">
      <w:pPr>
        <w:rPr>
          <w:rFonts w:cs="Arial"/>
        </w:rPr>
      </w:pPr>
    </w:p>
    <w:p w14:paraId="7FB4E1AC" w14:textId="77777777" w:rsidR="00CF12BF" w:rsidRPr="00080443" w:rsidRDefault="00CF12BF" w:rsidP="00CF12BF">
      <w:pPr>
        <w:pStyle w:val="Heading3"/>
        <w:numPr>
          <w:ilvl w:val="2"/>
          <w:numId w:val="13"/>
        </w:numPr>
      </w:pPr>
      <w:bookmarkStart w:id="142" w:name="_Toc335246288"/>
      <w:bookmarkStart w:id="143" w:name="_Toc343780497"/>
      <w:r w:rsidRPr="00080443">
        <w:t>Allocation stage (clock and supplementary rounds)</w:t>
      </w:r>
      <w:bookmarkEnd w:id="142"/>
      <w:bookmarkEnd w:id="143"/>
      <w:r w:rsidRPr="00080443">
        <w:t xml:space="preserve"> </w:t>
      </w:r>
    </w:p>
    <w:p w14:paraId="59428F73" w14:textId="77777777" w:rsidR="00CF12BF" w:rsidRPr="00080443" w:rsidRDefault="00CF12BF" w:rsidP="00CF12BF">
      <w:pPr>
        <w:rPr>
          <w:rFonts w:cs="Arial"/>
        </w:rPr>
      </w:pPr>
      <w:r w:rsidRPr="00080443">
        <w:rPr>
          <w:rFonts w:cs="Arial"/>
        </w:rPr>
        <w:t xml:space="preserve">The auction (that is, the first clock round) is scheduled to commence on </w:t>
      </w:r>
      <w:r w:rsidR="009D2A3A">
        <w:rPr>
          <w:rFonts w:cs="Arial"/>
        </w:rPr>
        <w:t>23</w:t>
      </w:r>
      <w:r w:rsidRPr="00080443">
        <w:rPr>
          <w:rFonts w:cs="Arial"/>
        </w:rPr>
        <w:t xml:space="preserve"> April 2013. The ACMA will contact registered bidders after the eligibility deadline, and at least </w:t>
      </w:r>
      <w:r w:rsidR="0011143E" w:rsidRPr="00080443">
        <w:rPr>
          <w:rFonts w:cs="Arial"/>
        </w:rPr>
        <w:t>10</w:t>
      </w:r>
      <w:r w:rsidRPr="00080443">
        <w:rPr>
          <w:rFonts w:cs="Arial"/>
        </w:rPr>
        <w:t xml:space="preserve"> working days before the day of the first clock round, to confirm the starting date and time for the first clock round. </w:t>
      </w:r>
    </w:p>
    <w:p w14:paraId="6986144E" w14:textId="77777777" w:rsidR="00CF12BF" w:rsidRPr="00080443" w:rsidRDefault="00CF12BF" w:rsidP="00CF12BF">
      <w:pPr>
        <w:rPr>
          <w:rFonts w:cs="Arial"/>
        </w:rPr>
      </w:pPr>
    </w:p>
    <w:p w14:paraId="57C5D2E5" w14:textId="77777777" w:rsidR="00CF12BF" w:rsidRPr="00080443" w:rsidRDefault="00CF12BF" w:rsidP="00CF12BF">
      <w:pPr>
        <w:rPr>
          <w:rFonts w:cs="Arial"/>
        </w:rPr>
      </w:pPr>
      <w:r w:rsidRPr="00080443">
        <w:rPr>
          <w:rFonts w:cs="Arial"/>
        </w:rPr>
        <w:t xml:space="preserve">Subsequent clock rounds will be scheduled at the auction manager’s discretion. At least one hour before the start time of the first clock round on each day, the auction manager will announce (via the auction system) the expected schedule of clock rounds for the day. </w:t>
      </w:r>
      <w:r w:rsidR="00933B0D" w:rsidRPr="00080443">
        <w:rPr>
          <w:rFonts w:cs="Arial"/>
        </w:rPr>
        <w:t xml:space="preserve">It is the responsibility of bidders to ensure that they monitor the auction system as necessary to receive all announcements. </w:t>
      </w:r>
      <w:r w:rsidRPr="00080443">
        <w:rPr>
          <w:rFonts w:cs="Arial"/>
        </w:rPr>
        <w:t>While there is no minimum or maximum length for a clock round</w:t>
      </w:r>
      <w:r w:rsidR="00B65874" w:rsidRPr="00080443">
        <w:rPr>
          <w:rFonts w:cs="Arial"/>
        </w:rPr>
        <w:t xml:space="preserve">, </w:t>
      </w:r>
      <w:r w:rsidRPr="00080443">
        <w:rPr>
          <w:rFonts w:cs="Arial"/>
        </w:rPr>
        <w:t>it is expected that each clock round will run for approximately 30 minutes. All clock rounds will start and end between 9 </w:t>
      </w:r>
      <w:r w:rsidR="0011143E" w:rsidRPr="00080443">
        <w:rPr>
          <w:rFonts w:cs="Arial"/>
        </w:rPr>
        <w:t>am</w:t>
      </w:r>
      <w:r w:rsidRPr="00080443">
        <w:rPr>
          <w:rFonts w:cs="Arial"/>
        </w:rPr>
        <w:t xml:space="preserve"> and 5 </w:t>
      </w:r>
      <w:r w:rsidR="0011143E" w:rsidRPr="00080443">
        <w:rPr>
          <w:rFonts w:cs="Arial"/>
        </w:rPr>
        <w:t>pm</w:t>
      </w:r>
      <w:r w:rsidRPr="00080443">
        <w:rPr>
          <w:rFonts w:cs="Arial"/>
        </w:rPr>
        <w:t xml:space="preserve"> on working days in Victoria, Australia.</w:t>
      </w:r>
    </w:p>
    <w:p w14:paraId="5B387DDF" w14:textId="77777777" w:rsidR="00CF12BF" w:rsidRPr="00080443" w:rsidRDefault="00CF12BF" w:rsidP="00CF12BF">
      <w:pPr>
        <w:rPr>
          <w:rFonts w:cs="Arial"/>
        </w:rPr>
      </w:pPr>
    </w:p>
    <w:p w14:paraId="2141B652" w14:textId="77777777" w:rsidR="00CF12BF" w:rsidRPr="00080443" w:rsidRDefault="00CF12BF" w:rsidP="00CF12BF">
      <w:pPr>
        <w:rPr>
          <w:rFonts w:cs="Arial"/>
        </w:rPr>
      </w:pPr>
      <w:r w:rsidRPr="00080443">
        <w:rPr>
          <w:rFonts w:cs="Arial"/>
        </w:rPr>
        <w:t>The auction manager may vary the schedule of clock rounds at any time, as required</w:t>
      </w:r>
      <w:r w:rsidR="0011143E" w:rsidRPr="00080443">
        <w:rPr>
          <w:rFonts w:cs="Arial"/>
        </w:rPr>
        <w:t>—</w:t>
      </w:r>
      <w:r w:rsidRPr="00080443">
        <w:rPr>
          <w:rFonts w:cs="Arial"/>
        </w:rPr>
        <w:t xml:space="preserve">for example, if it becomes apparent following the initial few clock rounds that a longer or shorter duration for each clock round or interval may enhance the auction’s efficiency. Any variations to the schedule will be announced to bidders via the auction system as soon as practicable. </w:t>
      </w:r>
    </w:p>
    <w:p w14:paraId="70FC2740" w14:textId="77777777" w:rsidR="00CF12BF" w:rsidRPr="00080443" w:rsidRDefault="00CF12BF" w:rsidP="00CF12BF">
      <w:pPr>
        <w:rPr>
          <w:rFonts w:cs="Arial"/>
        </w:rPr>
      </w:pPr>
    </w:p>
    <w:p w14:paraId="147ABCB0" w14:textId="77777777" w:rsidR="00CF12BF" w:rsidRPr="00080443" w:rsidRDefault="00CF12BF" w:rsidP="00546E39">
      <w:pPr>
        <w:spacing w:after="80"/>
        <w:rPr>
          <w:rFonts w:cs="Arial"/>
        </w:rPr>
      </w:pPr>
      <w:r w:rsidRPr="00080443">
        <w:rPr>
          <w:rFonts w:cs="Arial"/>
        </w:rPr>
        <w:t>Before the start of each clock round, each bidder will be notified (via the auction system) of:</w:t>
      </w:r>
    </w:p>
    <w:p w14:paraId="43A557EC" w14:textId="77777777" w:rsidR="00CF12BF" w:rsidRPr="00080443" w:rsidRDefault="00CF12BF" w:rsidP="00CF12BF">
      <w:pPr>
        <w:pStyle w:val="ListBullet"/>
        <w:rPr>
          <w:rFonts w:cs="Arial"/>
        </w:rPr>
      </w:pPr>
      <w:r w:rsidRPr="00080443">
        <w:rPr>
          <w:rFonts w:cs="Arial"/>
        </w:rPr>
        <w:t>the start and end time for the coming round</w:t>
      </w:r>
    </w:p>
    <w:p w14:paraId="392AC41D" w14:textId="77777777" w:rsidR="00CF12BF" w:rsidRPr="00080443" w:rsidRDefault="00CF12BF" w:rsidP="00CF12BF">
      <w:pPr>
        <w:pStyle w:val="ListBullet"/>
        <w:rPr>
          <w:rFonts w:cs="Arial"/>
        </w:rPr>
      </w:pPr>
      <w:r w:rsidRPr="00080443">
        <w:rPr>
          <w:rFonts w:cs="Arial"/>
        </w:rPr>
        <w:t>the prices that will apply to the lots of each product in the coming round</w:t>
      </w:r>
    </w:p>
    <w:p w14:paraId="38B25C09" w14:textId="77777777" w:rsidR="00CF12BF" w:rsidRPr="00080443" w:rsidRDefault="00CF12BF" w:rsidP="00CF12BF">
      <w:pPr>
        <w:pStyle w:val="ListBullet"/>
        <w:rPr>
          <w:rFonts w:cs="Arial"/>
        </w:rPr>
      </w:pPr>
      <w:r w:rsidRPr="00080443">
        <w:rPr>
          <w:rFonts w:cs="Arial"/>
        </w:rPr>
        <w:t>the bidder’s eligibility points in the coming round</w:t>
      </w:r>
    </w:p>
    <w:p w14:paraId="2D819465" w14:textId="77777777" w:rsidR="00CF12BF" w:rsidRPr="00080443" w:rsidRDefault="00CF12BF" w:rsidP="00CF12BF">
      <w:pPr>
        <w:pStyle w:val="ListBullet"/>
        <w:rPr>
          <w:rFonts w:cs="Arial"/>
        </w:rPr>
      </w:pPr>
      <w:r w:rsidRPr="00080443">
        <w:rPr>
          <w:rFonts w:cs="Arial"/>
        </w:rPr>
        <w:t xml:space="preserve">for clock rounds other than the first clock round: </w:t>
      </w:r>
    </w:p>
    <w:p w14:paraId="5F26B956" w14:textId="77777777" w:rsidR="00CF12BF" w:rsidRPr="00080443" w:rsidRDefault="00CF12BF" w:rsidP="00546E39">
      <w:pPr>
        <w:pStyle w:val="ListBullet2"/>
        <w:rPr>
          <w:rFonts w:cs="Arial"/>
        </w:rPr>
      </w:pPr>
      <w:r w:rsidRPr="00080443">
        <w:rPr>
          <w:rFonts w:cs="Arial"/>
        </w:rPr>
        <w:t>for each product, the total number of lots that were bid for in the clock round that just ended</w:t>
      </w:r>
    </w:p>
    <w:p w14:paraId="6BA0FF7E" w14:textId="77777777" w:rsidR="00CF12BF" w:rsidRPr="00080443" w:rsidRDefault="00CF12BF" w:rsidP="004D411C">
      <w:pPr>
        <w:pStyle w:val="ListBullet2"/>
        <w:spacing w:after="240"/>
        <w:rPr>
          <w:rFonts w:cs="Arial"/>
        </w:rPr>
      </w:pPr>
      <w:r w:rsidRPr="00080443">
        <w:rPr>
          <w:rFonts w:cs="Arial"/>
        </w:rPr>
        <w:t xml:space="preserve">the package and price of the bidder’s own bid in the clock round that just ended. </w:t>
      </w:r>
    </w:p>
    <w:p w14:paraId="1A766A27" w14:textId="77777777" w:rsidR="00CF12BF" w:rsidRPr="00080443" w:rsidRDefault="00CF12BF" w:rsidP="00CF12BF">
      <w:pPr>
        <w:rPr>
          <w:rFonts w:cs="Arial"/>
        </w:rPr>
      </w:pPr>
      <w:r w:rsidRPr="00080443">
        <w:rPr>
          <w:rFonts w:cs="Arial"/>
        </w:rPr>
        <w:t>Bidders will not be informed of other bidders’ individual bids, or other bidders’ eligibility to bid in the next clock round.</w:t>
      </w:r>
    </w:p>
    <w:p w14:paraId="4BD32ADE" w14:textId="77777777" w:rsidR="00CF12BF" w:rsidRPr="00080443" w:rsidRDefault="00CF12BF" w:rsidP="00CF12BF">
      <w:pPr>
        <w:rPr>
          <w:rFonts w:cs="Arial"/>
        </w:rPr>
      </w:pPr>
    </w:p>
    <w:p w14:paraId="7F20522C" w14:textId="77777777" w:rsidR="00CF12BF" w:rsidRPr="00080443" w:rsidRDefault="00CF12BF" w:rsidP="00546E39">
      <w:pPr>
        <w:spacing w:after="80"/>
        <w:rPr>
          <w:rFonts w:cs="Arial"/>
        </w:rPr>
      </w:pPr>
      <w:r w:rsidRPr="00080443">
        <w:rPr>
          <w:rFonts w:cs="Arial"/>
        </w:rPr>
        <w:t xml:space="preserve">When there is no excess demand for any product, the auction manager will announce to bidders that the clock rounds have concluded and that the auction will progress to the supplementary round. After the final clock round, and before the supplementary round, each bidder will be notified </w:t>
      </w:r>
      <w:r w:rsidR="0011143E" w:rsidRPr="00080443">
        <w:rPr>
          <w:rFonts w:cs="Arial"/>
        </w:rPr>
        <w:t>of:</w:t>
      </w:r>
    </w:p>
    <w:p w14:paraId="15FD65C9" w14:textId="77777777" w:rsidR="00CF12BF" w:rsidRPr="00080443" w:rsidRDefault="00CF12BF" w:rsidP="00CF12BF">
      <w:pPr>
        <w:pStyle w:val="ListBullet"/>
        <w:rPr>
          <w:rFonts w:cs="Arial"/>
        </w:rPr>
      </w:pPr>
      <w:r w:rsidRPr="00080443">
        <w:rPr>
          <w:rFonts w:cs="Arial"/>
        </w:rPr>
        <w:t>for each product, the total number of lots that were bid for in the final clock round</w:t>
      </w:r>
    </w:p>
    <w:p w14:paraId="353696FA" w14:textId="77777777" w:rsidR="00CF12BF" w:rsidRPr="00080443" w:rsidRDefault="00CF12BF" w:rsidP="00546E39">
      <w:pPr>
        <w:pStyle w:val="ListBullet"/>
        <w:spacing w:after="240"/>
        <w:rPr>
          <w:rFonts w:cs="Arial"/>
        </w:rPr>
      </w:pPr>
      <w:r w:rsidRPr="00080443">
        <w:rPr>
          <w:rFonts w:cs="Arial"/>
        </w:rPr>
        <w:t>the package and price of the bidder’s own bid in the final clock round.</w:t>
      </w:r>
    </w:p>
    <w:p w14:paraId="0A4ACF30" w14:textId="77777777" w:rsidR="00CF12BF" w:rsidRPr="00080443" w:rsidRDefault="00CF12BF" w:rsidP="00CF12BF">
      <w:pPr>
        <w:rPr>
          <w:rFonts w:cs="Arial"/>
        </w:rPr>
      </w:pPr>
      <w:r w:rsidRPr="00080443">
        <w:rPr>
          <w:rFonts w:cs="Arial"/>
        </w:rPr>
        <w:t xml:space="preserve">Subject to there being at least one clear working day between the end of the final clock round and the start of the supplementary round, the supplementary round will be scheduled at the auction manager’s discretion. At least one hour before the start time of the supplementary round, the auction manager will announce </w:t>
      </w:r>
      <w:r w:rsidR="0011143E" w:rsidRPr="00080443">
        <w:rPr>
          <w:rFonts w:cs="Arial"/>
        </w:rPr>
        <w:t>its</w:t>
      </w:r>
      <w:r w:rsidRPr="00080443">
        <w:rPr>
          <w:rFonts w:cs="Arial"/>
        </w:rPr>
        <w:t xml:space="preserve"> start and end times. While there is no minimum or maximum length for the supplementary round, it is expected that the round will take place on a single business day and run, without interval, for between four and eight hours.</w:t>
      </w:r>
    </w:p>
    <w:p w14:paraId="72FB1A29" w14:textId="77777777" w:rsidR="00CF12BF" w:rsidRPr="00080443" w:rsidRDefault="00CF12BF" w:rsidP="00CF12BF">
      <w:pPr>
        <w:rPr>
          <w:rFonts w:cs="Arial"/>
        </w:rPr>
      </w:pPr>
    </w:p>
    <w:p w14:paraId="262779CD" w14:textId="77777777" w:rsidR="00AB42E5" w:rsidRPr="00080443" w:rsidRDefault="00CF12BF" w:rsidP="008C65F1">
      <w:pPr>
        <w:spacing w:after="80"/>
        <w:rPr>
          <w:rFonts w:cs="Arial"/>
        </w:rPr>
      </w:pPr>
      <w:r w:rsidRPr="00080443">
        <w:rPr>
          <w:rFonts w:cs="Arial"/>
        </w:rPr>
        <w:lastRenderedPageBreak/>
        <w:t xml:space="preserve">Following the end of the supplementary round, and after the winning allocation stage bids and prices have been determined, the auction manager will notify: </w:t>
      </w:r>
    </w:p>
    <w:p w14:paraId="53787E52" w14:textId="77777777" w:rsidR="00CF12BF" w:rsidRPr="00080443" w:rsidRDefault="00CF12BF" w:rsidP="00CF12BF">
      <w:pPr>
        <w:pStyle w:val="ListBullet"/>
        <w:rPr>
          <w:rFonts w:cs="Arial"/>
        </w:rPr>
      </w:pPr>
      <w:r w:rsidRPr="00080443">
        <w:rPr>
          <w:rFonts w:cs="Arial"/>
        </w:rPr>
        <w:t>all bidders about the number of winning bidders and the total number of lots of each product that have been allocated to winning bidders</w:t>
      </w:r>
    </w:p>
    <w:p w14:paraId="5092E941" w14:textId="77777777" w:rsidR="00AB42E5" w:rsidRPr="00080443" w:rsidRDefault="00CF12BF" w:rsidP="008C65F1">
      <w:pPr>
        <w:pStyle w:val="ListBullet"/>
        <w:spacing w:after="240"/>
        <w:rPr>
          <w:rFonts w:cs="Arial"/>
        </w:rPr>
      </w:pPr>
      <w:r w:rsidRPr="00080443">
        <w:rPr>
          <w:rFonts w:cs="Arial"/>
        </w:rPr>
        <w:t xml:space="preserve">each bidder about the number of lots of each product they have won and the allocation price for </w:t>
      </w:r>
      <w:r w:rsidR="0011143E" w:rsidRPr="00080443">
        <w:rPr>
          <w:rFonts w:cs="Arial"/>
        </w:rPr>
        <w:t>their</w:t>
      </w:r>
      <w:r w:rsidRPr="00080443">
        <w:rPr>
          <w:rFonts w:cs="Arial"/>
        </w:rPr>
        <w:t xml:space="preserve"> package of lots. </w:t>
      </w:r>
    </w:p>
    <w:p w14:paraId="2F0B37CF" w14:textId="77777777" w:rsidR="00CF12BF" w:rsidRPr="00080443" w:rsidRDefault="00CF12BF" w:rsidP="00CF12BF">
      <w:pPr>
        <w:rPr>
          <w:rFonts w:cs="Arial"/>
        </w:rPr>
      </w:pPr>
      <w:r w:rsidRPr="00080443">
        <w:rPr>
          <w:rFonts w:cs="Arial"/>
        </w:rPr>
        <w:t>There will be at least one clear working day between the completion of the allocation stage and the first assignment round.</w:t>
      </w:r>
    </w:p>
    <w:p w14:paraId="5C68C7D4" w14:textId="77777777" w:rsidR="00CF12BF" w:rsidRPr="00080443" w:rsidRDefault="00CF12BF" w:rsidP="00CF12BF">
      <w:pPr>
        <w:rPr>
          <w:rFonts w:cs="Arial"/>
          <w:color w:val="000000" w:themeColor="text1"/>
        </w:rPr>
      </w:pPr>
    </w:p>
    <w:p w14:paraId="3AC702BB" w14:textId="77777777" w:rsidR="00CF12BF" w:rsidRPr="00080443" w:rsidRDefault="00CF12BF" w:rsidP="00CF12BF">
      <w:pPr>
        <w:pStyle w:val="Heading3"/>
        <w:numPr>
          <w:ilvl w:val="2"/>
          <w:numId w:val="13"/>
        </w:numPr>
      </w:pPr>
      <w:bookmarkStart w:id="144" w:name="_Toc335246289"/>
      <w:bookmarkStart w:id="145" w:name="_Toc343780498"/>
      <w:r w:rsidRPr="00080443">
        <w:t>Assignment stage</w:t>
      </w:r>
      <w:bookmarkEnd w:id="144"/>
      <w:bookmarkEnd w:id="145"/>
    </w:p>
    <w:p w14:paraId="7FC09D4A" w14:textId="77777777" w:rsidR="00CF12BF" w:rsidRPr="00080443" w:rsidRDefault="00CF12BF" w:rsidP="00CF12BF">
      <w:pPr>
        <w:rPr>
          <w:rFonts w:cs="Arial"/>
        </w:rPr>
      </w:pPr>
      <w:r w:rsidRPr="00080443">
        <w:rPr>
          <w:rFonts w:cs="Arial"/>
        </w:rPr>
        <w:t xml:space="preserve">Assignment rounds will be scheduled at the auction manager’s discretion, subject to the following constraints. After the completion of the allocation stage, the auction manager will announce the anticipated start and end time of each assignment round and the product/s that will be the subject of each round. </w:t>
      </w:r>
      <w:r w:rsidR="001D6088" w:rsidRPr="00080443">
        <w:rPr>
          <w:rFonts w:cs="Arial"/>
        </w:rPr>
        <w:t xml:space="preserve">The start and end time of each assignment round will be confirmed, via the auction system, at least one hour before the round starts. </w:t>
      </w:r>
      <w:r w:rsidRPr="00080443">
        <w:rPr>
          <w:rFonts w:cs="Arial"/>
        </w:rPr>
        <w:t xml:space="preserve">If an assignment round is held for the one ‘national’ product in the 700 MHz band category, the round will not include any of the 2.5 GHz band products and will be the first assignment round held. </w:t>
      </w:r>
    </w:p>
    <w:p w14:paraId="1B5F2C87" w14:textId="77777777" w:rsidR="00CF12BF" w:rsidRPr="00080443" w:rsidRDefault="00CF12BF" w:rsidP="00CF12BF">
      <w:pPr>
        <w:rPr>
          <w:rFonts w:cs="Arial"/>
        </w:rPr>
      </w:pPr>
    </w:p>
    <w:p w14:paraId="2D3BE846" w14:textId="77777777" w:rsidR="00CF12BF" w:rsidRPr="00080443" w:rsidRDefault="00CF12BF" w:rsidP="00CF12BF">
      <w:pPr>
        <w:rPr>
          <w:rFonts w:cs="Arial"/>
        </w:rPr>
      </w:pPr>
      <w:r w:rsidRPr="00080443">
        <w:rPr>
          <w:rFonts w:cs="Arial"/>
        </w:rPr>
        <w:t xml:space="preserve">While there is no minimum or maximum length for an assignment round or an interval between assignment rounds, each assignment round will start no earlier than 9 </w:t>
      </w:r>
      <w:r w:rsidR="0011143E" w:rsidRPr="00080443">
        <w:rPr>
          <w:rFonts w:cs="Arial"/>
        </w:rPr>
        <w:t>am</w:t>
      </w:r>
      <w:r w:rsidRPr="00080443">
        <w:rPr>
          <w:rFonts w:cs="Arial"/>
        </w:rPr>
        <w:t xml:space="preserve"> and end no later than 5 </w:t>
      </w:r>
      <w:r w:rsidR="0011143E" w:rsidRPr="00080443">
        <w:rPr>
          <w:rFonts w:cs="Arial"/>
        </w:rPr>
        <w:t>pm</w:t>
      </w:r>
      <w:r w:rsidRPr="00080443">
        <w:rPr>
          <w:rFonts w:cs="Arial"/>
        </w:rPr>
        <w:t xml:space="preserve"> on working days in Victoria, Australia. </w:t>
      </w:r>
      <w:r w:rsidR="00D10FAF" w:rsidRPr="00080443">
        <w:rPr>
          <w:rFonts w:cs="Arial"/>
        </w:rPr>
        <w:t xml:space="preserve">It is expected that several assignment rounds may be completed, in sequence, on a single day. </w:t>
      </w:r>
    </w:p>
    <w:p w14:paraId="6E4A85DE" w14:textId="77777777" w:rsidR="00CF12BF" w:rsidRPr="00080443" w:rsidRDefault="00CF12BF" w:rsidP="00CF12BF">
      <w:pPr>
        <w:rPr>
          <w:rFonts w:cs="Arial"/>
        </w:rPr>
      </w:pPr>
    </w:p>
    <w:p w14:paraId="3BFE7795" w14:textId="77777777" w:rsidR="00CF12BF" w:rsidRPr="00080443" w:rsidRDefault="00CF12BF" w:rsidP="00CF12BF">
      <w:pPr>
        <w:rPr>
          <w:rFonts w:cs="Arial"/>
        </w:rPr>
      </w:pPr>
      <w:r w:rsidRPr="00080443">
        <w:rPr>
          <w:rFonts w:cs="Arial"/>
        </w:rPr>
        <w:t>At the start of each assignment round, the auction manager will provide each bidder with the list of frequency options available to the bidder in that round.</w:t>
      </w:r>
    </w:p>
    <w:p w14:paraId="2C3E5231" w14:textId="77777777" w:rsidR="00CF12BF" w:rsidRPr="00080443" w:rsidRDefault="00CF12BF" w:rsidP="00CF12BF">
      <w:pPr>
        <w:rPr>
          <w:rFonts w:cs="Arial"/>
        </w:rPr>
      </w:pPr>
    </w:p>
    <w:p w14:paraId="6DE3EB14" w14:textId="77777777" w:rsidR="00CF12BF" w:rsidRPr="00080443" w:rsidRDefault="00CF12BF" w:rsidP="00CF12BF">
      <w:pPr>
        <w:rPr>
          <w:rFonts w:cs="Arial"/>
        </w:rPr>
      </w:pPr>
      <w:r w:rsidRPr="00080443">
        <w:rPr>
          <w:rFonts w:cs="Arial"/>
        </w:rPr>
        <w:t>After the winning bids and prices have been determined for an assignment round, the auction manager will notify each winning bidder about the frequency ranges assigned to the lots they won, and any associated assignment price.</w:t>
      </w:r>
    </w:p>
    <w:p w14:paraId="5BBE50D4" w14:textId="77777777" w:rsidR="00844CE4" w:rsidRPr="00080443" w:rsidRDefault="00844CE4" w:rsidP="00CF12BF">
      <w:pPr>
        <w:rPr>
          <w:rFonts w:cs="Arial"/>
        </w:rPr>
      </w:pPr>
    </w:p>
    <w:p w14:paraId="2F2FCAE1" w14:textId="77777777" w:rsidR="00CF12BF" w:rsidRPr="00080443" w:rsidRDefault="00844CE4" w:rsidP="00CF12BF">
      <w:pPr>
        <w:rPr>
          <w:rFonts w:cs="Arial"/>
        </w:rPr>
      </w:pPr>
      <w:r w:rsidRPr="00080443">
        <w:rPr>
          <w:rFonts w:cs="Arial"/>
        </w:rPr>
        <w:t xml:space="preserve">The assignment stage is complete when the auction manager has notified bidders about the results of every round. The completion of the assignment stage marks </w:t>
      </w:r>
      <w:r w:rsidR="00BF101B" w:rsidRPr="00080443">
        <w:rPr>
          <w:rFonts w:cs="Arial"/>
        </w:rPr>
        <w:t>the end of the auction period</w:t>
      </w:r>
      <w:r w:rsidRPr="00080443">
        <w:rPr>
          <w:rFonts w:cs="Arial"/>
        </w:rPr>
        <w:t>.</w:t>
      </w:r>
    </w:p>
    <w:p w14:paraId="5786E8DD" w14:textId="77777777" w:rsidR="00CF12BF" w:rsidRPr="00080443" w:rsidRDefault="00CF12BF" w:rsidP="00CF12BF">
      <w:pPr>
        <w:rPr>
          <w:rFonts w:cs="Arial"/>
        </w:rPr>
      </w:pPr>
    </w:p>
    <w:p w14:paraId="6DA038EE" w14:textId="77777777" w:rsidR="00CF12BF" w:rsidRPr="00080443" w:rsidRDefault="00AB383F" w:rsidP="00CF12BF">
      <w:pPr>
        <w:pStyle w:val="Heading2"/>
        <w:numPr>
          <w:ilvl w:val="1"/>
          <w:numId w:val="13"/>
        </w:numPr>
        <w:rPr>
          <w:color w:val="000000" w:themeColor="text1"/>
        </w:rPr>
      </w:pPr>
      <w:bookmarkStart w:id="146" w:name="_Toc335246291"/>
      <w:bookmarkStart w:id="147" w:name="_Toc343780499"/>
      <w:r w:rsidRPr="00080443">
        <w:rPr>
          <w:color w:val="000000" w:themeColor="text1"/>
        </w:rPr>
        <w:t>Step 5</w:t>
      </w:r>
      <w:r w:rsidR="00B2044C" w:rsidRPr="00080443">
        <w:rPr>
          <w:color w:val="000000" w:themeColor="text1"/>
        </w:rPr>
        <w:t>—</w:t>
      </w:r>
      <w:r w:rsidRPr="00080443">
        <w:rPr>
          <w:color w:val="000000" w:themeColor="text1"/>
        </w:rPr>
        <w:t>Verification and publication of auction results</w:t>
      </w:r>
      <w:bookmarkEnd w:id="146"/>
      <w:bookmarkEnd w:id="147"/>
    </w:p>
    <w:p w14:paraId="36B4E9B7" w14:textId="77777777" w:rsidR="00724981" w:rsidRPr="00080443" w:rsidRDefault="002003CF" w:rsidP="00CF12BF">
      <w:pPr>
        <w:rPr>
          <w:rFonts w:cs="Arial"/>
        </w:rPr>
      </w:pPr>
      <w:r w:rsidRPr="00080443">
        <w:rPr>
          <w:rFonts w:cs="Arial"/>
        </w:rPr>
        <w:t xml:space="preserve">Before announcing or publishing the results of the auction, or issuing invoices to winning bidders, </w:t>
      </w:r>
      <w:r w:rsidR="00724981" w:rsidRPr="00080443">
        <w:rPr>
          <w:rFonts w:cs="Arial"/>
        </w:rPr>
        <w:t xml:space="preserve">the ACMA will obtain </w:t>
      </w:r>
      <w:r w:rsidR="00AB383F" w:rsidRPr="00080443">
        <w:rPr>
          <w:rFonts w:cs="Arial"/>
        </w:rPr>
        <w:t xml:space="preserve">independent verification </w:t>
      </w:r>
      <w:r w:rsidR="00724981" w:rsidRPr="00080443">
        <w:rPr>
          <w:rFonts w:cs="Arial"/>
        </w:rPr>
        <w:t>that the winning bidders and winning prices calculated</w:t>
      </w:r>
      <w:r w:rsidR="00AB383F" w:rsidRPr="00080443">
        <w:rPr>
          <w:rFonts w:cs="Arial"/>
        </w:rPr>
        <w:t xml:space="preserve"> by the auction system </w:t>
      </w:r>
      <w:r w:rsidR="00724981" w:rsidRPr="00080443">
        <w:rPr>
          <w:rFonts w:cs="Arial"/>
        </w:rPr>
        <w:t xml:space="preserve">accord with the auction procedures set out in the allocation determination (see 3.3.4). </w:t>
      </w:r>
    </w:p>
    <w:p w14:paraId="5576D0A5" w14:textId="77777777" w:rsidR="00724981" w:rsidRPr="00080443" w:rsidRDefault="00724981" w:rsidP="00CF12BF">
      <w:pPr>
        <w:rPr>
          <w:rFonts w:cs="Arial"/>
        </w:rPr>
      </w:pPr>
    </w:p>
    <w:p w14:paraId="4A2F2880" w14:textId="77777777" w:rsidR="00DD724D" w:rsidRPr="00080443" w:rsidRDefault="00724981" w:rsidP="003A46B9">
      <w:pPr>
        <w:spacing w:after="80"/>
        <w:rPr>
          <w:rFonts w:cs="Arial"/>
        </w:rPr>
      </w:pPr>
      <w:r w:rsidRPr="00080443">
        <w:rPr>
          <w:rFonts w:cs="Arial"/>
        </w:rPr>
        <w:t>Following completion of the veri</w:t>
      </w:r>
      <w:r w:rsidR="00CF5DA5" w:rsidRPr="00080443">
        <w:rPr>
          <w:rFonts w:cs="Arial"/>
        </w:rPr>
        <w:t xml:space="preserve">fication process, </w:t>
      </w:r>
      <w:r w:rsidR="00EE078D" w:rsidRPr="00080443">
        <w:rPr>
          <w:rFonts w:cs="Arial"/>
        </w:rPr>
        <w:t xml:space="preserve">and after the end of the auction period, </w:t>
      </w:r>
      <w:r w:rsidR="00CF5DA5" w:rsidRPr="00080443">
        <w:rPr>
          <w:rFonts w:cs="Arial"/>
        </w:rPr>
        <w:t>the ACMA will</w:t>
      </w:r>
      <w:r w:rsidR="00DD724D" w:rsidRPr="00080443">
        <w:rPr>
          <w:rFonts w:cs="Arial"/>
        </w:rPr>
        <w:t>:</w:t>
      </w:r>
      <w:r w:rsidRPr="00080443">
        <w:rPr>
          <w:rFonts w:cs="Arial"/>
        </w:rPr>
        <w:t xml:space="preserve"> </w:t>
      </w:r>
    </w:p>
    <w:p w14:paraId="0E31992F" w14:textId="77777777" w:rsidR="00724981" w:rsidRPr="00080443" w:rsidRDefault="00CF5DA5" w:rsidP="00DD724D">
      <w:pPr>
        <w:pStyle w:val="ListBullet"/>
        <w:rPr>
          <w:rFonts w:cs="Arial"/>
        </w:rPr>
      </w:pPr>
      <w:r w:rsidRPr="00080443">
        <w:rPr>
          <w:rFonts w:cs="Arial"/>
        </w:rPr>
        <w:t xml:space="preserve">announce </w:t>
      </w:r>
      <w:r w:rsidR="00EE078D" w:rsidRPr="00080443">
        <w:rPr>
          <w:rFonts w:cs="Arial"/>
        </w:rPr>
        <w:t xml:space="preserve">or publish: </w:t>
      </w:r>
    </w:p>
    <w:p w14:paraId="1FCE5C05" w14:textId="77777777" w:rsidR="00724981" w:rsidRPr="00080443" w:rsidRDefault="00724981" w:rsidP="003A46B9">
      <w:pPr>
        <w:pStyle w:val="ListBullet2"/>
        <w:rPr>
          <w:rFonts w:cs="Arial"/>
        </w:rPr>
      </w:pPr>
      <w:r w:rsidRPr="00080443">
        <w:rPr>
          <w:rFonts w:cs="Arial"/>
        </w:rPr>
        <w:t>the names of winning bidders</w:t>
      </w:r>
    </w:p>
    <w:p w14:paraId="4AACEB48" w14:textId="77777777" w:rsidR="00724981" w:rsidRPr="00080443" w:rsidRDefault="00724981" w:rsidP="003A46B9">
      <w:pPr>
        <w:pStyle w:val="ListBullet2"/>
        <w:rPr>
          <w:rFonts w:cs="Arial"/>
          <w:lang w:val="en-US"/>
        </w:rPr>
      </w:pPr>
      <w:r w:rsidRPr="00080443">
        <w:rPr>
          <w:rFonts w:cs="Arial"/>
          <w:lang w:val="en-US"/>
        </w:rPr>
        <w:t xml:space="preserve">the </w:t>
      </w:r>
      <w:r w:rsidRPr="00080443">
        <w:rPr>
          <w:rFonts w:cs="Arial"/>
        </w:rPr>
        <w:t>spectrum</w:t>
      </w:r>
      <w:r w:rsidRPr="00080443">
        <w:rPr>
          <w:rFonts w:cs="Arial"/>
          <w:lang w:val="en-US"/>
        </w:rPr>
        <w:t xml:space="preserve"> allocated to each winning bidder</w:t>
      </w:r>
    </w:p>
    <w:p w14:paraId="66CAFD39" w14:textId="77777777" w:rsidR="00DD724D" w:rsidRPr="00080443" w:rsidRDefault="00724981" w:rsidP="003A46B9">
      <w:pPr>
        <w:pStyle w:val="ListBullet2"/>
        <w:rPr>
          <w:rFonts w:cs="Arial"/>
          <w:lang w:val="en-US"/>
        </w:rPr>
      </w:pPr>
      <w:r w:rsidRPr="00080443">
        <w:rPr>
          <w:rFonts w:cs="Arial"/>
          <w:lang w:val="en-US"/>
        </w:rPr>
        <w:t xml:space="preserve">the total sum paid, or to be paid, by each winning bidder </w:t>
      </w:r>
      <w:r w:rsidR="00B272C7" w:rsidRPr="00080443">
        <w:rPr>
          <w:rFonts w:cs="Arial"/>
          <w:lang w:val="en-US"/>
        </w:rPr>
        <w:t xml:space="preserve">(see </w:t>
      </w:r>
      <w:r w:rsidR="00EE078D" w:rsidRPr="00080443">
        <w:rPr>
          <w:rFonts w:cs="Arial"/>
          <w:lang w:val="en-US"/>
        </w:rPr>
        <w:t>4.6.1</w:t>
      </w:r>
      <w:r w:rsidR="00883EE9" w:rsidRPr="00080443">
        <w:rPr>
          <w:rFonts w:cs="Arial"/>
          <w:lang w:val="en-US"/>
        </w:rPr>
        <w:t>)</w:t>
      </w:r>
    </w:p>
    <w:p w14:paraId="14616C45" w14:textId="77777777" w:rsidR="00183F72" w:rsidRPr="00080443" w:rsidRDefault="004D7DDB">
      <w:pPr>
        <w:pStyle w:val="ListBullet"/>
        <w:rPr>
          <w:rFonts w:cs="Arial"/>
          <w:lang w:val="en-US"/>
        </w:rPr>
      </w:pPr>
      <w:r w:rsidRPr="00080443">
        <w:rPr>
          <w:rFonts w:cs="Arial"/>
          <w:lang w:val="en-US"/>
        </w:rPr>
        <w:t>provide bidders</w:t>
      </w:r>
      <w:r w:rsidR="00EE078D" w:rsidRPr="00080443">
        <w:rPr>
          <w:rFonts w:cs="Arial"/>
          <w:lang w:val="en-US"/>
        </w:rPr>
        <w:t xml:space="preserve"> with </w:t>
      </w:r>
      <w:r w:rsidRPr="00080443">
        <w:rPr>
          <w:rFonts w:cs="Arial"/>
          <w:lang w:val="en-US"/>
        </w:rPr>
        <w:t>information about the outcome of the verification process.</w:t>
      </w:r>
    </w:p>
    <w:p w14:paraId="78835081" w14:textId="77777777" w:rsidR="00CF12BF" w:rsidRPr="00080443" w:rsidRDefault="00CF12BF" w:rsidP="00CF12BF">
      <w:pPr>
        <w:rPr>
          <w:rFonts w:cs="Arial"/>
        </w:rPr>
      </w:pPr>
    </w:p>
    <w:p w14:paraId="60B462F7" w14:textId="77777777" w:rsidR="00CF12BF" w:rsidRPr="00080443" w:rsidRDefault="00CF12BF" w:rsidP="004D411C">
      <w:pPr>
        <w:pStyle w:val="Heading2"/>
        <w:pageBreakBefore/>
        <w:numPr>
          <w:ilvl w:val="1"/>
          <w:numId w:val="13"/>
        </w:numPr>
        <w:rPr>
          <w:color w:val="000000" w:themeColor="text1"/>
        </w:rPr>
      </w:pPr>
      <w:bookmarkStart w:id="148" w:name="_Toc335246292"/>
      <w:bookmarkStart w:id="149" w:name="_Toc343780500"/>
      <w:r w:rsidRPr="00080443">
        <w:rPr>
          <w:color w:val="000000" w:themeColor="text1"/>
        </w:rPr>
        <w:lastRenderedPageBreak/>
        <w:t>Step 6</w:t>
      </w:r>
      <w:r w:rsidR="0011143E" w:rsidRPr="00080443">
        <w:rPr>
          <w:color w:val="000000" w:themeColor="text1"/>
        </w:rPr>
        <w:t>—</w:t>
      </w:r>
      <w:r w:rsidRPr="00080443">
        <w:rPr>
          <w:color w:val="000000" w:themeColor="text1"/>
        </w:rPr>
        <w:t>Post-auction procedures</w:t>
      </w:r>
      <w:bookmarkEnd w:id="148"/>
      <w:bookmarkEnd w:id="149"/>
    </w:p>
    <w:p w14:paraId="0345928C" w14:textId="77777777" w:rsidR="00844CE4" w:rsidRPr="00080443" w:rsidRDefault="0079433D" w:rsidP="003A46B9">
      <w:pPr>
        <w:spacing w:after="80"/>
        <w:rPr>
          <w:rFonts w:cs="Arial"/>
        </w:rPr>
      </w:pPr>
      <w:r w:rsidRPr="00080443">
        <w:rPr>
          <w:rFonts w:cs="Arial"/>
        </w:rPr>
        <w:t xml:space="preserve">The steps to </w:t>
      </w:r>
      <w:r w:rsidR="00AB383F" w:rsidRPr="00080443">
        <w:rPr>
          <w:rFonts w:cs="Arial"/>
        </w:rPr>
        <w:t xml:space="preserve">be </w:t>
      </w:r>
      <w:r w:rsidRPr="00080443">
        <w:rPr>
          <w:rFonts w:cs="Arial"/>
        </w:rPr>
        <w:t>followed after the end of the auction period will be different for:</w:t>
      </w:r>
    </w:p>
    <w:p w14:paraId="1F13BF28" w14:textId="77777777" w:rsidR="00D56D2B" w:rsidRPr="00080443" w:rsidRDefault="00D56D2B" w:rsidP="0079433D">
      <w:pPr>
        <w:pStyle w:val="ListBullet"/>
        <w:rPr>
          <w:rFonts w:cs="Arial"/>
        </w:rPr>
      </w:pPr>
      <w:r w:rsidRPr="00080443">
        <w:rPr>
          <w:rFonts w:cs="Arial"/>
        </w:rPr>
        <w:t xml:space="preserve">bidders who won </w:t>
      </w:r>
      <w:r w:rsidR="00565876" w:rsidRPr="00080443">
        <w:rPr>
          <w:rFonts w:cs="Arial"/>
        </w:rPr>
        <w:t xml:space="preserve">lots of a product </w:t>
      </w:r>
      <w:r w:rsidRPr="00080443">
        <w:rPr>
          <w:rFonts w:cs="Arial"/>
        </w:rPr>
        <w:t>in the auction</w:t>
      </w:r>
    </w:p>
    <w:p w14:paraId="53992126" w14:textId="77777777" w:rsidR="00D56D2B" w:rsidRPr="00080443" w:rsidRDefault="00D56D2B" w:rsidP="0079433D">
      <w:pPr>
        <w:pStyle w:val="ListBullet"/>
        <w:rPr>
          <w:rFonts w:cs="Arial"/>
        </w:rPr>
      </w:pPr>
      <w:r w:rsidRPr="00080443">
        <w:rPr>
          <w:rFonts w:cs="Arial"/>
        </w:rPr>
        <w:t xml:space="preserve">bidders who did not win </w:t>
      </w:r>
      <w:r w:rsidR="00565876" w:rsidRPr="00080443">
        <w:rPr>
          <w:rFonts w:cs="Arial"/>
        </w:rPr>
        <w:t xml:space="preserve">lots of a product </w:t>
      </w:r>
      <w:r w:rsidRPr="00080443">
        <w:rPr>
          <w:rFonts w:cs="Arial"/>
        </w:rPr>
        <w:t>in the auction</w:t>
      </w:r>
    </w:p>
    <w:p w14:paraId="34998174" w14:textId="77777777" w:rsidR="0079433D" w:rsidRPr="00080443" w:rsidRDefault="0079433D" w:rsidP="004D411C">
      <w:pPr>
        <w:pStyle w:val="ListBullet"/>
        <w:spacing w:after="0"/>
        <w:rPr>
          <w:rFonts w:cs="Arial"/>
        </w:rPr>
      </w:pPr>
      <w:r w:rsidRPr="00080443">
        <w:rPr>
          <w:rFonts w:cs="Arial"/>
        </w:rPr>
        <w:t xml:space="preserve">applicants who withdrew from the auction before the eligibility deadline. </w:t>
      </w:r>
    </w:p>
    <w:p w14:paraId="00080008" w14:textId="77777777" w:rsidR="00CF12BF" w:rsidRPr="00080443" w:rsidRDefault="00844CE4" w:rsidP="00CF12BF">
      <w:pPr>
        <w:rPr>
          <w:rFonts w:cs="Arial"/>
        </w:rPr>
      </w:pPr>
      <w:r w:rsidRPr="00080443">
        <w:rPr>
          <w:rFonts w:cs="Arial"/>
        </w:rPr>
        <w:t xml:space="preserve"> </w:t>
      </w:r>
    </w:p>
    <w:p w14:paraId="4DF5F1EC" w14:textId="77777777" w:rsidR="00CF12BF" w:rsidRPr="00080443" w:rsidRDefault="00D56D2B" w:rsidP="00CF12BF">
      <w:pPr>
        <w:pStyle w:val="Heading3"/>
        <w:numPr>
          <w:ilvl w:val="2"/>
          <w:numId w:val="13"/>
        </w:numPr>
      </w:pPr>
      <w:bookmarkStart w:id="150" w:name="_Toc335246293"/>
      <w:bookmarkStart w:id="151" w:name="_Toc343780501"/>
      <w:r w:rsidRPr="00080443">
        <w:t>Winning bidders</w:t>
      </w:r>
      <w:bookmarkEnd w:id="150"/>
      <w:bookmarkEnd w:id="151"/>
      <w:r w:rsidR="00CF12BF" w:rsidRPr="00080443">
        <w:t xml:space="preserve"> </w:t>
      </w:r>
    </w:p>
    <w:p w14:paraId="6F4EBB5B" w14:textId="77777777" w:rsidR="00D56D2B" w:rsidRPr="00080443" w:rsidRDefault="00D56D2B" w:rsidP="00742776">
      <w:pPr>
        <w:spacing w:after="80"/>
        <w:rPr>
          <w:rFonts w:cs="Arial"/>
        </w:rPr>
      </w:pPr>
      <w:r w:rsidRPr="00080443">
        <w:rPr>
          <w:rFonts w:cs="Arial"/>
        </w:rPr>
        <w:t xml:space="preserve">After the auction results have been verified </w:t>
      </w:r>
      <w:r w:rsidR="00AB383F" w:rsidRPr="00080443">
        <w:rPr>
          <w:rFonts w:cs="Arial"/>
        </w:rPr>
        <w:t xml:space="preserve">and </w:t>
      </w:r>
      <w:r w:rsidRPr="00080443">
        <w:rPr>
          <w:rFonts w:cs="Arial"/>
        </w:rPr>
        <w:t>published (see 4.5), the ACMA will:</w:t>
      </w:r>
    </w:p>
    <w:p w14:paraId="3A768A9E" w14:textId="77777777" w:rsidR="00D56D2B" w:rsidRPr="00080443" w:rsidRDefault="00D56D2B" w:rsidP="00D56D2B">
      <w:pPr>
        <w:pStyle w:val="ListBullet"/>
        <w:rPr>
          <w:rFonts w:cs="Arial"/>
        </w:rPr>
      </w:pPr>
      <w:r w:rsidRPr="00080443">
        <w:rPr>
          <w:rFonts w:cs="Arial"/>
        </w:rPr>
        <w:t>give each winning bidder details about the identity of all other winning bidders</w:t>
      </w:r>
    </w:p>
    <w:p w14:paraId="70B0B346" w14:textId="77777777" w:rsidR="00D56D2B" w:rsidRPr="00080443" w:rsidRDefault="00D56D2B" w:rsidP="00BC238E">
      <w:pPr>
        <w:pStyle w:val="ListBullet"/>
        <w:spacing w:after="240"/>
        <w:rPr>
          <w:rFonts w:cs="Arial"/>
        </w:rPr>
      </w:pPr>
      <w:r w:rsidRPr="00080443">
        <w:rPr>
          <w:rFonts w:cs="Arial"/>
        </w:rPr>
        <w:t>ask the bidder to make a statement for the purposes of section 6.3 of the allocation determination (Form 7)</w:t>
      </w:r>
      <w:r w:rsidR="00742776" w:rsidRPr="00080443">
        <w:rPr>
          <w:rFonts w:cs="Arial"/>
        </w:rPr>
        <w:t>,</w:t>
      </w:r>
      <w:r w:rsidRPr="00080443">
        <w:rPr>
          <w:rFonts w:cs="Arial"/>
        </w:rPr>
        <w:t xml:space="preserve"> stating whether the bidder is an affiliate of another winning bidder and, if so, identifying the other bidder and giving details of the affiliation.</w:t>
      </w:r>
    </w:p>
    <w:p w14:paraId="45DA8981" w14:textId="77777777" w:rsidR="00D56D2B" w:rsidRPr="00080443" w:rsidRDefault="00D56D2B" w:rsidP="00D56D2B">
      <w:pPr>
        <w:rPr>
          <w:rFonts w:cs="Arial"/>
        </w:rPr>
      </w:pPr>
      <w:r w:rsidRPr="00080443">
        <w:rPr>
          <w:rFonts w:cs="Arial"/>
        </w:rPr>
        <w:t xml:space="preserve">Statements for the purposes of section 6.3 of the allocation determination must be lodged by the deadline stated in the ACMA’s request. The deadline will be at least five working days after the date of the request. A winning bidder’s confidentiality obligations </w:t>
      </w:r>
      <w:r w:rsidR="00CC153B" w:rsidRPr="00080443">
        <w:rPr>
          <w:rFonts w:cs="Arial"/>
        </w:rPr>
        <w:t xml:space="preserve">(see 3.2.7) </w:t>
      </w:r>
      <w:r w:rsidRPr="00080443">
        <w:rPr>
          <w:rFonts w:cs="Arial"/>
        </w:rPr>
        <w:t xml:space="preserve">will end when they give the statement to the ACMA. Winning bidders who fail to give the ACMA a statement as requested will be subject to the breach provisions discussed at 3.2.8. </w:t>
      </w:r>
    </w:p>
    <w:p w14:paraId="6BD9E41D" w14:textId="77777777" w:rsidR="00D56D2B" w:rsidRPr="00080443" w:rsidRDefault="00D56D2B" w:rsidP="00D56D2B">
      <w:pPr>
        <w:rPr>
          <w:rFonts w:cs="Arial"/>
        </w:rPr>
      </w:pPr>
    </w:p>
    <w:p w14:paraId="21112CF7" w14:textId="77777777" w:rsidR="00000394" w:rsidRPr="00080443" w:rsidRDefault="00D56D2B" w:rsidP="00D56D2B">
      <w:pPr>
        <w:rPr>
          <w:rFonts w:cs="Arial"/>
        </w:rPr>
      </w:pPr>
      <w:r w:rsidRPr="00080443">
        <w:rPr>
          <w:rFonts w:cs="Arial"/>
        </w:rPr>
        <w:t xml:space="preserve">Where the ACMA is satisfied that two or more winning bidders have become affiliated after, but were not affiliated </w:t>
      </w:r>
      <w:r w:rsidRPr="00080443">
        <w:rPr>
          <w:rFonts w:cs="Arial"/>
          <w:i/>
        </w:rPr>
        <w:t>during</w:t>
      </w:r>
      <w:r w:rsidRPr="00080443">
        <w:rPr>
          <w:rFonts w:cs="Arial"/>
        </w:rPr>
        <w:t xml:space="preserve">, the auction period, it will notify bidders in writing and tell them the reasons why it is satisfied </w:t>
      </w:r>
      <w:r w:rsidR="00595A8F" w:rsidRPr="00080443">
        <w:rPr>
          <w:rFonts w:cs="Arial"/>
        </w:rPr>
        <w:t xml:space="preserve">that </w:t>
      </w:r>
      <w:r w:rsidRPr="00080443">
        <w:rPr>
          <w:rFonts w:cs="Arial"/>
        </w:rPr>
        <w:t>th</w:t>
      </w:r>
      <w:r w:rsidR="00595A8F" w:rsidRPr="00080443">
        <w:rPr>
          <w:rFonts w:cs="Arial"/>
        </w:rPr>
        <w:t xml:space="preserve">is is so. </w:t>
      </w:r>
      <w:r w:rsidRPr="00080443">
        <w:rPr>
          <w:rFonts w:cs="Arial"/>
        </w:rPr>
        <w:t>If the issue of spectrum licences to the affiliated bidders for all the lots of a product the bidders won at auction would exceed the allocation limits</w:t>
      </w:r>
      <w:r w:rsidR="001A59C3" w:rsidRPr="00080443">
        <w:rPr>
          <w:rFonts w:cs="Arial"/>
        </w:rPr>
        <w:t xml:space="preserve"> (see 3.2.5)</w:t>
      </w:r>
      <w:r w:rsidRPr="00080443">
        <w:rPr>
          <w:rFonts w:cs="Arial"/>
        </w:rPr>
        <w:t xml:space="preserve">, the bidders may give the ACMA a direction specifying how the spectrum is to be allocated between them up to the allocation limits. Any such direction must be given jointly by the bidders within five working days of receiving the notification from the ACMA. </w:t>
      </w:r>
    </w:p>
    <w:p w14:paraId="2AF6C018" w14:textId="77777777" w:rsidR="00000394" w:rsidRPr="00080443" w:rsidRDefault="00000394" w:rsidP="00D56D2B">
      <w:pPr>
        <w:rPr>
          <w:rFonts w:cs="Arial"/>
        </w:rPr>
      </w:pPr>
    </w:p>
    <w:p w14:paraId="573433AE" w14:textId="77777777" w:rsidR="00D56D2B" w:rsidRPr="00080443" w:rsidRDefault="00D56D2B" w:rsidP="00D56D2B">
      <w:pPr>
        <w:rPr>
          <w:rFonts w:cs="Arial"/>
        </w:rPr>
      </w:pPr>
      <w:r w:rsidRPr="00080443">
        <w:rPr>
          <w:rFonts w:cs="Arial"/>
        </w:rPr>
        <w:t xml:space="preserve">If the ACMA does not receive a direction within five working days, </w:t>
      </w:r>
      <w:r w:rsidR="001A59C3" w:rsidRPr="00080443">
        <w:rPr>
          <w:rFonts w:cs="Arial"/>
        </w:rPr>
        <w:t>it may</w:t>
      </w:r>
      <w:r w:rsidRPr="00080443">
        <w:rPr>
          <w:rFonts w:cs="Arial"/>
        </w:rPr>
        <w:t xml:space="preserve">, for any </w:t>
      </w:r>
      <w:r w:rsidR="007C7630" w:rsidRPr="00080443">
        <w:rPr>
          <w:rFonts w:cs="Arial"/>
        </w:rPr>
        <w:t xml:space="preserve">part of the spectrum </w:t>
      </w:r>
      <w:r w:rsidRPr="00080443">
        <w:rPr>
          <w:rFonts w:cs="Arial"/>
        </w:rPr>
        <w:t xml:space="preserve">where the lots won by the bidders exceed the allocation limits, choose at its discretion how to allocate </w:t>
      </w:r>
      <w:r w:rsidR="007C7630" w:rsidRPr="00080443">
        <w:rPr>
          <w:rFonts w:cs="Arial"/>
        </w:rPr>
        <w:t>spectrum</w:t>
      </w:r>
      <w:r w:rsidRPr="00080443">
        <w:rPr>
          <w:rFonts w:cs="Arial"/>
        </w:rPr>
        <w:t xml:space="preserve"> to each bidder up to the allocation limits. </w:t>
      </w:r>
      <w:r w:rsidR="00D572D5" w:rsidRPr="00080443">
        <w:rPr>
          <w:rFonts w:cs="Arial"/>
        </w:rPr>
        <w:t>In such cases</w:t>
      </w:r>
      <w:r w:rsidR="001A59C3" w:rsidRPr="00080443">
        <w:rPr>
          <w:rFonts w:cs="Arial"/>
        </w:rPr>
        <w:t>, a</w:t>
      </w:r>
      <w:r w:rsidRPr="00080443">
        <w:rPr>
          <w:rFonts w:cs="Arial"/>
        </w:rPr>
        <w:t xml:space="preserve"> frequency range can be assigned to a bidder from any of the frequency ranges assigned to the lots won at auction by any of the affiliated bidders. Regardless of whether the </w:t>
      </w:r>
      <w:r w:rsidR="00D572D5" w:rsidRPr="00080443">
        <w:rPr>
          <w:rFonts w:cs="Arial"/>
        </w:rPr>
        <w:t xml:space="preserve">affiliated </w:t>
      </w:r>
      <w:r w:rsidRPr="00080443">
        <w:rPr>
          <w:rFonts w:cs="Arial"/>
        </w:rPr>
        <w:t>bidders are consequently issued licences for fewer lots than they won in the auction, each of them will remain liable to pay the full balance of the winning price for all of the lots they won.</w:t>
      </w:r>
    </w:p>
    <w:p w14:paraId="08AF87AF" w14:textId="77777777" w:rsidR="00D56D2B" w:rsidRPr="00080443" w:rsidRDefault="00D56D2B" w:rsidP="00D56D2B">
      <w:pPr>
        <w:rPr>
          <w:rFonts w:cs="Arial"/>
        </w:rPr>
      </w:pPr>
    </w:p>
    <w:p w14:paraId="50F50683" w14:textId="77777777" w:rsidR="00D56D2B" w:rsidRPr="00080443" w:rsidRDefault="00405770" w:rsidP="00000394">
      <w:pPr>
        <w:spacing w:after="80"/>
        <w:rPr>
          <w:rFonts w:cs="Arial"/>
        </w:rPr>
      </w:pPr>
      <w:r w:rsidRPr="00080443">
        <w:rPr>
          <w:rFonts w:cs="Arial"/>
        </w:rPr>
        <w:t xml:space="preserve">Following Step 5 above, </w:t>
      </w:r>
      <w:r w:rsidR="00885C7B" w:rsidRPr="00080443">
        <w:rPr>
          <w:rFonts w:cs="Arial"/>
        </w:rPr>
        <w:t xml:space="preserve">the ACMA will notify each winning bidder, via an invoice delivered by registered mail, of the amount payable for the lots they won. The balance of the price payable by a winning bidder will be the total of the allocation price and assignment prices for the lots they won, </w:t>
      </w:r>
      <w:r w:rsidR="00885C7B" w:rsidRPr="00080443">
        <w:rPr>
          <w:rFonts w:cs="Arial"/>
          <w:i/>
        </w:rPr>
        <w:t>less</w:t>
      </w:r>
      <w:r w:rsidR="00885C7B" w:rsidRPr="00080443">
        <w:rPr>
          <w:rFonts w:cs="Arial"/>
        </w:rPr>
        <w:t xml:space="preserve"> any eligibility payment they made at Stage B of the bidder registration process (see 4.3.2)</w:t>
      </w:r>
      <w:r w:rsidR="00CC42EA" w:rsidRPr="00080443">
        <w:rPr>
          <w:rFonts w:cs="Arial"/>
        </w:rPr>
        <w:t xml:space="preserve">:  </w:t>
      </w:r>
    </w:p>
    <w:p w14:paraId="6307A36F" w14:textId="77777777" w:rsidR="00D56D2B" w:rsidRDefault="00000394" w:rsidP="004D411C">
      <w:pPr>
        <w:pStyle w:val="ListBullet"/>
        <w:spacing w:after="240"/>
        <w:rPr>
          <w:rFonts w:cs="Arial"/>
        </w:rPr>
      </w:pPr>
      <w:r w:rsidRPr="00080443">
        <w:rPr>
          <w:rFonts w:cs="Arial"/>
        </w:rPr>
        <w:t>W</w:t>
      </w:r>
      <w:r w:rsidR="00D56D2B" w:rsidRPr="00080443">
        <w:rPr>
          <w:rFonts w:cs="Arial"/>
        </w:rPr>
        <w:t xml:space="preserve">here the balance of the winning price for a bidder is an amount </w:t>
      </w:r>
      <w:r w:rsidR="00D56D2B" w:rsidRPr="00080443">
        <w:rPr>
          <w:rFonts w:cs="Arial"/>
          <w:b/>
        </w:rPr>
        <w:t>greater than zero</w:t>
      </w:r>
      <w:r w:rsidR="00D56D2B" w:rsidRPr="00080443">
        <w:rPr>
          <w:rFonts w:cs="Arial"/>
        </w:rPr>
        <w:t>, the ACMA will notify the bidder by registered mail of the balance</w:t>
      </w:r>
      <w:r w:rsidRPr="00080443">
        <w:rPr>
          <w:rFonts w:cs="Arial"/>
        </w:rPr>
        <w:t>—which</w:t>
      </w:r>
      <w:r w:rsidR="00D56D2B" w:rsidRPr="00080443">
        <w:rPr>
          <w:rFonts w:cs="Arial"/>
        </w:rPr>
        <w:t xml:space="preserve"> must be paid by the winning bidder to the ACMA on behalf of the Commonwealth no later than 20 working days after the date of the notice</w:t>
      </w:r>
      <w:r w:rsidRPr="00080443">
        <w:rPr>
          <w:rFonts w:cs="Arial"/>
        </w:rPr>
        <w:t>. O</w:t>
      </w:r>
      <w:r w:rsidR="00D56D2B" w:rsidRPr="00080443">
        <w:rPr>
          <w:rFonts w:cs="Arial"/>
        </w:rPr>
        <w:t>nce the balance has been paid, the bidder is entitled to be issued a spectrum licence for each part of the spectrum allocated to the bidder</w:t>
      </w:r>
      <w:r w:rsidRPr="00080443">
        <w:rPr>
          <w:rFonts w:cs="Arial"/>
        </w:rPr>
        <w:t>.</w:t>
      </w:r>
      <w:r w:rsidR="00FC286F">
        <w:rPr>
          <w:rFonts w:cs="Arial"/>
        </w:rPr>
        <w:t xml:space="preserve"> </w:t>
      </w:r>
      <w:r w:rsidR="00FC286F" w:rsidRPr="00FC286F">
        <w:rPr>
          <w:rFonts w:cs="Arial"/>
        </w:rPr>
        <w:t xml:space="preserve">The minister has directed the ACMA on the time when bidders must pay the balance of their winning price. The direction requires the ACMA to </w:t>
      </w:r>
      <w:r w:rsidR="00FC286F" w:rsidRPr="00FC286F">
        <w:rPr>
          <w:rFonts w:cs="Arial"/>
          <w:i/>
        </w:rPr>
        <w:t>not</w:t>
      </w:r>
      <w:r w:rsidR="00FC286F" w:rsidRPr="00FC286F">
        <w:rPr>
          <w:rFonts w:cs="Arial"/>
        </w:rPr>
        <w:t xml:space="preserve"> notify winning bidders of the balance of their winning price before 1 October 2014. An exception to this requirement is where any of the spectrum licences </w:t>
      </w:r>
      <w:r w:rsidR="007221D0" w:rsidRPr="007221D0">
        <w:rPr>
          <w:rFonts w:cs="Arial"/>
        </w:rPr>
        <w:t xml:space="preserve">to be issued for the part of the spectrum </w:t>
      </w:r>
      <w:r w:rsidR="00FC286F" w:rsidRPr="00FC286F">
        <w:rPr>
          <w:rFonts w:cs="Arial"/>
        </w:rPr>
        <w:t xml:space="preserve">allocated to a particular bidder has a commencement date of 1 October 2014—for any such bidder, the direction requires the ACMA to not notify the bidder of the balance of their winning price </w:t>
      </w:r>
      <w:r w:rsidR="00FC286F" w:rsidRPr="00FC286F">
        <w:rPr>
          <w:rFonts w:cs="Arial"/>
        </w:rPr>
        <w:lastRenderedPageBreak/>
        <w:t xml:space="preserve">before 19 August 2014. A copy of the minister’s direction to the ACMA, the Australian Communications and Media Authority (Spectrum Licence Allocation–Combinatorial Clock Auction—Eligibility Deadline and Payment Terms) Direction 2013, is available at </w:t>
      </w:r>
      <w:hyperlink r:id="rId44" w:history="1">
        <w:r w:rsidR="00FC286F" w:rsidRPr="00A93F8C">
          <w:rPr>
            <w:rStyle w:val="Hyperlink"/>
            <w:rFonts w:cs="Arial"/>
          </w:rPr>
          <w:t>www.comlaw.gov.au</w:t>
        </w:r>
      </w:hyperlink>
      <w:r w:rsidR="00FC286F" w:rsidRPr="00FC286F">
        <w:rPr>
          <w:rFonts w:cs="Arial"/>
        </w:rPr>
        <w:t>.</w:t>
      </w:r>
    </w:p>
    <w:p w14:paraId="3715BCFB" w14:textId="77777777" w:rsidR="00955D11" w:rsidRPr="00080443" w:rsidRDefault="00000394" w:rsidP="00FC286F">
      <w:pPr>
        <w:pStyle w:val="ListBullet"/>
        <w:spacing w:after="240"/>
        <w:rPr>
          <w:rFonts w:cs="Arial"/>
        </w:rPr>
      </w:pPr>
      <w:r w:rsidRPr="00080443">
        <w:rPr>
          <w:rFonts w:cs="Arial"/>
        </w:rPr>
        <w:t>W</w:t>
      </w:r>
      <w:r w:rsidR="00D56D2B" w:rsidRPr="00080443">
        <w:rPr>
          <w:rFonts w:cs="Arial"/>
        </w:rPr>
        <w:t xml:space="preserve">here the balance of the winning price for a bidder is an amount </w:t>
      </w:r>
      <w:r w:rsidR="00D56D2B" w:rsidRPr="00080443">
        <w:rPr>
          <w:rFonts w:cs="Arial"/>
          <w:b/>
        </w:rPr>
        <w:t>less than or equal to zero</w:t>
      </w:r>
      <w:r w:rsidR="00D56D2B" w:rsidRPr="00080443">
        <w:rPr>
          <w:rFonts w:cs="Arial"/>
        </w:rPr>
        <w:t>, the amount of any excess eligibility payment will be refunded to the winning bidder</w:t>
      </w:r>
      <w:r w:rsidRPr="00080443">
        <w:rPr>
          <w:rFonts w:cs="Arial"/>
        </w:rPr>
        <w:t>—</w:t>
      </w:r>
      <w:r w:rsidR="00D56D2B" w:rsidRPr="00080443">
        <w:rPr>
          <w:rFonts w:cs="Arial"/>
        </w:rPr>
        <w:t>and the bidder will be entitled to be issued a licence for each of the lots they won in the auction without further payment.</w:t>
      </w:r>
    </w:p>
    <w:p w14:paraId="57FFB2FD" w14:textId="77777777" w:rsidR="00CF12BF" w:rsidRPr="00080443" w:rsidRDefault="00CF12BF" w:rsidP="00CF12BF">
      <w:pPr>
        <w:pStyle w:val="Heading3"/>
        <w:numPr>
          <w:ilvl w:val="2"/>
          <w:numId w:val="13"/>
        </w:numPr>
      </w:pPr>
      <w:bookmarkStart w:id="152" w:name="_Toc335246294"/>
      <w:bookmarkStart w:id="153" w:name="_Toc343780502"/>
      <w:r w:rsidRPr="00080443">
        <w:t>Unsuccessful bidders</w:t>
      </w:r>
      <w:bookmarkEnd w:id="152"/>
      <w:bookmarkEnd w:id="153"/>
    </w:p>
    <w:p w14:paraId="07826A88" w14:textId="77777777" w:rsidR="00F63693" w:rsidRPr="00080443" w:rsidRDefault="00DC1D7E" w:rsidP="00411F9E">
      <w:pPr>
        <w:spacing w:after="80"/>
        <w:rPr>
          <w:rFonts w:cs="Arial"/>
        </w:rPr>
      </w:pPr>
      <w:r w:rsidRPr="00080443">
        <w:rPr>
          <w:rFonts w:cs="Arial"/>
        </w:rPr>
        <w:t>As soon as practicable after the end of the auction period, the ACMA</w:t>
      </w:r>
      <w:r w:rsidR="00F63693" w:rsidRPr="00080443">
        <w:rPr>
          <w:rFonts w:cs="Arial"/>
        </w:rPr>
        <w:t xml:space="preserve"> will notify each bidder that </w:t>
      </w:r>
      <w:r w:rsidR="00CC153B" w:rsidRPr="00080443">
        <w:rPr>
          <w:rFonts w:cs="Arial"/>
        </w:rPr>
        <w:t xml:space="preserve">did not win lots of a product in the auction </w:t>
      </w:r>
      <w:r w:rsidR="00F63693" w:rsidRPr="00080443">
        <w:rPr>
          <w:rFonts w:cs="Arial"/>
        </w:rPr>
        <w:t>that:</w:t>
      </w:r>
    </w:p>
    <w:p w14:paraId="313D95FC" w14:textId="77777777" w:rsidR="00183F72" w:rsidRPr="00080443" w:rsidRDefault="00F63693">
      <w:pPr>
        <w:pStyle w:val="ListBullet"/>
        <w:rPr>
          <w:rFonts w:cs="Arial"/>
        </w:rPr>
      </w:pPr>
      <w:r w:rsidRPr="00080443">
        <w:rPr>
          <w:rFonts w:cs="Arial"/>
        </w:rPr>
        <w:t>the bidder was</w:t>
      </w:r>
      <w:r w:rsidR="00AB383F" w:rsidRPr="00080443">
        <w:rPr>
          <w:rFonts w:cs="Arial"/>
        </w:rPr>
        <w:t xml:space="preserve"> unsuccessful </w:t>
      </w:r>
      <w:r w:rsidRPr="00080443">
        <w:rPr>
          <w:rFonts w:cs="Arial"/>
        </w:rPr>
        <w:t>in the auction</w:t>
      </w:r>
    </w:p>
    <w:p w14:paraId="22AFAF54" w14:textId="77777777" w:rsidR="00F63693" w:rsidRPr="00080443" w:rsidRDefault="00F63693" w:rsidP="00411F9E">
      <w:pPr>
        <w:pStyle w:val="ListBullet"/>
        <w:spacing w:after="240"/>
        <w:rPr>
          <w:rFonts w:cs="Arial"/>
        </w:rPr>
      </w:pPr>
      <w:r w:rsidRPr="00080443">
        <w:rPr>
          <w:rFonts w:cs="Arial"/>
        </w:rPr>
        <w:t xml:space="preserve">the bidder’s confidentiality obligations </w:t>
      </w:r>
      <w:r w:rsidR="00CC153B" w:rsidRPr="00080443">
        <w:rPr>
          <w:rFonts w:cs="Arial"/>
        </w:rPr>
        <w:t xml:space="preserve">(see 3.2.7) </w:t>
      </w:r>
      <w:r w:rsidRPr="00080443">
        <w:rPr>
          <w:rFonts w:cs="Arial"/>
        </w:rPr>
        <w:t>have ended.</w:t>
      </w:r>
    </w:p>
    <w:p w14:paraId="48E5E7A2" w14:textId="77777777" w:rsidR="00F63693" w:rsidRPr="00080443" w:rsidRDefault="00F63693" w:rsidP="00CF12BF">
      <w:pPr>
        <w:rPr>
          <w:rFonts w:cs="Arial"/>
        </w:rPr>
      </w:pPr>
      <w:r w:rsidRPr="00080443">
        <w:rPr>
          <w:rFonts w:cs="Arial"/>
        </w:rPr>
        <w:t xml:space="preserve">Subject to any decision by the ACMA to retain the bidder’s eligibility payment (see 3.2.8), the unsuccessful bidder will be refunded any eligibility payment </w:t>
      </w:r>
      <w:r w:rsidR="000345C6" w:rsidRPr="00080443">
        <w:rPr>
          <w:rFonts w:cs="Arial"/>
        </w:rPr>
        <w:t xml:space="preserve">they </w:t>
      </w:r>
      <w:r w:rsidRPr="00080443">
        <w:rPr>
          <w:rFonts w:cs="Arial"/>
        </w:rPr>
        <w:t>made at Stage B of the bidder registration process (see 4.3.2).</w:t>
      </w:r>
    </w:p>
    <w:p w14:paraId="36F3FB95" w14:textId="77777777" w:rsidR="00CF12BF" w:rsidRPr="00080443" w:rsidRDefault="00CF12BF" w:rsidP="00CF12BF">
      <w:pPr>
        <w:rPr>
          <w:rFonts w:cs="Arial"/>
        </w:rPr>
      </w:pPr>
    </w:p>
    <w:p w14:paraId="490752C7" w14:textId="77777777" w:rsidR="00CF12BF" w:rsidRPr="00080443" w:rsidRDefault="00D56D2B" w:rsidP="00CF12BF">
      <w:pPr>
        <w:pStyle w:val="Heading3"/>
        <w:numPr>
          <w:ilvl w:val="2"/>
          <w:numId w:val="13"/>
        </w:numPr>
      </w:pPr>
      <w:bookmarkStart w:id="154" w:name="_Toc343780503"/>
      <w:bookmarkStart w:id="155" w:name="_Toc335246295"/>
      <w:r w:rsidRPr="00080443">
        <w:t>Withdrawn applicants</w:t>
      </w:r>
      <w:bookmarkEnd w:id="154"/>
      <w:r w:rsidRPr="00080443">
        <w:t xml:space="preserve"> </w:t>
      </w:r>
      <w:bookmarkEnd w:id="155"/>
    </w:p>
    <w:p w14:paraId="38FF795B" w14:textId="77777777" w:rsidR="00D56D2B" w:rsidRPr="00080443" w:rsidRDefault="00D56D2B" w:rsidP="00D56D2B">
      <w:pPr>
        <w:rPr>
          <w:rFonts w:cs="Arial"/>
        </w:rPr>
      </w:pPr>
      <w:r w:rsidRPr="00080443">
        <w:rPr>
          <w:rFonts w:cs="Arial"/>
        </w:rPr>
        <w:t>As soon as practicable after the end of the auction period, the ACMA will notify each withdrawn applicant</w:t>
      </w:r>
      <w:r w:rsidR="00AB383F" w:rsidRPr="00080443">
        <w:rPr>
          <w:rFonts w:cs="Arial"/>
        </w:rPr>
        <w:t xml:space="preserve"> that </w:t>
      </w:r>
      <w:r w:rsidRPr="00080443">
        <w:rPr>
          <w:rFonts w:cs="Arial"/>
        </w:rPr>
        <w:t xml:space="preserve">their </w:t>
      </w:r>
      <w:r w:rsidR="00AB383F" w:rsidRPr="00080443">
        <w:rPr>
          <w:rFonts w:cs="Arial"/>
        </w:rPr>
        <w:t xml:space="preserve">confidentiality obligations </w:t>
      </w:r>
      <w:r w:rsidR="00CC153B" w:rsidRPr="00080443">
        <w:rPr>
          <w:rFonts w:cs="Arial"/>
        </w:rPr>
        <w:t xml:space="preserve">(see 3.2.7) </w:t>
      </w:r>
      <w:r w:rsidR="00AB383F" w:rsidRPr="00080443">
        <w:rPr>
          <w:rFonts w:cs="Arial"/>
        </w:rPr>
        <w:t>have ended</w:t>
      </w:r>
      <w:r w:rsidRPr="00080443">
        <w:rPr>
          <w:rFonts w:cs="Arial"/>
        </w:rPr>
        <w:t xml:space="preserve">. </w:t>
      </w:r>
    </w:p>
    <w:p w14:paraId="3BDF6277" w14:textId="77777777" w:rsidR="00D56D2B" w:rsidRPr="00080443" w:rsidRDefault="00D56D2B" w:rsidP="00D56D2B">
      <w:pPr>
        <w:rPr>
          <w:rFonts w:cs="Arial"/>
        </w:rPr>
      </w:pPr>
    </w:p>
    <w:p w14:paraId="03D130DF" w14:textId="77777777" w:rsidR="00183F72" w:rsidRPr="00080443" w:rsidRDefault="00D56D2B">
      <w:pPr>
        <w:pStyle w:val="ListBullet"/>
        <w:numPr>
          <w:ilvl w:val="0"/>
          <w:numId w:val="0"/>
        </w:numPr>
        <w:rPr>
          <w:rFonts w:cs="Arial"/>
        </w:rPr>
      </w:pPr>
      <w:r w:rsidRPr="00080443">
        <w:rPr>
          <w:rFonts w:cs="Arial"/>
        </w:rPr>
        <w:t>Subject</w:t>
      </w:r>
      <w:r w:rsidR="00AB383F" w:rsidRPr="00080443">
        <w:rPr>
          <w:rFonts w:cs="Arial"/>
        </w:rPr>
        <w:t xml:space="preserve"> to </w:t>
      </w:r>
      <w:r w:rsidRPr="00080443">
        <w:rPr>
          <w:rFonts w:cs="Arial"/>
        </w:rPr>
        <w:t>any decision by the ACMA to retain the applicant’s eligibility payment (see 3.2.8), the withdrawn applicant will be refunded any eligibility payment they made at Stage B of the bidder registration process (see 4.3.2).</w:t>
      </w:r>
    </w:p>
    <w:p w14:paraId="0B4C92FD" w14:textId="77777777" w:rsidR="00753D2F" w:rsidRPr="00080443" w:rsidRDefault="00753D2F" w:rsidP="00CF12BF">
      <w:pPr>
        <w:rPr>
          <w:rFonts w:cs="Arial"/>
        </w:rPr>
      </w:pPr>
    </w:p>
    <w:p w14:paraId="13AF9B53" w14:textId="77777777" w:rsidR="00183F72" w:rsidRPr="00080443" w:rsidRDefault="008A60B8">
      <w:pPr>
        <w:jc w:val="both"/>
        <w:rPr>
          <w:rFonts w:cs="Arial"/>
        </w:rPr>
      </w:pPr>
      <w:r w:rsidRPr="00080443">
        <w:rPr>
          <w:rFonts w:cs="Arial"/>
        </w:rPr>
        <w:br w:type="page"/>
      </w:r>
    </w:p>
    <w:p w14:paraId="52E68775" w14:textId="77777777" w:rsidR="00D23016" w:rsidRPr="00080443" w:rsidRDefault="00D23016" w:rsidP="005662A7">
      <w:pPr>
        <w:pStyle w:val="ExecSummaryHeading"/>
        <w:rPr>
          <w:rFonts w:cs="Arial"/>
        </w:rPr>
      </w:pPr>
      <w:bookmarkStart w:id="156" w:name="_Toc335246296"/>
      <w:bookmarkStart w:id="157" w:name="_Toc343780504"/>
      <w:r w:rsidRPr="00080443">
        <w:rPr>
          <w:rFonts w:cs="Arial"/>
        </w:rPr>
        <w:lastRenderedPageBreak/>
        <w:t>Part three—</w:t>
      </w:r>
      <w:r w:rsidR="005662A7" w:rsidRPr="00080443">
        <w:rPr>
          <w:rFonts w:cs="Arial"/>
        </w:rPr>
        <w:br/>
      </w:r>
      <w:r w:rsidR="009045F0" w:rsidRPr="00080443">
        <w:rPr>
          <w:rFonts w:cs="Arial"/>
        </w:rPr>
        <w:t>Understanding s</w:t>
      </w:r>
      <w:r w:rsidR="00244BCF" w:rsidRPr="00080443">
        <w:rPr>
          <w:rFonts w:cs="Arial"/>
        </w:rPr>
        <w:t>pectrum licences</w:t>
      </w:r>
      <w:bookmarkEnd w:id="156"/>
      <w:bookmarkEnd w:id="157"/>
    </w:p>
    <w:p w14:paraId="70E77834" w14:textId="77777777" w:rsidR="008A60B8" w:rsidRPr="00080443" w:rsidRDefault="008A60B8" w:rsidP="00234088">
      <w:pPr>
        <w:pStyle w:val="Heading1"/>
        <w:numPr>
          <w:ilvl w:val="0"/>
          <w:numId w:val="13"/>
        </w:numPr>
      </w:pPr>
      <w:bookmarkStart w:id="158" w:name="_Toc335246297"/>
      <w:bookmarkStart w:id="159" w:name="_Toc343780505"/>
      <w:r w:rsidRPr="00080443">
        <w:lastRenderedPageBreak/>
        <w:t>S</w:t>
      </w:r>
      <w:r w:rsidR="00FE5177" w:rsidRPr="00080443">
        <w:t>pectrum licensing and technical framework</w:t>
      </w:r>
      <w:bookmarkEnd w:id="158"/>
      <w:bookmarkEnd w:id="159"/>
    </w:p>
    <w:p w14:paraId="7AFB67E3" w14:textId="77777777" w:rsidR="00EB44F9" w:rsidRPr="00080443" w:rsidRDefault="00EB44F9" w:rsidP="00FE5177">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rPr>
      </w:pPr>
    </w:p>
    <w:p w14:paraId="19CD5931" w14:textId="77777777" w:rsidR="008A60B8" w:rsidRPr="00080443" w:rsidRDefault="008A60B8" w:rsidP="00FE5177">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rPr>
      </w:pPr>
      <w:r w:rsidRPr="00080443">
        <w:rPr>
          <w:rFonts w:cs="Arial"/>
          <w:b/>
        </w:rPr>
        <w:t xml:space="preserve">This chapter provides information about: </w:t>
      </w:r>
    </w:p>
    <w:p w14:paraId="75E36BAA" w14:textId="77777777" w:rsidR="008A60B8" w:rsidRPr="00080443" w:rsidRDefault="008A60B8" w:rsidP="00FE517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spectrum licensing</w:t>
      </w:r>
    </w:p>
    <w:p w14:paraId="30A641CF" w14:textId="77777777" w:rsidR="008A60B8" w:rsidRPr="00080443" w:rsidRDefault="008A60B8" w:rsidP="00FE517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the technical framework applicable to spectrum licences for the 700 MHz and 2.5 GHz bands</w:t>
      </w:r>
    </w:p>
    <w:p w14:paraId="75376F26" w14:textId="77777777" w:rsidR="008A60B8" w:rsidRPr="00080443" w:rsidRDefault="008A60B8" w:rsidP="00FE5177">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other important issues affecting spectrum licensees</w:t>
      </w:r>
      <w:r w:rsidR="000F71EF" w:rsidRPr="00080443">
        <w:rPr>
          <w:rFonts w:cs="Arial"/>
          <w:b/>
        </w:rPr>
        <w:t>.</w:t>
      </w:r>
    </w:p>
    <w:p w14:paraId="6AAFF38C" w14:textId="77777777" w:rsidR="00EB44F9" w:rsidRPr="00080443" w:rsidRDefault="00EB44F9" w:rsidP="00EB44F9">
      <w:pPr>
        <w:pStyle w:val="ListBullet"/>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p>
    <w:p w14:paraId="7B1F2DAE" w14:textId="77777777" w:rsidR="008A60B8" w:rsidRPr="00080443" w:rsidRDefault="008A60B8" w:rsidP="008A60B8">
      <w:pPr>
        <w:rPr>
          <w:rFonts w:cs="Arial"/>
          <w:highlight w:val="yellow"/>
        </w:rPr>
      </w:pPr>
      <w:r w:rsidRPr="00080443">
        <w:rPr>
          <w:rFonts w:cs="Arial"/>
          <w:highlight w:val="yellow"/>
        </w:rPr>
        <w:br w:type="page"/>
      </w:r>
    </w:p>
    <w:p w14:paraId="762854A8" w14:textId="77777777" w:rsidR="007C06B4" w:rsidRPr="00080443" w:rsidRDefault="007C06B4" w:rsidP="007C06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u w:val="single"/>
        </w:rPr>
        <w:lastRenderedPageBreak/>
        <w:t>Important warning</w:t>
      </w:r>
      <w:r w:rsidRPr="00080443">
        <w:rPr>
          <w:rFonts w:cs="Arial"/>
          <w:b/>
        </w:rPr>
        <w:t xml:space="preserve">: The information in this chapter is intended to provide a general overview of, and does not purport to contain all information regarding, rights and obligations in respect of spectrum licences issued under the Act and associated legislative instruments. Potential applicants should </w:t>
      </w:r>
      <w:r w:rsidRPr="00080443">
        <w:rPr>
          <w:rFonts w:cs="Arial"/>
          <w:b/>
          <w:i/>
        </w:rPr>
        <w:t>not</w:t>
      </w:r>
      <w:r w:rsidRPr="00080443">
        <w:rPr>
          <w:rFonts w:cs="Arial"/>
          <w:b/>
        </w:rPr>
        <w:t xml:space="preserve"> rely on this information, but should instead make their own investigation.</w:t>
      </w:r>
    </w:p>
    <w:p w14:paraId="0444B954" w14:textId="77777777" w:rsidR="007C06B4" w:rsidRPr="00080443" w:rsidRDefault="007C06B4" w:rsidP="00FE5177">
      <w:pPr>
        <w:spacing w:after="80"/>
        <w:rPr>
          <w:rFonts w:cs="Arial"/>
        </w:rPr>
      </w:pPr>
    </w:p>
    <w:p w14:paraId="5B868E93" w14:textId="77777777" w:rsidR="008A60B8" w:rsidRPr="00080443" w:rsidRDefault="008A60B8" w:rsidP="00FE5177">
      <w:pPr>
        <w:spacing w:after="80"/>
        <w:rPr>
          <w:rFonts w:cs="Arial"/>
        </w:rPr>
      </w:pPr>
      <w:r w:rsidRPr="00080443">
        <w:rPr>
          <w:rFonts w:cs="Arial"/>
        </w:rPr>
        <w:t>This chapter provides a brief introduction to spectrum licensing and the technical framework applicable to the spectrum licences to be allocated in the 700 MHz and 2.</w:t>
      </w:r>
      <w:r w:rsidR="00F065BD" w:rsidRPr="00080443">
        <w:rPr>
          <w:rFonts w:cs="Arial"/>
        </w:rPr>
        <w:t>5 </w:t>
      </w:r>
      <w:r w:rsidRPr="00080443">
        <w:rPr>
          <w:rFonts w:cs="Arial"/>
        </w:rPr>
        <w:t>GHz band. It provides:</w:t>
      </w:r>
    </w:p>
    <w:p w14:paraId="54188D0B" w14:textId="77777777" w:rsidR="008A60B8" w:rsidRPr="00080443" w:rsidRDefault="000F71EF" w:rsidP="00FE5177">
      <w:pPr>
        <w:pStyle w:val="ListBullet"/>
        <w:rPr>
          <w:rFonts w:cs="Arial"/>
        </w:rPr>
      </w:pPr>
      <w:r w:rsidRPr="00080443">
        <w:rPr>
          <w:rFonts w:cs="Arial"/>
        </w:rPr>
        <w:t>a</w:t>
      </w:r>
      <w:r w:rsidR="008A60B8" w:rsidRPr="00080443">
        <w:rPr>
          <w:rFonts w:cs="Arial"/>
        </w:rPr>
        <w:t>n overview of spectrum licensing</w:t>
      </w:r>
      <w:r w:rsidRPr="00080443">
        <w:rPr>
          <w:rFonts w:cs="Arial"/>
        </w:rPr>
        <w:t>—m</w:t>
      </w:r>
      <w:r w:rsidR="008A60B8" w:rsidRPr="00080443">
        <w:rPr>
          <w:rFonts w:cs="Arial"/>
        </w:rPr>
        <w:t xml:space="preserve">ore detailed information about the key obligations placed on spectrum licensees is available in the ACMA publication </w:t>
      </w:r>
      <w:hyperlink r:id="rId45" w:history="1">
        <w:r w:rsidR="008A60B8" w:rsidRPr="00080443">
          <w:rPr>
            <w:rStyle w:val="Hyperlink"/>
            <w:rFonts w:cs="Arial"/>
            <w:i/>
          </w:rPr>
          <w:t xml:space="preserve">Know </w:t>
        </w:r>
        <w:r w:rsidRPr="00080443">
          <w:rPr>
            <w:rStyle w:val="Hyperlink"/>
            <w:rFonts w:cs="Arial"/>
            <w:i/>
          </w:rPr>
          <w:t>y</w:t>
        </w:r>
        <w:r w:rsidR="008A60B8" w:rsidRPr="00080443">
          <w:rPr>
            <w:rStyle w:val="Hyperlink"/>
            <w:rFonts w:cs="Arial"/>
            <w:i/>
          </w:rPr>
          <w:t xml:space="preserve">our </w:t>
        </w:r>
        <w:r w:rsidRPr="00080443">
          <w:rPr>
            <w:rStyle w:val="Hyperlink"/>
            <w:rFonts w:cs="Arial"/>
            <w:i/>
          </w:rPr>
          <w:t>o</w:t>
        </w:r>
        <w:r w:rsidR="008A60B8" w:rsidRPr="00080443">
          <w:rPr>
            <w:rStyle w:val="Hyperlink"/>
            <w:rFonts w:cs="Arial"/>
            <w:i/>
          </w:rPr>
          <w:t>bligations</w:t>
        </w:r>
        <w:r w:rsidRPr="00080443">
          <w:rPr>
            <w:rStyle w:val="Hyperlink"/>
            <w:rFonts w:cs="Arial"/>
            <w:i/>
          </w:rPr>
          <w:t>—</w:t>
        </w:r>
        <w:r w:rsidR="008A60B8" w:rsidRPr="00080443">
          <w:rPr>
            <w:rStyle w:val="Hyperlink"/>
            <w:rFonts w:cs="Arial"/>
            <w:i/>
          </w:rPr>
          <w:t xml:space="preserve">Spectrum </w:t>
        </w:r>
        <w:r w:rsidRPr="00080443">
          <w:rPr>
            <w:rStyle w:val="Hyperlink"/>
            <w:rFonts w:cs="Arial"/>
            <w:i/>
          </w:rPr>
          <w:t>l</w:t>
        </w:r>
        <w:r w:rsidR="008A60B8" w:rsidRPr="00080443">
          <w:rPr>
            <w:rStyle w:val="Hyperlink"/>
            <w:rFonts w:cs="Arial"/>
            <w:i/>
          </w:rPr>
          <w:t>icensees</w:t>
        </w:r>
      </w:hyperlink>
      <w:r w:rsidR="008A60B8" w:rsidRPr="00080443">
        <w:rPr>
          <w:rFonts w:cs="Arial"/>
          <w:color w:val="0070C0"/>
        </w:rPr>
        <w:t xml:space="preserve"> </w:t>
      </w:r>
    </w:p>
    <w:p w14:paraId="4CE7D190" w14:textId="77777777" w:rsidR="008A60B8" w:rsidRPr="00080443" w:rsidRDefault="000F71EF" w:rsidP="00FE5177">
      <w:pPr>
        <w:pStyle w:val="ListBullet"/>
        <w:rPr>
          <w:rFonts w:cs="Arial"/>
        </w:rPr>
      </w:pPr>
      <w:r w:rsidRPr="00080443">
        <w:rPr>
          <w:rFonts w:cs="Arial"/>
        </w:rPr>
        <w:t>a</w:t>
      </w:r>
      <w:r w:rsidR="008A60B8" w:rsidRPr="00080443">
        <w:rPr>
          <w:rFonts w:cs="Arial"/>
        </w:rPr>
        <w:t>n explanation of the technical framework underpinning spectrum licensing in the 700 MHz and 2.5 GHz bands</w:t>
      </w:r>
      <w:r w:rsidRPr="00080443">
        <w:rPr>
          <w:rFonts w:cs="Arial"/>
        </w:rPr>
        <w:t>—m</w:t>
      </w:r>
      <w:r w:rsidR="008A60B8" w:rsidRPr="00080443">
        <w:rPr>
          <w:rFonts w:cs="Arial"/>
        </w:rPr>
        <w:t xml:space="preserve">ore detailed information on the development of the technical framework for each band can be found on the </w:t>
      </w:r>
      <w:hyperlink r:id="rId46" w:history="1">
        <w:r w:rsidR="00837369" w:rsidRPr="00080443">
          <w:rPr>
            <w:rStyle w:val="Hyperlink"/>
            <w:rFonts w:cs="Arial"/>
          </w:rPr>
          <w:t>spectrum licence technical liaison groups</w:t>
        </w:r>
      </w:hyperlink>
      <w:r w:rsidR="008A60B8" w:rsidRPr="00080443">
        <w:rPr>
          <w:rFonts w:cs="Arial"/>
        </w:rPr>
        <w:t xml:space="preserve"> page on the ACMA website</w:t>
      </w:r>
    </w:p>
    <w:p w14:paraId="745F50BC" w14:textId="77777777" w:rsidR="008A60B8" w:rsidRPr="00080443" w:rsidRDefault="000F71EF" w:rsidP="00FE5177">
      <w:pPr>
        <w:pStyle w:val="ListBullet"/>
        <w:spacing w:after="240"/>
        <w:rPr>
          <w:rFonts w:cs="Arial"/>
        </w:rPr>
      </w:pPr>
      <w:r w:rsidRPr="00080443">
        <w:rPr>
          <w:rFonts w:cs="Arial"/>
        </w:rPr>
        <w:t>o</w:t>
      </w:r>
      <w:r w:rsidR="008A60B8" w:rsidRPr="00080443">
        <w:rPr>
          <w:rFonts w:cs="Arial"/>
        </w:rPr>
        <w:t>ther important information.</w:t>
      </w:r>
    </w:p>
    <w:p w14:paraId="07A92AD2" w14:textId="77777777" w:rsidR="008A60B8" w:rsidRPr="00080443" w:rsidRDefault="008A60B8" w:rsidP="00FE5177">
      <w:pPr>
        <w:spacing w:after="80"/>
        <w:rPr>
          <w:rFonts w:cs="Arial"/>
        </w:rPr>
      </w:pPr>
      <w:r w:rsidRPr="00080443">
        <w:rPr>
          <w:rFonts w:cs="Arial"/>
        </w:rPr>
        <w:t xml:space="preserve">Copies of the legislative instruments referred to in this chapter are available as attachments to the </w:t>
      </w:r>
      <w:r w:rsidR="00F916B7" w:rsidRPr="00080443">
        <w:rPr>
          <w:rFonts w:cs="Arial"/>
          <w:i/>
        </w:rPr>
        <w:t>A</w:t>
      </w:r>
      <w:r w:rsidR="0078123F" w:rsidRPr="00080443">
        <w:rPr>
          <w:rFonts w:cs="Arial"/>
          <w:i/>
        </w:rPr>
        <w:t>uction guide</w:t>
      </w:r>
      <w:r w:rsidRPr="00080443">
        <w:rPr>
          <w:rFonts w:cs="Arial"/>
        </w:rPr>
        <w:t>:</w:t>
      </w:r>
    </w:p>
    <w:p w14:paraId="7FDC6AC4" w14:textId="77777777" w:rsidR="008A60B8" w:rsidRPr="00080443" w:rsidRDefault="008A60B8" w:rsidP="00FE5177">
      <w:pPr>
        <w:pStyle w:val="ListBullet"/>
        <w:rPr>
          <w:rFonts w:cs="Arial"/>
        </w:rPr>
      </w:pPr>
      <w:r w:rsidRPr="00080443">
        <w:rPr>
          <w:rFonts w:cs="Arial"/>
        </w:rPr>
        <w:t xml:space="preserve">the marketing plan and legislative instruments implementing the technical framework for the 700 MHz band are available at </w:t>
      </w:r>
      <w:r w:rsidR="00837369" w:rsidRPr="00080443">
        <w:rPr>
          <w:rFonts w:cs="Arial"/>
        </w:rPr>
        <w:t xml:space="preserve">attachments </w:t>
      </w:r>
      <w:r w:rsidR="005D4EE4" w:rsidRPr="00080443">
        <w:rPr>
          <w:rFonts w:cs="Arial"/>
        </w:rPr>
        <w:t>B to E</w:t>
      </w:r>
    </w:p>
    <w:p w14:paraId="45F8CF0C" w14:textId="77777777" w:rsidR="008A60B8" w:rsidRPr="00080443" w:rsidRDefault="008A60B8" w:rsidP="004D411C">
      <w:pPr>
        <w:pStyle w:val="ListBullet"/>
        <w:spacing w:after="0"/>
        <w:rPr>
          <w:rFonts w:cs="Arial"/>
        </w:rPr>
      </w:pPr>
      <w:r w:rsidRPr="00080443">
        <w:rPr>
          <w:rFonts w:cs="Arial"/>
        </w:rPr>
        <w:t xml:space="preserve">the marketing plan and legislative instruments implementing the technical framework for the 2.5 GHz band are available at </w:t>
      </w:r>
      <w:r w:rsidR="00837369" w:rsidRPr="00080443">
        <w:rPr>
          <w:rFonts w:cs="Arial"/>
        </w:rPr>
        <w:t xml:space="preserve">attachments </w:t>
      </w:r>
      <w:r w:rsidR="005D4EE4" w:rsidRPr="00080443">
        <w:rPr>
          <w:rFonts w:cs="Arial"/>
        </w:rPr>
        <w:t>F to I</w:t>
      </w:r>
      <w:r w:rsidRPr="00080443">
        <w:rPr>
          <w:rFonts w:cs="Arial"/>
        </w:rPr>
        <w:t xml:space="preserve">. </w:t>
      </w:r>
    </w:p>
    <w:p w14:paraId="752BE449" w14:textId="77777777" w:rsidR="00D52830" w:rsidRPr="00080443" w:rsidRDefault="00D52830" w:rsidP="00D52830">
      <w:pPr>
        <w:rPr>
          <w:rFonts w:cs="Arial"/>
        </w:rPr>
      </w:pPr>
    </w:p>
    <w:p w14:paraId="2FE1B80F" w14:textId="77777777" w:rsidR="008A60B8" w:rsidRPr="00080443" w:rsidRDefault="008A60B8" w:rsidP="005B6C76">
      <w:pPr>
        <w:pStyle w:val="Heading2"/>
        <w:numPr>
          <w:ilvl w:val="1"/>
          <w:numId w:val="12"/>
        </w:numPr>
      </w:pPr>
      <w:bookmarkStart w:id="160" w:name="_Toc335246298"/>
      <w:bookmarkStart w:id="161" w:name="_Toc343780506"/>
      <w:bookmarkStart w:id="162" w:name="_Toc219183241"/>
      <w:r w:rsidRPr="00080443">
        <w:t xml:space="preserve">Spectrum </w:t>
      </w:r>
      <w:r w:rsidR="000F71EF" w:rsidRPr="00080443">
        <w:t>l</w:t>
      </w:r>
      <w:r w:rsidRPr="00080443">
        <w:t>icensing</w:t>
      </w:r>
      <w:bookmarkEnd w:id="160"/>
      <w:bookmarkEnd w:id="161"/>
    </w:p>
    <w:p w14:paraId="015EF4E4" w14:textId="77777777" w:rsidR="008A60B8" w:rsidRPr="00080443" w:rsidRDefault="008A60B8" w:rsidP="00AE769D">
      <w:pPr>
        <w:rPr>
          <w:rFonts w:cs="Arial"/>
        </w:rPr>
      </w:pPr>
      <w:r w:rsidRPr="00080443">
        <w:rPr>
          <w:rFonts w:cs="Arial"/>
        </w:rPr>
        <w:t>A spectrum licence authorises the operation of radiocommunications devices for a fixed period, of up to 15 years, within a specified frequency band, within a particular geographic area. Licensees choose how they deploy devices within their spectrum space, the nature of the services they wish to deliver and the technology they use</w:t>
      </w:r>
      <w:r w:rsidR="000F71EF" w:rsidRPr="00080443">
        <w:rPr>
          <w:rFonts w:cs="Arial"/>
        </w:rPr>
        <w:t>—</w:t>
      </w:r>
      <w:r w:rsidRPr="00080443">
        <w:rPr>
          <w:rFonts w:cs="Arial"/>
        </w:rPr>
        <w:t xml:space="preserve">as long as the operation of devices is within the parameters of the conditions of the spectrum licence. </w:t>
      </w:r>
    </w:p>
    <w:p w14:paraId="32E56F59" w14:textId="77777777" w:rsidR="00AE769D" w:rsidRPr="00080443" w:rsidRDefault="00AE769D" w:rsidP="00AE769D">
      <w:pPr>
        <w:rPr>
          <w:rFonts w:cs="Arial"/>
        </w:rPr>
      </w:pPr>
    </w:p>
    <w:p w14:paraId="26ED7CBB" w14:textId="77777777" w:rsidR="008A60B8" w:rsidRPr="00080443" w:rsidRDefault="00E100A7" w:rsidP="00AE769D">
      <w:pPr>
        <w:spacing w:after="80"/>
        <w:rPr>
          <w:rFonts w:cs="Arial"/>
        </w:rPr>
      </w:pPr>
      <w:r w:rsidRPr="00080443">
        <w:rPr>
          <w:rFonts w:cs="Arial"/>
        </w:rPr>
        <w:t>A l</w:t>
      </w:r>
      <w:r w:rsidR="008A60B8" w:rsidRPr="00080443">
        <w:rPr>
          <w:rFonts w:cs="Arial"/>
        </w:rPr>
        <w:t>icensee</w:t>
      </w:r>
      <w:r w:rsidRPr="00080443">
        <w:rPr>
          <w:rFonts w:cs="Arial"/>
        </w:rPr>
        <w:t>’</w:t>
      </w:r>
      <w:r w:rsidR="008A60B8" w:rsidRPr="00080443">
        <w:rPr>
          <w:rFonts w:cs="Arial"/>
        </w:rPr>
        <w:t xml:space="preserve">s </w:t>
      </w:r>
      <w:r w:rsidRPr="00080443">
        <w:rPr>
          <w:rFonts w:cs="Arial"/>
        </w:rPr>
        <w:t xml:space="preserve">use of spectrum allocated to it under a spectrum licence is subject to several constraints, including: </w:t>
      </w:r>
    </w:p>
    <w:p w14:paraId="7FD6D747" w14:textId="77777777" w:rsidR="00126DF9" w:rsidRPr="00080443" w:rsidRDefault="00E100A7" w:rsidP="00AE769D">
      <w:pPr>
        <w:pStyle w:val="ListBullet"/>
        <w:rPr>
          <w:rFonts w:cs="Arial"/>
        </w:rPr>
      </w:pPr>
      <w:r w:rsidRPr="00080443">
        <w:rPr>
          <w:rFonts w:cs="Arial"/>
        </w:rPr>
        <w:t xml:space="preserve">compliance with </w:t>
      </w:r>
      <w:r w:rsidR="00126DF9" w:rsidRPr="00080443">
        <w:rPr>
          <w:rFonts w:cs="Arial"/>
        </w:rPr>
        <w:t>the Act</w:t>
      </w:r>
    </w:p>
    <w:p w14:paraId="700DAFF8" w14:textId="77777777" w:rsidR="008A60B8" w:rsidRPr="00080443" w:rsidRDefault="00E100A7" w:rsidP="00AE769D">
      <w:pPr>
        <w:pStyle w:val="ListBullet"/>
        <w:rPr>
          <w:rFonts w:cs="Arial"/>
        </w:rPr>
      </w:pPr>
      <w:r w:rsidRPr="00080443">
        <w:rPr>
          <w:rFonts w:cs="Arial"/>
        </w:rPr>
        <w:t xml:space="preserve">compliance with </w:t>
      </w:r>
      <w:r w:rsidR="008A60B8" w:rsidRPr="00080443">
        <w:rPr>
          <w:rFonts w:cs="Arial"/>
        </w:rPr>
        <w:t xml:space="preserve">a set of core licence conditions required under subsection 66(1) of the Act </w:t>
      </w:r>
    </w:p>
    <w:p w14:paraId="5824B85A" w14:textId="77777777" w:rsidR="008A60B8" w:rsidRPr="00080443" w:rsidRDefault="00E100A7" w:rsidP="00AE769D">
      <w:pPr>
        <w:pStyle w:val="ListBullet"/>
        <w:rPr>
          <w:rFonts w:cs="Arial"/>
        </w:rPr>
      </w:pPr>
      <w:r w:rsidRPr="00080443">
        <w:rPr>
          <w:rFonts w:cs="Arial"/>
        </w:rPr>
        <w:t xml:space="preserve">compliance with </w:t>
      </w:r>
      <w:r w:rsidR="008A60B8" w:rsidRPr="00080443">
        <w:rPr>
          <w:rFonts w:cs="Arial"/>
        </w:rPr>
        <w:t>statutory licence conditions made under sections 67</w:t>
      </w:r>
      <w:r w:rsidR="00126DF9" w:rsidRPr="00080443">
        <w:rPr>
          <w:rFonts w:cs="Arial"/>
        </w:rPr>
        <w:t xml:space="preserve">, 68, 69 and </w:t>
      </w:r>
      <w:r w:rsidR="008A60B8" w:rsidRPr="00080443">
        <w:rPr>
          <w:rFonts w:cs="Arial"/>
        </w:rPr>
        <w:t>69A of the Act</w:t>
      </w:r>
    </w:p>
    <w:p w14:paraId="13C126E5" w14:textId="77777777" w:rsidR="008A60B8" w:rsidRPr="00080443" w:rsidRDefault="00E100A7" w:rsidP="00AE769D">
      <w:pPr>
        <w:pStyle w:val="ListBullet"/>
        <w:rPr>
          <w:rFonts w:cs="Arial"/>
        </w:rPr>
      </w:pPr>
      <w:r w:rsidRPr="00080443">
        <w:rPr>
          <w:rFonts w:cs="Arial"/>
        </w:rPr>
        <w:t xml:space="preserve">compliance with </w:t>
      </w:r>
      <w:r w:rsidR="008A60B8" w:rsidRPr="00080443">
        <w:rPr>
          <w:rFonts w:cs="Arial"/>
        </w:rPr>
        <w:t xml:space="preserve">other conditions that the ACMA may include under section 71 of the Act </w:t>
      </w:r>
    </w:p>
    <w:p w14:paraId="73FDDCA1" w14:textId="77777777" w:rsidR="008A60B8" w:rsidRPr="00080443" w:rsidRDefault="00E100A7" w:rsidP="00AE769D">
      <w:pPr>
        <w:pStyle w:val="ListBullet"/>
        <w:spacing w:after="240"/>
        <w:rPr>
          <w:rFonts w:cs="Arial"/>
        </w:rPr>
      </w:pPr>
      <w:r w:rsidRPr="00080443">
        <w:rPr>
          <w:rFonts w:cs="Arial"/>
        </w:rPr>
        <w:t xml:space="preserve">management of interference issues with reference to </w:t>
      </w:r>
      <w:r w:rsidR="008A60B8" w:rsidRPr="00080443">
        <w:rPr>
          <w:rFonts w:cs="Arial"/>
        </w:rPr>
        <w:t xml:space="preserve">technical instruments established for the band under subsection 145(4) and section 262 of the Act. </w:t>
      </w:r>
    </w:p>
    <w:p w14:paraId="6D060A97" w14:textId="77777777" w:rsidR="008A60B8" w:rsidRPr="00080443" w:rsidRDefault="008A60B8" w:rsidP="00AE769D">
      <w:pPr>
        <w:rPr>
          <w:rFonts w:cs="Arial"/>
        </w:rPr>
      </w:pPr>
      <w:r w:rsidRPr="00080443">
        <w:rPr>
          <w:rFonts w:cs="Arial"/>
        </w:rPr>
        <w:t xml:space="preserve">Licensees are also permitted to make agreements with affected adjacent licensees to change emission limits within the parameters of the technical framework. </w:t>
      </w:r>
      <w:r w:rsidR="00FC7EDC" w:rsidRPr="00080443">
        <w:rPr>
          <w:rFonts w:cs="Arial"/>
        </w:rPr>
        <w:t>T</w:t>
      </w:r>
      <w:r w:rsidR="00E100A7" w:rsidRPr="00080443">
        <w:rPr>
          <w:rFonts w:cs="Arial"/>
        </w:rPr>
        <w:t xml:space="preserve">he agreed limit cannot exceed any absolute limit specified in the technical framework, in limits outside the designated spectrum space or at the boundary of other licensees not subject to the agreement. </w:t>
      </w:r>
    </w:p>
    <w:p w14:paraId="1BD137AC" w14:textId="77777777" w:rsidR="00AE769D" w:rsidRPr="00080443" w:rsidRDefault="00AE769D" w:rsidP="00AE769D">
      <w:pPr>
        <w:rPr>
          <w:rFonts w:cs="Arial"/>
        </w:rPr>
      </w:pPr>
    </w:p>
    <w:p w14:paraId="44517BDB" w14:textId="77777777" w:rsidR="008A60B8" w:rsidRPr="00080443" w:rsidRDefault="008A60B8" w:rsidP="00AE769D">
      <w:pPr>
        <w:rPr>
          <w:rFonts w:cs="Arial"/>
          <w:color w:val="000000" w:themeColor="text1"/>
        </w:rPr>
      </w:pPr>
      <w:r w:rsidRPr="00080443">
        <w:rPr>
          <w:rFonts w:cs="Arial"/>
        </w:rPr>
        <w:t>The spectrum licensing arrangement is a technology</w:t>
      </w:r>
      <w:r w:rsidR="0076476B" w:rsidRPr="00080443">
        <w:rPr>
          <w:rFonts w:cs="Arial"/>
        </w:rPr>
        <w:t>-</w:t>
      </w:r>
      <w:r w:rsidRPr="00080443">
        <w:rPr>
          <w:rFonts w:cs="Arial"/>
        </w:rPr>
        <w:t>flexible, market</w:t>
      </w:r>
      <w:r w:rsidR="0076476B" w:rsidRPr="00080443">
        <w:rPr>
          <w:rFonts w:cs="Arial"/>
        </w:rPr>
        <w:t>-</w:t>
      </w:r>
      <w:r w:rsidRPr="00080443">
        <w:rPr>
          <w:rFonts w:cs="Arial"/>
        </w:rPr>
        <w:t xml:space="preserve">oriented approach to managing the radiofrequency spectrum. The spectrum space may be </w:t>
      </w:r>
      <w:r w:rsidRPr="00080443">
        <w:rPr>
          <w:rFonts w:cs="Arial"/>
        </w:rPr>
        <w:lastRenderedPageBreak/>
        <w:t xml:space="preserve">subdivided and traded in standard trading units (STUs). The ability to trade and the flexibility of the </w:t>
      </w:r>
      <w:r w:rsidR="000245B4" w:rsidRPr="00080443">
        <w:rPr>
          <w:rFonts w:cs="Arial"/>
        </w:rPr>
        <w:t xml:space="preserve">technology that may be used in line with the </w:t>
      </w:r>
      <w:r w:rsidRPr="00080443">
        <w:rPr>
          <w:rFonts w:cs="Arial"/>
        </w:rPr>
        <w:t xml:space="preserve">technical framework allows licensees to change their service over time in response to commercial realities, and respond </w:t>
      </w:r>
      <w:r w:rsidRPr="00080443">
        <w:rPr>
          <w:rFonts w:cs="Arial"/>
          <w:color w:val="000000" w:themeColor="text1"/>
        </w:rPr>
        <w:t xml:space="preserve">to technological innovation within the flexibility of the framework. </w:t>
      </w:r>
    </w:p>
    <w:p w14:paraId="05094725" w14:textId="77777777" w:rsidR="00AE769D" w:rsidRPr="00080443" w:rsidRDefault="00AE769D" w:rsidP="00AE769D">
      <w:pPr>
        <w:rPr>
          <w:rFonts w:cs="Arial"/>
          <w:color w:val="000000" w:themeColor="text1"/>
        </w:rPr>
      </w:pPr>
    </w:p>
    <w:p w14:paraId="4FFB0DF6" w14:textId="77777777" w:rsidR="008A60B8" w:rsidRPr="00080443" w:rsidRDefault="008A60B8" w:rsidP="00AE769D">
      <w:pPr>
        <w:rPr>
          <w:rFonts w:cs="Arial"/>
          <w:color w:val="000000" w:themeColor="text1"/>
        </w:rPr>
      </w:pPr>
      <w:r w:rsidRPr="00080443">
        <w:rPr>
          <w:rFonts w:cs="Arial"/>
          <w:color w:val="000000" w:themeColor="text1"/>
        </w:rPr>
        <w:t xml:space="preserve">Information specific to the spectrum licences on offer for the 700 MHz and 2.5 GHz bands is available in Part 3 of the marketing plan for each band. This includes, at Schedule 6 to each marketing plan, a sample licence containing the conditions that may be included in a spectrum licence for the band. </w:t>
      </w:r>
    </w:p>
    <w:p w14:paraId="6D53870F" w14:textId="77777777" w:rsidR="00AE769D" w:rsidRPr="00080443" w:rsidRDefault="00AE769D" w:rsidP="00AE769D">
      <w:pPr>
        <w:rPr>
          <w:rFonts w:cs="Arial"/>
          <w:color w:val="000000" w:themeColor="text1"/>
        </w:rPr>
      </w:pPr>
    </w:p>
    <w:p w14:paraId="38712B7B" w14:textId="77777777" w:rsidR="008A60B8" w:rsidRPr="00080443" w:rsidRDefault="008A60B8" w:rsidP="005B6C76">
      <w:pPr>
        <w:pStyle w:val="Heading2"/>
        <w:numPr>
          <w:ilvl w:val="1"/>
          <w:numId w:val="12"/>
        </w:numPr>
      </w:pPr>
      <w:bookmarkStart w:id="163" w:name="_Toc335246299"/>
      <w:bookmarkStart w:id="164" w:name="_Toc343780507"/>
      <w:r w:rsidRPr="00080443">
        <w:t>The technical framework</w:t>
      </w:r>
      <w:bookmarkEnd w:id="162"/>
      <w:bookmarkEnd w:id="163"/>
      <w:bookmarkEnd w:id="164"/>
      <w:r w:rsidRPr="00080443">
        <w:t xml:space="preserve"> </w:t>
      </w:r>
    </w:p>
    <w:p w14:paraId="689DF036" w14:textId="77777777" w:rsidR="008A60B8" w:rsidRPr="00080443" w:rsidRDefault="008A60B8" w:rsidP="00AE769D">
      <w:pPr>
        <w:rPr>
          <w:rFonts w:cs="Arial"/>
        </w:rPr>
      </w:pPr>
      <w:r w:rsidRPr="00080443">
        <w:rPr>
          <w:rFonts w:cs="Arial"/>
        </w:rPr>
        <w:t>The technical framework for a spectrum</w:t>
      </w:r>
      <w:r w:rsidR="0076476B" w:rsidRPr="00080443">
        <w:rPr>
          <w:rFonts w:cs="Arial"/>
        </w:rPr>
        <w:t>-</w:t>
      </w:r>
      <w:r w:rsidRPr="00080443">
        <w:rPr>
          <w:rFonts w:cs="Arial"/>
        </w:rPr>
        <w:t xml:space="preserve">licensed band is the set of technical rules made by </w:t>
      </w:r>
      <w:r w:rsidR="0076476B" w:rsidRPr="00080443">
        <w:rPr>
          <w:rFonts w:cs="Arial"/>
        </w:rPr>
        <w:t xml:space="preserve">the </w:t>
      </w:r>
      <w:r w:rsidRPr="00080443">
        <w:rPr>
          <w:rFonts w:cs="Arial"/>
        </w:rPr>
        <w:t xml:space="preserve">ACMA in consultation with industry </w:t>
      </w:r>
      <w:r w:rsidR="00037151" w:rsidRPr="00080443">
        <w:rPr>
          <w:rFonts w:cs="Arial"/>
        </w:rPr>
        <w:t xml:space="preserve">applicable to the operation of radiocommunications devices </w:t>
      </w:r>
      <w:r w:rsidRPr="00080443">
        <w:rPr>
          <w:rFonts w:cs="Arial"/>
        </w:rPr>
        <w:t xml:space="preserve">within the given band. The primary purpose of the technical framework is to specify the relevant technical conditions </w:t>
      </w:r>
      <w:r w:rsidR="00037151" w:rsidRPr="00080443">
        <w:rPr>
          <w:rFonts w:cs="Arial"/>
        </w:rPr>
        <w:t xml:space="preserve">that licensees should comply with </w:t>
      </w:r>
      <w:r w:rsidRPr="00080443">
        <w:rPr>
          <w:rFonts w:cs="Arial"/>
        </w:rPr>
        <w:t>to effectively manage interference between users of the spectrum.</w:t>
      </w:r>
    </w:p>
    <w:p w14:paraId="0E15425A" w14:textId="77777777" w:rsidR="00AE769D" w:rsidRPr="00080443" w:rsidRDefault="00AE769D" w:rsidP="00AE769D">
      <w:pPr>
        <w:rPr>
          <w:rFonts w:cs="Arial"/>
        </w:rPr>
      </w:pPr>
    </w:p>
    <w:p w14:paraId="609F3E66" w14:textId="77777777" w:rsidR="008A60B8" w:rsidRPr="00080443" w:rsidRDefault="008A60B8" w:rsidP="00AE769D">
      <w:pPr>
        <w:spacing w:after="80"/>
        <w:rPr>
          <w:rFonts w:cs="Arial"/>
        </w:rPr>
      </w:pPr>
      <w:r w:rsidRPr="00080443">
        <w:rPr>
          <w:rFonts w:cs="Arial"/>
        </w:rPr>
        <w:t>The technical framework is crafted using three interlocking regulatory elements:</w:t>
      </w:r>
    </w:p>
    <w:p w14:paraId="5829C8BD" w14:textId="77777777" w:rsidR="008A60B8" w:rsidRPr="00080443" w:rsidRDefault="008A60B8" w:rsidP="00AE769D">
      <w:pPr>
        <w:pStyle w:val="ListBullet"/>
        <w:rPr>
          <w:rFonts w:cs="Arial"/>
        </w:rPr>
      </w:pPr>
      <w:r w:rsidRPr="00080443">
        <w:rPr>
          <w:rFonts w:cs="Arial"/>
        </w:rPr>
        <w:t xml:space="preserve">the core conditions of the licence, which are mandatory requirements included </w:t>
      </w:r>
      <w:r w:rsidR="00037151" w:rsidRPr="00080443">
        <w:rPr>
          <w:rFonts w:cs="Arial"/>
        </w:rPr>
        <w:t xml:space="preserve">pursuant to </w:t>
      </w:r>
      <w:r w:rsidRPr="00080443">
        <w:rPr>
          <w:rFonts w:cs="Arial"/>
        </w:rPr>
        <w:t>section 66 of the Act</w:t>
      </w:r>
    </w:p>
    <w:p w14:paraId="5606D3E6" w14:textId="77777777" w:rsidR="008A60B8" w:rsidRPr="00080443" w:rsidRDefault="008A60B8" w:rsidP="00AE769D">
      <w:pPr>
        <w:pStyle w:val="ListBullet"/>
        <w:rPr>
          <w:rFonts w:cs="Arial"/>
        </w:rPr>
      </w:pPr>
      <w:r w:rsidRPr="00080443">
        <w:rPr>
          <w:rFonts w:cs="Arial"/>
        </w:rPr>
        <w:t>a determination of unacceptable levels of interference for the purposes of device registration, made under subsection 145(4) of the Act</w:t>
      </w:r>
      <w:r w:rsidR="00126DF9" w:rsidRPr="00080443">
        <w:rPr>
          <w:rFonts w:cs="Arial"/>
        </w:rPr>
        <w:t xml:space="preserve"> (the subsection 145(4) determination)</w:t>
      </w:r>
    </w:p>
    <w:p w14:paraId="5EFC0534" w14:textId="77777777" w:rsidR="008A60B8" w:rsidRPr="00080443" w:rsidRDefault="008A60B8" w:rsidP="00AE769D">
      <w:pPr>
        <w:pStyle w:val="ListBullet"/>
        <w:spacing w:after="240"/>
        <w:rPr>
          <w:rFonts w:cs="Arial"/>
        </w:rPr>
      </w:pPr>
      <w:r w:rsidRPr="00080443">
        <w:rPr>
          <w:rFonts w:cs="Arial"/>
        </w:rPr>
        <w:t>radiocommunications advisory guidelines</w:t>
      </w:r>
      <w:r w:rsidR="0076476B" w:rsidRPr="00080443">
        <w:rPr>
          <w:rFonts w:cs="Arial"/>
        </w:rPr>
        <w:t>,</w:t>
      </w:r>
      <w:r w:rsidRPr="00080443">
        <w:rPr>
          <w:rFonts w:cs="Arial"/>
        </w:rPr>
        <w:t xml:space="preserve"> made under section 262 of the Act.</w:t>
      </w:r>
    </w:p>
    <w:p w14:paraId="05609641" w14:textId="77777777" w:rsidR="008A60B8" w:rsidRPr="00080443" w:rsidRDefault="000245B4" w:rsidP="00AE769D">
      <w:pPr>
        <w:rPr>
          <w:rFonts w:cs="Arial"/>
        </w:rPr>
      </w:pPr>
      <w:r w:rsidRPr="00080443">
        <w:rPr>
          <w:rFonts w:cs="Arial"/>
        </w:rPr>
        <w:t>I</w:t>
      </w:r>
      <w:r w:rsidR="008A60B8" w:rsidRPr="00080443">
        <w:rPr>
          <w:rFonts w:cs="Arial"/>
        </w:rPr>
        <w:t xml:space="preserve">nformation on each of the regulatory elements and how a technical framework is developed is provided in </w:t>
      </w:r>
      <w:hyperlink r:id="rId47" w:history="1">
        <w:r w:rsidR="005B72A0" w:rsidRPr="00080443">
          <w:rPr>
            <w:rStyle w:val="Hyperlink"/>
            <w:rFonts w:cs="Arial"/>
            <w:i/>
          </w:rPr>
          <w:t>Know your obligations</w:t>
        </w:r>
      </w:hyperlink>
      <w:r w:rsidR="008A60B8" w:rsidRPr="00080443">
        <w:rPr>
          <w:rFonts w:cs="Arial"/>
        </w:rPr>
        <w:t>.</w:t>
      </w:r>
    </w:p>
    <w:p w14:paraId="6570E07A" w14:textId="77777777" w:rsidR="00AE769D" w:rsidRPr="00080443" w:rsidRDefault="00AE769D" w:rsidP="00AE769D">
      <w:pPr>
        <w:rPr>
          <w:rFonts w:cs="Arial"/>
        </w:rPr>
      </w:pPr>
    </w:p>
    <w:p w14:paraId="3660903F" w14:textId="77777777" w:rsidR="008A60B8" w:rsidRPr="00080443" w:rsidRDefault="008A60B8" w:rsidP="00AE769D">
      <w:pPr>
        <w:spacing w:after="80"/>
        <w:rPr>
          <w:rFonts w:cs="Arial"/>
        </w:rPr>
      </w:pPr>
      <w:r w:rsidRPr="00080443">
        <w:rPr>
          <w:rFonts w:cs="Arial"/>
        </w:rPr>
        <w:t>The interference mechanisms that the technical frameworks for the 700 MHz and the 2.5 GHz bands seek to manage are those caused by:</w:t>
      </w:r>
    </w:p>
    <w:p w14:paraId="318A9841" w14:textId="77777777" w:rsidR="008A60B8" w:rsidRPr="00080443" w:rsidRDefault="008A60B8" w:rsidP="00AE769D">
      <w:pPr>
        <w:pStyle w:val="ListBullet"/>
        <w:rPr>
          <w:rFonts w:cs="Arial"/>
        </w:rPr>
      </w:pPr>
      <w:r w:rsidRPr="00080443">
        <w:rPr>
          <w:rFonts w:cs="Arial"/>
        </w:rPr>
        <w:t>unwanted in-band emissions</w:t>
      </w:r>
    </w:p>
    <w:p w14:paraId="2CFFC783" w14:textId="77777777" w:rsidR="008A60B8" w:rsidRPr="00080443" w:rsidRDefault="008A60B8" w:rsidP="00AE769D">
      <w:pPr>
        <w:pStyle w:val="ListBullet"/>
        <w:rPr>
          <w:rFonts w:cs="Arial"/>
        </w:rPr>
      </w:pPr>
      <w:r w:rsidRPr="00080443">
        <w:rPr>
          <w:rFonts w:cs="Arial"/>
        </w:rPr>
        <w:t>emissions falling outside the frequency band of the licence</w:t>
      </w:r>
    </w:p>
    <w:p w14:paraId="6B95B485" w14:textId="77777777" w:rsidR="008A60B8" w:rsidRPr="00080443" w:rsidRDefault="008A60B8" w:rsidP="00AE769D">
      <w:pPr>
        <w:pStyle w:val="ListBullet"/>
        <w:rPr>
          <w:rFonts w:cs="Arial"/>
        </w:rPr>
      </w:pPr>
      <w:r w:rsidRPr="00080443">
        <w:rPr>
          <w:rFonts w:cs="Arial"/>
        </w:rPr>
        <w:t>transient emissions such as those caused by switching a transmitter on and off</w:t>
      </w:r>
    </w:p>
    <w:p w14:paraId="693B3A8A" w14:textId="77777777" w:rsidR="008A60B8" w:rsidRPr="00080443" w:rsidRDefault="008A60B8" w:rsidP="00AE769D">
      <w:pPr>
        <w:pStyle w:val="ListBullet"/>
        <w:spacing w:after="240"/>
        <w:rPr>
          <w:rFonts w:cs="Arial"/>
        </w:rPr>
      </w:pPr>
      <w:r w:rsidRPr="00080443">
        <w:rPr>
          <w:rFonts w:cs="Arial"/>
        </w:rPr>
        <w:t>intermodulation effects.</w:t>
      </w:r>
    </w:p>
    <w:p w14:paraId="2041B373" w14:textId="77777777" w:rsidR="008A60B8" w:rsidRPr="00080443" w:rsidRDefault="008A60B8" w:rsidP="00AE769D">
      <w:pPr>
        <w:rPr>
          <w:rFonts w:cs="Arial"/>
        </w:rPr>
      </w:pPr>
      <w:r w:rsidRPr="00080443">
        <w:rPr>
          <w:rFonts w:cs="Arial"/>
        </w:rPr>
        <w:t xml:space="preserve">All four of these mechanisms are dealt with by a combination of the core </w:t>
      </w:r>
      <w:r w:rsidR="00037151" w:rsidRPr="00080443">
        <w:rPr>
          <w:rFonts w:cs="Arial"/>
        </w:rPr>
        <w:t xml:space="preserve">licence </w:t>
      </w:r>
      <w:r w:rsidRPr="00080443">
        <w:rPr>
          <w:rFonts w:cs="Arial"/>
        </w:rPr>
        <w:t>conditions relating to</w:t>
      </w:r>
      <w:r w:rsidR="006D73E9" w:rsidRPr="00080443">
        <w:rPr>
          <w:rFonts w:cs="Arial"/>
        </w:rPr>
        <w:t xml:space="preserve"> outside</w:t>
      </w:r>
      <w:r w:rsidR="00890986" w:rsidRPr="00080443">
        <w:rPr>
          <w:rFonts w:cs="Arial"/>
        </w:rPr>
        <w:t>-</w:t>
      </w:r>
      <w:r w:rsidR="006D73E9" w:rsidRPr="00080443">
        <w:rPr>
          <w:rFonts w:cs="Arial"/>
        </w:rPr>
        <w:t>the</w:t>
      </w:r>
      <w:r w:rsidR="00890986" w:rsidRPr="00080443">
        <w:rPr>
          <w:rFonts w:cs="Arial"/>
        </w:rPr>
        <w:t>-</w:t>
      </w:r>
      <w:r w:rsidR="006D73E9" w:rsidRPr="00080443">
        <w:rPr>
          <w:rFonts w:cs="Arial"/>
        </w:rPr>
        <w:t>area and outside</w:t>
      </w:r>
      <w:r w:rsidR="00890986" w:rsidRPr="00080443">
        <w:rPr>
          <w:rFonts w:cs="Arial"/>
        </w:rPr>
        <w:t>-</w:t>
      </w:r>
      <w:r w:rsidR="006D73E9" w:rsidRPr="00080443">
        <w:rPr>
          <w:rFonts w:cs="Arial"/>
        </w:rPr>
        <w:t>the</w:t>
      </w:r>
      <w:r w:rsidR="00890986" w:rsidRPr="00080443">
        <w:rPr>
          <w:rFonts w:cs="Arial"/>
        </w:rPr>
        <w:t>-</w:t>
      </w:r>
      <w:r w:rsidR="006D73E9" w:rsidRPr="00080443">
        <w:rPr>
          <w:rFonts w:cs="Arial"/>
        </w:rPr>
        <w:t xml:space="preserve">band </w:t>
      </w:r>
      <w:r w:rsidRPr="00080443">
        <w:rPr>
          <w:rFonts w:cs="Arial"/>
        </w:rPr>
        <w:t>emissions, and those parts of the registration process that give effect to those conditions at the point of registering devices before their operation. The device registration process is discussed</w:t>
      </w:r>
      <w:r w:rsidR="0076476B" w:rsidRPr="00080443">
        <w:rPr>
          <w:rFonts w:cs="Arial"/>
        </w:rPr>
        <w:t xml:space="preserve"> at</w:t>
      </w:r>
      <w:r w:rsidRPr="00080443">
        <w:rPr>
          <w:rFonts w:cs="Arial"/>
        </w:rPr>
        <w:t xml:space="preserve"> 5.4.</w:t>
      </w:r>
      <w:r w:rsidR="00533298" w:rsidRPr="00080443">
        <w:rPr>
          <w:rFonts w:cs="Arial"/>
        </w:rPr>
        <w:t>3</w:t>
      </w:r>
      <w:r w:rsidR="00986E02" w:rsidRPr="00080443">
        <w:rPr>
          <w:rFonts w:cs="Arial"/>
        </w:rPr>
        <w:t>.</w:t>
      </w:r>
    </w:p>
    <w:p w14:paraId="138E0B29" w14:textId="77777777" w:rsidR="00AE769D" w:rsidRPr="00080443" w:rsidRDefault="00AE769D" w:rsidP="00AE769D">
      <w:pPr>
        <w:rPr>
          <w:rFonts w:cs="Arial"/>
        </w:rPr>
      </w:pPr>
    </w:p>
    <w:p w14:paraId="4B4EE934" w14:textId="77777777" w:rsidR="008A60B8" w:rsidRPr="00080443" w:rsidRDefault="008A60B8" w:rsidP="00AE769D">
      <w:pPr>
        <w:rPr>
          <w:rFonts w:cs="Arial"/>
        </w:rPr>
      </w:pPr>
      <w:r w:rsidRPr="00080443">
        <w:rPr>
          <w:rFonts w:cs="Arial"/>
        </w:rPr>
        <w:t xml:space="preserve">The 700 MHz and 2.5 GHz technical frameworks were developed in consultation with industry through technical liaison groups. The frameworks have been optimised to support 4G </w:t>
      </w:r>
      <w:r w:rsidR="00D82FE4" w:rsidRPr="00080443">
        <w:rPr>
          <w:rFonts w:cs="Arial"/>
        </w:rPr>
        <w:t xml:space="preserve">mobile telephony </w:t>
      </w:r>
      <w:r w:rsidRPr="00080443">
        <w:rPr>
          <w:rFonts w:cs="Arial"/>
        </w:rPr>
        <w:t xml:space="preserve">technologies. </w:t>
      </w:r>
    </w:p>
    <w:p w14:paraId="2D554A68" w14:textId="77777777" w:rsidR="00AE769D" w:rsidRPr="00080443" w:rsidRDefault="00AE769D" w:rsidP="00AE769D">
      <w:pPr>
        <w:rPr>
          <w:rFonts w:cs="Arial"/>
        </w:rPr>
      </w:pPr>
    </w:p>
    <w:p w14:paraId="3C143B71" w14:textId="77777777" w:rsidR="008A60B8" w:rsidRPr="00080443" w:rsidRDefault="008A60B8" w:rsidP="00AE769D">
      <w:pPr>
        <w:rPr>
          <w:rFonts w:cs="Arial"/>
        </w:rPr>
      </w:pPr>
      <w:r w:rsidRPr="00080443">
        <w:rPr>
          <w:rFonts w:cs="Arial"/>
        </w:rPr>
        <w:t>The 700 MHz spectrum licence technical framework has been developed by the ACMA with industry in parallel with the ACMA’s involvement in develop</w:t>
      </w:r>
      <w:r w:rsidR="0076476B" w:rsidRPr="00080443">
        <w:rPr>
          <w:rFonts w:cs="Arial"/>
        </w:rPr>
        <w:t>ing</w:t>
      </w:r>
      <w:r w:rsidRPr="00080443">
        <w:rPr>
          <w:rFonts w:cs="Arial"/>
        </w:rPr>
        <w:t xml:space="preserve"> internationally harmonised band planning arrangements in the Asia</w:t>
      </w:r>
      <w:r w:rsidR="0076476B" w:rsidRPr="00080443">
        <w:rPr>
          <w:rFonts w:cs="Arial"/>
        </w:rPr>
        <w:t>–</w:t>
      </w:r>
      <w:r w:rsidRPr="00080443">
        <w:rPr>
          <w:rFonts w:cs="Arial"/>
        </w:rPr>
        <w:t xml:space="preserve">Pacific region to support mobile broadband or wireless access services (WAS) in the band. The </w:t>
      </w:r>
      <w:r w:rsidR="0076476B" w:rsidRPr="00080443">
        <w:rPr>
          <w:rFonts w:cs="Arial"/>
        </w:rPr>
        <w:t>700 </w:t>
      </w:r>
      <w:r w:rsidRPr="00080443">
        <w:rPr>
          <w:rFonts w:cs="Arial"/>
        </w:rPr>
        <w:t xml:space="preserve">MHz band </w:t>
      </w:r>
      <w:r w:rsidR="00D82FE4" w:rsidRPr="00080443">
        <w:rPr>
          <w:rFonts w:cs="Arial"/>
        </w:rPr>
        <w:t xml:space="preserve">previously </w:t>
      </w:r>
      <w:r w:rsidRPr="00080443">
        <w:rPr>
          <w:rFonts w:cs="Arial"/>
        </w:rPr>
        <w:t xml:space="preserve">supported television </w:t>
      </w:r>
      <w:r w:rsidR="000B262D" w:rsidRPr="00080443">
        <w:rPr>
          <w:rFonts w:cs="Arial"/>
        </w:rPr>
        <w:t xml:space="preserve">broadcasting </w:t>
      </w:r>
      <w:r w:rsidRPr="00080443">
        <w:rPr>
          <w:rFonts w:cs="Arial"/>
        </w:rPr>
        <w:t xml:space="preserve">services. </w:t>
      </w:r>
    </w:p>
    <w:p w14:paraId="6F3938B6" w14:textId="77777777" w:rsidR="00AE769D" w:rsidRPr="00080443" w:rsidRDefault="00AE769D" w:rsidP="00AE769D">
      <w:pPr>
        <w:rPr>
          <w:rFonts w:cs="Arial"/>
        </w:rPr>
      </w:pPr>
    </w:p>
    <w:p w14:paraId="01419615" w14:textId="77777777" w:rsidR="008A60B8" w:rsidRPr="00080443" w:rsidRDefault="008A60B8" w:rsidP="00AE769D">
      <w:pPr>
        <w:rPr>
          <w:rFonts w:cs="Arial"/>
        </w:rPr>
      </w:pPr>
      <w:r w:rsidRPr="00080443">
        <w:rPr>
          <w:rFonts w:cs="Arial"/>
        </w:rPr>
        <w:t xml:space="preserve">The 2.5 GHz spectrum licence technical framework provides conditions that are suitable to support internationally harmonised arrangements for the use of the band for mobile broadband or WAS. </w:t>
      </w:r>
      <w:r w:rsidR="00D82FE4" w:rsidRPr="00080443">
        <w:rPr>
          <w:rFonts w:cs="Arial"/>
        </w:rPr>
        <w:t>Previously</w:t>
      </w:r>
      <w:r w:rsidR="0076476B" w:rsidRPr="00080443">
        <w:rPr>
          <w:rFonts w:cs="Arial"/>
        </w:rPr>
        <w:t>,</w:t>
      </w:r>
      <w:r w:rsidRPr="00080443">
        <w:rPr>
          <w:rFonts w:cs="Arial"/>
        </w:rPr>
        <w:t xml:space="preserve"> the band was used nationwide for television outside broadcasting (TOB). To enable the operation of WAS in the band, the </w:t>
      </w:r>
      <w:r w:rsidRPr="00080443">
        <w:rPr>
          <w:rFonts w:cs="Arial"/>
        </w:rPr>
        <w:lastRenderedPageBreak/>
        <w:t xml:space="preserve">technical framework has adopted </w:t>
      </w:r>
      <w:r w:rsidR="00224886" w:rsidRPr="00080443">
        <w:rPr>
          <w:rFonts w:cs="Arial"/>
        </w:rPr>
        <w:t xml:space="preserve">International Telecommunication Union Radiocommunication Sector </w:t>
      </w:r>
      <w:r w:rsidRPr="00080443">
        <w:rPr>
          <w:rFonts w:cs="Arial"/>
        </w:rPr>
        <w:t>band arrangements to support frequency division duplex (FDD) operation and emission limits developed in Europe.</w:t>
      </w:r>
    </w:p>
    <w:p w14:paraId="4C274FC3" w14:textId="77777777" w:rsidR="00AE769D" w:rsidRPr="00080443" w:rsidRDefault="00AE769D" w:rsidP="00AE769D">
      <w:pPr>
        <w:rPr>
          <w:rFonts w:cs="Arial"/>
        </w:rPr>
      </w:pPr>
    </w:p>
    <w:p w14:paraId="1B2BC528" w14:textId="77777777" w:rsidR="008A60B8" w:rsidRPr="00080443" w:rsidRDefault="008A60B8" w:rsidP="00AE769D">
      <w:pPr>
        <w:rPr>
          <w:rFonts w:cs="Arial"/>
        </w:rPr>
      </w:pPr>
      <w:r w:rsidRPr="00080443">
        <w:rPr>
          <w:rFonts w:cs="Arial"/>
        </w:rPr>
        <w:t>While the technical frameworks for both the 700 MHz and 2.5 GHz bands have been designed to support FDD WAS services</w:t>
      </w:r>
      <w:r w:rsidR="0076476B" w:rsidRPr="00080443">
        <w:rPr>
          <w:rFonts w:cs="Arial"/>
        </w:rPr>
        <w:t>,</w:t>
      </w:r>
      <w:r w:rsidRPr="00080443">
        <w:rPr>
          <w:rFonts w:cs="Arial"/>
        </w:rPr>
        <w:t xml:space="preserve"> this does not explicitly exclude other uses. For example, the spectrum may be deployed to provide a wide range of services including broadband wireless access (BWA) services, data transfer, machine</w:t>
      </w:r>
      <w:r w:rsidR="0076476B" w:rsidRPr="00080443">
        <w:rPr>
          <w:rFonts w:cs="Arial"/>
        </w:rPr>
        <w:t>-</w:t>
      </w:r>
      <w:r w:rsidRPr="00080443">
        <w:rPr>
          <w:rFonts w:cs="Arial"/>
        </w:rPr>
        <w:t>to</w:t>
      </w:r>
      <w:r w:rsidR="0076476B" w:rsidRPr="00080443">
        <w:rPr>
          <w:rFonts w:cs="Arial"/>
        </w:rPr>
        <w:t>-</w:t>
      </w:r>
      <w:r w:rsidRPr="00080443">
        <w:rPr>
          <w:rFonts w:cs="Arial"/>
        </w:rPr>
        <w:t xml:space="preserve">machine (M2M) remote control links between plant and equipment, or video surveillance. </w:t>
      </w:r>
    </w:p>
    <w:p w14:paraId="79376240" w14:textId="77777777" w:rsidR="00AE769D" w:rsidRPr="00080443" w:rsidRDefault="00AE769D" w:rsidP="00AE769D">
      <w:pPr>
        <w:rPr>
          <w:rFonts w:cs="Arial"/>
        </w:rPr>
      </w:pPr>
    </w:p>
    <w:p w14:paraId="5CC11F78" w14:textId="77777777" w:rsidR="008A60B8" w:rsidRPr="00080443" w:rsidRDefault="008A60B8" w:rsidP="005B6C76">
      <w:pPr>
        <w:pStyle w:val="Heading2"/>
        <w:numPr>
          <w:ilvl w:val="1"/>
          <w:numId w:val="12"/>
        </w:numPr>
      </w:pPr>
      <w:bookmarkStart w:id="165" w:name="_Toc219183242"/>
      <w:bookmarkStart w:id="166" w:name="_Toc335246300"/>
      <w:bookmarkStart w:id="167" w:name="_Toc343780508"/>
      <w:r w:rsidRPr="00080443">
        <w:t>Core conditions</w:t>
      </w:r>
      <w:bookmarkEnd w:id="165"/>
      <w:bookmarkEnd w:id="166"/>
      <w:bookmarkEnd w:id="167"/>
    </w:p>
    <w:p w14:paraId="77E11FEC" w14:textId="77777777" w:rsidR="008A60B8" w:rsidRPr="00080443" w:rsidRDefault="008A60B8" w:rsidP="00AE769D">
      <w:pPr>
        <w:spacing w:before="80" w:after="80"/>
        <w:rPr>
          <w:rFonts w:cs="Arial"/>
        </w:rPr>
      </w:pPr>
      <w:r w:rsidRPr="00080443">
        <w:rPr>
          <w:rFonts w:cs="Arial"/>
        </w:rPr>
        <w:t>The core conditions of a spectrum licence are mandatory technical requirements that form the basis of the licence</w:t>
      </w:r>
      <w:r w:rsidR="00703FAD" w:rsidRPr="00080443">
        <w:rPr>
          <w:rFonts w:cs="Arial"/>
        </w:rPr>
        <w:t xml:space="preserve"> as required under section 66 of the Act</w:t>
      </w:r>
      <w:r w:rsidRPr="00080443">
        <w:rPr>
          <w:rFonts w:cs="Arial"/>
        </w:rPr>
        <w:t>. The core conditions specify the geographic area and frequency range of the licence, as well as the maximum permitted emission levels at the frequency and geographic boundaries of the licence. The core conditions of a spectrum licence include:</w:t>
      </w:r>
    </w:p>
    <w:p w14:paraId="12929F11" w14:textId="77777777" w:rsidR="008A60B8" w:rsidRPr="00080443" w:rsidRDefault="008A60B8" w:rsidP="00AE769D">
      <w:pPr>
        <w:pStyle w:val="ListBullet"/>
        <w:rPr>
          <w:rFonts w:cs="Arial"/>
        </w:rPr>
      </w:pPr>
      <w:r w:rsidRPr="00080443">
        <w:rPr>
          <w:rFonts w:cs="Arial"/>
        </w:rPr>
        <w:t>the area of operation</w:t>
      </w:r>
    </w:p>
    <w:p w14:paraId="1DED0C3F" w14:textId="77777777" w:rsidR="008A60B8" w:rsidRPr="00080443" w:rsidRDefault="008A60B8" w:rsidP="00AE769D">
      <w:pPr>
        <w:pStyle w:val="ListBullet"/>
        <w:rPr>
          <w:rFonts w:cs="Arial"/>
        </w:rPr>
      </w:pPr>
      <w:r w:rsidRPr="00080443">
        <w:rPr>
          <w:rFonts w:cs="Arial"/>
        </w:rPr>
        <w:t>the frequency bandwidth of operation</w:t>
      </w:r>
    </w:p>
    <w:p w14:paraId="29FB81CA" w14:textId="77777777" w:rsidR="008A60B8" w:rsidRPr="00080443" w:rsidRDefault="008A60B8" w:rsidP="00AE769D">
      <w:pPr>
        <w:pStyle w:val="ListBullet"/>
        <w:rPr>
          <w:rFonts w:cs="Arial"/>
        </w:rPr>
      </w:pPr>
      <w:r w:rsidRPr="00080443">
        <w:rPr>
          <w:rFonts w:cs="Arial"/>
        </w:rPr>
        <w:t xml:space="preserve">the permissible </w:t>
      </w:r>
      <w:r w:rsidR="006D73E9" w:rsidRPr="00080443">
        <w:rPr>
          <w:rFonts w:cs="Arial"/>
        </w:rPr>
        <w:t>outside</w:t>
      </w:r>
      <w:r w:rsidR="00890986" w:rsidRPr="00080443">
        <w:rPr>
          <w:rFonts w:cs="Arial"/>
        </w:rPr>
        <w:t>-</w:t>
      </w:r>
      <w:r w:rsidR="006D73E9" w:rsidRPr="00080443">
        <w:rPr>
          <w:rFonts w:cs="Arial"/>
        </w:rPr>
        <w:t>the</w:t>
      </w:r>
      <w:r w:rsidR="00890986" w:rsidRPr="00080443">
        <w:rPr>
          <w:rFonts w:cs="Arial"/>
        </w:rPr>
        <w:t>-</w:t>
      </w:r>
      <w:r w:rsidR="006D73E9" w:rsidRPr="00080443">
        <w:rPr>
          <w:rFonts w:cs="Arial"/>
        </w:rPr>
        <w:t xml:space="preserve">area </w:t>
      </w:r>
      <w:r w:rsidRPr="00080443">
        <w:rPr>
          <w:rFonts w:cs="Arial"/>
        </w:rPr>
        <w:t>emission limits</w:t>
      </w:r>
    </w:p>
    <w:p w14:paraId="30AEDF00" w14:textId="77777777" w:rsidR="008A60B8" w:rsidRPr="00080443" w:rsidRDefault="008A60B8" w:rsidP="00AE769D">
      <w:pPr>
        <w:pStyle w:val="ListBullet"/>
        <w:spacing w:after="240"/>
        <w:rPr>
          <w:rFonts w:cs="Arial"/>
        </w:rPr>
      </w:pPr>
      <w:r w:rsidRPr="00080443">
        <w:rPr>
          <w:rFonts w:cs="Arial"/>
        </w:rPr>
        <w:t xml:space="preserve">the permissible </w:t>
      </w:r>
      <w:r w:rsidR="006D73E9" w:rsidRPr="00080443">
        <w:rPr>
          <w:rFonts w:cs="Arial"/>
        </w:rPr>
        <w:t>outside</w:t>
      </w:r>
      <w:r w:rsidR="00890986" w:rsidRPr="00080443">
        <w:rPr>
          <w:rFonts w:cs="Arial"/>
        </w:rPr>
        <w:t>-</w:t>
      </w:r>
      <w:r w:rsidR="006D73E9" w:rsidRPr="00080443">
        <w:rPr>
          <w:rFonts w:cs="Arial"/>
        </w:rPr>
        <w:t>the</w:t>
      </w:r>
      <w:r w:rsidR="00890986" w:rsidRPr="00080443">
        <w:rPr>
          <w:rFonts w:cs="Arial"/>
        </w:rPr>
        <w:t>-</w:t>
      </w:r>
      <w:r w:rsidR="006D73E9" w:rsidRPr="00080443">
        <w:rPr>
          <w:rFonts w:cs="Arial"/>
        </w:rPr>
        <w:t xml:space="preserve">band </w:t>
      </w:r>
      <w:r w:rsidRPr="00080443">
        <w:rPr>
          <w:rFonts w:cs="Arial"/>
        </w:rPr>
        <w:t>emission limits.</w:t>
      </w:r>
    </w:p>
    <w:p w14:paraId="3FADDAD1" w14:textId="77777777" w:rsidR="008A60B8" w:rsidRPr="00080443" w:rsidRDefault="008A60B8" w:rsidP="00AE769D">
      <w:pPr>
        <w:rPr>
          <w:rFonts w:cs="Arial"/>
        </w:rPr>
      </w:pPr>
      <w:r w:rsidRPr="00080443">
        <w:rPr>
          <w:rFonts w:cs="Arial"/>
        </w:rPr>
        <w:t xml:space="preserve">Further information and explanation on each of these core conditions is available in </w:t>
      </w:r>
      <w:hyperlink r:id="rId48" w:history="1">
        <w:r w:rsidRPr="00080443">
          <w:rPr>
            <w:rStyle w:val="Hyperlink"/>
            <w:rFonts w:cs="Arial"/>
            <w:i/>
          </w:rPr>
          <w:t xml:space="preserve">Know </w:t>
        </w:r>
        <w:r w:rsidR="0076476B" w:rsidRPr="00080443">
          <w:rPr>
            <w:rStyle w:val="Hyperlink"/>
            <w:rFonts w:cs="Arial"/>
            <w:i/>
          </w:rPr>
          <w:t>y</w:t>
        </w:r>
        <w:r w:rsidRPr="00080443">
          <w:rPr>
            <w:rStyle w:val="Hyperlink"/>
            <w:rFonts w:cs="Arial"/>
            <w:i/>
          </w:rPr>
          <w:t xml:space="preserve">our </w:t>
        </w:r>
        <w:r w:rsidR="0076476B" w:rsidRPr="00080443">
          <w:rPr>
            <w:rStyle w:val="Hyperlink"/>
            <w:rFonts w:cs="Arial"/>
            <w:i/>
          </w:rPr>
          <w:t>o</w:t>
        </w:r>
        <w:r w:rsidRPr="00080443">
          <w:rPr>
            <w:rStyle w:val="Hyperlink"/>
            <w:rFonts w:cs="Arial"/>
            <w:i/>
          </w:rPr>
          <w:t>bligations</w:t>
        </w:r>
      </w:hyperlink>
      <w:r w:rsidRPr="00080443">
        <w:rPr>
          <w:rFonts w:cs="Arial"/>
        </w:rPr>
        <w:t>. The following information refers specifically to how each of the core conditions is applied in the context of the 700 MHz and 2.5 GHz bands.</w:t>
      </w:r>
    </w:p>
    <w:p w14:paraId="0BB05946" w14:textId="77777777" w:rsidR="00AE769D" w:rsidRPr="00080443" w:rsidRDefault="00AE769D" w:rsidP="00AE769D">
      <w:pPr>
        <w:rPr>
          <w:rFonts w:cs="Arial"/>
        </w:rPr>
      </w:pPr>
    </w:p>
    <w:p w14:paraId="075D81A3" w14:textId="77777777" w:rsidR="008A60B8" w:rsidRPr="00080443" w:rsidRDefault="008A60B8" w:rsidP="005B6C76">
      <w:pPr>
        <w:pStyle w:val="Heading3"/>
        <w:numPr>
          <w:ilvl w:val="2"/>
          <w:numId w:val="12"/>
        </w:numPr>
      </w:pPr>
      <w:bookmarkStart w:id="168" w:name="_Toc335246301"/>
      <w:bookmarkStart w:id="169" w:name="_Toc343780509"/>
      <w:r w:rsidRPr="00080443">
        <w:t>Area of operation</w:t>
      </w:r>
      <w:bookmarkEnd w:id="168"/>
      <w:bookmarkEnd w:id="169"/>
    </w:p>
    <w:p w14:paraId="29430E54" w14:textId="77777777" w:rsidR="008A60B8" w:rsidRPr="00080443" w:rsidRDefault="008A60B8" w:rsidP="00AE769D">
      <w:pPr>
        <w:rPr>
          <w:rFonts w:cs="Arial"/>
        </w:rPr>
      </w:pPr>
      <w:r w:rsidRPr="00080443">
        <w:rPr>
          <w:rFonts w:cs="Arial"/>
        </w:rPr>
        <w:t xml:space="preserve">The geographic areas subject to allocation via the issue of a spectrum licence in the 700 MHz and 2.5 GHz bands are described in Schedule 3 of the respective marketing plans.  </w:t>
      </w:r>
    </w:p>
    <w:p w14:paraId="0C896444" w14:textId="77777777" w:rsidR="00AE769D" w:rsidRPr="00080443" w:rsidRDefault="00AE769D" w:rsidP="00AE769D">
      <w:pPr>
        <w:rPr>
          <w:rFonts w:cs="Arial"/>
        </w:rPr>
      </w:pPr>
    </w:p>
    <w:p w14:paraId="0DD83D94" w14:textId="77777777" w:rsidR="008A60B8" w:rsidRPr="00080443" w:rsidRDefault="008A60B8" w:rsidP="00AE769D">
      <w:pPr>
        <w:rPr>
          <w:rFonts w:cs="Arial"/>
          <w:color w:val="000000" w:themeColor="text1"/>
        </w:rPr>
      </w:pPr>
      <w:r w:rsidRPr="00080443">
        <w:rPr>
          <w:rFonts w:cs="Arial"/>
          <w:color w:val="000000" w:themeColor="text1"/>
        </w:rPr>
        <w:t xml:space="preserve">The geographic area or aggregate of areas within which the operation of radiocommunications devices is authorised by the spectrum licence is described in Part 3 of Licence Schedule 1 in the form of HCIS identifiers. Links to Google Earth and Google Map placemarks for the geographic areas to which the lots of each product in the 700 MHz and 2.5 GHz bands relate, are available </w:t>
      </w:r>
      <w:r w:rsidR="003B65DD" w:rsidRPr="00080443">
        <w:rPr>
          <w:rFonts w:cs="Arial"/>
          <w:color w:val="000000" w:themeColor="text1"/>
        </w:rPr>
        <w:t>at</w:t>
      </w:r>
      <w:r w:rsidRPr="00080443">
        <w:rPr>
          <w:rFonts w:cs="Arial"/>
          <w:color w:val="000000" w:themeColor="text1"/>
        </w:rPr>
        <w:t xml:space="preserve"> 2.2.</w:t>
      </w:r>
    </w:p>
    <w:p w14:paraId="3BBF0512" w14:textId="77777777" w:rsidR="00AE769D" w:rsidRPr="00080443" w:rsidRDefault="00AE769D" w:rsidP="00AE769D">
      <w:pPr>
        <w:rPr>
          <w:rFonts w:cs="Arial"/>
          <w:color w:val="000000" w:themeColor="text1"/>
        </w:rPr>
      </w:pPr>
    </w:p>
    <w:p w14:paraId="2A32671F" w14:textId="77777777" w:rsidR="008A60B8" w:rsidRPr="00080443" w:rsidRDefault="008A60B8" w:rsidP="005B6C76">
      <w:pPr>
        <w:pStyle w:val="Heading3"/>
        <w:numPr>
          <w:ilvl w:val="2"/>
          <w:numId w:val="12"/>
        </w:numPr>
      </w:pPr>
      <w:bookmarkStart w:id="170" w:name="_Toc335246302"/>
      <w:bookmarkStart w:id="171" w:name="_Toc343780510"/>
      <w:r w:rsidRPr="00080443">
        <w:t>Frequency band of operation</w:t>
      </w:r>
      <w:bookmarkEnd w:id="170"/>
      <w:bookmarkEnd w:id="171"/>
    </w:p>
    <w:p w14:paraId="6AAAD318" w14:textId="77777777" w:rsidR="008A60B8" w:rsidRPr="00080443" w:rsidRDefault="008A60B8" w:rsidP="00AE769D">
      <w:pPr>
        <w:rPr>
          <w:rFonts w:cs="Arial"/>
        </w:rPr>
      </w:pPr>
      <w:r w:rsidRPr="00080443">
        <w:rPr>
          <w:rFonts w:cs="Arial"/>
        </w:rPr>
        <w:t xml:space="preserve">Spectrum in both the 700 MHz and 2.5 GHz bands is being offered in the auction on a paired basis to support FDD operation. The frequency band segments available for operation of devices in the 700 MHz and 2.5 GHz bands are described in Schedule 1 of the respective marketing plans. </w:t>
      </w:r>
    </w:p>
    <w:p w14:paraId="367140D2" w14:textId="77777777" w:rsidR="00AE769D" w:rsidRPr="00080443" w:rsidRDefault="00AE769D" w:rsidP="00AE769D">
      <w:pPr>
        <w:rPr>
          <w:rFonts w:cs="Arial"/>
        </w:rPr>
      </w:pPr>
    </w:p>
    <w:p w14:paraId="31D090DB" w14:textId="77777777" w:rsidR="008A60B8" w:rsidRPr="00080443" w:rsidRDefault="008A60B8" w:rsidP="00AE769D">
      <w:pPr>
        <w:rPr>
          <w:rFonts w:cs="Arial"/>
        </w:rPr>
      </w:pPr>
      <w:r w:rsidRPr="00080443">
        <w:rPr>
          <w:rFonts w:cs="Arial"/>
        </w:rPr>
        <w:t xml:space="preserve">The paired frequency bands within the 700 MHz band and the 2.5 GHz band can be found in Part 2 of Licence Schedule 1 in the sample licence available in Schedule 6 of the respective marketing plans. </w:t>
      </w:r>
    </w:p>
    <w:p w14:paraId="2951EFDC" w14:textId="77777777" w:rsidR="009D4747" w:rsidRPr="00080443" w:rsidRDefault="009D4747" w:rsidP="00AE769D">
      <w:pPr>
        <w:rPr>
          <w:rFonts w:cs="Arial"/>
        </w:rPr>
      </w:pPr>
    </w:p>
    <w:p w14:paraId="476B9DA5" w14:textId="77777777" w:rsidR="008A60B8" w:rsidRPr="00080443" w:rsidRDefault="006D73E9" w:rsidP="005B6C76">
      <w:pPr>
        <w:pStyle w:val="Heading3"/>
        <w:numPr>
          <w:ilvl w:val="2"/>
          <w:numId w:val="12"/>
        </w:numPr>
      </w:pPr>
      <w:bookmarkStart w:id="172" w:name="_Toc335246303"/>
      <w:bookmarkStart w:id="173" w:name="_Toc343780511"/>
      <w:r w:rsidRPr="00080443">
        <w:t>Outside</w:t>
      </w:r>
      <w:r w:rsidR="00987BBC" w:rsidRPr="00080443">
        <w:t>-</w:t>
      </w:r>
      <w:r w:rsidRPr="00080443">
        <w:t>the</w:t>
      </w:r>
      <w:r w:rsidR="00890986" w:rsidRPr="00080443">
        <w:t>-</w:t>
      </w:r>
      <w:r w:rsidRPr="00080443">
        <w:t xml:space="preserve">area </w:t>
      </w:r>
      <w:r w:rsidR="008A60B8" w:rsidRPr="00080443">
        <w:t>emission limits</w:t>
      </w:r>
      <w:bookmarkEnd w:id="172"/>
      <w:bookmarkEnd w:id="173"/>
    </w:p>
    <w:p w14:paraId="068B8ACD" w14:textId="77777777" w:rsidR="008A60B8" w:rsidRPr="00080443" w:rsidRDefault="008A60B8" w:rsidP="009D4747">
      <w:pPr>
        <w:rPr>
          <w:rFonts w:cs="Arial"/>
        </w:rPr>
      </w:pPr>
      <w:r w:rsidRPr="00080443">
        <w:rPr>
          <w:rFonts w:cs="Arial"/>
        </w:rPr>
        <w:t xml:space="preserve">This limit is listed in Schedule 4 of the respective marketing plans, and is set out in Licence Schedule 2 in the sample licence provided in Schedule 6 of the respective marketing plans. </w:t>
      </w:r>
    </w:p>
    <w:p w14:paraId="3258955E" w14:textId="77777777" w:rsidR="009D4747" w:rsidRPr="00080443" w:rsidRDefault="009D4747" w:rsidP="009D4747">
      <w:pPr>
        <w:rPr>
          <w:rFonts w:cs="Arial"/>
        </w:rPr>
      </w:pPr>
    </w:p>
    <w:p w14:paraId="0B670826" w14:textId="77777777" w:rsidR="008A60B8" w:rsidRPr="00080443" w:rsidRDefault="003B65DD" w:rsidP="009D4747">
      <w:pPr>
        <w:rPr>
          <w:rFonts w:cs="Arial"/>
        </w:rPr>
      </w:pPr>
      <w:r w:rsidRPr="00080443">
        <w:rPr>
          <w:rFonts w:cs="Arial"/>
        </w:rPr>
        <w:lastRenderedPageBreak/>
        <w:t>T</w:t>
      </w:r>
      <w:r w:rsidR="008A60B8" w:rsidRPr="00080443">
        <w:rPr>
          <w:rFonts w:cs="Arial"/>
        </w:rPr>
        <w:t xml:space="preserve">he definition of the core condition </w:t>
      </w:r>
      <w:r w:rsidR="006D73E9" w:rsidRPr="00080443">
        <w:rPr>
          <w:rFonts w:cs="Arial"/>
        </w:rPr>
        <w:t xml:space="preserve">outside the area </w:t>
      </w:r>
      <w:r w:rsidR="008A60B8" w:rsidRPr="00080443">
        <w:rPr>
          <w:rFonts w:cs="Arial"/>
        </w:rPr>
        <w:t>limit for terrestrial transmitters effectively places a cap on the horizontally radiated power of transmitters anywhere in the area of the licence.</w:t>
      </w:r>
      <w:r w:rsidR="008A60B8" w:rsidRPr="00080443">
        <w:rPr>
          <w:rStyle w:val="FootnoteReference"/>
          <w:rFonts w:cs="Arial"/>
          <w:sz w:val="22"/>
          <w:szCs w:val="22"/>
        </w:rPr>
        <w:footnoteReference w:id="38"/>
      </w:r>
    </w:p>
    <w:p w14:paraId="0AB05AD9" w14:textId="77777777" w:rsidR="009D4747" w:rsidRPr="00080443" w:rsidRDefault="009D4747" w:rsidP="009D4747">
      <w:pPr>
        <w:rPr>
          <w:rFonts w:cs="Arial"/>
        </w:rPr>
      </w:pPr>
    </w:p>
    <w:p w14:paraId="2A99DD6C" w14:textId="77777777" w:rsidR="008A60B8" w:rsidRPr="00080443" w:rsidRDefault="008A60B8" w:rsidP="009D4747">
      <w:pPr>
        <w:rPr>
          <w:rFonts w:cs="Arial"/>
        </w:rPr>
      </w:pPr>
      <w:r w:rsidRPr="00080443">
        <w:rPr>
          <w:rFonts w:cs="Arial"/>
        </w:rPr>
        <w:t xml:space="preserve">An additional layer of </w:t>
      </w:r>
      <w:r w:rsidR="006D73E9" w:rsidRPr="00080443">
        <w:rPr>
          <w:rFonts w:cs="Arial"/>
        </w:rPr>
        <w:t>outside</w:t>
      </w:r>
      <w:r w:rsidR="00987BBC" w:rsidRPr="00080443">
        <w:rPr>
          <w:rFonts w:cs="Arial"/>
        </w:rPr>
        <w:t>-</w:t>
      </w:r>
      <w:r w:rsidR="006D73E9" w:rsidRPr="00080443">
        <w:rPr>
          <w:rFonts w:cs="Arial"/>
        </w:rPr>
        <w:t>the</w:t>
      </w:r>
      <w:r w:rsidR="00987BBC" w:rsidRPr="00080443">
        <w:rPr>
          <w:rFonts w:cs="Arial"/>
        </w:rPr>
        <w:t>-</w:t>
      </w:r>
      <w:r w:rsidR="006D73E9" w:rsidRPr="00080443">
        <w:rPr>
          <w:rFonts w:cs="Arial"/>
        </w:rPr>
        <w:t xml:space="preserve">area </w:t>
      </w:r>
      <w:r w:rsidRPr="00080443">
        <w:rPr>
          <w:rFonts w:cs="Arial"/>
        </w:rPr>
        <w:t>emission management is imposed at the point of registration of devices by the</w:t>
      </w:r>
      <w:r w:rsidR="00DD7B80" w:rsidRPr="00080443">
        <w:rPr>
          <w:rFonts w:cs="Arial"/>
        </w:rPr>
        <w:t xml:space="preserve"> respective</w:t>
      </w:r>
      <w:r w:rsidRPr="00080443">
        <w:rPr>
          <w:rFonts w:cs="Arial"/>
        </w:rPr>
        <w:t xml:space="preserve"> subsection 145(4) determination. This point is discussed in detail </w:t>
      </w:r>
      <w:r w:rsidR="003B65DD" w:rsidRPr="00080443">
        <w:rPr>
          <w:rFonts w:cs="Arial"/>
        </w:rPr>
        <w:t>at</w:t>
      </w:r>
      <w:r w:rsidRPr="00080443">
        <w:rPr>
          <w:rFonts w:cs="Arial"/>
        </w:rPr>
        <w:t xml:space="preserve"> 5.4. </w:t>
      </w:r>
    </w:p>
    <w:p w14:paraId="6BD0409D" w14:textId="77777777" w:rsidR="009D4747" w:rsidRPr="00080443" w:rsidRDefault="009D4747" w:rsidP="009D4747">
      <w:pPr>
        <w:rPr>
          <w:rFonts w:cs="Arial"/>
        </w:rPr>
      </w:pPr>
    </w:p>
    <w:p w14:paraId="2F4BB2B5" w14:textId="77777777" w:rsidR="008A60B8" w:rsidRPr="00080443" w:rsidRDefault="006D73E9" w:rsidP="005B6C76">
      <w:pPr>
        <w:pStyle w:val="Heading3"/>
        <w:numPr>
          <w:ilvl w:val="2"/>
          <w:numId w:val="12"/>
        </w:numPr>
      </w:pPr>
      <w:bookmarkStart w:id="174" w:name="_Toc335246304"/>
      <w:bookmarkStart w:id="175" w:name="_Toc343780512"/>
      <w:r w:rsidRPr="00080443">
        <w:t>Outside</w:t>
      </w:r>
      <w:r w:rsidR="00987BBC" w:rsidRPr="00080443">
        <w:t>-</w:t>
      </w:r>
      <w:r w:rsidRPr="00080443">
        <w:t>the</w:t>
      </w:r>
      <w:r w:rsidR="00987BBC" w:rsidRPr="00080443">
        <w:t>-</w:t>
      </w:r>
      <w:r w:rsidRPr="00080443">
        <w:t xml:space="preserve">band </w:t>
      </w:r>
      <w:r w:rsidR="008A60B8" w:rsidRPr="00080443">
        <w:t>emission limits</w:t>
      </w:r>
      <w:bookmarkEnd w:id="174"/>
      <w:bookmarkEnd w:id="175"/>
    </w:p>
    <w:p w14:paraId="0613A459" w14:textId="77777777" w:rsidR="008A60B8" w:rsidRPr="00080443" w:rsidRDefault="008A60B8" w:rsidP="009D4747">
      <w:pPr>
        <w:rPr>
          <w:rFonts w:cs="Arial"/>
        </w:rPr>
      </w:pPr>
      <w:r w:rsidRPr="00080443">
        <w:rPr>
          <w:rFonts w:cs="Arial"/>
        </w:rPr>
        <w:t>The out</w:t>
      </w:r>
      <w:r w:rsidR="00D82FE4" w:rsidRPr="00080443">
        <w:rPr>
          <w:rFonts w:cs="Arial"/>
        </w:rPr>
        <w:t>side</w:t>
      </w:r>
      <w:r w:rsidR="00987BBC" w:rsidRPr="00080443">
        <w:rPr>
          <w:rFonts w:cs="Arial"/>
        </w:rPr>
        <w:t>-</w:t>
      </w:r>
      <w:r w:rsidR="00D82FE4" w:rsidRPr="00080443">
        <w:rPr>
          <w:rFonts w:cs="Arial"/>
        </w:rPr>
        <w:t>the</w:t>
      </w:r>
      <w:r w:rsidR="00987BBC" w:rsidRPr="00080443">
        <w:rPr>
          <w:rFonts w:cs="Arial"/>
        </w:rPr>
        <w:t>-</w:t>
      </w:r>
      <w:r w:rsidR="00D82FE4" w:rsidRPr="00080443">
        <w:rPr>
          <w:rFonts w:cs="Arial"/>
        </w:rPr>
        <w:t xml:space="preserve">band </w:t>
      </w:r>
      <w:r w:rsidRPr="00080443">
        <w:rPr>
          <w:rFonts w:cs="Arial"/>
        </w:rPr>
        <w:t xml:space="preserve">emission limits, </w:t>
      </w:r>
      <w:r w:rsidR="00DD7B80" w:rsidRPr="00080443">
        <w:rPr>
          <w:rFonts w:cs="Arial"/>
        </w:rPr>
        <w:t xml:space="preserve">sometimes </w:t>
      </w:r>
      <w:r w:rsidRPr="00080443">
        <w:rPr>
          <w:rFonts w:cs="Arial"/>
        </w:rPr>
        <w:t>referred to as emission masks, for the 700</w:t>
      </w:r>
      <w:r w:rsidR="00890986" w:rsidRPr="00080443">
        <w:rPr>
          <w:rFonts w:cs="Arial"/>
        </w:rPr>
        <w:t> </w:t>
      </w:r>
      <w:r w:rsidRPr="00080443">
        <w:rPr>
          <w:rFonts w:cs="Arial"/>
        </w:rPr>
        <w:t xml:space="preserve">MHz and 2.5 GHz bands are listed in Schedule 5 of the respective marketing plans. </w:t>
      </w:r>
    </w:p>
    <w:p w14:paraId="3A948E99" w14:textId="77777777" w:rsidR="009D4747" w:rsidRPr="00080443" w:rsidRDefault="009D4747" w:rsidP="009D4747">
      <w:pPr>
        <w:rPr>
          <w:rFonts w:cs="Arial"/>
        </w:rPr>
      </w:pPr>
    </w:p>
    <w:p w14:paraId="702F5A1F" w14:textId="77777777" w:rsidR="008A60B8" w:rsidRPr="00080443" w:rsidRDefault="006D73E9" w:rsidP="009D4747">
      <w:pPr>
        <w:rPr>
          <w:rFonts w:cs="Arial"/>
          <w:color w:val="000000" w:themeColor="text1"/>
        </w:rPr>
      </w:pPr>
      <w:r w:rsidRPr="00080443">
        <w:rPr>
          <w:rFonts w:cs="Arial"/>
          <w:color w:val="000000" w:themeColor="text1"/>
        </w:rPr>
        <w:t>Outside</w:t>
      </w:r>
      <w:r w:rsidR="00987BBC" w:rsidRPr="00080443">
        <w:rPr>
          <w:rFonts w:cs="Arial"/>
          <w:color w:val="000000" w:themeColor="text1"/>
        </w:rPr>
        <w:t>-</w:t>
      </w:r>
      <w:r w:rsidRPr="00080443">
        <w:rPr>
          <w:rFonts w:cs="Arial"/>
          <w:color w:val="000000" w:themeColor="text1"/>
        </w:rPr>
        <w:t>the</w:t>
      </w:r>
      <w:r w:rsidR="00987BBC" w:rsidRPr="00080443">
        <w:rPr>
          <w:rFonts w:cs="Arial"/>
          <w:color w:val="000000" w:themeColor="text1"/>
        </w:rPr>
        <w:t>-</w:t>
      </w:r>
      <w:r w:rsidRPr="00080443">
        <w:rPr>
          <w:rFonts w:cs="Arial"/>
          <w:color w:val="000000" w:themeColor="text1"/>
        </w:rPr>
        <w:t xml:space="preserve">band </w:t>
      </w:r>
      <w:r w:rsidR="008A60B8" w:rsidRPr="00080443">
        <w:rPr>
          <w:rFonts w:cs="Arial"/>
          <w:color w:val="000000" w:themeColor="text1"/>
        </w:rPr>
        <w:t xml:space="preserve">emission limits have been expressed in the form of absolute levels, rather than levels relative to the transmitter output power, to allow licensees to operate transmitters with an optimised balance between transmit power and </w:t>
      </w:r>
      <w:r w:rsidRPr="00080443">
        <w:rPr>
          <w:rFonts w:cs="Arial"/>
          <w:color w:val="000000" w:themeColor="text1"/>
        </w:rPr>
        <w:t>outside</w:t>
      </w:r>
      <w:r w:rsidR="00987BBC" w:rsidRPr="00080443">
        <w:rPr>
          <w:rFonts w:cs="Arial"/>
          <w:color w:val="000000" w:themeColor="text1"/>
        </w:rPr>
        <w:t>-</w:t>
      </w:r>
      <w:r w:rsidRPr="00080443">
        <w:rPr>
          <w:rFonts w:cs="Arial"/>
          <w:color w:val="000000" w:themeColor="text1"/>
        </w:rPr>
        <w:t>the</w:t>
      </w:r>
      <w:r w:rsidR="00987BBC" w:rsidRPr="00080443">
        <w:rPr>
          <w:rFonts w:cs="Arial"/>
          <w:color w:val="000000" w:themeColor="text1"/>
        </w:rPr>
        <w:t>-</w:t>
      </w:r>
      <w:r w:rsidRPr="00080443">
        <w:rPr>
          <w:rFonts w:cs="Arial"/>
          <w:color w:val="000000" w:themeColor="text1"/>
        </w:rPr>
        <w:t xml:space="preserve">band </w:t>
      </w:r>
      <w:r w:rsidR="008A60B8" w:rsidRPr="00080443">
        <w:rPr>
          <w:rFonts w:cs="Arial"/>
          <w:color w:val="000000" w:themeColor="text1"/>
        </w:rPr>
        <w:t>emission suppression. The emission limits specific to licences for the 700 MHz and 2.</w:t>
      </w:r>
      <w:r w:rsidR="003B65DD" w:rsidRPr="00080443">
        <w:rPr>
          <w:rFonts w:cs="Arial"/>
          <w:color w:val="000000" w:themeColor="text1"/>
        </w:rPr>
        <w:t>5 </w:t>
      </w:r>
      <w:r w:rsidR="008A60B8" w:rsidRPr="00080443">
        <w:rPr>
          <w:rFonts w:cs="Arial"/>
          <w:color w:val="000000" w:themeColor="text1"/>
        </w:rPr>
        <w:t>GHz bands are set out in Licence Schedule 2 in the sample licence provided at Schedule 6 of the respective marketing plans. These levels may be varied through negotiated agreement with affected adjacent licensees (see 5.4.5).</w:t>
      </w:r>
    </w:p>
    <w:p w14:paraId="63A14F98" w14:textId="77777777" w:rsidR="009D4747" w:rsidRPr="00080443" w:rsidRDefault="009D4747" w:rsidP="009D4747">
      <w:pPr>
        <w:rPr>
          <w:rFonts w:cs="Arial"/>
          <w:color w:val="000000" w:themeColor="text1"/>
        </w:rPr>
      </w:pPr>
    </w:p>
    <w:p w14:paraId="3E776FA2" w14:textId="77777777" w:rsidR="008A60B8" w:rsidRPr="00080443" w:rsidRDefault="008A60B8" w:rsidP="005B6C76">
      <w:pPr>
        <w:pStyle w:val="Heading2"/>
        <w:numPr>
          <w:ilvl w:val="1"/>
          <w:numId w:val="12"/>
        </w:numPr>
      </w:pPr>
      <w:bookmarkStart w:id="176" w:name="_Toc219183243"/>
      <w:bookmarkStart w:id="177" w:name="_Toc335246305"/>
      <w:bookmarkStart w:id="178" w:name="_Toc343780513"/>
      <w:r w:rsidRPr="00080443">
        <w:t xml:space="preserve">The unacceptable levels of interference determination </w:t>
      </w:r>
      <w:bookmarkEnd w:id="176"/>
      <w:r w:rsidRPr="00080443">
        <w:t>(subsection 145(4))</w:t>
      </w:r>
      <w:bookmarkEnd w:id="177"/>
      <w:bookmarkEnd w:id="178"/>
    </w:p>
    <w:p w14:paraId="07026588" w14:textId="77777777" w:rsidR="008A60B8" w:rsidRPr="00080443" w:rsidRDefault="008A60B8" w:rsidP="00A43390">
      <w:pPr>
        <w:rPr>
          <w:rFonts w:cs="Arial"/>
        </w:rPr>
      </w:pPr>
      <w:r w:rsidRPr="00080443">
        <w:rPr>
          <w:rFonts w:cs="Arial"/>
        </w:rPr>
        <w:t>Before a transmitter can be operated under a spectrum licence, its details must be recorded in the Register</w:t>
      </w:r>
      <w:r w:rsidR="00450EE0" w:rsidRPr="00080443">
        <w:rPr>
          <w:rFonts w:cs="Arial"/>
        </w:rPr>
        <w:t xml:space="preserve"> (known as the Register</w:t>
      </w:r>
      <w:r w:rsidRPr="00080443">
        <w:rPr>
          <w:rFonts w:cs="Arial"/>
        </w:rPr>
        <w:t xml:space="preserve"> of Radiocommunications Licences</w:t>
      </w:r>
      <w:r w:rsidR="00450EE0" w:rsidRPr="00080443">
        <w:rPr>
          <w:rFonts w:cs="Arial"/>
        </w:rPr>
        <w:t>, or</w:t>
      </w:r>
      <w:r w:rsidRPr="00080443">
        <w:rPr>
          <w:rFonts w:cs="Arial"/>
        </w:rPr>
        <w:t xml:space="preserve"> </w:t>
      </w:r>
      <w:r w:rsidR="003B65DD" w:rsidRPr="00080443">
        <w:rPr>
          <w:rFonts w:cs="Arial"/>
        </w:rPr>
        <w:t>RRL</w:t>
      </w:r>
      <w:r w:rsidRPr="00080443">
        <w:rPr>
          <w:rFonts w:cs="Arial"/>
        </w:rPr>
        <w:t xml:space="preserve">), unless it is exempted from registration. Section 145 of the Act </w:t>
      </w:r>
      <w:r w:rsidR="003B65DD" w:rsidRPr="00080443">
        <w:rPr>
          <w:rFonts w:cs="Arial"/>
        </w:rPr>
        <w:t xml:space="preserve">gives </w:t>
      </w:r>
      <w:r w:rsidRPr="00080443">
        <w:rPr>
          <w:rFonts w:cs="Arial"/>
        </w:rPr>
        <w:t xml:space="preserve">the ACMA the power to refuse to register a device that </w:t>
      </w:r>
      <w:r w:rsidR="00DD7B80" w:rsidRPr="00080443">
        <w:rPr>
          <w:rFonts w:cs="Arial"/>
        </w:rPr>
        <w:t xml:space="preserve">could cause an unacceptable level of interference to the operation of other radiocommunications devices </w:t>
      </w:r>
      <w:r w:rsidRPr="00080443">
        <w:rPr>
          <w:rFonts w:cs="Arial"/>
        </w:rPr>
        <w:t>when operated. The ACMA has determined under subsection 145(4) of the Act what constitutes unacceptable interference in the 700 MHz and 2.5 GHz bands.</w:t>
      </w:r>
    </w:p>
    <w:p w14:paraId="01FDD76B" w14:textId="77777777" w:rsidR="00A43390" w:rsidRPr="00080443" w:rsidRDefault="00A43390" w:rsidP="00A43390">
      <w:pPr>
        <w:rPr>
          <w:rFonts w:cs="Arial"/>
        </w:rPr>
      </w:pPr>
    </w:p>
    <w:p w14:paraId="023DE284" w14:textId="77777777" w:rsidR="004309DB" w:rsidRPr="00080443" w:rsidRDefault="008A60B8">
      <w:pPr>
        <w:spacing w:after="80"/>
        <w:rPr>
          <w:rFonts w:cs="Arial"/>
        </w:rPr>
      </w:pPr>
      <w:r w:rsidRPr="00080443">
        <w:rPr>
          <w:rFonts w:cs="Arial"/>
        </w:rPr>
        <w:t xml:space="preserve">The subsection 145(4) determination that </w:t>
      </w:r>
      <w:r w:rsidR="00DD7B80" w:rsidRPr="00080443">
        <w:rPr>
          <w:rFonts w:cs="Arial"/>
        </w:rPr>
        <w:t xml:space="preserve">defines what will be taken to be </w:t>
      </w:r>
      <w:r w:rsidRPr="00080443">
        <w:rPr>
          <w:rFonts w:cs="Arial"/>
        </w:rPr>
        <w:t>unacceptable levels of interference for spectrum licences in the 700 MHz band is</w:t>
      </w:r>
      <w:r w:rsidR="003B65DD" w:rsidRPr="00080443">
        <w:rPr>
          <w:rFonts w:cs="Arial"/>
        </w:rPr>
        <w:t xml:space="preserve"> </w:t>
      </w:r>
      <w:r w:rsidRPr="00080443">
        <w:rPr>
          <w:rFonts w:cs="Arial"/>
        </w:rPr>
        <w:t xml:space="preserve">the Radiocommunications (Unacceptable </w:t>
      </w:r>
      <w:r w:rsidR="00986E02" w:rsidRPr="00080443">
        <w:rPr>
          <w:rFonts w:cs="Arial"/>
        </w:rPr>
        <w:t>I</w:t>
      </w:r>
      <w:r w:rsidRPr="00080443">
        <w:rPr>
          <w:rFonts w:cs="Arial"/>
        </w:rPr>
        <w:t xml:space="preserve">nterference – 700 MHz </w:t>
      </w:r>
      <w:r w:rsidR="00986E02" w:rsidRPr="00080443">
        <w:rPr>
          <w:rFonts w:cs="Arial"/>
        </w:rPr>
        <w:t>B</w:t>
      </w:r>
      <w:r w:rsidRPr="00080443">
        <w:rPr>
          <w:rFonts w:cs="Arial"/>
        </w:rPr>
        <w:t>and) Determination 2012 (</w:t>
      </w:r>
      <w:r w:rsidR="00837369" w:rsidRPr="00080443">
        <w:rPr>
          <w:rFonts w:cs="Arial"/>
        </w:rPr>
        <w:t xml:space="preserve">Attachment </w:t>
      </w:r>
      <w:r w:rsidR="005D4EE4" w:rsidRPr="00080443">
        <w:rPr>
          <w:rFonts w:cs="Arial"/>
        </w:rPr>
        <w:t>C</w:t>
      </w:r>
      <w:r w:rsidRPr="00080443">
        <w:rPr>
          <w:rFonts w:cs="Arial"/>
        </w:rPr>
        <w:t xml:space="preserve">).   </w:t>
      </w:r>
    </w:p>
    <w:p w14:paraId="1B278FBD" w14:textId="77777777" w:rsidR="004309DB" w:rsidRPr="00080443" w:rsidRDefault="004309DB">
      <w:pPr>
        <w:rPr>
          <w:rFonts w:cs="Arial"/>
        </w:rPr>
      </w:pPr>
    </w:p>
    <w:p w14:paraId="57C20F75" w14:textId="77777777" w:rsidR="004309DB" w:rsidRPr="00080443" w:rsidRDefault="008A60B8">
      <w:pPr>
        <w:spacing w:after="80"/>
        <w:rPr>
          <w:rFonts w:cs="Arial"/>
        </w:rPr>
      </w:pPr>
      <w:r w:rsidRPr="00080443">
        <w:rPr>
          <w:rFonts w:cs="Arial"/>
        </w:rPr>
        <w:t>The subsection 145(4) determination that de</w:t>
      </w:r>
      <w:r w:rsidR="00F9266D" w:rsidRPr="00080443">
        <w:rPr>
          <w:rFonts w:cs="Arial"/>
        </w:rPr>
        <w:t xml:space="preserve">fines what will be taken to be </w:t>
      </w:r>
      <w:r w:rsidRPr="00080443">
        <w:rPr>
          <w:rFonts w:cs="Arial"/>
        </w:rPr>
        <w:t>the unacceptable levels of interference for spectrum licences in the 2.5 GHz band is</w:t>
      </w:r>
      <w:r w:rsidR="003B65DD" w:rsidRPr="00080443">
        <w:rPr>
          <w:rFonts w:cs="Arial"/>
        </w:rPr>
        <w:t xml:space="preserve"> </w:t>
      </w:r>
      <w:r w:rsidRPr="00080443">
        <w:rPr>
          <w:rFonts w:cs="Arial"/>
        </w:rPr>
        <w:t xml:space="preserve">the Radiocommunications (Unacceptable </w:t>
      </w:r>
      <w:r w:rsidR="00986E02" w:rsidRPr="00080443">
        <w:rPr>
          <w:rFonts w:cs="Arial"/>
        </w:rPr>
        <w:t>I</w:t>
      </w:r>
      <w:r w:rsidRPr="00080443">
        <w:rPr>
          <w:rFonts w:cs="Arial"/>
        </w:rPr>
        <w:t xml:space="preserve">nterference – 2.5 GHz </w:t>
      </w:r>
      <w:r w:rsidR="00986E02" w:rsidRPr="00080443">
        <w:rPr>
          <w:rFonts w:cs="Arial"/>
        </w:rPr>
        <w:t>B</w:t>
      </w:r>
      <w:r w:rsidRPr="00080443">
        <w:rPr>
          <w:rFonts w:cs="Arial"/>
        </w:rPr>
        <w:t>and) Determination 2012 (</w:t>
      </w:r>
      <w:r w:rsidR="00837369" w:rsidRPr="00080443">
        <w:rPr>
          <w:rFonts w:cs="Arial"/>
        </w:rPr>
        <w:t xml:space="preserve">Attachment </w:t>
      </w:r>
      <w:r w:rsidR="005D4EE4" w:rsidRPr="00080443">
        <w:rPr>
          <w:rFonts w:cs="Arial"/>
        </w:rPr>
        <w:t>G</w:t>
      </w:r>
      <w:r w:rsidRPr="00080443">
        <w:rPr>
          <w:rFonts w:cs="Arial"/>
        </w:rPr>
        <w:t>).</w:t>
      </w:r>
    </w:p>
    <w:p w14:paraId="4AD7F0D7" w14:textId="77777777" w:rsidR="004309DB" w:rsidRPr="00080443" w:rsidRDefault="004309DB">
      <w:pPr>
        <w:rPr>
          <w:rFonts w:cs="Arial"/>
        </w:rPr>
      </w:pPr>
    </w:p>
    <w:p w14:paraId="593F532D" w14:textId="77777777" w:rsidR="008A60B8" w:rsidRPr="00080443" w:rsidRDefault="008A60B8" w:rsidP="00A43390">
      <w:pPr>
        <w:spacing w:after="80"/>
        <w:rPr>
          <w:rFonts w:cs="Arial"/>
        </w:rPr>
      </w:pPr>
      <w:r w:rsidRPr="00080443">
        <w:rPr>
          <w:rFonts w:cs="Arial"/>
        </w:rPr>
        <w:t>The subsection 145(4) determinations set out the following basic requirements to manage unacceptable levels of interference for the 700 MHz and 2.5 GHz bands:</w:t>
      </w:r>
    </w:p>
    <w:p w14:paraId="6D66D4D7" w14:textId="77777777" w:rsidR="008A60B8" w:rsidRPr="00080443" w:rsidRDefault="008A60B8" w:rsidP="00A43390">
      <w:pPr>
        <w:pStyle w:val="ListBullet"/>
        <w:rPr>
          <w:rFonts w:cs="Arial"/>
        </w:rPr>
      </w:pPr>
      <w:r w:rsidRPr="00080443">
        <w:rPr>
          <w:rFonts w:cs="Arial"/>
        </w:rPr>
        <w:t>that the core conditions of the licence are met (see 5.3)</w:t>
      </w:r>
    </w:p>
    <w:p w14:paraId="1D0020BD" w14:textId="77777777" w:rsidR="008A60B8" w:rsidRPr="00080443" w:rsidRDefault="008A60B8" w:rsidP="00A43390">
      <w:pPr>
        <w:pStyle w:val="ListBullet"/>
        <w:rPr>
          <w:rFonts w:cs="Arial"/>
        </w:rPr>
      </w:pPr>
      <w:r w:rsidRPr="00080443">
        <w:rPr>
          <w:rFonts w:cs="Arial"/>
        </w:rPr>
        <w:t>that specified device boundary criteria are met (see 5.4.1)</w:t>
      </w:r>
    </w:p>
    <w:p w14:paraId="28F4A40A" w14:textId="77777777" w:rsidR="008A60B8" w:rsidRPr="00080443" w:rsidRDefault="008A60B8" w:rsidP="00A43390">
      <w:pPr>
        <w:pStyle w:val="ListBullet"/>
        <w:rPr>
          <w:rFonts w:cs="Arial"/>
        </w:rPr>
      </w:pPr>
      <w:r w:rsidRPr="00080443">
        <w:rPr>
          <w:rFonts w:cs="Arial"/>
        </w:rPr>
        <w:t>that deployment constraints applicable to the band are adhered to (see 5.4.2)</w:t>
      </w:r>
    </w:p>
    <w:p w14:paraId="4C45E202" w14:textId="77777777" w:rsidR="008A60B8" w:rsidRPr="00080443" w:rsidRDefault="008A60B8" w:rsidP="00A43390">
      <w:pPr>
        <w:pStyle w:val="ListBullet"/>
        <w:spacing w:after="240"/>
        <w:rPr>
          <w:rFonts w:cs="Arial"/>
        </w:rPr>
      </w:pPr>
      <w:r w:rsidRPr="00080443">
        <w:rPr>
          <w:rFonts w:cs="Arial"/>
        </w:rPr>
        <w:t>that full details of the transmitter are provided for inclusion in the R</w:t>
      </w:r>
      <w:r w:rsidR="003B65DD" w:rsidRPr="00080443">
        <w:rPr>
          <w:rFonts w:cs="Arial"/>
        </w:rPr>
        <w:t>RL</w:t>
      </w:r>
      <w:r w:rsidRPr="00080443">
        <w:rPr>
          <w:rFonts w:cs="Arial"/>
        </w:rPr>
        <w:t xml:space="preserve"> (see 5.4.3)</w:t>
      </w:r>
      <w:r w:rsidR="003B65DD" w:rsidRPr="00080443">
        <w:rPr>
          <w:rFonts w:cs="Arial"/>
        </w:rPr>
        <w:t>.</w:t>
      </w:r>
    </w:p>
    <w:p w14:paraId="2FFC406B" w14:textId="77777777" w:rsidR="008A60B8" w:rsidRPr="00080443" w:rsidRDefault="008A60B8" w:rsidP="00A43390">
      <w:pPr>
        <w:rPr>
          <w:rFonts w:cs="Arial"/>
        </w:rPr>
      </w:pPr>
      <w:r w:rsidRPr="00080443">
        <w:rPr>
          <w:rFonts w:cs="Arial"/>
        </w:rPr>
        <w:t xml:space="preserve">More information about device registration options and procedures is available on the </w:t>
      </w:r>
      <w:hyperlink r:id="rId49" w:history="1">
        <w:r w:rsidRPr="00080443">
          <w:rPr>
            <w:rStyle w:val="Hyperlink"/>
            <w:rFonts w:cs="Arial"/>
            <w:szCs w:val="20"/>
          </w:rPr>
          <w:t>ACMA website</w:t>
        </w:r>
      </w:hyperlink>
      <w:r w:rsidRPr="00080443">
        <w:rPr>
          <w:rFonts w:cs="Arial"/>
        </w:rPr>
        <w:t xml:space="preserve">. </w:t>
      </w:r>
    </w:p>
    <w:p w14:paraId="7B400C9A" w14:textId="77777777" w:rsidR="00A43390" w:rsidRPr="00080443" w:rsidRDefault="00A43390" w:rsidP="00A43390">
      <w:pPr>
        <w:rPr>
          <w:rFonts w:cs="Arial"/>
        </w:rPr>
      </w:pPr>
    </w:p>
    <w:p w14:paraId="633077F0" w14:textId="77777777" w:rsidR="008A60B8" w:rsidRPr="00080443" w:rsidRDefault="008A60B8" w:rsidP="005B6C76">
      <w:pPr>
        <w:pStyle w:val="Heading3"/>
        <w:numPr>
          <w:ilvl w:val="2"/>
          <w:numId w:val="12"/>
        </w:numPr>
      </w:pPr>
      <w:bookmarkStart w:id="179" w:name="_Toc335246306"/>
      <w:bookmarkStart w:id="180" w:name="_Toc343780514"/>
      <w:r w:rsidRPr="00080443">
        <w:lastRenderedPageBreak/>
        <w:t>Device boundary criteria</w:t>
      </w:r>
      <w:bookmarkEnd w:id="179"/>
      <w:bookmarkEnd w:id="180"/>
    </w:p>
    <w:p w14:paraId="5576261A" w14:textId="77777777" w:rsidR="005C305A" w:rsidRPr="00080443" w:rsidRDefault="008A60B8" w:rsidP="00A43390">
      <w:pPr>
        <w:rPr>
          <w:rFonts w:cs="Arial"/>
        </w:rPr>
      </w:pPr>
      <w:r w:rsidRPr="00080443">
        <w:rPr>
          <w:rFonts w:cs="Arial"/>
        </w:rPr>
        <w:t xml:space="preserve">Subsection 145(3) of the Act allows the ACMA to require </w:t>
      </w:r>
      <w:r w:rsidR="00450EE0" w:rsidRPr="00080443">
        <w:rPr>
          <w:rFonts w:cs="Arial"/>
        </w:rPr>
        <w:t xml:space="preserve">that a certificate </w:t>
      </w:r>
      <w:r w:rsidR="00F9266D" w:rsidRPr="00080443">
        <w:rPr>
          <w:rFonts w:cs="Arial"/>
        </w:rPr>
        <w:t>be</w:t>
      </w:r>
      <w:r w:rsidR="00450EE0" w:rsidRPr="00080443">
        <w:rPr>
          <w:rFonts w:cs="Arial"/>
        </w:rPr>
        <w:t xml:space="preserve"> presented to the ACMA, issued by a person accredited under section 263 of the Act, stating that operation of the device under the licence satisfies any conditions that are required to be satisfied in relation to the issue of such a certificate (under a determination made pursuant to section 266A of the Act). </w:t>
      </w:r>
    </w:p>
    <w:p w14:paraId="30A08D36" w14:textId="77777777" w:rsidR="005C305A" w:rsidRPr="00080443" w:rsidRDefault="005C305A" w:rsidP="00A43390">
      <w:pPr>
        <w:rPr>
          <w:rFonts w:cs="Arial"/>
        </w:rPr>
      </w:pPr>
    </w:p>
    <w:p w14:paraId="1A561B53" w14:textId="77777777" w:rsidR="005C305A" w:rsidRPr="00080443" w:rsidRDefault="005C305A" w:rsidP="00A43390">
      <w:pPr>
        <w:rPr>
          <w:rFonts w:cs="Arial"/>
        </w:rPr>
      </w:pPr>
      <w:r w:rsidRPr="00080443">
        <w:rPr>
          <w:rFonts w:cs="Arial"/>
        </w:rPr>
        <w:t xml:space="preserve">Before issuing a certificate in accordance with subsection 145(3) of the Act, an accredited person may be required to calculate the device boundary of the transmitter to ensure that an unacceptable level of interference does not occur. This ensures that the core conditions set out in section </w:t>
      </w:r>
      <w:r w:rsidR="00246850" w:rsidRPr="00080443">
        <w:rPr>
          <w:rFonts w:cs="Arial"/>
        </w:rPr>
        <w:t>3</w:t>
      </w:r>
      <w:r w:rsidRPr="00080443">
        <w:rPr>
          <w:rFonts w:cs="Arial"/>
        </w:rPr>
        <w:t>.5 of the respective marketing plan, and in the relevant spectrum licence, are maintained and that the level of interference is in accordance with the requirements of the relevant subsection 145(4) determination.</w:t>
      </w:r>
    </w:p>
    <w:p w14:paraId="7462F64C" w14:textId="77777777" w:rsidR="005C305A" w:rsidRPr="00080443" w:rsidRDefault="005C305A" w:rsidP="00A43390">
      <w:pPr>
        <w:rPr>
          <w:rFonts w:cs="Arial"/>
        </w:rPr>
      </w:pPr>
    </w:p>
    <w:p w14:paraId="138FB5D4" w14:textId="77777777" w:rsidR="008A60B8" w:rsidRPr="00080443" w:rsidRDefault="008A60B8" w:rsidP="00A43390">
      <w:pPr>
        <w:rPr>
          <w:rFonts w:cs="Arial"/>
        </w:rPr>
      </w:pPr>
      <w:r w:rsidRPr="00080443">
        <w:rPr>
          <w:rFonts w:cs="Arial"/>
        </w:rPr>
        <w:t xml:space="preserve">Calculating a device boundary involves </w:t>
      </w:r>
      <w:r w:rsidR="00D82FE4" w:rsidRPr="00080443">
        <w:rPr>
          <w:rFonts w:cs="Arial"/>
        </w:rPr>
        <w:t>mathematical calculations to determine whether the device boundary is contained within the geographic boundary of the spectrum licence.</w:t>
      </w:r>
    </w:p>
    <w:p w14:paraId="0B3F2F01" w14:textId="77777777" w:rsidR="00A43390" w:rsidRPr="00080443" w:rsidRDefault="00A43390" w:rsidP="00A43390">
      <w:pPr>
        <w:rPr>
          <w:rFonts w:cs="Arial"/>
        </w:rPr>
      </w:pPr>
    </w:p>
    <w:p w14:paraId="11FAFA8E" w14:textId="77777777" w:rsidR="008A60B8" w:rsidRPr="00080443" w:rsidRDefault="008A60B8" w:rsidP="00A43390">
      <w:pPr>
        <w:rPr>
          <w:rFonts w:cs="Arial"/>
        </w:rPr>
      </w:pPr>
      <w:r w:rsidRPr="00080443">
        <w:rPr>
          <w:rFonts w:cs="Arial"/>
        </w:rPr>
        <w:t xml:space="preserve">If the device boundary falls outside the geographic area of the relevant spectrum licence, the ACMA will generally refuse to register the device because the levels of emission outside the licence that it would cause will be ‘unacceptable interference’ within the meaning of </w:t>
      </w:r>
      <w:r w:rsidR="00F9266D" w:rsidRPr="00080443">
        <w:rPr>
          <w:rFonts w:cs="Arial"/>
        </w:rPr>
        <w:t>a relevant determination made under sub</w:t>
      </w:r>
      <w:r w:rsidRPr="00080443">
        <w:rPr>
          <w:rFonts w:cs="Arial"/>
        </w:rPr>
        <w:t>section 145</w:t>
      </w:r>
      <w:r w:rsidR="00F9266D" w:rsidRPr="00080443">
        <w:rPr>
          <w:rFonts w:cs="Arial"/>
        </w:rPr>
        <w:t>(4)</w:t>
      </w:r>
      <w:r w:rsidRPr="00080443">
        <w:rPr>
          <w:rFonts w:cs="Arial"/>
        </w:rPr>
        <w:t xml:space="preserve"> of the Act. </w:t>
      </w:r>
      <w:r w:rsidR="00774346" w:rsidRPr="00080443">
        <w:rPr>
          <w:rFonts w:cs="Arial"/>
        </w:rPr>
        <w:t>An exception to this is where the part of the device boundary that exceeds the geographic area of the spectrum licence meets the criteria in su</w:t>
      </w:r>
      <w:r w:rsidR="00250393" w:rsidRPr="00080443">
        <w:rPr>
          <w:rFonts w:cs="Arial"/>
        </w:rPr>
        <w:t xml:space="preserve">bsection 8(2) of the </w:t>
      </w:r>
      <w:r w:rsidR="00774346" w:rsidRPr="00080443">
        <w:rPr>
          <w:rFonts w:cs="Arial"/>
        </w:rPr>
        <w:t>subsection 145(4) determinations</w:t>
      </w:r>
      <w:r w:rsidR="00250393" w:rsidRPr="00080443">
        <w:rPr>
          <w:rFonts w:cs="Arial"/>
        </w:rPr>
        <w:t xml:space="preserve"> for the 700 MHz and 2.5 GHz bands—</w:t>
      </w:r>
      <w:r w:rsidR="00774346" w:rsidRPr="00080443">
        <w:rPr>
          <w:rFonts w:cs="Arial"/>
        </w:rPr>
        <w:t xml:space="preserve">for example, the part of the device boundary lies outside the boundary of the Australian </w:t>
      </w:r>
      <w:r w:rsidR="00BF47A2" w:rsidRPr="00080443">
        <w:rPr>
          <w:rFonts w:cs="Arial"/>
        </w:rPr>
        <w:t>s</w:t>
      </w:r>
      <w:r w:rsidR="00774346" w:rsidRPr="00080443">
        <w:rPr>
          <w:rFonts w:cs="Arial"/>
        </w:rPr>
        <w:t xml:space="preserve">pectrum </w:t>
      </w:r>
      <w:r w:rsidR="00BF47A2" w:rsidRPr="00080443">
        <w:rPr>
          <w:rFonts w:cs="Arial"/>
        </w:rPr>
        <w:t>m</w:t>
      </w:r>
      <w:r w:rsidR="00774346" w:rsidRPr="00080443">
        <w:rPr>
          <w:rFonts w:cs="Arial"/>
        </w:rPr>
        <w:t xml:space="preserve">ap </w:t>
      </w:r>
      <w:r w:rsidR="00BF47A2" w:rsidRPr="00080443">
        <w:rPr>
          <w:rFonts w:cs="Arial"/>
        </w:rPr>
        <w:t>g</w:t>
      </w:r>
      <w:r w:rsidR="00774346" w:rsidRPr="00080443">
        <w:rPr>
          <w:rFonts w:cs="Arial"/>
        </w:rPr>
        <w:t>rid.</w:t>
      </w:r>
      <w:r w:rsidR="00774346" w:rsidRPr="00080443">
        <w:rPr>
          <w:rStyle w:val="FootnoteReference"/>
          <w:rFonts w:cs="Arial"/>
        </w:rPr>
        <w:footnoteReference w:id="39"/>
      </w:r>
      <w:r w:rsidR="00774346" w:rsidRPr="00080443">
        <w:rPr>
          <w:rFonts w:cs="Arial"/>
        </w:rPr>
        <w:t xml:space="preserve"> </w:t>
      </w:r>
      <w:r w:rsidRPr="00080443">
        <w:rPr>
          <w:rFonts w:cs="Arial"/>
        </w:rPr>
        <w:t xml:space="preserve">An exception can </w:t>
      </w:r>
      <w:r w:rsidR="00774346" w:rsidRPr="00080443">
        <w:rPr>
          <w:rFonts w:cs="Arial"/>
        </w:rPr>
        <w:t xml:space="preserve">also </w:t>
      </w:r>
      <w:r w:rsidRPr="00080443">
        <w:rPr>
          <w:rFonts w:cs="Arial"/>
        </w:rPr>
        <w:t xml:space="preserve">be made where there is an </w:t>
      </w:r>
      <w:r w:rsidRPr="00080443">
        <w:rPr>
          <w:rFonts w:cs="Arial"/>
          <w:color w:val="000000" w:themeColor="text1"/>
        </w:rPr>
        <w:t xml:space="preserve">agreement of the type discussed </w:t>
      </w:r>
      <w:r w:rsidR="00AA723D" w:rsidRPr="00080443">
        <w:rPr>
          <w:rFonts w:cs="Arial"/>
          <w:color w:val="000000" w:themeColor="text1"/>
        </w:rPr>
        <w:t xml:space="preserve">at </w:t>
      </w:r>
      <w:r w:rsidRPr="00080443">
        <w:rPr>
          <w:rFonts w:cs="Arial"/>
          <w:color w:val="000000" w:themeColor="text1"/>
        </w:rPr>
        <w:t>5.4.5</w:t>
      </w:r>
      <w:r w:rsidRPr="00080443">
        <w:rPr>
          <w:rFonts w:cs="Arial"/>
          <w:i/>
          <w:color w:val="000000" w:themeColor="text1"/>
        </w:rPr>
        <w:t>.</w:t>
      </w:r>
      <w:r w:rsidRPr="00080443">
        <w:rPr>
          <w:rFonts w:cs="Arial"/>
          <w:color w:val="000000" w:themeColor="text1"/>
        </w:rPr>
        <w:t xml:space="preserve"> In these circumstances, the agreement provides that a device boundary may exceed the licence boundary of a licensee because the adjacent licensee has spec</w:t>
      </w:r>
      <w:r w:rsidRPr="00080443">
        <w:rPr>
          <w:rFonts w:cs="Arial"/>
        </w:rPr>
        <w:t xml:space="preserve">ifically agreed to that and accepts any interference caused to its use of the spectrum. </w:t>
      </w:r>
    </w:p>
    <w:p w14:paraId="646ACE1C" w14:textId="77777777" w:rsidR="00A43390" w:rsidRPr="00080443" w:rsidRDefault="00A43390" w:rsidP="00A43390">
      <w:pPr>
        <w:rPr>
          <w:rFonts w:cs="Arial"/>
        </w:rPr>
      </w:pPr>
    </w:p>
    <w:p w14:paraId="7071EEAC" w14:textId="77777777" w:rsidR="008A60B8" w:rsidRPr="00080443" w:rsidRDefault="008A60B8" w:rsidP="00A43390">
      <w:pPr>
        <w:spacing w:after="80"/>
        <w:rPr>
          <w:rFonts w:cs="Arial"/>
        </w:rPr>
      </w:pPr>
      <w:r w:rsidRPr="00080443">
        <w:rPr>
          <w:rFonts w:cs="Arial"/>
        </w:rPr>
        <w:t xml:space="preserve">Under the subsection 145(4) determinations, in determining ‘unacceptable levels of interference’ the following </w:t>
      </w:r>
      <w:r w:rsidR="00F9266D" w:rsidRPr="00080443">
        <w:rPr>
          <w:rFonts w:cs="Arial"/>
        </w:rPr>
        <w:t xml:space="preserve">matters </w:t>
      </w:r>
      <w:r w:rsidRPr="00080443">
        <w:rPr>
          <w:rFonts w:cs="Arial"/>
        </w:rPr>
        <w:t>also apply:</w:t>
      </w:r>
    </w:p>
    <w:p w14:paraId="5DDE28E7" w14:textId="77777777" w:rsidR="008A60B8" w:rsidRPr="00080443" w:rsidRDefault="008A60B8" w:rsidP="00A43390">
      <w:pPr>
        <w:pStyle w:val="ListBullet"/>
        <w:rPr>
          <w:rFonts w:cs="Arial"/>
        </w:rPr>
      </w:pPr>
      <w:r w:rsidRPr="00080443">
        <w:rPr>
          <w:rFonts w:cs="Arial"/>
        </w:rPr>
        <w:t xml:space="preserve">if the device boundary of a fixed transmitter cannot be calculated in accordance with </w:t>
      </w:r>
      <w:r w:rsidR="00450EE0" w:rsidRPr="00080443">
        <w:rPr>
          <w:rFonts w:cs="Arial"/>
        </w:rPr>
        <w:t xml:space="preserve">Part 1 of </w:t>
      </w:r>
      <w:r w:rsidRPr="00080443">
        <w:rPr>
          <w:rFonts w:cs="Arial"/>
        </w:rPr>
        <w:t xml:space="preserve">Schedule 2 of the </w:t>
      </w:r>
      <w:r w:rsidR="005215B5" w:rsidRPr="00080443">
        <w:rPr>
          <w:rFonts w:cs="Arial"/>
        </w:rPr>
        <w:t>sub</w:t>
      </w:r>
      <w:r w:rsidRPr="00080443">
        <w:rPr>
          <w:rFonts w:cs="Arial"/>
        </w:rPr>
        <w:t xml:space="preserve">section 145(4) determination, the transmitter is taken to cause unacceptable interference </w:t>
      </w:r>
    </w:p>
    <w:p w14:paraId="2ED41FD4" w14:textId="77777777" w:rsidR="008A60B8" w:rsidRPr="00080443" w:rsidRDefault="00450EE0" w:rsidP="00A43390">
      <w:pPr>
        <w:pStyle w:val="ListBullet"/>
        <w:rPr>
          <w:rFonts w:cs="Arial"/>
        </w:rPr>
      </w:pPr>
      <w:r w:rsidRPr="00080443">
        <w:rPr>
          <w:rFonts w:cs="Arial"/>
        </w:rPr>
        <w:t xml:space="preserve">in respect of the </w:t>
      </w:r>
      <w:r w:rsidR="005215B5" w:rsidRPr="00080443">
        <w:rPr>
          <w:rFonts w:cs="Arial"/>
        </w:rPr>
        <w:t>sub</w:t>
      </w:r>
      <w:r w:rsidRPr="00080443">
        <w:rPr>
          <w:rFonts w:cs="Arial"/>
        </w:rPr>
        <w:t xml:space="preserve">section 145(4) determination for the 2.5 GHz band, </w:t>
      </w:r>
      <w:r w:rsidR="008A60B8" w:rsidRPr="00080443">
        <w:rPr>
          <w:rFonts w:cs="Arial"/>
        </w:rPr>
        <w:t xml:space="preserve">a transmitter with emissions above the horizon greater than the limit specified for the horizontally radiated power is taken to cause unacceptable interference </w:t>
      </w:r>
    </w:p>
    <w:p w14:paraId="1AD5CFCD" w14:textId="77777777" w:rsidR="008A60B8" w:rsidRPr="00080443" w:rsidRDefault="008A60B8" w:rsidP="00A43390">
      <w:pPr>
        <w:pStyle w:val="ListBullet"/>
        <w:rPr>
          <w:rFonts w:cs="Arial"/>
        </w:rPr>
      </w:pPr>
      <w:r w:rsidRPr="00080443">
        <w:rPr>
          <w:rFonts w:cs="Arial"/>
        </w:rPr>
        <w:t xml:space="preserve">a transmitter </w:t>
      </w:r>
      <w:r w:rsidR="008F1E6C" w:rsidRPr="00080443">
        <w:rPr>
          <w:rFonts w:cs="Arial"/>
        </w:rPr>
        <w:t>that operates in the 2.5 GHz lower band or the 700 MHz lower band is taken to cause unacceptable interference if it has an effective antenna height greater than 10 met</w:t>
      </w:r>
      <w:r w:rsidR="009C7262" w:rsidRPr="00080443">
        <w:rPr>
          <w:rFonts w:cs="Arial"/>
        </w:rPr>
        <w:t>r</w:t>
      </w:r>
      <w:r w:rsidR="008F1E6C" w:rsidRPr="00080443">
        <w:rPr>
          <w:rFonts w:cs="Arial"/>
        </w:rPr>
        <w:t xml:space="preserve">es, such as transmitters </w:t>
      </w:r>
      <w:r w:rsidRPr="00080443">
        <w:rPr>
          <w:rFonts w:cs="Arial"/>
        </w:rPr>
        <w:t>located on an airship or a balloon</w:t>
      </w:r>
      <w:r w:rsidR="008F1E6C" w:rsidRPr="00080443">
        <w:rPr>
          <w:rFonts w:cs="Arial"/>
        </w:rPr>
        <w:t xml:space="preserve"> (see </w:t>
      </w:r>
      <w:r w:rsidR="005215B5" w:rsidRPr="00080443">
        <w:rPr>
          <w:rFonts w:cs="Arial"/>
        </w:rPr>
        <w:t xml:space="preserve">section </w:t>
      </w:r>
      <w:r w:rsidR="008F1E6C" w:rsidRPr="00080443">
        <w:rPr>
          <w:rFonts w:cs="Arial"/>
        </w:rPr>
        <w:t>8(</w:t>
      </w:r>
      <w:r w:rsidR="005215B5" w:rsidRPr="00080443">
        <w:rPr>
          <w:rFonts w:cs="Arial"/>
        </w:rPr>
        <w:t>3</w:t>
      </w:r>
      <w:r w:rsidR="008F1E6C" w:rsidRPr="00080443">
        <w:rPr>
          <w:rFonts w:cs="Arial"/>
        </w:rPr>
        <w:t xml:space="preserve">) of the subsection 145(4) determination for the 700 MHz band and </w:t>
      </w:r>
      <w:r w:rsidR="005215B5" w:rsidRPr="00080443">
        <w:rPr>
          <w:rFonts w:cs="Arial"/>
        </w:rPr>
        <w:t xml:space="preserve">subsection </w:t>
      </w:r>
      <w:r w:rsidR="008F1E6C" w:rsidRPr="00080443">
        <w:rPr>
          <w:rFonts w:cs="Arial"/>
        </w:rPr>
        <w:t>8(</w:t>
      </w:r>
      <w:r w:rsidR="005215B5" w:rsidRPr="00080443">
        <w:rPr>
          <w:rFonts w:cs="Arial"/>
        </w:rPr>
        <w:t>4</w:t>
      </w:r>
      <w:r w:rsidR="008F1E6C" w:rsidRPr="00080443">
        <w:rPr>
          <w:rFonts w:cs="Arial"/>
        </w:rPr>
        <w:t>) of the subsection 145(4) determination for the 2.5 GHz band).</w:t>
      </w:r>
    </w:p>
    <w:p w14:paraId="17919F67" w14:textId="77777777" w:rsidR="00A43390" w:rsidRPr="00080443" w:rsidRDefault="00A43390" w:rsidP="00A43390">
      <w:pPr>
        <w:rPr>
          <w:rFonts w:cs="Arial"/>
        </w:rPr>
      </w:pPr>
    </w:p>
    <w:p w14:paraId="489CE12C" w14:textId="77777777" w:rsidR="008A60B8" w:rsidRPr="00080443" w:rsidRDefault="008A60B8" w:rsidP="005B6C76">
      <w:pPr>
        <w:pStyle w:val="Heading3"/>
        <w:numPr>
          <w:ilvl w:val="2"/>
          <w:numId w:val="12"/>
        </w:numPr>
      </w:pPr>
      <w:bookmarkStart w:id="181" w:name="_Toc335246307"/>
      <w:bookmarkStart w:id="182" w:name="_Toc343780515"/>
      <w:r w:rsidRPr="00080443">
        <w:t>Deployment constraints</w:t>
      </w:r>
      <w:bookmarkEnd w:id="181"/>
      <w:bookmarkEnd w:id="182"/>
    </w:p>
    <w:p w14:paraId="45773C03" w14:textId="77777777" w:rsidR="008A60B8" w:rsidRPr="00080443" w:rsidRDefault="008A60B8" w:rsidP="00A43390">
      <w:pPr>
        <w:rPr>
          <w:rFonts w:cs="Arial"/>
        </w:rPr>
      </w:pPr>
      <w:r w:rsidRPr="00080443">
        <w:rPr>
          <w:rFonts w:cs="Arial"/>
        </w:rPr>
        <w:t xml:space="preserve">Deployment constraints in the subsection 145(4) determination for the 700 MHz and 2.5 GHz bands limit transmitter antenna heights in the lower band. There are similar constraints on receiver antenna heights in the radiocommunications advisory guidelines dealing with the notional receiver developed as part of the technical framework. The advisory guidelines are discussed </w:t>
      </w:r>
      <w:r w:rsidR="00AA723D" w:rsidRPr="00080443">
        <w:rPr>
          <w:rFonts w:cs="Arial"/>
        </w:rPr>
        <w:t xml:space="preserve">at </w:t>
      </w:r>
      <w:r w:rsidRPr="00080443">
        <w:rPr>
          <w:rFonts w:cs="Arial"/>
        </w:rPr>
        <w:t>5.5.</w:t>
      </w:r>
    </w:p>
    <w:p w14:paraId="0A460F91" w14:textId="77777777" w:rsidR="00A43390" w:rsidRPr="00080443" w:rsidRDefault="00A43390" w:rsidP="00A43390">
      <w:pPr>
        <w:rPr>
          <w:rFonts w:cs="Arial"/>
        </w:rPr>
      </w:pPr>
    </w:p>
    <w:p w14:paraId="3CCFE44D" w14:textId="77777777" w:rsidR="008A60B8" w:rsidRPr="00080443" w:rsidRDefault="008A60B8" w:rsidP="005B6C76">
      <w:pPr>
        <w:pStyle w:val="Heading3"/>
        <w:numPr>
          <w:ilvl w:val="2"/>
          <w:numId w:val="12"/>
        </w:numPr>
      </w:pPr>
      <w:bookmarkStart w:id="183" w:name="_Toc335246308"/>
      <w:bookmarkStart w:id="184" w:name="_Toc343780516"/>
      <w:r w:rsidRPr="00080443">
        <w:lastRenderedPageBreak/>
        <w:t>Registration of devices</w:t>
      </w:r>
      <w:bookmarkEnd w:id="183"/>
      <w:bookmarkEnd w:id="184"/>
      <w:r w:rsidRPr="00080443">
        <w:t xml:space="preserve"> </w:t>
      </w:r>
    </w:p>
    <w:p w14:paraId="0E762169" w14:textId="77777777" w:rsidR="008A60B8" w:rsidRPr="00080443" w:rsidRDefault="008A60B8" w:rsidP="00A43390">
      <w:pPr>
        <w:rPr>
          <w:rFonts w:cs="Arial"/>
        </w:rPr>
      </w:pPr>
      <w:r w:rsidRPr="00080443">
        <w:rPr>
          <w:rFonts w:cs="Arial"/>
        </w:rPr>
        <w:t>It is a condition of all spectrum licences issued in the 700 MHz and 2.5 GHz bands that licensees must not operate transmitters under those licences unless the</w:t>
      </w:r>
      <w:r w:rsidR="00AA723D" w:rsidRPr="00080443">
        <w:rPr>
          <w:rFonts w:cs="Arial"/>
        </w:rPr>
        <w:t>y</w:t>
      </w:r>
      <w:r w:rsidRPr="00080443">
        <w:rPr>
          <w:rFonts w:cs="Arial"/>
        </w:rPr>
        <w:t xml:space="preserve"> are registered by </w:t>
      </w:r>
      <w:r w:rsidR="00986E02" w:rsidRPr="00080443">
        <w:rPr>
          <w:rFonts w:cs="Arial"/>
        </w:rPr>
        <w:t xml:space="preserve">the </w:t>
      </w:r>
      <w:r w:rsidRPr="00080443">
        <w:rPr>
          <w:rFonts w:cs="Arial"/>
        </w:rPr>
        <w:t>ACMA or are exempt from the registration requirements.</w:t>
      </w:r>
    </w:p>
    <w:p w14:paraId="64EC7EE7" w14:textId="77777777" w:rsidR="00A43390" w:rsidRPr="00080443" w:rsidRDefault="00A43390" w:rsidP="00A43390">
      <w:pPr>
        <w:rPr>
          <w:rFonts w:cs="Arial"/>
        </w:rPr>
      </w:pPr>
    </w:p>
    <w:p w14:paraId="5FCD41E0" w14:textId="77777777" w:rsidR="008A60B8" w:rsidRPr="00080443" w:rsidRDefault="00F5789E" w:rsidP="00A43390">
      <w:pPr>
        <w:spacing w:after="80"/>
        <w:rPr>
          <w:rFonts w:cs="Arial"/>
        </w:rPr>
      </w:pPr>
      <w:r w:rsidRPr="00080443">
        <w:rPr>
          <w:rFonts w:cs="Arial"/>
        </w:rPr>
        <w:t>Although the ACMA will generally refuse to register a device w</w:t>
      </w:r>
      <w:r w:rsidR="008A60B8" w:rsidRPr="00080443">
        <w:rPr>
          <w:rFonts w:cs="Arial"/>
        </w:rPr>
        <w:t>here the requirements of the subsection 145(4) determination cannot be met, registration may still occur if</w:t>
      </w:r>
      <w:r w:rsidR="00AA723D" w:rsidRPr="00080443">
        <w:rPr>
          <w:rFonts w:cs="Arial"/>
        </w:rPr>
        <w:t xml:space="preserve"> either</w:t>
      </w:r>
      <w:r w:rsidR="008A60B8" w:rsidRPr="00080443">
        <w:rPr>
          <w:rFonts w:cs="Arial"/>
        </w:rPr>
        <w:t xml:space="preserve">: </w:t>
      </w:r>
    </w:p>
    <w:p w14:paraId="60652609" w14:textId="77777777" w:rsidR="008A60B8" w:rsidRPr="00080443" w:rsidRDefault="008A60B8" w:rsidP="00A43390">
      <w:pPr>
        <w:pStyle w:val="ListBullet"/>
        <w:rPr>
          <w:rFonts w:cs="Arial"/>
        </w:rPr>
      </w:pPr>
      <w:r w:rsidRPr="00080443">
        <w:rPr>
          <w:rFonts w:cs="Arial"/>
        </w:rPr>
        <w:t xml:space="preserve">there is sufficient internal spectrum guard space </w:t>
      </w:r>
    </w:p>
    <w:p w14:paraId="2371042F" w14:textId="77777777" w:rsidR="008A60B8" w:rsidRPr="00080443" w:rsidRDefault="008A60B8" w:rsidP="00A43390">
      <w:pPr>
        <w:pStyle w:val="ListBullet"/>
        <w:rPr>
          <w:rFonts w:cs="Arial"/>
        </w:rPr>
      </w:pPr>
      <w:r w:rsidRPr="00080443">
        <w:rPr>
          <w:rFonts w:cs="Arial"/>
        </w:rPr>
        <w:t>the accredited person is satisfied that all licensees who, in the opinion of the accredited person, may be affected by the interference</w:t>
      </w:r>
      <w:r w:rsidR="00AA723D" w:rsidRPr="00080443">
        <w:rPr>
          <w:rFonts w:cs="Arial"/>
        </w:rPr>
        <w:t xml:space="preserve"> have given consent in writing to interference from the transmitter</w:t>
      </w:r>
    </w:p>
    <w:p w14:paraId="41BA3B8B" w14:textId="77777777" w:rsidR="008A60B8" w:rsidRPr="00080443" w:rsidRDefault="008A60B8" w:rsidP="00A43390">
      <w:pPr>
        <w:pStyle w:val="ListBullet"/>
        <w:spacing w:after="240"/>
        <w:rPr>
          <w:rFonts w:cs="Arial"/>
        </w:rPr>
      </w:pPr>
      <w:r w:rsidRPr="00080443">
        <w:rPr>
          <w:rFonts w:cs="Arial"/>
        </w:rPr>
        <w:t>there is a core condition agreement for emissions outside the area.</w:t>
      </w:r>
    </w:p>
    <w:p w14:paraId="208B0D61" w14:textId="77777777" w:rsidR="008A60B8" w:rsidRPr="00080443" w:rsidRDefault="008A60B8" w:rsidP="006F66FD">
      <w:pPr>
        <w:rPr>
          <w:rFonts w:cs="Arial"/>
        </w:rPr>
      </w:pPr>
      <w:r w:rsidRPr="00080443">
        <w:rPr>
          <w:rFonts w:cs="Arial"/>
        </w:rPr>
        <w:t xml:space="preserve">The </w:t>
      </w:r>
      <w:r w:rsidR="00AA723D" w:rsidRPr="00080443">
        <w:rPr>
          <w:rFonts w:cs="Arial"/>
        </w:rPr>
        <w:t xml:space="preserve">consequence </w:t>
      </w:r>
      <w:r w:rsidRPr="00080443">
        <w:rPr>
          <w:rFonts w:cs="Arial"/>
        </w:rPr>
        <w:t xml:space="preserve">of this is that spectrum licensees must expect that certain levels of emission will legitimately cross their geographic (and spectrum) boundaries from points within other spectrum-licensed areas. </w:t>
      </w:r>
      <w:r w:rsidR="006F66FD" w:rsidRPr="00080443">
        <w:rPr>
          <w:rFonts w:cs="Arial"/>
        </w:rPr>
        <w:t xml:space="preserve">These emissions may </w:t>
      </w:r>
      <w:r w:rsidRPr="00080443">
        <w:rPr>
          <w:rFonts w:cs="Arial"/>
        </w:rPr>
        <w:t>radiate power into the spectrum licensee’s area at any level up to that allowed under the relevant subsection 145(4) determination, or levels otherwise negotiated with the relevant spectrum licensees.</w:t>
      </w:r>
    </w:p>
    <w:p w14:paraId="118CF977" w14:textId="77777777" w:rsidR="00A43390" w:rsidRPr="00080443" w:rsidRDefault="00A43390" w:rsidP="00A43390">
      <w:pPr>
        <w:rPr>
          <w:rFonts w:cs="Arial"/>
        </w:rPr>
      </w:pPr>
    </w:p>
    <w:p w14:paraId="684AF8AF" w14:textId="77777777" w:rsidR="008A60B8" w:rsidRPr="00080443" w:rsidRDefault="008A60B8" w:rsidP="00A43390">
      <w:pPr>
        <w:rPr>
          <w:rFonts w:cs="Arial"/>
        </w:rPr>
      </w:pPr>
      <w:r w:rsidRPr="00080443">
        <w:rPr>
          <w:rFonts w:cs="Arial"/>
        </w:rPr>
        <w:t xml:space="preserve">Additional information on the registration of radiocommunications devices under a spectrum licence is available in the ACMA publication </w:t>
      </w:r>
      <w:hyperlink r:id="rId50" w:history="1">
        <w:r w:rsidR="00837369" w:rsidRPr="00080443">
          <w:rPr>
            <w:rStyle w:val="Hyperlink"/>
            <w:rFonts w:cs="Arial"/>
            <w:i/>
            <w:szCs w:val="20"/>
          </w:rPr>
          <w:t>Registration of radiocommunications devices under spectrum licences</w:t>
        </w:r>
      </w:hyperlink>
      <w:r w:rsidRPr="00080443">
        <w:rPr>
          <w:rFonts w:cs="Arial"/>
        </w:rPr>
        <w:t xml:space="preserve">. </w:t>
      </w:r>
    </w:p>
    <w:p w14:paraId="1F334318" w14:textId="77777777" w:rsidR="00A43390" w:rsidRPr="00080443" w:rsidRDefault="00A43390" w:rsidP="00A43390">
      <w:pPr>
        <w:rPr>
          <w:rFonts w:cs="Arial"/>
        </w:rPr>
      </w:pPr>
    </w:p>
    <w:p w14:paraId="0CA1AA51" w14:textId="77777777" w:rsidR="008A60B8" w:rsidRPr="00080443" w:rsidRDefault="008A60B8" w:rsidP="005B6C76">
      <w:pPr>
        <w:pStyle w:val="Heading3"/>
        <w:numPr>
          <w:ilvl w:val="2"/>
          <w:numId w:val="12"/>
        </w:numPr>
      </w:pPr>
      <w:bookmarkStart w:id="185" w:name="_Toc335246309"/>
      <w:bookmarkStart w:id="186" w:name="_Toc343780517"/>
      <w:r w:rsidRPr="00080443">
        <w:t>Interference impact certificates</w:t>
      </w:r>
      <w:bookmarkEnd w:id="185"/>
      <w:bookmarkEnd w:id="186"/>
    </w:p>
    <w:p w14:paraId="310F9A8D" w14:textId="77777777" w:rsidR="008A60B8" w:rsidRPr="00080443" w:rsidRDefault="008A60B8" w:rsidP="00A43390">
      <w:pPr>
        <w:rPr>
          <w:rFonts w:cs="Arial"/>
        </w:rPr>
      </w:pPr>
      <w:r w:rsidRPr="00080443">
        <w:rPr>
          <w:rFonts w:cs="Arial"/>
        </w:rPr>
        <w:t xml:space="preserve">Before a device will be registered for use under a licence, the ACMA may need to be satisfied that </w:t>
      </w:r>
      <w:r w:rsidR="00AA723D" w:rsidRPr="00080443">
        <w:rPr>
          <w:rFonts w:cs="Arial"/>
        </w:rPr>
        <w:t xml:space="preserve">its </w:t>
      </w:r>
      <w:r w:rsidRPr="00080443">
        <w:rPr>
          <w:rFonts w:cs="Arial"/>
        </w:rPr>
        <w:t>use has been properly planned and that it will not cause unacceptable interference to other spectrum users. The registration requirements may include a requirement that the licensee present an interference impact certificate (IIC) issued under subsection 145(3) of the Act by an accredited person.</w:t>
      </w:r>
      <w:r w:rsidRPr="00080443">
        <w:rPr>
          <w:rStyle w:val="FootnoteReference"/>
          <w:rFonts w:cs="Arial"/>
          <w:color w:val="000000" w:themeColor="text1"/>
          <w:sz w:val="22"/>
          <w:szCs w:val="22"/>
        </w:rPr>
        <w:footnoteReference w:id="40"/>
      </w:r>
      <w:r w:rsidRPr="00080443">
        <w:rPr>
          <w:rFonts w:cs="Arial"/>
        </w:rPr>
        <w:t xml:space="preserve">  </w:t>
      </w:r>
    </w:p>
    <w:p w14:paraId="3EA8E4BF" w14:textId="77777777" w:rsidR="00A43390" w:rsidRPr="00080443" w:rsidRDefault="00A43390" w:rsidP="00A43390">
      <w:pPr>
        <w:rPr>
          <w:rFonts w:cs="Arial"/>
        </w:rPr>
      </w:pPr>
    </w:p>
    <w:p w14:paraId="705C3ED6" w14:textId="77777777" w:rsidR="00DE1DF5" w:rsidRPr="00080443" w:rsidRDefault="00D73C21">
      <w:pPr>
        <w:spacing w:after="80"/>
        <w:rPr>
          <w:rFonts w:cs="Arial"/>
        </w:rPr>
      </w:pPr>
      <w:r w:rsidRPr="00080443">
        <w:rPr>
          <w:rFonts w:cs="Arial"/>
        </w:rPr>
        <w:t xml:space="preserve">The ACMA has made a determination pursuant to section 266A of the Act, which relevantly states </w:t>
      </w:r>
      <w:r w:rsidR="00460B0C" w:rsidRPr="00080443">
        <w:rPr>
          <w:rFonts w:cs="Arial"/>
        </w:rPr>
        <w:t xml:space="preserve">conditions </w:t>
      </w:r>
      <w:r w:rsidR="00880913" w:rsidRPr="00080443">
        <w:rPr>
          <w:rFonts w:cs="Arial"/>
        </w:rPr>
        <w:t xml:space="preserve">that must be </w:t>
      </w:r>
      <w:r w:rsidRPr="00080443">
        <w:rPr>
          <w:rFonts w:cs="Arial"/>
        </w:rPr>
        <w:t>satisfied under a licence before an accredited person may issue a certificate under subsection 145(3)</w:t>
      </w:r>
      <w:r w:rsidR="00880913" w:rsidRPr="00080443">
        <w:rPr>
          <w:rFonts w:cs="Arial"/>
        </w:rPr>
        <w:t xml:space="preserve">. The conditions require that before issuing a certificate the accredited person must be satisfied that </w:t>
      </w:r>
      <w:r w:rsidR="00460B0C" w:rsidRPr="00080443">
        <w:rPr>
          <w:rFonts w:cs="Arial"/>
        </w:rPr>
        <w:t>either</w:t>
      </w:r>
      <w:r w:rsidR="00AC791A" w:rsidRPr="00080443">
        <w:rPr>
          <w:rFonts w:cs="Arial"/>
        </w:rPr>
        <w:t>:</w:t>
      </w:r>
    </w:p>
    <w:p w14:paraId="1DE39493" w14:textId="77777777" w:rsidR="00DE1DF5" w:rsidRPr="00080443" w:rsidRDefault="00460B0C">
      <w:pPr>
        <w:pStyle w:val="ListBullet"/>
        <w:rPr>
          <w:rFonts w:cs="Arial"/>
        </w:rPr>
      </w:pPr>
      <w:r w:rsidRPr="00080443">
        <w:rPr>
          <w:rFonts w:cs="Arial"/>
        </w:rPr>
        <w:t>the operation of the radiocommunications transmitter will not cause an unacceptable level of interference as set out in section 145 of the determination for the frequency band</w:t>
      </w:r>
    </w:p>
    <w:p w14:paraId="3EC7968E" w14:textId="77777777" w:rsidR="00DE1DF5" w:rsidRPr="00080443" w:rsidRDefault="00460B0C">
      <w:pPr>
        <w:pStyle w:val="ListBullet"/>
        <w:rPr>
          <w:rFonts w:cs="Arial"/>
        </w:rPr>
      </w:pPr>
      <w:r w:rsidRPr="00080443">
        <w:rPr>
          <w:rFonts w:cs="Arial"/>
        </w:rPr>
        <w:t xml:space="preserve">the use of guard space is sufficient to mitigate potential interference from the </w:t>
      </w:r>
      <w:r w:rsidR="00880913" w:rsidRPr="00080443">
        <w:rPr>
          <w:rFonts w:cs="Arial"/>
        </w:rPr>
        <w:t>radiocommunications</w:t>
      </w:r>
      <w:r w:rsidRPr="00080443">
        <w:rPr>
          <w:rFonts w:cs="Arial"/>
        </w:rPr>
        <w:t xml:space="preserve"> transmitter</w:t>
      </w:r>
    </w:p>
    <w:p w14:paraId="09E7A68C" w14:textId="77777777" w:rsidR="008A60B8" w:rsidRPr="00080443" w:rsidRDefault="00460B0C" w:rsidP="00684911">
      <w:pPr>
        <w:pStyle w:val="ListBullet"/>
        <w:spacing w:after="240"/>
        <w:rPr>
          <w:rFonts w:cs="Arial"/>
        </w:rPr>
      </w:pPr>
      <w:r w:rsidRPr="00080443">
        <w:rPr>
          <w:rFonts w:cs="Arial"/>
        </w:rPr>
        <w:t>consent in writing to interference from the radiocommunications transmitter has been given by all licensees who, in the opi</w:t>
      </w:r>
      <w:r w:rsidR="00880913" w:rsidRPr="00080443">
        <w:rPr>
          <w:rFonts w:cs="Arial"/>
        </w:rPr>
        <w:t>ni</w:t>
      </w:r>
      <w:r w:rsidRPr="00080443">
        <w:rPr>
          <w:rFonts w:cs="Arial"/>
        </w:rPr>
        <w:t xml:space="preserve">on of the accredited person, may be affected by the interference. </w:t>
      </w:r>
    </w:p>
    <w:p w14:paraId="16ECFDFD" w14:textId="77777777" w:rsidR="008A60B8" w:rsidRPr="00080443" w:rsidRDefault="008A60B8" w:rsidP="00A43390">
      <w:pPr>
        <w:rPr>
          <w:rFonts w:cs="Arial"/>
        </w:rPr>
      </w:pPr>
      <w:r w:rsidRPr="00080443">
        <w:rPr>
          <w:rFonts w:cs="Arial"/>
        </w:rPr>
        <w:t xml:space="preserve">Further information on issuing an IIC and the role of accredited persons is provided in </w:t>
      </w:r>
      <w:hyperlink r:id="rId51" w:history="1">
        <w:r w:rsidRPr="00080443">
          <w:rPr>
            <w:rStyle w:val="Hyperlink"/>
            <w:rFonts w:cs="Arial"/>
            <w:i/>
          </w:rPr>
          <w:t xml:space="preserve">Know </w:t>
        </w:r>
        <w:r w:rsidR="00A643DE" w:rsidRPr="00080443">
          <w:rPr>
            <w:rStyle w:val="Hyperlink"/>
            <w:rFonts w:cs="Arial"/>
            <w:i/>
          </w:rPr>
          <w:t>y</w:t>
        </w:r>
        <w:r w:rsidRPr="00080443">
          <w:rPr>
            <w:rStyle w:val="Hyperlink"/>
            <w:rFonts w:cs="Arial"/>
            <w:i/>
          </w:rPr>
          <w:t xml:space="preserve">our </w:t>
        </w:r>
        <w:r w:rsidR="00A643DE" w:rsidRPr="00080443">
          <w:rPr>
            <w:rStyle w:val="Hyperlink"/>
            <w:rFonts w:cs="Arial"/>
            <w:i/>
          </w:rPr>
          <w:t>o</w:t>
        </w:r>
        <w:r w:rsidRPr="00080443">
          <w:rPr>
            <w:rStyle w:val="Hyperlink"/>
            <w:rFonts w:cs="Arial"/>
            <w:i/>
          </w:rPr>
          <w:t>bligations</w:t>
        </w:r>
      </w:hyperlink>
      <w:r w:rsidRPr="00080443">
        <w:rPr>
          <w:rFonts w:cs="Arial"/>
        </w:rPr>
        <w:t>.</w:t>
      </w:r>
    </w:p>
    <w:p w14:paraId="1CD87E12" w14:textId="77777777" w:rsidR="00A43390" w:rsidRPr="00080443" w:rsidRDefault="00A43390" w:rsidP="00A43390">
      <w:pPr>
        <w:rPr>
          <w:rFonts w:cs="Arial"/>
        </w:rPr>
      </w:pPr>
    </w:p>
    <w:p w14:paraId="386943FE" w14:textId="77777777" w:rsidR="008A60B8" w:rsidRPr="00080443" w:rsidRDefault="008A60B8" w:rsidP="005B6C76">
      <w:pPr>
        <w:pStyle w:val="Heading3"/>
        <w:numPr>
          <w:ilvl w:val="2"/>
          <w:numId w:val="12"/>
        </w:numPr>
      </w:pPr>
      <w:bookmarkStart w:id="187" w:name="_Toc335246310"/>
      <w:bookmarkStart w:id="188" w:name="_Toc343780518"/>
      <w:r w:rsidRPr="00080443">
        <w:lastRenderedPageBreak/>
        <w:t>Core condition agreements</w:t>
      </w:r>
      <w:bookmarkEnd w:id="187"/>
      <w:bookmarkEnd w:id="188"/>
    </w:p>
    <w:p w14:paraId="39623DBE" w14:textId="77777777" w:rsidR="008A60B8" w:rsidRPr="00080443" w:rsidRDefault="008A60B8" w:rsidP="00A43390">
      <w:pPr>
        <w:rPr>
          <w:rFonts w:cs="Arial"/>
        </w:rPr>
      </w:pPr>
      <w:r w:rsidRPr="00080443">
        <w:rPr>
          <w:rFonts w:cs="Arial"/>
        </w:rPr>
        <w:t>Spectrum licensees can agree to accept emissions that would, in the absence of an agreement, exceed the core conditions of their spectrum licence(s) provided all affected licensees are in agreement. For example, spectrum licensees might agree to alternative arrangements with other licensees for higher levels of emissions outside the band of an individual licence within the band of the licens</w:t>
      </w:r>
      <w:r w:rsidR="00986E02" w:rsidRPr="00080443">
        <w:rPr>
          <w:rFonts w:cs="Arial"/>
        </w:rPr>
        <w:t>e</w:t>
      </w:r>
      <w:r w:rsidRPr="00080443">
        <w:rPr>
          <w:rFonts w:cs="Arial"/>
        </w:rPr>
        <w:t xml:space="preserve">es making the agreement than would have otherwise been allowed.  </w:t>
      </w:r>
    </w:p>
    <w:p w14:paraId="08E76D08" w14:textId="77777777" w:rsidR="00A43390" w:rsidRPr="00080443" w:rsidRDefault="00A43390" w:rsidP="00A43390">
      <w:pPr>
        <w:rPr>
          <w:rFonts w:cs="Arial"/>
        </w:rPr>
      </w:pPr>
    </w:p>
    <w:p w14:paraId="314E7891" w14:textId="77777777" w:rsidR="008A60B8" w:rsidRPr="00080443" w:rsidRDefault="008A60B8" w:rsidP="005B6C76">
      <w:pPr>
        <w:pStyle w:val="Heading3"/>
        <w:numPr>
          <w:ilvl w:val="2"/>
          <w:numId w:val="12"/>
        </w:numPr>
      </w:pPr>
      <w:bookmarkStart w:id="189" w:name="_Toc335246311"/>
      <w:bookmarkStart w:id="190" w:name="_Toc343780519"/>
      <w:r w:rsidRPr="00080443">
        <w:t>Registering groups of transmitters and receivers</w:t>
      </w:r>
      <w:bookmarkEnd w:id="189"/>
      <w:bookmarkEnd w:id="190"/>
    </w:p>
    <w:p w14:paraId="2A74100B" w14:textId="77777777" w:rsidR="008A60B8" w:rsidRPr="00080443" w:rsidRDefault="008A60B8" w:rsidP="00A43390">
      <w:pPr>
        <w:rPr>
          <w:rFonts w:cs="Arial"/>
        </w:rPr>
      </w:pPr>
      <w:r w:rsidRPr="00080443">
        <w:rPr>
          <w:rFonts w:cs="Arial"/>
        </w:rPr>
        <w:t>Unless exempted, transmitters must always be registered as either an individual transmitter or as part of a group of transmitters. If two or more transmitters are operated for the purpose of communicating with the same receiver or same group of receivers and they have identical emission characteristics, then th</w:t>
      </w:r>
      <w:r w:rsidR="00A643DE" w:rsidRPr="00080443">
        <w:rPr>
          <w:rFonts w:cs="Arial"/>
        </w:rPr>
        <w:t>ey</w:t>
      </w:r>
      <w:r w:rsidRPr="00080443">
        <w:rPr>
          <w:rFonts w:cs="Arial"/>
        </w:rPr>
        <w:t xml:space="preserve"> may be treated as a group in order to simplify the registration process. </w:t>
      </w:r>
    </w:p>
    <w:p w14:paraId="419846C5" w14:textId="77777777" w:rsidR="00A43390" w:rsidRPr="00080443" w:rsidRDefault="00A43390" w:rsidP="00A43390">
      <w:pPr>
        <w:rPr>
          <w:rFonts w:cs="Arial"/>
        </w:rPr>
      </w:pPr>
    </w:p>
    <w:p w14:paraId="09DFC611" w14:textId="77777777" w:rsidR="008A60B8" w:rsidRPr="00080443" w:rsidRDefault="008A60B8" w:rsidP="00A43390">
      <w:pPr>
        <w:rPr>
          <w:rFonts w:cs="Arial"/>
          <w:color w:val="000000" w:themeColor="text1"/>
        </w:rPr>
      </w:pPr>
      <w:r w:rsidRPr="00080443">
        <w:rPr>
          <w:rFonts w:cs="Arial"/>
          <w:color w:val="000000" w:themeColor="text1"/>
        </w:rPr>
        <w:t xml:space="preserve">The subsection 145(4) determinations for the 700 MHz and 2.5 GHz bands set out the definition of a ‘group of radiocommunications transmitters’ and a ‘group of radiocommunications receivers’ for the purpose of simplifying registration of those devices. </w:t>
      </w:r>
      <w:r w:rsidR="00986E02" w:rsidRPr="00080443">
        <w:rPr>
          <w:rFonts w:cs="Arial"/>
          <w:color w:val="000000" w:themeColor="text1"/>
        </w:rPr>
        <w:t xml:space="preserve">They specify </w:t>
      </w:r>
      <w:r w:rsidRPr="00080443">
        <w:rPr>
          <w:rFonts w:cs="Arial"/>
          <w:color w:val="000000" w:themeColor="text1"/>
        </w:rPr>
        <w:t>how the registration details for a group of transmitters and receivers must be calculated.</w:t>
      </w:r>
    </w:p>
    <w:p w14:paraId="68BE2D20" w14:textId="77777777" w:rsidR="00A43390" w:rsidRPr="00080443" w:rsidRDefault="00A43390" w:rsidP="00A43390">
      <w:pPr>
        <w:rPr>
          <w:rFonts w:cs="Arial"/>
          <w:color w:val="000000" w:themeColor="text1"/>
        </w:rPr>
      </w:pPr>
    </w:p>
    <w:p w14:paraId="62D6123E" w14:textId="77777777" w:rsidR="008A60B8" w:rsidRPr="00080443" w:rsidRDefault="008A60B8" w:rsidP="00A43390">
      <w:pPr>
        <w:rPr>
          <w:rFonts w:cs="Arial"/>
          <w:color w:val="000000" w:themeColor="text1"/>
        </w:rPr>
      </w:pPr>
      <w:r w:rsidRPr="00080443">
        <w:rPr>
          <w:rFonts w:cs="Arial"/>
          <w:color w:val="000000" w:themeColor="text1"/>
        </w:rPr>
        <w:t>Groups are defined to help minimise the work associated with the registration process of similar transmitters. Low</w:t>
      </w:r>
      <w:r w:rsidR="00A643DE" w:rsidRPr="00080443">
        <w:rPr>
          <w:rFonts w:cs="Arial"/>
          <w:color w:val="000000" w:themeColor="text1"/>
        </w:rPr>
        <w:t>-</w:t>
      </w:r>
      <w:r w:rsidRPr="00080443">
        <w:rPr>
          <w:rFonts w:cs="Arial"/>
          <w:color w:val="000000" w:themeColor="text1"/>
        </w:rPr>
        <w:t xml:space="preserve">power fixed and mobile transmitters meeting the relevant criteria specified in </w:t>
      </w:r>
      <w:r w:rsidR="00986E02" w:rsidRPr="00080443">
        <w:rPr>
          <w:rFonts w:cs="Arial"/>
          <w:color w:val="000000" w:themeColor="text1"/>
        </w:rPr>
        <w:t xml:space="preserve">the </w:t>
      </w:r>
      <w:r w:rsidRPr="00080443">
        <w:rPr>
          <w:rFonts w:cs="Arial"/>
          <w:color w:val="000000" w:themeColor="text1"/>
        </w:rPr>
        <w:t xml:space="preserve">sample licence at Schedule 6 of the marketing plans for the </w:t>
      </w:r>
      <w:r w:rsidR="00A643DE" w:rsidRPr="00080443">
        <w:rPr>
          <w:rFonts w:cs="Arial"/>
          <w:color w:val="000000" w:themeColor="text1"/>
        </w:rPr>
        <w:t>700 </w:t>
      </w:r>
      <w:r w:rsidRPr="00080443">
        <w:rPr>
          <w:rFonts w:cs="Arial"/>
          <w:color w:val="000000" w:themeColor="text1"/>
        </w:rPr>
        <w:t xml:space="preserve">MHz and 2.5 GHz bands are exempt from device registration requirements. Licensees may decide whether to register receivers based on a risk assessment of the benefits achieved through coordination to manage </w:t>
      </w:r>
      <w:r w:rsidR="006D73E9" w:rsidRPr="00080443">
        <w:rPr>
          <w:rFonts w:cs="Arial"/>
          <w:color w:val="000000" w:themeColor="text1"/>
        </w:rPr>
        <w:t>outside</w:t>
      </w:r>
      <w:r w:rsidR="00EC7C39" w:rsidRPr="00080443">
        <w:rPr>
          <w:rFonts w:cs="Arial"/>
          <w:color w:val="000000" w:themeColor="text1"/>
        </w:rPr>
        <w:t>-</w:t>
      </w:r>
      <w:r w:rsidR="006D73E9" w:rsidRPr="00080443">
        <w:rPr>
          <w:rFonts w:cs="Arial"/>
          <w:color w:val="000000" w:themeColor="text1"/>
        </w:rPr>
        <w:t>the</w:t>
      </w:r>
      <w:r w:rsidR="00EC7C39" w:rsidRPr="00080443">
        <w:rPr>
          <w:rFonts w:cs="Arial"/>
          <w:color w:val="000000" w:themeColor="text1"/>
        </w:rPr>
        <w:t>-</w:t>
      </w:r>
      <w:r w:rsidR="006D73E9" w:rsidRPr="00080443">
        <w:rPr>
          <w:rFonts w:cs="Arial"/>
          <w:color w:val="000000" w:themeColor="text1"/>
        </w:rPr>
        <w:t>band</w:t>
      </w:r>
      <w:r w:rsidRPr="00080443">
        <w:rPr>
          <w:rFonts w:cs="Arial"/>
          <w:color w:val="000000" w:themeColor="text1"/>
        </w:rPr>
        <w:t xml:space="preserve"> interference.</w:t>
      </w:r>
    </w:p>
    <w:p w14:paraId="4986CAC3" w14:textId="77777777" w:rsidR="00A43390" w:rsidRPr="00080443" w:rsidRDefault="00A43390" w:rsidP="00A43390">
      <w:pPr>
        <w:rPr>
          <w:rFonts w:cs="Arial"/>
          <w:color w:val="000000" w:themeColor="text1"/>
        </w:rPr>
      </w:pPr>
    </w:p>
    <w:p w14:paraId="531D6671" w14:textId="77777777" w:rsidR="008A60B8" w:rsidRPr="00080443" w:rsidRDefault="008A60B8" w:rsidP="005B6C76">
      <w:pPr>
        <w:pStyle w:val="Heading3"/>
        <w:numPr>
          <w:ilvl w:val="2"/>
          <w:numId w:val="12"/>
        </w:numPr>
      </w:pPr>
      <w:bookmarkStart w:id="191" w:name="_Toc335246312"/>
      <w:bookmarkStart w:id="192" w:name="_Toc343780520"/>
      <w:r w:rsidRPr="00080443">
        <w:t>Registration exemptions</w:t>
      </w:r>
      <w:bookmarkEnd w:id="191"/>
      <w:bookmarkEnd w:id="192"/>
    </w:p>
    <w:p w14:paraId="29EFE175" w14:textId="77777777" w:rsidR="008A60B8" w:rsidRPr="00080443" w:rsidRDefault="008A60B8" w:rsidP="00A43390">
      <w:pPr>
        <w:rPr>
          <w:rFonts w:cs="Arial"/>
        </w:rPr>
      </w:pPr>
      <w:r w:rsidRPr="00080443">
        <w:rPr>
          <w:rFonts w:cs="Arial"/>
        </w:rPr>
        <w:t>Certain kinds of low</w:t>
      </w:r>
      <w:r w:rsidR="00A643DE" w:rsidRPr="00080443">
        <w:rPr>
          <w:rFonts w:cs="Arial"/>
        </w:rPr>
        <w:t>-</w:t>
      </w:r>
      <w:r w:rsidRPr="00080443">
        <w:rPr>
          <w:rFonts w:cs="Arial"/>
        </w:rPr>
        <w:t xml:space="preserve">power transmitters are exempt from registration. The conditions these devices need to meet to be exempt from registration </w:t>
      </w:r>
      <w:r w:rsidR="00D91EB7" w:rsidRPr="00080443">
        <w:rPr>
          <w:rFonts w:cs="Arial"/>
        </w:rPr>
        <w:t xml:space="preserve">will be </w:t>
      </w:r>
      <w:r w:rsidRPr="00080443">
        <w:rPr>
          <w:rFonts w:cs="Arial"/>
        </w:rPr>
        <w:t xml:space="preserve">specified in the </w:t>
      </w:r>
      <w:r w:rsidR="00440BF8" w:rsidRPr="00080443">
        <w:rPr>
          <w:rFonts w:cs="Arial"/>
        </w:rPr>
        <w:t xml:space="preserve">spectrum </w:t>
      </w:r>
      <w:r w:rsidRPr="00080443">
        <w:rPr>
          <w:rFonts w:cs="Arial"/>
        </w:rPr>
        <w:t>licence</w:t>
      </w:r>
      <w:r w:rsidR="00D91EB7" w:rsidRPr="00080443">
        <w:rPr>
          <w:rFonts w:cs="Arial"/>
        </w:rPr>
        <w:t>s issued as a result of the auction</w:t>
      </w:r>
      <w:r w:rsidRPr="00080443">
        <w:rPr>
          <w:rFonts w:cs="Arial"/>
        </w:rPr>
        <w:t>. Typical devices that are exempted from registration are cellular mobile telephone handsets, wireless modems, subscriber terminals and smart repeaters.</w:t>
      </w:r>
    </w:p>
    <w:p w14:paraId="72A90843" w14:textId="77777777" w:rsidR="00A43390" w:rsidRPr="00080443" w:rsidRDefault="00A43390" w:rsidP="00A43390">
      <w:pPr>
        <w:rPr>
          <w:rFonts w:cs="Arial"/>
        </w:rPr>
      </w:pPr>
    </w:p>
    <w:p w14:paraId="59AEEC79" w14:textId="77777777" w:rsidR="008A60B8" w:rsidRPr="00080443" w:rsidRDefault="008A60B8" w:rsidP="005B6C76">
      <w:pPr>
        <w:pStyle w:val="Heading3"/>
        <w:numPr>
          <w:ilvl w:val="2"/>
          <w:numId w:val="12"/>
        </w:numPr>
      </w:pPr>
      <w:bookmarkStart w:id="193" w:name="_Toc335246313"/>
      <w:bookmarkStart w:id="194" w:name="_Toc343780521"/>
      <w:r w:rsidRPr="00080443">
        <w:t>Labelling requirements for transmitters</w:t>
      </w:r>
      <w:bookmarkEnd w:id="193"/>
      <w:bookmarkEnd w:id="194"/>
    </w:p>
    <w:p w14:paraId="26B2BACC" w14:textId="77777777" w:rsidR="008A60B8" w:rsidRPr="00080443" w:rsidRDefault="008A60B8" w:rsidP="00A43390">
      <w:pPr>
        <w:rPr>
          <w:rFonts w:cs="Arial"/>
        </w:rPr>
      </w:pPr>
      <w:r w:rsidRPr="00080443">
        <w:rPr>
          <w:rFonts w:cs="Arial"/>
        </w:rPr>
        <w:t>The ACMA requires that licensees label all transmitters with the registration number provided when the transmitter is registered.</w:t>
      </w:r>
      <w:r w:rsidR="00A643DE" w:rsidRPr="00080443">
        <w:rPr>
          <w:rFonts w:cs="Arial"/>
        </w:rPr>
        <w:t xml:space="preserve"> E</w:t>
      </w:r>
      <w:r w:rsidRPr="00080443">
        <w:rPr>
          <w:rFonts w:cs="Arial"/>
        </w:rPr>
        <w:t xml:space="preserve">xemptions </w:t>
      </w:r>
      <w:r w:rsidR="00A643DE" w:rsidRPr="00080443">
        <w:rPr>
          <w:rFonts w:cs="Arial"/>
        </w:rPr>
        <w:t xml:space="preserve">may </w:t>
      </w:r>
      <w:r w:rsidRPr="00080443">
        <w:rPr>
          <w:rFonts w:cs="Arial"/>
        </w:rPr>
        <w:t>apply to devices that have low interference potential</w:t>
      </w:r>
      <w:r w:rsidR="00A643DE" w:rsidRPr="00080443">
        <w:rPr>
          <w:rFonts w:cs="Arial"/>
        </w:rPr>
        <w:t>;</w:t>
      </w:r>
      <w:r w:rsidRPr="00080443">
        <w:rPr>
          <w:rFonts w:cs="Arial"/>
        </w:rPr>
        <w:t xml:space="preserve"> for example, low</w:t>
      </w:r>
      <w:r w:rsidR="00A643DE" w:rsidRPr="00080443">
        <w:rPr>
          <w:rFonts w:cs="Arial"/>
        </w:rPr>
        <w:t>-</w:t>
      </w:r>
      <w:r w:rsidRPr="00080443">
        <w:rPr>
          <w:rFonts w:cs="Arial"/>
        </w:rPr>
        <w:t>power transmitters.</w:t>
      </w:r>
      <w:r w:rsidRPr="00080443">
        <w:rPr>
          <w:rStyle w:val="FootnoteReference"/>
          <w:rFonts w:cs="Arial"/>
          <w:szCs w:val="20"/>
        </w:rPr>
        <w:footnoteReference w:id="41"/>
      </w:r>
      <w:r w:rsidRPr="00080443">
        <w:rPr>
          <w:rFonts w:cs="Arial"/>
          <w:szCs w:val="20"/>
        </w:rPr>
        <w:t xml:space="preserve"> </w:t>
      </w:r>
    </w:p>
    <w:p w14:paraId="31B4D99C" w14:textId="77777777" w:rsidR="00A43390" w:rsidRPr="00080443" w:rsidRDefault="00A43390" w:rsidP="00A43390">
      <w:pPr>
        <w:rPr>
          <w:rFonts w:cs="Arial"/>
        </w:rPr>
      </w:pPr>
    </w:p>
    <w:p w14:paraId="020D03AD" w14:textId="77777777" w:rsidR="008A60B8" w:rsidRPr="00080443" w:rsidRDefault="008A60B8" w:rsidP="005B6C76">
      <w:pPr>
        <w:pStyle w:val="Heading2"/>
        <w:numPr>
          <w:ilvl w:val="1"/>
          <w:numId w:val="12"/>
        </w:numPr>
      </w:pPr>
      <w:bookmarkStart w:id="195" w:name="_Toc219183244"/>
      <w:bookmarkStart w:id="196" w:name="_Toc335246314"/>
      <w:bookmarkStart w:id="197" w:name="_Toc343780522"/>
      <w:r w:rsidRPr="00080443">
        <w:t>Radiocommunications advisory guidelines</w:t>
      </w:r>
      <w:bookmarkEnd w:id="195"/>
      <w:bookmarkEnd w:id="196"/>
      <w:bookmarkEnd w:id="197"/>
    </w:p>
    <w:p w14:paraId="4852BAB2" w14:textId="77777777" w:rsidR="008A60B8" w:rsidRPr="00080443" w:rsidRDefault="008A60B8" w:rsidP="00433D95">
      <w:pPr>
        <w:rPr>
          <w:rFonts w:cs="Arial"/>
        </w:rPr>
      </w:pPr>
      <w:r w:rsidRPr="00080443">
        <w:rPr>
          <w:rFonts w:cs="Arial"/>
        </w:rPr>
        <w:t>Further guidance on device deployment and coordination is provided in radiocommunications advisory guidelines made under section 262 of the Act</w:t>
      </w:r>
      <w:r w:rsidR="00D830E1" w:rsidRPr="00080443">
        <w:rPr>
          <w:rFonts w:cs="Arial"/>
        </w:rPr>
        <w:t xml:space="preserve"> (the advisory guidelines)</w:t>
      </w:r>
      <w:r w:rsidRPr="00080443">
        <w:rPr>
          <w:rFonts w:cs="Arial"/>
        </w:rPr>
        <w:t xml:space="preserve">. While the use and compliance methods set out in the advisory guidelines are not of themselves mandatory, they set out the ACMA’s policy approach and in certain instances will reflect requirements made mandatory by licence conditions or other instruments under the Act. </w:t>
      </w:r>
      <w:r w:rsidR="007F49B0" w:rsidRPr="00080443">
        <w:rPr>
          <w:rFonts w:cs="Arial"/>
        </w:rPr>
        <w:t>This is</w:t>
      </w:r>
      <w:r w:rsidR="00D830E1" w:rsidRPr="00080443">
        <w:rPr>
          <w:rFonts w:cs="Arial"/>
        </w:rPr>
        <w:t xml:space="preserve"> the c</w:t>
      </w:r>
      <w:r w:rsidR="007F49B0" w:rsidRPr="00080443">
        <w:rPr>
          <w:rFonts w:cs="Arial"/>
        </w:rPr>
        <w:t>a</w:t>
      </w:r>
      <w:r w:rsidR="00D830E1" w:rsidRPr="00080443">
        <w:rPr>
          <w:rFonts w:cs="Arial"/>
        </w:rPr>
        <w:t xml:space="preserve">se </w:t>
      </w:r>
      <w:r w:rsidR="007F49B0" w:rsidRPr="00080443">
        <w:rPr>
          <w:rFonts w:cs="Arial"/>
        </w:rPr>
        <w:t xml:space="preserve">for </w:t>
      </w:r>
      <w:r w:rsidR="00D830E1" w:rsidRPr="00080443">
        <w:rPr>
          <w:rFonts w:cs="Arial"/>
        </w:rPr>
        <w:t xml:space="preserve">spectrum licences to be issued for the 700 MHz band. For further details, see the marketing plans and sample spectrum licence conditions in </w:t>
      </w:r>
      <w:r w:rsidR="007B762E" w:rsidRPr="00080443">
        <w:rPr>
          <w:rFonts w:cs="Arial"/>
        </w:rPr>
        <w:t>a</w:t>
      </w:r>
      <w:r w:rsidR="00D830E1" w:rsidRPr="00080443">
        <w:rPr>
          <w:rFonts w:cs="Arial"/>
        </w:rPr>
        <w:t xml:space="preserve">ttachments </w:t>
      </w:r>
      <w:r w:rsidR="005D4EE4" w:rsidRPr="00080443">
        <w:rPr>
          <w:rFonts w:cs="Arial"/>
        </w:rPr>
        <w:t>B</w:t>
      </w:r>
      <w:r w:rsidR="00D830E1" w:rsidRPr="00080443">
        <w:rPr>
          <w:rFonts w:cs="Arial"/>
        </w:rPr>
        <w:t xml:space="preserve"> and </w:t>
      </w:r>
      <w:r w:rsidR="005D4EE4" w:rsidRPr="00080443">
        <w:rPr>
          <w:rFonts w:cs="Arial"/>
        </w:rPr>
        <w:t>F</w:t>
      </w:r>
      <w:r w:rsidR="00D830E1" w:rsidRPr="00080443">
        <w:rPr>
          <w:rFonts w:cs="Arial"/>
        </w:rPr>
        <w:t xml:space="preserve">. </w:t>
      </w:r>
      <w:r w:rsidRPr="00080443">
        <w:rPr>
          <w:rFonts w:cs="Arial"/>
        </w:rPr>
        <w:t>The advisory guidelines include provisions to assist interference assessments between spectrum</w:t>
      </w:r>
      <w:r w:rsidR="00F679DC" w:rsidRPr="00080443">
        <w:rPr>
          <w:rFonts w:cs="Arial"/>
        </w:rPr>
        <w:t>-</w:t>
      </w:r>
      <w:r w:rsidRPr="00080443">
        <w:rPr>
          <w:rFonts w:cs="Arial"/>
        </w:rPr>
        <w:t xml:space="preserve">licensed devices and services operating under apparatus or other licences. The </w:t>
      </w:r>
      <w:r w:rsidR="00F679DC" w:rsidRPr="00080443">
        <w:rPr>
          <w:rFonts w:cs="Arial"/>
        </w:rPr>
        <w:t xml:space="preserve">ACMA may </w:t>
      </w:r>
      <w:r w:rsidR="00F679DC" w:rsidRPr="00080443">
        <w:rPr>
          <w:rFonts w:cs="Arial"/>
        </w:rPr>
        <w:lastRenderedPageBreak/>
        <w:t xml:space="preserve">also use the </w:t>
      </w:r>
      <w:r w:rsidRPr="00080443">
        <w:rPr>
          <w:rFonts w:cs="Arial"/>
        </w:rPr>
        <w:t>advisory guidelines to assess interference and manage disputes between different spectrum</w:t>
      </w:r>
      <w:r w:rsidR="00F679DC" w:rsidRPr="00080443">
        <w:rPr>
          <w:rFonts w:cs="Arial"/>
        </w:rPr>
        <w:t>-</w:t>
      </w:r>
      <w:r w:rsidRPr="00080443">
        <w:rPr>
          <w:rFonts w:cs="Arial"/>
        </w:rPr>
        <w:t xml:space="preserve">licensed services. </w:t>
      </w:r>
    </w:p>
    <w:p w14:paraId="28D11702" w14:textId="77777777" w:rsidR="00433D95" w:rsidRPr="00080443" w:rsidRDefault="00154A0C" w:rsidP="00154A0C">
      <w:pPr>
        <w:tabs>
          <w:tab w:val="left" w:pos="5085"/>
        </w:tabs>
        <w:rPr>
          <w:rFonts w:cs="Arial"/>
        </w:rPr>
      </w:pPr>
      <w:r w:rsidRPr="00080443">
        <w:rPr>
          <w:rFonts w:cs="Arial"/>
        </w:rPr>
        <w:tab/>
      </w:r>
    </w:p>
    <w:p w14:paraId="786C781F" w14:textId="77777777" w:rsidR="008A60B8" w:rsidRPr="00080443" w:rsidRDefault="008A60B8" w:rsidP="00433D95">
      <w:pPr>
        <w:rPr>
          <w:rFonts w:cs="Arial"/>
        </w:rPr>
      </w:pPr>
      <w:r w:rsidRPr="00080443">
        <w:rPr>
          <w:rFonts w:cs="Arial"/>
        </w:rPr>
        <w:t>The advisory guidelines for both the 700 MHz and 2.5 GHz bands contain information for spectrum licensees on managing interference from frequency adjacent apparatus</w:t>
      </w:r>
      <w:r w:rsidR="00F679DC" w:rsidRPr="00080443">
        <w:rPr>
          <w:rFonts w:cs="Arial"/>
        </w:rPr>
        <w:t>-</w:t>
      </w:r>
      <w:r w:rsidRPr="00080443">
        <w:rPr>
          <w:rFonts w:cs="Arial"/>
        </w:rPr>
        <w:t>, class</w:t>
      </w:r>
      <w:r w:rsidR="00F679DC" w:rsidRPr="00080443">
        <w:rPr>
          <w:rFonts w:cs="Arial"/>
        </w:rPr>
        <w:t>-</w:t>
      </w:r>
      <w:r w:rsidRPr="00080443">
        <w:rPr>
          <w:rFonts w:cs="Arial"/>
        </w:rPr>
        <w:t xml:space="preserve"> and spectrum-licensed services. The advisory guidelines also contain information for spectrum licensees on managing interference to non-spectrum</w:t>
      </w:r>
      <w:r w:rsidR="00F679DC" w:rsidRPr="00080443">
        <w:rPr>
          <w:rFonts w:cs="Arial"/>
        </w:rPr>
        <w:t>-</w:t>
      </w:r>
      <w:r w:rsidRPr="00080443">
        <w:rPr>
          <w:rFonts w:cs="Arial"/>
        </w:rPr>
        <w:t>licensed receivers.</w:t>
      </w:r>
    </w:p>
    <w:p w14:paraId="744939A4" w14:textId="77777777" w:rsidR="00433D95" w:rsidRPr="00080443" w:rsidRDefault="00433D95" w:rsidP="00433D95">
      <w:pPr>
        <w:rPr>
          <w:rFonts w:cs="Arial"/>
        </w:rPr>
      </w:pPr>
    </w:p>
    <w:p w14:paraId="38353680" w14:textId="77777777" w:rsidR="008A60B8" w:rsidRPr="00080443" w:rsidRDefault="008A60B8" w:rsidP="00433D95">
      <w:pPr>
        <w:spacing w:after="80"/>
        <w:rPr>
          <w:rFonts w:cs="Arial"/>
        </w:rPr>
      </w:pPr>
      <w:r w:rsidRPr="00080443">
        <w:rPr>
          <w:rFonts w:cs="Arial"/>
        </w:rPr>
        <w:t>There are two band</w:t>
      </w:r>
      <w:r w:rsidR="00F679DC" w:rsidRPr="00080443">
        <w:rPr>
          <w:rFonts w:cs="Arial"/>
        </w:rPr>
        <w:t>-</w:t>
      </w:r>
      <w:r w:rsidRPr="00080443">
        <w:rPr>
          <w:rFonts w:cs="Arial"/>
        </w:rPr>
        <w:t>specific advisory guidelines made under section 262 of the Act that are associated with spectrum licensing in the 700 MHz band. They are:</w:t>
      </w:r>
    </w:p>
    <w:p w14:paraId="6C7891F5" w14:textId="77777777" w:rsidR="008A60B8" w:rsidRPr="00080443" w:rsidRDefault="008A60B8" w:rsidP="00433D95">
      <w:pPr>
        <w:pStyle w:val="ListBullet"/>
        <w:rPr>
          <w:rFonts w:cs="Arial"/>
          <w:strike/>
        </w:rPr>
      </w:pPr>
      <w:r w:rsidRPr="00080443">
        <w:rPr>
          <w:rFonts w:cs="Arial"/>
        </w:rPr>
        <w:t xml:space="preserve">the Radiocommunications Advisory Guidelines (Managing Interference from Transmitters – 700 MHz Band) 2012 (at </w:t>
      </w:r>
      <w:r w:rsidR="00837369" w:rsidRPr="00080443">
        <w:rPr>
          <w:rFonts w:cs="Arial"/>
        </w:rPr>
        <w:t xml:space="preserve">Attachment </w:t>
      </w:r>
      <w:r w:rsidR="005D4EE4" w:rsidRPr="00080443">
        <w:rPr>
          <w:rFonts w:cs="Arial"/>
        </w:rPr>
        <w:t>D</w:t>
      </w:r>
      <w:r w:rsidRPr="00080443">
        <w:rPr>
          <w:rFonts w:cs="Arial"/>
        </w:rPr>
        <w:t xml:space="preserve">) </w:t>
      </w:r>
    </w:p>
    <w:p w14:paraId="68844C74" w14:textId="77777777" w:rsidR="008A60B8" w:rsidRPr="00080443" w:rsidRDefault="00F679DC" w:rsidP="00433D95">
      <w:pPr>
        <w:pStyle w:val="ListBullet"/>
        <w:spacing w:after="240"/>
        <w:rPr>
          <w:rFonts w:cs="Arial"/>
        </w:rPr>
      </w:pPr>
      <w:r w:rsidRPr="00080443">
        <w:rPr>
          <w:rFonts w:cs="Arial"/>
        </w:rPr>
        <w:t>t</w:t>
      </w:r>
      <w:r w:rsidR="008A60B8" w:rsidRPr="00080443">
        <w:rPr>
          <w:rFonts w:cs="Arial"/>
        </w:rPr>
        <w:t xml:space="preserve">he Radiocommunications Advisory Guidelines (Managing Interference to Receivers – 700 MHz Band 2012 (at </w:t>
      </w:r>
      <w:r w:rsidR="00837369" w:rsidRPr="00080443">
        <w:rPr>
          <w:rFonts w:cs="Arial"/>
        </w:rPr>
        <w:t xml:space="preserve">Attachment </w:t>
      </w:r>
      <w:r w:rsidR="005D4EE4" w:rsidRPr="00080443">
        <w:rPr>
          <w:rFonts w:cs="Arial"/>
        </w:rPr>
        <w:t>E</w:t>
      </w:r>
      <w:r w:rsidR="008A60B8" w:rsidRPr="00080443">
        <w:rPr>
          <w:rFonts w:cs="Arial"/>
        </w:rPr>
        <w:t xml:space="preserve">). </w:t>
      </w:r>
    </w:p>
    <w:p w14:paraId="3675E013" w14:textId="77777777" w:rsidR="008A60B8" w:rsidRPr="00080443" w:rsidRDefault="008A60B8" w:rsidP="00433D95">
      <w:pPr>
        <w:spacing w:after="80"/>
        <w:rPr>
          <w:rFonts w:cs="Arial"/>
        </w:rPr>
      </w:pPr>
      <w:r w:rsidRPr="00080443">
        <w:rPr>
          <w:rFonts w:cs="Arial"/>
        </w:rPr>
        <w:t>Similarly, there are two band</w:t>
      </w:r>
      <w:r w:rsidR="00F679DC" w:rsidRPr="00080443">
        <w:rPr>
          <w:rFonts w:cs="Arial"/>
        </w:rPr>
        <w:t>-</w:t>
      </w:r>
      <w:r w:rsidRPr="00080443">
        <w:rPr>
          <w:rFonts w:cs="Arial"/>
        </w:rPr>
        <w:t>specific advisory guidelines made under section 262 of the Act that are associated with spectrum licensing of the 2.5 GHz band. They are:</w:t>
      </w:r>
    </w:p>
    <w:p w14:paraId="6321FBE3" w14:textId="77777777" w:rsidR="008A60B8" w:rsidRPr="00080443" w:rsidRDefault="008A60B8" w:rsidP="00433D95">
      <w:pPr>
        <w:pStyle w:val="ListBullet"/>
        <w:rPr>
          <w:rFonts w:cs="Arial"/>
          <w:strike/>
        </w:rPr>
      </w:pPr>
      <w:r w:rsidRPr="00080443">
        <w:rPr>
          <w:rFonts w:cs="Arial"/>
        </w:rPr>
        <w:t xml:space="preserve">the Radiocommunications Advisory Guidelines (Managing Interference from Transmitters – 2.5 GHz Band) 2012 (at </w:t>
      </w:r>
      <w:r w:rsidR="00837369" w:rsidRPr="00080443">
        <w:rPr>
          <w:rFonts w:cs="Arial"/>
        </w:rPr>
        <w:t xml:space="preserve">Attachment </w:t>
      </w:r>
      <w:r w:rsidR="005D4EE4" w:rsidRPr="00080443">
        <w:rPr>
          <w:rFonts w:cs="Arial"/>
        </w:rPr>
        <w:t>H</w:t>
      </w:r>
      <w:r w:rsidR="00837369" w:rsidRPr="00080443">
        <w:rPr>
          <w:rFonts w:cs="Arial"/>
        </w:rPr>
        <w:t>)</w:t>
      </w:r>
      <w:r w:rsidRPr="00080443">
        <w:rPr>
          <w:rFonts w:cs="Arial"/>
        </w:rPr>
        <w:t xml:space="preserve"> </w:t>
      </w:r>
    </w:p>
    <w:p w14:paraId="29C91C24" w14:textId="77777777" w:rsidR="008A60B8" w:rsidRPr="00080443" w:rsidRDefault="008A60B8" w:rsidP="00433D95">
      <w:pPr>
        <w:pStyle w:val="ListBullet"/>
        <w:spacing w:after="240"/>
        <w:rPr>
          <w:rFonts w:cs="Arial"/>
        </w:rPr>
      </w:pPr>
      <w:r w:rsidRPr="00080443">
        <w:rPr>
          <w:rFonts w:cs="Arial"/>
        </w:rPr>
        <w:t xml:space="preserve">the Radiocommunications Advisory Guidelines (Managing Interference to Receivers – 2.5 GHz Band 2012 (at </w:t>
      </w:r>
      <w:r w:rsidR="00837369" w:rsidRPr="00080443">
        <w:rPr>
          <w:rFonts w:cs="Arial"/>
        </w:rPr>
        <w:t xml:space="preserve">Attachment </w:t>
      </w:r>
      <w:r w:rsidR="005D4EE4" w:rsidRPr="00080443">
        <w:rPr>
          <w:rFonts w:cs="Arial"/>
        </w:rPr>
        <w:t>I</w:t>
      </w:r>
      <w:r w:rsidRPr="00080443">
        <w:rPr>
          <w:rFonts w:cs="Arial"/>
        </w:rPr>
        <w:t xml:space="preserve">).  </w:t>
      </w:r>
    </w:p>
    <w:p w14:paraId="23496167" w14:textId="77777777" w:rsidR="008A60B8" w:rsidRPr="00080443" w:rsidRDefault="008A60B8" w:rsidP="00433D95">
      <w:pPr>
        <w:rPr>
          <w:rFonts w:cs="Arial"/>
        </w:rPr>
      </w:pPr>
      <w:r w:rsidRPr="00080443">
        <w:rPr>
          <w:rFonts w:cs="Arial"/>
        </w:rPr>
        <w:t xml:space="preserve">Further information on </w:t>
      </w:r>
      <w:r w:rsidR="00F679DC" w:rsidRPr="00080443">
        <w:rPr>
          <w:rFonts w:cs="Arial"/>
        </w:rPr>
        <w:t xml:space="preserve">the </w:t>
      </w:r>
      <w:r w:rsidRPr="00080443">
        <w:rPr>
          <w:rFonts w:cs="Arial"/>
        </w:rPr>
        <w:t xml:space="preserve">radiocommunications advisory guidelines is available in </w:t>
      </w:r>
      <w:hyperlink r:id="rId52" w:history="1">
        <w:r w:rsidRPr="00080443">
          <w:rPr>
            <w:rStyle w:val="Hyperlink"/>
            <w:rFonts w:cs="Arial"/>
            <w:i/>
          </w:rPr>
          <w:t xml:space="preserve">Know </w:t>
        </w:r>
        <w:r w:rsidR="00F679DC" w:rsidRPr="00080443">
          <w:rPr>
            <w:rStyle w:val="Hyperlink"/>
            <w:rFonts w:cs="Arial"/>
            <w:i/>
          </w:rPr>
          <w:t>y</w:t>
        </w:r>
        <w:r w:rsidRPr="00080443">
          <w:rPr>
            <w:rStyle w:val="Hyperlink"/>
            <w:rFonts w:cs="Arial"/>
            <w:i/>
          </w:rPr>
          <w:t xml:space="preserve">our </w:t>
        </w:r>
        <w:r w:rsidR="00F679DC" w:rsidRPr="00080443">
          <w:rPr>
            <w:rStyle w:val="Hyperlink"/>
            <w:rFonts w:cs="Arial"/>
            <w:i/>
          </w:rPr>
          <w:t>o</w:t>
        </w:r>
        <w:r w:rsidRPr="00080443">
          <w:rPr>
            <w:rStyle w:val="Hyperlink"/>
            <w:rFonts w:cs="Arial"/>
            <w:i/>
          </w:rPr>
          <w:t>bligations</w:t>
        </w:r>
      </w:hyperlink>
      <w:r w:rsidRPr="00080443">
        <w:rPr>
          <w:rFonts w:cs="Arial"/>
        </w:rPr>
        <w:t>.</w:t>
      </w:r>
    </w:p>
    <w:p w14:paraId="512A7B77" w14:textId="77777777" w:rsidR="00433D95" w:rsidRPr="00080443" w:rsidRDefault="00433D95" w:rsidP="00433D95">
      <w:pPr>
        <w:rPr>
          <w:rFonts w:cs="Arial"/>
        </w:rPr>
      </w:pPr>
    </w:p>
    <w:p w14:paraId="65CF7645" w14:textId="77777777" w:rsidR="008A60B8" w:rsidRPr="00080443" w:rsidRDefault="008A60B8" w:rsidP="005B6C76">
      <w:pPr>
        <w:pStyle w:val="Heading3"/>
        <w:numPr>
          <w:ilvl w:val="2"/>
          <w:numId w:val="12"/>
        </w:numPr>
      </w:pPr>
      <w:bookmarkStart w:id="198" w:name="_Toc335246315"/>
      <w:bookmarkStart w:id="199" w:name="_Toc343780523"/>
      <w:r w:rsidRPr="00080443">
        <w:t xml:space="preserve">Managing interference to </w:t>
      </w:r>
      <w:r w:rsidR="00226B64" w:rsidRPr="00080443">
        <w:t>spectrum</w:t>
      </w:r>
      <w:r w:rsidR="00890986" w:rsidRPr="00080443">
        <w:t>-</w:t>
      </w:r>
      <w:r w:rsidR="00226B64" w:rsidRPr="00080443">
        <w:t xml:space="preserve">licensed </w:t>
      </w:r>
      <w:r w:rsidRPr="00080443">
        <w:t>receivers</w:t>
      </w:r>
      <w:bookmarkEnd w:id="198"/>
      <w:bookmarkEnd w:id="199"/>
    </w:p>
    <w:p w14:paraId="62F92070" w14:textId="77777777" w:rsidR="00237F56" w:rsidRPr="00080443" w:rsidRDefault="00226B64" w:rsidP="00433D95">
      <w:pPr>
        <w:rPr>
          <w:rFonts w:cs="Arial"/>
        </w:rPr>
      </w:pPr>
      <w:r w:rsidRPr="00080443">
        <w:rPr>
          <w:rFonts w:cs="Arial"/>
        </w:rPr>
        <w:t xml:space="preserve">The advisory guidelines </w:t>
      </w:r>
      <w:r w:rsidR="008A60B8" w:rsidRPr="00080443">
        <w:rPr>
          <w:rFonts w:cs="Arial"/>
        </w:rPr>
        <w:t xml:space="preserve">set out a minimum performance level for receivers in the </w:t>
      </w:r>
      <w:r w:rsidRPr="00080443">
        <w:rPr>
          <w:rFonts w:cs="Arial"/>
        </w:rPr>
        <w:t>700</w:t>
      </w:r>
      <w:r w:rsidR="00890986" w:rsidRPr="00080443">
        <w:rPr>
          <w:rFonts w:cs="Arial"/>
        </w:rPr>
        <w:t> </w:t>
      </w:r>
      <w:r w:rsidRPr="00080443">
        <w:rPr>
          <w:rFonts w:cs="Arial"/>
        </w:rPr>
        <w:t xml:space="preserve">MHz and 2.5 GHz </w:t>
      </w:r>
      <w:r w:rsidR="008A60B8" w:rsidRPr="00080443">
        <w:rPr>
          <w:rFonts w:cs="Arial"/>
        </w:rPr>
        <w:t xml:space="preserve">bands. These criteria provide a basis </w:t>
      </w:r>
      <w:r w:rsidRPr="00080443">
        <w:rPr>
          <w:rFonts w:cs="Arial"/>
        </w:rPr>
        <w:t>from</w:t>
      </w:r>
      <w:r w:rsidR="008A60B8" w:rsidRPr="00080443">
        <w:rPr>
          <w:rFonts w:cs="Arial"/>
        </w:rPr>
        <w:t xml:space="preserve"> which licensees are able to develop procedures for managing interference between </w:t>
      </w:r>
      <w:r w:rsidRPr="00080443">
        <w:rPr>
          <w:rFonts w:cs="Arial"/>
        </w:rPr>
        <w:t xml:space="preserve">receivers and transmitters in adjacent frequency bands. </w:t>
      </w:r>
      <w:r w:rsidR="00890986" w:rsidRPr="00080443">
        <w:rPr>
          <w:rFonts w:cs="Arial"/>
        </w:rPr>
        <w:t>When planning services and resolving interference cases,</w:t>
      </w:r>
      <w:r w:rsidR="00237F56" w:rsidRPr="00080443">
        <w:rPr>
          <w:rFonts w:cs="Arial"/>
        </w:rPr>
        <w:t xml:space="preserve"> licensees (and accredited persons) </w:t>
      </w:r>
      <w:r w:rsidR="00890986" w:rsidRPr="00080443">
        <w:rPr>
          <w:rFonts w:cs="Arial"/>
        </w:rPr>
        <w:t>should follow</w:t>
      </w:r>
      <w:r w:rsidR="00237F56" w:rsidRPr="00080443">
        <w:rPr>
          <w:rFonts w:cs="Arial"/>
        </w:rPr>
        <w:t xml:space="preserve"> the advisory guidelines. The guidelines only apply to registered fixed receivers</w:t>
      </w:r>
      <w:r w:rsidR="00890986" w:rsidRPr="00080443">
        <w:rPr>
          <w:rFonts w:cs="Arial"/>
        </w:rPr>
        <w:t>—</w:t>
      </w:r>
      <w:r w:rsidR="008D5A56" w:rsidRPr="00080443">
        <w:rPr>
          <w:rFonts w:cs="Arial"/>
        </w:rPr>
        <w:t>the</w:t>
      </w:r>
      <w:r w:rsidR="00237F56" w:rsidRPr="00080443">
        <w:rPr>
          <w:rFonts w:cs="Arial"/>
        </w:rPr>
        <w:t>y do not apply to mobile or nomadic receivers operated under a spectrum licence.</w:t>
      </w:r>
    </w:p>
    <w:p w14:paraId="0A5E4DB2" w14:textId="77777777" w:rsidR="00237F56" w:rsidRPr="00080443" w:rsidRDefault="00237F56" w:rsidP="00433D95">
      <w:pPr>
        <w:rPr>
          <w:rFonts w:cs="Arial"/>
        </w:rPr>
      </w:pPr>
    </w:p>
    <w:p w14:paraId="5ED75372" w14:textId="77777777" w:rsidR="008A60B8" w:rsidRPr="00080443" w:rsidRDefault="00237F56" w:rsidP="00433D95">
      <w:pPr>
        <w:rPr>
          <w:rFonts w:cs="Arial"/>
        </w:rPr>
      </w:pPr>
      <w:r w:rsidRPr="00080443">
        <w:rPr>
          <w:rFonts w:cs="Arial"/>
        </w:rPr>
        <w:t>In the case of the 700 MHz ban</w:t>
      </w:r>
      <w:r w:rsidR="008D5A56" w:rsidRPr="00080443">
        <w:rPr>
          <w:rFonts w:cs="Arial"/>
        </w:rPr>
        <w:t>d</w:t>
      </w:r>
      <w:r w:rsidRPr="00080443">
        <w:rPr>
          <w:rFonts w:cs="Arial"/>
        </w:rPr>
        <w:t xml:space="preserve">, </w:t>
      </w:r>
      <w:r w:rsidR="008D5A56" w:rsidRPr="00080443">
        <w:rPr>
          <w:rFonts w:cs="Arial"/>
        </w:rPr>
        <w:t xml:space="preserve">the advisory guidelines </w:t>
      </w:r>
      <w:r w:rsidRPr="00080443">
        <w:rPr>
          <w:rFonts w:cs="Arial"/>
        </w:rPr>
        <w:t>also include</w:t>
      </w:r>
      <w:r w:rsidR="008D5A56" w:rsidRPr="00080443">
        <w:rPr>
          <w:rFonts w:cs="Arial"/>
        </w:rPr>
        <w:t xml:space="preserve"> advice a</w:t>
      </w:r>
      <w:r w:rsidRPr="00080443">
        <w:rPr>
          <w:rFonts w:cs="Arial"/>
        </w:rPr>
        <w:t xml:space="preserve">bout managing interference to 700 MHz band receivers from broadcast services prior to </w:t>
      </w:r>
      <w:r w:rsidR="008D5A56" w:rsidRPr="00080443">
        <w:rPr>
          <w:rFonts w:cs="Arial"/>
        </w:rPr>
        <w:t xml:space="preserve">completion of the </w:t>
      </w:r>
      <w:r w:rsidRPr="00080443">
        <w:rPr>
          <w:rFonts w:cs="Arial"/>
        </w:rPr>
        <w:t>restack process</w:t>
      </w:r>
      <w:r w:rsidR="007C00A6" w:rsidRPr="00080443">
        <w:rPr>
          <w:rFonts w:cs="Arial"/>
        </w:rPr>
        <w:t xml:space="preserve"> (see 2.3.5)</w:t>
      </w:r>
      <w:r w:rsidRPr="00080443">
        <w:rPr>
          <w:rFonts w:cs="Arial"/>
        </w:rPr>
        <w:t>.</w:t>
      </w:r>
      <w:r w:rsidR="008A60B8" w:rsidRPr="00080443">
        <w:rPr>
          <w:rFonts w:cs="Arial"/>
        </w:rPr>
        <w:t xml:space="preserve"> </w:t>
      </w:r>
    </w:p>
    <w:p w14:paraId="05A91595" w14:textId="77777777" w:rsidR="00237F56" w:rsidRPr="00080443" w:rsidRDefault="00237F56" w:rsidP="00433D95">
      <w:pPr>
        <w:rPr>
          <w:rFonts w:cs="Arial"/>
        </w:rPr>
      </w:pPr>
    </w:p>
    <w:p w14:paraId="42ADAE73" w14:textId="77777777" w:rsidR="00237F56" w:rsidRPr="00080443" w:rsidRDefault="00237F56" w:rsidP="00433D95">
      <w:pPr>
        <w:rPr>
          <w:rFonts w:cs="Arial"/>
        </w:rPr>
      </w:pPr>
      <w:r w:rsidRPr="00080443">
        <w:rPr>
          <w:rFonts w:cs="Arial"/>
        </w:rPr>
        <w:t>While the receiver requirements in the guidelines are not mandatory, the</w:t>
      </w:r>
      <w:r w:rsidR="007C00A6" w:rsidRPr="00080443">
        <w:rPr>
          <w:rFonts w:cs="Arial"/>
        </w:rPr>
        <w:t xml:space="preserve"> guidelines </w:t>
      </w:r>
      <w:r w:rsidRPr="00080443">
        <w:rPr>
          <w:rFonts w:cs="Arial"/>
        </w:rPr>
        <w:t xml:space="preserve">will be used </w:t>
      </w:r>
      <w:r w:rsidR="007C00A6" w:rsidRPr="00080443">
        <w:rPr>
          <w:rFonts w:cs="Arial"/>
        </w:rPr>
        <w:t xml:space="preserve">by the ACMA </w:t>
      </w:r>
      <w:r w:rsidRPr="00080443">
        <w:rPr>
          <w:rFonts w:cs="Arial"/>
        </w:rPr>
        <w:t>in resolving interference cases. To be afforded protection from interference in accordance with advisory guidelines, the receiver must meet the minimum level of receiver performance and the details of the receiver must be recorded in the R</w:t>
      </w:r>
      <w:r w:rsidR="008D5A56" w:rsidRPr="00080443">
        <w:rPr>
          <w:rFonts w:cs="Arial"/>
        </w:rPr>
        <w:t>RL</w:t>
      </w:r>
      <w:r w:rsidRPr="00080443">
        <w:rPr>
          <w:rFonts w:cs="Arial"/>
        </w:rPr>
        <w:t>.</w:t>
      </w:r>
    </w:p>
    <w:p w14:paraId="1C0A49E5" w14:textId="77777777" w:rsidR="00433D95" w:rsidRPr="00080443" w:rsidRDefault="00433D95" w:rsidP="00433D95">
      <w:pPr>
        <w:rPr>
          <w:rFonts w:cs="Arial"/>
        </w:rPr>
      </w:pPr>
    </w:p>
    <w:p w14:paraId="51C1A10B" w14:textId="77777777" w:rsidR="008A60B8" w:rsidRPr="00080443" w:rsidRDefault="008A60B8" w:rsidP="00433D95">
      <w:pPr>
        <w:rPr>
          <w:rFonts w:cs="Arial"/>
        </w:rPr>
      </w:pPr>
      <w:r w:rsidRPr="00080443">
        <w:rPr>
          <w:rFonts w:cs="Arial"/>
        </w:rPr>
        <w:t xml:space="preserve">Licensees will need to take account of the emission limits permitted under the technical framework when deciding the level of performance they require for their receivers. It is for licensees to balance the cost of receiver performance against the </w:t>
      </w:r>
      <w:r w:rsidR="00237F56" w:rsidRPr="00080443">
        <w:rPr>
          <w:rFonts w:cs="Arial"/>
        </w:rPr>
        <w:t xml:space="preserve">risk of interference. </w:t>
      </w:r>
    </w:p>
    <w:p w14:paraId="0C4C0E72" w14:textId="77777777" w:rsidR="00433D95" w:rsidRPr="00080443" w:rsidRDefault="00433D95" w:rsidP="00433D95">
      <w:pPr>
        <w:rPr>
          <w:rFonts w:cs="Arial"/>
        </w:rPr>
      </w:pPr>
    </w:p>
    <w:p w14:paraId="5CD2F105" w14:textId="77777777" w:rsidR="008A60B8" w:rsidRPr="00080443" w:rsidRDefault="008A60B8" w:rsidP="00433D95">
      <w:pPr>
        <w:rPr>
          <w:rFonts w:cs="Arial"/>
        </w:rPr>
      </w:pPr>
      <w:r w:rsidRPr="00080443">
        <w:rPr>
          <w:rFonts w:cs="Arial"/>
        </w:rPr>
        <w:t>The framework provides for the operation of receivers that have interference susceptibility commensurate with that achieved by current technology</w:t>
      </w:r>
      <w:r w:rsidR="000601DB" w:rsidRPr="00080443">
        <w:rPr>
          <w:rFonts w:cs="Arial"/>
        </w:rPr>
        <w:t>,</w:t>
      </w:r>
      <w:r w:rsidRPr="00080443">
        <w:rPr>
          <w:rFonts w:cs="Arial"/>
        </w:rPr>
        <w:t xml:space="preserve"> and for this level of performance to guide the interference settlement process. Receivers with poor interference susceptibility performance can be used, but in those cases licensees may have to use more of their own spectrum space as guard space. </w:t>
      </w:r>
    </w:p>
    <w:p w14:paraId="23754335" w14:textId="77777777" w:rsidR="00433D95" w:rsidRPr="00080443" w:rsidRDefault="00433D95" w:rsidP="00433D95">
      <w:pPr>
        <w:rPr>
          <w:rFonts w:cs="Arial"/>
        </w:rPr>
      </w:pPr>
    </w:p>
    <w:p w14:paraId="649FFB6E" w14:textId="77777777" w:rsidR="008A60B8" w:rsidRPr="00080443" w:rsidRDefault="003424BB" w:rsidP="005B6C76">
      <w:pPr>
        <w:pStyle w:val="Heading3"/>
        <w:numPr>
          <w:ilvl w:val="2"/>
          <w:numId w:val="12"/>
        </w:numPr>
      </w:pPr>
      <w:bookmarkStart w:id="200" w:name="_Toc335246316"/>
      <w:bookmarkStart w:id="201" w:name="_Toc343780524"/>
      <w:r w:rsidRPr="00080443">
        <w:lastRenderedPageBreak/>
        <w:t>Managing interference from spectrum</w:t>
      </w:r>
      <w:r w:rsidR="00890986" w:rsidRPr="00080443">
        <w:t>-</w:t>
      </w:r>
      <w:r w:rsidRPr="00080443">
        <w:t>licensed transmitters to other services</w:t>
      </w:r>
      <w:bookmarkEnd w:id="200"/>
      <w:bookmarkEnd w:id="201"/>
    </w:p>
    <w:p w14:paraId="687D871F" w14:textId="77777777" w:rsidR="008A60B8" w:rsidRPr="00080443" w:rsidRDefault="008A60B8" w:rsidP="00433D95">
      <w:pPr>
        <w:rPr>
          <w:rFonts w:cs="Arial"/>
        </w:rPr>
      </w:pPr>
      <w:r w:rsidRPr="00080443">
        <w:rPr>
          <w:rFonts w:cs="Arial"/>
        </w:rPr>
        <w:t xml:space="preserve">The advisory guidelines contain information for spectrum licensees about protection to be provided to receivers of services operating in or adjacent to the </w:t>
      </w:r>
      <w:r w:rsidR="003424BB" w:rsidRPr="00080443">
        <w:rPr>
          <w:rFonts w:cs="Arial"/>
        </w:rPr>
        <w:t>700 MHz and 2.5</w:t>
      </w:r>
      <w:r w:rsidR="00890986" w:rsidRPr="00080443">
        <w:rPr>
          <w:rFonts w:cs="Arial"/>
        </w:rPr>
        <w:t> </w:t>
      </w:r>
      <w:r w:rsidR="003424BB" w:rsidRPr="00080443">
        <w:rPr>
          <w:rFonts w:cs="Arial"/>
        </w:rPr>
        <w:t xml:space="preserve">GHz </w:t>
      </w:r>
      <w:r w:rsidRPr="00080443">
        <w:rPr>
          <w:rFonts w:cs="Arial"/>
        </w:rPr>
        <w:t>band</w:t>
      </w:r>
      <w:r w:rsidR="003424BB" w:rsidRPr="00080443">
        <w:rPr>
          <w:rFonts w:cs="Arial"/>
        </w:rPr>
        <w:t>s</w:t>
      </w:r>
      <w:r w:rsidRPr="00080443">
        <w:rPr>
          <w:rFonts w:cs="Arial"/>
        </w:rPr>
        <w:t xml:space="preserve">. </w:t>
      </w:r>
    </w:p>
    <w:p w14:paraId="32B59A23" w14:textId="77777777" w:rsidR="00433D95" w:rsidRPr="00080443" w:rsidRDefault="00433D95" w:rsidP="00433D95">
      <w:pPr>
        <w:rPr>
          <w:rFonts w:cs="Arial"/>
        </w:rPr>
      </w:pPr>
    </w:p>
    <w:p w14:paraId="7BE6FD70" w14:textId="77777777" w:rsidR="008A60B8" w:rsidRPr="00080443" w:rsidRDefault="008A60B8" w:rsidP="00433D95">
      <w:pPr>
        <w:rPr>
          <w:rFonts w:cs="Arial"/>
        </w:rPr>
      </w:pPr>
      <w:r w:rsidRPr="00080443">
        <w:rPr>
          <w:rFonts w:cs="Arial"/>
        </w:rPr>
        <w:t xml:space="preserve">In the case of the 700 MHz band this includes television </w:t>
      </w:r>
      <w:r w:rsidR="000B262D" w:rsidRPr="00080443">
        <w:rPr>
          <w:rFonts w:cs="Arial"/>
        </w:rPr>
        <w:t xml:space="preserve">broadcasting </w:t>
      </w:r>
      <w:r w:rsidRPr="00080443">
        <w:rPr>
          <w:rFonts w:cs="Arial"/>
        </w:rPr>
        <w:t>services.</w:t>
      </w:r>
    </w:p>
    <w:p w14:paraId="6795B1E3" w14:textId="77777777" w:rsidR="00433D95" w:rsidRPr="00080443" w:rsidRDefault="00433D95" w:rsidP="00433D95">
      <w:pPr>
        <w:rPr>
          <w:rFonts w:cs="Arial"/>
        </w:rPr>
      </w:pPr>
    </w:p>
    <w:p w14:paraId="74D64992" w14:textId="77777777" w:rsidR="008A60B8" w:rsidRPr="00080443" w:rsidRDefault="008A60B8" w:rsidP="00433D95">
      <w:pPr>
        <w:spacing w:after="80"/>
        <w:rPr>
          <w:rFonts w:cs="Arial"/>
        </w:rPr>
      </w:pPr>
      <w:r w:rsidRPr="00080443">
        <w:rPr>
          <w:rFonts w:cs="Arial"/>
        </w:rPr>
        <w:t>In the case of the 2.5 GHz band, it includes:</w:t>
      </w:r>
    </w:p>
    <w:p w14:paraId="5BD16CC2" w14:textId="77777777" w:rsidR="008A60B8" w:rsidRPr="00080443" w:rsidRDefault="00890986" w:rsidP="00433D95">
      <w:pPr>
        <w:pStyle w:val="ListBullet"/>
        <w:rPr>
          <w:rFonts w:cs="Arial"/>
        </w:rPr>
      </w:pPr>
      <w:r w:rsidRPr="00080443">
        <w:rPr>
          <w:rFonts w:cs="Arial"/>
        </w:rPr>
        <w:t>s</w:t>
      </w:r>
      <w:r w:rsidR="003424BB" w:rsidRPr="00080443">
        <w:rPr>
          <w:rFonts w:cs="Arial"/>
        </w:rPr>
        <w:t>pectrum</w:t>
      </w:r>
      <w:r w:rsidRPr="00080443">
        <w:rPr>
          <w:rFonts w:cs="Arial"/>
        </w:rPr>
        <w:t>-</w:t>
      </w:r>
      <w:r w:rsidR="003424BB" w:rsidRPr="00080443">
        <w:rPr>
          <w:rFonts w:cs="Arial"/>
        </w:rPr>
        <w:t xml:space="preserve">licensed </w:t>
      </w:r>
      <w:r w:rsidR="008A60B8" w:rsidRPr="00080443">
        <w:rPr>
          <w:rFonts w:cs="Arial"/>
        </w:rPr>
        <w:t>receivers operating in the mid-band gap</w:t>
      </w:r>
    </w:p>
    <w:p w14:paraId="0C463F19" w14:textId="77777777" w:rsidR="008A60B8" w:rsidRPr="00080443" w:rsidRDefault="008A60B8" w:rsidP="00433D95">
      <w:pPr>
        <w:pStyle w:val="ListBullet"/>
        <w:rPr>
          <w:rFonts w:cs="Arial"/>
        </w:rPr>
      </w:pPr>
      <w:r w:rsidRPr="00080443">
        <w:rPr>
          <w:rFonts w:cs="Arial"/>
        </w:rPr>
        <w:t>fixed service receivers such as point-to-point links</w:t>
      </w:r>
    </w:p>
    <w:p w14:paraId="7DEF55C7" w14:textId="77777777" w:rsidR="008A60B8" w:rsidRPr="00080443" w:rsidRDefault="008A60B8" w:rsidP="00433D95">
      <w:pPr>
        <w:pStyle w:val="ListBullet"/>
        <w:rPr>
          <w:rFonts w:cs="Arial"/>
        </w:rPr>
      </w:pPr>
      <w:r w:rsidRPr="00080443">
        <w:rPr>
          <w:rFonts w:cs="Arial"/>
        </w:rPr>
        <w:t>radioastronomy service receivers</w:t>
      </w:r>
    </w:p>
    <w:p w14:paraId="61BAC03B" w14:textId="77777777" w:rsidR="008A60B8" w:rsidRPr="00080443" w:rsidRDefault="008A60B8" w:rsidP="00433D95">
      <w:pPr>
        <w:pStyle w:val="ListBullet"/>
        <w:rPr>
          <w:rFonts w:cs="Arial"/>
        </w:rPr>
      </w:pPr>
      <w:r w:rsidRPr="00080443">
        <w:rPr>
          <w:rFonts w:cs="Arial"/>
        </w:rPr>
        <w:t>aeronautical radionavigation service receivers</w:t>
      </w:r>
    </w:p>
    <w:p w14:paraId="546D8AE6" w14:textId="77777777" w:rsidR="008A60B8" w:rsidRPr="00080443" w:rsidRDefault="008A60B8" w:rsidP="00433D95">
      <w:pPr>
        <w:pStyle w:val="ListBullet"/>
        <w:spacing w:after="240"/>
        <w:rPr>
          <w:rFonts w:cs="Arial"/>
        </w:rPr>
      </w:pPr>
      <w:r w:rsidRPr="00080443">
        <w:rPr>
          <w:rFonts w:cs="Arial"/>
        </w:rPr>
        <w:t>radio determination service receivers.</w:t>
      </w:r>
    </w:p>
    <w:p w14:paraId="09766FE0" w14:textId="77777777" w:rsidR="008A60B8" w:rsidRPr="00080443" w:rsidRDefault="008A60B8" w:rsidP="00433D95">
      <w:pPr>
        <w:rPr>
          <w:rFonts w:cs="Arial"/>
        </w:rPr>
      </w:pPr>
      <w:r w:rsidRPr="00080443">
        <w:rPr>
          <w:rFonts w:cs="Arial"/>
        </w:rPr>
        <w:t xml:space="preserve">The guidelines also provide advice </w:t>
      </w:r>
      <w:r w:rsidR="00F679DC" w:rsidRPr="00080443">
        <w:rPr>
          <w:rFonts w:cs="Arial"/>
        </w:rPr>
        <w:t xml:space="preserve">on </w:t>
      </w:r>
      <w:r w:rsidRPr="00080443">
        <w:rPr>
          <w:rFonts w:cs="Arial"/>
        </w:rPr>
        <w:t xml:space="preserve">the notification of sites to </w:t>
      </w:r>
      <w:r w:rsidR="00F679DC" w:rsidRPr="00080443">
        <w:rPr>
          <w:rFonts w:cs="Arial"/>
        </w:rPr>
        <w:t>help</w:t>
      </w:r>
      <w:r w:rsidRPr="00080443">
        <w:rPr>
          <w:rFonts w:cs="Arial"/>
        </w:rPr>
        <w:t xml:space="preserve"> protect radioastronomy services operating in the bands 2200</w:t>
      </w:r>
      <w:r w:rsidR="00F679DC" w:rsidRPr="00080443">
        <w:rPr>
          <w:rFonts w:cs="Arial"/>
        </w:rPr>
        <w:t>–</w:t>
      </w:r>
      <w:r w:rsidRPr="00080443">
        <w:rPr>
          <w:rFonts w:cs="Arial"/>
        </w:rPr>
        <w:t>2550 MHz and 2655</w:t>
      </w:r>
      <w:r w:rsidR="00F679DC" w:rsidRPr="00080443">
        <w:rPr>
          <w:rFonts w:cs="Arial"/>
        </w:rPr>
        <w:t>–</w:t>
      </w:r>
      <w:r w:rsidRPr="00080443">
        <w:rPr>
          <w:rFonts w:cs="Arial"/>
        </w:rPr>
        <w:t xml:space="preserve">2690 MHz and coordination with the Mid-west RQZ in Western Australia.   </w:t>
      </w:r>
    </w:p>
    <w:p w14:paraId="1FAEA172" w14:textId="77777777" w:rsidR="008A60B8" w:rsidRPr="00080443" w:rsidRDefault="008A60B8" w:rsidP="00433D95">
      <w:pPr>
        <w:rPr>
          <w:rFonts w:cs="Arial"/>
        </w:rPr>
      </w:pPr>
    </w:p>
    <w:p w14:paraId="09744751" w14:textId="77777777" w:rsidR="008A60B8" w:rsidRPr="00080443" w:rsidRDefault="008A60B8" w:rsidP="005B6C76">
      <w:pPr>
        <w:pStyle w:val="Heading2"/>
        <w:numPr>
          <w:ilvl w:val="1"/>
          <w:numId w:val="12"/>
        </w:numPr>
      </w:pPr>
      <w:bookmarkStart w:id="202" w:name="_Toc335246317"/>
      <w:bookmarkStart w:id="203" w:name="_Toc343780525"/>
      <w:bookmarkStart w:id="204" w:name="_Toc219183245"/>
      <w:r w:rsidRPr="00080443">
        <w:t>Statutory licence conditions</w:t>
      </w:r>
      <w:bookmarkEnd w:id="202"/>
      <w:bookmarkEnd w:id="203"/>
    </w:p>
    <w:p w14:paraId="4CE0AB0B" w14:textId="77777777" w:rsidR="008A60B8" w:rsidRPr="00080443" w:rsidRDefault="008A60B8" w:rsidP="00433D95">
      <w:pPr>
        <w:rPr>
          <w:rFonts w:cs="Arial"/>
          <w:lang w:val="en-US"/>
        </w:rPr>
      </w:pPr>
      <w:r w:rsidRPr="00080443">
        <w:rPr>
          <w:rFonts w:cs="Arial"/>
          <w:lang w:val="en-US"/>
        </w:rPr>
        <w:t xml:space="preserve">Along with the core conditions of </w:t>
      </w:r>
      <w:r w:rsidR="007C00A6" w:rsidRPr="00080443">
        <w:rPr>
          <w:rFonts w:cs="Arial"/>
          <w:lang w:val="en-US"/>
        </w:rPr>
        <w:t xml:space="preserve">a </w:t>
      </w:r>
      <w:proofErr w:type="spellStart"/>
      <w:r w:rsidRPr="00080443">
        <w:rPr>
          <w:rFonts w:cs="Arial"/>
          <w:lang w:val="en-US"/>
        </w:rPr>
        <w:t>licence</w:t>
      </w:r>
      <w:proofErr w:type="spellEnd"/>
      <w:r w:rsidR="007C00A6" w:rsidRPr="00080443">
        <w:rPr>
          <w:rFonts w:cs="Arial"/>
          <w:lang w:val="en-US"/>
        </w:rPr>
        <w:t xml:space="preserve">, </w:t>
      </w:r>
      <w:r w:rsidRPr="00080443">
        <w:rPr>
          <w:rFonts w:cs="Arial"/>
          <w:lang w:val="en-US"/>
        </w:rPr>
        <w:t xml:space="preserve">there are other conditions that the ACMA must include </w:t>
      </w:r>
      <w:r w:rsidR="007C00A6" w:rsidRPr="00080443">
        <w:rPr>
          <w:rFonts w:cs="Arial"/>
          <w:lang w:val="en-US"/>
        </w:rPr>
        <w:t>i</w:t>
      </w:r>
      <w:r w:rsidRPr="00080443">
        <w:rPr>
          <w:rFonts w:cs="Arial"/>
          <w:lang w:val="en-US"/>
        </w:rPr>
        <w:t xml:space="preserve">n a spectrum </w:t>
      </w:r>
      <w:proofErr w:type="spellStart"/>
      <w:r w:rsidRPr="00080443">
        <w:rPr>
          <w:rFonts w:cs="Arial"/>
          <w:lang w:val="en-US"/>
        </w:rPr>
        <w:t>licence</w:t>
      </w:r>
      <w:proofErr w:type="spellEnd"/>
      <w:r w:rsidRPr="00080443">
        <w:rPr>
          <w:rFonts w:cs="Arial"/>
          <w:lang w:val="en-US"/>
        </w:rPr>
        <w:t xml:space="preserve"> in accordance with the requirements of the Act. These conditions are referred to as </w:t>
      </w:r>
      <w:r w:rsidR="006A65E3" w:rsidRPr="00080443">
        <w:rPr>
          <w:rFonts w:cs="Arial"/>
          <w:lang w:val="en-US"/>
        </w:rPr>
        <w:t>‘</w:t>
      </w:r>
      <w:r w:rsidRPr="00080443">
        <w:rPr>
          <w:rFonts w:cs="Arial"/>
          <w:lang w:val="en-US"/>
        </w:rPr>
        <w:t>statutory conditions</w:t>
      </w:r>
      <w:r w:rsidR="006A65E3" w:rsidRPr="00080443">
        <w:rPr>
          <w:rFonts w:cs="Arial"/>
          <w:lang w:val="en-US"/>
        </w:rPr>
        <w:t>’</w:t>
      </w:r>
      <w:r w:rsidRPr="00080443">
        <w:rPr>
          <w:rFonts w:cs="Arial"/>
          <w:lang w:val="en-US"/>
        </w:rPr>
        <w:t xml:space="preserve"> and a brief summary of the requirements of each is outlined below. Further information on each of the statutory conditions is available in </w:t>
      </w:r>
      <w:hyperlink r:id="rId53" w:history="1">
        <w:r w:rsidRPr="00080443">
          <w:rPr>
            <w:rStyle w:val="Hyperlink"/>
            <w:rFonts w:cs="Arial"/>
            <w:i/>
            <w:lang w:val="en-US"/>
          </w:rPr>
          <w:t xml:space="preserve">Know </w:t>
        </w:r>
        <w:r w:rsidR="009552E1" w:rsidRPr="00080443">
          <w:rPr>
            <w:rStyle w:val="Hyperlink"/>
            <w:rFonts w:cs="Arial"/>
            <w:i/>
            <w:lang w:val="en-US"/>
          </w:rPr>
          <w:t>y</w:t>
        </w:r>
        <w:r w:rsidRPr="00080443">
          <w:rPr>
            <w:rStyle w:val="Hyperlink"/>
            <w:rFonts w:cs="Arial"/>
            <w:i/>
            <w:lang w:val="en-US"/>
          </w:rPr>
          <w:t xml:space="preserve">our </w:t>
        </w:r>
        <w:r w:rsidR="009552E1" w:rsidRPr="00080443">
          <w:rPr>
            <w:rStyle w:val="Hyperlink"/>
            <w:rFonts w:cs="Arial"/>
            <w:i/>
            <w:lang w:val="en-US"/>
          </w:rPr>
          <w:t>o</w:t>
        </w:r>
        <w:r w:rsidRPr="00080443">
          <w:rPr>
            <w:rStyle w:val="Hyperlink"/>
            <w:rFonts w:cs="Arial"/>
            <w:i/>
            <w:lang w:val="en-US"/>
          </w:rPr>
          <w:t>bligations</w:t>
        </w:r>
      </w:hyperlink>
      <w:r w:rsidRPr="00080443">
        <w:rPr>
          <w:rFonts w:cs="Arial"/>
          <w:lang w:val="en-US"/>
        </w:rPr>
        <w:t>.</w:t>
      </w:r>
    </w:p>
    <w:p w14:paraId="620E9CCF" w14:textId="77777777" w:rsidR="00433D95" w:rsidRPr="00080443" w:rsidRDefault="00433D95" w:rsidP="00433D95">
      <w:pPr>
        <w:rPr>
          <w:rFonts w:cs="Arial"/>
        </w:rPr>
      </w:pPr>
    </w:p>
    <w:p w14:paraId="65A2ACE7" w14:textId="77777777" w:rsidR="008A60B8" w:rsidRPr="00080443" w:rsidRDefault="008A60B8" w:rsidP="005B6C76">
      <w:pPr>
        <w:pStyle w:val="Heading3"/>
        <w:numPr>
          <w:ilvl w:val="2"/>
          <w:numId w:val="12"/>
        </w:numPr>
      </w:pPr>
      <w:bookmarkStart w:id="205" w:name="_Toc335246318"/>
      <w:bookmarkStart w:id="206" w:name="_Toc343780526"/>
      <w:r w:rsidRPr="00080443">
        <w:t>Payment of charges</w:t>
      </w:r>
      <w:bookmarkEnd w:id="205"/>
      <w:bookmarkEnd w:id="206"/>
    </w:p>
    <w:p w14:paraId="2CD015DA" w14:textId="77777777" w:rsidR="008A60B8" w:rsidRPr="00080443" w:rsidRDefault="008A60B8" w:rsidP="00433D95">
      <w:pPr>
        <w:spacing w:after="80"/>
        <w:rPr>
          <w:rFonts w:cs="Arial"/>
        </w:rPr>
      </w:pPr>
      <w:r w:rsidRPr="00080443">
        <w:rPr>
          <w:rFonts w:cs="Arial"/>
        </w:rPr>
        <w:t xml:space="preserve">Under section 67 of the Act, the ACMA must include a condition that the spectrum licensee meets all obligations to pay: </w:t>
      </w:r>
    </w:p>
    <w:p w14:paraId="45E3104E" w14:textId="77777777" w:rsidR="008A60B8" w:rsidRPr="00080443" w:rsidRDefault="008A60B8" w:rsidP="00433D95">
      <w:pPr>
        <w:pStyle w:val="ListBullet"/>
        <w:rPr>
          <w:rFonts w:cs="Arial"/>
        </w:rPr>
      </w:pPr>
      <w:r w:rsidRPr="00080443">
        <w:rPr>
          <w:rFonts w:cs="Arial"/>
        </w:rPr>
        <w:t xml:space="preserve">charges fixed by the ACMA under section 60 of the </w:t>
      </w:r>
      <w:r w:rsidR="00510258" w:rsidRPr="00080443">
        <w:rPr>
          <w:rFonts w:cs="Arial"/>
        </w:rPr>
        <w:t xml:space="preserve">ACMA </w:t>
      </w:r>
      <w:r w:rsidRPr="00080443">
        <w:rPr>
          <w:rFonts w:cs="Arial"/>
        </w:rPr>
        <w:t>Act</w:t>
      </w:r>
    </w:p>
    <w:p w14:paraId="32F55E72" w14:textId="77777777" w:rsidR="008A60B8" w:rsidRPr="00080443" w:rsidRDefault="008A60B8" w:rsidP="00433D95">
      <w:pPr>
        <w:pStyle w:val="ListBullet"/>
        <w:rPr>
          <w:rFonts w:cs="Arial"/>
        </w:rPr>
      </w:pPr>
      <w:r w:rsidRPr="00080443">
        <w:rPr>
          <w:rFonts w:cs="Arial"/>
        </w:rPr>
        <w:t>any spectrum access charges fixed by a determination made under section 294 of the Act</w:t>
      </w:r>
    </w:p>
    <w:p w14:paraId="0A351AA7" w14:textId="77777777" w:rsidR="008A60B8" w:rsidRPr="00080443" w:rsidRDefault="008A60B8" w:rsidP="004943F4">
      <w:pPr>
        <w:pStyle w:val="ListBullet"/>
        <w:spacing w:after="0"/>
        <w:rPr>
          <w:rFonts w:cs="Arial"/>
        </w:rPr>
      </w:pPr>
      <w:r w:rsidRPr="00080443">
        <w:rPr>
          <w:rFonts w:cs="Arial"/>
        </w:rPr>
        <w:t xml:space="preserve">amounts of spectrum licence tax. </w:t>
      </w:r>
    </w:p>
    <w:p w14:paraId="324C26FA" w14:textId="77777777" w:rsidR="004943F4" w:rsidRPr="00080443" w:rsidRDefault="004943F4" w:rsidP="004943F4">
      <w:pPr>
        <w:rPr>
          <w:rFonts w:cs="Arial"/>
        </w:rPr>
      </w:pPr>
    </w:p>
    <w:p w14:paraId="2E80020A" w14:textId="77777777" w:rsidR="008A60B8" w:rsidRPr="00080443" w:rsidRDefault="008A60B8" w:rsidP="005B6C76">
      <w:pPr>
        <w:pStyle w:val="Heading3"/>
        <w:numPr>
          <w:ilvl w:val="2"/>
          <w:numId w:val="12"/>
        </w:numPr>
      </w:pPr>
      <w:bookmarkStart w:id="207" w:name="_Toc335246319"/>
      <w:bookmarkStart w:id="208" w:name="_Toc343780527"/>
      <w:r w:rsidRPr="00080443">
        <w:t>Authorisation of third parties</w:t>
      </w:r>
      <w:bookmarkEnd w:id="207"/>
      <w:bookmarkEnd w:id="208"/>
    </w:p>
    <w:p w14:paraId="7FDAFC77" w14:textId="77777777" w:rsidR="00D33769" w:rsidRPr="00080443" w:rsidRDefault="00D33769" w:rsidP="00433D95">
      <w:pPr>
        <w:rPr>
          <w:rFonts w:cs="Arial"/>
        </w:rPr>
      </w:pPr>
      <w:r w:rsidRPr="00080443">
        <w:rPr>
          <w:rFonts w:cs="Arial"/>
        </w:rPr>
        <w:t>Spectrum licence</w:t>
      </w:r>
      <w:r w:rsidR="00EC7C39" w:rsidRPr="00080443">
        <w:rPr>
          <w:rFonts w:cs="Arial"/>
        </w:rPr>
        <w:t>-</w:t>
      </w:r>
      <w:r w:rsidR="00B25662" w:rsidRPr="00080443">
        <w:rPr>
          <w:rFonts w:cs="Arial"/>
        </w:rPr>
        <w:t xml:space="preserve">holders </w:t>
      </w:r>
      <w:r w:rsidRPr="00080443">
        <w:rPr>
          <w:rFonts w:cs="Arial"/>
        </w:rPr>
        <w:t xml:space="preserve">may authorise third </w:t>
      </w:r>
      <w:r w:rsidR="00032FC5" w:rsidRPr="00080443">
        <w:rPr>
          <w:rFonts w:cs="Arial"/>
        </w:rPr>
        <w:t>parties</w:t>
      </w:r>
      <w:r w:rsidRPr="00080443">
        <w:rPr>
          <w:rFonts w:cs="Arial"/>
        </w:rPr>
        <w:t xml:space="preserve"> to</w:t>
      </w:r>
      <w:r w:rsidR="00032FC5" w:rsidRPr="00080443">
        <w:rPr>
          <w:rFonts w:cs="Arial"/>
        </w:rPr>
        <w:t xml:space="preserve"> </w:t>
      </w:r>
      <w:r w:rsidRPr="00080443">
        <w:rPr>
          <w:rFonts w:cs="Arial"/>
        </w:rPr>
        <w:t>use the licensed spectrum by negotiati</w:t>
      </w:r>
      <w:r w:rsidR="00F57F44" w:rsidRPr="00080443">
        <w:rPr>
          <w:rFonts w:cs="Arial"/>
        </w:rPr>
        <w:t>ng</w:t>
      </w:r>
      <w:r w:rsidRPr="00080443">
        <w:rPr>
          <w:rFonts w:cs="Arial"/>
        </w:rPr>
        <w:t xml:space="preserve"> a private agreement that allows a ‘third-party user’ to operate a radiocommunications device under the licensee’s licence. </w:t>
      </w:r>
    </w:p>
    <w:p w14:paraId="0F146256" w14:textId="77777777" w:rsidR="00D33769" w:rsidRPr="00080443" w:rsidRDefault="00D33769" w:rsidP="00433D95">
      <w:pPr>
        <w:rPr>
          <w:rFonts w:cs="Arial"/>
        </w:rPr>
      </w:pPr>
    </w:p>
    <w:p w14:paraId="1C0D2F86" w14:textId="77777777" w:rsidR="008A60B8" w:rsidRPr="00080443" w:rsidRDefault="008A60B8" w:rsidP="00433D95">
      <w:pPr>
        <w:rPr>
          <w:rFonts w:cs="Arial"/>
        </w:rPr>
      </w:pPr>
      <w:r w:rsidRPr="00080443">
        <w:rPr>
          <w:rFonts w:cs="Arial"/>
        </w:rPr>
        <w:t>Under section 68 of the Act, the ACMA must include a condition about third</w:t>
      </w:r>
      <w:r w:rsidR="009552E1" w:rsidRPr="00080443">
        <w:rPr>
          <w:rFonts w:cs="Arial"/>
        </w:rPr>
        <w:t>-</w:t>
      </w:r>
      <w:r w:rsidRPr="00080443">
        <w:rPr>
          <w:rFonts w:cs="Arial"/>
        </w:rPr>
        <w:t>party use of the spectrum licence. Th</w:t>
      </w:r>
      <w:r w:rsidR="009552E1" w:rsidRPr="00080443">
        <w:rPr>
          <w:rFonts w:cs="Arial"/>
        </w:rPr>
        <w:t>is condition is</w:t>
      </w:r>
      <w:r w:rsidRPr="00080443">
        <w:rPr>
          <w:rFonts w:cs="Arial"/>
        </w:rPr>
        <w:t xml:space="preserve"> that the operation of devices by </w:t>
      </w:r>
      <w:r w:rsidR="009552E1" w:rsidRPr="00080443">
        <w:rPr>
          <w:rFonts w:cs="Arial"/>
        </w:rPr>
        <w:t xml:space="preserve">people </w:t>
      </w:r>
      <w:r w:rsidRPr="00080443">
        <w:rPr>
          <w:rFonts w:cs="Arial"/>
        </w:rPr>
        <w:t>other than the licensee must comply with any rules made by the ACMA about third</w:t>
      </w:r>
      <w:r w:rsidR="009552E1" w:rsidRPr="00080443">
        <w:rPr>
          <w:rFonts w:cs="Arial"/>
        </w:rPr>
        <w:t>-</w:t>
      </w:r>
      <w:r w:rsidRPr="00080443">
        <w:rPr>
          <w:rFonts w:cs="Arial"/>
        </w:rPr>
        <w:t>party use under paragraph 68(2)(a) of the Act. The licensee must notify any third</w:t>
      </w:r>
      <w:r w:rsidR="009552E1" w:rsidRPr="00080443">
        <w:rPr>
          <w:rFonts w:cs="Arial"/>
        </w:rPr>
        <w:t>-</w:t>
      </w:r>
      <w:r w:rsidRPr="00080443">
        <w:rPr>
          <w:rFonts w:cs="Arial"/>
        </w:rPr>
        <w:t>party user of their obligations under the Act.</w:t>
      </w:r>
    </w:p>
    <w:p w14:paraId="40E4D696" w14:textId="77777777" w:rsidR="00433D95" w:rsidRPr="00080443" w:rsidRDefault="00433D95" w:rsidP="00433D95">
      <w:pPr>
        <w:rPr>
          <w:rFonts w:cs="Arial"/>
        </w:rPr>
      </w:pPr>
    </w:p>
    <w:p w14:paraId="26090718" w14:textId="77777777" w:rsidR="008A60B8" w:rsidRPr="00080443" w:rsidRDefault="008A60B8" w:rsidP="005B6C76">
      <w:pPr>
        <w:pStyle w:val="Heading3"/>
        <w:numPr>
          <w:ilvl w:val="2"/>
          <w:numId w:val="12"/>
        </w:numPr>
      </w:pPr>
      <w:bookmarkStart w:id="209" w:name="_Toc335246320"/>
      <w:bookmarkStart w:id="210" w:name="_Toc343780528"/>
      <w:r w:rsidRPr="00080443">
        <w:rPr>
          <w:lang w:val="en-US"/>
        </w:rPr>
        <w:t>Registration of radiocommunications transmitters</w:t>
      </w:r>
      <w:bookmarkEnd w:id="209"/>
      <w:bookmarkEnd w:id="210"/>
    </w:p>
    <w:p w14:paraId="4361EBF3" w14:textId="77777777" w:rsidR="008A60B8" w:rsidRPr="00080443" w:rsidRDefault="008A60B8" w:rsidP="00433D95">
      <w:pPr>
        <w:rPr>
          <w:rFonts w:cs="Arial"/>
          <w:lang w:val="en-US"/>
        </w:rPr>
      </w:pPr>
      <w:r w:rsidRPr="00080443">
        <w:rPr>
          <w:rFonts w:cs="Arial"/>
          <w:lang w:val="en-US"/>
        </w:rPr>
        <w:t xml:space="preserve">Under section 69 of the Act, the ACMA must include a condition that radiocommunications transmitters must not be operated under the </w:t>
      </w:r>
      <w:proofErr w:type="spellStart"/>
      <w:r w:rsidRPr="00080443">
        <w:rPr>
          <w:rFonts w:cs="Arial"/>
          <w:lang w:val="en-US"/>
        </w:rPr>
        <w:t>licence</w:t>
      </w:r>
      <w:proofErr w:type="spellEnd"/>
      <w:r w:rsidRPr="00080443">
        <w:rPr>
          <w:rFonts w:cs="Arial"/>
          <w:lang w:val="en-US"/>
        </w:rPr>
        <w:t xml:space="preserve"> unless the relevant requirements under Part 3.5 of the Act for registration of transmitters are met</w:t>
      </w:r>
      <w:r w:rsidR="007C00A6" w:rsidRPr="00080443">
        <w:rPr>
          <w:rFonts w:cs="Arial"/>
          <w:lang w:val="en-US"/>
        </w:rPr>
        <w:t xml:space="preserve"> (see 5.4)</w:t>
      </w:r>
      <w:r w:rsidRPr="00080443">
        <w:rPr>
          <w:rFonts w:cs="Arial"/>
          <w:lang w:val="en-US"/>
        </w:rPr>
        <w:t>.</w:t>
      </w:r>
    </w:p>
    <w:p w14:paraId="1EA5A704" w14:textId="77777777" w:rsidR="00433D95" w:rsidRPr="00080443" w:rsidRDefault="00433D95" w:rsidP="00433D95">
      <w:pPr>
        <w:rPr>
          <w:rFonts w:cs="Arial"/>
        </w:rPr>
      </w:pPr>
    </w:p>
    <w:p w14:paraId="540500D8" w14:textId="77777777" w:rsidR="008A60B8" w:rsidRPr="00080443" w:rsidRDefault="008A60B8" w:rsidP="005B6C76">
      <w:pPr>
        <w:pStyle w:val="Heading3"/>
        <w:numPr>
          <w:ilvl w:val="2"/>
          <w:numId w:val="12"/>
        </w:numPr>
      </w:pPr>
      <w:bookmarkStart w:id="211" w:name="_Toc335246321"/>
      <w:bookmarkStart w:id="212" w:name="_Toc343780529"/>
      <w:r w:rsidRPr="00080443">
        <w:rPr>
          <w:lang w:val="en-US"/>
        </w:rPr>
        <w:lastRenderedPageBreak/>
        <w:t>Residency</w:t>
      </w:r>
      <w:bookmarkEnd w:id="211"/>
      <w:bookmarkEnd w:id="212"/>
    </w:p>
    <w:p w14:paraId="5EFE47BE" w14:textId="77777777" w:rsidR="008A60B8" w:rsidRPr="00080443" w:rsidRDefault="008A60B8" w:rsidP="00433D95">
      <w:pPr>
        <w:rPr>
          <w:rFonts w:cs="Arial"/>
          <w:lang w:val="en-US"/>
        </w:rPr>
      </w:pPr>
      <w:r w:rsidRPr="00080443">
        <w:rPr>
          <w:rFonts w:cs="Arial"/>
          <w:lang w:val="en-US"/>
        </w:rPr>
        <w:t xml:space="preserve">Under section 69A, the ACMA must include a condition that at all times when the licensee derives income, profits or gains from operating a radiocommunications device under the spectrum </w:t>
      </w:r>
      <w:proofErr w:type="spellStart"/>
      <w:r w:rsidRPr="00080443">
        <w:rPr>
          <w:rFonts w:cs="Arial"/>
          <w:lang w:val="en-US"/>
        </w:rPr>
        <w:t>licence</w:t>
      </w:r>
      <w:proofErr w:type="spellEnd"/>
      <w:r w:rsidRPr="00080443">
        <w:rPr>
          <w:rFonts w:cs="Arial"/>
          <w:lang w:val="en-US"/>
        </w:rPr>
        <w:t xml:space="preserve"> (or from </w:t>
      </w:r>
      <w:proofErr w:type="spellStart"/>
      <w:r w:rsidRPr="00080443">
        <w:rPr>
          <w:rFonts w:cs="Arial"/>
          <w:lang w:val="en-US"/>
        </w:rPr>
        <w:t>authori</w:t>
      </w:r>
      <w:r w:rsidR="009552E1" w:rsidRPr="00080443">
        <w:rPr>
          <w:rFonts w:cs="Arial"/>
          <w:lang w:val="en-US"/>
        </w:rPr>
        <w:t>s</w:t>
      </w:r>
      <w:r w:rsidRPr="00080443">
        <w:rPr>
          <w:rFonts w:cs="Arial"/>
          <w:lang w:val="en-US"/>
        </w:rPr>
        <w:t>ing</w:t>
      </w:r>
      <w:proofErr w:type="spellEnd"/>
      <w:r w:rsidRPr="00080443">
        <w:rPr>
          <w:rFonts w:cs="Arial"/>
          <w:lang w:val="en-US"/>
        </w:rPr>
        <w:t xml:space="preserve"> others to do so), the licensee </w:t>
      </w:r>
      <w:r w:rsidR="007C00A6" w:rsidRPr="00080443">
        <w:rPr>
          <w:rFonts w:cs="Arial"/>
          <w:lang w:val="en-US"/>
        </w:rPr>
        <w:t xml:space="preserve">must </w:t>
      </w:r>
      <w:r w:rsidRPr="00080443">
        <w:rPr>
          <w:rFonts w:cs="Arial"/>
          <w:lang w:val="en-US"/>
        </w:rPr>
        <w:t>be an Australian resident or the income, profits or gains are to be attributable to a permanent business establishment in Australia.</w:t>
      </w:r>
    </w:p>
    <w:p w14:paraId="5C1325BB" w14:textId="77777777" w:rsidR="00433D95" w:rsidRPr="00080443" w:rsidRDefault="00433D95" w:rsidP="00433D95">
      <w:pPr>
        <w:rPr>
          <w:rFonts w:cs="Arial"/>
        </w:rPr>
      </w:pPr>
    </w:p>
    <w:p w14:paraId="659B4B60" w14:textId="77777777" w:rsidR="008A60B8" w:rsidRPr="00080443" w:rsidRDefault="008A60B8" w:rsidP="005B6C76">
      <w:pPr>
        <w:pStyle w:val="Heading2"/>
        <w:numPr>
          <w:ilvl w:val="1"/>
          <w:numId w:val="12"/>
        </w:numPr>
      </w:pPr>
      <w:bookmarkStart w:id="213" w:name="_Toc335246322"/>
      <w:bookmarkStart w:id="214" w:name="_Toc343780530"/>
      <w:r w:rsidRPr="00080443">
        <w:t xml:space="preserve">Licence conditions included by </w:t>
      </w:r>
      <w:r w:rsidR="009552E1" w:rsidRPr="00080443">
        <w:t xml:space="preserve">the </w:t>
      </w:r>
      <w:r w:rsidRPr="00080443">
        <w:t>ACMA</w:t>
      </w:r>
      <w:bookmarkEnd w:id="204"/>
      <w:bookmarkEnd w:id="213"/>
      <w:bookmarkEnd w:id="214"/>
    </w:p>
    <w:p w14:paraId="11A796EB" w14:textId="77777777" w:rsidR="008A60B8" w:rsidRPr="00080443" w:rsidRDefault="008A60B8" w:rsidP="00433D95">
      <w:pPr>
        <w:rPr>
          <w:rFonts w:cs="Arial"/>
        </w:rPr>
      </w:pPr>
      <w:r w:rsidRPr="00080443">
        <w:rPr>
          <w:rFonts w:cs="Arial"/>
        </w:rPr>
        <w:t xml:space="preserve">Under section 71 of the Act, the ACMA may include other licence conditions on spectrum licences. The ACMA has included further licence conditions </w:t>
      </w:r>
      <w:r w:rsidR="000601DB" w:rsidRPr="00080443">
        <w:rPr>
          <w:rFonts w:cs="Arial"/>
        </w:rPr>
        <w:t>in</w:t>
      </w:r>
      <w:r w:rsidRPr="00080443">
        <w:rPr>
          <w:rFonts w:cs="Arial"/>
        </w:rPr>
        <w:t xml:space="preserve"> Licence Schedule 4 of the sample licence provided at Schedule 6 of the respective marketing plans.</w:t>
      </w:r>
      <w:r w:rsidR="00EC36B1" w:rsidRPr="00080443">
        <w:rPr>
          <w:rFonts w:cs="Arial"/>
        </w:rPr>
        <w:t xml:space="preserve"> These conditions are sample conditions only and the conditions contained in actual spectrum licences issued by the ACMA may vary.</w:t>
      </w:r>
    </w:p>
    <w:p w14:paraId="65555E34" w14:textId="77777777" w:rsidR="00433D95" w:rsidRPr="00080443" w:rsidRDefault="00433D95" w:rsidP="00433D95">
      <w:pPr>
        <w:rPr>
          <w:rFonts w:cs="Arial"/>
        </w:rPr>
      </w:pPr>
    </w:p>
    <w:p w14:paraId="170BF0DF" w14:textId="77777777" w:rsidR="008A60B8" w:rsidRPr="00080443" w:rsidRDefault="008A60B8" w:rsidP="005B6C76">
      <w:pPr>
        <w:pStyle w:val="Heading3"/>
        <w:numPr>
          <w:ilvl w:val="2"/>
          <w:numId w:val="12"/>
        </w:numPr>
      </w:pPr>
      <w:bookmarkStart w:id="215" w:name="_Toc335246323"/>
      <w:bookmarkStart w:id="216" w:name="_Toc343780531"/>
      <w:r w:rsidRPr="00080443">
        <w:t xml:space="preserve">Information for the </w:t>
      </w:r>
      <w:r w:rsidR="009552E1" w:rsidRPr="00080443">
        <w:t>RRL</w:t>
      </w:r>
      <w:bookmarkEnd w:id="215"/>
      <w:bookmarkEnd w:id="216"/>
    </w:p>
    <w:p w14:paraId="402457C7" w14:textId="77777777" w:rsidR="008A60B8" w:rsidRPr="00080443" w:rsidRDefault="008A60B8" w:rsidP="00433D95">
      <w:pPr>
        <w:rPr>
          <w:rFonts w:cs="Arial"/>
          <w:snapToGrid w:val="0"/>
        </w:rPr>
      </w:pPr>
      <w:r w:rsidRPr="00080443">
        <w:rPr>
          <w:rFonts w:cs="Arial"/>
          <w:snapToGrid w:val="0"/>
        </w:rPr>
        <w:t xml:space="preserve">The licensee must give the ACMA all information as required by the ACMA from time to time for inclusion in the </w:t>
      </w:r>
      <w:r w:rsidR="009552E1" w:rsidRPr="00080443">
        <w:rPr>
          <w:rFonts w:cs="Arial"/>
          <w:snapToGrid w:val="0"/>
        </w:rPr>
        <w:t>RRL</w:t>
      </w:r>
      <w:r w:rsidRPr="00080443">
        <w:rPr>
          <w:rFonts w:cs="Arial"/>
          <w:snapToGrid w:val="0"/>
        </w:rPr>
        <w:t>.</w:t>
      </w:r>
    </w:p>
    <w:p w14:paraId="4D48530C" w14:textId="77777777" w:rsidR="00433D95" w:rsidRPr="00080443" w:rsidRDefault="00433D95" w:rsidP="00433D95">
      <w:pPr>
        <w:rPr>
          <w:rFonts w:cs="Arial"/>
          <w:snapToGrid w:val="0"/>
        </w:rPr>
      </w:pPr>
    </w:p>
    <w:p w14:paraId="6AA6C075" w14:textId="77777777" w:rsidR="008A60B8" w:rsidRPr="00080443" w:rsidRDefault="008A60B8" w:rsidP="005B6C76">
      <w:pPr>
        <w:pStyle w:val="Heading3"/>
        <w:numPr>
          <w:ilvl w:val="2"/>
          <w:numId w:val="12"/>
        </w:numPr>
      </w:pPr>
      <w:bookmarkStart w:id="217" w:name="_Toc335246324"/>
      <w:bookmarkStart w:id="218" w:name="_Toc343780532"/>
      <w:r w:rsidRPr="00080443">
        <w:t>International coordination</w:t>
      </w:r>
      <w:bookmarkEnd w:id="217"/>
      <w:bookmarkEnd w:id="218"/>
    </w:p>
    <w:p w14:paraId="1A324530" w14:textId="77777777" w:rsidR="008A60B8" w:rsidRPr="00080443" w:rsidRDefault="008A60B8" w:rsidP="00433D95">
      <w:pPr>
        <w:rPr>
          <w:rFonts w:cs="Arial"/>
        </w:rPr>
      </w:pPr>
      <w:r w:rsidRPr="00080443">
        <w:rPr>
          <w:rFonts w:cs="Arial"/>
        </w:rPr>
        <w:t>A licensee must ensure that operation of a radiocommunications device under th</w:t>
      </w:r>
      <w:r w:rsidR="000601DB" w:rsidRPr="00080443">
        <w:rPr>
          <w:rFonts w:cs="Arial"/>
        </w:rPr>
        <w:t>e</w:t>
      </w:r>
      <w:r w:rsidRPr="00080443">
        <w:rPr>
          <w:rFonts w:cs="Arial"/>
        </w:rPr>
        <w:t xml:space="preserve"> licence does not cause harmful interference to a receiver that operates in accordance with International Telecommunication Union Radio Regulations and is located in a country other than Australia.</w:t>
      </w:r>
    </w:p>
    <w:p w14:paraId="1594FF82" w14:textId="77777777" w:rsidR="00433D95" w:rsidRPr="00080443" w:rsidRDefault="00433D95" w:rsidP="00433D95">
      <w:pPr>
        <w:rPr>
          <w:rFonts w:cs="Arial"/>
        </w:rPr>
      </w:pPr>
    </w:p>
    <w:p w14:paraId="101AD321" w14:textId="77777777" w:rsidR="008A60B8" w:rsidRPr="00080443" w:rsidRDefault="008A60B8" w:rsidP="005B6C76">
      <w:pPr>
        <w:pStyle w:val="Heading3"/>
        <w:numPr>
          <w:ilvl w:val="2"/>
          <w:numId w:val="12"/>
        </w:numPr>
      </w:pPr>
      <w:bookmarkStart w:id="219" w:name="_Toc335246325"/>
      <w:bookmarkStart w:id="220" w:name="_Toc343780533"/>
      <w:r w:rsidRPr="00080443">
        <w:t>Electromagnetic energy requirements</w:t>
      </w:r>
      <w:bookmarkEnd w:id="219"/>
      <w:bookmarkEnd w:id="220"/>
    </w:p>
    <w:p w14:paraId="7022559A" w14:textId="77777777" w:rsidR="008A60B8" w:rsidRPr="00080443" w:rsidRDefault="007C00A6" w:rsidP="00433D95">
      <w:pPr>
        <w:rPr>
          <w:rFonts w:cs="Arial"/>
        </w:rPr>
      </w:pPr>
      <w:r w:rsidRPr="00080443">
        <w:rPr>
          <w:rFonts w:cs="Arial"/>
        </w:rPr>
        <w:t xml:space="preserve">A </w:t>
      </w:r>
      <w:r w:rsidR="008A60B8" w:rsidRPr="00080443">
        <w:rPr>
          <w:rFonts w:cs="Arial"/>
        </w:rPr>
        <w:t xml:space="preserve">licensee is subject to section 4 of Part 1 and </w:t>
      </w:r>
      <w:r w:rsidR="009552E1" w:rsidRPr="00080443">
        <w:rPr>
          <w:rFonts w:cs="Arial"/>
        </w:rPr>
        <w:t>p</w:t>
      </w:r>
      <w:r w:rsidR="008A60B8" w:rsidRPr="00080443">
        <w:rPr>
          <w:rFonts w:cs="Arial"/>
        </w:rPr>
        <w:t xml:space="preserve">arts 2, 3 and 4 of the </w:t>
      </w:r>
      <w:r w:rsidR="008A60B8" w:rsidRPr="00080443">
        <w:rPr>
          <w:rFonts w:cs="Arial"/>
          <w:iCs/>
        </w:rPr>
        <w:t>Radiocommunications Licence Conditions (Apparatus Licence) Determination 2003</w:t>
      </w:r>
      <w:r w:rsidR="008A60B8" w:rsidRPr="00080443">
        <w:rPr>
          <w:rFonts w:cs="Arial"/>
        </w:rPr>
        <w:t xml:space="preserve"> as in force from time to time.</w:t>
      </w:r>
    </w:p>
    <w:p w14:paraId="703AF31F" w14:textId="77777777" w:rsidR="00433D95" w:rsidRPr="00080443" w:rsidRDefault="00433D95" w:rsidP="00433D95">
      <w:pPr>
        <w:rPr>
          <w:rFonts w:cs="Arial"/>
        </w:rPr>
      </w:pPr>
    </w:p>
    <w:p w14:paraId="208DE7F8" w14:textId="77777777" w:rsidR="008A60B8" w:rsidRPr="00080443" w:rsidRDefault="008A60B8" w:rsidP="005B6C76">
      <w:pPr>
        <w:pStyle w:val="Heading3"/>
        <w:numPr>
          <w:ilvl w:val="2"/>
          <w:numId w:val="12"/>
        </w:numPr>
      </w:pPr>
      <w:bookmarkStart w:id="221" w:name="_Toc335246326"/>
      <w:bookmarkStart w:id="222" w:name="_Toc343780534"/>
      <w:r w:rsidRPr="00080443">
        <w:t>Protection of the Mid-west R</w:t>
      </w:r>
      <w:r w:rsidR="007C00A6" w:rsidRPr="00080443">
        <w:t>QZ</w:t>
      </w:r>
      <w:bookmarkEnd w:id="221"/>
      <w:bookmarkEnd w:id="222"/>
    </w:p>
    <w:p w14:paraId="7F08EABC" w14:textId="77777777" w:rsidR="008A60B8" w:rsidRPr="00080443" w:rsidRDefault="009552E1" w:rsidP="00433D95">
      <w:pPr>
        <w:rPr>
          <w:rFonts w:cs="Arial"/>
          <w:lang w:val="en-US"/>
        </w:rPr>
      </w:pPr>
      <w:r w:rsidRPr="00080443">
        <w:rPr>
          <w:rFonts w:cs="Arial"/>
          <w:lang w:val="en-US"/>
        </w:rPr>
        <w:t xml:space="preserve">The </w:t>
      </w:r>
      <w:r w:rsidR="008A60B8" w:rsidRPr="00080443">
        <w:rPr>
          <w:rFonts w:cs="Arial"/>
          <w:lang w:val="en-US"/>
        </w:rPr>
        <w:t xml:space="preserve">ACMA established Australia’s first </w:t>
      </w:r>
      <w:r w:rsidR="007C00A6" w:rsidRPr="00080443">
        <w:rPr>
          <w:rFonts w:cs="Arial"/>
          <w:lang w:val="en-US"/>
        </w:rPr>
        <w:t>r</w:t>
      </w:r>
      <w:r w:rsidR="008A60B8" w:rsidRPr="00080443">
        <w:rPr>
          <w:rFonts w:cs="Arial"/>
          <w:lang w:val="en-US"/>
        </w:rPr>
        <w:t xml:space="preserve">adio </w:t>
      </w:r>
      <w:r w:rsidR="007C00A6" w:rsidRPr="00080443">
        <w:rPr>
          <w:rFonts w:cs="Arial"/>
          <w:lang w:val="en-US"/>
        </w:rPr>
        <w:t>q</w:t>
      </w:r>
      <w:r w:rsidR="008A60B8" w:rsidRPr="00080443">
        <w:rPr>
          <w:rFonts w:cs="Arial"/>
          <w:lang w:val="en-US"/>
        </w:rPr>
        <w:t xml:space="preserve">uiet </w:t>
      </w:r>
      <w:r w:rsidR="007C00A6" w:rsidRPr="00080443">
        <w:rPr>
          <w:rFonts w:cs="Arial"/>
          <w:lang w:val="en-US"/>
        </w:rPr>
        <w:t>z</w:t>
      </w:r>
      <w:r w:rsidR="008A60B8" w:rsidRPr="00080443">
        <w:rPr>
          <w:rFonts w:cs="Arial"/>
          <w:lang w:val="en-US"/>
        </w:rPr>
        <w:t xml:space="preserve">one on </w:t>
      </w:r>
      <w:r w:rsidRPr="00080443">
        <w:rPr>
          <w:rFonts w:cs="Arial"/>
          <w:lang w:val="en-US"/>
        </w:rPr>
        <w:t>11 </w:t>
      </w:r>
      <w:r w:rsidR="008A60B8" w:rsidRPr="00080443">
        <w:rPr>
          <w:rFonts w:cs="Arial"/>
          <w:lang w:val="en-US"/>
        </w:rPr>
        <w:t xml:space="preserve">April 2005. The Mid-west RQZ aims to maintain the current </w:t>
      </w:r>
      <w:r w:rsidRPr="00080443">
        <w:rPr>
          <w:rFonts w:cs="Arial"/>
          <w:lang w:val="en-US"/>
        </w:rPr>
        <w:t>‘</w:t>
      </w:r>
      <w:r w:rsidR="008A60B8" w:rsidRPr="00080443">
        <w:rPr>
          <w:rFonts w:cs="Arial"/>
          <w:lang w:val="en-US"/>
        </w:rPr>
        <w:t>radio-quietness</w:t>
      </w:r>
      <w:r w:rsidRPr="00080443">
        <w:rPr>
          <w:rFonts w:cs="Arial"/>
          <w:lang w:val="en-US"/>
        </w:rPr>
        <w:t>’</w:t>
      </w:r>
      <w:r w:rsidR="008A60B8" w:rsidRPr="00080443">
        <w:rPr>
          <w:rFonts w:cs="Arial"/>
          <w:lang w:val="en-US"/>
        </w:rPr>
        <w:t xml:space="preserve"> of a site in remote Western Australia. The area has very low levels of radiofrequency energy because of its low population and lack of industrial development. The Mid-west RQZ is intended to facilitate the development and use of new </w:t>
      </w:r>
      <w:proofErr w:type="spellStart"/>
      <w:r w:rsidR="008A60B8" w:rsidRPr="00080443">
        <w:rPr>
          <w:rFonts w:cs="Arial"/>
          <w:lang w:val="en-US"/>
        </w:rPr>
        <w:t>radioastronomy</w:t>
      </w:r>
      <w:proofErr w:type="spellEnd"/>
      <w:r w:rsidR="008A60B8" w:rsidRPr="00080443">
        <w:rPr>
          <w:rFonts w:cs="Arial"/>
          <w:lang w:val="en-US"/>
        </w:rPr>
        <w:t xml:space="preserve"> technologies at that location.</w:t>
      </w:r>
    </w:p>
    <w:p w14:paraId="14221FBE" w14:textId="77777777" w:rsidR="00433D95" w:rsidRPr="00080443" w:rsidRDefault="00433D95" w:rsidP="00433D95">
      <w:pPr>
        <w:rPr>
          <w:rFonts w:cs="Arial"/>
          <w:lang w:val="en-US"/>
        </w:rPr>
      </w:pPr>
    </w:p>
    <w:p w14:paraId="7C286FCC" w14:textId="77777777" w:rsidR="008A60B8" w:rsidRPr="00080443" w:rsidRDefault="008A60B8" w:rsidP="00433D95">
      <w:pPr>
        <w:rPr>
          <w:rFonts w:cs="Arial"/>
          <w:szCs w:val="20"/>
          <w:lang w:val="en-US"/>
        </w:rPr>
      </w:pPr>
      <w:r w:rsidRPr="00080443">
        <w:rPr>
          <w:rFonts w:cs="Arial"/>
          <w:color w:val="000000"/>
          <w:szCs w:val="20"/>
        </w:rPr>
        <w:t xml:space="preserve">Before seeking to register a radiocommunications transmitter for use in or around the Mid-west RQZ, as defined by the </w:t>
      </w:r>
      <w:hyperlink r:id="rId54" w:history="1">
        <w:r w:rsidR="00175B8A" w:rsidRPr="00080443">
          <w:rPr>
            <w:rStyle w:val="Hyperlink"/>
            <w:rFonts w:cs="Arial"/>
            <w:iCs/>
            <w:szCs w:val="20"/>
          </w:rPr>
          <w:t>Radiocommunications (Mid-West Radio Quiet Zone) Frequency Band Plan 2011</w:t>
        </w:r>
      </w:hyperlink>
      <w:r w:rsidRPr="00080443">
        <w:rPr>
          <w:rFonts w:cs="Arial"/>
          <w:color w:val="000000"/>
          <w:szCs w:val="20"/>
        </w:rPr>
        <w:t xml:space="preserve">, the licensee must follow the procedures set out in </w:t>
      </w:r>
      <w:r w:rsidR="00175B8A" w:rsidRPr="00080443">
        <w:rPr>
          <w:rFonts w:cs="Arial"/>
          <w:iCs/>
          <w:color w:val="000000"/>
          <w:szCs w:val="20"/>
        </w:rPr>
        <w:t>Radiocommunications Assignment and Licensing Instruction (RALI) MS 32</w:t>
      </w:r>
      <w:r w:rsidRPr="00080443">
        <w:rPr>
          <w:rFonts w:cs="Arial"/>
          <w:i/>
          <w:iCs/>
          <w:color w:val="000000"/>
          <w:szCs w:val="20"/>
        </w:rPr>
        <w:t xml:space="preserve"> </w:t>
      </w:r>
      <w:r w:rsidRPr="00080443">
        <w:rPr>
          <w:rFonts w:cs="Arial"/>
          <w:color w:val="000000"/>
          <w:szCs w:val="20"/>
        </w:rPr>
        <w:t xml:space="preserve">as in force from time to time. </w:t>
      </w:r>
      <w:r w:rsidRPr="00080443">
        <w:rPr>
          <w:rFonts w:cs="Arial"/>
          <w:szCs w:val="20"/>
          <w:lang w:val="en-US"/>
        </w:rPr>
        <w:t xml:space="preserve">While MS 32, </w:t>
      </w:r>
      <w:hyperlink r:id="rId55" w:history="1">
        <w:r w:rsidR="00175B8A" w:rsidRPr="00080443">
          <w:rPr>
            <w:rStyle w:val="Hyperlink"/>
            <w:rFonts w:cs="Arial"/>
            <w:szCs w:val="20"/>
          </w:rPr>
          <w:t>Coordination of Apparatus Licences within the Mid-West Radio Quiet Zone</w:t>
        </w:r>
      </w:hyperlink>
      <w:r w:rsidRPr="00080443">
        <w:rPr>
          <w:rFonts w:cs="Arial"/>
          <w:szCs w:val="20"/>
          <w:lang w:val="en-US"/>
        </w:rPr>
        <w:t xml:space="preserve"> applies directly to apparatus</w:t>
      </w:r>
      <w:r w:rsidR="009552E1" w:rsidRPr="00080443">
        <w:rPr>
          <w:rFonts w:cs="Arial"/>
          <w:szCs w:val="20"/>
          <w:lang w:val="en-US"/>
        </w:rPr>
        <w:t>-</w:t>
      </w:r>
      <w:r w:rsidRPr="00080443">
        <w:rPr>
          <w:rFonts w:cs="Arial"/>
          <w:szCs w:val="20"/>
          <w:lang w:val="en-US"/>
        </w:rPr>
        <w:t>licensed devices, the methods and procedures are also applicable to spectrum</w:t>
      </w:r>
      <w:r w:rsidR="006B4C4C" w:rsidRPr="00080443">
        <w:rPr>
          <w:rFonts w:cs="Arial"/>
          <w:szCs w:val="20"/>
          <w:lang w:val="en-US"/>
        </w:rPr>
        <w:t>-</w:t>
      </w:r>
      <w:r w:rsidRPr="00080443">
        <w:rPr>
          <w:rFonts w:cs="Arial"/>
          <w:szCs w:val="20"/>
          <w:lang w:val="en-US"/>
        </w:rPr>
        <w:t xml:space="preserve">licensed devices. </w:t>
      </w:r>
    </w:p>
    <w:p w14:paraId="3655D2A8" w14:textId="77777777" w:rsidR="00433D95" w:rsidRPr="00080443" w:rsidRDefault="00433D95" w:rsidP="00433D95">
      <w:pPr>
        <w:rPr>
          <w:rFonts w:cs="Arial"/>
          <w:lang w:val="en-US"/>
        </w:rPr>
      </w:pPr>
    </w:p>
    <w:p w14:paraId="157F4017" w14:textId="77777777" w:rsidR="008A60B8" w:rsidRPr="00080443" w:rsidRDefault="008A60B8" w:rsidP="00433D95">
      <w:pPr>
        <w:rPr>
          <w:rFonts w:cs="Arial"/>
          <w:lang w:val="en-US"/>
        </w:rPr>
      </w:pPr>
      <w:r w:rsidRPr="00080443">
        <w:rPr>
          <w:rFonts w:cs="Arial"/>
          <w:lang w:val="en-US"/>
        </w:rPr>
        <w:t>The band plan defines the RQZ and auxiliary RQZ zones for coordination purposes.</w:t>
      </w:r>
    </w:p>
    <w:p w14:paraId="4DCA69A7" w14:textId="77777777" w:rsidR="00433D95" w:rsidRPr="00080443" w:rsidRDefault="00433D95" w:rsidP="00433D95">
      <w:pPr>
        <w:rPr>
          <w:rFonts w:cs="Arial"/>
          <w:lang w:val="en-US"/>
        </w:rPr>
      </w:pPr>
    </w:p>
    <w:p w14:paraId="69440774" w14:textId="77777777" w:rsidR="008A60B8" w:rsidRPr="00080443" w:rsidRDefault="008A60B8" w:rsidP="005B6C76">
      <w:pPr>
        <w:pStyle w:val="Heading3"/>
        <w:numPr>
          <w:ilvl w:val="2"/>
          <w:numId w:val="12"/>
        </w:numPr>
        <w:rPr>
          <w:lang w:val="en-US"/>
        </w:rPr>
      </w:pPr>
      <w:bookmarkStart w:id="223" w:name="_Toc335246327"/>
      <w:bookmarkStart w:id="224" w:name="_Toc343780535"/>
      <w:r w:rsidRPr="00080443">
        <w:rPr>
          <w:lang w:val="en-US"/>
        </w:rPr>
        <w:t xml:space="preserve">Management of interference with broadcasting </w:t>
      </w:r>
      <w:r w:rsidR="000A5B9C" w:rsidRPr="00080443">
        <w:rPr>
          <w:lang w:val="en-US"/>
        </w:rPr>
        <w:t xml:space="preserve">and retransmission </w:t>
      </w:r>
      <w:r w:rsidRPr="00080443">
        <w:rPr>
          <w:lang w:val="en-US"/>
        </w:rPr>
        <w:t>services (700 MHz band only)</w:t>
      </w:r>
      <w:bookmarkEnd w:id="223"/>
      <w:bookmarkEnd w:id="224"/>
    </w:p>
    <w:p w14:paraId="71DEDA89" w14:textId="77777777" w:rsidR="008A60B8" w:rsidRPr="00080443" w:rsidRDefault="00510258" w:rsidP="00433D95">
      <w:pPr>
        <w:rPr>
          <w:rFonts w:cs="Arial"/>
          <w:lang w:val="en-US"/>
        </w:rPr>
      </w:pPr>
      <w:r w:rsidRPr="00080443">
        <w:rPr>
          <w:rFonts w:cs="Arial"/>
          <w:lang w:val="en-US"/>
        </w:rPr>
        <w:t xml:space="preserve">Spectrum </w:t>
      </w:r>
      <w:proofErr w:type="spellStart"/>
      <w:r w:rsidRPr="00080443">
        <w:rPr>
          <w:rFonts w:cs="Arial"/>
          <w:lang w:val="en-US"/>
        </w:rPr>
        <w:t>licences</w:t>
      </w:r>
      <w:proofErr w:type="spellEnd"/>
      <w:r w:rsidRPr="00080443">
        <w:rPr>
          <w:rFonts w:cs="Arial"/>
          <w:lang w:val="en-US"/>
        </w:rPr>
        <w:t xml:space="preserve"> for the 700 MHz band that are issued as a result of the auction will include a condition to manage potential interference to the reception of any broadcasting services or retransmission services operating lawfully in the frequency range 694 to 820 MHz after the </w:t>
      </w:r>
      <w:proofErr w:type="spellStart"/>
      <w:r w:rsidRPr="00080443">
        <w:rPr>
          <w:rFonts w:cs="Arial"/>
          <w:lang w:val="en-US"/>
        </w:rPr>
        <w:t>licence</w:t>
      </w:r>
      <w:proofErr w:type="spellEnd"/>
      <w:r w:rsidRPr="00080443">
        <w:rPr>
          <w:rFonts w:cs="Arial"/>
          <w:lang w:val="en-US"/>
        </w:rPr>
        <w:t xml:space="preserve"> commences. Further information about the interference management condition is provided at 2.3.5.</w:t>
      </w:r>
    </w:p>
    <w:p w14:paraId="0D729B1B" w14:textId="77777777" w:rsidR="008A60B8" w:rsidRPr="00080443" w:rsidRDefault="008A60B8" w:rsidP="004D411C">
      <w:pPr>
        <w:pStyle w:val="Heading2"/>
        <w:pageBreakBefore/>
        <w:numPr>
          <w:ilvl w:val="1"/>
          <w:numId w:val="12"/>
        </w:numPr>
      </w:pPr>
      <w:bookmarkStart w:id="225" w:name="_Toc219183246"/>
      <w:bookmarkStart w:id="226" w:name="_Toc335246328"/>
      <w:bookmarkStart w:id="227" w:name="_Toc343780536"/>
      <w:r w:rsidRPr="00080443">
        <w:lastRenderedPageBreak/>
        <w:t xml:space="preserve">Other </w:t>
      </w:r>
      <w:r w:rsidR="006B4C4C" w:rsidRPr="00080443">
        <w:t>i</w:t>
      </w:r>
      <w:r w:rsidRPr="00080443">
        <w:t>nformation</w:t>
      </w:r>
      <w:bookmarkEnd w:id="225"/>
      <w:bookmarkEnd w:id="226"/>
      <w:bookmarkEnd w:id="227"/>
    </w:p>
    <w:p w14:paraId="00B50C7E" w14:textId="77777777" w:rsidR="00160CFD" w:rsidRPr="00080443" w:rsidRDefault="00890986" w:rsidP="001F3A7F">
      <w:pPr>
        <w:rPr>
          <w:rFonts w:cs="Arial"/>
        </w:rPr>
      </w:pPr>
      <w:r w:rsidRPr="00080443">
        <w:rPr>
          <w:rFonts w:cs="Arial"/>
        </w:rPr>
        <w:t>There are a range of</w:t>
      </w:r>
      <w:r w:rsidR="009614C5" w:rsidRPr="00080443">
        <w:rPr>
          <w:rFonts w:cs="Arial"/>
        </w:rPr>
        <w:t xml:space="preserve"> </w:t>
      </w:r>
      <w:r w:rsidR="00D30644" w:rsidRPr="00080443">
        <w:rPr>
          <w:rFonts w:cs="Arial"/>
        </w:rPr>
        <w:t xml:space="preserve">other important </w:t>
      </w:r>
      <w:r w:rsidR="009614C5" w:rsidRPr="00080443">
        <w:rPr>
          <w:rFonts w:cs="Arial"/>
        </w:rPr>
        <w:t xml:space="preserve">matters </w:t>
      </w:r>
      <w:r w:rsidR="00B70D7B" w:rsidRPr="00080443">
        <w:rPr>
          <w:rFonts w:cs="Arial"/>
        </w:rPr>
        <w:t xml:space="preserve">affecting </w:t>
      </w:r>
      <w:r w:rsidR="00D30644" w:rsidRPr="00080443">
        <w:rPr>
          <w:rFonts w:cs="Arial"/>
        </w:rPr>
        <w:t>spectrum licensees</w:t>
      </w:r>
      <w:r w:rsidRPr="00080443">
        <w:rPr>
          <w:rFonts w:cs="Arial"/>
        </w:rPr>
        <w:t>. This section outlines these matters for</w:t>
      </w:r>
      <w:r w:rsidR="00243EB4" w:rsidRPr="00080443">
        <w:rPr>
          <w:rFonts w:cs="Arial"/>
        </w:rPr>
        <w:t xml:space="preserve"> prospective auction participants. </w:t>
      </w:r>
      <w:r w:rsidR="00D30644" w:rsidRPr="00080443">
        <w:rPr>
          <w:rFonts w:cs="Arial"/>
        </w:rPr>
        <w:t xml:space="preserve">Further information about each issue is available in </w:t>
      </w:r>
      <w:hyperlink r:id="rId56" w:history="1">
        <w:r w:rsidR="00D30644" w:rsidRPr="00080443">
          <w:rPr>
            <w:rStyle w:val="Hyperlink"/>
            <w:rFonts w:cs="Arial"/>
            <w:i/>
          </w:rPr>
          <w:t>Know your obligations</w:t>
        </w:r>
      </w:hyperlink>
      <w:r w:rsidR="00D30644" w:rsidRPr="00080443">
        <w:rPr>
          <w:rFonts w:cs="Arial"/>
        </w:rPr>
        <w:t xml:space="preserve">. </w:t>
      </w:r>
    </w:p>
    <w:p w14:paraId="3CACDB4C" w14:textId="77777777" w:rsidR="00D30644" w:rsidRPr="00080443" w:rsidRDefault="00D30644" w:rsidP="00D30644">
      <w:pPr>
        <w:rPr>
          <w:rFonts w:cs="Arial"/>
        </w:rPr>
      </w:pPr>
    </w:p>
    <w:p w14:paraId="4E65BBD1" w14:textId="77777777" w:rsidR="008A60B8" w:rsidRPr="00080443" w:rsidRDefault="008A60B8" w:rsidP="005B6C76">
      <w:pPr>
        <w:pStyle w:val="Heading3"/>
        <w:numPr>
          <w:ilvl w:val="2"/>
          <w:numId w:val="12"/>
        </w:numPr>
      </w:pPr>
      <w:bookmarkStart w:id="228" w:name="_Toc335246329"/>
      <w:bookmarkStart w:id="229" w:name="_Toc343780537"/>
      <w:r w:rsidRPr="00080443">
        <w:t>Flexibility of a spectrum licence</w:t>
      </w:r>
      <w:bookmarkEnd w:id="228"/>
      <w:bookmarkEnd w:id="229"/>
    </w:p>
    <w:p w14:paraId="2FE311A0" w14:textId="77777777" w:rsidR="008A60B8" w:rsidRPr="00080443" w:rsidRDefault="008A60B8" w:rsidP="00433D95">
      <w:pPr>
        <w:rPr>
          <w:rFonts w:cs="Arial"/>
        </w:rPr>
      </w:pPr>
      <w:r w:rsidRPr="00080443">
        <w:rPr>
          <w:rFonts w:cs="Arial"/>
        </w:rPr>
        <w:t xml:space="preserve">The inherent flexibility of </w:t>
      </w:r>
      <w:r w:rsidR="005B298A" w:rsidRPr="00080443">
        <w:rPr>
          <w:rFonts w:cs="Arial"/>
        </w:rPr>
        <w:t>the spectrum licence technical framework allows winning bidders to choose how they deploy services in the spectrum they win, the nature of the services they deliver and the technology they employ. However, these decisions should be based on a careful technical and commercial assessment</w:t>
      </w:r>
      <w:r w:rsidRPr="00080443">
        <w:rPr>
          <w:rFonts w:cs="Arial"/>
        </w:rPr>
        <w:t xml:space="preserve"> taking into account the harmonised generic emission limits, as well as the amount of spectrum available and purchased, for the performance of the equipment the bidder desires to operate.  </w:t>
      </w:r>
    </w:p>
    <w:p w14:paraId="3527F2A7" w14:textId="77777777" w:rsidR="00433D95" w:rsidRPr="00080443" w:rsidRDefault="00433D95" w:rsidP="00433D95">
      <w:pPr>
        <w:rPr>
          <w:rFonts w:cs="Arial"/>
        </w:rPr>
      </w:pPr>
    </w:p>
    <w:p w14:paraId="5894CE1A" w14:textId="77777777" w:rsidR="008A60B8" w:rsidRPr="00080443" w:rsidRDefault="008A60B8" w:rsidP="00433D95">
      <w:pPr>
        <w:rPr>
          <w:rFonts w:cs="Arial"/>
          <w:color w:val="000000" w:themeColor="text1"/>
        </w:rPr>
      </w:pPr>
      <w:r w:rsidRPr="00080443">
        <w:rPr>
          <w:rFonts w:cs="Arial"/>
          <w:color w:val="000000" w:themeColor="text1"/>
        </w:rPr>
        <w:t>The spectrum</w:t>
      </w:r>
      <w:r w:rsidR="006B4C4C" w:rsidRPr="00080443">
        <w:rPr>
          <w:rFonts w:cs="Arial"/>
          <w:color w:val="000000" w:themeColor="text1"/>
        </w:rPr>
        <w:t>-</w:t>
      </w:r>
      <w:r w:rsidRPr="00080443">
        <w:rPr>
          <w:rFonts w:cs="Arial"/>
          <w:color w:val="000000" w:themeColor="text1"/>
        </w:rPr>
        <w:t>licensed bands have a recommended minimum contiguous bandwidth (MCB) to minimise fragmentation of the band</w:t>
      </w:r>
      <w:r w:rsidR="002A446F" w:rsidRPr="00080443">
        <w:rPr>
          <w:rFonts w:cs="Arial"/>
          <w:color w:val="000000" w:themeColor="text1"/>
        </w:rPr>
        <w:t xml:space="preserve"> during spectrum trading</w:t>
      </w:r>
      <w:r w:rsidRPr="00080443">
        <w:rPr>
          <w:rFonts w:cs="Arial"/>
          <w:color w:val="000000" w:themeColor="text1"/>
        </w:rPr>
        <w:t>. The MCB is the minimum bandwidth holding for issue of a licence. However</w:t>
      </w:r>
      <w:r w:rsidR="006B4C4C" w:rsidRPr="00080443">
        <w:rPr>
          <w:rFonts w:cs="Arial"/>
          <w:color w:val="000000" w:themeColor="text1"/>
        </w:rPr>
        <w:t>,</w:t>
      </w:r>
      <w:r w:rsidRPr="00080443">
        <w:rPr>
          <w:rFonts w:cs="Arial"/>
          <w:color w:val="000000" w:themeColor="text1"/>
        </w:rPr>
        <w:t xml:space="preserve"> the ACMA will consider allowing licensees to hold smaller bandwidths where good reasons can be shown to exist in a particular case for holding the smaller bandwidth. </w:t>
      </w:r>
    </w:p>
    <w:p w14:paraId="5FB3A8B0" w14:textId="77777777" w:rsidR="00433D95" w:rsidRPr="00080443" w:rsidRDefault="00433D95" w:rsidP="00433D95">
      <w:pPr>
        <w:rPr>
          <w:rFonts w:cs="Arial"/>
          <w:color w:val="000000" w:themeColor="text1"/>
        </w:rPr>
      </w:pPr>
    </w:p>
    <w:p w14:paraId="0A5B61B3" w14:textId="77777777" w:rsidR="008A60B8" w:rsidRPr="00080443" w:rsidRDefault="008A60B8" w:rsidP="00433D95">
      <w:pPr>
        <w:rPr>
          <w:rFonts w:cs="Arial"/>
          <w:color w:val="000000" w:themeColor="text1"/>
        </w:rPr>
      </w:pPr>
      <w:r w:rsidRPr="00080443">
        <w:rPr>
          <w:rFonts w:cs="Arial"/>
          <w:color w:val="000000" w:themeColor="text1"/>
        </w:rPr>
        <w:t xml:space="preserve">The 700 MHz and 2.5 GHz band spectrum available in the auction is also subject to the allocation limits (or ‘competition limits’) discussed </w:t>
      </w:r>
      <w:r w:rsidR="006B4C4C" w:rsidRPr="00080443">
        <w:rPr>
          <w:rFonts w:cs="Arial"/>
          <w:color w:val="000000" w:themeColor="text1"/>
        </w:rPr>
        <w:t>at</w:t>
      </w:r>
      <w:r w:rsidRPr="00080443">
        <w:rPr>
          <w:rFonts w:cs="Arial"/>
          <w:color w:val="000000" w:themeColor="text1"/>
        </w:rPr>
        <w:t xml:space="preserve"> 3.2.</w:t>
      </w:r>
      <w:r w:rsidR="0037586E" w:rsidRPr="00080443">
        <w:rPr>
          <w:rFonts w:cs="Arial"/>
          <w:color w:val="000000" w:themeColor="text1"/>
        </w:rPr>
        <w:t>5</w:t>
      </w:r>
      <w:r w:rsidRPr="00080443">
        <w:rPr>
          <w:rFonts w:cs="Arial"/>
          <w:color w:val="000000" w:themeColor="text1"/>
        </w:rPr>
        <w:t xml:space="preserve">. The allocation limits effectively limit the maximum bandwidth holding of a licensee. </w:t>
      </w:r>
    </w:p>
    <w:p w14:paraId="6EBFC9DF" w14:textId="77777777" w:rsidR="00433D95" w:rsidRPr="00080443" w:rsidRDefault="00433D95" w:rsidP="00433D95">
      <w:pPr>
        <w:rPr>
          <w:rFonts w:cs="Arial"/>
          <w:color w:val="000000" w:themeColor="text1"/>
        </w:rPr>
      </w:pPr>
    </w:p>
    <w:p w14:paraId="4EB0528B" w14:textId="77777777" w:rsidR="008A60B8" w:rsidRPr="00080443" w:rsidRDefault="008A60B8" w:rsidP="00433D95">
      <w:pPr>
        <w:rPr>
          <w:rFonts w:cs="Arial"/>
        </w:rPr>
      </w:pPr>
      <w:r w:rsidRPr="00080443">
        <w:rPr>
          <w:rFonts w:cs="Arial"/>
          <w:color w:val="000000" w:themeColor="text1"/>
        </w:rPr>
        <w:t>The spectrum lots and subsequently issued spectrum licences are</w:t>
      </w:r>
      <w:r w:rsidRPr="00080443">
        <w:rPr>
          <w:rFonts w:cs="Arial"/>
        </w:rPr>
        <w:t xml:space="preserve"> not pre-designed to accommodate any particular equipment standard. However, they may accommodate the operation of a particular standard (or even non-standard equipment) at a particular location and frequency, depending on the bandwidth and area of the spectrum licence that a bidder has acquired.  </w:t>
      </w:r>
    </w:p>
    <w:p w14:paraId="5D5B72F0" w14:textId="77777777" w:rsidR="00433D95" w:rsidRPr="00080443" w:rsidRDefault="00433D95" w:rsidP="00433D95">
      <w:pPr>
        <w:rPr>
          <w:rFonts w:cs="Arial"/>
        </w:rPr>
      </w:pPr>
    </w:p>
    <w:p w14:paraId="1855563A" w14:textId="77777777" w:rsidR="008A60B8" w:rsidRPr="00080443" w:rsidRDefault="006F1A61" w:rsidP="006A65E3">
      <w:pPr>
        <w:pStyle w:val="Heading3"/>
        <w:numPr>
          <w:ilvl w:val="2"/>
          <w:numId w:val="12"/>
        </w:numPr>
      </w:pPr>
      <w:bookmarkStart w:id="230" w:name="_Toc335246330"/>
      <w:bookmarkStart w:id="231" w:name="_Toc343780538"/>
      <w:r w:rsidRPr="00080443">
        <w:t xml:space="preserve">Spectrum </w:t>
      </w:r>
      <w:r w:rsidR="008A60B8" w:rsidRPr="00080443">
        <w:t>trading</w:t>
      </w:r>
      <w:bookmarkEnd w:id="230"/>
      <w:bookmarkEnd w:id="231"/>
    </w:p>
    <w:p w14:paraId="1CD9BE46" w14:textId="77777777" w:rsidR="006F1A61" w:rsidRPr="00080443" w:rsidRDefault="00A81111" w:rsidP="00433D95">
      <w:pPr>
        <w:rPr>
          <w:rFonts w:cs="Arial"/>
        </w:rPr>
      </w:pPr>
      <w:r w:rsidRPr="00080443">
        <w:rPr>
          <w:rFonts w:cs="Arial"/>
        </w:rPr>
        <w:t>Current and prospective spectrum licensees are permitted to negotiate purchases of spectrum subject to rules determined by the ACMA. The rules allow spectrum licensees to subdivide and sell part of their licences to prospective licensees</w:t>
      </w:r>
      <w:r w:rsidR="005B298A" w:rsidRPr="00080443">
        <w:rPr>
          <w:rFonts w:cs="Arial"/>
        </w:rPr>
        <w:t>—</w:t>
      </w:r>
      <w:r w:rsidRPr="00080443">
        <w:rPr>
          <w:rFonts w:cs="Arial"/>
        </w:rPr>
        <w:t xml:space="preserve">or alternatively, </w:t>
      </w:r>
      <w:r w:rsidR="00556620" w:rsidRPr="00080443">
        <w:rPr>
          <w:rFonts w:cs="Arial"/>
        </w:rPr>
        <w:t xml:space="preserve">to </w:t>
      </w:r>
      <w:r w:rsidRPr="00080443">
        <w:rPr>
          <w:rFonts w:cs="Arial"/>
        </w:rPr>
        <w:t>acquire additional spectrum to increase the size of the geographic space covered by the licence.</w:t>
      </w:r>
    </w:p>
    <w:p w14:paraId="686536AE" w14:textId="77777777" w:rsidR="006F1A61" w:rsidRPr="00080443" w:rsidRDefault="006F1A61" w:rsidP="00433D95">
      <w:pPr>
        <w:rPr>
          <w:rFonts w:cs="Arial"/>
        </w:rPr>
      </w:pPr>
    </w:p>
    <w:p w14:paraId="0DEF9458" w14:textId="77777777" w:rsidR="008A60B8" w:rsidRPr="00080443" w:rsidRDefault="002E7322" w:rsidP="00433D95">
      <w:pPr>
        <w:rPr>
          <w:rFonts w:cs="Arial"/>
        </w:rPr>
      </w:pPr>
      <w:r w:rsidRPr="00080443">
        <w:rPr>
          <w:rFonts w:cs="Arial"/>
        </w:rPr>
        <w:t>Pursuant to section 86 of the Act, w</w:t>
      </w:r>
      <w:r w:rsidR="008A60B8" w:rsidRPr="00080443">
        <w:rPr>
          <w:rFonts w:cs="Arial"/>
        </w:rPr>
        <w:t xml:space="preserve">here trading of licences takes place after the auction and new boundaries are formed, both parties to the trade </w:t>
      </w:r>
      <w:r w:rsidR="000B6DF2" w:rsidRPr="00080443">
        <w:rPr>
          <w:rFonts w:cs="Arial"/>
        </w:rPr>
        <w:t xml:space="preserve">must </w:t>
      </w:r>
      <w:r w:rsidR="008A60B8" w:rsidRPr="00080443">
        <w:rPr>
          <w:rFonts w:cs="Arial"/>
        </w:rPr>
        <w:t xml:space="preserve">notify </w:t>
      </w:r>
      <w:r w:rsidR="000B6DF2" w:rsidRPr="00080443">
        <w:rPr>
          <w:rFonts w:cs="Arial"/>
        </w:rPr>
        <w:t xml:space="preserve">and provide relevant information to </w:t>
      </w:r>
      <w:r w:rsidR="008A60B8" w:rsidRPr="00080443">
        <w:rPr>
          <w:rFonts w:cs="Arial"/>
        </w:rPr>
        <w:t>the ACMA as soon as practicable after the trade has been agreed</w:t>
      </w:r>
      <w:r w:rsidR="006B4C4C" w:rsidRPr="00080443">
        <w:rPr>
          <w:rFonts w:cs="Arial"/>
        </w:rPr>
        <w:t>,</w:t>
      </w:r>
      <w:r w:rsidR="008A60B8" w:rsidRPr="00080443">
        <w:rPr>
          <w:rFonts w:cs="Arial"/>
        </w:rPr>
        <w:t xml:space="preserve"> so the ACMA can </w:t>
      </w:r>
      <w:r w:rsidRPr="00080443">
        <w:rPr>
          <w:rFonts w:cs="Arial"/>
        </w:rPr>
        <w:t xml:space="preserve">amend the RRL and </w:t>
      </w:r>
      <w:r w:rsidR="008A60B8" w:rsidRPr="00080443">
        <w:rPr>
          <w:rFonts w:cs="Arial"/>
        </w:rPr>
        <w:t>vary, issue or cancel licences as appropriate to give effect to the trade.</w:t>
      </w:r>
    </w:p>
    <w:p w14:paraId="3B1AB35C" w14:textId="77777777" w:rsidR="00433D95" w:rsidRPr="00080443" w:rsidRDefault="00433D95" w:rsidP="00433D95">
      <w:pPr>
        <w:rPr>
          <w:rFonts w:cs="Arial"/>
        </w:rPr>
      </w:pPr>
    </w:p>
    <w:p w14:paraId="0A5F9D87" w14:textId="77777777" w:rsidR="008A60B8" w:rsidRPr="00080443" w:rsidRDefault="008A60B8" w:rsidP="006A65E3">
      <w:pPr>
        <w:pStyle w:val="Heading3"/>
        <w:numPr>
          <w:ilvl w:val="2"/>
          <w:numId w:val="12"/>
        </w:numPr>
      </w:pPr>
      <w:bookmarkStart w:id="232" w:name="_Toc335246331"/>
      <w:bookmarkStart w:id="233" w:name="_Toc343780539"/>
      <w:r w:rsidRPr="00080443">
        <w:t>Suspension and cancellation of spectrum licences</w:t>
      </w:r>
      <w:bookmarkEnd w:id="232"/>
      <w:bookmarkEnd w:id="233"/>
    </w:p>
    <w:p w14:paraId="112AF400" w14:textId="77777777" w:rsidR="00C36B5F" w:rsidRPr="00080443" w:rsidRDefault="00772A67">
      <w:pPr>
        <w:spacing w:after="80"/>
        <w:rPr>
          <w:rFonts w:cs="Arial"/>
        </w:rPr>
      </w:pPr>
      <w:r w:rsidRPr="00080443">
        <w:rPr>
          <w:rFonts w:cs="Arial"/>
        </w:rPr>
        <w:t>Division 3 of Part 3.2 of the Act provides that t</w:t>
      </w:r>
      <w:r w:rsidR="00E26159" w:rsidRPr="00080443">
        <w:rPr>
          <w:rFonts w:cs="Arial"/>
        </w:rPr>
        <w:t xml:space="preserve">he ACMA may, by written notice giving the reasons, suspend </w:t>
      </w:r>
      <w:r w:rsidRPr="00080443">
        <w:rPr>
          <w:rFonts w:cs="Arial"/>
        </w:rPr>
        <w:t xml:space="preserve">or cancel </w:t>
      </w:r>
      <w:r w:rsidR="00E26159" w:rsidRPr="00080443">
        <w:rPr>
          <w:rFonts w:cs="Arial"/>
        </w:rPr>
        <w:t>a spectrum licence if it</w:t>
      </w:r>
      <w:r w:rsidR="008A60B8" w:rsidRPr="00080443">
        <w:rPr>
          <w:rFonts w:cs="Arial"/>
        </w:rPr>
        <w:t xml:space="preserve"> </w:t>
      </w:r>
      <w:r w:rsidR="00556620" w:rsidRPr="00080443">
        <w:rPr>
          <w:rFonts w:cs="Arial"/>
        </w:rPr>
        <w:t xml:space="preserve">is </w:t>
      </w:r>
      <w:r w:rsidR="008A60B8" w:rsidRPr="00080443">
        <w:rPr>
          <w:rFonts w:cs="Arial"/>
        </w:rPr>
        <w:t>satisfied that a licensee or authorised third party has</w:t>
      </w:r>
      <w:r w:rsidR="00E26159" w:rsidRPr="00080443">
        <w:rPr>
          <w:rFonts w:cs="Arial"/>
        </w:rPr>
        <w:t xml:space="preserve"> either:</w:t>
      </w:r>
    </w:p>
    <w:p w14:paraId="37DF6111" w14:textId="77777777" w:rsidR="00456E94" w:rsidRPr="00080443" w:rsidRDefault="008A60B8">
      <w:pPr>
        <w:pStyle w:val="ListBullet"/>
        <w:rPr>
          <w:rFonts w:cs="Arial"/>
        </w:rPr>
      </w:pPr>
      <w:r w:rsidRPr="00080443">
        <w:rPr>
          <w:rFonts w:cs="Arial"/>
        </w:rPr>
        <w:t>breached a licence condition or the Act</w:t>
      </w:r>
    </w:p>
    <w:p w14:paraId="0F9BA471" w14:textId="77777777" w:rsidR="007C00A6" w:rsidRPr="00080443" w:rsidRDefault="007C00A6">
      <w:pPr>
        <w:pStyle w:val="ListBullet"/>
        <w:rPr>
          <w:rFonts w:cs="Arial"/>
        </w:rPr>
      </w:pPr>
      <w:r w:rsidRPr="00080443">
        <w:rPr>
          <w:rFonts w:cs="Arial"/>
        </w:rPr>
        <w:t>operated a radiocommunications device under the licence, or purportedly under the licence</w:t>
      </w:r>
      <w:r w:rsidR="00556620" w:rsidRPr="00080443">
        <w:rPr>
          <w:rFonts w:cs="Arial"/>
        </w:rPr>
        <w:t>,</w:t>
      </w:r>
      <w:r w:rsidR="00BB1151" w:rsidRPr="00080443">
        <w:rPr>
          <w:rFonts w:cs="Arial"/>
        </w:rPr>
        <w:t xml:space="preserve"> either</w:t>
      </w:r>
      <w:r w:rsidRPr="00080443">
        <w:rPr>
          <w:rFonts w:cs="Arial"/>
        </w:rPr>
        <w:t>:</w:t>
      </w:r>
    </w:p>
    <w:p w14:paraId="61003FAB" w14:textId="77777777" w:rsidR="00DE1DF5" w:rsidRPr="00080443" w:rsidRDefault="007C00A6">
      <w:pPr>
        <w:pStyle w:val="ListBullet2"/>
        <w:rPr>
          <w:rFonts w:cs="Arial"/>
        </w:rPr>
      </w:pPr>
      <w:r w:rsidRPr="00080443">
        <w:rPr>
          <w:rFonts w:cs="Arial"/>
        </w:rPr>
        <w:t>in contravention of any other law (whether written or unwritten) of the Commonwealth, a state or a territory</w:t>
      </w:r>
    </w:p>
    <w:p w14:paraId="61975AEF" w14:textId="77777777" w:rsidR="00456E94" w:rsidRPr="00080443" w:rsidRDefault="007C00A6">
      <w:pPr>
        <w:pStyle w:val="ListBullet"/>
        <w:spacing w:after="240"/>
        <w:rPr>
          <w:rFonts w:cs="Arial"/>
        </w:rPr>
      </w:pPr>
      <w:r w:rsidRPr="00080443">
        <w:rPr>
          <w:rFonts w:cs="Arial"/>
        </w:rPr>
        <w:t>in the course of contravening such a law.</w:t>
      </w:r>
    </w:p>
    <w:p w14:paraId="06887E89" w14:textId="77777777" w:rsidR="008A60B8" w:rsidRPr="00080443" w:rsidRDefault="00837369" w:rsidP="006A65E3">
      <w:pPr>
        <w:pStyle w:val="Heading3"/>
        <w:numPr>
          <w:ilvl w:val="2"/>
          <w:numId w:val="12"/>
        </w:numPr>
      </w:pPr>
      <w:bookmarkStart w:id="234" w:name="_Toc335246332"/>
      <w:bookmarkStart w:id="235" w:name="_Toc343780540"/>
      <w:r w:rsidRPr="00080443">
        <w:lastRenderedPageBreak/>
        <w:t>Interference that the technical framework does not prevent</w:t>
      </w:r>
      <w:bookmarkEnd w:id="234"/>
      <w:bookmarkEnd w:id="235"/>
    </w:p>
    <w:p w14:paraId="3D6AFCFA" w14:textId="77777777" w:rsidR="008A60B8" w:rsidRPr="00080443" w:rsidRDefault="008A60B8" w:rsidP="00433D95">
      <w:pPr>
        <w:rPr>
          <w:rFonts w:cs="Arial"/>
        </w:rPr>
      </w:pPr>
      <w:r w:rsidRPr="00080443">
        <w:rPr>
          <w:rFonts w:cs="Arial"/>
        </w:rPr>
        <w:t xml:space="preserve">No matter how rigorous the engineering analysis of a device, there is always a possibility of actual interference when devices are deployed in the field. This is because the technical framework is designed according to certain levels of acceptable interference probability. Under the framework described in this chapter, </w:t>
      </w:r>
      <w:r w:rsidR="009158FB" w:rsidRPr="00080443">
        <w:rPr>
          <w:rFonts w:cs="Arial"/>
        </w:rPr>
        <w:t>assuming compliance with licence conditions</w:t>
      </w:r>
      <w:r w:rsidR="00F627AB" w:rsidRPr="00080443">
        <w:rPr>
          <w:rFonts w:cs="Arial"/>
        </w:rPr>
        <w:t xml:space="preserve"> and relevant obligations</w:t>
      </w:r>
      <w:r w:rsidR="009158FB" w:rsidRPr="00080443">
        <w:rPr>
          <w:rFonts w:cs="Arial"/>
        </w:rPr>
        <w:t xml:space="preserve">, </w:t>
      </w:r>
      <w:r w:rsidRPr="00080443">
        <w:rPr>
          <w:rFonts w:cs="Arial"/>
        </w:rPr>
        <w:t xml:space="preserve">it is anticipated that </w:t>
      </w:r>
      <w:r w:rsidR="00911EE3" w:rsidRPr="00080443">
        <w:rPr>
          <w:rFonts w:cs="Arial"/>
        </w:rPr>
        <w:t xml:space="preserve">the risk of </w:t>
      </w:r>
      <w:r w:rsidRPr="00080443">
        <w:rPr>
          <w:rFonts w:cs="Arial"/>
        </w:rPr>
        <w:t xml:space="preserve">interference between spectrum-licensed devices </w:t>
      </w:r>
      <w:r w:rsidR="00911EE3" w:rsidRPr="00080443">
        <w:rPr>
          <w:rFonts w:cs="Arial"/>
        </w:rPr>
        <w:t xml:space="preserve">is low. </w:t>
      </w:r>
      <w:r w:rsidRPr="00080443">
        <w:rPr>
          <w:rFonts w:cs="Arial"/>
        </w:rPr>
        <w:t>Such interference may be caused by emissions at frequencies either inside or outside the licensees’ spectrum space.</w:t>
      </w:r>
    </w:p>
    <w:p w14:paraId="4C77C6EE" w14:textId="77777777" w:rsidR="00433D95" w:rsidRPr="00080443" w:rsidRDefault="00433D95" w:rsidP="00433D95">
      <w:pPr>
        <w:rPr>
          <w:rFonts w:cs="Arial"/>
        </w:rPr>
      </w:pPr>
    </w:p>
    <w:p w14:paraId="2A177693" w14:textId="77777777" w:rsidR="008A60B8" w:rsidRPr="00080443" w:rsidRDefault="00C36B5F" w:rsidP="00433D95">
      <w:pPr>
        <w:rPr>
          <w:rFonts w:cs="Arial"/>
        </w:rPr>
      </w:pPr>
      <w:r w:rsidRPr="00080443">
        <w:rPr>
          <w:rFonts w:cs="Arial"/>
        </w:rPr>
        <w:t>Before making an interference complaint, l</w:t>
      </w:r>
      <w:r w:rsidR="008A60B8" w:rsidRPr="00080443">
        <w:rPr>
          <w:rFonts w:cs="Arial"/>
        </w:rPr>
        <w:t xml:space="preserve">icensees are strongly advised </w:t>
      </w:r>
      <w:r w:rsidRPr="00080443">
        <w:rPr>
          <w:rFonts w:cs="Arial"/>
        </w:rPr>
        <w:t>to check the RRL in an attempt to locate the source of any interference</w:t>
      </w:r>
      <w:r w:rsidR="008A60B8" w:rsidRPr="00080443">
        <w:rPr>
          <w:rFonts w:cs="Arial"/>
        </w:rPr>
        <w:t>. This may reveal the cause of the interference and it may be possible to settle the problem without the ACMA’s intervention. If the ACMA becomes involved, licensees may be charged for any work undertaken</w:t>
      </w:r>
      <w:r w:rsidR="009158FB" w:rsidRPr="00080443">
        <w:rPr>
          <w:rFonts w:cs="Arial"/>
        </w:rPr>
        <w:t xml:space="preserve"> by or on behalf of the ACMA</w:t>
      </w:r>
      <w:r w:rsidR="008A60B8" w:rsidRPr="00080443">
        <w:rPr>
          <w:rFonts w:cs="Arial"/>
        </w:rPr>
        <w:t>.</w:t>
      </w:r>
    </w:p>
    <w:p w14:paraId="612C9E45" w14:textId="77777777" w:rsidR="00433D95" w:rsidRPr="00080443" w:rsidRDefault="00433D95" w:rsidP="00433D95">
      <w:pPr>
        <w:rPr>
          <w:rFonts w:cs="Arial"/>
        </w:rPr>
      </w:pPr>
    </w:p>
    <w:p w14:paraId="07C0B81A" w14:textId="77777777" w:rsidR="008A60B8" w:rsidRPr="00080443" w:rsidRDefault="008A60B8" w:rsidP="006A65E3">
      <w:pPr>
        <w:pStyle w:val="Heading3"/>
        <w:numPr>
          <w:ilvl w:val="2"/>
          <w:numId w:val="12"/>
        </w:numPr>
      </w:pPr>
      <w:bookmarkStart w:id="236" w:name="_Toc335246333"/>
      <w:bookmarkStart w:id="237" w:name="_Toc343780541"/>
      <w:r w:rsidRPr="00080443">
        <w:t>International coordination</w:t>
      </w:r>
      <w:bookmarkEnd w:id="236"/>
      <w:bookmarkEnd w:id="237"/>
    </w:p>
    <w:p w14:paraId="07637AAA" w14:textId="77777777" w:rsidR="008A60B8" w:rsidRPr="00080443" w:rsidRDefault="008A60B8" w:rsidP="00433D95">
      <w:pPr>
        <w:rPr>
          <w:rFonts w:cs="Arial"/>
        </w:rPr>
      </w:pPr>
      <w:r w:rsidRPr="00080443">
        <w:rPr>
          <w:rFonts w:cs="Arial"/>
        </w:rPr>
        <w:t>Potential spectrum licensees should note that the ACMA will impose such additional licence conditions on spectrum licences as may be necessary to meet its international obligations</w:t>
      </w:r>
      <w:r w:rsidR="00911EE3" w:rsidRPr="00080443">
        <w:rPr>
          <w:rFonts w:cs="Arial"/>
        </w:rPr>
        <w:t xml:space="preserve"> in accordance with the I</w:t>
      </w:r>
      <w:r w:rsidR="00224886" w:rsidRPr="00080443">
        <w:rPr>
          <w:rFonts w:cs="Arial"/>
        </w:rPr>
        <w:t xml:space="preserve">nternational Telecommunication Union </w:t>
      </w:r>
      <w:r w:rsidR="00911EE3" w:rsidRPr="00080443">
        <w:rPr>
          <w:rFonts w:cs="Arial"/>
        </w:rPr>
        <w:t>Radio Regulations</w:t>
      </w:r>
      <w:r w:rsidRPr="00080443">
        <w:rPr>
          <w:rFonts w:cs="Arial"/>
        </w:rPr>
        <w:t xml:space="preserve">. </w:t>
      </w:r>
    </w:p>
    <w:p w14:paraId="0E658E99" w14:textId="77777777" w:rsidR="00433D95" w:rsidRPr="00080443" w:rsidRDefault="00433D95" w:rsidP="00433D95">
      <w:pPr>
        <w:rPr>
          <w:rFonts w:cs="Arial"/>
        </w:rPr>
      </w:pPr>
    </w:p>
    <w:p w14:paraId="691C37F4" w14:textId="77777777" w:rsidR="008A60B8" w:rsidRPr="00080443" w:rsidRDefault="008A60B8" w:rsidP="006A65E3">
      <w:pPr>
        <w:pStyle w:val="Heading3"/>
        <w:numPr>
          <w:ilvl w:val="2"/>
          <w:numId w:val="12"/>
        </w:numPr>
      </w:pPr>
      <w:bookmarkStart w:id="238" w:name="_Toc335246334"/>
      <w:bookmarkStart w:id="239" w:name="_Toc343780542"/>
      <w:r w:rsidRPr="00080443">
        <w:t>Health and safety</w:t>
      </w:r>
      <w:bookmarkEnd w:id="238"/>
      <w:bookmarkEnd w:id="239"/>
    </w:p>
    <w:p w14:paraId="7A9B8A91" w14:textId="77777777" w:rsidR="008A60B8" w:rsidRPr="00080443" w:rsidRDefault="008A60B8" w:rsidP="00433D95">
      <w:pPr>
        <w:rPr>
          <w:rFonts w:cs="Arial"/>
        </w:rPr>
      </w:pPr>
      <w:r w:rsidRPr="00080443">
        <w:rPr>
          <w:rFonts w:cs="Arial"/>
        </w:rPr>
        <w:t xml:space="preserve">There are some regulatory arrangements relevant to the occupational health and safety, electromagnetic exposure and the supply of equipment under a spectrum licence. </w:t>
      </w:r>
      <w:r w:rsidR="00BB1151" w:rsidRPr="00080443">
        <w:rPr>
          <w:rFonts w:cs="Arial"/>
        </w:rPr>
        <w:t>Prospective bidders should ensure that they inform themselves about, and are familiar with, any relevant regulations.</w:t>
      </w:r>
    </w:p>
    <w:p w14:paraId="3C1FD157" w14:textId="77777777" w:rsidR="00433D95" w:rsidRPr="00080443" w:rsidRDefault="00433D95" w:rsidP="00433D95">
      <w:pPr>
        <w:rPr>
          <w:rFonts w:cs="Arial"/>
        </w:rPr>
      </w:pPr>
    </w:p>
    <w:p w14:paraId="2BAEC967" w14:textId="77777777" w:rsidR="008A60B8" w:rsidRPr="00080443" w:rsidRDefault="008A60B8" w:rsidP="006A65E3">
      <w:pPr>
        <w:pStyle w:val="Heading3"/>
        <w:numPr>
          <w:ilvl w:val="2"/>
          <w:numId w:val="12"/>
        </w:numPr>
      </w:pPr>
      <w:bookmarkStart w:id="240" w:name="_Toc335246335"/>
      <w:bookmarkStart w:id="241" w:name="_Toc343780543"/>
      <w:r w:rsidRPr="00080443">
        <w:t>Environmental and other considerations</w:t>
      </w:r>
      <w:bookmarkEnd w:id="240"/>
      <w:bookmarkEnd w:id="241"/>
    </w:p>
    <w:p w14:paraId="6B71433D" w14:textId="77777777" w:rsidR="008A60B8" w:rsidRPr="00080443" w:rsidRDefault="008A60B8" w:rsidP="00433D95">
      <w:pPr>
        <w:rPr>
          <w:rFonts w:cs="Arial"/>
        </w:rPr>
      </w:pPr>
      <w:r w:rsidRPr="00080443">
        <w:rPr>
          <w:rFonts w:cs="Arial"/>
        </w:rPr>
        <w:t xml:space="preserve">Antenna siting, height and construction may be regulated by state, territory or local government legislation. </w:t>
      </w:r>
      <w:r w:rsidR="00BB1151" w:rsidRPr="00080443">
        <w:rPr>
          <w:rFonts w:cs="Arial"/>
        </w:rPr>
        <w:t>Prospective bidders should ensure that they inform themselves about, and are familiar with, any relevant regulations.</w:t>
      </w:r>
    </w:p>
    <w:p w14:paraId="732D7EA8" w14:textId="77777777" w:rsidR="00433D95" w:rsidRPr="00080443" w:rsidRDefault="00433D95" w:rsidP="00433D95">
      <w:pPr>
        <w:rPr>
          <w:rFonts w:cs="Arial"/>
        </w:rPr>
      </w:pPr>
    </w:p>
    <w:p w14:paraId="3360EAD8" w14:textId="77777777" w:rsidR="008A60B8" w:rsidRPr="00080443" w:rsidRDefault="008A60B8" w:rsidP="006A65E3">
      <w:pPr>
        <w:pStyle w:val="Heading3"/>
        <w:numPr>
          <w:ilvl w:val="2"/>
          <w:numId w:val="12"/>
        </w:numPr>
      </w:pPr>
      <w:bookmarkStart w:id="242" w:name="_Toc335246336"/>
      <w:bookmarkStart w:id="243" w:name="_Toc343780544"/>
      <w:r w:rsidRPr="00080443">
        <w:t>Obtaining a permit to operate non-standard devices</w:t>
      </w:r>
      <w:bookmarkEnd w:id="242"/>
      <w:bookmarkEnd w:id="243"/>
    </w:p>
    <w:p w14:paraId="281E2508" w14:textId="77777777" w:rsidR="008A60B8" w:rsidRPr="00080443" w:rsidRDefault="00BB7651" w:rsidP="00E10503">
      <w:pPr>
        <w:rPr>
          <w:rFonts w:cs="Arial"/>
        </w:rPr>
      </w:pPr>
      <w:r w:rsidRPr="00080443">
        <w:rPr>
          <w:rFonts w:cs="Arial"/>
        </w:rPr>
        <w:t>Division 4 of Part 4.1 of the Act provides that a</w:t>
      </w:r>
      <w:r w:rsidR="008A60B8" w:rsidRPr="00080443">
        <w:rPr>
          <w:rFonts w:cs="Arial"/>
        </w:rPr>
        <w:t xml:space="preserve"> licensee who wishes to operate</w:t>
      </w:r>
      <w:r w:rsidRPr="00080443">
        <w:rPr>
          <w:rFonts w:cs="Arial"/>
        </w:rPr>
        <w:t xml:space="preserve"> a non-standard device </w:t>
      </w:r>
      <w:r w:rsidR="00780330" w:rsidRPr="00080443">
        <w:rPr>
          <w:rFonts w:cs="Arial"/>
        </w:rPr>
        <w:t>under a spectrum licence</w:t>
      </w:r>
      <w:r w:rsidR="008A60B8" w:rsidRPr="00080443">
        <w:rPr>
          <w:rFonts w:cs="Arial"/>
        </w:rPr>
        <w:t xml:space="preserve"> is required to seek permission from the ACMA.</w:t>
      </w:r>
      <w:r w:rsidR="00480E87" w:rsidRPr="00080443">
        <w:rPr>
          <w:rStyle w:val="FootnoteReference"/>
          <w:rFonts w:cs="Arial"/>
        </w:rPr>
        <w:footnoteReference w:id="42"/>
      </w:r>
      <w:r w:rsidR="008A60B8" w:rsidRPr="00080443">
        <w:rPr>
          <w:rFonts w:cs="Arial"/>
        </w:rPr>
        <w:t xml:space="preserve"> </w:t>
      </w:r>
    </w:p>
    <w:p w14:paraId="277F5F1A" w14:textId="77777777" w:rsidR="008A60B8" w:rsidRPr="00080443" w:rsidRDefault="008A60B8" w:rsidP="008A60B8">
      <w:pPr>
        <w:spacing w:before="80" w:after="120"/>
        <w:rPr>
          <w:rFonts w:cs="Arial"/>
        </w:rPr>
      </w:pPr>
    </w:p>
    <w:p w14:paraId="5C702EF4" w14:textId="77777777" w:rsidR="005662A7" w:rsidRPr="00080443" w:rsidRDefault="005662A7">
      <w:pPr>
        <w:rPr>
          <w:rFonts w:cs="Arial"/>
        </w:rPr>
      </w:pPr>
      <w:r w:rsidRPr="00080443">
        <w:rPr>
          <w:rFonts w:cs="Arial"/>
        </w:rPr>
        <w:br w:type="page"/>
      </w:r>
    </w:p>
    <w:p w14:paraId="56C61D8E" w14:textId="77777777" w:rsidR="005662A7" w:rsidRPr="00080443" w:rsidRDefault="005662A7" w:rsidP="005662A7">
      <w:pPr>
        <w:pStyle w:val="ExecSummaryHeading"/>
        <w:rPr>
          <w:rFonts w:cs="Arial"/>
        </w:rPr>
      </w:pPr>
      <w:bookmarkStart w:id="244" w:name="_Toc335246337"/>
      <w:bookmarkStart w:id="245" w:name="_Toc343780545"/>
      <w:r w:rsidRPr="00080443">
        <w:rPr>
          <w:rFonts w:cs="Arial"/>
        </w:rPr>
        <w:lastRenderedPageBreak/>
        <w:t>Part four—</w:t>
      </w:r>
      <w:r w:rsidRPr="00080443">
        <w:rPr>
          <w:rFonts w:cs="Arial"/>
        </w:rPr>
        <w:br/>
      </w:r>
      <w:r w:rsidR="008A60B8" w:rsidRPr="00080443">
        <w:rPr>
          <w:rFonts w:cs="Arial"/>
        </w:rPr>
        <w:t>C</w:t>
      </w:r>
      <w:r w:rsidR="006C2AB1" w:rsidRPr="00080443">
        <w:rPr>
          <w:rFonts w:cs="Arial"/>
        </w:rPr>
        <w:t xml:space="preserve">ommunicating with the </w:t>
      </w:r>
      <w:r w:rsidR="008A60B8" w:rsidRPr="00080443">
        <w:rPr>
          <w:rFonts w:cs="Arial"/>
        </w:rPr>
        <w:t>ACMA</w:t>
      </w:r>
      <w:bookmarkEnd w:id="244"/>
      <w:bookmarkEnd w:id="245"/>
    </w:p>
    <w:p w14:paraId="0968C567" w14:textId="77777777" w:rsidR="00FC1049" w:rsidRPr="00080443" w:rsidRDefault="008A60B8" w:rsidP="00FC1049">
      <w:pPr>
        <w:pStyle w:val="Heading1"/>
        <w:numPr>
          <w:ilvl w:val="0"/>
          <w:numId w:val="13"/>
        </w:numPr>
      </w:pPr>
      <w:bookmarkStart w:id="246" w:name="_Toc335246338"/>
      <w:bookmarkStart w:id="247" w:name="_Toc343780546"/>
      <w:r w:rsidRPr="00080443">
        <w:lastRenderedPageBreak/>
        <w:t>Updates, queries, lodgements and payments</w:t>
      </w:r>
      <w:bookmarkEnd w:id="246"/>
      <w:bookmarkEnd w:id="247"/>
      <w:r w:rsidR="00FC1049" w:rsidRPr="00080443">
        <w:t xml:space="preserve"> </w:t>
      </w:r>
    </w:p>
    <w:p w14:paraId="1369BAB7" w14:textId="77777777" w:rsidR="004E1D35" w:rsidRPr="00080443" w:rsidRDefault="004E1D35" w:rsidP="00FC1049">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rPr>
      </w:pPr>
    </w:p>
    <w:p w14:paraId="5A2CBE18" w14:textId="77777777" w:rsidR="00FC1049" w:rsidRPr="00080443" w:rsidRDefault="00FC1049" w:rsidP="00FC1049">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cs="Arial"/>
          <w:b/>
        </w:rPr>
      </w:pPr>
      <w:r w:rsidRPr="00080443">
        <w:rPr>
          <w:rFonts w:cs="Arial"/>
          <w:b/>
        </w:rPr>
        <w:t>This chapter provides information about</w:t>
      </w:r>
      <w:r w:rsidR="00A15DBF" w:rsidRPr="00080443">
        <w:rPr>
          <w:rFonts w:cs="Arial"/>
          <w:b/>
        </w:rPr>
        <w:t xml:space="preserve"> how</w:t>
      </w:r>
      <w:r w:rsidRPr="00080443">
        <w:rPr>
          <w:rFonts w:cs="Arial"/>
          <w:b/>
        </w:rPr>
        <w:t xml:space="preserve">: </w:t>
      </w:r>
    </w:p>
    <w:p w14:paraId="018580BB" w14:textId="77777777" w:rsidR="00FC1049" w:rsidRPr="00080443" w:rsidRDefault="004E1D35" w:rsidP="00FC1049">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 xml:space="preserve">the </w:t>
      </w:r>
      <w:r w:rsidR="00FC1049" w:rsidRPr="00080443">
        <w:rPr>
          <w:rFonts w:cs="Arial"/>
          <w:b/>
        </w:rPr>
        <w:t xml:space="preserve">ACMA will </w:t>
      </w:r>
      <w:r w:rsidRPr="00080443">
        <w:rPr>
          <w:rFonts w:cs="Arial"/>
          <w:b/>
        </w:rPr>
        <w:t xml:space="preserve">release </w:t>
      </w:r>
      <w:r w:rsidR="00FC1049" w:rsidRPr="00080443">
        <w:rPr>
          <w:rFonts w:cs="Arial"/>
          <w:b/>
        </w:rPr>
        <w:t xml:space="preserve">updates and announcements </w:t>
      </w:r>
      <w:r w:rsidR="00A15DBF" w:rsidRPr="00080443">
        <w:rPr>
          <w:rFonts w:cs="Arial"/>
          <w:b/>
        </w:rPr>
        <w:t>about the auction</w:t>
      </w:r>
    </w:p>
    <w:p w14:paraId="79A82985" w14:textId="77777777" w:rsidR="004E1D35" w:rsidRPr="00080443" w:rsidRDefault="00A15DBF" w:rsidP="00FC1049">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to submit queries about the auction to the ACMA</w:t>
      </w:r>
    </w:p>
    <w:p w14:paraId="434DDE3C" w14:textId="77777777" w:rsidR="004E1D35" w:rsidRPr="00080443" w:rsidRDefault="00A15DBF" w:rsidP="00FC1049">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 xml:space="preserve">to </w:t>
      </w:r>
      <w:r w:rsidR="004E1D35" w:rsidRPr="00080443">
        <w:rPr>
          <w:rFonts w:cs="Arial"/>
          <w:b/>
        </w:rPr>
        <w:t>lodg</w:t>
      </w:r>
      <w:r w:rsidRPr="00080443">
        <w:rPr>
          <w:rFonts w:cs="Arial"/>
          <w:b/>
        </w:rPr>
        <w:t>e</w:t>
      </w:r>
      <w:r w:rsidR="004E1D35" w:rsidRPr="00080443">
        <w:rPr>
          <w:rFonts w:cs="Arial"/>
          <w:b/>
        </w:rPr>
        <w:t xml:space="preserve"> auction documents with the ACMA</w:t>
      </w:r>
    </w:p>
    <w:p w14:paraId="1D538009" w14:textId="77777777" w:rsidR="00FC1049" w:rsidRPr="00080443" w:rsidRDefault="00A15DBF" w:rsidP="00FC1049">
      <w:pPr>
        <w:pStyle w:val="ListBulle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080443">
        <w:rPr>
          <w:rFonts w:cs="Arial"/>
          <w:b/>
        </w:rPr>
        <w:t xml:space="preserve">to </w:t>
      </w:r>
      <w:r w:rsidR="004E1D35" w:rsidRPr="00080443">
        <w:rPr>
          <w:rFonts w:cs="Arial"/>
          <w:b/>
        </w:rPr>
        <w:t>mak</w:t>
      </w:r>
      <w:r w:rsidRPr="00080443">
        <w:rPr>
          <w:rFonts w:cs="Arial"/>
          <w:b/>
        </w:rPr>
        <w:t>e</w:t>
      </w:r>
      <w:r w:rsidR="004E1D35" w:rsidRPr="00080443">
        <w:rPr>
          <w:rFonts w:cs="Arial"/>
          <w:b/>
        </w:rPr>
        <w:t xml:space="preserve"> auction payments to the ACMA</w:t>
      </w:r>
      <w:r w:rsidR="00FC1049" w:rsidRPr="00080443">
        <w:rPr>
          <w:rFonts w:cs="Arial"/>
          <w:b/>
        </w:rPr>
        <w:t>.</w:t>
      </w:r>
    </w:p>
    <w:p w14:paraId="2763A3C0" w14:textId="77777777" w:rsidR="004E1D35" w:rsidRPr="00080443" w:rsidRDefault="004E1D35" w:rsidP="004E1D35">
      <w:pPr>
        <w:pStyle w:val="ListBullet"/>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p>
    <w:p w14:paraId="348DC55B" w14:textId="77777777" w:rsidR="008A60B8" w:rsidRPr="00080443" w:rsidRDefault="00FC1049" w:rsidP="00234088">
      <w:pPr>
        <w:pStyle w:val="Heading2"/>
        <w:numPr>
          <w:ilvl w:val="0"/>
          <w:numId w:val="0"/>
        </w:numPr>
      </w:pPr>
      <w:r w:rsidRPr="00080443">
        <w:rPr>
          <w:highlight w:val="yellow"/>
        </w:rPr>
        <w:br w:type="page"/>
      </w:r>
      <w:bookmarkStart w:id="248" w:name="_Toc335246339"/>
      <w:bookmarkStart w:id="249" w:name="_Toc343780547"/>
      <w:r w:rsidR="00890986" w:rsidRPr="00080443">
        <w:lastRenderedPageBreak/>
        <w:t>6.1</w:t>
      </w:r>
      <w:r w:rsidR="00890986" w:rsidRPr="00080443">
        <w:tab/>
      </w:r>
      <w:r w:rsidR="008A60B8" w:rsidRPr="00080443">
        <w:t>Updates and announcements</w:t>
      </w:r>
      <w:bookmarkEnd w:id="248"/>
      <w:bookmarkEnd w:id="249"/>
    </w:p>
    <w:p w14:paraId="3DD90E46" w14:textId="77777777" w:rsidR="008A60B8" w:rsidRPr="00080443" w:rsidRDefault="008A60B8" w:rsidP="006C2AB1">
      <w:pPr>
        <w:rPr>
          <w:rFonts w:cs="Arial"/>
        </w:rPr>
      </w:pPr>
      <w:r w:rsidRPr="00080443">
        <w:rPr>
          <w:rFonts w:cs="Arial"/>
        </w:rPr>
        <w:t xml:space="preserve">Updates about auction developments and events will be released through the ACMA’s </w:t>
      </w:r>
      <w:hyperlink r:id="rId57" w:history="1">
        <w:r w:rsidR="007F49B0" w:rsidRPr="00080443">
          <w:rPr>
            <w:rStyle w:val="Hyperlink"/>
            <w:rFonts w:cs="Arial"/>
            <w:i/>
          </w:rPr>
          <w:t>engage</w:t>
        </w:r>
        <w:r w:rsidR="007F49B0" w:rsidRPr="00080443">
          <w:rPr>
            <w:rStyle w:val="Hyperlink"/>
            <w:rFonts w:cs="Arial"/>
          </w:rPr>
          <w:t xml:space="preserve"> website</w:t>
        </w:r>
      </w:hyperlink>
      <w:r w:rsidRPr="00080443">
        <w:rPr>
          <w:rFonts w:cs="Arial"/>
        </w:rPr>
        <w:t xml:space="preserve">. </w:t>
      </w:r>
    </w:p>
    <w:p w14:paraId="4B056194" w14:textId="77777777" w:rsidR="006C2AB1" w:rsidRPr="00080443" w:rsidRDefault="006C2AB1" w:rsidP="006C2AB1">
      <w:pPr>
        <w:rPr>
          <w:rFonts w:cs="Arial"/>
        </w:rPr>
      </w:pPr>
    </w:p>
    <w:p w14:paraId="287D55EA" w14:textId="77777777" w:rsidR="008A60B8" w:rsidRPr="00080443" w:rsidRDefault="008A60B8" w:rsidP="006C2AB1">
      <w:pPr>
        <w:rPr>
          <w:rFonts w:cs="Arial"/>
        </w:rPr>
      </w:pPr>
      <w:r w:rsidRPr="00080443">
        <w:rPr>
          <w:rFonts w:cs="Arial"/>
        </w:rPr>
        <w:t xml:space="preserve">The ACMA also publishes a monthly </w:t>
      </w:r>
      <w:r w:rsidR="00175B8A" w:rsidRPr="00080443">
        <w:rPr>
          <w:rFonts w:cs="Arial"/>
          <w:i/>
        </w:rPr>
        <w:t>Spectrum auction e-bulletin</w:t>
      </w:r>
      <w:r w:rsidRPr="00080443">
        <w:rPr>
          <w:rFonts w:cs="Arial"/>
        </w:rPr>
        <w:t xml:space="preserve"> to provide stakeholders with a summary about recent and upcoming developments. You can subscribe to the e-</w:t>
      </w:r>
      <w:r w:rsidR="000F1CEF" w:rsidRPr="00080443">
        <w:rPr>
          <w:rFonts w:cs="Arial"/>
        </w:rPr>
        <w:t>b</w:t>
      </w:r>
      <w:r w:rsidRPr="00080443">
        <w:rPr>
          <w:rFonts w:cs="Arial"/>
        </w:rPr>
        <w:t xml:space="preserve">ulletin, and access past issues, through the </w:t>
      </w:r>
      <w:r w:rsidR="00175B8A" w:rsidRPr="00080443">
        <w:rPr>
          <w:rFonts w:cs="Arial"/>
          <w:i/>
        </w:rPr>
        <w:t>engage</w:t>
      </w:r>
      <w:r w:rsidRPr="00080443">
        <w:rPr>
          <w:rFonts w:cs="Arial"/>
        </w:rPr>
        <w:t xml:space="preserve"> website. </w:t>
      </w:r>
    </w:p>
    <w:p w14:paraId="6B55C21B" w14:textId="77777777" w:rsidR="009158FB" w:rsidRPr="00080443" w:rsidRDefault="009158FB" w:rsidP="006C2AB1">
      <w:pPr>
        <w:rPr>
          <w:rFonts w:cs="Arial"/>
        </w:rPr>
      </w:pPr>
    </w:p>
    <w:p w14:paraId="54046651" w14:textId="77777777" w:rsidR="009158FB" w:rsidRPr="00080443" w:rsidRDefault="0051762F" w:rsidP="006C2AB1">
      <w:pPr>
        <w:rPr>
          <w:rFonts w:cs="Arial"/>
        </w:rPr>
      </w:pPr>
      <w:r w:rsidRPr="00080443">
        <w:rPr>
          <w:rFonts w:cs="Arial"/>
        </w:rPr>
        <w:t>Information about the progress of the restack process, including copies of all draft and final TLAPs prepared by the ACMA, is available on the ACMA</w:t>
      </w:r>
      <w:r w:rsidR="00007E16" w:rsidRPr="00080443">
        <w:rPr>
          <w:rFonts w:cs="Arial"/>
        </w:rPr>
        <w:t xml:space="preserve"> </w:t>
      </w:r>
      <w:hyperlink r:id="rId58" w:history="1">
        <w:r w:rsidR="00007E16" w:rsidRPr="00080443">
          <w:rPr>
            <w:rStyle w:val="Hyperlink"/>
            <w:rFonts w:cs="Arial"/>
          </w:rPr>
          <w:t>website</w:t>
        </w:r>
      </w:hyperlink>
      <w:r w:rsidRPr="00080443">
        <w:rPr>
          <w:rFonts w:cs="Arial"/>
        </w:rPr>
        <w:t xml:space="preserve">. This information, which will be updated from time to time throughout the course of the restack process, </w:t>
      </w:r>
      <w:r w:rsidR="009158FB" w:rsidRPr="00080443">
        <w:rPr>
          <w:rFonts w:cs="Arial"/>
        </w:rPr>
        <w:t>is relevant to the use of spectrum pursuant to spectrum licences issued for the 700 MHz band</w:t>
      </w:r>
      <w:r w:rsidRPr="00080443">
        <w:rPr>
          <w:rFonts w:cs="Arial"/>
        </w:rPr>
        <w:t xml:space="preserve"> (see 1.2.</w:t>
      </w:r>
      <w:r w:rsidR="001D5E23" w:rsidRPr="00080443">
        <w:rPr>
          <w:rFonts w:cs="Arial"/>
        </w:rPr>
        <w:t>5</w:t>
      </w:r>
      <w:r w:rsidR="00480AA3" w:rsidRPr="00080443">
        <w:rPr>
          <w:rFonts w:cs="Arial"/>
        </w:rPr>
        <w:t xml:space="preserve"> to 1.2.7</w:t>
      </w:r>
      <w:r w:rsidRPr="00080443">
        <w:rPr>
          <w:rFonts w:cs="Arial"/>
        </w:rPr>
        <w:t>)</w:t>
      </w:r>
      <w:r w:rsidR="009158FB" w:rsidRPr="00080443">
        <w:rPr>
          <w:rFonts w:cs="Arial"/>
        </w:rPr>
        <w:t>.</w:t>
      </w:r>
    </w:p>
    <w:p w14:paraId="47D60977" w14:textId="77777777" w:rsidR="00C43CE8" w:rsidRPr="00080443" w:rsidRDefault="00C43CE8" w:rsidP="006C2AB1">
      <w:pPr>
        <w:rPr>
          <w:rFonts w:cs="Arial"/>
        </w:rPr>
      </w:pPr>
    </w:p>
    <w:p w14:paraId="7936047A" w14:textId="77777777" w:rsidR="00C43CE8" w:rsidRPr="00080443" w:rsidRDefault="00C43CE8" w:rsidP="006C2AB1">
      <w:pPr>
        <w:rPr>
          <w:rFonts w:cs="Arial"/>
        </w:rPr>
      </w:pPr>
      <w:r w:rsidRPr="00080443">
        <w:rPr>
          <w:rFonts w:cs="Arial"/>
        </w:rPr>
        <w:t xml:space="preserve">Information about </w:t>
      </w:r>
      <w:r w:rsidR="00985E14" w:rsidRPr="00080443">
        <w:rPr>
          <w:rFonts w:cs="Arial"/>
        </w:rPr>
        <w:t xml:space="preserve">the </w:t>
      </w:r>
      <w:r w:rsidRPr="00080443">
        <w:rPr>
          <w:rFonts w:cs="Arial"/>
        </w:rPr>
        <w:t>restack</w:t>
      </w:r>
      <w:r w:rsidR="00985E14" w:rsidRPr="00080443">
        <w:rPr>
          <w:rFonts w:cs="Arial"/>
        </w:rPr>
        <w:t xml:space="preserve"> process</w:t>
      </w:r>
      <w:r w:rsidRPr="00080443">
        <w:rPr>
          <w:rFonts w:cs="Arial"/>
        </w:rPr>
        <w:t xml:space="preserve">, and the broader process of achieving the digital dividend, is also available </w:t>
      </w:r>
      <w:r w:rsidR="00985E14" w:rsidRPr="00080443">
        <w:rPr>
          <w:rFonts w:cs="Arial"/>
        </w:rPr>
        <w:t xml:space="preserve">on </w:t>
      </w:r>
      <w:r w:rsidRPr="00080443">
        <w:rPr>
          <w:rFonts w:cs="Arial"/>
        </w:rPr>
        <w:t xml:space="preserve">the DBCDE </w:t>
      </w:r>
      <w:hyperlink r:id="rId59" w:history="1">
        <w:r w:rsidRPr="00080443">
          <w:rPr>
            <w:rStyle w:val="Hyperlink"/>
            <w:rFonts w:cs="Arial"/>
          </w:rPr>
          <w:t>website</w:t>
        </w:r>
      </w:hyperlink>
      <w:r w:rsidRPr="00080443">
        <w:rPr>
          <w:rFonts w:cs="Arial"/>
        </w:rPr>
        <w:t xml:space="preserve">. </w:t>
      </w:r>
    </w:p>
    <w:p w14:paraId="2856ABE4" w14:textId="77777777" w:rsidR="000C7445" w:rsidRPr="00080443" w:rsidRDefault="000C7445" w:rsidP="006C2AB1">
      <w:pPr>
        <w:rPr>
          <w:rFonts w:cs="Arial"/>
        </w:rPr>
      </w:pPr>
    </w:p>
    <w:p w14:paraId="200D0F24" w14:textId="77777777" w:rsidR="000C7445" w:rsidRPr="00080443" w:rsidRDefault="00C73B61" w:rsidP="006C2AB1">
      <w:pPr>
        <w:rPr>
          <w:rFonts w:cs="Arial"/>
        </w:rPr>
      </w:pPr>
      <w:r w:rsidRPr="00080443">
        <w:rPr>
          <w:rFonts w:cs="Arial"/>
        </w:rPr>
        <w:t xml:space="preserve">Several of the steps set out in Chapter 4 require the ACMA to provide </w:t>
      </w:r>
      <w:r w:rsidR="00084ABA" w:rsidRPr="00080443">
        <w:rPr>
          <w:rFonts w:cs="Arial"/>
        </w:rPr>
        <w:t xml:space="preserve">information or material to </w:t>
      </w:r>
      <w:r w:rsidRPr="00080443">
        <w:rPr>
          <w:rFonts w:cs="Arial"/>
        </w:rPr>
        <w:t xml:space="preserve">auction participants </w:t>
      </w:r>
      <w:r w:rsidR="00084ABA" w:rsidRPr="00080443">
        <w:rPr>
          <w:rFonts w:cs="Arial"/>
        </w:rPr>
        <w:t xml:space="preserve">directly. Arrangements for </w:t>
      </w:r>
      <w:r w:rsidR="001F76F8" w:rsidRPr="00080443">
        <w:rPr>
          <w:rFonts w:cs="Arial"/>
        </w:rPr>
        <w:t xml:space="preserve">conducting such communications are discussed </w:t>
      </w:r>
      <w:r w:rsidR="00084ABA" w:rsidRPr="00080443">
        <w:rPr>
          <w:rFonts w:cs="Arial"/>
        </w:rPr>
        <w:t xml:space="preserve">in the introduction to Chapter 4. </w:t>
      </w:r>
    </w:p>
    <w:p w14:paraId="300A8C3B" w14:textId="77777777" w:rsidR="006C2AB1" w:rsidRPr="00080443" w:rsidRDefault="006C2AB1" w:rsidP="006C2AB1">
      <w:pPr>
        <w:rPr>
          <w:rFonts w:cs="Arial"/>
        </w:rPr>
      </w:pPr>
    </w:p>
    <w:p w14:paraId="1FB27719" w14:textId="77777777" w:rsidR="008A60B8" w:rsidRPr="00080443" w:rsidRDefault="00890986" w:rsidP="00234088">
      <w:pPr>
        <w:pStyle w:val="Heading2"/>
        <w:numPr>
          <w:ilvl w:val="0"/>
          <w:numId w:val="0"/>
        </w:numPr>
      </w:pPr>
      <w:bookmarkStart w:id="250" w:name="_Toc335246340"/>
      <w:bookmarkStart w:id="251" w:name="_Toc343780548"/>
      <w:r w:rsidRPr="00080443">
        <w:t>6.2</w:t>
      </w:r>
      <w:r w:rsidRPr="00080443">
        <w:tab/>
      </w:r>
      <w:r w:rsidR="008A60B8" w:rsidRPr="00080443">
        <w:t>Queries</w:t>
      </w:r>
      <w:bookmarkEnd w:id="250"/>
      <w:bookmarkEnd w:id="251"/>
    </w:p>
    <w:p w14:paraId="1C8FAE62" w14:textId="77777777" w:rsidR="008A60B8" w:rsidRPr="00080443" w:rsidRDefault="008A60B8" w:rsidP="006C2AB1">
      <w:pPr>
        <w:spacing w:after="80"/>
        <w:rPr>
          <w:rFonts w:cs="Arial"/>
        </w:rPr>
      </w:pPr>
      <w:r w:rsidRPr="00080443">
        <w:rPr>
          <w:rFonts w:cs="Arial"/>
        </w:rPr>
        <w:t>Queries about the auction process may be directed to the ACMA’s Allocations Liaison Officer, by:</w:t>
      </w:r>
    </w:p>
    <w:p w14:paraId="4F21B733" w14:textId="77777777" w:rsidR="008A60B8" w:rsidRPr="00080443" w:rsidRDefault="008A60B8" w:rsidP="006C2AB1">
      <w:pPr>
        <w:rPr>
          <w:rFonts w:cs="Arial"/>
        </w:rPr>
      </w:pPr>
      <w:r w:rsidRPr="00080443">
        <w:rPr>
          <w:rFonts w:cs="Arial"/>
          <w:b/>
        </w:rPr>
        <w:t>Email:</w:t>
      </w:r>
      <w:r w:rsidRPr="00080443">
        <w:rPr>
          <w:rFonts w:cs="Arial"/>
          <w:b/>
        </w:rPr>
        <w:tab/>
      </w:r>
      <w:r w:rsidRPr="00080443">
        <w:rPr>
          <w:rFonts w:cs="Arial"/>
        </w:rPr>
        <w:tab/>
      </w:r>
      <w:hyperlink r:id="rId60" w:history="1">
        <w:r w:rsidRPr="00080443">
          <w:rPr>
            <w:rStyle w:val="Hyperlink"/>
            <w:rFonts w:cs="Arial"/>
          </w:rPr>
          <w:t>majorspectrumallocations@acma.gov.au</w:t>
        </w:r>
      </w:hyperlink>
    </w:p>
    <w:p w14:paraId="5B7DF1F2" w14:textId="77777777" w:rsidR="008A60B8" w:rsidRPr="00080443" w:rsidRDefault="008A60B8" w:rsidP="006C2AB1">
      <w:pPr>
        <w:rPr>
          <w:rFonts w:cs="Arial"/>
        </w:rPr>
      </w:pPr>
    </w:p>
    <w:p w14:paraId="09B7C9A1" w14:textId="77777777" w:rsidR="008A60B8" w:rsidRPr="00080443" w:rsidRDefault="008A60B8" w:rsidP="006C2AB1">
      <w:pPr>
        <w:rPr>
          <w:rFonts w:cs="Arial"/>
        </w:rPr>
      </w:pPr>
      <w:r w:rsidRPr="00080443">
        <w:rPr>
          <w:rFonts w:cs="Arial"/>
          <w:b/>
        </w:rPr>
        <w:t>Telephone:</w:t>
      </w:r>
      <w:r w:rsidRPr="00080443">
        <w:rPr>
          <w:rFonts w:cs="Arial"/>
        </w:rPr>
        <w:tab/>
        <w:t>(03) 9963 6837</w:t>
      </w:r>
    </w:p>
    <w:p w14:paraId="6ABECA80" w14:textId="77777777" w:rsidR="008A60B8" w:rsidRPr="00080443" w:rsidRDefault="008A60B8" w:rsidP="006C2AB1">
      <w:pPr>
        <w:rPr>
          <w:rFonts w:cs="Arial"/>
        </w:rPr>
      </w:pPr>
    </w:p>
    <w:p w14:paraId="346B865D" w14:textId="77777777" w:rsidR="008A60B8" w:rsidRPr="00080443" w:rsidRDefault="008A60B8" w:rsidP="006C2AB1">
      <w:pPr>
        <w:rPr>
          <w:rFonts w:cs="Arial"/>
        </w:rPr>
      </w:pPr>
      <w:r w:rsidRPr="00080443">
        <w:rPr>
          <w:rFonts w:cs="Arial"/>
          <w:b/>
        </w:rPr>
        <w:t>Fax:</w:t>
      </w:r>
      <w:r w:rsidRPr="00080443">
        <w:rPr>
          <w:rFonts w:cs="Arial"/>
        </w:rPr>
        <w:tab/>
      </w:r>
      <w:r w:rsidRPr="00080443">
        <w:rPr>
          <w:rFonts w:cs="Arial"/>
        </w:rPr>
        <w:tab/>
        <w:t xml:space="preserve">(03) </w:t>
      </w:r>
      <w:r w:rsidR="00463E74" w:rsidRPr="00080443">
        <w:rPr>
          <w:rFonts w:cs="Arial"/>
        </w:rPr>
        <w:t>9663 7693</w:t>
      </w:r>
    </w:p>
    <w:p w14:paraId="1C0E6CE9" w14:textId="77777777" w:rsidR="008A60B8" w:rsidRPr="00080443" w:rsidRDefault="008A60B8" w:rsidP="006C2AB1">
      <w:pPr>
        <w:rPr>
          <w:rFonts w:cs="Arial"/>
        </w:rPr>
      </w:pPr>
    </w:p>
    <w:p w14:paraId="7074F94A" w14:textId="77777777" w:rsidR="008A60B8" w:rsidRPr="00080443" w:rsidRDefault="008A60B8" w:rsidP="006C2AB1">
      <w:pPr>
        <w:rPr>
          <w:rFonts w:cs="Arial"/>
        </w:rPr>
      </w:pPr>
      <w:r w:rsidRPr="00080443">
        <w:rPr>
          <w:rFonts w:cs="Arial"/>
          <w:b/>
        </w:rPr>
        <w:t>Post:</w:t>
      </w:r>
      <w:r w:rsidRPr="00080443">
        <w:rPr>
          <w:rFonts w:cs="Arial"/>
        </w:rPr>
        <w:tab/>
      </w:r>
      <w:r w:rsidRPr="00080443">
        <w:rPr>
          <w:rFonts w:cs="Arial"/>
        </w:rPr>
        <w:tab/>
        <w:t>Allocations Liaison Officer</w:t>
      </w:r>
    </w:p>
    <w:p w14:paraId="528C7322" w14:textId="77777777" w:rsidR="008A60B8" w:rsidRPr="00080443" w:rsidRDefault="006C2AB1" w:rsidP="006C2AB1">
      <w:pPr>
        <w:rPr>
          <w:rFonts w:cs="Arial"/>
        </w:rPr>
      </w:pPr>
      <w:r w:rsidRPr="00080443">
        <w:rPr>
          <w:rFonts w:cs="Arial"/>
        </w:rPr>
        <w:tab/>
      </w:r>
      <w:r w:rsidRPr="00080443">
        <w:rPr>
          <w:rFonts w:cs="Arial"/>
        </w:rPr>
        <w:tab/>
      </w:r>
      <w:r w:rsidR="008A60B8" w:rsidRPr="00080443">
        <w:rPr>
          <w:rFonts w:cs="Arial"/>
        </w:rPr>
        <w:t>Major Spectrum Allocations Section</w:t>
      </w:r>
    </w:p>
    <w:p w14:paraId="7129C4E0" w14:textId="77777777" w:rsidR="008A60B8" w:rsidRPr="00080443" w:rsidRDefault="006C2AB1" w:rsidP="006C2AB1">
      <w:pPr>
        <w:rPr>
          <w:rFonts w:cs="Arial"/>
        </w:rPr>
      </w:pPr>
      <w:r w:rsidRPr="00080443">
        <w:rPr>
          <w:rFonts w:cs="Arial"/>
        </w:rPr>
        <w:tab/>
      </w:r>
      <w:r w:rsidRPr="00080443">
        <w:rPr>
          <w:rFonts w:cs="Arial"/>
        </w:rPr>
        <w:tab/>
      </w:r>
      <w:r w:rsidR="008A60B8" w:rsidRPr="00080443">
        <w:rPr>
          <w:rFonts w:cs="Arial"/>
        </w:rPr>
        <w:t>Australian Communications and Media Authority</w:t>
      </w:r>
    </w:p>
    <w:p w14:paraId="6A72CA4C" w14:textId="77777777" w:rsidR="008A60B8" w:rsidRPr="00080443" w:rsidRDefault="006C2AB1" w:rsidP="006C2AB1">
      <w:pPr>
        <w:rPr>
          <w:rFonts w:cs="Arial"/>
        </w:rPr>
      </w:pPr>
      <w:r w:rsidRPr="00080443">
        <w:rPr>
          <w:rFonts w:cs="Arial"/>
        </w:rPr>
        <w:tab/>
      </w:r>
      <w:r w:rsidRPr="00080443">
        <w:rPr>
          <w:rFonts w:cs="Arial"/>
        </w:rPr>
        <w:tab/>
      </w:r>
      <w:r w:rsidR="008013B4" w:rsidRPr="00080443">
        <w:rPr>
          <w:rFonts w:cs="Arial"/>
        </w:rPr>
        <w:t>Level 44, 360 Elizabeth St</w:t>
      </w:r>
    </w:p>
    <w:p w14:paraId="50C7A870" w14:textId="77777777" w:rsidR="008A60B8" w:rsidRPr="00080443" w:rsidRDefault="006C2AB1" w:rsidP="006C2AB1">
      <w:pPr>
        <w:spacing w:after="240"/>
        <w:rPr>
          <w:rFonts w:cs="Arial"/>
          <w:b/>
        </w:rPr>
      </w:pPr>
      <w:r w:rsidRPr="00080443">
        <w:rPr>
          <w:rFonts w:cs="Arial"/>
        </w:rPr>
        <w:tab/>
      </w:r>
      <w:r w:rsidRPr="00080443">
        <w:rPr>
          <w:rFonts w:cs="Arial"/>
        </w:rPr>
        <w:tab/>
      </w:r>
      <w:r w:rsidR="008A60B8" w:rsidRPr="00080443">
        <w:rPr>
          <w:rFonts w:cs="Arial"/>
        </w:rPr>
        <w:t xml:space="preserve">Melbourne VIC </w:t>
      </w:r>
      <w:r w:rsidR="008013B4" w:rsidRPr="00080443">
        <w:rPr>
          <w:rFonts w:cs="Arial"/>
        </w:rPr>
        <w:t>3000</w:t>
      </w:r>
    </w:p>
    <w:p w14:paraId="1695C0EF" w14:textId="77777777" w:rsidR="008A60B8" w:rsidRPr="00080443" w:rsidRDefault="008A60B8" w:rsidP="006C2AB1">
      <w:pPr>
        <w:rPr>
          <w:rFonts w:cs="Arial"/>
        </w:rPr>
      </w:pPr>
      <w:r w:rsidRPr="00080443">
        <w:rPr>
          <w:rFonts w:cs="Arial"/>
        </w:rPr>
        <w:t>Following the eligibility deadline (</w:t>
      </w:r>
      <w:r w:rsidR="001133F7" w:rsidRPr="00080443">
        <w:rPr>
          <w:rFonts w:cs="Arial"/>
        </w:rPr>
        <w:t>2</w:t>
      </w:r>
      <w:r w:rsidR="00FC286F">
        <w:rPr>
          <w:rFonts w:cs="Arial"/>
        </w:rPr>
        <w:t>8</w:t>
      </w:r>
      <w:r w:rsidR="009373D8" w:rsidRPr="00080443">
        <w:rPr>
          <w:rFonts w:cs="Arial"/>
        </w:rPr>
        <w:t xml:space="preserve"> March </w:t>
      </w:r>
      <w:r w:rsidRPr="00080443">
        <w:rPr>
          <w:rFonts w:cs="Arial"/>
        </w:rPr>
        <w:t xml:space="preserve">2013), people who have registered </w:t>
      </w:r>
      <w:r w:rsidR="0016339D" w:rsidRPr="00080443">
        <w:rPr>
          <w:rFonts w:cs="Arial"/>
        </w:rPr>
        <w:t xml:space="preserve">as a bidder </w:t>
      </w:r>
      <w:r w:rsidRPr="00080443">
        <w:rPr>
          <w:rFonts w:cs="Arial"/>
        </w:rPr>
        <w:t xml:space="preserve">in the auction will be </w:t>
      </w:r>
      <w:r w:rsidR="00BF6EA5" w:rsidRPr="00080443">
        <w:rPr>
          <w:rFonts w:cs="Arial"/>
        </w:rPr>
        <w:t>given</w:t>
      </w:r>
      <w:r w:rsidRPr="00080443">
        <w:rPr>
          <w:rFonts w:cs="Arial"/>
        </w:rPr>
        <w:t xml:space="preserve"> alternative contact details (an email address, telephone number and fax number) </w:t>
      </w:r>
      <w:r w:rsidR="00BF6EA5" w:rsidRPr="00080443">
        <w:rPr>
          <w:rFonts w:cs="Arial"/>
        </w:rPr>
        <w:t>they can use</w:t>
      </w:r>
      <w:r w:rsidRPr="00080443">
        <w:rPr>
          <w:rFonts w:cs="Arial"/>
        </w:rPr>
        <w:t xml:space="preserve"> to communicate with the ACMA about the auction process</w:t>
      </w:r>
      <w:r w:rsidR="009373D8" w:rsidRPr="00080443">
        <w:rPr>
          <w:rFonts w:cs="Arial"/>
        </w:rPr>
        <w:t xml:space="preserve"> (see 4.3.4)</w:t>
      </w:r>
      <w:r w:rsidRPr="00080443">
        <w:rPr>
          <w:rFonts w:cs="Arial"/>
        </w:rPr>
        <w:t>.</w:t>
      </w:r>
    </w:p>
    <w:p w14:paraId="0A17480D" w14:textId="77777777" w:rsidR="008A60B8" w:rsidRPr="00080443" w:rsidRDefault="008A60B8" w:rsidP="006C2AB1">
      <w:pPr>
        <w:rPr>
          <w:rFonts w:cs="Arial"/>
        </w:rPr>
      </w:pPr>
    </w:p>
    <w:p w14:paraId="3A33C92E" w14:textId="77777777" w:rsidR="008A60B8" w:rsidRPr="00080443" w:rsidRDefault="00A921E7" w:rsidP="001F3A7F">
      <w:pPr>
        <w:pStyle w:val="Heading2"/>
        <w:numPr>
          <w:ilvl w:val="0"/>
          <w:numId w:val="0"/>
        </w:numPr>
      </w:pPr>
      <w:bookmarkStart w:id="252" w:name="_Toc335246341"/>
      <w:bookmarkStart w:id="253" w:name="_Toc343780549"/>
      <w:r w:rsidRPr="00080443">
        <w:t>6.3</w:t>
      </w:r>
      <w:r w:rsidRPr="00080443">
        <w:tab/>
      </w:r>
      <w:r w:rsidR="008A60B8" w:rsidRPr="00080443">
        <w:t>Lodging documents</w:t>
      </w:r>
      <w:bookmarkEnd w:id="252"/>
      <w:bookmarkEnd w:id="253"/>
    </w:p>
    <w:p w14:paraId="6FB9B4DD" w14:textId="77777777" w:rsidR="008A60B8" w:rsidRPr="00080443" w:rsidRDefault="008A60B8" w:rsidP="006C2AB1">
      <w:pPr>
        <w:spacing w:after="80"/>
        <w:rPr>
          <w:rFonts w:cs="Arial"/>
        </w:rPr>
      </w:pPr>
      <w:r w:rsidRPr="00080443">
        <w:rPr>
          <w:rFonts w:cs="Arial"/>
        </w:rPr>
        <w:t>Auction documents (</w:t>
      </w:r>
      <w:r w:rsidR="00BF6EA5" w:rsidRPr="00080443">
        <w:rPr>
          <w:rFonts w:cs="Arial"/>
        </w:rPr>
        <w:t>for example</w:t>
      </w:r>
      <w:r w:rsidRPr="00080443">
        <w:rPr>
          <w:rFonts w:cs="Arial"/>
        </w:rPr>
        <w:t>, application forms, deeds, statutory declarations) may be given to the ACMA by:</w:t>
      </w:r>
    </w:p>
    <w:p w14:paraId="425C633E" w14:textId="77777777" w:rsidR="008A60B8" w:rsidRPr="00080443" w:rsidRDefault="008A60B8" w:rsidP="006C2AB1">
      <w:pPr>
        <w:rPr>
          <w:rFonts w:cs="Arial"/>
          <w:b/>
        </w:rPr>
      </w:pPr>
      <w:r w:rsidRPr="00080443">
        <w:rPr>
          <w:rFonts w:cs="Arial"/>
          <w:b/>
        </w:rPr>
        <w:t>Email:</w:t>
      </w:r>
      <w:r w:rsidRPr="00080443">
        <w:rPr>
          <w:rFonts w:cs="Arial"/>
          <w:b/>
        </w:rPr>
        <w:tab/>
      </w:r>
      <w:r w:rsidRPr="00080443">
        <w:rPr>
          <w:rFonts w:cs="Arial"/>
          <w:b/>
        </w:rPr>
        <w:tab/>
      </w:r>
      <w:hyperlink r:id="rId61" w:history="1">
        <w:r w:rsidR="00CC084B" w:rsidRPr="00080443">
          <w:rPr>
            <w:rStyle w:val="Hyperlink"/>
            <w:rFonts w:cs="Arial"/>
          </w:rPr>
          <w:t>ddauctionmanager@acma.gov.au</w:t>
        </w:r>
      </w:hyperlink>
      <w:r w:rsidRPr="00080443">
        <w:rPr>
          <w:rFonts w:cs="Arial"/>
        </w:rPr>
        <w:t>*</w:t>
      </w:r>
      <w:r w:rsidRPr="00080443">
        <w:rPr>
          <w:rFonts w:cs="Arial"/>
          <w:b/>
        </w:rPr>
        <w:t xml:space="preserve"> </w:t>
      </w:r>
    </w:p>
    <w:p w14:paraId="6D581D29" w14:textId="77777777" w:rsidR="008A60B8" w:rsidRPr="00080443" w:rsidRDefault="008A60B8" w:rsidP="006C2AB1">
      <w:pPr>
        <w:rPr>
          <w:rFonts w:cs="Arial"/>
        </w:rPr>
      </w:pPr>
    </w:p>
    <w:p w14:paraId="68638D5A" w14:textId="77777777" w:rsidR="008A60B8" w:rsidRPr="00080443" w:rsidRDefault="008A60B8" w:rsidP="006C2AB1">
      <w:pPr>
        <w:rPr>
          <w:rFonts w:cs="Arial"/>
        </w:rPr>
      </w:pPr>
      <w:r w:rsidRPr="00080443">
        <w:rPr>
          <w:rFonts w:cs="Arial"/>
          <w:b/>
        </w:rPr>
        <w:t>Fax:</w:t>
      </w:r>
      <w:r w:rsidRPr="00080443">
        <w:rPr>
          <w:rFonts w:cs="Arial"/>
        </w:rPr>
        <w:tab/>
      </w:r>
      <w:r w:rsidRPr="00080443">
        <w:rPr>
          <w:rFonts w:cs="Arial"/>
        </w:rPr>
        <w:tab/>
        <w:t xml:space="preserve">(03) </w:t>
      </w:r>
      <w:r w:rsidR="00463E74" w:rsidRPr="00080443">
        <w:rPr>
          <w:rFonts w:cs="Arial"/>
        </w:rPr>
        <w:t>9663 7693</w:t>
      </w:r>
      <w:r w:rsidRPr="00080443">
        <w:rPr>
          <w:rFonts w:cs="Arial"/>
        </w:rPr>
        <w:t>*</w:t>
      </w:r>
    </w:p>
    <w:p w14:paraId="4E329F6B" w14:textId="77777777" w:rsidR="008A60B8" w:rsidRPr="00080443" w:rsidRDefault="008A60B8" w:rsidP="006C2AB1">
      <w:pPr>
        <w:rPr>
          <w:rFonts w:cs="Arial"/>
        </w:rPr>
      </w:pPr>
    </w:p>
    <w:p w14:paraId="071AB107" w14:textId="77777777" w:rsidR="008A60B8" w:rsidRPr="00080443" w:rsidRDefault="008A60B8" w:rsidP="006C2AB1">
      <w:pPr>
        <w:rPr>
          <w:rFonts w:cs="Arial"/>
        </w:rPr>
      </w:pPr>
      <w:r w:rsidRPr="00080443">
        <w:rPr>
          <w:rFonts w:cs="Arial"/>
          <w:b/>
        </w:rPr>
        <w:t>Delivery to:</w:t>
      </w:r>
      <w:r w:rsidRPr="00080443">
        <w:rPr>
          <w:rFonts w:cs="Arial"/>
        </w:rPr>
        <w:tab/>
        <w:t>The Digital Dividend Auction Manager</w:t>
      </w:r>
    </w:p>
    <w:p w14:paraId="26061543" w14:textId="77777777" w:rsidR="008A60B8" w:rsidRPr="00080443" w:rsidRDefault="006C2AB1" w:rsidP="006C2AB1">
      <w:pPr>
        <w:rPr>
          <w:rFonts w:cs="Arial"/>
        </w:rPr>
      </w:pPr>
      <w:r w:rsidRPr="00080443">
        <w:rPr>
          <w:rFonts w:cs="Arial"/>
        </w:rPr>
        <w:tab/>
      </w:r>
      <w:r w:rsidRPr="00080443">
        <w:rPr>
          <w:rFonts w:cs="Arial"/>
        </w:rPr>
        <w:tab/>
      </w:r>
      <w:r w:rsidR="008A60B8" w:rsidRPr="00080443">
        <w:rPr>
          <w:rFonts w:cs="Arial"/>
        </w:rPr>
        <w:t>Major Spectrum Allocations Section</w:t>
      </w:r>
    </w:p>
    <w:p w14:paraId="526A7C43" w14:textId="77777777" w:rsidR="008A60B8" w:rsidRPr="00080443" w:rsidRDefault="006C2AB1" w:rsidP="006C2AB1">
      <w:pPr>
        <w:rPr>
          <w:rFonts w:cs="Arial"/>
        </w:rPr>
      </w:pPr>
      <w:r w:rsidRPr="00080443">
        <w:rPr>
          <w:rFonts w:cs="Arial"/>
        </w:rPr>
        <w:tab/>
      </w:r>
      <w:r w:rsidRPr="00080443">
        <w:rPr>
          <w:rFonts w:cs="Arial"/>
        </w:rPr>
        <w:tab/>
      </w:r>
      <w:r w:rsidR="008A60B8" w:rsidRPr="00080443">
        <w:rPr>
          <w:rFonts w:cs="Arial"/>
        </w:rPr>
        <w:t>Australian Communications and Media Authority</w:t>
      </w:r>
    </w:p>
    <w:p w14:paraId="5A2DF6C5" w14:textId="77777777" w:rsidR="008A60B8" w:rsidRPr="00080443" w:rsidRDefault="006C2AB1" w:rsidP="006C2AB1">
      <w:pPr>
        <w:rPr>
          <w:rFonts w:cs="Arial"/>
        </w:rPr>
      </w:pPr>
      <w:r w:rsidRPr="00080443">
        <w:rPr>
          <w:rFonts w:cs="Arial"/>
        </w:rPr>
        <w:tab/>
      </w:r>
      <w:r w:rsidRPr="00080443">
        <w:rPr>
          <w:rFonts w:cs="Arial"/>
        </w:rPr>
        <w:tab/>
      </w:r>
      <w:r w:rsidR="008A60B8" w:rsidRPr="00080443">
        <w:rPr>
          <w:rFonts w:cs="Arial"/>
        </w:rPr>
        <w:t>Level 44, 360 Elizabeth St</w:t>
      </w:r>
    </w:p>
    <w:p w14:paraId="3060DB01" w14:textId="77777777" w:rsidR="008A60B8" w:rsidRPr="00080443" w:rsidRDefault="006C2AB1" w:rsidP="006C2AB1">
      <w:pPr>
        <w:spacing w:after="240"/>
        <w:rPr>
          <w:rFonts w:cs="Arial"/>
        </w:rPr>
      </w:pPr>
      <w:r w:rsidRPr="00080443">
        <w:rPr>
          <w:rFonts w:cs="Arial"/>
        </w:rPr>
        <w:tab/>
      </w:r>
      <w:r w:rsidRPr="00080443">
        <w:rPr>
          <w:rFonts w:cs="Arial"/>
        </w:rPr>
        <w:tab/>
      </w:r>
      <w:r w:rsidR="008A60B8" w:rsidRPr="00080443">
        <w:rPr>
          <w:rFonts w:cs="Arial"/>
        </w:rPr>
        <w:t>M</w:t>
      </w:r>
      <w:r w:rsidR="00BF6EA5" w:rsidRPr="00080443">
        <w:rPr>
          <w:rFonts w:cs="Arial"/>
        </w:rPr>
        <w:t>elbourne</w:t>
      </w:r>
      <w:r w:rsidR="00B058A8" w:rsidRPr="00080443">
        <w:rPr>
          <w:rFonts w:cs="Arial"/>
        </w:rPr>
        <w:t xml:space="preserve"> Vic</w:t>
      </w:r>
      <w:r w:rsidR="008A60B8" w:rsidRPr="00080443">
        <w:rPr>
          <w:rFonts w:cs="Arial"/>
        </w:rPr>
        <w:t xml:space="preserve"> 3000</w:t>
      </w:r>
    </w:p>
    <w:p w14:paraId="0EBE7D5F" w14:textId="77777777" w:rsidR="001229FE" w:rsidRPr="00080443" w:rsidRDefault="008A60B8" w:rsidP="00C803AD">
      <w:pPr>
        <w:keepNext/>
        <w:spacing w:after="80"/>
        <w:rPr>
          <w:rFonts w:cs="Arial"/>
        </w:rPr>
      </w:pPr>
      <w:r w:rsidRPr="00080443">
        <w:rPr>
          <w:rFonts w:cs="Arial"/>
        </w:rPr>
        <w:lastRenderedPageBreak/>
        <w:t>*</w:t>
      </w:r>
      <w:r w:rsidR="00BF6EA5" w:rsidRPr="00080443">
        <w:rPr>
          <w:rFonts w:cs="Arial"/>
        </w:rPr>
        <w:t>S</w:t>
      </w:r>
      <w:r w:rsidR="009158FB" w:rsidRPr="00080443">
        <w:rPr>
          <w:rFonts w:cs="Arial"/>
        </w:rPr>
        <w:t>ubs</w:t>
      </w:r>
      <w:r w:rsidR="00BF6EA5" w:rsidRPr="00080443">
        <w:rPr>
          <w:rFonts w:cs="Arial"/>
        </w:rPr>
        <w:t>ections</w:t>
      </w:r>
      <w:r w:rsidRPr="00080443">
        <w:rPr>
          <w:rFonts w:cs="Arial"/>
        </w:rPr>
        <w:t>1.</w:t>
      </w:r>
      <w:r w:rsidR="00780330" w:rsidRPr="00080443">
        <w:rPr>
          <w:rFonts w:cs="Arial"/>
        </w:rPr>
        <w:t>6</w:t>
      </w:r>
      <w:r w:rsidRPr="00080443">
        <w:rPr>
          <w:rFonts w:cs="Arial"/>
        </w:rPr>
        <w:t>(2)</w:t>
      </w:r>
      <w:r w:rsidR="00BF6EA5" w:rsidRPr="00080443">
        <w:rPr>
          <w:rFonts w:cs="Arial"/>
        </w:rPr>
        <w:t>–</w:t>
      </w:r>
      <w:r w:rsidRPr="00080443">
        <w:rPr>
          <w:rFonts w:cs="Arial"/>
        </w:rPr>
        <w:t xml:space="preserve">(4) of the allocation determination set out </w:t>
      </w:r>
      <w:r w:rsidR="00DE4C5F" w:rsidRPr="00080443">
        <w:rPr>
          <w:rFonts w:cs="Arial"/>
        </w:rPr>
        <w:t xml:space="preserve">procedures </w:t>
      </w:r>
      <w:r w:rsidRPr="00080443">
        <w:rPr>
          <w:rFonts w:cs="Arial"/>
        </w:rPr>
        <w:t>for lodg</w:t>
      </w:r>
      <w:r w:rsidR="00BF6EA5" w:rsidRPr="00080443">
        <w:rPr>
          <w:rFonts w:cs="Arial"/>
        </w:rPr>
        <w:t>ing</w:t>
      </w:r>
      <w:r w:rsidRPr="00080443">
        <w:rPr>
          <w:rFonts w:cs="Arial"/>
        </w:rPr>
        <w:t xml:space="preserve"> documents by email or fax.</w:t>
      </w:r>
      <w:r w:rsidR="001229FE" w:rsidRPr="00080443">
        <w:rPr>
          <w:rFonts w:cs="Arial"/>
        </w:rPr>
        <w:t xml:space="preserve"> Under these </w:t>
      </w:r>
      <w:r w:rsidR="00DE4C5F" w:rsidRPr="00080443">
        <w:rPr>
          <w:rFonts w:cs="Arial"/>
        </w:rPr>
        <w:t>procedures</w:t>
      </w:r>
      <w:r w:rsidR="001229FE" w:rsidRPr="00080443">
        <w:rPr>
          <w:rFonts w:cs="Arial"/>
        </w:rPr>
        <w:t>:</w:t>
      </w:r>
    </w:p>
    <w:p w14:paraId="3CDC6E58" w14:textId="77777777" w:rsidR="00A57240" w:rsidRPr="00080443" w:rsidRDefault="001229FE" w:rsidP="00A57240">
      <w:pPr>
        <w:pStyle w:val="ListBullet"/>
        <w:rPr>
          <w:rFonts w:cs="Arial"/>
        </w:rPr>
      </w:pPr>
      <w:r w:rsidRPr="00080443">
        <w:rPr>
          <w:rFonts w:cs="Arial"/>
        </w:rPr>
        <w:t>where a document is lodged by email, the document must be included as an attachment and:</w:t>
      </w:r>
    </w:p>
    <w:p w14:paraId="6F81EEB9" w14:textId="77777777" w:rsidR="00A57240" w:rsidRPr="00080443" w:rsidRDefault="001229FE" w:rsidP="00A57240">
      <w:pPr>
        <w:pStyle w:val="ListBullet2"/>
        <w:rPr>
          <w:rFonts w:cs="Arial"/>
        </w:rPr>
      </w:pPr>
      <w:r w:rsidRPr="00080443">
        <w:rPr>
          <w:rFonts w:cs="Arial"/>
        </w:rPr>
        <w:t xml:space="preserve">if </w:t>
      </w:r>
      <w:r w:rsidR="00C803AD" w:rsidRPr="00080443">
        <w:rPr>
          <w:rFonts w:cs="Arial"/>
        </w:rPr>
        <w:t>it</w:t>
      </w:r>
      <w:r w:rsidRPr="00080443">
        <w:rPr>
          <w:rFonts w:cs="Arial"/>
        </w:rPr>
        <w:t xml:space="preserve"> is a statutory declaration, </w:t>
      </w:r>
      <w:r w:rsidR="00184364" w:rsidRPr="00080443">
        <w:rPr>
          <w:rFonts w:cs="Arial"/>
        </w:rPr>
        <w:t xml:space="preserve">a </w:t>
      </w:r>
      <w:r w:rsidRPr="00080443">
        <w:rPr>
          <w:rFonts w:cs="Arial"/>
        </w:rPr>
        <w:t>statement under section 6.3 of the allocation determination or a deed</w:t>
      </w:r>
      <w:r w:rsidR="00C803AD" w:rsidRPr="00080443">
        <w:rPr>
          <w:rFonts w:cs="Arial"/>
        </w:rPr>
        <w:t>—</w:t>
      </w:r>
      <w:r w:rsidRPr="00080443">
        <w:rPr>
          <w:rFonts w:cs="Arial"/>
        </w:rPr>
        <w:t>be in PDF format or another format approved by the auction manager</w:t>
      </w:r>
    </w:p>
    <w:p w14:paraId="66B0175B" w14:textId="77777777" w:rsidR="00A57240" w:rsidRPr="00080443" w:rsidRDefault="00C803AD" w:rsidP="00A57240">
      <w:pPr>
        <w:pStyle w:val="ListBullet2"/>
        <w:rPr>
          <w:rFonts w:cs="Arial"/>
        </w:rPr>
      </w:pPr>
      <w:r w:rsidRPr="00080443">
        <w:rPr>
          <w:rFonts w:cs="Arial"/>
        </w:rPr>
        <w:t>if it is any other type of document—</w:t>
      </w:r>
      <w:r w:rsidR="001229FE" w:rsidRPr="00080443">
        <w:rPr>
          <w:rFonts w:cs="Arial"/>
        </w:rPr>
        <w:t>be</w:t>
      </w:r>
      <w:r w:rsidR="00B34409" w:rsidRPr="00080443">
        <w:rPr>
          <w:rFonts w:cs="Arial"/>
        </w:rPr>
        <w:t xml:space="preserve"> in</w:t>
      </w:r>
      <w:r w:rsidR="001229FE" w:rsidRPr="00080443">
        <w:rPr>
          <w:rFonts w:cs="Arial"/>
        </w:rPr>
        <w:t xml:space="preserve"> Word, RTF or PDF format</w:t>
      </w:r>
      <w:r w:rsidRPr="00080443">
        <w:rPr>
          <w:rFonts w:cs="Arial"/>
        </w:rPr>
        <w:t>,</w:t>
      </w:r>
      <w:r w:rsidR="001229FE" w:rsidRPr="00080443">
        <w:rPr>
          <w:rFonts w:cs="Arial"/>
        </w:rPr>
        <w:t xml:space="preserve"> or another format approved by the auction manager </w:t>
      </w:r>
    </w:p>
    <w:p w14:paraId="0C7CEA7C" w14:textId="77777777" w:rsidR="00A57240" w:rsidRPr="00080443" w:rsidRDefault="001229FE" w:rsidP="00A57240">
      <w:pPr>
        <w:pStyle w:val="ListBullet"/>
        <w:rPr>
          <w:rFonts w:cs="Arial"/>
        </w:rPr>
      </w:pPr>
      <w:r w:rsidRPr="00080443">
        <w:rPr>
          <w:rFonts w:cs="Arial"/>
        </w:rPr>
        <w:t>where a document is lodged by fax, the document must be accompanied by a cover sheet that states:</w:t>
      </w:r>
    </w:p>
    <w:p w14:paraId="2F3C4428" w14:textId="77777777" w:rsidR="00A57240" w:rsidRPr="00080443" w:rsidRDefault="001229FE" w:rsidP="00A57240">
      <w:pPr>
        <w:pStyle w:val="ListBullet2"/>
        <w:rPr>
          <w:rFonts w:cs="Arial"/>
        </w:rPr>
      </w:pPr>
      <w:r w:rsidRPr="00080443">
        <w:rPr>
          <w:rFonts w:cs="Arial"/>
        </w:rPr>
        <w:t>the sender’s name, postal address, telephone number and fax number</w:t>
      </w:r>
    </w:p>
    <w:p w14:paraId="360F7358" w14:textId="77777777" w:rsidR="00A57240" w:rsidRPr="00080443" w:rsidRDefault="001229FE" w:rsidP="00A57240">
      <w:pPr>
        <w:pStyle w:val="ListBullet2"/>
        <w:rPr>
          <w:rFonts w:cs="Arial"/>
        </w:rPr>
      </w:pPr>
      <w:r w:rsidRPr="00080443">
        <w:rPr>
          <w:rFonts w:cs="Arial"/>
        </w:rPr>
        <w:t>the number of pages transmitted, including the cover sheet</w:t>
      </w:r>
    </w:p>
    <w:p w14:paraId="09C8D562" w14:textId="77777777" w:rsidR="00A57240" w:rsidRPr="00080443" w:rsidRDefault="00317B07" w:rsidP="00317B07">
      <w:pPr>
        <w:pStyle w:val="ListBullet2"/>
        <w:spacing w:after="240"/>
        <w:rPr>
          <w:rFonts w:cs="Arial"/>
        </w:rPr>
      </w:pPr>
      <w:r w:rsidRPr="00080443">
        <w:rPr>
          <w:rFonts w:cs="Arial"/>
        </w:rPr>
        <w:t>the type of document—</w:t>
      </w:r>
      <w:r w:rsidR="00B34409" w:rsidRPr="00080443">
        <w:rPr>
          <w:rFonts w:cs="Arial"/>
        </w:rPr>
        <w:t xml:space="preserve">if </w:t>
      </w:r>
      <w:r w:rsidRPr="00080443">
        <w:rPr>
          <w:rFonts w:cs="Arial"/>
        </w:rPr>
        <w:t xml:space="preserve">it </w:t>
      </w:r>
      <w:r w:rsidR="00B34409" w:rsidRPr="00080443">
        <w:rPr>
          <w:rFonts w:cs="Arial"/>
        </w:rPr>
        <w:t>is a completed application form, a completed eligibility form, a statutory declaration, a statement under section 6.3 of the allocation determination or a deed</w:t>
      </w:r>
      <w:r w:rsidR="001229FE" w:rsidRPr="00080443">
        <w:rPr>
          <w:rFonts w:cs="Arial"/>
        </w:rPr>
        <w:t>.</w:t>
      </w:r>
    </w:p>
    <w:p w14:paraId="78AEBEFB" w14:textId="77777777" w:rsidR="00495A7B" w:rsidRPr="00080443" w:rsidRDefault="00495A7B" w:rsidP="00317B07">
      <w:pPr>
        <w:spacing w:after="80"/>
        <w:rPr>
          <w:rFonts w:cs="Arial"/>
        </w:rPr>
      </w:pPr>
      <w:r w:rsidRPr="00080443">
        <w:rPr>
          <w:rFonts w:cs="Arial"/>
        </w:rPr>
        <w:t>Subsections 4.7(3)</w:t>
      </w:r>
      <w:r w:rsidR="00B65874" w:rsidRPr="00080443">
        <w:rPr>
          <w:rFonts w:cs="Arial"/>
        </w:rPr>
        <w:t xml:space="preserve">, </w:t>
      </w:r>
      <w:r w:rsidR="0076224C" w:rsidRPr="00080443">
        <w:rPr>
          <w:rFonts w:cs="Arial"/>
        </w:rPr>
        <w:t xml:space="preserve">4.12(6), </w:t>
      </w:r>
      <w:r w:rsidRPr="00080443">
        <w:rPr>
          <w:rFonts w:cs="Arial"/>
        </w:rPr>
        <w:t>4.1</w:t>
      </w:r>
      <w:r w:rsidR="0076224C" w:rsidRPr="00080443">
        <w:rPr>
          <w:rFonts w:cs="Arial"/>
        </w:rPr>
        <w:t>3</w:t>
      </w:r>
      <w:r w:rsidRPr="00080443">
        <w:rPr>
          <w:rFonts w:cs="Arial"/>
        </w:rPr>
        <w:t xml:space="preserve">(4) </w:t>
      </w:r>
      <w:r w:rsidR="00B65874" w:rsidRPr="00080443">
        <w:rPr>
          <w:rFonts w:cs="Arial"/>
        </w:rPr>
        <w:t>and 4.1</w:t>
      </w:r>
      <w:r w:rsidR="0076224C" w:rsidRPr="00080443">
        <w:rPr>
          <w:rFonts w:cs="Arial"/>
        </w:rPr>
        <w:t>4</w:t>
      </w:r>
      <w:r w:rsidR="00B65874" w:rsidRPr="00080443">
        <w:rPr>
          <w:rFonts w:cs="Arial"/>
        </w:rPr>
        <w:t xml:space="preserve">(6) </w:t>
      </w:r>
      <w:r w:rsidRPr="00080443">
        <w:rPr>
          <w:rFonts w:cs="Arial"/>
        </w:rPr>
        <w:t>of the allocation determination set out additional requirements for certain documents lodged by email or fax. Under these rules:</w:t>
      </w:r>
    </w:p>
    <w:p w14:paraId="62E18DBB" w14:textId="77777777" w:rsidR="00A57240" w:rsidRPr="00080443" w:rsidRDefault="00495A7B" w:rsidP="00A57240">
      <w:pPr>
        <w:pStyle w:val="ListBullet"/>
        <w:rPr>
          <w:rFonts w:cs="Arial"/>
        </w:rPr>
      </w:pPr>
      <w:r w:rsidRPr="00080443">
        <w:rPr>
          <w:rFonts w:cs="Arial"/>
        </w:rPr>
        <w:t>where a completed application form, deed of acknowledgement form, or deed of confidentiality form is given to the ACMA by email or fax before the applica</w:t>
      </w:r>
      <w:r w:rsidR="005E1350" w:rsidRPr="00080443">
        <w:rPr>
          <w:rFonts w:cs="Arial"/>
        </w:rPr>
        <w:t xml:space="preserve">ble </w:t>
      </w:r>
      <w:r w:rsidRPr="00080443">
        <w:rPr>
          <w:rFonts w:cs="Arial"/>
        </w:rPr>
        <w:t>deadline, the original document must be received by the ACMA no later than three working days after the applica</w:t>
      </w:r>
      <w:r w:rsidR="005E1350" w:rsidRPr="00080443">
        <w:rPr>
          <w:rFonts w:cs="Arial"/>
        </w:rPr>
        <w:t>ble</w:t>
      </w:r>
      <w:r w:rsidRPr="00080443">
        <w:rPr>
          <w:rFonts w:cs="Arial"/>
        </w:rPr>
        <w:t xml:space="preserve"> deadline (or, if the ACM</w:t>
      </w:r>
      <w:r w:rsidR="00184364" w:rsidRPr="00080443">
        <w:rPr>
          <w:rFonts w:cs="Arial"/>
        </w:rPr>
        <w:t>A</w:t>
      </w:r>
      <w:r w:rsidRPr="00080443">
        <w:rPr>
          <w:rFonts w:cs="Arial"/>
        </w:rPr>
        <w:t xml:space="preserve"> agrees to a later time, </w:t>
      </w:r>
      <w:r w:rsidR="00184364" w:rsidRPr="00080443">
        <w:rPr>
          <w:rFonts w:cs="Arial"/>
        </w:rPr>
        <w:t xml:space="preserve">by </w:t>
      </w:r>
      <w:r w:rsidRPr="00080443">
        <w:rPr>
          <w:rFonts w:cs="Arial"/>
        </w:rPr>
        <w:t>the agreed time) for the application to be valid</w:t>
      </w:r>
    </w:p>
    <w:p w14:paraId="0207242A" w14:textId="77777777" w:rsidR="00A57240" w:rsidRPr="00080443" w:rsidRDefault="00DD694A" w:rsidP="00A57240">
      <w:pPr>
        <w:pStyle w:val="ListBullet"/>
        <w:rPr>
          <w:rFonts w:cs="Arial"/>
        </w:rPr>
      </w:pPr>
      <w:r w:rsidRPr="00080443">
        <w:rPr>
          <w:rFonts w:cs="Arial"/>
        </w:rPr>
        <w:t xml:space="preserve">if an eligibility nomination form </w:t>
      </w:r>
      <w:r w:rsidR="00B65874" w:rsidRPr="00080443">
        <w:rPr>
          <w:rFonts w:cs="Arial"/>
        </w:rPr>
        <w:t xml:space="preserve">or a deed of financial security form </w:t>
      </w:r>
      <w:r w:rsidRPr="00080443">
        <w:rPr>
          <w:rFonts w:cs="Arial"/>
        </w:rPr>
        <w:t xml:space="preserve">is given to the ACMA by email or fax before the eligibility deadline, the original </w:t>
      </w:r>
      <w:r w:rsidR="00B65874" w:rsidRPr="00080443">
        <w:rPr>
          <w:rFonts w:cs="Arial"/>
        </w:rPr>
        <w:t>document</w:t>
      </w:r>
      <w:r w:rsidRPr="00080443">
        <w:rPr>
          <w:rFonts w:cs="Arial"/>
        </w:rPr>
        <w:t xml:space="preserve"> must be received by the ACMA no later than three working days after the eligibility deadline (or, if the ACMA </w:t>
      </w:r>
      <w:r w:rsidR="00EB0E76" w:rsidRPr="00080443">
        <w:rPr>
          <w:rFonts w:cs="Arial"/>
        </w:rPr>
        <w:t>a</w:t>
      </w:r>
      <w:r w:rsidRPr="00080443">
        <w:rPr>
          <w:rFonts w:cs="Arial"/>
        </w:rPr>
        <w:t xml:space="preserve">grees to a later time, </w:t>
      </w:r>
      <w:r w:rsidR="00184364" w:rsidRPr="00080443">
        <w:rPr>
          <w:rFonts w:cs="Arial"/>
        </w:rPr>
        <w:t xml:space="preserve">by </w:t>
      </w:r>
      <w:r w:rsidRPr="00080443">
        <w:rPr>
          <w:rFonts w:cs="Arial"/>
        </w:rPr>
        <w:t>the agreed time) for the nomination to be taken to have been made</w:t>
      </w:r>
      <w:r w:rsidR="00B65874" w:rsidRPr="00080443">
        <w:rPr>
          <w:rFonts w:cs="Arial"/>
        </w:rPr>
        <w:t>, or for the deed to be taken to have been given</w:t>
      </w:r>
      <w:r w:rsidRPr="00080443">
        <w:rPr>
          <w:rFonts w:cs="Arial"/>
        </w:rPr>
        <w:t>.</w:t>
      </w:r>
    </w:p>
    <w:p w14:paraId="670321F1" w14:textId="77777777" w:rsidR="00495A7B" w:rsidRPr="00080443" w:rsidRDefault="00495A7B" w:rsidP="008A60B8">
      <w:pPr>
        <w:rPr>
          <w:rFonts w:cs="Arial"/>
        </w:rPr>
      </w:pPr>
    </w:p>
    <w:p w14:paraId="7E3A0DB7" w14:textId="77777777" w:rsidR="008A60B8" w:rsidRPr="00080443" w:rsidRDefault="00890986" w:rsidP="001F3A7F">
      <w:pPr>
        <w:pStyle w:val="Heading2"/>
        <w:numPr>
          <w:ilvl w:val="0"/>
          <w:numId w:val="0"/>
        </w:numPr>
      </w:pPr>
      <w:bookmarkStart w:id="254" w:name="_Toc335246342"/>
      <w:bookmarkStart w:id="255" w:name="_Toc343780550"/>
      <w:r w:rsidRPr="00080443">
        <w:t>6.4</w:t>
      </w:r>
      <w:r w:rsidRPr="00080443">
        <w:tab/>
      </w:r>
      <w:r w:rsidR="008A60B8" w:rsidRPr="00080443">
        <w:t>Making payments</w:t>
      </w:r>
      <w:bookmarkEnd w:id="254"/>
      <w:bookmarkEnd w:id="255"/>
    </w:p>
    <w:p w14:paraId="142D1D4B" w14:textId="77777777" w:rsidR="008A60B8" w:rsidRPr="00080443" w:rsidRDefault="008A60B8" w:rsidP="006C2AB1">
      <w:pPr>
        <w:spacing w:after="80"/>
        <w:rPr>
          <w:rFonts w:cs="Arial"/>
        </w:rPr>
      </w:pPr>
      <w:r w:rsidRPr="00080443">
        <w:rPr>
          <w:rFonts w:cs="Arial"/>
        </w:rPr>
        <w:t xml:space="preserve">All amounts payable to the ACMA </w:t>
      </w:r>
      <w:r w:rsidR="00BF6EA5" w:rsidRPr="00080443">
        <w:rPr>
          <w:rFonts w:cs="Arial"/>
        </w:rPr>
        <w:t>for</w:t>
      </w:r>
      <w:r w:rsidRPr="00080443">
        <w:rPr>
          <w:rFonts w:cs="Arial"/>
        </w:rPr>
        <w:t xml:space="preserve"> the auction (</w:t>
      </w:r>
      <w:r w:rsidR="00BF6EA5" w:rsidRPr="00080443">
        <w:rPr>
          <w:rFonts w:cs="Arial"/>
        </w:rPr>
        <w:t>for example</w:t>
      </w:r>
      <w:r w:rsidRPr="00080443">
        <w:rPr>
          <w:rFonts w:cs="Arial"/>
        </w:rPr>
        <w:t xml:space="preserve">, application fees, eligibility payments and winning bid payments) must be paid in Australian currency by: </w:t>
      </w:r>
    </w:p>
    <w:p w14:paraId="21C98ACF" w14:textId="77777777" w:rsidR="006C2AB1" w:rsidRPr="00080443" w:rsidRDefault="008A60B8" w:rsidP="0097177C">
      <w:pPr>
        <w:pStyle w:val="Bodysubheader"/>
        <w:rPr>
          <w:rFonts w:cs="Arial"/>
        </w:rPr>
      </w:pPr>
      <w:bookmarkStart w:id="256" w:name="_Toc335140989"/>
      <w:bookmarkStart w:id="257" w:name="_Toc336528287"/>
      <w:bookmarkStart w:id="258" w:name="_Toc340499699"/>
      <w:r w:rsidRPr="00080443">
        <w:rPr>
          <w:rFonts w:cs="Arial"/>
        </w:rPr>
        <w:t>EFT</w:t>
      </w:r>
      <w:bookmarkEnd w:id="256"/>
      <w:bookmarkEnd w:id="257"/>
      <w:bookmarkEnd w:id="258"/>
    </w:p>
    <w:p w14:paraId="4BDEE264" w14:textId="77777777" w:rsidR="008A60B8" w:rsidRPr="00080443" w:rsidRDefault="006C2AB1" w:rsidP="004D411C">
      <w:pPr>
        <w:spacing w:after="120"/>
        <w:rPr>
          <w:rFonts w:cs="Arial"/>
        </w:rPr>
      </w:pPr>
      <w:r w:rsidRPr="00080443">
        <w:rPr>
          <w:rFonts w:cs="Arial"/>
        </w:rPr>
        <w:t>Bank:</w:t>
      </w:r>
      <w:r w:rsidRPr="00080443">
        <w:rPr>
          <w:rFonts w:cs="Arial"/>
        </w:rPr>
        <w:tab/>
      </w:r>
      <w:r w:rsidRPr="00080443">
        <w:rPr>
          <w:rFonts w:cs="Arial"/>
        </w:rPr>
        <w:tab/>
      </w:r>
      <w:r w:rsidR="00EB0E76" w:rsidRPr="00080443">
        <w:rPr>
          <w:rFonts w:cs="Arial"/>
        </w:rPr>
        <w:tab/>
      </w:r>
      <w:r w:rsidR="00EB0E76" w:rsidRPr="00080443">
        <w:rPr>
          <w:rFonts w:cs="Arial"/>
        </w:rPr>
        <w:tab/>
      </w:r>
      <w:r w:rsidR="008A60B8" w:rsidRPr="00080443">
        <w:rPr>
          <w:rFonts w:cs="Arial"/>
        </w:rPr>
        <w:t>ANZ Bank</w:t>
      </w:r>
    </w:p>
    <w:p w14:paraId="40A00333" w14:textId="77777777" w:rsidR="008A60B8" w:rsidRPr="00080443" w:rsidRDefault="006C2AB1" w:rsidP="004D411C">
      <w:pPr>
        <w:spacing w:after="120"/>
        <w:rPr>
          <w:rFonts w:cs="Arial"/>
        </w:rPr>
      </w:pPr>
      <w:r w:rsidRPr="00080443">
        <w:rPr>
          <w:rFonts w:cs="Arial"/>
        </w:rPr>
        <w:t>Branch:</w:t>
      </w:r>
      <w:r w:rsidRPr="00080443">
        <w:rPr>
          <w:rFonts w:cs="Arial"/>
        </w:rPr>
        <w:tab/>
      </w:r>
      <w:r w:rsidRPr="00080443">
        <w:rPr>
          <w:rFonts w:cs="Arial"/>
        </w:rPr>
        <w:tab/>
      </w:r>
      <w:r w:rsidR="00EB0E76" w:rsidRPr="00080443">
        <w:rPr>
          <w:rFonts w:cs="Arial"/>
        </w:rPr>
        <w:tab/>
      </w:r>
      <w:r w:rsidR="00EB0E76" w:rsidRPr="00080443">
        <w:rPr>
          <w:rFonts w:cs="Arial"/>
        </w:rPr>
        <w:tab/>
      </w:r>
      <w:r w:rsidR="008A60B8" w:rsidRPr="00080443">
        <w:rPr>
          <w:rFonts w:cs="Arial"/>
        </w:rPr>
        <w:t>Belconnen branch</w:t>
      </w:r>
    </w:p>
    <w:p w14:paraId="55A79271" w14:textId="77777777" w:rsidR="008A60B8" w:rsidRPr="00080443" w:rsidRDefault="006C2AB1" w:rsidP="004D411C">
      <w:pPr>
        <w:spacing w:after="120"/>
        <w:rPr>
          <w:rFonts w:cs="Arial"/>
        </w:rPr>
      </w:pPr>
      <w:r w:rsidRPr="00080443">
        <w:rPr>
          <w:rFonts w:cs="Arial"/>
        </w:rPr>
        <w:t>BSB:</w:t>
      </w:r>
      <w:r w:rsidRPr="00080443">
        <w:rPr>
          <w:rFonts w:cs="Arial"/>
        </w:rPr>
        <w:tab/>
      </w:r>
      <w:r w:rsidRPr="00080443">
        <w:rPr>
          <w:rFonts w:cs="Arial"/>
        </w:rPr>
        <w:tab/>
      </w:r>
      <w:r w:rsidR="00EB0E76" w:rsidRPr="00080443">
        <w:rPr>
          <w:rFonts w:cs="Arial"/>
        </w:rPr>
        <w:tab/>
      </w:r>
      <w:r w:rsidR="00EB0E76" w:rsidRPr="00080443">
        <w:rPr>
          <w:rFonts w:cs="Arial"/>
        </w:rPr>
        <w:tab/>
      </w:r>
      <w:r w:rsidR="008A60B8" w:rsidRPr="00080443">
        <w:rPr>
          <w:rFonts w:cs="Arial"/>
        </w:rPr>
        <w:t>012-951</w:t>
      </w:r>
    </w:p>
    <w:p w14:paraId="18A9EDDE" w14:textId="77777777" w:rsidR="008A60B8" w:rsidRPr="00080443" w:rsidRDefault="006C2AB1" w:rsidP="004D411C">
      <w:pPr>
        <w:spacing w:after="120"/>
        <w:rPr>
          <w:rFonts w:cs="Arial"/>
        </w:rPr>
      </w:pPr>
      <w:r w:rsidRPr="00080443">
        <w:rPr>
          <w:rFonts w:cs="Arial"/>
        </w:rPr>
        <w:t>Account no.:</w:t>
      </w:r>
      <w:r w:rsidRPr="00080443">
        <w:rPr>
          <w:rFonts w:cs="Arial"/>
        </w:rPr>
        <w:tab/>
      </w:r>
      <w:r w:rsidR="00EB0E76" w:rsidRPr="00080443">
        <w:rPr>
          <w:rFonts w:cs="Arial"/>
        </w:rPr>
        <w:tab/>
      </w:r>
      <w:r w:rsidR="00EB0E76" w:rsidRPr="00080443">
        <w:rPr>
          <w:rFonts w:cs="Arial"/>
        </w:rPr>
        <w:tab/>
      </w:r>
      <w:r w:rsidR="008A60B8" w:rsidRPr="00080443">
        <w:rPr>
          <w:rFonts w:cs="Arial"/>
        </w:rPr>
        <w:t>8379 24272</w:t>
      </w:r>
    </w:p>
    <w:p w14:paraId="4A1717F1" w14:textId="77777777" w:rsidR="008A60B8" w:rsidRPr="00080443" w:rsidRDefault="006C2AB1" w:rsidP="004D411C">
      <w:pPr>
        <w:spacing w:after="120"/>
        <w:rPr>
          <w:rFonts w:cs="Arial"/>
        </w:rPr>
      </w:pPr>
      <w:r w:rsidRPr="00080443">
        <w:rPr>
          <w:rFonts w:cs="Arial"/>
        </w:rPr>
        <w:t>Account name:</w:t>
      </w:r>
      <w:r w:rsidRPr="00080443">
        <w:rPr>
          <w:rFonts w:cs="Arial"/>
        </w:rPr>
        <w:tab/>
      </w:r>
      <w:r w:rsidR="00EB0E76" w:rsidRPr="00080443">
        <w:rPr>
          <w:rFonts w:cs="Arial"/>
        </w:rPr>
        <w:tab/>
      </w:r>
      <w:r w:rsidR="00EB0E76" w:rsidRPr="00080443">
        <w:rPr>
          <w:rFonts w:cs="Arial"/>
        </w:rPr>
        <w:tab/>
      </w:r>
      <w:r w:rsidR="008A60B8" w:rsidRPr="00080443">
        <w:rPr>
          <w:rFonts w:cs="Arial"/>
        </w:rPr>
        <w:t>ACMA Official Administered Receipts</w:t>
      </w:r>
    </w:p>
    <w:p w14:paraId="72FE5E87" w14:textId="77777777" w:rsidR="00CC00A4" w:rsidRPr="00080443" w:rsidRDefault="008A60B8" w:rsidP="003B20A6">
      <w:pPr>
        <w:spacing w:after="80"/>
        <w:ind w:left="2880" w:hanging="2880"/>
        <w:rPr>
          <w:rFonts w:cs="Arial"/>
        </w:rPr>
      </w:pPr>
      <w:r w:rsidRPr="00080443">
        <w:rPr>
          <w:rFonts w:cs="Arial"/>
        </w:rPr>
        <w:t xml:space="preserve">Transfers should be labelled: </w:t>
      </w:r>
      <w:r w:rsidR="00EB0E76" w:rsidRPr="00080443">
        <w:rPr>
          <w:rFonts w:cs="Arial"/>
        </w:rPr>
        <w:tab/>
      </w:r>
      <w:r w:rsidR="00C25212" w:rsidRPr="00080443">
        <w:rPr>
          <w:rFonts w:cs="Arial"/>
        </w:rPr>
        <w:t xml:space="preserve">‘DDA/purpose of payment/name of </w:t>
      </w:r>
      <w:r w:rsidR="00E014DA" w:rsidRPr="00080443">
        <w:rPr>
          <w:rFonts w:cs="Arial"/>
        </w:rPr>
        <w:t>auction participant</w:t>
      </w:r>
      <w:r w:rsidR="00C25212" w:rsidRPr="00080443">
        <w:rPr>
          <w:rFonts w:cs="Arial"/>
        </w:rPr>
        <w:t>’</w:t>
      </w:r>
      <w:r w:rsidR="00E014DA" w:rsidRPr="00080443">
        <w:rPr>
          <w:rFonts w:cs="Arial"/>
        </w:rPr>
        <w:t>. Note: Because transfer labels are limited to 15 characters, abbreviations must be used</w:t>
      </w:r>
      <w:r w:rsidR="00CC084B" w:rsidRPr="00080443">
        <w:rPr>
          <w:rFonts w:cs="Arial"/>
        </w:rPr>
        <w:t>. F</w:t>
      </w:r>
      <w:r w:rsidR="00C25212" w:rsidRPr="00080443">
        <w:rPr>
          <w:rFonts w:cs="Arial"/>
        </w:rPr>
        <w:t>or example</w:t>
      </w:r>
      <w:r w:rsidR="00E014DA" w:rsidRPr="00080443">
        <w:rPr>
          <w:rFonts w:cs="Arial"/>
        </w:rPr>
        <w:t>:</w:t>
      </w:r>
      <w:r w:rsidR="00C25212" w:rsidRPr="00080443">
        <w:rPr>
          <w:rFonts w:cs="Arial"/>
        </w:rPr>
        <w:t xml:space="preserve"> </w:t>
      </w:r>
    </w:p>
    <w:p w14:paraId="237D430D" w14:textId="77777777" w:rsidR="00DF1A48" w:rsidRPr="00080443" w:rsidRDefault="00C25212" w:rsidP="00CC084B">
      <w:pPr>
        <w:pStyle w:val="ListBullet"/>
        <w:tabs>
          <w:tab w:val="left" w:pos="3261"/>
        </w:tabs>
        <w:ind w:left="340" w:firstLine="2540"/>
        <w:rPr>
          <w:rFonts w:cs="Arial"/>
        </w:rPr>
      </w:pPr>
      <w:r w:rsidRPr="00080443">
        <w:rPr>
          <w:rFonts w:cs="Arial"/>
        </w:rPr>
        <w:t>‘DDA/</w:t>
      </w:r>
      <w:proofErr w:type="spellStart"/>
      <w:r w:rsidRPr="00080443">
        <w:rPr>
          <w:rFonts w:cs="Arial"/>
        </w:rPr>
        <w:t>appfee</w:t>
      </w:r>
      <w:proofErr w:type="spellEnd"/>
      <w:r w:rsidRPr="00080443">
        <w:rPr>
          <w:rFonts w:cs="Arial"/>
        </w:rPr>
        <w:t>/</w:t>
      </w:r>
      <w:proofErr w:type="spellStart"/>
      <w:r w:rsidRPr="00080443">
        <w:rPr>
          <w:rFonts w:cs="Arial"/>
        </w:rPr>
        <w:t>XCo</w:t>
      </w:r>
      <w:proofErr w:type="spellEnd"/>
      <w:r w:rsidR="00E014DA" w:rsidRPr="00080443">
        <w:rPr>
          <w:rFonts w:cs="Arial"/>
        </w:rPr>
        <w:t>’</w:t>
      </w:r>
    </w:p>
    <w:p w14:paraId="178213AE" w14:textId="77777777" w:rsidR="00DF1A48" w:rsidRPr="00080443" w:rsidRDefault="00CC00A4" w:rsidP="003B20A6">
      <w:pPr>
        <w:pStyle w:val="ListBullet"/>
        <w:tabs>
          <w:tab w:val="left" w:pos="3261"/>
        </w:tabs>
        <w:ind w:left="340" w:firstLine="2540"/>
        <w:rPr>
          <w:rFonts w:cs="Arial"/>
        </w:rPr>
      </w:pPr>
      <w:r w:rsidRPr="00080443">
        <w:rPr>
          <w:rFonts w:cs="Arial"/>
        </w:rPr>
        <w:t>‘DDA/</w:t>
      </w:r>
      <w:proofErr w:type="spellStart"/>
      <w:r w:rsidRPr="00080443">
        <w:rPr>
          <w:rFonts w:cs="Arial"/>
        </w:rPr>
        <w:t>elig</w:t>
      </w:r>
      <w:proofErr w:type="spellEnd"/>
      <w:r w:rsidRPr="00080443">
        <w:rPr>
          <w:rFonts w:cs="Arial"/>
        </w:rPr>
        <w:t>/</w:t>
      </w:r>
      <w:proofErr w:type="spellStart"/>
      <w:r w:rsidRPr="00080443">
        <w:rPr>
          <w:rFonts w:cs="Arial"/>
        </w:rPr>
        <w:t>XCo</w:t>
      </w:r>
      <w:proofErr w:type="spellEnd"/>
      <w:r w:rsidRPr="00080443">
        <w:rPr>
          <w:rFonts w:cs="Arial"/>
        </w:rPr>
        <w:t>’</w:t>
      </w:r>
    </w:p>
    <w:p w14:paraId="7439B866" w14:textId="77777777" w:rsidR="00DF1A48" w:rsidRPr="00080443" w:rsidRDefault="00CC00A4" w:rsidP="003B20A6">
      <w:pPr>
        <w:pStyle w:val="ListBullet"/>
        <w:tabs>
          <w:tab w:val="left" w:pos="3261"/>
        </w:tabs>
        <w:spacing w:after="240"/>
        <w:ind w:left="340" w:firstLine="2540"/>
        <w:rPr>
          <w:rFonts w:cs="Arial"/>
        </w:rPr>
      </w:pPr>
      <w:r w:rsidRPr="00080443">
        <w:rPr>
          <w:rFonts w:cs="Arial"/>
        </w:rPr>
        <w:t>‘DDA/win/</w:t>
      </w:r>
      <w:proofErr w:type="spellStart"/>
      <w:r w:rsidRPr="00080443">
        <w:rPr>
          <w:rFonts w:cs="Arial"/>
        </w:rPr>
        <w:t>XCo</w:t>
      </w:r>
      <w:proofErr w:type="spellEnd"/>
      <w:r w:rsidRPr="00080443">
        <w:rPr>
          <w:rFonts w:cs="Arial"/>
        </w:rPr>
        <w:t>’</w:t>
      </w:r>
      <w:r w:rsidR="003B20A6" w:rsidRPr="00080443">
        <w:rPr>
          <w:rFonts w:cs="Arial"/>
        </w:rPr>
        <w:t>.</w:t>
      </w:r>
    </w:p>
    <w:p w14:paraId="6564181D" w14:textId="77777777" w:rsidR="00DF1A48" w:rsidRPr="00080443" w:rsidRDefault="00CC00A4" w:rsidP="00DF1A48">
      <w:pPr>
        <w:rPr>
          <w:rFonts w:cs="Arial"/>
        </w:rPr>
      </w:pPr>
      <w:r w:rsidRPr="00080443">
        <w:rPr>
          <w:rFonts w:cs="Arial"/>
        </w:rPr>
        <w:t>E</w:t>
      </w:r>
      <w:r w:rsidR="00E014DA" w:rsidRPr="00080443">
        <w:rPr>
          <w:rFonts w:cs="Arial"/>
        </w:rPr>
        <w:t>vidence of the electronic transfer (for example, a transfer receipt)</w:t>
      </w:r>
      <w:r w:rsidRPr="00080443">
        <w:rPr>
          <w:rFonts w:cs="Arial"/>
        </w:rPr>
        <w:t xml:space="preserve"> should be emailed </w:t>
      </w:r>
      <w:r w:rsidR="00E014DA" w:rsidRPr="00080443">
        <w:rPr>
          <w:rFonts w:cs="Arial"/>
        </w:rPr>
        <w:t xml:space="preserve">to </w:t>
      </w:r>
      <w:hyperlink r:id="rId62" w:history="1">
        <w:r w:rsidR="003B20A6" w:rsidRPr="00080443">
          <w:rPr>
            <w:rStyle w:val="Hyperlink"/>
            <w:rFonts w:cs="Arial"/>
          </w:rPr>
          <w:t>ddauctionmanager@acma.gov.au</w:t>
        </w:r>
      </w:hyperlink>
      <w:r w:rsidR="00893E49" w:rsidRPr="00080443">
        <w:rPr>
          <w:rFonts w:cs="Arial"/>
        </w:rPr>
        <w:t xml:space="preserve"> as soon as practicable after the transfer is made</w:t>
      </w:r>
      <w:r w:rsidR="00E014DA" w:rsidRPr="00080443">
        <w:rPr>
          <w:rFonts w:cs="Arial"/>
        </w:rPr>
        <w:t>.</w:t>
      </w:r>
    </w:p>
    <w:p w14:paraId="4BFE0280" w14:textId="77777777" w:rsidR="000E1733" w:rsidRPr="00080443" w:rsidRDefault="008A60B8" w:rsidP="004D411C">
      <w:pPr>
        <w:pStyle w:val="Bodysubheader"/>
        <w:keepNext/>
        <w:pageBreakBefore/>
        <w:rPr>
          <w:rFonts w:cs="Arial"/>
        </w:rPr>
      </w:pPr>
      <w:bookmarkStart w:id="259" w:name="_Toc335140990"/>
      <w:bookmarkStart w:id="260" w:name="_Toc340499700"/>
      <w:r w:rsidRPr="00080443">
        <w:rPr>
          <w:rFonts w:cs="Arial"/>
        </w:rPr>
        <w:lastRenderedPageBreak/>
        <w:t>Bank cheque</w:t>
      </w:r>
      <w:r w:rsidR="00BC4C22" w:rsidRPr="00080443">
        <w:rPr>
          <w:rFonts w:cs="Arial"/>
        </w:rPr>
        <w:t xml:space="preserve"> (crossed ‘not negotiable’)</w:t>
      </w:r>
      <w:bookmarkEnd w:id="259"/>
      <w:bookmarkEnd w:id="260"/>
    </w:p>
    <w:p w14:paraId="6AB2CCE7" w14:textId="77777777" w:rsidR="008A60B8" w:rsidRPr="00080443" w:rsidRDefault="008A60B8" w:rsidP="004D411C">
      <w:pPr>
        <w:spacing w:after="120"/>
        <w:ind w:left="2880" w:hanging="2880"/>
        <w:rPr>
          <w:rFonts w:cs="Arial"/>
        </w:rPr>
      </w:pPr>
      <w:r w:rsidRPr="00080443">
        <w:rPr>
          <w:rFonts w:cs="Arial"/>
        </w:rPr>
        <w:t xml:space="preserve">Made payable to: </w:t>
      </w:r>
      <w:r w:rsidR="006C2AB1" w:rsidRPr="00080443">
        <w:rPr>
          <w:rFonts w:cs="Arial"/>
        </w:rPr>
        <w:tab/>
      </w:r>
      <w:r w:rsidRPr="00080443">
        <w:rPr>
          <w:rFonts w:cs="Arial"/>
        </w:rPr>
        <w:t>Collect</w:t>
      </w:r>
      <w:r w:rsidR="00091E3D" w:rsidRPr="00080443">
        <w:rPr>
          <w:rFonts w:cs="Arial"/>
        </w:rPr>
        <w:t>or</w:t>
      </w:r>
      <w:r w:rsidRPr="00080443">
        <w:rPr>
          <w:rFonts w:cs="Arial"/>
        </w:rPr>
        <w:t xml:space="preserve"> of Public Mon</w:t>
      </w:r>
      <w:r w:rsidR="006C2AB1" w:rsidRPr="00080443">
        <w:rPr>
          <w:rFonts w:cs="Arial"/>
        </w:rPr>
        <w:t xml:space="preserve">eys, Australian Communications </w:t>
      </w:r>
      <w:r w:rsidRPr="00080443">
        <w:rPr>
          <w:rFonts w:cs="Arial"/>
        </w:rPr>
        <w:t>and Media Authority</w:t>
      </w:r>
      <w:r w:rsidR="00CC00A4" w:rsidRPr="00080443">
        <w:rPr>
          <w:rFonts w:cs="Arial"/>
        </w:rPr>
        <w:t xml:space="preserve"> </w:t>
      </w:r>
    </w:p>
    <w:p w14:paraId="686BA30A" w14:textId="77777777" w:rsidR="008A60B8" w:rsidRPr="00080443" w:rsidRDefault="006C2AB1" w:rsidP="006C2AB1">
      <w:pPr>
        <w:rPr>
          <w:rFonts w:cs="Arial"/>
        </w:rPr>
      </w:pPr>
      <w:r w:rsidRPr="00080443">
        <w:rPr>
          <w:rFonts w:cs="Arial"/>
        </w:rPr>
        <w:t>Delivered to:</w:t>
      </w:r>
      <w:r w:rsidRPr="00080443">
        <w:rPr>
          <w:rFonts w:cs="Arial"/>
        </w:rPr>
        <w:tab/>
      </w:r>
      <w:r w:rsidRPr="00080443">
        <w:rPr>
          <w:rFonts w:cs="Arial"/>
        </w:rPr>
        <w:tab/>
      </w:r>
      <w:r w:rsidR="00EB0E76" w:rsidRPr="00080443">
        <w:rPr>
          <w:rFonts w:cs="Arial"/>
        </w:rPr>
        <w:tab/>
      </w:r>
      <w:r w:rsidR="008A60B8" w:rsidRPr="00080443">
        <w:rPr>
          <w:rFonts w:cs="Arial"/>
        </w:rPr>
        <w:t>The Digital Dividend Auction Manager</w:t>
      </w:r>
    </w:p>
    <w:p w14:paraId="045AB0C5" w14:textId="77777777" w:rsidR="008A60B8" w:rsidRPr="00080443" w:rsidRDefault="008A60B8" w:rsidP="006C2AB1">
      <w:pPr>
        <w:rPr>
          <w:rFonts w:cs="Arial"/>
        </w:rPr>
      </w:pPr>
      <w:r w:rsidRPr="00080443">
        <w:rPr>
          <w:rFonts w:cs="Arial"/>
        </w:rPr>
        <w:tab/>
      </w:r>
      <w:r w:rsidRPr="00080443">
        <w:rPr>
          <w:rFonts w:cs="Arial"/>
        </w:rPr>
        <w:tab/>
      </w:r>
      <w:r w:rsidRPr="00080443">
        <w:rPr>
          <w:rFonts w:cs="Arial"/>
        </w:rPr>
        <w:tab/>
      </w:r>
      <w:r w:rsidR="00EB0E76" w:rsidRPr="00080443">
        <w:rPr>
          <w:rFonts w:cs="Arial"/>
        </w:rPr>
        <w:tab/>
      </w:r>
      <w:r w:rsidRPr="00080443">
        <w:rPr>
          <w:rFonts w:cs="Arial"/>
        </w:rPr>
        <w:t>Major Spectrum Allocations Section</w:t>
      </w:r>
    </w:p>
    <w:p w14:paraId="263C2BE4" w14:textId="77777777" w:rsidR="008A60B8" w:rsidRPr="00080443" w:rsidRDefault="008A60B8" w:rsidP="006C2AB1">
      <w:pPr>
        <w:rPr>
          <w:rFonts w:cs="Arial"/>
        </w:rPr>
      </w:pPr>
      <w:r w:rsidRPr="00080443">
        <w:rPr>
          <w:rFonts w:cs="Arial"/>
        </w:rPr>
        <w:tab/>
      </w:r>
      <w:r w:rsidRPr="00080443">
        <w:rPr>
          <w:rFonts w:cs="Arial"/>
        </w:rPr>
        <w:tab/>
      </w:r>
      <w:r w:rsidRPr="00080443">
        <w:rPr>
          <w:rFonts w:cs="Arial"/>
        </w:rPr>
        <w:tab/>
      </w:r>
      <w:r w:rsidR="00EB0E76" w:rsidRPr="00080443">
        <w:rPr>
          <w:rFonts w:cs="Arial"/>
        </w:rPr>
        <w:tab/>
      </w:r>
      <w:r w:rsidRPr="00080443">
        <w:rPr>
          <w:rFonts w:cs="Arial"/>
        </w:rPr>
        <w:t>Australian Communications and Media Authority</w:t>
      </w:r>
    </w:p>
    <w:p w14:paraId="6D6C97C0" w14:textId="77777777" w:rsidR="008A60B8" w:rsidRPr="00080443" w:rsidRDefault="008A60B8" w:rsidP="006C2AB1">
      <w:pPr>
        <w:rPr>
          <w:rFonts w:cs="Arial"/>
        </w:rPr>
      </w:pPr>
      <w:r w:rsidRPr="00080443">
        <w:rPr>
          <w:rFonts w:cs="Arial"/>
        </w:rPr>
        <w:tab/>
      </w:r>
      <w:r w:rsidRPr="00080443">
        <w:rPr>
          <w:rFonts w:cs="Arial"/>
        </w:rPr>
        <w:tab/>
      </w:r>
      <w:r w:rsidRPr="00080443">
        <w:rPr>
          <w:rFonts w:cs="Arial"/>
        </w:rPr>
        <w:tab/>
      </w:r>
      <w:r w:rsidR="00EB0E76" w:rsidRPr="00080443">
        <w:rPr>
          <w:rFonts w:cs="Arial"/>
        </w:rPr>
        <w:tab/>
      </w:r>
      <w:r w:rsidRPr="00080443">
        <w:rPr>
          <w:rFonts w:cs="Arial"/>
        </w:rPr>
        <w:t>Level 44, 360 Elizabeth St</w:t>
      </w:r>
    </w:p>
    <w:p w14:paraId="7A069D5A" w14:textId="77777777" w:rsidR="008A60B8" w:rsidRPr="00080443" w:rsidRDefault="008A60B8" w:rsidP="006C2AB1">
      <w:pPr>
        <w:spacing w:after="240"/>
        <w:rPr>
          <w:rFonts w:cs="Arial"/>
        </w:rPr>
      </w:pPr>
      <w:r w:rsidRPr="00080443">
        <w:rPr>
          <w:rFonts w:cs="Arial"/>
        </w:rPr>
        <w:tab/>
      </w:r>
      <w:r w:rsidRPr="00080443">
        <w:rPr>
          <w:rFonts w:cs="Arial"/>
        </w:rPr>
        <w:tab/>
      </w:r>
      <w:r w:rsidRPr="00080443">
        <w:rPr>
          <w:rFonts w:cs="Arial"/>
        </w:rPr>
        <w:tab/>
      </w:r>
      <w:r w:rsidR="00EB0E76" w:rsidRPr="00080443">
        <w:rPr>
          <w:rFonts w:cs="Arial"/>
        </w:rPr>
        <w:tab/>
      </w:r>
      <w:r w:rsidRPr="00080443">
        <w:rPr>
          <w:rFonts w:cs="Arial"/>
        </w:rPr>
        <w:t>M</w:t>
      </w:r>
      <w:r w:rsidR="00BF6EA5" w:rsidRPr="00080443">
        <w:rPr>
          <w:rFonts w:cs="Arial"/>
        </w:rPr>
        <w:t>elbourne</w:t>
      </w:r>
      <w:r w:rsidRPr="00080443">
        <w:rPr>
          <w:rFonts w:cs="Arial"/>
        </w:rPr>
        <w:t xml:space="preserve"> V</w:t>
      </w:r>
      <w:r w:rsidR="00982141" w:rsidRPr="00080443">
        <w:rPr>
          <w:rFonts w:cs="Arial"/>
        </w:rPr>
        <w:t>ic</w:t>
      </w:r>
      <w:r w:rsidRPr="00080443">
        <w:rPr>
          <w:rFonts w:cs="Arial"/>
        </w:rPr>
        <w:t xml:space="preserve"> 3000</w:t>
      </w:r>
    </w:p>
    <w:p w14:paraId="6ACF8898" w14:textId="77777777" w:rsidR="008A60B8" w:rsidRPr="00080443" w:rsidRDefault="00BF6EA5" w:rsidP="008A60B8">
      <w:pPr>
        <w:spacing w:before="80" w:after="120"/>
        <w:rPr>
          <w:rFonts w:cs="Arial"/>
        </w:rPr>
      </w:pPr>
      <w:r w:rsidRPr="00080443">
        <w:rPr>
          <w:rFonts w:cs="Arial"/>
        </w:rPr>
        <w:t>S</w:t>
      </w:r>
      <w:r w:rsidR="009158FB" w:rsidRPr="00080443">
        <w:rPr>
          <w:rFonts w:cs="Arial"/>
        </w:rPr>
        <w:t>ubs</w:t>
      </w:r>
      <w:r w:rsidRPr="00080443">
        <w:rPr>
          <w:rFonts w:cs="Arial"/>
        </w:rPr>
        <w:t>ection</w:t>
      </w:r>
      <w:r w:rsidR="00031F91" w:rsidRPr="00080443">
        <w:rPr>
          <w:rFonts w:cs="Arial"/>
        </w:rPr>
        <w:t xml:space="preserve"> </w:t>
      </w:r>
      <w:r w:rsidR="008A60B8" w:rsidRPr="00080443">
        <w:rPr>
          <w:rFonts w:cs="Arial"/>
        </w:rPr>
        <w:t>1.</w:t>
      </w:r>
      <w:r w:rsidR="00780330" w:rsidRPr="00080443">
        <w:rPr>
          <w:rFonts w:cs="Arial"/>
        </w:rPr>
        <w:t>7</w:t>
      </w:r>
      <w:r w:rsidR="008A60B8" w:rsidRPr="00080443">
        <w:rPr>
          <w:rFonts w:cs="Arial"/>
        </w:rPr>
        <w:t>(4) of the allocation determination sets out rules about when an amount is taken to have been paid</w:t>
      </w:r>
      <w:r w:rsidR="006266CC" w:rsidRPr="00080443">
        <w:rPr>
          <w:rFonts w:cs="Arial"/>
        </w:rPr>
        <w:t xml:space="preserve"> by a relevant deadline. Under these rules, an amount is taken to have been paid by a deadline if:</w:t>
      </w:r>
    </w:p>
    <w:p w14:paraId="36B815A6" w14:textId="77777777" w:rsidR="00A57240" w:rsidRPr="00080443" w:rsidRDefault="006266CC" w:rsidP="00A57240">
      <w:pPr>
        <w:pStyle w:val="ListBullet"/>
        <w:rPr>
          <w:rFonts w:cs="Arial"/>
        </w:rPr>
      </w:pPr>
      <w:r w:rsidRPr="00080443">
        <w:rPr>
          <w:rFonts w:cs="Arial"/>
        </w:rPr>
        <w:t xml:space="preserve">the ACMA receives a bank cheque for the full amount </w:t>
      </w:r>
      <w:r w:rsidR="004B4D40" w:rsidRPr="00080443">
        <w:rPr>
          <w:rFonts w:cs="Arial"/>
        </w:rPr>
        <w:t xml:space="preserve">on or </w:t>
      </w:r>
      <w:r w:rsidRPr="00080443">
        <w:rPr>
          <w:rFonts w:cs="Arial"/>
        </w:rPr>
        <w:t>before the deadline</w:t>
      </w:r>
    </w:p>
    <w:p w14:paraId="4F234078" w14:textId="77777777" w:rsidR="00A57240" w:rsidRPr="00080443" w:rsidRDefault="006266CC" w:rsidP="00A57240">
      <w:pPr>
        <w:pStyle w:val="ListBullet"/>
        <w:rPr>
          <w:rFonts w:cs="Arial"/>
        </w:rPr>
      </w:pPr>
      <w:r w:rsidRPr="00080443">
        <w:rPr>
          <w:rFonts w:cs="Arial"/>
        </w:rPr>
        <w:t xml:space="preserve">the ACMA receives evidence that an electronic transfer of the full amount </w:t>
      </w:r>
      <w:r w:rsidR="004D6F2F" w:rsidRPr="00080443">
        <w:rPr>
          <w:rFonts w:cs="Arial"/>
        </w:rPr>
        <w:t xml:space="preserve">was made </w:t>
      </w:r>
      <w:r w:rsidR="007D098B" w:rsidRPr="00080443">
        <w:rPr>
          <w:rFonts w:cs="Arial"/>
        </w:rPr>
        <w:t xml:space="preserve">on or </w:t>
      </w:r>
      <w:r w:rsidR="004D6F2F" w:rsidRPr="00080443">
        <w:rPr>
          <w:rFonts w:cs="Arial"/>
        </w:rPr>
        <w:t xml:space="preserve">before the deadline (for example, a transfer receipt) </w:t>
      </w:r>
      <w:r w:rsidR="00A57240" w:rsidRPr="00080443">
        <w:rPr>
          <w:rFonts w:cs="Arial"/>
          <w:i/>
        </w:rPr>
        <w:t>and</w:t>
      </w:r>
      <w:r w:rsidR="004D6F2F" w:rsidRPr="00080443">
        <w:rPr>
          <w:rFonts w:cs="Arial"/>
        </w:rPr>
        <w:t xml:space="preserve"> the amount is received in the ACMA’s bank account no later than three working days after the deadline</w:t>
      </w:r>
    </w:p>
    <w:p w14:paraId="166D1A28" w14:textId="77777777" w:rsidR="00A57240" w:rsidRPr="00080443" w:rsidRDefault="004D6F2F" w:rsidP="006C224F">
      <w:pPr>
        <w:pStyle w:val="ListBullet"/>
        <w:spacing w:after="240"/>
        <w:rPr>
          <w:rFonts w:cs="Arial"/>
        </w:rPr>
      </w:pPr>
      <w:r w:rsidRPr="00080443">
        <w:rPr>
          <w:rFonts w:cs="Arial"/>
        </w:rPr>
        <w:t xml:space="preserve">the ACMA receives other evidence </w:t>
      </w:r>
      <w:r w:rsidR="00EB0E76" w:rsidRPr="00080443">
        <w:rPr>
          <w:rFonts w:cs="Arial"/>
        </w:rPr>
        <w:t>that</w:t>
      </w:r>
      <w:r w:rsidR="0002289D" w:rsidRPr="00080443">
        <w:rPr>
          <w:rFonts w:cs="Arial"/>
        </w:rPr>
        <w:t xml:space="preserve"> satisfies</w:t>
      </w:r>
      <w:r w:rsidR="001E1F4E" w:rsidRPr="00080443">
        <w:rPr>
          <w:rFonts w:cs="Arial"/>
        </w:rPr>
        <w:t xml:space="preserve"> it</w:t>
      </w:r>
      <w:r w:rsidRPr="00080443">
        <w:rPr>
          <w:rFonts w:cs="Arial"/>
        </w:rPr>
        <w:t xml:space="preserve"> that the person making the payment has taken all reasonable steps to pay the amount before the deadline.</w:t>
      </w:r>
      <w:r w:rsidR="006266CC" w:rsidRPr="00080443">
        <w:rPr>
          <w:rFonts w:cs="Arial"/>
        </w:rPr>
        <w:t xml:space="preserve"> </w:t>
      </w:r>
    </w:p>
    <w:p w14:paraId="72912CD9" w14:textId="77777777" w:rsidR="004D6F2F" w:rsidRPr="00080443" w:rsidRDefault="004D6F2F" w:rsidP="004D411C">
      <w:pPr>
        <w:rPr>
          <w:rFonts w:cs="Arial"/>
        </w:rPr>
      </w:pPr>
      <w:r w:rsidRPr="00080443">
        <w:rPr>
          <w:rFonts w:cs="Arial"/>
        </w:rPr>
        <w:t xml:space="preserve">An amount due under the allocation determination is not paid in full if bank charges or government duties imposed on a payment reduce the net payment to less than the amount due. </w:t>
      </w:r>
      <w:r w:rsidR="006C224F" w:rsidRPr="00080443">
        <w:rPr>
          <w:rFonts w:cs="Arial"/>
        </w:rPr>
        <w:t>A</w:t>
      </w:r>
      <w:r w:rsidRPr="00080443">
        <w:rPr>
          <w:rFonts w:cs="Arial"/>
        </w:rPr>
        <w:t xml:space="preserve">n applicant or bidder must add the value of any bank charge or government duty to the amount of the payment. </w:t>
      </w:r>
    </w:p>
    <w:p w14:paraId="46726323" w14:textId="77777777" w:rsidR="004D411C" w:rsidRPr="00080443" w:rsidRDefault="004D411C" w:rsidP="004D411C">
      <w:pPr>
        <w:rPr>
          <w:rFonts w:cs="Arial"/>
        </w:rPr>
      </w:pPr>
    </w:p>
    <w:p w14:paraId="2D521B8B" w14:textId="77777777" w:rsidR="006D08CC" w:rsidRPr="00080443" w:rsidRDefault="006D08CC" w:rsidP="004D411C">
      <w:pPr>
        <w:rPr>
          <w:rFonts w:cs="Arial"/>
        </w:rPr>
      </w:pPr>
      <w:r w:rsidRPr="00080443">
        <w:rPr>
          <w:rFonts w:cs="Arial"/>
        </w:rPr>
        <w:t>GST is not payable on the application fee</w:t>
      </w:r>
      <w:r w:rsidR="00420576" w:rsidRPr="00080443">
        <w:rPr>
          <w:rFonts w:cs="Arial"/>
        </w:rPr>
        <w:t xml:space="preserve">, an </w:t>
      </w:r>
      <w:r w:rsidR="007F0636" w:rsidRPr="00080443">
        <w:rPr>
          <w:rFonts w:cs="Arial"/>
        </w:rPr>
        <w:t xml:space="preserve">amount required to secure initial eligibility points or </w:t>
      </w:r>
      <w:r w:rsidR="00535BF6" w:rsidRPr="00080443">
        <w:rPr>
          <w:rFonts w:cs="Arial"/>
        </w:rPr>
        <w:t xml:space="preserve">the ACMA’s </w:t>
      </w:r>
      <w:r w:rsidR="00420576" w:rsidRPr="00080443">
        <w:rPr>
          <w:rFonts w:cs="Arial"/>
        </w:rPr>
        <w:t>spectrum access charge</w:t>
      </w:r>
      <w:r w:rsidR="00535BF6" w:rsidRPr="00080443">
        <w:rPr>
          <w:rFonts w:cs="Arial"/>
        </w:rPr>
        <w:t>s</w:t>
      </w:r>
      <w:r w:rsidR="00420576" w:rsidRPr="00080443">
        <w:rPr>
          <w:rFonts w:cs="Arial"/>
        </w:rPr>
        <w:t xml:space="preserve"> (for example, the winning price payable by a bidder) </w:t>
      </w:r>
      <w:r w:rsidRPr="00080443">
        <w:rPr>
          <w:rFonts w:cs="Arial"/>
        </w:rPr>
        <w:t>imposed before 1 July 2013.</w:t>
      </w:r>
    </w:p>
    <w:p w14:paraId="41F77791" w14:textId="77777777" w:rsidR="00EB44F9" w:rsidRPr="00080443" w:rsidRDefault="00EB44F9" w:rsidP="00031F91">
      <w:pPr>
        <w:rPr>
          <w:rFonts w:cs="Arial"/>
        </w:rPr>
      </w:pPr>
    </w:p>
    <w:p w14:paraId="4DB2C7DF" w14:textId="77777777" w:rsidR="00B64559" w:rsidRPr="00080443" w:rsidRDefault="00B64559" w:rsidP="00F70A7F">
      <w:pPr>
        <w:pStyle w:val="Heading1"/>
        <w:numPr>
          <w:ilvl w:val="0"/>
          <w:numId w:val="0"/>
        </w:numPr>
      </w:pPr>
      <w:bookmarkStart w:id="261" w:name="_Toc335246345"/>
      <w:bookmarkStart w:id="262" w:name="_Toc343780551"/>
      <w:r w:rsidRPr="00080443">
        <w:lastRenderedPageBreak/>
        <w:t>Auction documents</w:t>
      </w:r>
      <w:bookmarkEnd w:id="261"/>
      <w:r w:rsidR="00B55440" w:rsidRPr="00080443">
        <w:t>—</w:t>
      </w:r>
      <w:r w:rsidR="00605225" w:rsidRPr="00080443">
        <w:t xml:space="preserve">attachments A to </w:t>
      </w:r>
      <w:r w:rsidR="001133F7" w:rsidRPr="00080443">
        <w:t>R</w:t>
      </w:r>
      <w:bookmarkEnd w:id="262"/>
    </w:p>
    <w:p w14:paraId="5EAA99D1" w14:textId="77777777" w:rsidR="005B78AB" w:rsidRPr="00080443" w:rsidRDefault="005B78AB" w:rsidP="005B78AB">
      <w:pPr>
        <w:pStyle w:val="Bodysubheader"/>
        <w:rPr>
          <w:rFonts w:cs="Arial"/>
        </w:rPr>
      </w:pPr>
      <w:r w:rsidRPr="00080443">
        <w:rPr>
          <w:rFonts w:cs="Arial"/>
        </w:rPr>
        <w:t>Click to download</w:t>
      </w:r>
    </w:p>
    <w:p w14:paraId="51DBBEAB" w14:textId="77777777" w:rsidR="005B78AB" w:rsidRPr="00080443" w:rsidRDefault="005B78AB" w:rsidP="005B78AB">
      <w:pPr>
        <w:pStyle w:val="Heading2"/>
        <w:numPr>
          <w:ilvl w:val="0"/>
          <w:numId w:val="0"/>
        </w:numPr>
        <w:ind w:left="576" w:hanging="576"/>
      </w:pPr>
      <w:bookmarkStart w:id="263" w:name="_Toc340499702"/>
      <w:bookmarkStart w:id="264" w:name="_Toc342905832"/>
      <w:bookmarkStart w:id="265" w:name="_Toc343780552"/>
      <w:r w:rsidRPr="00080443">
        <w:t>Allocation determination</w:t>
      </w:r>
      <w:bookmarkEnd w:id="263"/>
      <w:bookmarkEnd w:id="264"/>
      <w:bookmarkEnd w:id="265"/>
    </w:p>
    <w:p w14:paraId="762E747E" w14:textId="77777777" w:rsidR="005B78AB" w:rsidRPr="00080443" w:rsidRDefault="005B78AB" w:rsidP="005B78AB">
      <w:pPr>
        <w:spacing w:after="120"/>
        <w:rPr>
          <w:rFonts w:cs="Arial"/>
        </w:rPr>
      </w:pPr>
      <w:r w:rsidRPr="00080443">
        <w:rPr>
          <w:rFonts w:cs="Arial"/>
          <w:b/>
        </w:rPr>
        <w:t>Attachment A</w:t>
      </w:r>
      <w:r w:rsidRPr="00080443">
        <w:rPr>
          <w:rFonts w:cs="Arial"/>
        </w:rPr>
        <w:t>—</w:t>
      </w:r>
      <w:hyperlink r:id="rId63" w:history="1">
        <w:r w:rsidRPr="00080443">
          <w:rPr>
            <w:rStyle w:val="Hyperlink"/>
            <w:rFonts w:cs="Arial"/>
          </w:rPr>
          <w:t>Radiocommunications (Spectrum Licence Allocation – Combinatorial Clock Auction) Determination 2012, and explanatory statement</w:t>
        </w:r>
      </w:hyperlink>
    </w:p>
    <w:p w14:paraId="6F3805D3" w14:textId="77777777" w:rsidR="00B55440" w:rsidRPr="00080443" w:rsidRDefault="00B55440" w:rsidP="005B78AB">
      <w:pPr>
        <w:spacing w:after="120"/>
        <w:rPr>
          <w:rFonts w:cs="Arial"/>
        </w:rPr>
      </w:pPr>
    </w:p>
    <w:p w14:paraId="534459D3" w14:textId="77777777" w:rsidR="005B78AB" w:rsidRPr="00080443" w:rsidRDefault="005B78AB" w:rsidP="005B78AB">
      <w:pPr>
        <w:pStyle w:val="Heading2"/>
        <w:numPr>
          <w:ilvl w:val="0"/>
          <w:numId w:val="0"/>
        </w:numPr>
        <w:ind w:left="576" w:hanging="576"/>
      </w:pPr>
      <w:bookmarkStart w:id="266" w:name="_Toc340499703"/>
      <w:bookmarkStart w:id="267" w:name="_Toc342905833"/>
      <w:bookmarkStart w:id="268" w:name="_Toc343780553"/>
      <w:r w:rsidRPr="00080443">
        <w:t>Marketing plans and technical framework instruments</w:t>
      </w:r>
      <w:bookmarkEnd w:id="266"/>
      <w:bookmarkEnd w:id="267"/>
      <w:bookmarkEnd w:id="268"/>
    </w:p>
    <w:p w14:paraId="0036DC55" w14:textId="77777777" w:rsidR="005B78AB" w:rsidRPr="00080443" w:rsidRDefault="005B78AB" w:rsidP="005B78AB">
      <w:pPr>
        <w:pStyle w:val="Heading3"/>
        <w:numPr>
          <w:ilvl w:val="0"/>
          <w:numId w:val="0"/>
        </w:numPr>
        <w:ind w:left="720" w:hanging="720"/>
      </w:pPr>
      <w:bookmarkStart w:id="269" w:name="_Toc340499704"/>
      <w:bookmarkStart w:id="270" w:name="_Toc342905834"/>
      <w:bookmarkStart w:id="271" w:name="_Toc343780554"/>
      <w:r w:rsidRPr="00080443">
        <w:t>Marketing plan and technical framework instruments for 700 MHz band</w:t>
      </w:r>
      <w:bookmarkEnd w:id="269"/>
      <w:bookmarkEnd w:id="270"/>
      <w:bookmarkEnd w:id="271"/>
    </w:p>
    <w:p w14:paraId="53AF52D6" w14:textId="77777777" w:rsidR="005B78AB" w:rsidRPr="00080443" w:rsidRDefault="005B78AB" w:rsidP="005B78AB">
      <w:pPr>
        <w:spacing w:after="120"/>
        <w:rPr>
          <w:rFonts w:cs="Arial"/>
        </w:rPr>
      </w:pPr>
      <w:r w:rsidRPr="00080443">
        <w:rPr>
          <w:rFonts w:cs="Arial"/>
          <w:b/>
        </w:rPr>
        <w:t>Attachment B</w:t>
      </w:r>
      <w:r w:rsidRPr="00080443">
        <w:rPr>
          <w:rFonts w:cs="Arial"/>
        </w:rPr>
        <w:t>—</w:t>
      </w:r>
      <w:hyperlink r:id="rId64" w:history="1">
        <w:r w:rsidRPr="00080443">
          <w:rPr>
            <w:rStyle w:val="Hyperlink"/>
            <w:rFonts w:cs="Arial"/>
          </w:rPr>
          <w:t>Radiocommunications Spectrum Marketing Plan (700 MHz Band) 2012, and explanatory statement</w:t>
        </w:r>
      </w:hyperlink>
    </w:p>
    <w:p w14:paraId="0809D129" w14:textId="77777777" w:rsidR="005B78AB" w:rsidRPr="00080443" w:rsidRDefault="005B78AB" w:rsidP="005B78AB">
      <w:pPr>
        <w:spacing w:after="120"/>
        <w:rPr>
          <w:rFonts w:cs="Arial"/>
        </w:rPr>
      </w:pPr>
      <w:r w:rsidRPr="00080443">
        <w:rPr>
          <w:rFonts w:cs="Arial"/>
          <w:b/>
        </w:rPr>
        <w:t>Attachment C</w:t>
      </w:r>
      <w:r w:rsidRPr="00080443">
        <w:rPr>
          <w:rFonts w:cs="Arial"/>
        </w:rPr>
        <w:t>—</w:t>
      </w:r>
      <w:hyperlink r:id="rId65" w:history="1">
        <w:r w:rsidRPr="00080443">
          <w:rPr>
            <w:rStyle w:val="Hyperlink"/>
            <w:rFonts w:cs="Arial"/>
          </w:rPr>
          <w:t>Radiocommunications (Unacceptable Levels of Interference – 700 MHz Band) Determination 2012, and explanatory statement</w:t>
        </w:r>
      </w:hyperlink>
    </w:p>
    <w:p w14:paraId="7BA9C597" w14:textId="77777777" w:rsidR="005B78AB" w:rsidRPr="00080443" w:rsidRDefault="005B78AB" w:rsidP="005B78AB">
      <w:pPr>
        <w:spacing w:after="120"/>
        <w:rPr>
          <w:rFonts w:cs="Arial"/>
        </w:rPr>
      </w:pPr>
      <w:r w:rsidRPr="00080443">
        <w:rPr>
          <w:rFonts w:cs="Arial"/>
          <w:b/>
        </w:rPr>
        <w:t>Attachment D</w:t>
      </w:r>
      <w:r w:rsidRPr="00080443">
        <w:rPr>
          <w:rFonts w:cs="Arial"/>
        </w:rPr>
        <w:t>—</w:t>
      </w:r>
      <w:hyperlink r:id="rId66" w:history="1">
        <w:r w:rsidRPr="00080443">
          <w:rPr>
            <w:rStyle w:val="Hyperlink"/>
            <w:rFonts w:cs="Arial"/>
          </w:rPr>
          <w:t>Radiocommunications Advisory Guidelines (Managing Interference from Transmitters – 700 MHz Band) 2012, and explanatory statement</w:t>
        </w:r>
      </w:hyperlink>
    </w:p>
    <w:p w14:paraId="3B0E3ECC" w14:textId="77777777" w:rsidR="005B78AB" w:rsidRPr="00080443" w:rsidRDefault="005B78AB" w:rsidP="005B78AB">
      <w:pPr>
        <w:spacing w:after="120"/>
        <w:rPr>
          <w:rFonts w:cs="Arial"/>
        </w:rPr>
      </w:pPr>
      <w:r w:rsidRPr="00080443">
        <w:rPr>
          <w:rFonts w:cs="Arial"/>
          <w:b/>
        </w:rPr>
        <w:t>Attachment E</w:t>
      </w:r>
      <w:r w:rsidRPr="00080443">
        <w:rPr>
          <w:rFonts w:cs="Arial"/>
        </w:rPr>
        <w:t>—</w:t>
      </w:r>
      <w:hyperlink r:id="rId67" w:history="1">
        <w:r w:rsidRPr="00080443">
          <w:rPr>
            <w:rStyle w:val="Hyperlink"/>
            <w:rFonts w:cs="Arial"/>
          </w:rPr>
          <w:t>Radiocommunications Advisory Guidelines (Managing Interference to Receivers – 700 MHz Band) 2012, and explanatory statement</w:t>
        </w:r>
      </w:hyperlink>
    </w:p>
    <w:p w14:paraId="2C8BE536" w14:textId="77777777" w:rsidR="00666EF0" w:rsidRPr="00080443" w:rsidRDefault="00666EF0" w:rsidP="005B78AB">
      <w:pPr>
        <w:spacing w:after="120"/>
        <w:rPr>
          <w:rFonts w:cs="Arial"/>
        </w:rPr>
      </w:pPr>
    </w:p>
    <w:p w14:paraId="0DE51EF0" w14:textId="77777777" w:rsidR="005B78AB" w:rsidRPr="00080443" w:rsidRDefault="005B78AB" w:rsidP="005B78AB">
      <w:pPr>
        <w:pStyle w:val="Heading3"/>
        <w:numPr>
          <w:ilvl w:val="0"/>
          <w:numId w:val="0"/>
        </w:numPr>
        <w:ind w:left="720" w:hanging="720"/>
      </w:pPr>
      <w:bookmarkStart w:id="272" w:name="_Toc340499705"/>
      <w:bookmarkStart w:id="273" w:name="_Toc342905835"/>
      <w:bookmarkStart w:id="274" w:name="_Toc343780555"/>
      <w:r w:rsidRPr="00080443">
        <w:t>Marketing plan and technical framework instruments for 2.5 GHz band</w:t>
      </w:r>
      <w:bookmarkEnd w:id="272"/>
      <w:bookmarkEnd w:id="273"/>
      <w:bookmarkEnd w:id="274"/>
    </w:p>
    <w:p w14:paraId="29E09A41" w14:textId="77777777" w:rsidR="005B78AB" w:rsidRPr="00080443" w:rsidRDefault="005B78AB" w:rsidP="005B78AB">
      <w:pPr>
        <w:spacing w:after="120"/>
        <w:rPr>
          <w:rFonts w:cs="Arial"/>
        </w:rPr>
      </w:pPr>
      <w:r w:rsidRPr="00080443">
        <w:rPr>
          <w:rFonts w:cs="Arial"/>
          <w:b/>
        </w:rPr>
        <w:t>Attachment F</w:t>
      </w:r>
      <w:r w:rsidRPr="00080443">
        <w:rPr>
          <w:rFonts w:cs="Arial"/>
        </w:rPr>
        <w:t>—</w:t>
      </w:r>
      <w:hyperlink r:id="rId68" w:history="1">
        <w:r w:rsidRPr="00080443">
          <w:rPr>
            <w:rStyle w:val="Hyperlink"/>
            <w:rFonts w:cs="Arial"/>
          </w:rPr>
          <w:t>Radiocommunications Spectrum Marketing Plan (2.5 GHz Band) 2012, and explanatory statement</w:t>
        </w:r>
      </w:hyperlink>
    </w:p>
    <w:p w14:paraId="288A8AE1" w14:textId="77777777" w:rsidR="005B78AB" w:rsidRPr="00080443" w:rsidRDefault="005B78AB" w:rsidP="005B78AB">
      <w:pPr>
        <w:spacing w:after="120"/>
        <w:rPr>
          <w:rFonts w:cs="Arial"/>
        </w:rPr>
      </w:pPr>
      <w:r w:rsidRPr="00080443">
        <w:rPr>
          <w:rFonts w:cs="Arial"/>
          <w:b/>
        </w:rPr>
        <w:t>Attachment G</w:t>
      </w:r>
      <w:r w:rsidRPr="00080443">
        <w:rPr>
          <w:rFonts w:cs="Arial"/>
        </w:rPr>
        <w:t>—</w:t>
      </w:r>
      <w:hyperlink r:id="rId69" w:history="1">
        <w:r w:rsidRPr="00080443">
          <w:rPr>
            <w:rStyle w:val="Hyperlink"/>
            <w:rFonts w:cs="Arial"/>
          </w:rPr>
          <w:t>Radiocommunications (Unacceptable Levels of Interference – 2.5 GHz Band) Determination 2012, and explanatory statement</w:t>
        </w:r>
      </w:hyperlink>
    </w:p>
    <w:p w14:paraId="65FE965A" w14:textId="77777777" w:rsidR="005B78AB" w:rsidRPr="00080443" w:rsidRDefault="005B78AB" w:rsidP="005B78AB">
      <w:pPr>
        <w:spacing w:after="120"/>
        <w:rPr>
          <w:rFonts w:cs="Arial"/>
        </w:rPr>
      </w:pPr>
      <w:r w:rsidRPr="00080443">
        <w:rPr>
          <w:rFonts w:cs="Arial"/>
          <w:b/>
        </w:rPr>
        <w:t>Attachment H</w:t>
      </w:r>
      <w:r w:rsidRPr="00080443">
        <w:rPr>
          <w:rFonts w:cs="Arial"/>
        </w:rPr>
        <w:t>—</w:t>
      </w:r>
      <w:hyperlink r:id="rId70" w:history="1">
        <w:r w:rsidRPr="00080443">
          <w:rPr>
            <w:rStyle w:val="Hyperlink"/>
            <w:rFonts w:cs="Arial"/>
          </w:rPr>
          <w:t>Radiocommunications Advisory Guidelines (Managing Interference from Transmitters – 2.5 GHz Band) 2012, and explanatory statement</w:t>
        </w:r>
      </w:hyperlink>
    </w:p>
    <w:p w14:paraId="72DAF8DF" w14:textId="77777777" w:rsidR="005B78AB" w:rsidRPr="00080443" w:rsidRDefault="005B78AB" w:rsidP="005B78AB">
      <w:pPr>
        <w:spacing w:after="120"/>
        <w:rPr>
          <w:rFonts w:cs="Arial"/>
        </w:rPr>
      </w:pPr>
      <w:r w:rsidRPr="00080443">
        <w:rPr>
          <w:rFonts w:cs="Arial"/>
          <w:b/>
        </w:rPr>
        <w:t>Attachment I</w:t>
      </w:r>
      <w:r w:rsidRPr="00080443">
        <w:rPr>
          <w:rFonts w:cs="Arial"/>
        </w:rPr>
        <w:t>—</w:t>
      </w:r>
      <w:hyperlink r:id="rId71" w:history="1">
        <w:r w:rsidRPr="00080443">
          <w:rPr>
            <w:rStyle w:val="Hyperlink"/>
            <w:rFonts w:cs="Arial"/>
          </w:rPr>
          <w:t>Radiocommunications Advisory Guidelines (Managing Interference to Receivers – 2.5 GHz Band) 2012, and explanatory statement</w:t>
        </w:r>
      </w:hyperlink>
    </w:p>
    <w:p w14:paraId="558A7EB8" w14:textId="77777777" w:rsidR="00B55440" w:rsidRPr="00080443" w:rsidRDefault="00B55440" w:rsidP="005B78AB">
      <w:pPr>
        <w:spacing w:after="120"/>
        <w:rPr>
          <w:rFonts w:cs="Arial"/>
        </w:rPr>
      </w:pPr>
    </w:p>
    <w:p w14:paraId="3D2C2E7D" w14:textId="77777777" w:rsidR="005B78AB" w:rsidRPr="00080443" w:rsidRDefault="005B78AB" w:rsidP="005B78AB">
      <w:pPr>
        <w:pStyle w:val="Heading2"/>
        <w:numPr>
          <w:ilvl w:val="0"/>
          <w:numId w:val="0"/>
        </w:numPr>
        <w:ind w:left="576" w:hanging="576"/>
      </w:pPr>
      <w:bookmarkStart w:id="275" w:name="_Toc340499706"/>
      <w:bookmarkStart w:id="276" w:name="_Toc342905836"/>
      <w:bookmarkStart w:id="277" w:name="_Toc343780556"/>
      <w:r w:rsidRPr="00080443">
        <w:t>Spectrum reallocation declarations</w:t>
      </w:r>
      <w:bookmarkEnd w:id="275"/>
      <w:bookmarkEnd w:id="276"/>
      <w:bookmarkEnd w:id="277"/>
    </w:p>
    <w:p w14:paraId="63003C7D" w14:textId="77777777" w:rsidR="005B78AB" w:rsidRPr="00080443" w:rsidRDefault="005B78AB" w:rsidP="005B78AB">
      <w:pPr>
        <w:spacing w:after="120"/>
        <w:rPr>
          <w:rFonts w:cs="Arial"/>
        </w:rPr>
      </w:pPr>
      <w:r w:rsidRPr="00080443">
        <w:rPr>
          <w:rFonts w:cs="Arial"/>
          <w:b/>
        </w:rPr>
        <w:t>Attachment J</w:t>
      </w:r>
      <w:r w:rsidRPr="00080443">
        <w:rPr>
          <w:rFonts w:cs="Arial"/>
        </w:rPr>
        <w:t>—</w:t>
      </w:r>
      <w:hyperlink r:id="rId72" w:history="1">
        <w:r w:rsidRPr="00080443">
          <w:rPr>
            <w:rStyle w:val="Hyperlink"/>
            <w:rFonts w:cs="Arial"/>
          </w:rPr>
          <w:t>Radiocommunications (Spectrum Re-allocation) Declaration No. 1 of 2011, and explanatory statement</w:t>
        </w:r>
      </w:hyperlink>
    </w:p>
    <w:p w14:paraId="1B1D6167" w14:textId="77777777" w:rsidR="005B78AB" w:rsidRPr="00080443" w:rsidRDefault="005B78AB" w:rsidP="005B78AB">
      <w:pPr>
        <w:spacing w:after="120"/>
        <w:rPr>
          <w:rFonts w:cs="Arial"/>
        </w:rPr>
      </w:pPr>
      <w:r w:rsidRPr="00080443">
        <w:rPr>
          <w:rFonts w:cs="Arial"/>
          <w:b/>
        </w:rPr>
        <w:t>Attachment K</w:t>
      </w:r>
      <w:r w:rsidRPr="00080443">
        <w:rPr>
          <w:rFonts w:cs="Arial"/>
        </w:rPr>
        <w:t>—</w:t>
      </w:r>
      <w:hyperlink r:id="rId73" w:history="1">
        <w:r w:rsidRPr="00080443">
          <w:rPr>
            <w:rStyle w:val="Hyperlink"/>
            <w:rFonts w:cs="Arial"/>
          </w:rPr>
          <w:t>Radiocommunications (Spectrum Re-allocation) Declaration No. 2 of 2011, and explanatory statement</w:t>
        </w:r>
      </w:hyperlink>
    </w:p>
    <w:p w14:paraId="512E65AA" w14:textId="77777777" w:rsidR="009D03B5" w:rsidRPr="00080443" w:rsidRDefault="009D03B5" w:rsidP="005B78AB">
      <w:pPr>
        <w:spacing w:after="120"/>
        <w:rPr>
          <w:rFonts w:cs="Arial"/>
        </w:rPr>
      </w:pPr>
    </w:p>
    <w:p w14:paraId="7BFEFBE7" w14:textId="77777777" w:rsidR="005B78AB" w:rsidRPr="00080443" w:rsidRDefault="005B78AB" w:rsidP="005B78AB">
      <w:pPr>
        <w:pStyle w:val="Heading2"/>
        <w:numPr>
          <w:ilvl w:val="0"/>
          <w:numId w:val="0"/>
        </w:numPr>
        <w:ind w:left="576" w:hanging="576"/>
      </w:pPr>
      <w:bookmarkStart w:id="278" w:name="_Toc340499707"/>
      <w:bookmarkStart w:id="279" w:name="_Toc342905837"/>
      <w:bookmarkStart w:id="280" w:name="_Toc343780557"/>
      <w:r w:rsidRPr="00080443">
        <w:t>Allocation limit directions</w:t>
      </w:r>
      <w:bookmarkEnd w:id="278"/>
      <w:bookmarkEnd w:id="279"/>
      <w:bookmarkEnd w:id="280"/>
    </w:p>
    <w:p w14:paraId="0012C243" w14:textId="77777777" w:rsidR="005B78AB" w:rsidRPr="00080443" w:rsidRDefault="005B78AB" w:rsidP="005B78AB">
      <w:pPr>
        <w:spacing w:after="120"/>
        <w:rPr>
          <w:rFonts w:cs="Arial"/>
        </w:rPr>
      </w:pPr>
      <w:r w:rsidRPr="00080443">
        <w:rPr>
          <w:rFonts w:cs="Arial"/>
          <w:b/>
        </w:rPr>
        <w:t>Attachment L</w:t>
      </w:r>
      <w:r w:rsidRPr="00080443">
        <w:rPr>
          <w:rFonts w:cs="Arial"/>
        </w:rPr>
        <w:t>—</w:t>
      </w:r>
      <w:hyperlink r:id="rId74" w:history="1">
        <w:r w:rsidRPr="00080443">
          <w:rPr>
            <w:rStyle w:val="Hyperlink"/>
            <w:rFonts w:cs="Arial"/>
          </w:rPr>
          <w:t>Radiocommunications (Spectrum Licence Limits) Direction No. 1 of 2012, and explanatory statement</w:t>
        </w:r>
      </w:hyperlink>
    </w:p>
    <w:p w14:paraId="6AB322D5" w14:textId="77777777" w:rsidR="00732F36" w:rsidRPr="00080443" w:rsidRDefault="003752F0" w:rsidP="005B78AB">
      <w:pPr>
        <w:spacing w:after="120"/>
        <w:rPr>
          <w:rFonts w:cs="Arial"/>
        </w:rPr>
      </w:pPr>
      <w:r w:rsidRPr="00080443">
        <w:rPr>
          <w:rFonts w:cs="Arial"/>
          <w:b/>
        </w:rPr>
        <w:t>Attachment M—</w:t>
      </w:r>
      <w:hyperlink r:id="rId75" w:history="1">
        <w:r w:rsidR="00D02A0D" w:rsidRPr="00080443">
          <w:rPr>
            <w:rStyle w:val="Hyperlink"/>
            <w:rFonts w:cs="Arial"/>
          </w:rPr>
          <w:t>Radiocommunications (Spectrum Licence Limits) Direction No. 1 of 2012 (Amendment No. 1 of 2012) and explanatory statement</w:t>
        </w:r>
      </w:hyperlink>
    </w:p>
    <w:p w14:paraId="754C42CF" w14:textId="77777777" w:rsidR="005B78AB" w:rsidRPr="00080443" w:rsidRDefault="005B78AB" w:rsidP="005B78AB">
      <w:pPr>
        <w:spacing w:after="120"/>
        <w:rPr>
          <w:rFonts w:cs="Arial"/>
        </w:rPr>
      </w:pPr>
      <w:r w:rsidRPr="00080443">
        <w:rPr>
          <w:rFonts w:cs="Arial"/>
          <w:b/>
        </w:rPr>
        <w:t xml:space="preserve">Attachment </w:t>
      </w:r>
      <w:r w:rsidR="00C535E3" w:rsidRPr="00080443">
        <w:rPr>
          <w:rFonts w:cs="Arial"/>
          <w:b/>
        </w:rPr>
        <w:t>N</w:t>
      </w:r>
      <w:r w:rsidRPr="00080443">
        <w:rPr>
          <w:rFonts w:cs="Arial"/>
        </w:rPr>
        <w:t>—</w:t>
      </w:r>
      <w:hyperlink r:id="rId76" w:history="1">
        <w:r w:rsidRPr="00080443">
          <w:rPr>
            <w:rStyle w:val="Hyperlink"/>
            <w:rFonts w:cs="Arial"/>
          </w:rPr>
          <w:t>Radiocommunications (Spectrum Licence Limits) Direction No. 2 of 2012, and explanatory statement</w:t>
        </w:r>
      </w:hyperlink>
    </w:p>
    <w:p w14:paraId="09ABE93A" w14:textId="77777777" w:rsidR="00732F36" w:rsidRPr="00080443" w:rsidRDefault="00732F36" w:rsidP="005B78AB">
      <w:pPr>
        <w:spacing w:after="120"/>
        <w:rPr>
          <w:rFonts w:cs="Arial"/>
        </w:rPr>
      </w:pPr>
      <w:r w:rsidRPr="00080443">
        <w:rPr>
          <w:rFonts w:cs="Arial"/>
          <w:b/>
        </w:rPr>
        <w:lastRenderedPageBreak/>
        <w:t xml:space="preserve">Attachment </w:t>
      </w:r>
      <w:r w:rsidR="00C535E3" w:rsidRPr="00080443">
        <w:rPr>
          <w:rFonts w:cs="Arial"/>
          <w:b/>
        </w:rPr>
        <w:t>O</w:t>
      </w:r>
      <w:r w:rsidRPr="00080443">
        <w:rPr>
          <w:rFonts w:cs="Arial"/>
          <w:b/>
        </w:rPr>
        <w:t>—</w:t>
      </w:r>
      <w:hyperlink r:id="rId77" w:history="1">
        <w:r w:rsidR="00D02A0D" w:rsidRPr="00080443">
          <w:rPr>
            <w:rStyle w:val="Hyperlink"/>
            <w:rFonts w:cs="Arial"/>
          </w:rPr>
          <w:t>Radiocommunications (Spectrum Licence Limits) Direction No. 2 of 2012 (Amendment No. 1 of 2012) and explanatory statement</w:t>
        </w:r>
      </w:hyperlink>
    </w:p>
    <w:p w14:paraId="231F0A73" w14:textId="77777777" w:rsidR="009D03B5" w:rsidRPr="00080443" w:rsidRDefault="009D03B5" w:rsidP="005B78AB">
      <w:pPr>
        <w:spacing w:after="120"/>
        <w:rPr>
          <w:rFonts w:cs="Arial"/>
        </w:rPr>
      </w:pPr>
    </w:p>
    <w:p w14:paraId="78E08FFA" w14:textId="77777777" w:rsidR="00B55440" w:rsidRPr="00080443" w:rsidRDefault="008814E1" w:rsidP="008814E1">
      <w:pPr>
        <w:pStyle w:val="Heading2"/>
        <w:numPr>
          <w:ilvl w:val="0"/>
          <w:numId w:val="0"/>
        </w:numPr>
        <w:ind w:left="576" w:hanging="576"/>
      </w:pPr>
      <w:bookmarkStart w:id="281" w:name="_Toc342905838"/>
      <w:bookmarkStart w:id="282" w:name="_Toc343780558"/>
      <w:r w:rsidRPr="00080443">
        <w:t>Initial (reserve) prices direction</w:t>
      </w:r>
      <w:bookmarkEnd w:id="281"/>
      <w:bookmarkEnd w:id="282"/>
    </w:p>
    <w:p w14:paraId="5A005E7B" w14:textId="77777777" w:rsidR="00105C79" w:rsidRPr="00080443" w:rsidRDefault="008814E1" w:rsidP="005B78AB">
      <w:pPr>
        <w:spacing w:after="120"/>
        <w:rPr>
          <w:rFonts w:cs="Arial"/>
        </w:rPr>
      </w:pPr>
      <w:r w:rsidRPr="00080443">
        <w:rPr>
          <w:rFonts w:cs="Arial"/>
          <w:b/>
        </w:rPr>
        <w:t xml:space="preserve">Attachment </w:t>
      </w:r>
      <w:r w:rsidR="00C535E3" w:rsidRPr="00080443">
        <w:rPr>
          <w:rFonts w:cs="Arial"/>
          <w:b/>
        </w:rPr>
        <w:t>P</w:t>
      </w:r>
      <w:r w:rsidRPr="00080443">
        <w:rPr>
          <w:rFonts w:cs="Arial"/>
        </w:rPr>
        <w:t>—</w:t>
      </w:r>
      <w:hyperlink r:id="rId78" w:history="1">
        <w:r w:rsidR="00D02A0D" w:rsidRPr="00080443">
          <w:rPr>
            <w:rStyle w:val="Hyperlink"/>
            <w:rFonts w:cs="Arial"/>
          </w:rPr>
          <w:t>Australian Communications and Media Authority (Allocation Procedures – Reserve Prices) Direction No. 1 of 2012 and explanatory statement</w:t>
        </w:r>
      </w:hyperlink>
    </w:p>
    <w:p w14:paraId="5B358DD7" w14:textId="77777777" w:rsidR="009D03B5" w:rsidRPr="00080443" w:rsidRDefault="009D03B5" w:rsidP="005B78AB">
      <w:pPr>
        <w:spacing w:after="120"/>
        <w:rPr>
          <w:rFonts w:cs="Arial"/>
        </w:rPr>
      </w:pPr>
    </w:p>
    <w:p w14:paraId="308F664B" w14:textId="77777777" w:rsidR="005B78AB" w:rsidRPr="00080443" w:rsidRDefault="005B78AB" w:rsidP="005B78AB">
      <w:pPr>
        <w:pStyle w:val="Heading2"/>
        <w:numPr>
          <w:ilvl w:val="0"/>
          <w:numId w:val="0"/>
        </w:numPr>
        <w:ind w:left="576" w:hanging="576"/>
      </w:pPr>
      <w:bookmarkStart w:id="283" w:name="_Toc340499708"/>
      <w:bookmarkStart w:id="284" w:name="_Toc342905839"/>
      <w:bookmarkStart w:id="285" w:name="_Toc343780559"/>
      <w:r w:rsidRPr="00080443">
        <w:t>Auction matters determined by the ACMA</w:t>
      </w:r>
      <w:bookmarkEnd w:id="283"/>
      <w:bookmarkEnd w:id="284"/>
      <w:bookmarkEnd w:id="285"/>
    </w:p>
    <w:p w14:paraId="08542863" w14:textId="77777777" w:rsidR="005B78AB" w:rsidRPr="00080443" w:rsidRDefault="005B78AB" w:rsidP="005B78AB">
      <w:pPr>
        <w:spacing w:after="120"/>
        <w:rPr>
          <w:rFonts w:cs="Arial"/>
        </w:rPr>
      </w:pPr>
      <w:r w:rsidRPr="00080443">
        <w:rPr>
          <w:rFonts w:cs="Arial"/>
          <w:b/>
        </w:rPr>
        <w:t xml:space="preserve">Attachment </w:t>
      </w:r>
      <w:r w:rsidR="00C535E3" w:rsidRPr="00080443">
        <w:rPr>
          <w:rFonts w:cs="Arial"/>
          <w:b/>
        </w:rPr>
        <w:t>Q</w:t>
      </w:r>
      <w:r w:rsidRPr="00080443">
        <w:rPr>
          <w:rFonts w:cs="Arial"/>
        </w:rPr>
        <w:t>—</w:t>
      </w:r>
      <w:hyperlink r:id="rId79" w:history="1">
        <w:r w:rsidRPr="00080443">
          <w:rPr>
            <w:rStyle w:val="Hyperlink"/>
            <w:rFonts w:cs="Arial"/>
          </w:rPr>
          <w:t>Appointment of auction manager</w:t>
        </w:r>
      </w:hyperlink>
    </w:p>
    <w:p w14:paraId="1F9E08FA" w14:textId="77777777" w:rsidR="001133F7" w:rsidRPr="00080443" w:rsidRDefault="005B78AB" w:rsidP="005B78AB">
      <w:pPr>
        <w:spacing w:after="120"/>
        <w:rPr>
          <w:rFonts w:cs="Arial"/>
        </w:rPr>
      </w:pPr>
      <w:r w:rsidRPr="00080443">
        <w:rPr>
          <w:rFonts w:cs="Arial"/>
          <w:b/>
        </w:rPr>
        <w:t xml:space="preserve">Attachment </w:t>
      </w:r>
      <w:r w:rsidR="00C535E3" w:rsidRPr="00080443">
        <w:rPr>
          <w:rFonts w:cs="Arial"/>
          <w:b/>
        </w:rPr>
        <w:t>R</w:t>
      </w:r>
      <w:r w:rsidRPr="00080443">
        <w:rPr>
          <w:rFonts w:cs="Arial"/>
        </w:rPr>
        <w:t>—</w:t>
      </w:r>
      <w:hyperlink r:id="rId80" w:history="1">
        <w:r w:rsidRPr="00080443">
          <w:rPr>
            <w:rStyle w:val="Hyperlink"/>
            <w:rFonts w:cs="Arial"/>
          </w:rPr>
          <w:t>Setting of application fee</w:t>
        </w:r>
      </w:hyperlink>
    </w:p>
    <w:p w14:paraId="0CCB1C57" w14:textId="77777777" w:rsidR="0091011B" w:rsidRPr="00080443" w:rsidRDefault="0091011B">
      <w:pPr>
        <w:spacing w:line="240" w:lineRule="auto"/>
        <w:rPr>
          <w:rFonts w:cs="Arial"/>
        </w:rPr>
      </w:pPr>
      <w:r w:rsidRPr="00080443">
        <w:rPr>
          <w:rFonts w:cs="Arial"/>
        </w:rPr>
        <w:br w:type="page"/>
      </w:r>
    </w:p>
    <w:p w14:paraId="670AEDF3" w14:textId="77777777" w:rsidR="00F70A7F" w:rsidRPr="00080443" w:rsidRDefault="00F70A7F" w:rsidP="00F70A7F">
      <w:pPr>
        <w:pStyle w:val="Heading1"/>
        <w:numPr>
          <w:ilvl w:val="0"/>
          <w:numId w:val="0"/>
        </w:numPr>
        <w:ind w:left="432" w:hanging="432"/>
      </w:pPr>
      <w:bookmarkStart w:id="286" w:name="_Toc335246344"/>
      <w:bookmarkStart w:id="287" w:name="_Toc343780560"/>
      <w:bookmarkStart w:id="288" w:name="_Toc335246343"/>
      <w:r w:rsidRPr="00080443">
        <w:lastRenderedPageBreak/>
        <w:t>Auction forms</w:t>
      </w:r>
      <w:bookmarkEnd w:id="286"/>
      <w:bookmarkEnd w:id="287"/>
    </w:p>
    <w:p w14:paraId="295773E5" w14:textId="77777777" w:rsidR="00F70A7F" w:rsidRPr="00080443" w:rsidRDefault="00F70A7F" w:rsidP="00F70A7F">
      <w:pPr>
        <w:pStyle w:val="ListBullet"/>
        <w:numPr>
          <w:ilvl w:val="0"/>
          <w:numId w:val="0"/>
        </w:numPr>
        <w:rPr>
          <w:rFonts w:cs="Arial"/>
        </w:rPr>
      </w:pPr>
      <w:r w:rsidRPr="00080443">
        <w:rPr>
          <w:rFonts w:cs="Arial"/>
        </w:rPr>
        <w:t>There are eight forms for the digital dividend auction:</w:t>
      </w:r>
    </w:p>
    <w:p w14:paraId="1B05F242" w14:textId="77777777" w:rsidR="00F70A7F" w:rsidRPr="00080443" w:rsidRDefault="00F70A7F" w:rsidP="00F70A7F">
      <w:pPr>
        <w:pStyle w:val="ListBullet"/>
        <w:rPr>
          <w:rFonts w:cs="Arial"/>
        </w:rPr>
      </w:pPr>
      <w:r w:rsidRPr="00080443">
        <w:rPr>
          <w:rFonts w:cs="Arial"/>
        </w:rPr>
        <w:t xml:space="preserve">Form 1—Application form </w:t>
      </w:r>
    </w:p>
    <w:p w14:paraId="4E2B8E31" w14:textId="77777777" w:rsidR="00F70A7F" w:rsidRPr="00080443" w:rsidRDefault="00F70A7F" w:rsidP="00F70A7F">
      <w:pPr>
        <w:pStyle w:val="ListBullet"/>
        <w:rPr>
          <w:rFonts w:cs="Arial"/>
        </w:rPr>
      </w:pPr>
      <w:r w:rsidRPr="00080443">
        <w:rPr>
          <w:rFonts w:cs="Arial"/>
        </w:rPr>
        <w:t xml:space="preserve">Form 2—Deed of acknowledgement form </w:t>
      </w:r>
    </w:p>
    <w:p w14:paraId="77FABAD3" w14:textId="77777777" w:rsidR="00F70A7F" w:rsidRPr="00080443" w:rsidRDefault="00F70A7F" w:rsidP="00F70A7F">
      <w:pPr>
        <w:pStyle w:val="ListBullet"/>
        <w:rPr>
          <w:rFonts w:cs="Arial"/>
        </w:rPr>
      </w:pPr>
      <w:r w:rsidRPr="00080443">
        <w:rPr>
          <w:rFonts w:cs="Arial"/>
        </w:rPr>
        <w:t xml:space="preserve">Form 3—Deed of confidentiality form </w:t>
      </w:r>
    </w:p>
    <w:p w14:paraId="68DE265D" w14:textId="77777777" w:rsidR="00F70A7F" w:rsidRPr="00080443" w:rsidRDefault="00F70A7F" w:rsidP="00F70A7F">
      <w:pPr>
        <w:pStyle w:val="ListBullet"/>
        <w:rPr>
          <w:rFonts w:cs="Arial"/>
        </w:rPr>
      </w:pPr>
      <w:r w:rsidRPr="00080443">
        <w:rPr>
          <w:rFonts w:cs="Arial"/>
        </w:rPr>
        <w:t>Form 4—Statutory declaration form for the purposes of section 4.9 of the allocation determination</w:t>
      </w:r>
    </w:p>
    <w:p w14:paraId="2D72A56A" w14:textId="77777777" w:rsidR="00F70A7F" w:rsidRPr="00080443" w:rsidRDefault="00F70A7F" w:rsidP="00F70A7F">
      <w:pPr>
        <w:pStyle w:val="ListBullet"/>
        <w:rPr>
          <w:rFonts w:cs="Arial"/>
        </w:rPr>
      </w:pPr>
      <w:r w:rsidRPr="00080443">
        <w:rPr>
          <w:rFonts w:cs="Arial"/>
        </w:rPr>
        <w:t>Form 5—Statutory declaration form for the purposes of section 4.12 of the allocation determination</w:t>
      </w:r>
    </w:p>
    <w:p w14:paraId="22408F01" w14:textId="77777777" w:rsidR="00F70A7F" w:rsidRPr="00080443" w:rsidRDefault="00F70A7F" w:rsidP="00F70A7F">
      <w:pPr>
        <w:pStyle w:val="ListBullet"/>
        <w:rPr>
          <w:rFonts w:cs="Arial"/>
        </w:rPr>
      </w:pPr>
      <w:r w:rsidRPr="00080443">
        <w:rPr>
          <w:rFonts w:cs="Arial"/>
        </w:rPr>
        <w:t>Form 6—Deed of financial security form</w:t>
      </w:r>
    </w:p>
    <w:p w14:paraId="21BAD562" w14:textId="77777777" w:rsidR="00F70A7F" w:rsidRPr="00080443" w:rsidRDefault="00F70A7F" w:rsidP="00F70A7F">
      <w:pPr>
        <w:pStyle w:val="ListBullet"/>
        <w:rPr>
          <w:rFonts w:cs="Arial"/>
        </w:rPr>
      </w:pPr>
      <w:r w:rsidRPr="00080443">
        <w:rPr>
          <w:rFonts w:cs="Arial"/>
        </w:rPr>
        <w:t>Form 7—Statement form for the purposes of section 6.3 of the allocation determination</w:t>
      </w:r>
    </w:p>
    <w:p w14:paraId="1798D709" w14:textId="77777777" w:rsidR="00F70A7F" w:rsidRPr="00080443" w:rsidRDefault="00F70A7F" w:rsidP="00F70A7F">
      <w:pPr>
        <w:pStyle w:val="ListBullet"/>
        <w:spacing w:after="240"/>
        <w:rPr>
          <w:rFonts w:cs="Arial"/>
        </w:rPr>
      </w:pPr>
      <w:r w:rsidRPr="00080443">
        <w:rPr>
          <w:rFonts w:cs="Arial"/>
        </w:rPr>
        <w:t>Form 8—Eligibility nomination form.</w:t>
      </w:r>
    </w:p>
    <w:p w14:paraId="5D7E4437" w14:textId="77777777" w:rsidR="00AC1244" w:rsidRPr="00080443" w:rsidRDefault="00AC1244" w:rsidP="004D411C">
      <w:pPr>
        <w:pStyle w:val="ListBullet"/>
        <w:spacing w:after="240"/>
        <w:rPr>
          <w:rFonts w:cs="Arial"/>
        </w:rPr>
      </w:pPr>
      <w:r w:rsidRPr="00080443">
        <w:rPr>
          <w:rFonts w:cs="Arial"/>
        </w:rPr>
        <w:t xml:space="preserve">Instructions on who needs to complete the forms, and when to do so, are provided in the step-by-step guide in Chapter 4 and at the start of each form. </w:t>
      </w:r>
    </w:p>
    <w:p w14:paraId="500BEAEA" w14:textId="77777777" w:rsidR="00F70A7F" w:rsidRPr="00080443" w:rsidRDefault="00DE6E35" w:rsidP="00F70A7F">
      <w:pPr>
        <w:rPr>
          <w:rFonts w:cs="Arial"/>
          <w:b/>
        </w:rPr>
      </w:pPr>
      <w:r w:rsidRPr="00080443">
        <w:rPr>
          <w:rFonts w:cs="Arial"/>
        </w:rPr>
        <w:t>Forms 1–</w:t>
      </w:r>
      <w:r w:rsidR="00F70A7F" w:rsidRPr="00080443">
        <w:rPr>
          <w:rFonts w:cs="Arial"/>
        </w:rPr>
        <w:t xml:space="preserve">7 are available in the </w:t>
      </w:r>
      <w:r w:rsidR="00F70A7F" w:rsidRPr="00080443">
        <w:rPr>
          <w:rFonts w:cs="Arial"/>
          <w:i/>
        </w:rPr>
        <w:t xml:space="preserve">Auction forms </w:t>
      </w:r>
      <w:r w:rsidR="00F70A7F" w:rsidRPr="00080443">
        <w:rPr>
          <w:rFonts w:cs="Arial"/>
        </w:rPr>
        <w:t>booklet</w:t>
      </w:r>
      <w:r w:rsidRPr="00080443">
        <w:rPr>
          <w:rFonts w:cs="Arial"/>
        </w:rPr>
        <w:t xml:space="preserve">, which you can download </w:t>
      </w:r>
      <w:hyperlink r:id="rId81" w:history="1">
        <w:r w:rsidRPr="00080443">
          <w:rPr>
            <w:rStyle w:val="Hyperlink"/>
            <w:rFonts w:cs="Arial"/>
          </w:rPr>
          <w:t>here</w:t>
        </w:r>
      </w:hyperlink>
      <w:r w:rsidR="00F70A7F" w:rsidRPr="00080443">
        <w:rPr>
          <w:rFonts w:cs="Arial"/>
        </w:rPr>
        <w:t xml:space="preserve">. </w:t>
      </w:r>
    </w:p>
    <w:p w14:paraId="743FF34A" w14:textId="77777777" w:rsidR="00F70A7F" w:rsidRPr="00080443" w:rsidRDefault="00F70A7F" w:rsidP="00F70A7F">
      <w:pPr>
        <w:rPr>
          <w:rFonts w:cs="Arial"/>
        </w:rPr>
      </w:pPr>
    </w:p>
    <w:p w14:paraId="54654762" w14:textId="77777777" w:rsidR="00F70A7F" w:rsidRPr="00080443" w:rsidRDefault="00F70A7F" w:rsidP="00F70A7F">
      <w:pPr>
        <w:rPr>
          <w:rFonts w:cs="Arial"/>
        </w:rPr>
      </w:pPr>
      <w:r w:rsidRPr="00080443">
        <w:rPr>
          <w:rFonts w:cs="Arial"/>
        </w:rPr>
        <w:t>Pursuant to subsection 4.6(4) of the allocation determination,</w:t>
      </w:r>
      <w:r w:rsidRPr="00080443">
        <w:rPr>
          <w:rFonts w:cs="Arial"/>
          <w:b/>
        </w:rPr>
        <w:t xml:space="preserve"> Form 8—Eligibility nomination form</w:t>
      </w:r>
      <w:r w:rsidR="003C5C37" w:rsidRPr="00080443">
        <w:rPr>
          <w:rFonts w:cs="Arial"/>
        </w:rPr>
        <w:t>,</w:t>
      </w:r>
      <w:r w:rsidRPr="00080443">
        <w:rPr>
          <w:rFonts w:cs="Arial"/>
        </w:rPr>
        <w:t xml:space="preserve"> discussed at 4.3.3</w:t>
      </w:r>
      <w:r w:rsidR="00DE6E35" w:rsidRPr="00080443">
        <w:rPr>
          <w:rFonts w:cs="Arial"/>
        </w:rPr>
        <w:t>,</w:t>
      </w:r>
      <w:r w:rsidRPr="00080443">
        <w:rPr>
          <w:rFonts w:cs="Arial"/>
        </w:rPr>
        <w:t xml:space="preserve"> will be published on the ACMA website no later than </w:t>
      </w:r>
      <w:r w:rsidR="007B56C6" w:rsidRPr="00080443">
        <w:rPr>
          <w:rFonts w:cs="Arial"/>
        </w:rPr>
        <w:t>7</w:t>
      </w:r>
      <w:r w:rsidR="005B4238" w:rsidRPr="00080443">
        <w:rPr>
          <w:rFonts w:cs="Arial"/>
        </w:rPr>
        <w:t xml:space="preserve">0 </w:t>
      </w:r>
      <w:r w:rsidRPr="00080443">
        <w:rPr>
          <w:rFonts w:cs="Arial"/>
        </w:rPr>
        <w:t>days after the auction is advertised.</w:t>
      </w:r>
    </w:p>
    <w:p w14:paraId="4C704AD9" w14:textId="77777777" w:rsidR="00F70A7F" w:rsidRPr="00080443" w:rsidRDefault="00F70A7F" w:rsidP="00F70A7F">
      <w:pPr>
        <w:rPr>
          <w:rFonts w:cs="Arial"/>
        </w:rPr>
      </w:pPr>
    </w:p>
    <w:p w14:paraId="0AF45548" w14:textId="77777777" w:rsidR="0091011B" w:rsidRPr="00080443" w:rsidRDefault="0091011B" w:rsidP="0091011B">
      <w:pPr>
        <w:pStyle w:val="Heading1"/>
        <w:numPr>
          <w:ilvl w:val="0"/>
          <w:numId w:val="0"/>
        </w:numPr>
        <w:ind w:left="432" w:hanging="432"/>
      </w:pPr>
      <w:bookmarkStart w:id="289" w:name="_Toc343780561"/>
      <w:r w:rsidRPr="00080443">
        <w:lastRenderedPageBreak/>
        <w:t>Glossary</w:t>
      </w:r>
      <w:bookmarkEnd w:id="288"/>
      <w:bookmarkEnd w:id="289"/>
    </w:p>
    <w:tbl>
      <w:tblPr>
        <w:tblW w:w="9645" w:type="dxa"/>
        <w:tblLayout w:type="fixed"/>
        <w:tblCellMar>
          <w:left w:w="0" w:type="dxa"/>
          <w:right w:w="0" w:type="dxa"/>
        </w:tblCellMar>
        <w:tblLook w:val="01E0" w:firstRow="1" w:lastRow="1" w:firstColumn="1" w:lastColumn="1" w:noHBand="0" w:noVBand="0"/>
      </w:tblPr>
      <w:tblGrid>
        <w:gridCol w:w="9645"/>
      </w:tblGrid>
      <w:tr w:rsidR="0091011B" w:rsidRPr="00080443" w14:paraId="55520FDA" w14:textId="77777777" w:rsidTr="0091011B">
        <w:trPr>
          <w:trHeight w:val="70"/>
        </w:trPr>
        <w:tc>
          <w:tcPr>
            <w:tcW w:w="9645" w:type="dxa"/>
            <w:tcBorders>
              <w:top w:val="single" w:sz="2" w:space="0" w:color="505050"/>
            </w:tcBorders>
            <w:shd w:val="clear" w:color="auto" w:fill="auto"/>
            <w:vAlign w:val="center"/>
          </w:tcPr>
          <w:p w14:paraId="5A785497" w14:textId="77777777" w:rsidR="0091011B" w:rsidRPr="00080443" w:rsidRDefault="0091011B" w:rsidP="0091011B">
            <w:pPr>
              <w:pStyle w:val="Caption"/>
              <w:rPr>
                <w:rFonts w:cs="Arial"/>
              </w:rPr>
            </w:pPr>
          </w:p>
        </w:tc>
      </w:tr>
      <w:tr w:rsidR="0091011B" w:rsidRPr="00080443" w14:paraId="7938FDF6" w14:textId="77777777" w:rsidTr="0091011B">
        <w:trPr>
          <w:trHeight w:val="1416"/>
        </w:trPr>
        <w:tc>
          <w:tcPr>
            <w:tcW w:w="9645" w:type="dxa"/>
            <w:shd w:val="clear" w:color="auto" w:fill="auto"/>
            <w:tcMar>
              <w:left w:w="28" w:type="dxa"/>
            </w:tcMar>
          </w:tcPr>
          <w:tbl>
            <w:tblPr>
              <w:tblStyle w:val="TableGrid"/>
              <w:tblW w:w="0" w:type="auto"/>
              <w:tblLayout w:type="fixed"/>
              <w:tblLook w:val="04A0" w:firstRow="1" w:lastRow="0" w:firstColumn="1" w:lastColumn="0" w:noHBand="0" w:noVBand="1"/>
            </w:tblPr>
            <w:tblGrid>
              <w:gridCol w:w="2698"/>
              <w:gridCol w:w="6767"/>
            </w:tblGrid>
            <w:tr w:rsidR="0091011B" w:rsidRPr="00080443" w14:paraId="47BC0383" w14:textId="77777777" w:rsidTr="0069119E">
              <w:tc>
                <w:tcPr>
                  <w:tcW w:w="2698" w:type="dxa"/>
                </w:tcPr>
                <w:p w14:paraId="483706B8" w14:textId="77777777" w:rsidR="0091011B" w:rsidRPr="00080443" w:rsidRDefault="0091011B" w:rsidP="0091011B">
                  <w:pPr>
                    <w:pStyle w:val="ListParagraph"/>
                    <w:spacing w:after="0"/>
                    <w:ind w:left="0"/>
                    <w:rPr>
                      <w:rFonts w:ascii="Arial" w:hAnsi="Arial" w:cs="Arial"/>
                      <w:sz w:val="20"/>
                      <w:szCs w:val="20"/>
                    </w:rPr>
                  </w:pPr>
                  <w:r w:rsidRPr="00080443">
                    <w:rPr>
                      <w:rFonts w:ascii="Arial" w:hAnsi="Arial" w:cs="Arial"/>
                      <w:sz w:val="20"/>
                      <w:szCs w:val="20"/>
                    </w:rPr>
                    <w:t>4G</w:t>
                  </w:r>
                </w:p>
              </w:tc>
              <w:tc>
                <w:tcPr>
                  <w:tcW w:w="6767" w:type="dxa"/>
                  <w:vAlign w:val="center"/>
                </w:tcPr>
                <w:p w14:paraId="0209A999"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Fourth generation mobile telephony technologies</w:t>
                  </w:r>
                </w:p>
              </w:tc>
            </w:tr>
            <w:tr w:rsidR="0091011B" w:rsidRPr="00080443" w14:paraId="6741E34B" w14:textId="77777777" w:rsidTr="0069119E">
              <w:tc>
                <w:tcPr>
                  <w:tcW w:w="2698" w:type="dxa"/>
                </w:tcPr>
                <w:p w14:paraId="12DF8386" w14:textId="77777777" w:rsidR="0091011B" w:rsidRPr="00080443" w:rsidRDefault="0091011B" w:rsidP="0091011B">
                  <w:pPr>
                    <w:pStyle w:val="ListParagraph"/>
                    <w:spacing w:after="0"/>
                    <w:ind w:left="0"/>
                    <w:rPr>
                      <w:rFonts w:ascii="Arial" w:hAnsi="Arial" w:cs="Arial"/>
                      <w:sz w:val="20"/>
                      <w:szCs w:val="20"/>
                    </w:rPr>
                  </w:pPr>
                  <w:r w:rsidRPr="00080443">
                    <w:rPr>
                      <w:rFonts w:ascii="Arial" w:hAnsi="Arial" w:cs="Arial"/>
                      <w:sz w:val="20"/>
                      <w:szCs w:val="20"/>
                    </w:rPr>
                    <w:t>700 MHz band</w:t>
                  </w:r>
                </w:p>
              </w:tc>
              <w:tc>
                <w:tcPr>
                  <w:tcW w:w="6767" w:type="dxa"/>
                  <w:vAlign w:val="center"/>
                </w:tcPr>
                <w:p w14:paraId="23C56860"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The frequency ranges 703–748 and 758–803 MHz</w:t>
                  </w:r>
                </w:p>
              </w:tc>
            </w:tr>
            <w:tr w:rsidR="0091011B" w:rsidRPr="00080443" w14:paraId="260790BE" w14:textId="77777777" w:rsidTr="0069119E">
              <w:tc>
                <w:tcPr>
                  <w:tcW w:w="2698" w:type="dxa"/>
                </w:tcPr>
                <w:p w14:paraId="65B9ABD4" w14:textId="77777777" w:rsidR="0091011B" w:rsidRPr="00080443" w:rsidRDefault="0091011B" w:rsidP="0091011B">
                  <w:pPr>
                    <w:pStyle w:val="ListParagraph"/>
                    <w:spacing w:after="0"/>
                    <w:ind w:left="0"/>
                    <w:rPr>
                      <w:rFonts w:ascii="Arial" w:hAnsi="Arial" w:cs="Arial"/>
                      <w:sz w:val="20"/>
                      <w:szCs w:val="20"/>
                    </w:rPr>
                  </w:pPr>
                  <w:r w:rsidRPr="00080443">
                    <w:rPr>
                      <w:rFonts w:ascii="Arial" w:hAnsi="Arial" w:cs="Arial"/>
                      <w:sz w:val="20"/>
                      <w:szCs w:val="20"/>
                    </w:rPr>
                    <w:t>2.5 GHz band</w:t>
                  </w:r>
                </w:p>
              </w:tc>
              <w:tc>
                <w:tcPr>
                  <w:tcW w:w="6767" w:type="dxa"/>
                  <w:vAlign w:val="center"/>
                </w:tcPr>
                <w:p w14:paraId="1F01E053"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The frequency ranges 2500–2570 and 2620–2690 MHz</w:t>
                  </w:r>
                </w:p>
              </w:tc>
            </w:tr>
            <w:tr w:rsidR="0091011B" w:rsidRPr="00080443" w14:paraId="3E06693B" w14:textId="77777777" w:rsidTr="0069119E">
              <w:tc>
                <w:tcPr>
                  <w:tcW w:w="2698" w:type="dxa"/>
                </w:tcPr>
                <w:p w14:paraId="0B489288" w14:textId="77777777" w:rsidR="0091011B" w:rsidRPr="00080443" w:rsidRDefault="0091011B" w:rsidP="0091011B">
                  <w:pPr>
                    <w:pStyle w:val="ListParagraph"/>
                    <w:spacing w:after="0"/>
                    <w:ind w:left="0"/>
                    <w:rPr>
                      <w:rFonts w:ascii="Arial" w:hAnsi="Arial" w:cs="Arial"/>
                      <w:sz w:val="20"/>
                      <w:szCs w:val="20"/>
                    </w:rPr>
                  </w:pPr>
                  <w:r w:rsidRPr="00080443">
                    <w:rPr>
                      <w:rFonts w:ascii="Arial" w:hAnsi="Arial" w:cs="Arial"/>
                      <w:sz w:val="20"/>
                      <w:szCs w:val="20"/>
                    </w:rPr>
                    <w:t>ACMA</w:t>
                  </w:r>
                </w:p>
              </w:tc>
              <w:tc>
                <w:tcPr>
                  <w:tcW w:w="6767" w:type="dxa"/>
                  <w:vAlign w:val="center"/>
                </w:tcPr>
                <w:p w14:paraId="7A2A2626"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Australian Communications and Media Authority</w:t>
                  </w:r>
                </w:p>
              </w:tc>
            </w:tr>
            <w:tr w:rsidR="0091011B" w:rsidRPr="00080443" w14:paraId="3D9C77E4" w14:textId="77777777" w:rsidTr="0069119E">
              <w:tc>
                <w:tcPr>
                  <w:tcW w:w="2698" w:type="dxa"/>
                </w:tcPr>
                <w:p w14:paraId="16FFC5CB" w14:textId="77777777" w:rsidR="0091011B" w:rsidRPr="00080443" w:rsidRDefault="0091011B" w:rsidP="0091011B">
                  <w:pPr>
                    <w:pStyle w:val="ListParagraph"/>
                    <w:spacing w:after="0"/>
                    <w:ind w:left="0"/>
                    <w:rPr>
                      <w:rFonts w:ascii="Arial" w:hAnsi="Arial" w:cs="Arial"/>
                      <w:sz w:val="20"/>
                      <w:szCs w:val="20"/>
                    </w:rPr>
                  </w:pPr>
                  <w:r w:rsidRPr="00080443">
                    <w:rPr>
                      <w:rFonts w:ascii="Arial" w:hAnsi="Arial" w:cs="Arial"/>
                      <w:sz w:val="20"/>
                      <w:szCs w:val="20"/>
                    </w:rPr>
                    <w:t>ACMA Act</w:t>
                  </w:r>
                </w:p>
              </w:tc>
              <w:tc>
                <w:tcPr>
                  <w:tcW w:w="6767" w:type="dxa"/>
                  <w:vAlign w:val="center"/>
                </w:tcPr>
                <w:p w14:paraId="6D53A98D" w14:textId="77777777" w:rsidR="0091011B" w:rsidRPr="00080443" w:rsidRDefault="003B330C" w:rsidP="0069119E">
                  <w:pPr>
                    <w:pStyle w:val="ListParagraph"/>
                    <w:spacing w:after="40"/>
                    <w:ind w:left="0"/>
                    <w:rPr>
                      <w:rFonts w:ascii="Arial" w:hAnsi="Arial" w:cs="Arial"/>
                      <w:i/>
                      <w:sz w:val="20"/>
                      <w:szCs w:val="20"/>
                    </w:rPr>
                  </w:pPr>
                  <w:hyperlink r:id="rId82" w:history="1">
                    <w:r w:rsidR="0091011B" w:rsidRPr="00080443">
                      <w:rPr>
                        <w:rStyle w:val="Hyperlink"/>
                        <w:rFonts w:ascii="Arial" w:hAnsi="Arial" w:cs="Arial"/>
                        <w:i/>
                        <w:sz w:val="20"/>
                        <w:szCs w:val="20"/>
                      </w:rPr>
                      <w:t>Australian Communications and Media Authority Act 2005</w:t>
                    </w:r>
                  </w:hyperlink>
                </w:p>
              </w:tc>
            </w:tr>
            <w:tr w:rsidR="0091011B" w:rsidRPr="00080443" w14:paraId="2989A649" w14:textId="77777777" w:rsidTr="0069119E">
              <w:tc>
                <w:tcPr>
                  <w:tcW w:w="2698" w:type="dxa"/>
                </w:tcPr>
                <w:p w14:paraId="36B02E6F" w14:textId="77777777" w:rsidR="0091011B" w:rsidRPr="00080443" w:rsidRDefault="0091011B" w:rsidP="0091011B">
                  <w:pPr>
                    <w:pStyle w:val="ListParagraph"/>
                    <w:spacing w:after="0"/>
                    <w:ind w:left="0"/>
                    <w:rPr>
                      <w:rFonts w:ascii="Arial" w:hAnsi="Arial" w:cs="Arial"/>
                      <w:sz w:val="20"/>
                      <w:szCs w:val="20"/>
                    </w:rPr>
                  </w:pPr>
                  <w:r w:rsidRPr="00080443">
                    <w:rPr>
                      <w:rFonts w:ascii="Arial" w:hAnsi="Arial" w:cs="Arial"/>
                      <w:sz w:val="20"/>
                      <w:szCs w:val="20"/>
                    </w:rPr>
                    <w:t>Act</w:t>
                  </w:r>
                </w:p>
              </w:tc>
              <w:tc>
                <w:tcPr>
                  <w:tcW w:w="6767" w:type="dxa"/>
                  <w:vAlign w:val="center"/>
                </w:tcPr>
                <w:p w14:paraId="1FF2328A" w14:textId="77777777" w:rsidR="0091011B" w:rsidRPr="00080443" w:rsidRDefault="003B330C" w:rsidP="0069119E">
                  <w:pPr>
                    <w:pStyle w:val="ListParagraph"/>
                    <w:spacing w:after="40"/>
                    <w:ind w:left="0"/>
                    <w:rPr>
                      <w:rFonts w:ascii="Arial" w:hAnsi="Arial" w:cs="Arial"/>
                      <w:i/>
                      <w:sz w:val="20"/>
                      <w:szCs w:val="20"/>
                    </w:rPr>
                  </w:pPr>
                  <w:hyperlink r:id="rId83" w:history="1">
                    <w:r w:rsidR="0091011B" w:rsidRPr="00080443">
                      <w:rPr>
                        <w:rStyle w:val="Hyperlink"/>
                        <w:rFonts w:ascii="Arial" w:hAnsi="Arial" w:cs="Arial"/>
                        <w:i/>
                        <w:sz w:val="20"/>
                        <w:szCs w:val="20"/>
                      </w:rPr>
                      <w:t>Radiocommunications Act 1992</w:t>
                    </w:r>
                  </w:hyperlink>
                </w:p>
              </w:tc>
            </w:tr>
            <w:tr w:rsidR="0091011B" w:rsidRPr="00080443" w14:paraId="12A25DD6" w14:textId="77777777" w:rsidTr="0069119E">
              <w:tc>
                <w:tcPr>
                  <w:tcW w:w="2698" w:type="dxa"/>
                </w:tcPr>
                <w:p w14:paraId="20BD034E" w14:textId="77777777" w:rsidR="0091011B" w:rsidRPr="00080443" w:rsidRDefault="0091011B" w:rsidP="0091011B">
                  <w:pPr>
                    <w:pStyle w:val="ListParagraph"/>
                    <w:tabs>
                      <w:tab w:val="center" w:pos="1241"/>
                    </w:tabs>
                    <w:ind w:left="0"/>
                    <w:rPr>
                      <w:rFonts w:ascii="Arial" w:hAnsi="Arial" w:cs="Arial"/>
                      <w:sz w:val="20"/>
                      <w:szCs w:val="20"/>
                    </w:rPr>
                  </w:pPr>
                  <w:r w:rsidRPr="00080443">
                    <w:rPr>
                      <w:rFonts w:ascii="Arial" w:hAnsi="Arial" w:cs="Arial"/>
                      <w:sz w:val="20"/>
                      <w:szCs w:val="20"/>
                    </w:rPr>
                    <w:t>AIP</w:t>
                  </w:r>
                </w:p>
              </w:tc>
              <w:tc>
                <w:tcPr>
                  <w:tcW w:w="6767" w:type="dxa"/>
                  <w:vAlign w:val="center"/>
                </w:tcPr>
                <w:p w14:paraId="0E349770"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 xml:space="preserve">Application information package </w:t>
                  </w:r>
                  <w:r w:rsidR="001C3459" w:rsidRPr="00080443">
                    <w:rPr>
                      <w:rFonts w:ascii="Arial" w:hAnsi="Arial" w:cs="Arial"/>
                      <w:sz w:val="20"/>
                      <w:szCs w:val="20"/>
                    </w:rPr>
                    <w:t>(see 1.1)</w:t>
                  </w:r>
                </w:p>
              </w:tc>
            </w:tr>
            <w:tr w:rsidR="0091011B" w:rsidRPr="00080443" w14:paraId="7C97A19D" w14:textId="77777777" w:rsidTr="0069119E">
              <w:tc>
                <w:tcPr>
                  <w:tcW w:w="2698" w:type="dxa"/>
                </w:tcPr>
                <w:p w14:paraId="79F68C6B"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allocation determination</w:t>
                  </w:r>
                </w:p>
              </w:tc>
              <w:tc>
                <w:tcPr>
                  <w:tcW w:w="6767" w:type="dxa"/>
                  <w:vAlign w:val="center"/>
                </w:tcPr>
                <w:p w14:paraId="0275CF20"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 xml:space="preserve">Radiocommunications (Spectrum Licence Allocation — Combinatorial Clock Auction) Determination 2012, at Attachment </w:t>
                  </w:r>
                  <w:r w:rsidR="005D4EE4" w:rsidRPr="00080443">
                    <w:rPr>
                      <w:rFonts w:ascii="Arial" w:hAnsi="Arial" w:cs="Arial"/>
                      <w:sz w:val="20"/>
                      <w:szCs w:val="20"/>
                    </w:rPr>
                    <w:t>A</w:t>
                  </w:r>
                </w:p>
              </w:tc>
            </w:tr>
            <w:tr w:rsidR="0091011B" w:rsidRPr="00080443" w14:paraId="799671AA" w14:textId="77777777" w:rsidTr="0069119E">
              <w:tc>
                <w:tcPr>
                  <w:tcW w:w="2698" w:type="dxa"/>
                </w:tcPr>
                <w:p w14:paraId="601FFD92"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allocation limits</w:t>
                  </w:r>
                </w:p>
              </w:tc>
              <w:tc>
                <w:tcPr>
                  <w:tcW w:w="6767" w:type="dxa"/>
                  <w:vAlign w:val="center"/>
                </w:tcPr>
                <w:p w14:paraId="464FAC6B"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Limits on the aggregate amount of spectrum that can be used by a bidder. The allocation limits have the effect of capping the total amount of spectrum that a single bidder can acquire in the auction (see 3.2.5)</w:t>
                  </w:r>
                </w:p>
              </w:tc>
            </w:tr>
            <w:tr w:rsidR="0091011B" w:rsidRPr="00080443" w14:paraId="212E1D88" w14:textId="77777777" w:rsidTr="0069119E">
              <w:tc>
                <w:tcPr>
                  <w:tcW w:w="2698" w:type="dxa"/>
                </w:tcPr>
                <w:p w14:paraId="1B937D12"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auction period</w:t>
                  </w:r>
                </w:p>
              </w:tc>
              <w:tc>
                <w:tcPr>
                  <w:tcW w:w="6767" w:type="dxa"/>
                  <w:vAlign w:val="center"/>
                </w:tcPr>
                <w:p w14:paraId="0431EE30"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Defined in subsection 1.4(1) of the allocation determination as:</w:t>
                  </w:r>
                </w:p>
                <w:p w14:paraId="0A8B6854"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18"/>
                      <w:szCs w:val="18"/>
                    </w:rPr>
                    <w:t>… the period from the eligibility deadline to the completion of the assignment stage under subsection 5.6(</w:t>
                  </w:r>
                  <w:r w:rsidR="00C063CE" w:rsidRPr="00080443">
                    <w:rPr>
                      <w:rFonts w:ascii="Arial" w:hAnsi="Arial" w:cs="Arial"/>
                      <w:sz w:val="18"/>
                      <w:szCs w:val="18"/>
                    </w:rPr>
                    <w:t>3</w:t>
                  </w:r>
                  <w:r w:rsidRPr="00080443">
                    <w:rPr>
                      <w:rFonts w:ascii="Arial" w:hAnsi="Arial" w:cs="Arial"/>
                      <w:sz w:val="18"/>
                      <w:szCs w:val="18"/>
                    </w:rPr>
                    <w:t>) [of the allocation determination]</w:t>
                  </w:r>
                </w:p>
              </w:tc>
            </w:tr>
            <w:tr w:rsidR="0091011B" w:rsidRPr="00080443" w14:paraId="326444CA" w14:textId="77777777" w:rsidTr="0069119E">
              <w:tc>
                <w:tcPr>
                  <w:tcW w:w="2698" w:type="dxa"/>
                </w:tcPr>
                <w:p w14:paraId="012FBB09"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Broadcasting Services Act</w:t>
                  </w:r>
                </w:p>
              </w:tc>
              <w:tc>
                <w:tcPr>
                  <w:tcW w:w="6767" w:type="dxa"/>
                  <w:vAlign w:val="center"/>
                </w:tcPr>
                <w:p w14:paraId="1F26E678" w14:textId="77777777" w:rsidR="0091011B" w:rsidRPr="00080443" w:rsidRDefault="003B330C" w:rsidP="0069119E">
                  <w:pPr>
                    <w:pStyle w:val="ListParagraph"/>
                    <w:spacing w:after="40"/>
                    <w:ind w:left="0"/>
                    <w:rPr>
                      <w:rFonts w:ascii="Arial" w:hAnsi="Arial" w:cs="Arial"/>
                      <w:i/>
                      <w:sz w:val="20"/>
                      <w:szCs w:val="20"/>
                    </w:rPr>
                  </w:pPr>
                  <w:hyperlink r:id="rId84" w:history="1">
                    <w:r w:rsidR="0091011B" w:rsidRPr="00080443">
                      <w:rPr>
                        <w:rStyle w:val="Hyperlink"/>
                        <w:rFonts w:ascii="Arial" w:hAnsi="Arial" w:cs="Arial"/>
                        <w:i/>
                        <w:sz w:val="20"/>
                        <w:szCs w:val="20"/>
                      </w:rPr>
                      <w:t>Broadcasting Services Act 1992</w:t>
                    </w:r>
                  </w:hyperlink>
                </w:p>
              </w:tc>
            </w:tr>
            <w:tr w:rsidR="0091011B" w:rsidRPr="00080443" w14:paraId="429B4004" w14:textId="77777777" w:rsidTr="0069119E">
              <w:tc>
                <w:tcPr>
                  <w:tcW w:w="2698" w:type="dxa"/>
                </w:tcPr>
                <w:p w14:paraId="4BAFCB64"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CCA</w:t>
                  </w:r>
                </w:p>
              </w:tc>
              <w:tc>
                <w:tcPr>
                  <w:tcW w:w="6767" w:type="dxa"/>
                  <w:vAlign w:val="center"/>
                </w:tcPr>
                <w:p w14:paraId="321AA0E5" w14:textId="77777777" w:rsidR="0091011B" w:rsidRPr="00080443" w:rsidRDefault="00AB76C9" w:rsidP="0069119E">
                  <w:pPr>
                    <w:pStyle w:val="ListParagraph"/>
                    <w:spacing w:after="40"/>
                    <w:ind w:left="0"/>
                    <w:rPr>
                      <w:rFonts w:ascii="Arial" w:hAnsi="Arial" w:cs="Arial"/>
                      <w:sz w:val="20"/>
                      <w:szCs w:val="20"/>
                    </w:rPr>
                  </w:pPr>
                  <w:r w:rsidRPr="00080443">
                    <w:rPr>
                      <w:rFonts w:ascii="Arial" w:hAnsi="Arial" w:cs="Arial"/>
                      <w:sz w:val="20"/>
                      <w:szCs w:val="20"/>
                    </w:rPr>
                    <w:t>C</w:t>
                  </w:r>
                  <w:r w:rsidR="0091011B" w:rsidRPr="00080443">
                    <w:rPr>
                      <w:rFonts w:ascii="Arial" w:hAnsi="Arial" w:cs="Arial"/>
                      <w:sz w:val="20"/>
                      <w:szCs w:val="20"/>
                    </w:rPr>
                    <w:t>ombinatorial clock auction</w:t>
                  </w:r>
                  <w:r w:rsidR="00F113D1" w:rsidRPr="00080443">
                    <w:rPr>
                      <w:rFonts w:ascii="Arial" w:hAnsi="Arial" w:cs="Arial"/>
                      <w:sz w:val="20"/>
                      <w:szCs w:val="20"/>
                    </w:rPr>
                    <w:t>—</w:t>
                  </w:r>
                  <w:r w:rsidRPr="00080443">
                    <w:rPr>
                      <w:rFonts w:ascii="Arial" w:hAnsi="Arial" w:cs="Arial"/>
                      <w:sz w:val="20"/>
                      <w:szCs w:val="20"/>
                    </w:rPr>
                    <w:t>the auction format being employed for the digital dividend auction</w:t>
                  </w:r>
                  <w:r w:rsidR="001C3459" w:rsidRPr="00080443">
                    <w:rPr>
                      <w:rFonts w:ascii="Arial" w:hAnsi="Arial" w:cs="Arial"/>
                      <w:sz w:val="20"/>
                      <w:szCs w:val="20"/>
                    </w:rPr>
                    <w:t xml:space="preserve"> (see 3.1)</w:t>
                  </w:r>
                </w:p>
              </w:tc>
            </w:tr>
            <w:tr w:rsidR="0091011B" w:rsidRPr="00080443" w14:paraId="4899E4F3" w14:textId="77777777" w:rsidTr="0069119E">
              <w:tc>
                <w:tcPr>
                  <w:tcW w:w="2698" w:type="dxa"/>
                </w:tcPr>
                <w:p w14:paraId="58F3B696"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Competition and Consumer Act</w:t>
                  </w:r>
                </w:p>
              </w:tc>
              <w:tc>
                <w:tcPr>
                  <w:tcW w:w="6767" w:type="dxa"/>
                  <w:vAlign w:val="center"/>
                </w:tcPr>
                <w:p w14:paraId="18B0903B" w14:textId="77777777" w:rsidR="0091011B" w:rsidRPr="00080443" w:rsidRDefault="003B330C" w:rsidP="0069119E">
                  <w:pPr>
                    <w:pStyle w:val="ListParagraph"/>
                    <w:spacing w:after="40"/>
                    <w:ind w:left="0"/>
                    <w:rPr>
                      <w:rFonts w:ascii="Arial" w:hAnsi="Arial" w:cs="Arial"/>
                      <w:i/>
                      <w:sz w:val="20"/>
                      <w:szCs w:val="20"/>
                    </w:rPr>
                  </w:pPr>
                  <w:hyperlink r:id="rId85" w:history="1">
                    <w:r w:rsidR="0091011B" w:rsidRPr="00080443">
                      <w:rPr>
                        <w:rStyle w:val="Hyperlink"/>
                        <w:rFonts w:ascii="Arial" w:hAnsi="Arial" w:cs="Arial"/>
                        <w:i/>
                        <w:sz w:val="20"/>
                        <w:szCs w:val="20"/>
                      </w:rPr>
                      <w:t>Competition and Consumer Act 2010</w:t>
                    </w:r>
                  </w:hyperlink>
                </w:p>
              </w:tc>
            </w:tr>
            <w:tr w:rsidR="0091011B" w:rsidRPr="00080443" w14:paraId="08318553" w14:textId="77777777" w:rsidTr="0069119E">
              <w:tc>
                <w:tcPr>
                  <w:tcW w:w="2698" w:type="dxa"/>
                </w:tcPr>
                <w:p w14:paraId="52F11CFC"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DBCDE</w:t>
                  </w:r>
                </w:p>
              </w:tc>
              <w:tc>
                <w:tcPr>
                  <w:tcW w:w="6767" w:type="dxa"/>
                  <w:vAlign w:val="center"/>
                </w:tcPr>
                <w:p w14:paraId="06F1E02B"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Department of Broadband, Communications and the Digital Economy</w:t>
                  </w:r>
                </w:p>
              </w:tc>
            </w:tr>
            <w:tr w:rsidR="0091011B" w:rsidRPr="00080443" w14:paraId="18A04DB3" w14:textId="77777777" w:rsidTr="0069119E">
              <w:tc>
                <w:tcPr>
                  <w:tcW w:w="2698" w:type="dxa"/>
                </w:tcPr>
                <w:p w14:paraId="6ED4815D"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DCP</w:t>
                  </w:r>
                </w:p>
              </w:tc>
              <w:tc>
                <w:tcPr>
                  <w:tcW w:w="6767" w:type="dxa"/>
                  <w:vAlign w:val="center"/>
                </w:tcPr>
                <w:p w14:paraId="6973C02C"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Digital channel plan</w:t>
                  </w:r>
                  <w:r w:rsidR="001C3459" w:rsidRPr="00080443">
                    <w:rPr>
                      <w:rFonts w:ascii="Arial" w:hAnsi="Arial" w:cs="Arial"/>
                      <w:sz w:val="20"/>
                      <w:szCs w:val="20"/>
                    </w:rPr>
                    <w:t xml:space="preserve"> (see 1.2.5)</w:t>
                  </w:r>
                </w:p>
              </w:tc>
            </w:tr>
            <w:tr w:rsidR="0091011B" w:rsidRPr="00080443" w14:paraId="38089827" w14:textId="77777777" w:rsidTr="0069119E">
              <w:tc>
                <w:tcPr>
                  <w:tcW w:w="2698" w:type="dxa"/>
                </w:tcPr>
                <w:p w14:paraId="58D18D37"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HCIS</w:t>
                  </w:r>
                </w:p>
              </w:tc>
              <w:tc>
                <w:tcPr>
                  <w:tcW w:w="6767" w:type="dxa"/>
                  <w:vAlign w:val="center"/>
                </w:tcPr>
                <w:p w14:paraId="7A2351DE"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Hierarchical cell identification scheme</w:t>
                  </w:r>
                  <w:r w:rsidR="001C3459" w:rsidRPr="00080443">
                    <w:rPr>
                      <w:rFonts w:ascii="Arial" w:hAnsi="Arial" w:cs="Arial"/>
                      <w:sz w:val="20"/>
                      <w:szCs w:val="20"/>
                    </w:rPr>
                    <w:t xml:space="preserve"> (see 2.2.1 and 2.2.2)</w:t>
                  </w:r>
                </w:p>
              </w:tc>
            </w:tr>
            <w:tr w:rsidR="0091011B" w:rsidRPr="00080443" w14:paraId="15BBA830" w14:textId="77777777" w:rsidTr="0069119E">
              <w:tc>
                <w:tcPr>
                  <w:tcW w:w="2698" w:type="dxa"/>
                </w:tcPr>
                <w:p w14:paraId="3CC1D63A"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lot</w:t>
                  </w:r>
                </w:p>
              </w:tc>
              <w:tc>
                <w:tcPr>
                  <w:tcW w:w="6767" w:type="dxa"/>
                  <w:vAlign w:val="center"/>
                </w:tcPr>
                <w:p w14:paraId="7344428A"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Defined in subsection 1.5(1) of the allocation determination as:</w:t>
                  </w:r>
                </w:p>
                <w:p w14:paraId="1CB98F50"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18"/>
                      <w:szCs w:val="18"/>
                    </w:rPr>
                    <w:t>…</w:t>
                  </w:r>
                  <w:r w:rsidR="00666EF0" w:rsidRPr="00080443">
                    <w:rPr>
                      <w:rFonts w:ascii="Arial" w:hAnsi="Arial" w:cs="Arial"/>
                      <w:sz w:val="18"/>
                      <w:szCs w:val="18"/>
                    </w:rPr>
                    <w:t xml:space="preserve"> </w:t>
                  </w:r>
                  <w:r w:rsidRPr="00080443">
                    <w:rPr>
                      <w:rFonts w:ascii="Arial" w:hAnsi="Arial" w:cs="Arial"/>
                      <w:sz w:val="18"/>
                      <w:szCs w:val="18"/>
                    </w:rPr>
                    <w:t>a unit of a product that is offered in the auction</w:t>
                  </w:r>
                </w:p>
              </w:tc>
            </w:tr>
            <w:tr w:rsidR="0091011B" w:rsidRPr="00080443" w14:paraId="02BBE7F7" w14:textId="77777777" w:rsidTr="0069119E">
              <w:trPr>
                <w:trHeight w:val="1315"/>
              </w:trPr>
              <w:tc>
                <w:tcPr>
                  <w:tcW w:w="2698" w:type="dxa"/>
                </w:tcPr>
                <w:p w14:paraId="5B2FEEC9"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marketing plan</w:t>
                  </w:r>
                </w:p>
              </w:tc>
              <w:tc>
                <w:tcPr>
                  <w:tcW w:w="6767" w:type="dxa"/>
                  <w:vAlign w:val="center"/>
                </w:tcPr>
                <w:p w14:paraId="58E87B72"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 xml:space="preserve">For the 700 MHz band: Radiocommunications Spectrum Marketing Plan (700 MHz Band) 2012, at Attachment </w:t>
                  </w:r>
                  <w:r w:rsidR="005D4EE4" w:rsidRPr="00080443">
                    <w:rPr>
                      <w:rFonts w:ascii="Arial" w:hAnsi="Arial" w:cs="Arial"/>
                      <w:sz w:val="20"/>
                      <w:szCs w:val="20"/>
                    </w:rPr>
                    <w:t>B</w:t>
                  </w:r>
                </w:p>
                <w:p w14:paraId="69D4A9DD" w14:textId="77777777" w:rsidR="0091011B" w:rsidRPr="00080443" w:rsidRDefault="0091011B" w:rsidP="0069119E">
                  <w:pPr>
                    <w:pStyle w:val="ListParagraph"/>
                    <w:spacing w:after="40"/>
                    <w:ind w:left="0"/>
                    <w:rPr>
                      <w:rFonts w:ascii="Arial" w:hAnsi="Arial" w:cs="Arial"/>
                      <w:sz w:val="20"/>
                      <w:szCs w:val="20"/>
                    </w:rPr>
                  </w:pPr>
                </w:p>
                <w:p w14:paraId="1E85813E"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 xml:space="preserve">For the 2.5 GHz band: Radiocommunications Spectrum Marketing Plan (2.5 GHz Band) 2012, at Attachment </w:t>
                  </w:r>
                  <w:r w:rsidR="005D4EE4" w:rsidRPr="00080443">
                    <w:rPr>
                      <w:rFonts w:ascii="Arial" w:hAnsi="Arial" w:cs="Arial"/>
                      <w:sz w:val="20"/>
                      <w:szCs w:val="20"/>
                    </w:rPr>
                    <w:t>F</w:t>
                  </w:r>
                </w:p>
              </w:tc>
            </w:tr>
            <w:tr w:rsidR="0091011B" w:rsidRPr="00080443" w14:paraId="4EF5FCB3" w14:textId="77777777" w:rsidTr="0069119E">
              <w:tc>
                <w:tcPr>
                  <w:tcW w:w="2698" w:type="dxa"/>
                </w:tcPr>
                <w:p w14:paraId="7DBEAA4C"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package</w:t>
                  </w:r>
                </w:p>
              </w:tc>
              <w:tc>
                <w:tcPr>
                  <w:tcW w:w="6767" w:type="dxa"/>
                  <w:vAlign w:val="center"/>
                </w:tcPr>
                <w:p w14:paraId="16980EF7"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Defined in subsection 1.4(1) of the allocation determination as:</w:t>
                  </w:r>
                </w:p>
                <w:p w14:paraId="6282CCC1"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18"/>
                      <w:szCs w:val="18"/>
                    </w:rPr>
                    <w:t>…</w:t>
                  </w:r>
                  <w:r w:rsidR="00DE6E35" w:rsidRPr="00080443">
                    <w:rPr>
                      <w:rFonts w:ascii="Arial" w:hAnsi="Arial" w:cs="Arial"/>
                      <w:sz w:val="18"/>
                      <w:szCs w:val="18"/>
                    </w:rPr>
                    <w:t xml:space="preserve"> </w:t>
                  </w:r>
                  <w:r w:rsidRPr="00080443">
                    <w:rPr>
                      <w:rFonts w:ascii="Arial" w:hAnsi="Arial" w:cs="Arial"/>
                      <w:sz w:val="18"/>
                      <w:szCs w:val="18"/>
                    </w:rPr>
                    <w:t>in relation to a bid, the group of l</w:t>
                  </w:r>
                  <w:r w:rsidR="00964723" w:rsidRPr="00080443">
                    <w:rPr>
                      <w:rFonts w:ascii="Arial" w:hAnsi="Arial" w:cs="Arial"/>
                      <w:sz w:val="18"/>
                      <w:szCs w:val="18"/>
                    </w:rPr>
                    <w:t>o</w:t>
                  </w:r>
                  <w:r w:rsidRPr="00080443">
                    <w:rPr>
                      <w:rFonts w:ascii="Arial" w:hAnsi="Arial" w:cs="Arial"/>
                      <w:sz w:val="18"/>
                      <w:szCs w:val="18"/>
                    </w:rPr>
                    <w:t>ts that is the subject of the bid.</w:t>
                  </w:r>
                </w:p>
              </w:tc>
            </w:tr>
            <w:tr w:rsidR="0091011B" w:rsidRPr="00080443" w14:paraId="5BC749B5" w14:textId="77777777" w:rsidTr="0069119E">
              <w:tc>
                <w:tcPr>
                  <w:tcW w:w="2698" w:type="dxa"/>
                </w:tcPr>
                <w:p w14:paraId="4DEC5125"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product</w:t>
                  </w:r>
                </w:p>
              </w:tc>
              <w:tc>
                <w:tcPr>
                  <w:tcW w:w="6767" w:type="dxa"/>
                  <w:vAlign w:val="center"/>
                </w:tcPr>
                <w:p w14:paraId="7DF1C46A"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Defined in subsection 1.5(1) of the allocation determination as:</w:t>
                  </w:r>
                </w:p>
                <w:p w14:paraId="3F091DC1"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18"/>
                      <w:szCs w:val="18"/>
                    </w:rPr>
                    <w:t>…</w:t>
                  </w:r>
                  <w:r w:rsidR="00666EF0" w:rsidRPr="00080443">
                    <w:rPr>
                      <w:rFonts w:ascii="Arial" w:hAnsi="Arial" w:cs="Arial"/>
                      <w:sz w:val="18"/>
                      <w:szCs w:val="18"/>
                    </w:rPr>
                    <w:t xml:space="preserve"> </w:t>
                  </w:r>
                  <w:r w:rsidRPr="00080443">
                    <w:rPr>
                      <w:rFonts w:ascii="Arial" w:hAnsi="Arial" w:cs="Arial"/>
                      <w:sz w:val="18"/>
                      <w:szCs w:val="18"/>
                    </w:rPr>
                    <w:t>a part of the spectrum identified as a product in one of the marketing plans, characterised by frequency ranges and a geographic region</w:t>
                  </w:r>
                </w:p>
              </w:tc>
            </w:tr>
            <w:tr w:rsidR="0091011B" w:rsidRPr="00080443" w14:paraId="29BAC63C" w14:textId="77777777" w:rsidTr="0069119E">
              <w:tc>
                <w:tcPr>
                  <w:tcW w:w="2698" w:type="dxa"/>
                </w:tcPr>
                <w:p w14:paraId="0763815E" w14:textId="77777777" w:rsidR="0091011B" w:rsidRPr="00080443" w:rsidRDefault="0091011B" w:rsidP="0091011B">
                  <w:pPr>
                    <w:pStyle w:val="ListParagraph"/>
                    <w:ind w:left="0"/>
                    <w:rPr>
                      <w:rFonts w:ascii="Arial" w:hAnsi="Arial" w:cs="Arial"/>
                      <w:sz w:val="20"/>
                      <w:szCs w:val="20"/>
                      <w:highlight w:val="yellow"/>
                    </w:rPr>
                  </w:pPr>
                  <w:r w:rsidRPr="00080443">
                    <w:rPr>
                      <w:rFonts w:ascii="Arial" w:hAnsi="Arial" w:cs="Arial"/>
                      <w:sz w:val="20"/>
                      <w:szCs w:val="20"/>
                    </w:rPr>
                    <w:t>radiocommunications advisory guidelines</w:t>
                  </w:r>
                </w:p>
              </w:tc>
              <w:tc>
                <w:tcPr>
                  <w:tcW w:w="6767" w:type="dxa"/>
                  <w:vAlign w:val="center"/>
                </w:tcPr>
                <w:p w14:paraId="0F66BA1C"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For the 700 MHz band:</w:t>
                  </w:r>
                </w:p>
                <w:p w14:paraId="72FE782B" w14:textId="77777777" w:rsidR="0091011B" w:rsidRPr="00080443" w:rsidRDefault="0091011B" w:rsidP="0069119E">
                  <w:pPr>
                    <w:pStyle w:val="ListBullet"/>
                    <w:spacing w:after="40"/>
                    <w:rPr>
                      <w:rFonts w:cs="Arial"/>
                    </w:rPr>
                  </w:pPr>
                  <w:r w:rsidRPr="00080443">
                    <w:rPr>
                      <w:rFonts w:cs="Arial"/>
                    </w:rPr>
                    <w:t xml:space="preserve">Radiocommunications Advisory Guidelines (Managing Interference from Transmitters – 700 MHz Band) 2012, at Attachment </w:t>
                  </w:r>
                  <w:r w:rsidR="005D4EE4" w:rsidRPr="00080443">
                    <w:rPr>
                      <w:rFonts w:cs="Arial"/>
                    </w:rPr>
                    <w:t>D</w:t>
                  </w:r>
                </w:p>
                <w:p w14:paraId="27550C13" w14:textId="77777777" w:rsidR="0091011B" w:rsidRPr="00080443" w:rsidRDefault="0091011B" w:rsidP="004D411C">
                  <w:pPr>
                    <w:pStyle w:val="ListBullet"/>
                    <w:spacing w:after="120"/>
                    <w:rPr>
                      <w:rFonts w:cs="Arial"/>
                    </w:rPr>
                  </w:pPr>
                  <w:r w:rsidRPr="00080443">
                    <w:rPr>
                      <w:rFonts w:cs="Arial"/>
                    </w:rPr>
                    <w:t xml:space="preserve">Radiocommunications Advisory Guidelines (Managing Interference to Receivers – 700 MHz Band) 2012, at Attachment </w:t>
                  </w:r>
                  <w:r w:rsidR="005D4EE4" w:rsidRPr="00080443">
                    <w:rPr>
                      <w:rFonts w:cs="Arial"/>
                    </w:rPr>
                    <w:t>E</w:t>
                  </w:r>
                </w:p>
                <w:p w14:paraId="04BCF186"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For the 2.5 GHz band:</w:t>
                  </w:r>
                </w:p>
                <w:p w14:paraId="5F8A5321" w14:textId="77777777" w:rsidR="0091011B" w:rsidRPr="00080443" w:rsidRDefault="0091011B" w:rsidP="0069119E">
                  <w:pPr>
                    <w:pStyle w:val="ListBullet"/>
                    <w:spacing w:after="40"/>
                    <w:rPr>
                      <w:rFonts w:cs="Arial"/>
                    </w:rPr>
                  </w:pPr>
                  <w:r w:rsidRPr="00080443">
                    <w:rPr>
                      <w:rFonts w:cs="Arial"/>
                    </w:rPr>
                    <w:t xml:space="preserve">Radiocommunications Advisory Guidelines (Managing Interference from Transmitters – 2.5 GHz Band) 2012, at Attachment </w:t>
                  </w:r>
                  <w:r w:rsidR="005D4EE4" w:rsidRPr="00080443">
                    <w:rPr>
                      <w:rFonts w:cs="Arial"/>
                    </w:rPr>
                    <w:t>H</w:t>
                  </w:r>
                </w:p>
                <w:p w14:paraId="58A414B2" w14:textId="77777777" w:rsidR="0091011B" w:rsidRPr="00080443" w:rsidRDefault="0091011B" w:rsidP="0069119E">
                  <w:pPr>
                    <w:pStyle w:val="ListBullet"/>
                    <w:spacing w:after="40"/>
                    <w:rPr>
                      <w:rFonts w:cs="Arial"/>
                    </w:rPr>
                  </w:pPr>
                  <w:r w:rsidRPr="00080443">
                    <w:rPr>
                      <w:rFonts w:cs="Arial"/>
                    </w:rPr>
                    <w:t xml:space="preserve">Radiocommunications Advisory Guidelines (Managing Interference to Receivers – 2.5 GHz Band) 2012, at Attachment </w:t>
                  </w:r>
                  <w:r w:rsidR="005D4EE4" w:rsidRPr="00080443">
                    <w:rPr>
                      <w:rFonts w:cs="Arial"/>
                    </w:rPr>
                    <w:t>I</w:t>
                  </w:r>
                </w:p>
              </w:tc>
            </w:tr>
            <w:tr w:rsidR="0091011B" w:rsidRPr="00080443" w14:paraId="081D94FC" w14:textId="77777777" w:rsidTr="0069119E">
              <w:tc>
                <w:tcPr>
                  <w:tcW w:w="2698" w:type="dxa"/>
                </w:tcPr>
                <w:p w14:paraId="7D53AFE7" w14:textId="77777777" w:rsidR="0091011B" w:rsidRPr="00080443" w:rsidRDefault="0091011B" w:rsidP="0091011B">
                  <w:pPr>
                    <w:pStyle w:val="ListParagraph"/>
                    <w:ind w:left="0"/>
                    <w:rPr>
                      <w:rFonts w:ascii="Arial" w:hAnsi="Arial" w:cs="Arial"/>
                      <w:sz w:val="20"/>
                      <w:szCs w:val="20"/>
                      <w:highlight w:val="yellow"/>
                    </w:rPr>
                  </w:pPr>
                  <w:r w:rsidRPr="00080443">
                    <w:rPr>
                      <w:rFonts w:ascii="Arial" w:hAnsi="Arial" w:cs="Arial"/>
                      <w:sz w:val="20"/>
                      <w:szCs w:val="20"/>
                    </w:rPr>
                    <w:lastRenderedPageBreak/>
                    <w:t>reallocation declaration</w:t>
                  </w:r>
                </w:p>
              </w:tc>
              <w:tc>
                <w:tcPr>
                  <w:tcW w:w="6767" w:type="dxa"/>
                  <w:vAlign w:val="center"/>
                </w:tcPr>
                <w:p w14:paraId="0E903565" w14:textId="77777777" w:rsidR="0091011B" w:rsidRPr="00080443" w:rsidRDefault="0091011B" w:rsidP="004D411C">
                  <w:pPr>
                    <w:pStyle w:val="ListParagraph"/>
                    <w:spacing w:after="120"/>
                    <w:ind w:left="0"/>
                    <w:contextualSpacing w:val="0"/>
                    <w:rPr>
                      <w:rFonts w:ascii="Arial" w:hAnsi="Arial" w:cs="Arial"/>
                      <w:sz w:val="20"/>
                      <w:szCs w:val="20"/>
                    </w:rPr>
                  </w:pPr>
                  <w:r w:rsidRPr="00080443">
                    <w:rPr>
                      <w:rFonts w:ascii="Arial" w:hAnsi="Arial" w:cs="Arial"/>
                      <w:sz w:val="20"/>
                      <w:szCs w:val="20"/>
                    </w:rPr>
                    <w:t xml:space="preserve">For the 700 MHz band: Radiocommunications (Spectrum Re-allocation) Declaration No.1 of 2011, at Attachment </w:t>
                  </w:r>
                  <w:r w:rsidR="005D4EE4" w:rsidRPr="00080443">
                    <w:rPr>
                      <w:rFonts w:ascii="Arial" w:hAnsi="Arial" w:cs="Arial"/>
                      <w:sz w:val="20"/>
                      <w:szCs w:val="20"/>
                    </w:rPr>
                    <w:t>J</w:t>
                  </w:r>
                </w:p>
                <w:p w14:paraId="4D5D1C90"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 xml:space="preserve">For the 2.5 GHz band: Radiocommunications (Spectrum Re-allocation) Declaration No.2 of 2011, at Attachment </w:t>
                  </w:r>
                  <w:r w:rsidR="005D4EE4" w:rsidRPr="00080443">
                    <w:rPr>
                      <w:rFonts w:ascii="Arial" w:hAnsi="Arial" w:cs="Arial"/>
                      <w:sz w:val="20"/>
                      <w:szCs w:val="20"/>
                    </w:rPr>
                    <w:t>K</w:t>
                  </w:r>
                </w:p>
              </w:tc>
            </w:tr>
            <w:tr w:rsidR="0091011B" w:rsidRPr="00080443" w14:paraId="1DC31860" w14:textId="77777777" w:rsidTr="0069119E">
              <w:tc>
                <w:tcPr>
                  <w:tcW w:w="2698" w:type="dxa"/>
                </w:tcPr>
                <w:p w14:paraId="71E944C3"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reallocation period</w:t>
                  </w:r>
                </w:p>
              </w:tc>
              <w:tc>
                <w:tcPr>
                  <w:tcW w:w="6767" w:type="dxa"/>
                  <w:vAlign w:val="center"/>
                </w:tcPr>
                <w:p w14:paraId="1CFFD60B" w14:textId="77777777" w:rsidR="0091011B" w:rsidRPr="00080443" w:rsidRDefault="00B41C35" w:rsidP="0069119E">
                  <w:pPr>
                    <w:pStyle w:val="ListParagraph"/>
                    <w:spacing w:after="40"/>
                    <w:ind w:left="0"/>
                    <w:rPr>
                      <w:rFonts w:ascii="Arial" w:hAnsi="Arial" w:cs="Arial"/>
                      <w:sz w:val="20"/>
                      <w:szCs w:val="20"/>
                    </w:rPr>
                  </w:pPr>
                  <w:r w:rsidRPr="00080443">
                    <w:rPr>
                      <w:rFonts w:ascii="Arial" w:hAnsi="Arial" w:cs="Arial"/>
                      <w:sz w:val="20"/>
                      <w:szCs w:val="20"/>
                    </w:rPr>
                    <w:t>S</w:t>
                  </w:r>
                  <w:r w:rsidR="001C3459" w:rsidRPr="00080443">
                    <w:rPr>
                      <w:rFonts w:ascii="Arial" w:hAnsi="Arial" w:cs="Arial"/>
                      <w:sz w:val="20"/>
                      <w:szCs w:val="20"/>
                    </w:rPr>
                    <w:t>ets the time</w:t>
                  </w:r>
                  <w:r w:rsidR="002A3031" w:rsidRPr="00080443">
                    <w:rPr>
                      <w:rFonts w:ascii="Arial" w:hAnsi="Arial" w:cs="Arial"/>
                      <w:sz w:val="20"/>
                      <w:szCs w:val="20"/>
                    </w:rPr>
                    <w:t xml:space="preserve"> </w:t>
                  </w:r>
                  <w:r w:rsidR="001C3459" w:rsidRPr="00080443">
                    <w:rPr>
                      <w:rFonts w:ascii="Arial" w:hAnsi="Arial" w:cs="Arial"/>
                      <w:sz w:val="20"/>
                      <w:szCs w:val="20"/>
                    </w:rPr>
                    <w:t xml:space="preserve">frame during which the reallocation process is to be completed. Under section 153B(4) of the Act, the reallocation period must begin within 28 days of the spectrum reallocation declaration being made and must run for at least two years </w:t>
                  </w:r>
                  <w:r w:rsidRPr="00080443">
                    <w:rPr>
                      <w:rFonts w:ascii="Arial" w:hAnsi="Arial" w:cs="Arial"/>
                      <w:sz w:val="20"/>
                      <w:szCs w:val="20"/>
                    </w:rPr>
                    <w:t>(see 1.2.2)</w:t>
                  </w:r>
                  <w:r w:rsidR="001C3459" w:rsidRPr="00080443">
                    <w:rPr>
                      <w:rFonts w:ascii="Arial" w:hAnsi="Arial" w:cs="Arial"/>
                      <w:sz w:val="20"/>
                      <w:szCs w:val="20"/>
                    </w:rPr>
                    <w:t xml:space="preserve"> </w:t>
                  </w:r>
                </w:p>
              </w:tc>
            </w:tr>
            <w:tr w:rsidR="0091011B" w:rsidRPr="00080443" w14:paraId="01A1FB67" w14:textId="77777777" w:rsidTr="0069119E">
              <w:tc>
                <w:tcPr>
                  <w:tcW w:w="2698" w:type="dxa"/>
                </w:tcPr>
                <w:p w14:paraId="608ACD13"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RQZ</w:t>
                  </w:r>
                </w:p>
              </w:tc>
              <w:tc>
                <w:tcPr>
                  <w:tcW w:w="6767" w:type="dxa"/>
                  <w:vAlign w:val="center"/>
                </w:tcPr>
                <w:p w14:paraId="47EA4691"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Mid-west Radio Quiet Zone. Australia’s first radio quiet zone, established by the ACMA in remote Western Australia in April 2005 to maintain the region’s existing ‘radio-quietness’</w:t>
                  </w:r>
                  <w:r w:rsidR="001C3459" w:rsidRPr="00080443">
                    <w:rPr>
                      <w:rFonts w:ascii="Arial" w:hAnsi="Arial" w:cs="Arial"/>
                      <w:sz w:val="20"/>
                      <w:szCs w:val="20"/>
                    </w:rPr>
                    <w:t xml:space="preserve"> (see 1.2.1 and 5.7.4)</w:t>
                  </w:r>
                </w:p>
              </w:tc>
            </w:tr>
            <w:tr w:rsidR="0091011B" w:rsidRPr="00080443" w14:paraId="232358A0" w14:textId="77777777" w:rsidTr="0069119E">
              <w:tc>
                <w:tcPr>
                  <w:tcW w:w="2698" w:type="dxa"/>
                </w:tcPr>
                <w:p w14:paraId="3E363FE9" w14:textId="77777777" w:rsidR="0091011B" w:rsidRPr="00080443" w:rsidRDefault="0091011B" w:rsidP="0091011B">
                  <w:pPr>
                    <w:pStyle w:val="ListParagraph"/>
                    <w:ind w:left="0"/>
                    <w:rPr>
                      <w:rFonts w:ascii="Arial" w:hAnsi="Arial" w:cs="Arial"/>
                      <w:sz w:val="20"/>
                      <w:szCs w:val="20"/>
                      <w:highlight w:val="yellow"/>
                    </w:rPr>
                  </w:pPr>
                  <w:r w:rsidRPr="00080443">
                    <w:rPr>
                      <w:rFonts w:ascii="Arial" w:hAnsi="Arial" w:cs="Arial"/>
                      <w:sz w:val="20"/>
                      <w:szCs w:val="20"/>
                    </w:rPr>
                    <w:t>subsection 145(4) determination</w:t>
                  </w:r>
                </w:p>
              </w:tc>
              <w:tc>
                <w:tcPr>
                  <w:tcW w:w="6767" w:type="dxa"/>
                  <w:vAlign w:val="center"/>
                </w:tcPr>
                <w:p w14:paraId="423EAEE7" w14:textId="77777777" w:rsidR="0091011B" w:rsidRPr="00080443" w:rsidRDefault="0091011B" w:rsidP="004D411C">
                  <w:pPr>
                    <w:pStyle w:val="ListParagraph"/>
                    <w:spacing w:after="120"/>
                    <w:ind w:left="0"/>
                    <w:contextualSpacing w:val="0"/>
                    <w:rPr>
                      <w:rFonts w:ascii="Arial" w:hAnsi="Arial" w:cs="Arial"/>
                      <w:sz w:val="20"/>
                      <w:szCs w:val="20"/>
                    </w:rPr>
                  </w:pPr>
                  <w:r w:rsidRPr="00080443">
                    <w:rPr>
                      <w:rFonts w:ascii="Arial" w:hAnsi="Arial" w:cs="Arial"/>
                      <w:sz w:val="20"/>
                      <w:szCs w:val="20"/>
                    </w:rPr>
                    <w:t>For the 700 MHz band: Radiocommunications (Unacceptable Levels of Interference – 700 MHz Band) Determination 2012, at Attachment </w:t>
                  </w:r>
                  <w:r w:rsidR="005D4EE4" w:rsidRPr="00080443">
                    <w:rPr>
                      <w:rFonts w:ascii="Arial" w:hAnsi="Arial" w:cs="Arial"/>
                      <w:sz w:val="20"/>
                      <w:szCs w:val="20"/>
                    </w:rPr>
                    <w:t>C</w:t>
                  </w:r>
                </w:p>
                <w:p w14:paraId="79C8B060"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For the 2.5 GHz band: Radiocommunications (Unacceptable Levels of Interference – 2.5 GHz Band) Determination 2012, at Attachment </w:t>
                  </w:r>
                  <w:r w:rsidR="005D4EE4" w:rsidRPr="00080443">
                    <w:rPr>
                      <w:rFonts w:ascii="Arial" w:hAnsi="Arial" w:cs="Arial"/>
                      <w:sz w:val="20"/>
                      <w:szCs w:val="20"/>
                    </w:rPr>
                    <w:t>G</w:t>
                  </w:r>
                </w:p>
              </w:tc>
            </w:tr>
            <w:tr w:rsidR="0091011B" w:rsidRPr="00080443" w14:paraId="6A9713E2" w14:textId="77777777" w:rsidTr="0069119E">
              <w:tc>
                <w:tcPr>
                  <w:tcW w:w="2698" w:type="dxa"/>
                </w:tcPr>
                <w:p w14:paraId="1E0BAE72" w14:textId="77777777" w:rsidR="0091011B" w:rsidRPr="00080443" w:rsidRDefault="0091011B" w:rsidP="0091011B">
                  <w:pPr>
                    <w:pStyle w:val="ListParagraph"/>
                    <w:ind w:left="0"/>
                    <w:rPr>
                      <w:rFonts w:ascii="Arial" w:hAnsi="Arial" w:cs="Arial"/>
                      <w:sz w:val="20"/>
                      <w:szCs w:val="20"/>
                    </w:rPr>
                  </w:pPr>
                  <w:r w:rsidRPr="00080443">
                    <w:rPr>
                      <w:rFonts w:ascii="Arial" w:hAnsi="Arial" w:cs="Arial"/>
                      <w:sz w:val="20"/>
                      <w:szCs w:val="20"/>
                    </w:rPr>
                    <w:t>Telecommunications Act</w:t>
                  </w:r>
                </w:p>
              </w:tc>
              <w:tc>
                <w:tcPr>
                  <w:tcW w:w="6767" w:type="dxa"/>
                  <w:vAlign w:val="center"/>
                </w:tcPr>
                <w:p w14:paraId="4130075B" w14:textId="77777777" w:rsidR="0091011B" w:rsidRPr="00080443" w:rsidRDefault="0091011B" w:rsidP="0069119E">
                  <w:pPr>
                    <w:pStyle w:val="ListParagraph"/>
                    <w:spacing w:after="40"/>
                    <w:ind w:left="0"/>
                    <w:rPr>
                      <w:rFonts w:ascii="Arial" w:hAnsi="Arial" w:cs="Arial"/>
                      <w:i/>
                      <w:sz w:val="20"/>
                      <w:szCs w:val="20"/>
                    </w:rPr>
                  </w:pPr>
                  <w:r w:rsidRPr="00080443">
                    <w:rPr>
                      <w:rFonts w:ascii="Arial" w:hAnsi="Arial" w:cs="Arial"/>
                      <w:i/>
                      <w:sz w:val="20"/>
                      <w:szCs w:val="20"/>
                    </w:rPr>
                    <w:t>Telecommunications Act 1997</w:t>
                  </w:r>
                </w:p>
              </w:tc>
            </w:tr>
            <w:tr w:rsidR="0091011B" w:rsidRPr="00080443" w14:paraId="43903389" w14:textId="77777777" w:rsidTr="0069119E">
              <w:tc>
                <w:tcPr>
                  <w:tcW w:w="2698" w:type="dxa"/>
                </w:tcPr>
                <w:p w14:paraId="40E2BF89" w14:textId="77777777" w:rsidR="0091011B" w:rsidRPr="00080443" w:rsidRDefault="0091011B" w:rsidP="0091011B">
                  <w:pPr>
                    <w:pStyle w:val="ListParagraph"/>
                    <w:ind w:left="0"/>
                    <w:rPr>
                      <w:rFonts w:ascii="Arial" w:hAnsi="Arial" w:cs="Arial"/>
                      <w:sz w:val="20"/>
                      <w:szCs w:val="20"/>
                      <w:highlight w:val="yellow"/>
                    </w:rPr>
                  </w:pPr>
                  <w:r w:rsidRPr="00080443">
                    <w:rPr>
                      <w:rFonts w:ascii="Arial" w:hAnsi="Arial" w:cs="Arial"/>
                      <w:sz w:val="20"/>
                      <w:szCs w:val="20"/>
                    </w:rPr>
                    <w:t>TLAP</w:t>
                  </w:r>
                </w:p>
              </w:tc>
              <w:tc>
                <w:tcPr>
                  <w:tcW w:w="6767" w:type="dxa"/>
                  <w:vAlign w:val="center"/>
                </w:tcPr>
                <w:p w14:paraId="55DABCF7" w14:textId="77777777" w:rsidR="0091011B" w:rsidRPr="00080443" w:rsidRDefault="0091011B" w:rsidP="0069119E">
                  <w:pPr>
                    <w:pStyle w:val="ListParagraph"/>
                    <w:spacing w:after="40"/>
                    <w:ind w:left="0"/>
                    <w:rPr>
                      <w:rFonts w:ascii="Arial" w:hAnsi="Arial" w:cs="Arial"/>
                      <w:sz w:val="20"/>
                      <w:szCs w:val="20"/>
                    </w:rPr>
                  </w:pPr>
                  <w:r w:rsidRPr="00080443">
                    <w:rPr>
                      <w:rFonts w:ascii="Arial" w:hAnsi="Arial" w:cs="Arial"/>
                      <w:sz w:val="20"/>
                      <w:szCs w:val="20"/>
                    </w:rPr>
                    <w:t xml:space="preserve">Television Licence Area Plan prepared by the ACMA under subsection 26(1B) of the </w:t>
                  </w:r>
                  <w:r w:rsidRPr="00080443">
                    <w:rPr>
                      <w:rFonts w:ascii="Arial" w:hAnsi="Arial" w:cs="Arial"/>
                      <w:i/>
                      <w:sz w:val="20"/>
                      <w:szCs w:val="20"/>
                    </w:rPr>
                    <w:t>Broadcasting Services Act 1992</w:t>
                  </w:r>
                  <w:r w:rsidR="001C3459" w:rsidRPr="00080443">
                    <w:rPr>
                      <w:rFonts w:ascii="Arial" w:hAnsi="Arial" w:cs="Arial"/>
                      <w:sz w:val="20"/>
                      <w:szCs w:val="20"/>
                    </w:rPr>
                    <w:t xml:space="preserve"> (see 1.2.5 and 1.2.6)</w:t>
                  </w:r>
                </w:p>
              </w:tc>
            </w:tr>
          </w:tbl>
          <w:p w14:paraId="0E15E684" w14:textId="77777777" w:rsidR="0091011B" w:rsidRPr="00080443" w:rsidRDefault="0091011B" w:rsidP="0091011B">
            <w:pPr>
              <w:rPr>
                <w:rFonts w:cs="Arial"/>
              </w:rPr>
            </w:pPr>
          </w:p>
        </w:tc>
      </w:tr>
      <w:tr w:rsidR="0091011B" w:rsidRPr="00080443" w14:paraId="668FE10B" w14:textId="77777777" w:rsidTr="0091011B">
        <w:trPr>
          <w:trHeight w:val="291"/>
        </w:trPr>
        <w:tc>
          <w:tcPr>
            <w:tcW w:w="9645" w:type="dxa"/>
            <w:tcBorders>
              <w:bottom w:val="single" w:sz="2" w:space="0" w:color="505050"/>
            </w:tcBorders>
            <w:shd w:val="clear" w:color="auto" w:fill="auto"/>
          </w:tcPr>
          <w:p w14:paraId="1A73C66C" w14:textId="77777777" w:rsidR="0091011B" w:rsidRPr="00080443" w:rsidRDefault="0091011B" w:rsidP="0091011B">
            <w:pPr>
              <w:rPr>
                <w:rFonts w:cs="Arial"/>
              </w:rPr>
            </w:pPr>
          </w:p>
        </w:tc>
      </w:tr>
    </w:tbl>
    <w:p w14:paraId="38B94B99" w14:textId="77777777" w:rsidR="0091011B" w:rsidRPr="00080443" w:rsidRDefault="0091011B" w:rsidP="0091011B">
      <w:pPr>
        <w:spacing w:before="80" w:after="120"/>
        <w:rPr>
          <w:rFonts w:cs="Arial"/>
        </w:rPr>
      </w:pPr>
    </w:p>
    <w:p w14:paraId="3795F5F0" w14:textId="77777777" w:rsidR="0091011B" w:rsidRPr="00080443" w:rsidRDefault="0091011B" w:rsidP="0091011B">
      <w:pPr>
        <w:rPr>
          <w:rFonts w:cs="Arial"/>
        </w:rPr>
      </w:pPr>
    </w:p>
    <w:sectPr w:rsidR="0091011B" w:rsidRPr="00080443" w:rsidSect="004D411C">
      <w:headerReference w:type="even" r:id="rId86"/>
      <w:headerReference w:type="default" r:id="rId87"/>
      <w:footerReference w:type="even" r:id="rId88"/>
      <w:footerReference w:type="default" r:id="rId89"/>
      <w:pgSz w:w="11906" w:h="16838" w:code="9"/>
      <w:pgMar w:top="1945" w:right="3102" w:bottom="868"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8DBCF" w14:textId="77777777" w:rsidR="009D2A3A" w:rsidRDefault="009D2A3A">
      <w:r>
        <w:separator/>
      </w:r>
    </w:p>
  </w:endnote>
  <w:endnote w:type="continuationSeparator" w:id="0">
    <w:p w14:paraId="3E10F18E" w14:textId="77777777" w:rsidR="009D2A3A" w:rsidRDefault="009D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C5086" w14:textId="75739547" w:rsidR="009D2A3A" w:rsidRDefault="000B0C99">
    <w:pPr>
      <w:pStyle w:val="Footer"/>
    </w:pPr>
    <w:r>
      <w:rPr>
        <w:noProof/>
      </w:rPr>
      <mc:AlternateContent>
        <mc:Choice Requires="wps">
          <w:drawing>
            <wp:anchor distT="0" distB="0" distL="114300" distR="114300" simplePos="0" relativeHeight="251659264" behindDoc="1" locked="1" layoutInCell="1" allowOverlap="1" wp14:anchorId="7CF3ECB7" wp14:editId="386E2AFA">
              <wp:simplePos x="0" y="0"/>
              <wp:positionH relativeFrom="page">
                <wp:posOffset>726440</wp:posOffset>
              </wp:positionH>
              <wp:positionV relativeFrom="page">
                <wp:posOffset>10193020</wp:posOffset>
              </wp:positionV>
              <wp:extent cx="3504565" cy="184150"/>
              <wp:effectExtent l="2540" t="1270" r="7620" b="5080"/>
              <wp:wrapNone/>
              <wp:docPr id="2" name="Logo_ftr_grey_ing"/>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4565" cy="184150"/>
                      </a:xfrm>
                      <a:custGeom>
                        <a:avLst/>
                        <a:gdLst>
                          <a:gd name="T0" fmla="*/ 119 w 4417"/>
                          <a:gd name="T1" fmla="*/ 131 h 224"/>
                          <a:gd name="T2" fmla="*/ 118 w 4417"/>
                          <a:gd name="T3" fmla="*/ 103 h 224"/>
                          <a:gd name="T4" fmla="*/ 143 w 4417"/>
                          <a:gd name="T5" fmla="*/ 162 h 224"/>
                          <a:gd name="T6" fmla="*/ 176 w 4417"/>
                          <a:gd name="T7" fmla="*/ 89 h 224"/>
                          <a:gd name="T8" fmla="*/ 443 w 4417"/>
                          <a:gd name="T9" fmla="*/ 90 h 224"/>
                          <a:gd name="T10" fmla="*/ 305 w 4417"/>
                          <a:gd name="T11" fmla="*/ 95 h 224"/>
                          <a:gd name="T12" fmla="*/ 638 w 4417"/>
                          <a:gd name="T13" fmla="*/ 74 h 224"/>
                          <a:gd name="T14" fmla="*/ 521 w 4417"/>
                          <a:gd name="T15" fmla="*/ 88 h 224"/>
                          <a:gd name="T16" fmla="*/ 664 w 4417"/>
                          <a:gd name="T17" fmla="*/ 60 h 224"/>
                          <a:gd name="T18" fmla="*/ 843 w 4417"/>
                          <a:gd name="T19" fmla="*/ 68 h 224"/>
                          <a:gd name="T20" fmla="*/ 841 w 4417"/>
                          <a:gd name="T21" fmla="*/ 96 h 224"/>
                          <a:gd name="T22" fmla="*/ 1069 w 4417"/>
                          <a:gd name="T23" fmla="*/ 103 h 224"/>
                          <a:gd name="T24" fmla="*/ 1100 w 4417"/>
                          <a:gd name="T25" fmla="*/ 152 h 224"/>
                          <a:gd name="T26" fmla="*/ 1069 w 4417"/>
                          <a:gd name="T27" fmla="*/ 103 h 224"/>
                          <a:gd name="T28" fmla="*/ 1173 w 4417"/>
                          <a:gd name="T29" fmla="*/ 176 h 224"/>
                          <a:gd name="T30" fmla="*/ 1178 w 4417"/>
                          <a:gd name="T31" fmla="*/ 82 h 224"/>
                          <a:gd name="T32" fmla="*/ 1296 w 4417"/>
                          <a:gd name="T33" fmla="*/ 147 h 224"/>
                          <a:gd name="T34" fmla="*/ 1292 w 4417"/>
                          <a:gd name="T35" fmla="*/ 25 h 224"/>
                          <a:gd name="T36" fmla="*/ 1423 w 4417"/>
                          <a:gd name="T37" fmla="*/ 76 h 224"/>
                          <a:gd name="T38" fmla="*/ 1445 w 4417"/>
                          <a:gd name="T39" fmla="*/ 88 h 224"/>
                          <a:gd name="T40" fmla="*/ 1518 w 4417"/>
                          <a:gd name="T41" fmla="*/ 180 h 224"/>
                          <a:gd name="T42" fmla="*/ 1517 w 4417"/>
                          <a:gd name="T43" fmla="*/ 92 h 224"/>
                          <a:gd name="T44" fmla="*/ 1553 w 4417"/>
                          <a:gd name="T45" fmla="*/ 104 h 224"/>
                          <a:gd name="T46" fmla="*/ 1937 w 4417"/>
                          <a:gd name="T47" fmla="*/ 85 h 224"/>
                          <a:gd name="T48" fmla="*/ 1993 w 4417"/>
                          <a:gd name="T49" fmla="*/ 85 h 224"/>
                          <a:gd name="T50" fmla="*/ 2097 w 4417"/>
                          <a:gd name="T51" fmla="*/ 176 h 224"/>
                          <a:gd name="T52" fmla="*/ 2095 w 4417"/>
                          <a:gd name="T53" fmla="*/ 94 h 224"/>
                          <a:gd name="T54" fmla="*/ 2226 w 4417"/>
                          <a:gd name="T55" fmla="*/ 103 h 224"/>
                          <a:gd name="T56" fmla="*/ 2257 w 4417"/>
                          <a:gd name="T57" fmla="*/ 152 h 224"/>
                          <a:gd name="T58" fmla="*/ 2226 w 4417"/>
                          <a:gd name="T59" fmla="*/ 103 h 224"/>
                          <a:gd name="T60" fmla="*/ 2435 w 4417"/>
                          <a:gd name="T61" fmla="*/ 46 h 224"/>
                          <a:gd name="T62" fmla="*/ 2526 w 4417"/>
                          <a:gd name="T63" fmla="*/ 148 h 224"/>
                          <a:gd name="T64" fmla="*/ 2526 w 4417"/>
                          <a:gd name="T65" fmla="*/ 85 h 224"/>
                          <a:gd name="T66" fmla="*/ 2590 w 4417"/>
                          <a:gd name="T67" fmla="*/ 176 h 224"/>
                          <a:gd name="T68" fmla="*/ 2595 w 4417"/>
                          <a:gd name="T69" fmla="*/ 82 h 224"/>
                          <a:gd name="T70" fmla="*/ 2713 w 4417"/>
                          <a:gd name="T71" fmla="*/ 147 h 224"/>
                          <a:gd name="T72" fmla="*/ 2709 w 4417"/>
                          <a:gd name="T73" fmla="*/ 25 h 224"/>
                          <a:gd name="T74" fmla="*/ 2840 w 4417"/>
                          <a:gd name="T75" fmla="*/ 76 h 224"/>
                          <a:gd name="T76" fmla="*/ 2862 w 4417"/>
                          <a:gd name="T77" fmla="*/ 88 h 224"/>
                          <a:gd name="T78" fmla="*/ 2935 w 4417"/>
                          <a:gd name="T79" fmla="*/ 180 h 224"/>
                          <a:gd name="T80" fmla="*/ 2934 w 4417"/>
                          <a:gd name="T81" fmla="*/ 92 h 224"/>
                          <a:gd name="T82" fmla="*/ 2970 w 4417"/>
                          <a:gd name="T83" fmla="*/ 104 h 224"/>
                          <a:gd name="T84" fmla="*/ 3402 w 4417"/>
                          <a:gd name="T85" fmla="*/ 60 h 224"/>
                          <a:gd name="T86" fmla="*/ 3365 w 4417"/>
                          <a:gd name="T87" fmla="*/ 60 h 224"/>
                          <a:gd name="T88" fmla="*/ 3461 w 4417"/>
                          <a:gd name="T89" fmla="*/ 74 h 224"/>
                          <a:gd name="T90" fmla="*/ 3683 w 4417"/>
                          <a:gd name="T91" fmla="*/ 197 h 224"/>
                          <a:gd name="T92" fmla="*/ 3641 w 4417"/>
                          <a:gd name="T93" fmla="*/ 167 h 224"/>
                          <a:gd name="T94" fmla="*/ 3654 w 4417"/>
                          <a:gd name="T95" fmla="*/ 104 h 224"/>
                          <a:gd name="T96" fmla="*/ 3825 w 4417"/>
                          <a:gd name="T97" fmla="*/ 176 h 224"/>
                          <a:gd name="T98" fmla="*/ 3779 w 4417"/>
                          <a:gd name="T99" fmla="*/ 143 h 224"/>
                          <a:gd name="T100" fmla="*/ 3977 w 4417"/>
                          <a:gd name="T101" fmla="*/ 58 h 224"/>
                          <a:gd name="T102" fmla="*/ 3900 w 4417"/>
                          <a:gd name="T103" fmla="*/ 129 h 224"/>
                          <a:gd name="T104" fmla="*/ 3951 w 4417"/>
                          <a:gd name="T105" fmla="*/ 156 h 224"/>
                          <a:gd name="T106" fmla="*/ 4079 w 4417"/>
                          <a:gd name="T107" fmla="*/ 178 h 224"/>
                          <a:gd name="T108" fmla="*/ 4112 w 4417"/>
                          <a:gd name="T109" fmla="*/ 16 h 224"/>
                          <a:gd name="T110" fmla="*/ 4267 w 4417"/>
                          <a:gd name="T111" fmla="*/ 61 h 224"/>
                          <a:gd name="T112" fmla="*/ 4170 w 4417"/>
                          <a:gd name="T113" fmla="*/ 176 h 224"/>
                          <a:gd name="T114" fmla="*/ 4380 w 4417"/>
                          <a:gd name="T115" fmla="*/ 176 h 224"/>
                          <a:gd name="T116" fmla="*/ 4381 w 4417"/>
                          <a:gd name="T117" fmla="*/ 60 h 224"/>
                          <a:gd name="T118" fmla="*/ 4369 w 4417"/>
                          <a:gd name="T119" fmla="*/ 14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417" h="224">
                            <a:moveTo>
                              <a:pt x="81" y="103"/>
                            </a:moveTo>
                            <a:cubicBezTo>
                              <a:pt x="81" y="100"/>
                              <a:pt x="81" y="98"/>
                              <a:pt x="80" y="96"/>
                            </a:cubicBezTo>
                            <a:cubicBezTo>
                              <a:pt x="79" y="94"/>
                              <a:pt x="77" y="92"/>
                              <a:pt x="75" y="91"/>
                            </a:cubicBezTo>
                            <a:cubicBezTo>
                              <a:pt x="74" y="89"/>
                              <a:pt x="72" y="88"/>
                              <a:pt x="70" y="87"/>
                            </a:cubicBezTo>
                            <a:cubicBezTo>
                              <a:pt x="67" y="86"/>
                              <a:pt x="65" y="86"/>
                              <a:pt x="63" y="86"/>
                            </a:cubicBezTo>
                            <a:cubicBezTo>
                              <a:pt x="57" y="86"/>
                              <a:pt x="53" y="87"/>
                              <a:pt x="50" y="89"/>
                            </a:cubicBezTo>
                            <a:cubicBezTo>
                              <a:pt x="46" y="91"/>
                              <a:pt x="44" y="94"/>
                              <a:pt x="42" y="97"/>
                            </a:cubicBezTo>
                            <a:cubicBezTo>
                              <a:pt x="41" y="100"/>
                              <a:pt x="39" y="104"/>
                              <a:pt x="39" y="108"/>
                            </a:cubicBezTo>
                            <a:cubicBezTo>
                              <a:pt x="38" y="112"/>
                              <a:pt x="38" y="116"/>
                              <a:pt x="38" y="120"/>
                            </a:cubicBezTo>
                            <a:cubicBezTo>
                              <a:pt x="38" y="124"/>
                              <a:pt x="38" y="128"/>
                              <a:pt x="39" y="131"/>
                            </a:cubicBezTo>
                            <a:cubicBezTo>
                              <a:pt x="40" y="135"/>
                              <a:pt x="41" y="138"/>
                              <a:pt x="43" y="141"/>
                            </a:cubicBezTo>
                            <a:cubicBezTo>
                              <a:pt x="45" y="144"/>
                              <a:pt x="47" y="146"/>
                              <a:pt x="50" y="148"/>
                            </a:cubicBezTo>
                            <a:cubicBezTo>
                              <a:pt x="53" y="150"/>
                              <a:pt x="57" y="151"/>
                              <a:pt x="61" y="151"/>
                            </a:cubicBezTo>
                            <a:cubicBezTo>
                              <a:pt x="67" y="151"/>
                              <a:pt x="72" y="149"/>
                              <a:pt x="76" y="145"/>
                            </a:cubicBezTo>
                            <a:cubicBezTo>
                              <a:pt x="79" y="142"/>
                              <a:pt x="81" y="137"/>
                              <a:pt x="82" y="131"/>
                            </a:cubicBezTo>
                            <a:cubicBezTo>
                              <a:pt x="119" y="131"/>
                              <a:pt x="119" y="131"/>
                              <a:pt x="119" y="131"/>
                            </a:cubicBezTo>
                            <a:cubicBezTo>
                              <a:pt x="118" y="138"/>
                              <a:pt x="116" y="145"/>
                              <a:pt x="113" y="152"/>
                            </a:cubicBezTo>
                            <a:cubicBezTo>
                              <a:pt x="110" y="158"/>
                              <a:pt x="105" y="163"/>
                              <a:pt x="100" y="167"/>
                            </a:cubicBezTo>
                            <a:cubicBezTo>
                              <a:pt x="95" y="171"/>
                              <a:pt x="89" y="174"/>
                              <a:pt x="83" y="176"/>
                            </a:cubicBezTo>
                            <a:cubicBezTo>
                              <a:pt x="76" y="179"/>
                              <a:pt x="69" y="180"/>
                              <a:pt x="61" y="180"/>
                            </a:cubicBezTo>
                            <a:cubicBezTo>
                              <a:pt x="52" y="180"/>
                              <a:pt x="44" y="178"/>
                              <a:pt x="36" y="175"/>
                            </a:cubicBezTo>
                            <a:cubicBezTo>
                              <a:pt x="29" y="173"/>
                              <a:pt x="23" y="169"/>
                              <a:pt x="17" y="163"/>
                            </a:cubicBezTo>
                            <a:cubicBezTo>
                              <a:pt x="12" y="158"/>
                              <a:pt x="8" y="152"/>
                              <a:pt x="4" y="145"/>
                            </a:cubicBezTo>
                            <a:cubicBezTo>
                              <a:pt x="1" y="137"/>
                              <a:pt x="0" y="129"/>
                              <a:pt x="0" y="120"/>
                            </a:cubicBezTo>
                            <a:cubicBezTo>
                              <a:pt x="0" y="111"/>
                              <a:pt x="1" y="102"/>
                              <a:pt x="4" y="95"/>
                            </a:cubicBezTo>
                            <a:cubicBezTo>
                              <a:pt x="7" y="87"/>
                              <a:pt x="11" y="80"/>
                              <a:pt x="16" y="75"/>
                            </a:cubicBezTo>
                            <a:cubicBezTo>
                              <a:pt x="22" y="69"/>
                              <a:pt x="28" y="65"/>
                              <a:pt x="35" y="61"/>
                            </a:cubicBezTo>
                            <a:cubicBezTo>
                              <a:pt x="43" y="58"/>
                              <a:pt x="51" y="57"/>
                              <a:pt x="61" y="57"/>
                            </a:cubicBezTo>
                            <a:cubicBezTo>
                              <a:pt x="68" y="57"/>
                              <a:pt x="75" y="58"/>
                              <a:pt x="82" y="60"/>
                            </a:cubicBezTo>
                            <a:cubicBezTo>
                              <a:pt x="88" y="62"/>
                              <a:pt x="94" y="64"/>
                              <a:pt x="99" y="68"/>
                            </a:cubicBezTo>
                            <a:cubicBezTo>
                              <a:pt x="105" y="72"/>
                              <a:pt x="109" y="77"/>
                              <a:pt x="112" y="83"/>
                            </a:cubicBezTo>
                            <a:cubicBezTo>
                              <a:pt x="115" y="88"/>
                              <a:pt x="117" y="95"/>
                              <a:pt x="118" y="103"/>
                            </a:cubicBezTo>
                            <a:lnTo>
                              <a:pt x="81" y="103"/>
                            </a:lnTo>
                            <a:close/>
                            <a:moveTo>
                              <a:pt x="126" y="118"/>
                            </a:moveTo>
                            <a:cubicBezTo>
                              <a:pt x="126" y="110"/>
                              <a:pt x="128" y="102"/>
                              <a:pt x="131" y="94"/>
                            </a:cubicBezTo>
                            <a:cubicBezTo>
                              <a:pt x="134" y="87"/>
                              <a:pt x="138" y="80"/>
                              <a:pt x="143" y="74"/>
                            </a:cubicBezTo>
                            <a:cubicBezTo>
                              <a:pt x="149" y="69"/>
                              <a:pt x="155" y="65"/>
                              <a:pt x="163" y="61"/>
                            </a:cubicBezTo>
                            <a:cubicBezTo>
                              <a:pt x="170" y="58"/>
                              <a:pt x="178" y="57"/>
                              <a:pt x="187" y="57"/>
                            </a:cubicBezTo>
                            <a:cubicBezTo>
                              <a:pt x="196" y="57"/>
                              <a:pt x="205" y="58"/>
                              <a:pt x="212" y="61"/>
                            </a:cubicBezTo>
                            <a:cubicBezTo>
                              <a:pt x="220" y="65"/>
                              <a:pt x="226" y="69"/>
                              <a:pt x="232" y="74"/>
                            </a:cubicBezTo>
                            <a:cubicBezTo>
                              <a:pt x="237" y="80"/>
                              <a:pt x="241" y="87"/>
                              <a:pt x="244" y="94"/>
                            </a:cubicBezTo>
                            <a:cubicBezTo>
                              <a:pt x="247" y="102"/>
                              <a:pt x="249" y="110"/>
                              <a:pt x="249" y="118"/>
                            </a:cubicBezTo>
                            <a:cubicBezTo>
                              <a:pt x="249" y="127"/>
                              <a:pt x="247" y="135"/>
                              <a:pt x="244" y="143"/>
                            </a:cubicBezTo>
                            <a:cubicBezTo>
                              <a:pt x="241" y="150"/>
                              <a:pt x="237" y="157"/>
                              <a:pt x="232" y="162"/>
                            </a:cubicBezTo>
                            <a:cubicBezTo>
                              <a:pt x="226" y="168"/>
                              <a:pt x="220" y="172"/>
                              <a:pt x="212" y="175"/>
                            </a:cubicBezTo>
                            <a:cubicBezTo>
                              <a:pt x="205" y="178"/>
                              <a:pt x="196" y="180"/>
                              <a:pt x="187" y="180"/>
                            </a:cubicBezTo>
                            <a:cubicBezTo>
                              <a:pt x="178" y="180"/>
                              <a:pt x="170" y="178"/>
                              <a:pt x="163" y="175"/>
                            </a:cubicBezTo>
                            <a:cubicBezTo>
                              <a:pt x="155" y="172"/>
                              <a:pt x="149" y="168"/>
                              <a:pt x="143" y="162"/>
                            </a:cubicBezTo>
                            <a:cubicBezTo>
                              <a:pt x="138" y="157"/>
                              <a:pt x="134" y="150"/>
                              <a:pt x="131" y="143"/>
                            </a:cubicBezTo>
                            <a:cubicBezTo>
                              <a:pt x="128" y="135"/>
                              <a:pt x="126" y="127"/>
                              <a:pt x="126" y="118"/>
                            </a:cubicBezTo>
                            <a:close/>
                            <a:moveTo>
                              <a:pt x="164" y="118"/>
                            </a:moveTo>
                            <a:cubicBezTo>
                              <a:pt x="164" y="122"/>
                              <a:pt x="165" y="126"/>
                              <a:pt x="165" y="130"/>
                            </a:cubicBezTo>
                            <a:cubicBezTo>
                              <a:pt x="166" y="133"/>
                              <a:pt x="167" y="137"/>
                              <a:pt x="169" y="140"/>
                            </a:cubicBezTo>
                            <a:cubicBezTo>
                              <a:pt x="171" y="143"/>
                              <a:pt x="173" y="146"/>
                              <a:pt x="176" y="148"/>
                            </a:cubicBezTo>
                            <a:cubicBezTo>
                              <a:pt x="179" y="150"/>
                              <a:pt x="183" y="151"/>
                              <a:pt x="187" y="151"/>
                            </a:cubicBezTo>
                            <a:cubicBezTo>
                              <a:pt x="192" y="151"/>
                              <a:pt x="196" y="150"/>
                              <a:pt x="199" y="148"/>
                            </a:cubicBezTo>
                            <a:cubicBezTo>
                              <a:pt x="202" y="146"/>
                              <a:pt x="204" y="143"/>
                              <a:pt x="206" y="140"/>
                            </a:cubicBezTo>
                            <a:cubicBezTo>
                              <a:pt x="208" y="137"/>
                              <a:pt x="209" y="133"/>
                              <a:pt x="210" y="130"/>
                            </a:cubicBezTo>
                            <a:cubicBezTo>
                              <a:pt x="210" y="126"/>
                              <a:pt x="211" y="122"/>
                              <a:pt x="211" y="118"/>
                            </a:cubicBezTo>
                            <a:cubicBezTo>
                              <a:pt x="211" y="115"/>
                              <a:pt x="210" y="111"/>
                              <a:pt x="210" y="107"/>
                            </a:cubicBezTo>
                            <a:cubicBezTo>
                              <a:pt x="209" y="103"/>
                              <a:pt x="208" y="100"/>
                              <a:pt x="206" y="97"/>
                            </a:cubicBezTo>
                            <a:cubicBezTo>
                              <a:pt x="204" y="94"/>
                              <a:pt x="202" y="91"/>
                              <a:pt x="199" y="89"/>
                            </a:cubicBezTo>
                            <a:cubicBezTo>
                              <a:pt x="196" y="87"/>
                              <a:pt x="192" y="86"/>
                              <a:pt x="187" y="86"/>
                            </a:cubicBezTo>
                            <a:cubicBezTo>
                              <a:pt x="183" y="86"/>
                              <a:pt x="179" y="87"/>
                              <a:pt x="176" y="89"/>
                            </a:cubicBezTo>
                            <a:cubicBezTo>
                              <a:pt x="173" y="91"/>
                              <a:pt x="171" y="94"/>
                              <a:pt x="169" y="97"/>
                            </a:cubicBezTo>
                            <a:cubicBezTo>
                              <a:pt x="167" y="100"/>
                              <a:pt x="166" y="103"/>
                              <a:pt x="165" y="107"/>
                            </a:cubicBezTo>
                            <a:cubicBezTo>
                              <a:pt x="165" y="111"/>
                              <a:pt x="164" y="115"/>
                              <a:pt x="164" y="118"/>
                            </a:cubicBezTo>
                            <a:close/>
                            <a:moveTo>
                              <a:pt x="262" y="60"/>
                            </a:moveTo>
                            <a:cubicBezTo>
                              <a:pt x="299" y="60"/>
                              <a:pt x="299" y="60"/>
                              <a:pt x="299" y="60"/>
                            </a:cubicBezTo>
                            <a:cubicBezTo>
                              <a:pt x="299" y="76"/>
                              <a:pt x="299" y="76"/>
                              <a:pt x="299" y="76"/>
                            </a:cubicBezTo>
                            <a:cubicBezTo>
                              <a:pt x="300" y="76"/>
                              <a:pt x="300" y="76"/>
                              <a:pt x="300" y="76"/>
                            </a:cubicBezTo>
                            <a:cubicBezTo>
                              <a:pt x="303" y="70"/>
                              <a:pt x="308" y="66"/>
                              <a:pt x="313" y="62"/>
                            </a:cubicBezTo>
                            <a:cubicBezTo>
                              <a:pt x="319" y="59"/>
                              <a:pt x="326" y="57"/>
                              <a:pt x="333" y="57"/>
                            </a:cubicBezTo>
                            <a:cubicBezTo>
                              <a:pt x="340" y="57"/>
                              <a:pt x="347" y="58"/>
                              <a:pt x="353" y="61"/>
                            </a:cubicBezTo>
                            <a:cubicBezTo>
                              <a:pt x="359" y="64"/>
                              <a:pt x="364" y="69"/>
                              <a:pt x="367" y="76"/>
                            </a:cubicBezTo>
                            <a:cubicBezTo>
                              <a:pt x="371" y="69"/>
                              <a:pt x="377" y="65"/>
                              <a:pt x="382" y="61"/>
                            </a:cubicBezTo>
                            <a:cubicBezTo>
                              <a:pt x="388" y="58"/>
                              <a:pt x="395" y="57"/>
                              <a:pt x="403" y="57"/>
                            </a:cubicBezTo>
                            <a:cubicBezTo>
                              <a:pt x="412" y="57"/>
                              <a:pt x="420" y="58"/>
                              <a:pt x="425" y="61"/>
                            </a:cubicBezTo>
                            <a:cubicBezTo>
                              <a:pt x="431" y="65"/>
                              <a:pt x="435" y="69"/>
                              <a:pt x="437" y="74"/>
                            </a:cubicBezTo>
                            <a:cubicBezTo>
                              <a:pt x="440" y="78"/>
                              <a:pt x="442" y="84"/>
                              <a:pt x="443" y="90"/>
                            </a:cubicBezTo>
                            <a:cubicBezTo>
                              <a:pt x="444" y="96"/>
                              <a:pt x="444" y="101"/>
                              <a:pt x="444" y="107"/>
                            </a:cubicBezTo>
                            <a:cubicBezTo>
                              <a:pt x="444" y="176"/>
                              <a:pt x="444" y="176"/>
                              <a:pt x="444" y="176"/>
                            </a:cubicBezTo>
                            <a:cubicBezTo>
                              <a:pt x="406" y="176"/>
                              <a:pt x="406" y="176"/>
                              <a:pt x="406" y="176"/>
                            </a:cubicBezTo>
                            <a:cubicBezTo>
                              <a:pt x="406" y="108"/>
                              <a:pt x="406" y="108"/>
                              <a:pt x="406" y="108"/>
                            </a:cubicBezTo>
                            <a:cubicBezTo>
                              <a:pt x="406" y="102"/>
                              <a:pt x="405" y="97"/>
                              <a:pt x="402" y="93"/>
                            </a:cubicBezTo>
                            <a:cubicBezTo>
                              <a:pt x="399" y="90"/>
                              <a:pt x="395" y="88"/>
                              <a:pt x="390" y="88"/>
                            </a:cubicBezTo>
                            <a:cubicBezTo>
                              <a:pt x="386" y="88"/>
                              <a:pt x="383" y="89"/>
                              <a:pt x="380" y="90"/>
                            </a:cubicBezTo>
                            <a:cubicBezTo>
                              <a:pt x="378" y="92"/>
                              <a:pt x="376" y="94"/>
                              <a:pt x="375" y="97"/>
                            </a:cubicBezTo>
                            <a:cubicBezTo>
                              <a:pt x="374" y="100"/>
                              <a:pt x="373" y="103"/>
                              <a:pt x="373" y="107"/>
                            </a:cubicBezTo>
                            <a:cubicBezTo>
                              <a:pt x="372" y="111"/>
                              <a:pt x="372" y="115"/>
                              <a:pt x="372" y="119"/>
                            </a:cubicBezTo>
                            <a:cubicBezTo>
                              <a:pt x="372" y="176"/>
                              <a:pt x="372" y="176"/>
                              <a:pt x="372" y="176"/>
                            </a:cubicBezTo>
                            <a:cubicBezTo>
                              <a:pt x="334" y="176"/>
                              <a:pt x="334" y="176"/>
                              <a:pt x="334" y="176"/>
                            </a:cubicBezTo>
                            <a:cubicBezTo>
                              <a:pt x="334" y="110"/>
                              <a:pt x="334" y="110"/>
                              <a:pt x="334" y="110"/>
                            </a:cubicBezTo>
                            <a:cubicBezTo>
                              <a:pt x="334" y="103"/>
                              <a:pt x="333" y="98"/>
                              <a:pt x="331" y="94"/>
                            </a:cubicBezTo>
                            <a:cubicBezTo>
                              <a:pt x="329" y="90"/>
                              <a:pt x="325" y="88"/>
                              <a:pt x="320" y="88"/>
                            </a:cubicBezTo>
                            <a:cubicBezTo>
                              <a:pt x="313" y="88"/>
                              <a:pt x="308" y="90"/>
                              <a:pt x="305" y="95"/>
                            </a:cubicBezTo>
                            <a:cubicBezTo>
                              <a:pt x="302" y="100"/>
                              <a:pt x="300" y="108"/>
                              <a:pt x="300" y="120"/>
                            </a:cubicBezTo>
                            <a:cubicBezTo>
                              <a:pt x="300" y="176"/>
                              <a:pt x="300" y="176"/>
                              <a:pt x="300" y="176"/>
                            </a:cubicBezTo>
                            <a:cubicBezTo>
                              <a:pt x="262" y="176"/>
                              <a:pt x="262" y="176"/>
                              <a:pt x="262" y="176"/>
                            </a:cubicBezTo>
                            <a:lnTo>
                              <a:pt x="262" y="60"/>
                            </a:lnTo>
                            <a:close/>
                            <a:moveTo>
                              <a:pt x="463" y="60"/>
                            </a:moveTo>
                            <a:cubicBezTo>
                              <a:pt x="500" y="60"/>
                              <a:pt x="500" y="60"/>
                              <a:pt x="500" y="60"/>
                            </a:cubicBezTo>
                            <a:cubicBezTo>
                              <a:pt x="500" y="76"/>
                              <a:pt x="500" y="76"/>
                              <a:pt x="500" y="76"/>
                            </a:cubicBezTo>
                            <a:cubicBezTo>
                              <a:pt x="501" y="76"/>
                              <a:pt x="501" y="76"/>
                              <a:pt x="501" y="76"/>
                            </a:cubicBezTo>
                            <a:cubicBezTo>
                              <a:pt x="504" y="70"/>
                              <a:pt x="509" y="66"/>
                              <a:pt x="514" y="62"/>
                            </a:cubicBezTo>
                            <a:cubicBezTo>
                              <a:pt x="520" y="59"/>
                              <a:pt x="527" y="57"/>
                              <a:pt x="534" y="57"/>
                            </a:cubicBezTo>
                            <a:cubicBezTo>
                              <a:pt x="541" y="57"/>
                              <a:pt x="548" y="58"/>
                              <a:pt x="554" y="61"/>
                            </a:cubicBezTo>
                            <a:cubicBezTo>
                              <a:pt x="560" y="64"/>
                              <a:pt x="565" y="69"/>
                              <a:pt x="568" y="76"/>
                            </a:cubicBezTo>
                            <a:cubicBezTo>
                              <a:pt x="572" y="69"/>
                              <a:pt x="578" y="65"/>
                              <a:pt x="583" y="61"/>
                            </a:cubicBezTo>
                            <a:cubicBezTo>
                              <a:pt x="589" y="58"/>
                              <a:pt x="596" y="57"/>
                              <a:pt x="604" y="57"/>
                            </a:cubicBezTo>
                            <a:cubicBezTo>
                              <a:pt x="613" y="57"/>
                              <a:pt x="621" y="58"/>
                              <a:pt x="626" y="61"/>
                            </a:cubicBezTo>
                            <a:cubicBezTo>
                              <a:pt x="632" y="65"/>
                              <a:pt x="636" y="69"/>
                              <a:pt x="638" y="74"/>
                            </a:cubicBezTo>
                            <a:cubicBezTo>
                              <a:pt x="641" y="78"/>
                              <a:pt x="643" y="84"/>
                              <a:pt x="644" y="90"/>
                            </a:cubicBezTo>
                            <a:cubicBezTo>
                              <a:pt x="645" y="96"/>
                              <a:pt x="645" y="101"/>
                              <a:pt x="645" y="107"/>
                            </a:cubicBezTo>
                            <a:cubicBezTo>
                              <a:pt x="645" y="176"/>
                              <a:pt x="645" y="176"/>
                              <a:pt x="645" y="176"/>
                            </a:cubicBezTo>
                            <a:cubicBezTo>
                              <a:pt x="607" y="176"/>
                              <a:pt x="607" y="176"/>
                              <a:pt x="607" y="176"/>
                            </a:cubicBezTo>
                            <a:cubicBezTo>
                              <a:pt x="607" y="108"/>
                              <a:pt x="607" y="108"/>
                              <a:pt x="607" y="108"/>
                            </a:cubicBezTo>
                            <a:cubicBezTo>
                              <a:pt x="607" y="102"/>
                              <a:pt x="605" y="97"/>
                              <a:pt x="603" y="93"/>
                            </a:cubicBezTo>
                            <a:cubicBezTo>
                              <a:pt x="600" y="90"/>
                              <a:pt x="596" y="88"/>
                              <a:pt x="591" y="88"/>
                            </a:cubicBezTo>
                            <a:cubicBezTo>
                              <a:pt x="587" y="88"/>
                              <a:pt x="584" y="89"/>
                              <a:pt x="581" y="90"/>
                            </a:cubicBezTo>
                            <a:cubicBezTo>
                              <a:pt x="579" y="92"/>
                              <a:pt x="577" y="94"/>
                              <a:pt x="576" y="97"/>
                            </a:cubicBezTo>
                            <a:cubicBezTo>
                              <a:pt x="575" y="100"/>
                              <a:pt x="574" y="103"/>
                              <a:pt x="574" y="107"/>
                            </a:cubicBezTo>
                            <a:cubicBezTo>
                              <a:pt x="573" y="111"/>
                              <a:pt x="573" y="115"/>
                              <a:pt x="573" y="119"/>
                            </a:cubicBezTo>
                            <a:cubicBezTo>
                              <a:pt x="573" y="176"/>
                              <a:pt x="573" y="176"/>
                              <a:pt x="573" y="176"/>
                            </a:cubicBezTo>
                            <a:cubicBezTo>
                              <a:pt x="535" y="176"/>
                              <a:pt x="535" y="176"/>
                              <a:pt x="535" y="176"/>
                            </a:cubicBezTo>
                            <a:cubicBezTo>
                              <a:pt x="535" y="110"/>
                              <a:pt x="535" y="110"/>
                              <a:pt x="535" y="110"/>
                            </a:cubicBezTo>
                            <a:cubicBezTo>
                              <a:pt x="535" y="103"/>
                              <a:pt x="534" y="98"/>
                              <a:pt x="532" y="94"/>
                            </a:cubicBezTo>
                            <a:cubicBezTo>
                              <a:pt x="530" y="90"/>
                              <a:pt x="526" y="88"/>
                              <a:pt x="521" y="88"/>
                            </a:cubicBezTo>
                            <a:cubicBezTo>
                              <a:pt x="514" y="88"/>
                              <a:pt x="509" y="90"/>
                              <a:pt x="506" y="95"/>
                            </a:cubicBezTo>
                            <a:cubicBezTo>
                              <a:pt x="503" y="100"/>
                              <a:pt x="501" y="108"/>
                              <a:pt x="501" y="120"/>
                            </a:cubicBezTo>
                            <a:cubicBezTo>
                              <a:pt x="501" y="176"/>
                              <a:pt x="501" y="176"/>
                              <a:pt x="501" y="176"/>
                            </a:cubicBezTo>
                            <a:cubicBezTo>
                              <a:pt x="463" y="176"/>
                              <a:pt x="463" y="176"/>
                              <a:pt x="463" y="176"/>
                            </a:cubicBezTo>
                            <a:lnTo>
                              <a:pt x="463" y="60"/>
                            </a:lnTo>
                            <a:close/>
                            <a:moveTo>
                              <a:pt x="779" y="176"/>
                            </a:moveTo>
                            <a:cubicBezTo>
                              <a:pt x="742" y="176"/>
                              <a:pt x="742" y="176"/>
                              <a:pt x="742" y="176"/>
                            </a:cubicBezTo>
                            <a:cubicBezTo>
                              <a:pt x="742" y="160"/>
                              <a:pt x="742" y="160"/>
                              <a:pt x="742" y="160"/>
                            </a:cubicBezTo>
                            <a:cubicBezTo>
                              <a:pt x="742" y="160"/>
                              <a:pt x="742" y="160"/>
                              <a:pt x="742" y="160"/>
                            </a:cubicBezTo>
                            <a:cubicBezTo>
                              <a:pt x="738" y="166"/>
                              <a:pt x="733" y="171"/>
                              <a:pt x="727" y="175"/>
                            </a:cubicBezTo>
                            <a:cubicBezTo>
                              <a:pt x="720" y="178"/>
                              <a:pt x="713" y="180"/>
                              <a:pt x="707" y="180"/>
                            </a:cubicBezTo>
                            <a:cubicBezTo>
                              <a:pt x="698" y="180"/>
                              <a:pt x="691" y="179"/>
                              <a:pt x="686" y="176"/>
                            </a:cubicBezTo>
                            <a:cubicBezTo>
                              <a:pt x="680" y="174"/>
                              <a:pt x="676" y="171"/>
                              <a:pt x="673" y="166"/>
                            </a:cubicBezTo>
                            <a:cubicBezTo>
                              <a:pt x="669" y="162"/>
                              <a:pt x="667" y="157"/>
                              <a:pt x="666" y="151"/>
                            </a:cubicBezTo>
                            <a:cubicBezTo>
                              <a:pt x="664" y="145"/>
                              <a:pt x="664" y="138"/>
                              <a:pt x="664" y="130"/>
                            </a:cubicBezTo>
                            <a:cubicBezTo>
                              <a:pt x="664" y="60"/>
                              <a:pt x="664" y="60"/>
                              <a:pt x="664" y="60"/>
                            </a:cubicBezTo>
                            <a:cubicBezTo>
                              <a:pt x="702" y="60"/>
                              <a:pt x="702" y="60"/>
                              <a:pt x="702" y="60"/>
                            </a:cubicBezTo>
                            <a:cubicBezTo>
                              <a:pt x="702" y="128"/>
                              <a:pt x="702" y="128"/>
                              <a:pt x="702" y="128"/>
                            </a:cubicBezTo>
                            <a:cubicBezTo>
                              <a:pt x="702" y="135"/>
                              <a:pt x="703" y="141"/>
                              <a:pt x="706" y="144"/>
                            </a:cubicBezTo>
                            <a:cubicBezTo>
                              <a:pt x="710" y="147"/>
                              <a:pt x="714" y="148"/>
                              <a:pt x="720" y="148"/>
                            </a:cubicBezTo>
                            <a:cubicBezTo>
                              <a:pt x="723" y="148"/>
                              <a:pt x="725" y="148"/>
                              <a:pt x="727" y="147"/>
                            </a:cubicBezTo>
                            <a:cubicBezTo>
                              <a:pt x="730" y="147"/>
                              <a:pt x="732" y="145"/>
                              <a:pt x="734" y="143"/>
                            </a:cubicBezTo>
                            <a:cubicBezTo>
                              <a:pt x="736" y="141"/>
                              <a:pt x="738" y="138"/>
                              <a:pt x="739" y="135"/>
                            </a:cubicBezTo>
                            <a:cubicBezTo>
                              <a:pt x="741" y="132"/>
                              <a:pt x="741" y="128"/>
                              <a:pt x="741" y="122"/>
                            </a:cubicBezTo>
                            <a:cubicBezTo>
                              <a:pt x="741" y="60"/>
                              <a:pt x="741" y="60"/>
                              <a:pt x="741" y="60"/>
                            </a:cubicBezTo>
                            <a:cubicBezTo>
                              <a:pt x="779" y="60"/>
                              <a:pt x="779" y="60"/>
                              <a:pt x="779" y="60"/>
                            </a:cubicBezTo>
                            <a:lnTo>
                              <a:pt x="779" y="176"/>
                            </a:lnTo>
                            <a:close/>
                            <a:moveTo>
                              <a:pt x="798" y="60"/>
                            </a:moveTo>
                            <a:cubicBezTo>
                              <a:pt x="835" y="60"/>
                              <a:pt x="835" y="60"/>
                              <a:pt x="835" y="60"/>
                            </a:cubicBezTo>
                            <a:cubicBezTo>
                              <a:pt x="835" y="76"/>
                              <a:pt x="835" y="76"/>
                              <a:pt x="835" y="76"/>
                            </a:cubicBezTo>
                            <a:cubicBezTo>
                              <a:pt x="836" y="76"/>
                              <a:pt x="836" y="76"/>
                              <a:pt x="836" y="76"/>
                            </a:cubicBezTo>
                            <a:cubicBezTo>
                              <a:pt x="838" y="73"/>
                              <a:pt x="840" y="70"/>
                              <a:pt x="843" y="68"/>
                            </a:cubicBezTo>
                            <a:cubicBezTo>
                              <a:pt x="845" y="66"/>
                              <a:pt x="848" y="64"/>
                              <a:pt x="852" y="62"/>
                            </a:cubicBezTo>
                            <a:cubicBezTo>
                              <a:pt x="855" y="60"/>
                              <a:pt x="858" y="59"/>
                              <a:pt x="862" y="58"/>
                            </a:cubicBezTo>
                            <a:cubicBezTo>
                              <a:pt x="865" y="57"/>
                              <a:pt x="869" y="57"/>
                              <a:pt x="872" y="57"/>
                            </a:cubicBezTo>
                            <a:cubicBezTo>
                              <a:pt x="882" y="57"/>
                              <a:pt x="890" y="58"/>
                              <a:pt x="895" y="61"/>
                            </a:cubicBezTo>
                            <a:cubicBezTo>
                              <a:pt x="901" y="65"/>
                              <a:pt x="905" y="68"/>
                              <a:pt x="908" y="73"/>
                            </a:cubicBezTo>
                            <a:cubicBezTo>
                              <a:pt x="911" y="78"/>
                              <a:pt x="912" y="82"/>
                              <a:pt x="913" y="88"/>
                            </a:cubicBezTo>
                            <a:cubicBezTo>
                              <a:pt x="914" y="93"/>
                              <a:pt x="914" y="98"/>
                              <a:pt x="914" y="102"/>
                            </a:cubicBezTo>
                            <a:cubicBezTo>
                              <a:pt x="914" y="176"/>
                              <a:pt x="914" y="176"/>
                              <a:pt x="914" y="176"/>
                            </a:cubicBezTo>
                            <a:cubicBezTo>
                              <a:pt x="876" y="176"/>
                              <a:pt x="876" y="176"/>
                              <a:pt x="876" y="176"/>
                            </a:cubicBezTo>
                            <a:cubicBezTo>
                              <a:pt x="876" y="120"/>
                              <a:pt x="876" y="120"/>
                              <a:pt x="876" y="120"/>
                            </a:cubicBezTo>
                            <a:cubicBezTo>
                              <a:pt x="876" y="116"/>
                              <a:pt x="876" y="112"/>
                              <a:pt x="876" y="109"/>
                            </a:cubicBezTo>
                            <a:cubicBezTo>
                              <a:pt x="876" y="105"/>
                              <a:pt x="876" y="101"/>
                              <a:pt x="874" y="98"/>
                            </a:cubicBezTo>
                            <a:cubicBezTo>
                              <a:pt x="873" y="95"/>
                              <a:pt x="871" y="93"/>
                              <a:pt x="869" y="91"/>
                            </a:cubicBezTo>
                            <a:cubicBezTo>
                              <a:pt x="866" y="89"/>
                              <a:pt x="862" y="88"/>
                              <a:pt x="857" y="88"/>
                            </a:cubicBezTo>
                            <a:cubicBezTo>
                              <a:pt x="854" y="88"/>
                              <a:pt x="850" y="89"/>
                              <a:pt x="848" y="90"/>
                            </a:cubicBezTo>
                            <a:cubicBezTo>
                              <a:pt x="845" y="92"/>
                              <a:pt x="843" y="94"/>
                              <a:pt x="841" y="96"/>
                            </a:cubicBezTo>
                            <a:cubicBezTo>
                              <a:pt x="840" y="98"/>
                              <a:pt x="839" y="101"/>
                              <a:pt x="838" y="104"/>
                            </a:cubicBezTo>
                            <a:cubicBezTo>
                              <a:pt x="837" y="107"/>
                              <a:pt x="837" y="110"/>
                              <a:pt x="837" y="113"/>
                            </a:cubicBezTo>
                            <a:cubicBezTo>
                              <a:pt x="837" y="176"/>
                              <a:pt x="837" y="176"/>
                              <a:pt x="837" y="176"/>
                            </a:cubicBezTo>
                            <a:cubicBezTo>
                              <a:pt x="798" y="176"/>
                              <a:pt x="798" y="176"/>
                              <a:pt x="798" y="176"/>
                            </a:cubicBezTo>
                            <a:lnTo>
                              <a:pt x="798" y="60"/>
                            </a:lnTo>
                            <a:close/>
                            <a:moveTo>
                              <a:pt x="972" y="46"/>
                            </a:moveTo>
                            <a:cubicBezTo>
                              <a:pt x="934" y="46"/>
                              <a:pt x="934" y="46"/>
                              <a:pt x="934" y="46"/>
                            </a:cubicBezTo>
                            <a:cubicBezTo>
                              <a:pt x="934" y="16"/>
                              <a:pt x="934" y="16"/>
                              <a:pt x="934" y="16"/>
                            </a:cubicBezTo>
                            <a:cubicBezTo>
                              <a:pt x="972" y="16"/>
                              <a:pt x="972" y="16"/>
                              <a:pt x="972" y="16"/>
                            </a:cubicBezTo>
                            <a:lnTo>
                              <a:pt x="972" y="46"/>
                            </a:lnTo>
                            <a:close/>
                            <a:moveTo>
                              <a:pt x="934" y="60"/>
                            </a:moveTo>
                            <a:cubicBezTo>
                              <a:pt x="972" y="60"/>
                              <a:pt x="972" y="60"/>
                              <a:pt x="972" y="60"/>
                            </a:cubicBezTo>
                            <a:cubicBezTo>
                              <a:pt x="972" y="176"/>
                              <a:pt x="972" y="176"/>
                              <a:pt x="972" y="176"/>
                            </a:cubicBezTo>
                            <a:cubicBezTo>
                              <a:pt x="934" y="176"/>
                              <a:pt x="934" y="176"/>
                              <a:pt x="934" y="176"/>
                            </a:cubicBezTo>
                            <a:lnTo>
                              <a:pt x="934" y="60"/>
                            </a:lnTo>
                            <a:close/>
                            <a:moveTo>
                              <a:pt x="1069" y="103"/>
                            </a:moveTo>
                            <a:cubicBezTo>
                              <a:pt x="1069" y="100"/>
                              <a:pt x="1068" y="98"/>
                              <a:pt x="1067" y="96"/>
                            </a:cubicBezTo>
                            <a:cubicBezTo>
                              <a:pt x="1066" y="94"/>
                              <a:pt x="1065" y="92"/>
                              <a:pt x="1063" y="91"/>
                            </a:cubicBezTo>
                            <a:cubicBezTo>
                              <a:pt x="1061" y="89"/>
                              <a:pt x="1059" y="88"/>
                              <a:pt x="1057" y="87"/>
                            </a:cubicBezTo>
                            <a:cubicBezTo>
                              <a:pt x="1055" y="86"/>
                              <a:pt x="1052" y="86"/>
                              <a:pt x="1050" y="86"/>
                            </a:cubicBezTo>
                            <a:cubicBezTo>
                              <a:pt x="1045" y="86"/>
                              <a:pt x="1040" y="87"/>
                              <a:pt x="1037" y="89"/>
                            </a:cubicBezTo>
                            <a:cubicBezTo>
                              <a:pt x="1034" y="91"/>
                              <a:pt x="1031" y="94"/>
                              <a:pt x="1030" y="97"/>
                            </a:cubicBezTo>
                            <a:cubicBezTo>
                              <a:pt x="1028" y="100"/>
                              <a:pt x="1027" y="104"/>
                              <a:pt x="1026" y="108"/>
                            </a:cubicBezTo>
                            <a:cubicBezTo>
                              <a:pt x="1026" y="112"/>
                              <a:pt x="1025" y="116"/>
                              <a:pt x="1025" y="120"/>
                            </a:cubicBezTo>
                            <a:cubicBezTo>
                              <a:pt x="1025" y="124"/>
                              <a:pt x="1026" y="128"/>
                              <a:pt x="1027" y="131"/>
                            </a:cubicBezTo>
                            <a:cubicBezTo>
                              <a:pt x="1027" y="135"/>
                              <a:pt x="1029" y="138"/>
                              <a:pt x="1031" y="141"/>
                            </a:cubicBezTo>
                            <a:cubicBezTo>
                              <a:pt x="1032" y="144"/>
                              <a:pt x="1035" y="146"/>
                              <a:pt x="1038" y="148"/>
                            </a:cubicBezTo>
                            <a:cubicBezTo>
                              <a:pt x="1040" y="150"/>
                              <a:pt x="1044" y="151"/>
                              <a:pt x="1048" y="151"/>
                            </a:cubicBezTo>
                            <a:cubicBezTo>
                              <a:pt x="1055" y="151"/>
                              <a:pt x="1060" y="149"/>
                              <a:pt x="1063" y="145"/>
                            </a:cubicBezTo>
                            <a:cubicBezTo>
                              <a:pt x="1067" y="142"/>
                              <a:pt x="1069" y="137"/>
                              <a:pt x="1070" y="131"/>
                            </a:cubicBezTo>
                            <a:cubicBezTo>
                              <a:pt x="1107" y="131"/>
                              <a:pt x="1107" y="131"/>
                              <a:pt x="1107" y="131"/>
                            </a:cubicBezTo>
                            <a:cubicBezTo>
                              <a:pt x="1106" y="138"/>
                              <a:pt x="1104" y="145"/>
                              <a:pt x="1100" y="152"/>
                            </a:cubicBezTo>
                            <a:cubicBezTo>
                              <a:pt x="1097" y="158"/>
                              <a:pt x="1093" y="163"/>
                              <a:pt x="1088" y="167"/>
                            </a:cubicBezTo>
                            <a:cubicBezTo>
                              <a:pt x="1083" y="171"/>
                              <a:pt x="1077" y="174"/>
                              <a:pt x="1070" y="176"/>
                            </a:cubicBezTo>
                            <a:cubicBezTo>
                              <a:pt x="1063" y="179"/>
                              <a:pt x="1056" y="180"/>
                              <a:pt x="1048" y="180"/>
                            </a:cubicBezTo>
                            <a:cubicBezTo>
                              <a:pt x="1039" y="180"/>
                              <a:pt x="1031" y="178"/>
                              <a:pt x="1024" y="175"/>
                            </a:cubicBezTo>
                            <a:cubicBezTo>
                              <a:pt x="1016" y="173"/>
                              <a:pt x="1010" y="169"/>
                              <a:pt x="1005" y="163"/>
                            </a:cubicBezTo>
                            <a:cubicBezTo>
                              <a:pt x="999" y="158"/>
                              <a:pt x="995" y="152"/>
                              <a:pt x="992" y="145"/>
                            </a:cubicBezTo>
                            <a:cubicBezTo>
                              <a:pt x="989" y="137"/>
                              <a:pt x="987" y="129"/>
                              <a:pt x="987" y="120"/>
                            </a:cubicBezTo>
                            <a:cubicBezTo>
                              <a:pt x="987" y="111"/>
                              <a:pt x="989" y="102"/>
                              <a:pt x="992" y="95"/>
                            </a:cubicBezTo>
                            <a:cubicBezTo>
                              <a:pt x="994" y="87"/>
                              <a:pt x="998" y="80"/>
                              <a:pt x="1004" y="75"/>
                            </a:cubicBezTo>
                            <a:cubicBezTo>
                              <a:pt x="1009" y="69"/>
                              <a:pt x="1015" y="65"/>
                              <a:pt x="1023" y="61"/>
                            </a:cubicBezTo>
                            <a:cubicBezTo>
                              <a:pt x="1030" y="58"/>
                              <a:pt x="1039" y="57"/>
                              <a:pt x="1048" y="57"/>
                            </a:cubicBezTo>
                            <a:cubicBezTo>
                              <a:pt x="1055" y="57"/>
                              <a:pt x="1062" y="58"/>
                              <a:pt x="1069" y="60"/>
                            </a:cubicBezTo>
                            <a:cubicBezTo>
                              <a:pt x="1076" y="62"/>
                              <a:pt x="1081" y="64"/>
                              <a:pt x="1087" y="68"/>
                            </a:cubicBezTo>
                            <a:cubicBezTo>
                              <a:pt x="1092" y="72"/>
                              <a:pt x="1096" y="77"/>
                              <a:pt x="1099" y="83"/>
                            </a:cubicBezTo>
                            <a:cubicBezTo>
                              <a:pt x="1103" y="88"/>
                              <a:pt x="1105" y="95"/>
                              <a:pt x="1106" y="103"/>
                            </a:cubicBezTo>
                            <a:lnTo>
                              <a:pt x="1069" y="103"/>
                            </a:lnTo>
                            <a:close/>
                            <a:moveTo>
                              <a:pt x="1118" y="96"/>
                            </a:moveTo>
                            <a:cubicBezTo>
                              <a:pt x="1118" y="88"/>
                              <a:pt x="1120" y="82"/>
                              <a:pt x="1123" y="77"/>
                            </a:cubicBezTo>
                            <a:cubicBezTo>
                              <a:pt x="1126" y="72"/>
                              <a:pt x="1131" y="68"/>
                              <a:pt x="1136" y="65"/>
                            </a:cubicBezTo>
                            <a:cubicBezTo>
                              <a:pt x="1141" y="62"/>
                              <a:pt x="1147" y="60"/>
                              <a:pt x="1153" y="59"/>
                            </a:cubicBezTo>
                            <a:cubicBezTo>
                              <a:pt x="1159" y="57"/>
                              <a:pt x="1166" y="57"/>
                              <a:pt x="1173" y="57"/>
                            </a:cubicBezTo>
                            <a:cubicBezTo>
                              <a:pt x="1180" y="57"/>
                              <a:pt x="1186" y="57"/>
                              <a:pt x="1193" y="58"/>
                            </a:cubicBezTo>
                            <a:cubicBezTo>
                              <a:pt x="1199" y="59"/>
                              <a:pt x="1205" y="61"/>
                              <a:pt x="1210" y="64"/>
                            </a:cubicBezTo>
                            <a:cubicBezTo>
                              <a:pt x="1215" y="67"/>
                              <a:pt x="1219" y="71"/>
                              <a:pt x="1222" y="76"/>
                            </a:cubicBezTo>
                            <a:cubicBezTo>
                              <a:pt x="1225" y="81"/>
                              <a:pt x="1227" y="88"/>
                              <a:pt x="1227" y="96"/>
                            </a:cubicBezTo>
                            <a:cubicBezTo>
                              <a:pt x="1227" y="147"/>
                              <a:pt x="1227" y="147"/>
                              <a:pt x="1227" y="147"/>
                            </a:cubicBezTo>
                            <a:cubicBezTo>
                              <a:pt x="1227" y="152"/>
                              <a:pt x="1227" y="157"/>
                              <a:pt x="1227" y="162"/>
                            </a:cubicBezTo>
                            <a:cubicBezTo>
                              <a:pt x="1228" y="167"/>
                              <a:pt x="1229" y="172"/>
                              <a:pt x="1231" y="176"/>
                            </a:cubicBezTo>
                            <a:cubicBezTo>
                              <a:pt x="1193" y="176"/>
                              <a:pt x="1193" y="176"/>
                              <a:pt x="1193" y="176"/>
                            </a:cubicBezTo>
                            <a:cubicBezTo>
                              <a:pt x="1192" y="175"/>
                              <a:pt x="1192" y="173"/>
                              <a:pt x="1192" y="171"/>
                            </a:cubicBezTo>
                            <a:cubicBezTo>
                              <a:pt x="1191" y="169"/>
                              <a:pt x="1191" y="167"/>
                              <a:pt x="1191" y="165"/>
                            </a:cubicBezTo>
                            <a:cubicBezTo>
                              <a:pt x="1186" y="171"/>
                              <a:pt x="1180" y="174"/>
                              <a:pt x="1173" y="176"/>
                            </a:cubicBezTo>
                            <a:cubicBezTo>
                              <a:pt x="1166" y="179"/>
                              <a:pt x="1160" y="180"/>
                              <a:pt x="1153" y="180"/>
                            </a:cubicBezTo>
                            <a:cubicBezTo>
                              <a:pt x="1147" y="180"/>
                              <a:pt x="1142" y="179"/>
                              <a:pt x="1137" y="178"/>
                            </a:cubicBezTo>
                            <a:cubicBezTo>
                              <a:pt x="1132" y="176"/>
                              <a:pt x="1128" y="174"/>
                              <a:pt x="1124" y="171"/>
                            </a:cubicBezTo>
                            <a:cubicBezTo>
                              <a:pt x="1121" y="168"/>
                              <a:pt x="1118" y="165"/>
                              <a:pt x="1116" y="160"/>
                            </a:cubicBezTo>
                            <a:cubicBezTo>
                              <a:pt x="1114" y="156"/>
                              <a:pt x="1113" y="151"/>
                              <a:pt x="1113" y="145"/>
                            </a:cubicBezTo>
                            <a:cubicBezTo>
                              <a:pt x="1113" y="138"/>
                              <a:pt x="1114" y="133"/>
                              <a:pt x="1116" y="129"/>
                            </a:cubicBezTo>
                            <a:cubicBezTo>
                              <a:pt x="1118" y="125"/>
                              <a:pt x="1121" y="121"/>
                              <a:pt x="1125" y="119"/>
                            </a:cubicBezTo>
                            <a:cubicBezTo>
                              <a:pt x="1128" y="116"/>
                              <a:pt x="1132" y="114"/>
                              <a:pt x="1137" y="112"/>
                            </a:cubicBezTo>
                            <a:cubicBezTo>
                              <a:pt x="1142" y="111"/>
                              <a:pt x="1146" y="110"/>
                              <a:pt x="1151" y="109"/>
                            </a:cubicBezTo>
                            <a:cubicBezTo>
                              <a:pt x="1156" y="108"/>
                              <a:pt x="1161" y="107"/>
                              <a:pt x="1166" y="106"/>
                            </a:cubicBezTo>
                            <a:cubicBezTo>
                              <a:pt x="1171" y="106"/>
                              <a:pt x="1176" y="105"/>
                              <a:pt x="1181" y="104"/>
                            </a:cubicBezTo>
                            <a:cubicBezTo>
                              <a:pt x="1184" y="104"/>
                              <a:pt x="1186" y="102"/>
                              <a:pt x="1188" y="101"/>
                            </a:cubicBezTo>
                            <a:cubicBezTo>
                              <a:pt x="1190" y="100"/>
                              <a:pt x="1191" y="97"/>
                              <a:pt x="1191" y="94"/>
                            </a:cubicBezTo>
                            <a:cubicBezTo>
                              <a:pt x="1191" y="91"/>
                              <a:pt x="1190" y="89"/>
                              <a:pt x="1189" y="88"/>
                            </a:cubicBezTo>
                            <a:cubicBezTo>
                              <a:pt x="1188" y="86"/>
                              <a:pt x="1186" y="85"/>
                              <a:pt x="1184" y="84"/>
                            </a:cubicBezTo>
                            <a:cubicBezTo>
                              <a:pt x="1183" y="83"/>
                              <a:pt x="1181" y="83"/>
                              <a:pt x="1178" y="82"/>
                            </a:cubicBezTo>
                            <a:cubicBezTo>
                              <a:pt x="1176" y="82"/>
                              <a:pt x="1174" y="81"/>
                              <a:pt x="1172" y="81"/>
                            </a:cubicBezTo>
                            <a:cubicBezTo>
                              <a:pt x="1161" y="81"/>
                              <a:pt x="1155" y="86"/>
                              <a:pt x="1153" y="96"/>
                            </a:cubicBezTo>
                            <a:lnTo>
                              <a:pt x="1118" y="96"/>
                            </a:lnTo>
                            <a:close/>
                            <a:moveTo>
                              <a:pt x="1151" y="143"/>
                            </a:moveTo>
                            <a:cubicBezTo>
                              <a:pt x="1151" y="148"/>
                              <a:pt x="1153" y="151"/>
                              <a:pt x="1156" y="153"/>
                            </a:cubicBezTo>
                            <a:cubicBezTo>
                              <a:pt x="1159" y="155"/>
                              <a:pt x="1163" y="156"/>
                              <a:pt x="1167" y="156"/>
                            </a:cubicBezTo>
                            <a:cubicBezTo>
                              <a:pt x="1176" y="156"/>
                              <a:pt x="1182" y="154"/>
                              <a:pt x="1186" y="148"/>
                            </a:cubicBezTo>
                            <a:cubicBezTo>
                              <a:pt x="1189" y="143"/>
                              <a:pt x="1191" y="134"/>
                              <a:pt x="1190" y="122"/>
                            </a:cubicBezTo>
                            <a:cubicBezTo>
                              <a:pt x="1188" y="124"/>
                              <a:pt x="1184" y="125"/>
                              <a:pt x="1180" y="125"/>
                            </a:cubicBezTo>
                            <a:cubicBezTo>
                              <a:pt x="1175" y="126"/>
                              <a:pt x="1171" y="127"/>
                              <a:pt x="1167" y="128"/>
                            </a:cubicBezTo>
                            <a:cubicBezTo>
                              <a:pt x="1162" y="129"/>
                              <a:pt x="1159" y="131"/>
                              <a:pt x="1156" y="133"/>
                            </a:cubicBezTo>
                            <a:cubicBezTo>
                              <a:pt x="1153" y="135"/>
                              <a:pt x="1151" y="138"/>
                              <a:pt x="1151" y="143"/>
                            </a:cubicBezTo>
                            <a:close/>
                            <a:moveTo>
                              <a:pt x="1316" y="85"/>
                            </a:moveTo>
                            <a:cubicBezTo>
                              <a:pt x="1292" y="85"/>
                              <a:pt x="1292" y="85"/>
                              <a:pt x="1292" y="85"/>
                            </a:cubicBezTo>
                            <a:cubicBezTo>
                              <a:pt x="1292" y="138"/>
                              <a:pt x="1292" y="138"/>
                              <a:pt x="1292" y="138"/>
                            </a:cubicBezTo>
                            <a:cubicBezTo>
                              <a:pt x="1292" y="142"/>
                              <a:pt x="1293" y="145"/>
                              <a:pt x="1296" y="147"/>
                            </a:cubicBezTo>
                            <a:cubicBezTo>
                              <a:pt x="1298" y="148"/>
                              <a:pt x="1302" y="149"/>
                              <a:pt x="1306" y="149"/>
                            </a:cubicBezTo>
                            <a:cubicBezTo>
                              <a:pt x="1307" y="149"/>
                              <a:pt x="1309" y="149"/>
                              <a:pt x="1311" y="149"/>
                            </a:cubicBezTo>
                            <a:cubicBezTo>
                              <a:pt x="1312" y="148"/>
                              <a:pt x="1314" y="148"/>
                              <a:pt x="1316" y="148"/>
                            </a:cubicBezTo>
                            <a:cubicBezTo>
                              <a:pt x="1316" y="176"/>
                              <a:pt x="1316" y="176"/>
                              <a:pt x="1316" y="176"/>
                            </a:cubicBezTo>
                            <a:cubicBezTo>
                              <a:pt x="1312" y="177"/>
                              <a:pt x="1309" y="177"/>
                              <a:pt x="1305" y="177"/>
                            </a:cubicBezTo>
                            <a:cubicBezTo>
                              <a:pt x="1302" y="177"/>
                              <a:pt x="1298" y="178"/>
                              <a:pt x="1295" y="178"/>
                            </a:cubicBezTo>
                            <a:cubicBezTo>
                              <a:pt x="1287" y="178"/>
                              <a:pt x="1280" y="177"/>
                              <a:pt x="1275" y="175"/>
                            </a:cubicBezTo>
                            <a:cubicBezTo>
                              <a:pt x="1269" y="174"/>
                              <a:pt x="1265" y="172"/>
                              <a:pt x="1262" y="169"/>
                            </a:cubicBezTo>
                            <a:cubicBezTo>
                              <a:pt x="1259" y="166"/>
                              <a:pt x="1257" y="161"/>
                              <a:pt x="1256" y="156"/>
                            </a:cubicBezTo>
                            <a:cubicBezTo>
                              <a:pt x="1255" y="151"/>
                              <a:pt x="1254" y="144"/>
                              <a:pt x="1254" y="137"/>
                            </a:cubicBezTo>
                            <a:cubicBezTo>
                              <a:pt x="1254" y="85"/>
                              <a:pt x="1254" y="85"/>
                              <a:pt x="1254" y="85"/>
                            </a:cubicBezTo>
                            <a:cubicBezTo>
                              <a:pt x="1235" y="85"/>
                              <a:pt x="1235" y="85"/>
                              <a:pt x="1235" y="85"/>
                            </a:cubicBezTo>
                            <a:cubicBezTo>
                              <a:pt x="1235" y="60"/>
                              <a:pt x="1235" y="60"/>
                              <a:pt x="1235" y="60"/>
                            </a:cubicBezTo>
                            <a:cubicBezTo>
                              <a:pt x="1254" y="60"/>
                              <a:pt x="1254" y="60"/>
                              <a:pt x="1254" y="60"/>
                            </a:cubicBezTo>
                            <a:cubicBezTo>
                              <a:pt x="1254" y="25"/>
                              <a:pt x="1254" y="25"/>
                              <a:pt x="1254" y="25"/>
                            </a:cubicBezTo>
                            <a:cubicBezTo>
                              <a:pt x="1292" y="25"/>
                              <a:pt x="1292" y="25"/>
                              <a:pt x="1292" y="25"/>
                            </a:cubicBezTo>
                            <a:cubicBezTo>
                              <a:pt x="1292" y="60"/>
                              <a:pt x="1292" y="60"/>
                              <a:pt x="1292" y="60"/>
                            </a:cubicBezTo>
                            <a:cubicBezTo>
                              <a:pt x="1316" y="60"/>
                              <a:pt x="1316" y="60"/>
                              <a:pt x="1316" y="60"/>
                            </a:cubicBezTo>
                            <a:lnTo>
                              <a:pt x="1316" y="85"/>
                            </a:lnTo>
                            <a:close/>
                            <a:moveTo>
                              <a:pt x="1366" y="46"/>
                            </a:moveTo>
                            <a:cubicBezTo>
                              <a:pt x="1327" y="46"/>
                              <a:pt x="1327" y="46"/>
                              <a:pt x="1327" y="46"/>
                            </a:cubicBezTo>
                            <a:cubicBezTo>
                              <a:pt x="1327" y="16"/>
                              <a:pt x="1327" y="16"/>
                              <a:pt x="1327" y="16"/>
                            </a:cubicBezTo>
                            <a:cubicBezTo>
                              <a:pt x="1366" y="16"/>
                              <a:pt x="1366" y="16"/>
                              <a:pt x="1366" y="16"/>
                            </a:cubicBezTo>
                            <a:lnTo>
                              <a:pt x="1366" y="46"/>
                            </a:lnTo>
                            <a:close/>
                            <a:moveTo>
                              <a:pt x="1327" y="60"/>
                            </a:moveTo>
                            <a:cubicBezTo>
                              <a:pt x="1366" y="60"/>
                              <a:pt x="1366" y="60"/>
                              <a:pt x="1366" y="60"/>
                            </a:cubicBezTo>
                            <a:cubicBezTo>
                              <a:pt x="1366" y="176"/>
                              <a:pt x="1366" y="176"/>
                              <a:pt x="1366" y="176"/>
                            </a:cubicBezTo>
                            <a:cubicBezTo>
                              <a:pt x="1327" y="176"/>
                              <a:pt x="1327" y="176"/>
                              <a:pt x="1327" y="176"/>
                            </a:cubicBezTo>
                            <a:lnTo>
                              <a:pt x="1327" y="60"/>
                            </a:lnTo>
                            <a:close/>
                            <a:moveTo>
                              <a:pt x="1386" y="60"/>
                            </a:moveTo>
                            <a:cubicBezTo>
                              <a:pt x="1423" y="60"/>
                              <a:pt x="1423" y="60"/>
                              <a:pt x="1423" y="60"/>
                            </a:cubicBezTo>
                            <a:cubicBezTo>
                              <a:pt x="1423" y="76"/>
                              <a:pt x="1423" y="76"/>
                              <a:pt x="1423" y="76"/>
                            </a:cubicBezTo>
                            <a:cubicBezTo>
                              <a:pt x="1423" y="76"/>
                              <a:pt x="1423" y="76"/>
                              <a:pt x="1423" y="76"/>
                            </a:cubicBezTo>
                            <a:cubicBezTo>
                              <a:pt x="1425" y="73"/>
                              <a:pt x="1427" y="70"/>
                              <a:pt x="1430" y="68"/>
                            </a:cubicBezTo>
                            <a:cubicBezTo>
                              <a:pt x="1433" y="66"/>
                              <a:pt x="1436" y="64"/>
                              <a:pt x="1439" y="62"/>
                            </a:cubicBezTo>
                            <a:cubicBezTo>
                              <a:pt x="1442" y="60"/>
                              <a:pt x="1446" y="59"/>
                              <a:pt x="1449" y="58"/>
                            </a:cubicBezTo>
                            <a:cubicBezTo>
                              <a:pt x="1453" y="57"/>
                              <a:pt x="1456" y="57"/>
                              <a:pt x="1460" y="57"/>
                            </a:cubicBezTo>
                            <a:cubicBezTo>
                              <a:pt x="1470" y="57"/>
                              <a:pt x="1477" y="58"/>
                              <a:pt x="1483" y="61"/>
                            </a:cubicBezTo>
                            <a:cubicBezTo>
                              <a:pt x="1488" y="65"/>
                              <a:pt x="1493" y="68"/>
                              <a:pt x="1495" y="73"/>
                            </a:cubicBezTo>
                            <a:cubicBezTo>
                              <a:pt x="1498" y="78"/>
                              <a:pt x="1500" y="82"/>
                              <a:pt x="1501" y="88"/>
                            </a:cubicBezTo>
                            <a:cubicBezTo>
                              <a:pt x="1501" y="93"/>
                              <a:pt x="1502" y="98"/>
                              <a:pt x="1502" y="102"/>
                            </a:cubicBezTo>
                            <a:cubicBezTo>
                              <a:pt x="1502" y="176"/>
                              <a:pt x="1502" y="176"/>
                              <a:pt x="1502" y="176"/>
                            </a:cubicBezTo>
                            <a:cubicBezTo>
                              <a:pt x="1464" y="176"/>
                              <a:pt x="1464" y="176"/>
                              <a:pt x="1464" y="176"/>
                            </a:cubicBezTo>
                            <a:cubicBezTo>
                              <a:pt x="1464" y="120"/>
                              <a:pt x="1464" y="120"/>
                              <a:pt x="1464" y="120"/>
                            </a:cubicBezTo>
                            <a:cubicBezTo>
                              <a:pt x="1464" y="116"/>
                              <a:pt x="1464" y="112"/>
                              <a:pt x="1464" y="109"/>
                            </a:cubicBezTo>
                            <a:cubicBezTo>
                              <a:pt x="1464" y="105"/>
                              <a:pt x="1463" y="101"/>
                              <a:pt x="1462" y="98"/>
                            </a:cubicBezTo>
                            <a:cubicBezTo>
                              <a:pt x="1461" y="95"/>
                              <a:pt x="1459" y="93"/>
                              <a:pt x="1456" y="91"/>
                            </a:cubicBezTo>
                            <a:cubicBezTo>
                              <a:pt x="1454" y="89"/>
                              <a:pt x="1450" y="88"/>
                              <a:pt x="1445" y="88"/>
                            </a:cubicBezTo>
                            <a:cubicBezTo>
                              <a:pt x="1441" y="88"/>
                              <a:pt x="1438" y="89"/>
                              <a:pt x="1435" y="90"/>
                            </a:cubicBezTo>
                            <a:cubicBezTo>
                              <a:pt x="1433" y="92"/>
                              <a:pt x="1431" y="94"/>
                              <a:pt x="1429" y="96"/>
                            </a:cubicBezTo>
                            <a:cubicBezTo>
                              <a:pt x="1427" y="98"/>
                              <a:pt x="1426" y="101"/>
                              <a:pt x="1425" y="104"/>
                            </a:cubicBezTo>
                            <a:cubicBezTo>
                              <a:pt x="1424" y="107"/>
                              <a:pt x="1424" y="110"/>
                              <a:pt x="1424" y="113"/>
                            </a:cubicBezTo>
                            <a:cubicBezTo>
                              <a:pt x="1424" y="176"/>
                              <a:pt x="1424" y="176"/>
                              <a:pt x="1424" y="176"/>
                            </a:cubicBezTo>
                            <a:cubicBezTo>
                              <a:pt x="1386" y="176"/>
                              <a:pt x="1386" y="176"/>
                              <a:pt x="1386" y="176"/>
                            </a:cubicBezTo>
                            <a:lnTo>
                              <a:pt x="1386" y="60"/>
                            </a:lnTo>
                            <a:close/>
                            <a:moveTo>
                              <a:pt x="1633" y="162"/>
                            </a:moveTo>
                            <a:cubicBezTo>
                              <a:pt x="1633" y="167"/>
                              <a:pt x="1633" y="173"/>
                              <a:pt x="1632" y="179"/>
                            </a:cubicBezTo>
                            <a:cubicBezTo>
                              <a:pt x="1631" y="185"/>
                              <a:pt x="1628" y="191"/>
                              <a:pt x="1624" y="197"/>
                            </a:cubicBezTo>
                            <a:cubicBezTo>
                              <a:pt x="1621" y="202"/>
                              <a:pt x="1615" y="207"/>
                              <a:pt x="1607" y="211"/>
                            </a:cubicBezTo>
                            <a:cubicBezTo>
                              <a:pt x="1599" y="215"/>
                              <a:pt x="1589" y="217"/>
                              <a:pt x="1575" y="217"/>
                            </a:cubicBezTo>
                            <a:cubicBezTo>
                              <a:pt x="1568" y="217"/>
                              <a:pt x="1562" y="217"/>
                              <a:pt x="1555" y="216"/>
                            </a:cubicBezTo>
                            <a:cubicBezTo>
                              <a:pt x="1549" y="215"/>
                              <a:pt x="1543" y="213"/>
                              <a:pt x="1538" y="210"/>
                            </a:cubicBezTo>
                            <a:cubicBezTo>
                              <a:pt x="1533" y="208"/>
                              <a:pt x="1528" y="204"/>
                              <a:pt x="1525" y="199"/>
                            </a:cubicBezTo>
                            <a:cubicBezTo>
                              <a:pt x="1521" y="194"/>
                              <a:pt x="1519" y="188"/>
                              <a:pt x="1518" y="180"/>
                            </a:cubicBezTo>
                            <a:cubicBezTo>
                              <a:pt x="1556" y="180"/>
                              <a:pt x="1556" y="180"/>
                              <a:pt x="1556" y="180"/>
                            </a:cubicBezTo>
                            <a:cubicBezTo>
                              <a:pt x="1557" y="185"/>
                              <a:pt x="1559" y="188"/>
                              <a:pt x="1562" y="190"/>
                            </a:cubicBezTo>
                            <a:cubicBezTo>
                              <a:pt x="1566" y="192"/>
                              <a:pt x="1570" y="193"/>
                              <a:pt x="1576" y="193"/>
                            </a:cubicBezTo>
                            <a:cubicBezTo>
                              <a:pt x="1581" y="193"/>
                              <a:pt x="1584" y="192"/>
                              <a:pt x="1587" y="190"/>
                            </a:cubicBezTo>
                            <a:cubicBezTo>
                              <a:pt x="1590" y="189"/>
                              <a:pt x="1592" y="187"/>
                              <a:pt x="1593" y="184"/>
                            </a:cubicBezTo>
                            <a:cubicBezTo>
                              <a:pt x="1595" y="182"/>
                              <a:pt x="1595" y="179"/>
                              <a:pt x="1596" y="176"/>
                            </a:cubicBezTo>
                            <a:cubicBezTo>
                              <a:pt x="1596" y="172"/>
                              <a:pt x="1596" y="169"/>
                              <a:pt x="1596" y="165"/>
                            </a:cubicBezTo>
                            <a:cubicBezTo>
                              <a:pt x="1596" y="154"/>
                              <a:pt x="1596" y="154"/>
                              <a:pt x="1596" y="154"/>
                            </a:cubicBezTo>
                            <a:cubicBezTo>
                              <a:pt x="1596" y="154"/>
                              <a:pt x="1596" y="154"/>
                              <a:pt x="1596" y="154"/>
                            </a:cubicBezTo>
                            <a:cubicBezTo>
                              <a:pt x="1592" y="160"/>
                              <a:pt x="1588" y="164"/>
                              <a:pt x="1583" y="167"/>
                            </a:cubicBezTo>
                            <a:cubicBezTo>
                              <a:pt x="1577" y="170"/>
                              <a:pt x="1571" y="171"/>
                              <a:pt x="1565" y="171"/>
                            </a:cubicBezTo>
                            <a:cubicBezTo>
                              <a:pt x="1556" y="171"/>
                              <a:pt x="1549" y="170"/>
                              <a:pt x="1542" y="167"/>
                            </a:cubicBezTo>
                            <a:cubicBezTo>
                              <a:pt x="1536" y="164"/>
                              <a:pt x="1530" y="160"/>
                              <a:pt x="1526" y="155"/>
                            </a:cubicBezTo>
                            <a:cubicBezTo>
                              <a:pt x="1522" y="150"/>
                              <a:pt x="1519" y="144"/>
                              <a:pt x="1517" y="137"/>
                            </a:cubicBezTo>
                            <a:cubicBezTo>
                              <a:pt x="1515" y="129"/>
                              <a:pt x="1514" y="122"/>
                              <a:pt x="1514" y="114"/>
                            </a:cubicBezTo>
                            <a:cubicBezTo>
                              <a:pt x="1514" y="106"/>
                              <a:pt x="1515" y="99"/>
                              <a:pt x="1517" y="92"/>
                            </a:cubicBezTo>
                            <a:cubicBezTo>
                              <a:pt x="1519" y="85"/>
                              <a:pt x="1523" y="79"/>
                              <a:pt x="1527" y="74"/>
                            </a:cubicBezTo>
                            <a:cubicBezTo>
                              <a:pt x="1531" y="69"/>
                              <a:pt x="1537" y="64"/>
                              <a:pt x="1543" y="61"/>
                            </a:cubicBezTo>
                            <a:cubicBezTo>
                              <a:pt x="1549" y="58"/>
                              <a:pt x="1557" y="57"/>
                              <a:pt x="1565" y="57"/>
                            </a:cubicBezTo>
                            <a:cubicBezTo>
                              <a:pt x="1579" y="57"/>
                              <a:pt x="1589" y="63"/>
                              <a:pt x="1596" y="75"/>
                            </a:cubicBezTo>
                            <a:cubicBezTo>
                              <a:pt x="1597" y="75"/>
                              <a:pt x="1597" y="75"/>
                              <a:pt x="1597" y="75"/>
                            </a:cubicBezTo>
                            <a:cubicBezTo>
                              <a:pt x="1597" y="60"/>
                              <a:pt x="1597" y="60"/>
                              <a:pt x="1597" y="60"/>
                            </a:cubicBezTo>
                            <a:cubicBezTo>
                              <a:pt x="1633" y="60"/>
                              <a:pt x="1633" y="60"/>
                              <a:pt x="1633" y="60"/>
                            </a:cubicBezTo>
                            <a:lnTo>
                              <a:pt x="1633" y="162"/>
                            </a:lnTo>
                            <a:close/>
                            <a:moveTo>
                              <a:pt x="1597" y="115"/>
                            </a:moveTo>
                            <a:cubicBezTo>
                              <a:pt x="1597" y="111"/>
                              <a:pt x="1597" y="108"/>
                              <a:pt x="1596" y="104"/>
                            </a:cubicBezTo>
                            <a:cubicBezTo>
                              <a:pt x="1595" y="101"/>
                              <a:pt x="1594" y="98"/>
                              <a:pt x="1592" y="95"/>
                            </a:cubicBezTo>
                            <a:cubicBezTo>
                              <a:pt x="1590" y="92"/>
                              <a:pt x="1588" y="90"/>
                              <a:pt x="1585" y="88"/>
                            </a:cubicBezTo>
                            <a:cubicBezTo>
                              <a:pt x="1582" y="87"/>
                              <a:pt x="1578" y="86"/>
                              <a:pt x="1574" y="86"/>
                            </a:cubicBezTo>
                            <a:cubicBezTo>
                              <a:pt x="1570" y="86"/>
                              <a:pt x="1566" y="87"/>
                              <a:pt x="1564" y="88"/>
                            </a:cubicBezTo>
                            <a:cubicBezTo>
                              <a:pt x="1561" y="90"/>
                              <a:pt x="1558" y="92"/>
                              <a:pt x="1557" y="95"/>
                            </a:cubicBezTo>
                            <a:cubicBezTo>
                              <a:pt x="1555" y="98"/>
                              <a:pt x="1554" y="101"/>
                              <a:pt x="1553" y="104"/>
                            </a:cubicBezTo>
                            <a:cubicBezTo>
                              <a:pt x="1552" y="108"/>
                              <a:pt x="1552" y="111"/>
                              <a:pt x="1552" y="115"/>
                            </a:cubicBezTo>
                            <a:cubicBezTo>
                              <a:pt x="1552" y="118"/>
                              <a:pt x="1552" y="122"/>
                              <a:pt x="1553" y="125"/>
                            </a:cubicBezTo>
                            <a:cubicBezTo>
                              <a:pt x="1554" y="128"/>
                              <a:pt x="1555" y="131"/>
                              <a:pt x="1557" y="134"/>
                            </a:cubicBezTo>
                            <a:cubicBezTo>
                              <a:pt x="1559" y="136"/>
                              <a:pt x="1561" y="138"/>
                              <a:pt x="1564" y="140"/>
                            </a:cubicBezTo>
                            <a:cubicBezTo>
                              <a:pt x="1567" y="142"/>
                              <a:pt x="1570" y="142"/>
                              <a:pt x="1574" y="142"/>
                            </a:cubicBezTo>
                            <a:cubicBezTo>
                              <a:pt x="1578" y="142"/>
                              <a:pt x="1581" y="142"/>
                              <a:pt x="1584" y="140"/>
                            </a:cubicBezTo>
                            <a:cubicBezTo>
                              <a:pt x="1587" y="139"/>
                              <a:pt x="1590" y="137"/>
                              <a:pt x="1591" y="134"/>
                            </a:cubicBezTo>
                            <a:cubicBezTo>
                              <a:pt x="1593" y="132"/>
                              <a:pt x="1595" y="129"/>
                              <a:pt x="1596" y="126"/>
                            </a:cubicBezTo>
                            <a:cubicBezTo>
                              <a:pt x="1597" y="122"/>
                              <a:pt x="1597" y="119"/>
                              <a:pt x="1597" y="115"/>
                            </a:cubicBezTo>
                            <a:close/>
                            <a:moveTo>
                              <a:pt x="1782" y="0"/>
                            </a:moveTo>
                            <a:cubicBezTo>
                              <a:pt x="1794" y="0"/>
                              <a:pt x="1794" y="0"/>
                              <a:pt x="1794" y="0"/>
                            </a:cubicBezTo>
                            <a:cubicBezTo>
                              <a:pt x="1794" y="224"/>
                              <a:pt x="1794" y="224"/>
                              <a:pt x="1794" y="224"/>
                            </a:cubicBezTo>
                            <a:cubicBezTo>
                              <a:pt x="1782" y="224"/>
                              <a:pt x="1782" y="224"/>
                              <a:pt x="1782" y="224"/>
                            </a:cubicBezTo>
                            <a:lnTo>
                              <a:pt x="1782" y="0"/>
                            </a:lnTo>
                            <a:close/>
                            <a:moveTo>
                              <a:pt x="1955" y="85"/>
                            </a:moveTo>
                            <a:cubicBezTo>
                              <a:pt x="1937" y="85"/>
                              <a:pt x="1937" y="85"/>
                              <a:pt x="1937" y="85"/>
                            </a:cubicBezTo>
                            <a:cubicBezTo>
                              <a:pt x="1937" y="60"/>
                              <a:pt x="1937" y="60"/>
                              <a:pt x="1937" y="60"/>
                            </a:cubicBezTo>
                            <a:cubicBezTo>
                              <a:pt x="1955" y="60"/>
                              <a:pt x="1955" y="60"/>
                              <a:pt x="1955" y="60"/>
                            </a:cubicBezTo>
                            <a:cubicBezTo>
                              <a:pt x="1955" y="52"/>
                              <a:pt x="1956" y="45"/>
                              <a:pt x="1958" y="39"/>
                            </a:cubicBezTo>
                            <a:cubicBezTo>
                              <a:pt x="1959" y="34"/>
                              <a:pt x="1962" y="29"/>
                              <a:pt x="1965" y="26"/>
                            </a:cubicBezTo>
                            <a:cubicBezTo>
                              <a:pt x="1969" y="22"/>
                              <a:pt x="1973" y="20"/>
                              <a:pt x="1979" y="19"/>
                            </a:cubicBezTo>
                            <a:cubicBezTo>
                              <a:pt x="1985" y="17"/>
                              <a:pt x="1991" y="16"/>
                              <a:pt x="2000" y="16"/>
                            </a:cubicBezTo>
                            <a:cubicBezTo>
                              <a:pt x="2003" y="16"/>
                              <a:pt x="2006" y="17"/>
                              <a:pt x="2009" y="17"/>
                            </a:cubicBezTo>
                            <a:cubicBezTo>
                              <a:pt x="2012" y="17"/>
                              <a:pt x="2015" y="17"/>
                              <a:pt x="2018" y="17"/>
                            </a:cubicBezTo>
                            <a:cubicBezTo>
                              <a:pt x="2018" y="44"/>
                              <a:pt x="2018" y="44"/>
                              <a:pt x="2018" y="44"/>
                            </a:cubicBezTo>
                            <a:cubicBezTo>
                              <a:pt x="2014" y="44"/>
                              <a:pt x="2011" y="43"/>
                              <a:pt x="2008" y="43"/>
                            </a:cubicBezTo>
                            <a:cubicBezTo>
                              <a:pt x="2003" y="43"/>
                              <a:pt x="2000" y="44"/>
                              <a:pt x="1997" y="45"/>
                            </a:cubicBezTo>
                            <a:cubicBezTo>
                              <a:pt x="1995" y="47"/>
                              <a:pt x="1993" y="50"/>
                              <a:pt x="1993" y="55"/>
                            </a:cubicBezTo>
                            <a:cubicBezTo>
                              <a:pt x="1993" y="60"/>
                              <a:pt x="1993" y="60"/>
                              <a:pt x="1993" y="60"/>
                            </a:cubicBezTo>
                            <a:cubicBezTo>
                              <a:pt x="2016" y="60"/>
                              <a:pt x="2016" y="60"/>
                              <a:pt x="2016" y="60"/>
                            </a:cubicBezTo>
                            <a:cubicBezTo>
                              <a:pt x="2016" y="85"/>
                              <a:pt x="2016" y="85"/>
                              <a:pt x="2016" y="85"/>
                            </a:cubicBezTo>
                            <a:cubicBezTo>
                              <a:pt x="1993" y="85"/>
                              <a:pt x="1993" y="85"/>
                              <a:pt x="1993" y="85"/>
                            </a:cubicBezTo>
                            <a:cubicBezTo>
                              <a:pt x="1993" y="176"/>
                              <a:pt x="1993" y="176"/>
                              <a:pt x="1993" y="176"/>
                            </a:cubicBezTo>
                            <a:cubicBezTo>
                              <a:pt x="1955" y="176"/>
                              <a:pt x="1955" y="176"/>
                              <a:pt x="1955" y="176"/>
                            </a:cubicBezTo>
                            <a:lnTo>
                              <a:pt x="1955" y="85"/>
                            </a:lnTo>
                            <a:close/>
                            <a:moveTo>
                              <a:pt x="2022" y="96"/>
                            </a:moveTo>
                            <a:cubicBezTo>
                              <a:pt x="2022" y="88"/>
                              <a:pt x="2024" y="82"/>
                              <a:pt x="2027" y="77"/>
                            </a:cubicBezTo>
                            <a:cubicBezTo>
                              <a:pt x="2031" y="72"/>
                              <a:pt x="2035" y="68"/>
                              <a:pt x="2040" y="65"/>
                            </a:cubicBezTo>
                            <a:cubicBezTo>
                              <a:pt x="2045" y="62"/>
                              <a:pt x="2051" y="60"/>
                              <a:pt x="2057" y="59"/>
                            </a:cubicBezTo>
                            <a:cubicBezTo>
                              <a:pt x="2064" y="57"/>
                              <a:pt x="2070" y="57"/>
                              <a:pt x="2077" y="57"/>
                            </a:cubicBezTo>
                            <a:cubicBezTo>
                              <a:pt x="2084" y="57"/>
                              <a:pt x="2091" y="57"/>
                              <a:pt x="2097" y="58"/>
                            </a:cubicBezTo>
                            <a:cubicBezTo>
                              <a:pt x="2104" y="59"/>
                              <a:pt x="2109" y="61"/>
                              <a:pt x="2114" y="64"/>
                            </a:cubicBezTo>
                            <a:cubicBezTo>
                              <a:pt x="2120" y="67"/>
                              <a:pt x="2124" y="71"/>
                              <a:pt x="2127" y="76"/>
                            </a:cubicBezTo>
                            <a:cubicBezTo>
                              <a:pt x="2130" y="81"/>
                              <a:pt x="2131" y="88"/>
                              <a:pt x="2131" y="96"/>
                            </a:cubicBezTo>
                            <a:cubicBezTo>
                              <a:pt x="2131" y="147"/>
                              <a:pt x="2131" y="147"/>
                              <a:pt x="2131" y="147"/>
                            </a:cubicBezTo>
                            <a:cubicBezTo>
                              <a:pt x="2131" y="152"/>
                              <a:pt x="2131" y="157"/>
                              <a:pt x="2132" y="162"/>
                            </a:cubicBezTo>
                            <a:cubicBezTo>
                              <a:pt x="2132" y="167"/>
                              <a:pt x="2133" y="172"/>
                              <a:pt x="2136" y="176"/>
                            </a:cubicBezTo>
                            <a:cubicBezTo>
                              <a:pt x="2097" y="176"/>
                              <a:pt x="2097" y="176"/>
                              <a:pt x="2097" y="176"/>
                            </a:cubicBezTo>
                            <a:cubicBezTo>
                              <a:pt x="2097" y="175"/>
                              <a:pt x="2096" y="173"/>
                              <a:pt x="2096" y="171"/>
                            </a:cubicBezTo>
                            <a:cubicBezTo>
                              <a:pt x="2096" y="169"/>
                              <a:pt x="2095" y="167"/>
                              <a:pt x="2095" y="165"/>
                            </a:cubicBezTo>
                            <a:cubicBezTo>
                              <a:pt x="2090" y="171"/>
                              <a:pt x="2084" y="174"/>
                              <a:pt x="2078" y="176"/>
                            </a:cubicBezTo>
                            <a:cubicBezTo>
                              <a:pt x="2071" y="179"/>
                              <a:pt x="2064" y="180"/>
                              <a:pt x="2057" y="180"/>
                            </a:cubicBezTo>
                            <a:cubicBezTo>
                              <a:pt x="2051" y="180"/>
                              <a:pt x="2046" y="179"/>
                              <a:pt x="2041" y="178"/>
                            </a:cubicBezTo>
                            <a:cubicBezTo>
                              <a:pt x="2036" y="176"/>
                              <a:pt x="2032" y="174"/>
                              <a:pt x="2029" y="171"/>
                            </a:cubicBezTo>
                            <a:cubicBezTo>
                              <a:pt x="2025" y="168"/>
                              <a:pt x="2022" y="165"/>
                              <a:pt x="2020" y="160"/>
                            </a:cubicBezTo>
                            <a:cubicBezTo>
                              <a:pt x="2018" y="156"/>
                              <a:pt x="2017" y="151"/>
                              <a:pt x="2017" y="145"/>
                            </a:cubicBezTo>
                            <a:cubicBezTo>
                              <a:pt x="2017" y="138"/>
                              <a:pt x="2018" y="133"/>
                              <a:pt x="2020" y="129"/>
                            </a:cubicBezTo>
                            <a:cubicBezTo>
                              <a:pt x="2022" y="125"/>
                              <a:pt x="2025" y="121"/>
                              <a:pt x="2029" y="119"/>
                            </a:cubicBezTo>
                            <a:cubicBezTo>
                              <a:pt x="2032" y="116"/>
                              <a:pt x="2037" y="114"/>
                              <a:pt x="2041" y="112"/>
                            </a:cubicBezTo>
                            <a:cubicBezTo>
                              <a:pt x="2046" y="111"/>
                              <a:pt x="2051" y="110"/>
                              <a:pt x="2056" y="109"/>
                            </a:cubicBezTo>
                            <a:cubicBezTo>
                              <a:pt x="2061" y="108"/>
                              <a:pt x="2066" y="107"/>
                              <a:pt x="2071" y="106"/>
                            </a:cubicBezTo>
                            <a:cubicBezTo>
                              <a:pt x="2076" y="106"/>
                              <a:pt x="2080" y="105"/>
                              <a:pt x="2085" y="104"/>
                            </a:cubicBezTo>
                            <a:cubicBezTo>
                              <a:pt x="2088" y="104"/>
                              <a:pt x="2091" y="102"/>
                              <a:pt x="2092" y="101"/>
                            </a:cubicBezTo>
                            <a:cubicBezTo>
                              <a:pt x="2094" y="100"/>
                              <a:pt x="2095" y="97"/>
                              <a:pt x="2095" y="94"/>
                            </a:cubicBezTo>
                            <a:cubicBezTo>
                              <a:pt x="2095" y="91"/>
                              <a:pt x="2094" y="89"/>
                              <a:pt x="2093" y="88"/>
                            </a:cubicBezTo>
                            <a:cubicBezTo>
                              <a:pt x="2092" y="86"/>
                              <a:pt x="2090" y="85"/>
                              <a:pt x="2089" y="84"/>
                            </a:cubicBezTo>
                            <a:cubicBezTo>
                              <a:pt x="2087" y="83"/>
                              <a:pt x="2085" y="83"/>
                              <a:pt x="2083" y="82"/>
                            </a:cubicBezTo>
                            <a:cubicBezTo>
                              <a:pt x="2081" y="82"/>
                              <a:pt x="2079" y="81"/>
                              <a:pt x="2077" y="81"/>
                            </a:cubicBezTo>
                            <a:cubicBezTo>
                              <a:pt x="2066" y="81"/>
                              <a:pt x="2059" y="86"/>
                              <a:pt x="2058" y="96"/>
                            </a:cubicBezTo>
                            <a:lnTo>
                              <a:pt x="2022" y="96"/>
                            </a:lnTo>
                            <a:close/>
                            <a:moveTo>
                              <a:pt x="2055" y="143"/>
                            </a:moveTo>
                            <a:cubicBezTo>
                              <a:pt x="2055" y="148"/>
                              <a:pt x="2057" y="151"/>
                              <a:pt x="2060" y="153"/>
                            </a:cubicBezTo>
                            <a:cubicBezTo>
                              <a:pt x="2063" y="155"/>
                              <a:pt x="2067" y="156"/>
                              <a:pt x="2071" y="156"/>
                            </a:cubicBezTo>
                            <a:cubicBezTo>
                              <a:pt x="2080" y="156"/>
                              <a:pt x="2087" y="154"/>
                              <a:pt x="2090" y="148"/>
                            </a:cubicBezTo>
                            <a:cubicBezTo>
                              <a:pt x="2093" y="143"/>
                              <a:pt x="2095" y="134"/>
                              <a:pt x="2094" y="122"/>
                            </a:cubicBezTo>
                            <a:cubicBezTo>
                              <a:pt x="2092" y="124"/>
                              <a:pt x="2088" y="125"/>
                              <a:pt x="2084" y="125"/>
                            </a:cubicBezTo>
                            <a:cubicBezTo>
                              <a:pt x="2079" y="126"/>
                              <a:pt x="2075" y="127"/>
                              <a:pt x="2071" y="128"/>
                            </a:cubicBezTo>
                            <a:cubicBezTo>
                              <a:pt x="2067" y="129"/>
                              <a:pt x="2063" y="131"/>
                              <a:pt x="2060" y="133"/>
                            </a:cubicBezTo>
                            <a:cubicBezTo>
                              <a:pt x="2057" y="135"/>
                              <a:pt x="2055" y="138"/>
                              <a:pt x="2055" y="143"/>
                            </a:cubicBezTo>
                            <a:close/>
                            <a:moveTo>
                              <a:pt x="2226" y="103"/>
                            </a:moveTo>
                            <a:cubicBezTo>
                              <a:pt x="2226" y="100"/>
                              <a:pt x="2225" y="98"/>
                              <a:pt x="2224" y="96"/>
                            </a:cubicBezTo>
                            <a:cubicBezTo>
                              <a:pt x="2223" y="94"/>
                              <a:pt x="2222" y="92"/>
                              <a:pt x="2220" y="91"/>
                            </a:cubicBezTo>
                            <a:cubicBezTo>
                              <a:pt x="2218" y="89"/>
                              <a:pt x="2216" y="88"/>
                              <a:pt x="2214" y="87"/>
                            </a:cubicBezTo>
                            <a:cubicBezTo>
                              <a:pt x="2212" y="86"/>
                              <a:pt x="2209" y="86"/>
                              <a:pt x="2207" y="86"/>
                            </a:cubicBezTo>
                            <a:cubicBezTo>
                              <a:pt x="2202" y="86"/>
                              <a:pt x="2197" y="87"/>
                              <a:pt x="2194" y="89"/>
                            </a:cubicBezTo>
                            <a:cubicBezTo>
                              <a:pt x="2191" y="91"/>
                              <a:pt x="2188" y="94"/>
                              <a:pt x="2187" y="97"/>
                            </a:cubicBezTo>
                            <a:cubicBezTo>
                              <a:pt x="2185" y="100"/>
                              <a:pt x="2184" y="104"/>
                              <a:pt x="2183" y="108"/>
                            </a:cubicBezTo>
                            <a:cubicBezTo>
                              <a:pt x="2183" y="112"/>
                              <a:pt x="2182" y="116"/>
                              <a:pt x="2182" y="120"/>
                            </a:cubicBezTo>
                            <a:cubicBezTo>
                              <a:pt x="2182" y="124"/>
                              <a:pt x="2183" y="128"/>
                              <a:pt x="2184" y="131"/>
                            </a:cubicBezTo>
                            <a:cubicBezTo>
                              <a:pt x="2184" y="135"/>
                              <a:pt x="2186" y="138"/>
                              <a:pt x="2188" y="141"/>
                            </a:cubicBezTo>
                            <a:cubicBezTo>
                              <a:pt x="2189" y="144"/>
                              <a:pt x="2192" y="146"/>
                              <a:pt x="2195" y="148"/>
                            </a:cubicBezTo>
                            <a:cubicBezTo>
                              <a:pt x="2197" y="150"/>
                              <a:pt x="2201" y="151"/>
                              <a:pt x="2205" y="151"/>
                            </a:cubicBezTo>
                            <a:cubicBezTo>
                              <a:pt x="2212" y="151"/>
                              <a:pt x="2217" y="149"/>
                              <a:pt x="2220" y="145"/>
                            </a:cubicBezTo>
                            <a:cubicBezTo>
                              <a:pt x="2224" y="142"/>
                              <a:pt x="2226" y="137"/>
                              <a:pt x="2227" y="131"/>
                            </a:cubicBezTo>
                            <a:cubicBezTo>
                              <a:pt x="2264" y="131"/>
                              <a:pt x="2264" y="131"/>
                              <a:pt x="2264" y="131"/>
                            </a:cubicBezTo>
                            <a:cubicBezTo>
                              <a:pt x="2263" y="138"/>
                              <a:pt x="2261" y="145"/>
                              <a:pt x="2257" y="152"/>
                            </a:cubicBezTo>
                            <a:cubicBezTo>
                              <a:pt x="2254" y="158"/>
                              <a:pt x="2250" y="163"/>
                              <a:pt x="2245" y="167"/>
                            </a:cubicBezTo>
                            <a:cubicBezTo>
                              <a:pt x="2240" y="171"/>
                              <a:pt x="2234" y="174"/>
                              <a:pt x="2227" y="176"/>
                            </a:cubicBezTo>
                            <a:cubicBezTo>
                              <a:pt x="2220" y="179"/>
                              <a:pt x="2213" y="180"/>
                              <a:pt x="2205" y="180"/>
                            </a:cubicBezTo>
                            <a:cubicBezTo>
                              <a:pt x="2196" y="180"/>
                              <a:pt x="2188" y="178"/>
                              <a:pt x="2181" y="175"/>
                            </a:cubicBezTo>
                            <a:cubicBezTo>
                              <a:pt x="2173" y="173"/>
                              <a:pt x="2167" y="169"/>
                              <a:pt x="2162" y="163"/>
                            </a:cubicBezTo>
                            <a:cubicBezTo>
                              <a:pt x="2156" y="158"/>
                              <a:pt x="2152" y="152"/>
                              <a:pt x="2149" y="145"/>
                            </a:cubicBezTo>
                            <a:cubicBezTo>
                              <a:pt x="2146" y="137"/>
                              <a:pt x="2144" y="129"/>
                              <a:pt x="2144" y="120"/>
                            </a:cubicBezTo>
                            <a:cubicBezTo>
                              <a:pt x="2144" y="111"/>
                              <a:pt x="2146" y="102"/>
                              <a:pt x="2148" y="95"/>
                            </a:cubicBezTo>
                            <a:cubicBezTo>
                              <a:pt x="2151" y="87"/>
                              <a:pt x="2155" y="80"/>
                              <a:pt x="2161" y="75"/>
                            </a:cubicBezTo>
                            <a:cubicBezTo>
                              <a:pt x="2166" y="69"/>
                              <a:pt x="2172" y="65"/>
                              <a:pt x="2180" y="61"/>
                            </a:cubicBezTo>
                            <a:cubicBezTo>
                              <a:pt x="2187" y="58"/>
                              <a:pt x="2196" y="57"/>
                              <a:pt x="2205" y="57"/>
                            </a:cubicBezTo>
                            <a:cubicBezTo>
                              <a:pt x="2212" y="57"/>
                              <a:pt x="2219" y="58"/>
                              <a:pt x="2226" y="60"/>
                            </a:cubicBezTo>
                            <a:cubicBezTo>
                              <a:pt x="2233" y="62"/>
                              <a:pt x="2238" y="64"/>
                              <a:pt x="2244" y="68"/>
                            </a:cubicBezTo>
                            <a:cubicBezTo>
                              <a:pt x="2249" y="72"/>
                              <a:pt x="2253" y="77"/>
                              <a:pt x="2256" y="83"/>
                            </a:cubicBezTo>
                            <a:cubicBezTo>
                              <a:pt x="2260" y="88"/>
                              <a:pt x="2262" y="95"/>
                              <a:pt x="2262" y="103"/>
                            </a:cubicBezTo>
                            <a:lnTo>
                              <a:pt x="2226" y="103"/>
                            </a:lnTo>
                            <a:close/>
                            <a:moveTo>
                              <a:pt x="2316" y="46"/>
                            </a:moveTo>
                            <a:cubicBezTo>
                              <a:pt x="2277" y="46"/>
                              <a:pt x="2277" y="46"/>
                              <a:pt x="2277" y="46"/>
                            </a:cubicBezTo>
                            <a:cubicBezTo>
                              <a:pt x="2277" y="16"/>
                              <a:pt x="2277" y="16"/>
                              <a:pt x="2277" y="16"/>
                            </a:cubicBezTo>
                            <a:cubicBezTo>
                              <a:pt x="2316" y="16"/>
                              <a:pt x="2316" y="16"/>
                              <a:pt x="2316" y="16"/>
                            </a:cubicBezTo>
                            <a:lnTo>
                              <a:pt x="2316" y="46"/>
                            </a:lnTo>
                            <a:close/>
                            <a:moveTo>
                              <a:pt x="2277" y="60"/>
                            </a:moveTo>
                            <a:cubicBezTo>
                              <a:pt x="2316" y="60"/>
                              <a:pt x="2316" y="60"/>
                              <a:pt x="2316" y="60"/>
                            </a:cubicBezTo>
                            <a:cubicBezTo>
                              <a:pt x="2316" y="176"/>
                              <a:pt x="2316" y="176"/>
                              <a:pt x="2316" y="176"/>
                            </a:cubicBezTo>
                            <a:cubicBezTo>
                              <a:pt x="2277" y="176"/>
                              <a:pt x="2277" y="176"/>
                              <a:pt x="2277" y="176"/>
                            </a:cubicBezTo>
                            <a:lnTo>
                              <a:pt x="2277" y="60"/>
                            </a:lnTo>
                            <a:close/>
                            <a:moveTo>
                              <a:pt x="2337" y="16"/>
                            </a:moveTo>
                            <a:cubicBezTo>
                              <a:pt x="2375" y="16"/>
                              <a:pt x="2375" y="16"/>
                              <a:pt x="2375" y="16"/>
                            </a:cubicBezTo>
                            <a:cubicBezTo>
                              <a:pt x="2375" y="176"/>
                              <a:pt x="2375" y="176"/>
                              <a:pt x="2375" y="176"/>
                            </a:cubicBezTo>
                            <a:cubicBezTo>
                              <a:pt x="2337" y="176"/>
                              <a:pt x="2337" y="176"/>
                              <a:pt x="2337" y="176"/>
                            </a:cubicBezTo>
                            <a:lnTo>
                              <a:pt x="2337" y="16"/>
                            </a:lnTo>
                            <a:close/>
                            <a:moveTo>
                              <a:pt x="2435" y="46"/>
                            </a:moveTo>
                            <a:cubicBezTo>
                              <a:pt x="2397" y="46"/>
                              <a:pt x="2397" y="46"/>
                              <a:pt x="2397" y="46"/>
                            </a:cubicBezTo>
                            <a:cubicBezTo>
                              <a:pt x="2397" y="16"/>
                              <a:pt x="2397" y="16"/>
                              <a:pt x="2397" y="16"/>
                            </a:cubicBezTo>
                            <a:cubicBezTo>
                              <a:pt x="2435" y="16"/>
                              <a:pt x="2435" y="16"/>
                              <a:pt x="2435" y="16"/>
                            </a:cubicBezTo>
                            <a:lnTo>
                              <a:pt x="2435" y="46"/>
                            </a:lnTo>
                            <a:close/>
                            <a:moveTo>
                              <a:pt x="2397" y="60"/>
                            </a:moveTo>
                            <a:cubicBezTo>
                              <a:pt x="2435" y="60"/>
                              <a:pt x="2435" y="60"/>
                              <a:pt x="2435" y="60"/>
                            </a:cubicBezTo>
                            <a:cubicBezTo>
                              <a:pt x="2435" y="176"/>
                              <a:pt x="2435" y="176"/>
                              <a:pt x="2435" y="176"/>
                            </a:cubicBezTo>
                            <a:cubicBezTo>
                              <a:pt x="2397" y="176"/>
                              <a:pt x="2397" y="176"/>
                              <a:pt x="2397" y="176"/>
                            </a:cubicBezTo>
                            <a:lnTo>
                              <a:pt x="2397" y="60"/>
                            </a:lnTo>
                            <a:close/>
                            <a:moveTo>
                              <a:pt x="2526" y="85"/>
                            </a:moveTo>
                            <a:cubicBezTo>
                              <a:pt x="2502" y="85"/>
                              <a:pt x="2502" y="85"/>
                              <a:pt x="2502" y="85"/>
                            </a:cubicBezTo>
                            <a:cubicBezTo>
                              <a:pt x="2502" y="138"/>
                              <a:pt x="2502" y="138"/>
                              <a:pt x="2502" y="138"/>
                            </a:cubicBezTo>
                            <a:cubicBezTo>
                              <a:pt x="2502" y="142"/>
                              <a:pt x="2503" y="145"/>
                              <a:pt x="2506" y="147"/>
                            </a:cubicBezTo>
                            <a:cubicBezTo>
                              <a:pt x="2508" y="148"/>
                              <a:pt x="2512" y="149"/>
                              <a:pt x="2516" y="149"/>
                            </a:cubicBezTo>
                            <a:cubicBezTo>
                              <a:pt x="2517" y="149"/>
                              <a:pt x="2519" y="149"/>
                              <a:pt x="2521" y="149"/>
                            </a:cubicBezTo>
                            <a:cubicBezTo>
                              <a:pt x="2522" y="148"/>
                              <a:pt x="2524" y="148"/>
                              <a:pt x="2526" y="148"/>
                            </a:cubicBezTo>
                            <a:cubicBezTo>
                              <a:pt x="2526" y="176"/>
                              <a:pt x="2526" y="176"/>
                              <a:pt x="2526" y="176"/>
                            </a:cubicBezTo>
                            <a:cubicBezTo>
                              <a:pt x="2522" y="177"/>
                              <a:pt x="2519" y="177"/>
                              <a:pt x="2515" y="177"/>
                            </a:cubicBezTo>
                            <a:cubicBezTo>
                              <a:pt x="2512" y="177"/>
                              <a:pt x="2508" y="178"/>
                              <a:pt x="2505" y="178"/>
                            </a:cubicBezTo>
                            <a:cubicBezTo>
                              <a:pt x="2497" y="178"/>
                              <a:pt x="2490" y="177"/>
                              <a:pt x="2485" y="175"/>
                            </a:cubicBezTo>
                            <a:cubicBezTo>
                              <a:pt x="2479" y="174"/>
                              <a:pt x="2475" y="172"/>
                              <a:pt x="2472" y="169"/>
                            </a:cubicBezTo>
                            <a:cubicBezTo>
                              <a:pt x="2469" y="166"/>
                              <a:pt x="2467" y="161"/>
                              <a:pt x="2466" y="156"/>
                            </a:cubicBezTo>
                            <a:cubicBezTo>
                              <a:pt x="2465" y="151"/>
                              <a:pt x="2464" y="144"/>
                              <a:pt x="2464" y="137"/>
                            </a:cubicBezTo>
                            <a:cubicBezTo>
                              <a:pt x="2464" y="85"/>
                              <a:pt x="2464" y="85"/>
                              <a:pt x="2464" y="85"/>
                            </a:cubicBezTo>
                            <a:cubicBezTo>
                              <a:pt x="2445" y="85"/>
                              <a:pt x="2445" y="85"/>
                              <a:pt x="2445" y="85"/>
                            </a:cubicBezTo>
                            <a:cubicBezTo>
                              <a:pt x="2445" y="60"/>
                              <a:pt x="2445" y="60"/>
                              <a:pt x="2445" y="60"/>
                            </a:cubicBezTo>
                            <a:cubicBezTo>
                              <a:pt x="2464" y="60"/>
                              <a:pt x="2464" y="60"/>
                              <a:pt x="2464" y="60"/>
                            </a:cubicBezTo>
                            <a:cubicBezTo>
                              <a:pt x="2464" y="25"/>
                              <a:pt x="2464" y="25"/>
                              <a:pt x="2464" y="25"/>
                            </a:cubicBezTo>
                            <a:cubicBezTo>
                              <a:pt x="2502" y="25"/>
                              <a:pt x="2502" y="25"/>
                              <a:pt x="2502" y="25"/>
                            </a:cubicBezTo>
                            <a:cubicBezTo>
                              <a:pt x="2502" y="60"/>
                              <a:pt x="2502" y="60"/>
                              <a:pt x="2502" y="60"/>
                            </a:cubicBezTo>
                            <a:cubicBezTo>
                              <a:pt x="2526" y="60"/>
                              <a:pt x="2526" y="60"/>
                              <a:pt x="2526" y="60"/>
                            </a:cubicBezTo>
                            <a:lnTo>
                              <a:pt x="2526" y="85"/>
                            </a:lnTo>
                            <a:close/>
                            <a:moveTo>
                              <a:pt x="2535" y="96"/>
                            </a:moveTo>
                            <a:cubicBezTo>
                              <a:pt x="2535" y="88"/>
                              <a:pt x="2537" y="82"/>
                              <a:pt x="2540" y="77"/>
                            </a:cubicBezTo>
                            <a:cubicBezTo>
                              <a:pt x="2543" y="72"/>
                              <a:pt x="2548" y="68"/>
                              <a:pt x="2553" y="65"/>
                            </a:cubicBezTo>
                            <a:cubicBezTo>
                              <a:pt x="2558" y="62"/>
                              <a:pt x="2564" y="60"/>
                              <a:pt x="2570" y="59"/>
                            </a:cubicBezTo>
                            <a:cubicBezTo>
                              <a:pt x="2576" y="57"/>
                              <a:pt x="2583" y="57"/>
                              <a:pt x="2590" y="57"/>
                            </a:cubicBezTo>
                            <a:cubicBezTo>
                              <a:pt x="2597" y="57"/>
                              <a:pt x="2603" y="57"/>
                              <a:pt x="2610" y="58"/>
                            </a:cubicBezTo>
                            <a:cubicBezTo>
                              <a:pt x="2616" y="59"/>
                              <a:pt x="2622" y="61"/>
                              <a:pt x="2627" y="64"/>
                            </a:cubicBezTo>
                            <a:cubicBezTo>
                              <a:pt x="2632" y="67"/>
                              <a:pt x="2636" y="71"/>
                              <a:pt x="2639" y="76"/>
                            </a:cubicBezTo>
                            <a:cubicBezTo>
                              <a:pt x="2642" y="81"/>
                              <a:pt x="2644" y="88"/>
                              <a:pt x="2644" y="96"/>
                            </a:cubicBezTo>
                            <a:cubicBezTo>
                              <a:pt x="2644" y="147"/>
                              <a:pt x="2644" y="147"/>
                              <a:pt x="2644" y="147"/>
                            </a:cubicBezTo>
                            <a:cubicBezTo>
                              <a:pt x="2644" y="152"/>
                              <a:pt x="2644" y="157"/>
                              <a:pt x="2645" y="162"/>
                            </a:cubicBezTo>
                            <a:cubicBezTo>
                              <a:pt x="2645" y="167"/>
                              <a:pt x="2646" y="172"/>
                              <a:pt x="2648" y="176"/>
                            </a:cubicBezTo>
                            <a:cubicBezTo>
                              <a:pt x="2610" y="176"/>
                              <a:pt x="2610" y="176"/>
                              <a:pt x="2610" y="176"/>
                            </a:cubicBezTo>
                            <a:cubicBezTo>
                              <a:pt x="2609" y="175"/>
                              <a:pt x="2609" y="173"/>
                              <a:pt x="2609" y="171"/>
                            </a:cubicBezTo>
                            <a:cubicBezTo>
                              <a:pt x="2608" y="169"/>
                              <a:pt x="2608" y="167"/>
                              <a:pt x="2608" y="165"/>
                            </a:cubicBezTo>
                            <a:cubicBezTo>
                              <a:pt x="2603" y="171"/>
                              <a:pt x="2597" y="174"/>
                              <a:pt x="2590" y="176"/>
                            </a:cubicBezTo>
                            <a:cubicBezTo>
                              <a:pt x="2584" y="179"/>
                              <a:pt x="2577" y="180"/>
                              <a:pt x="2570" y="180"/>
                            </a:cubicBezTo>
                            <a:cubicBezTo>
                              <a:pt x="2564" y="180"/>
                              <a:pt x="2559" y="179"/>
                              <a:pt x="2554" y="178"/>
                            </a:cubicBezTo>
                            <a:cubicBezTo>
                              <a:pt x="2549" y="176"/>
                              <a:pt x="2545" y="174"/>
                              <a:pt x="2541" y="171"/>
                            </a:cubicBezTo>
                            <a:cubicBezTo>
                              <a:pt x="2538" y="168"/>
                              <a:pt x="2535" y="165"/>
                              <a:pt x="2533" y="160"/>
                            </a:cubicBezTo>
                            <a:cubicBezTo>
                              <a:pt x="2531" y="156"/>
                              <a:pt x="2530" y="151"/>
                              <a:pt x="2530" y="145"/>
                            </a:cubicBezTo>
                            <a:cubicBezTo>
                              <a:pt x="2530" y="138"/>
                              <a:pt x="2531" y="133"/>
                              <a:pt x="2533" y="129"/>
                            </a:cubicBezTo>
                            <a:cubicBezTo>
                              <a:pt x="2535" y="125"/>
                              <a:pt x="2538" y="121"/>
                              <a:pt x="2542" y="119"/>
                            </a:cubicBezTo>
                            <a:cubicBezTo>
                              <a:pt x="2545" y="116"/>
                              <a:pt x="2549" y="114"/>
                              <a:pt x="2554" y="112"/>
                            </a:cubicBezTo>
                            <a:cubicBezTo>
                              <a:pt x="2559" y="111"/>
                              <a:pt x="2563" y="110"/>
                              <a:pt x="2568" y="109"/>
                            </a:cubicBezTo>
                            <a:cubicBezTo>
                              <a:pt x="2573" y="108"/>
                              <a:pt x="2578" y="107"/>
                              <a:pt x="2583" y="106"/>
                            </a:cubicBezTo>
                            <a:cubicBezTo>
                              <a:pt x="2588" y="106"/>
                              <a:pt x="2593" y="105"/>
                              <a:pt x="2598" y="104"/>
                            </a:cubicBezTo>
                            <a:cubicBezTo>
                              <a:pt x="2601" y="104"/>
                              <a:pt x="2603" y="102"/>
                              <a:pt x="2605" y="101"/>
                            </a:cubicBezTo>
                            <a:cubicBezTo>
                              <a:pt x="2607" y="100"/>
                              <a:pt x="2608" y="97"/>
                              <a:pt x="2608" y="94"/>
                            </a:cubicBezTo>
                            <a:cubicBezTo>
                              <a:pt x="2608" y="91"/>
                              <a:pt x="2607" y="89"/>
                              <a:pt x="2606" y="88"/>
                            </a:cubicBezTo>
                            <a:cubicBezTo>
                              <a:pt x="2605" y="86"/>
                              <a:pt x="2603" y="85"/>
                              <a:pt x="2601" y="84"/>
                            </a:cubicBezTo>
                            <a:cubicBezTo>
                              <a:pt x="2600" y="83"/>
                              <a:pt x="2598" y="83"/>
                              <a:pt x="2595" y="82"/>
                            </a:cubicBezTo>
                            <a:cubicBezTo>
                              <a:pt x="2593" y="82"/>
                              <a:pt x="2591" y="81"/>
                              <a:pt x="2589" y="81"/>
                            </a:cubicBezTo>
                            <a:cubicBezTo>
                              <a:pt x="2578" y="81"/>
                              <a:pt x="2572" y="86"/>
                              <a:pt x="2570" y="96"/>
                            </a:cubicBezTo>
                            <a:lnTo>
                              <a:pt x="2535" y="96"/>
                            </a:lnTo>
                            <a:close/>
                            <a:moveTo>
                              <a:pt x="2568" y="143"/>
                            </a:moveTo>
                            <a:cubicBezTo>
                              <a:pt x="2568" y="148"/>
                              <a:pt x="2570" y="151"/>
                              <a:pt x="2573" y="153"/>
                            </a:cubicBezTo>
                            <a:cubicBezTo>
                              <a:pt x="2576" y="155"/>
                              <a:pt x="2580" y="156"/>
                              <a:pt x="2584" y="156"/>
                            </a:cubicBezTo>
                            <a:cubicBezTo>
                              <a:pt x="2593" y="156"/>
                              <a:pt x="2599" y="154"/>
                              <a:pt x="2603" y="148"/>
                            </a:cubicBezTo>
                            <a:cubicBezTo>
                              <a:pt x="2606" y="143"/>
                              <a:pt x="2608" y="134"/>
                              <a:pt x="2607" y="122"/>
                            </a:cubicBezTo>
                            <a:cubicBezTo>
                              <a:pt x="2605" y="124"/>
                              <a:pt x="2601" y="125"/>
                              <a:pt x="2597" y="125"/>
                            </a:cubicBezTo>
                            <a:cubicBezTo>
                              <a:pt x="2592" y="126"/>
                              <a:pt x="2588" y="127"/>
                              <a:pt x="2584" y="128"/>
                            </a:cubicBezTo>
                            <a:cubicBezTo>
                              <a:pt x="2579" y="129"/>
                              <a:pt x="2576" y="131"/>
                              <a:pt x="2573" y="133"/>
                            </a:cubicBezTo>
                            <a:cubicBezTo>
                              <a:pt x="2570" y="135"/>
                              <a:pt x="2568" y="138"/>
                              <a:pt x="2568" y="143"/>
                            </a:cubicBezTo>
                            <a:close/>
                            <a:moveTo>
                              <a:pt x="2733" y="85"/>
                            </a:moveTo>
                            <a:cubicBezTo>
                              <a:pt x="2709" y="85"/>
                              <a:pt x="2709" y="85"/>
                              <a:pt x="2709" y="85"/>
                            </a:cubicBezTo>
                            <a:cubicBezTo>
                              <a:pt x="2709" y="138"/>
                              <a:pt x="2709" y="138"/>
                              <a:pt x="2709" y="138"/>
                            </a:cubicBezTo>
                            <a:cubicBezTo>
                              <a:pt x="2709" y="142"/>
                              <a:pt x="2710" y="145"/>
                              <a:pt x="2713" y="147"/>
                            </a:cubicBezTo>
                            <a:cubicBezTo>
                              <a:pt x="2715" y="148"/>
                              <a:pt x="2719" y="149"/>
                              <a:pt x="2723" y="149"/>
                            </a:cubicBezTo>
                            <a:cubicBezTo>
                              <a:pt x="2724" y="149"/>
                              <a:pt x="2726" y="149"/>
                              <a:pt x="2728" y="149"/>
                            </a:cubicBezTo>
                            <a:cubicBezTo>
                              <a:pt x="2729" y="148"/>
                              <a:pt x="2731" y="148"/>
                              <a:pt x="2733" y="148"/>
                            </a:cubicBezTo>
                            <a:cubicBezTo>
                              <a:pt x="2733" y="176"/>
                              <a:pt x="2733" y="176"/>
                              <a:pt x="2733" y="176"/>
                            </a:cubicBezTo>
                            <a:cubicBezTo>
                              <a:pt x="2729" y="177"/>
                              <a:pt x="2726" y="177"/>
                              <a:pt x="2722" y="177"/>
                            </a:cubicBezTo>
                            <a:cubicBezTo>
                              <a:pt x="2719" y="177"/>
                              <a:pt x="2715" y="178"/>
                              <a:pt x="2712" y="178"/>
                            </a:cubicBezTo>
                            <a:cubicBezTo>
                              <a:pt x="2704" y="178"/>
                              <a:pt x="2697" y="177"/>
                              <a:pt x="2692" y="175"/>
                            </a:cubicBezTo>
                            <a:cubicBezTo>
                              <a:pt x="2686" y="174"/>
                              <a:pt x="2682" y="172"/>
                              <a:pt x="2679" y="169"/>
                            </a:cubicBezTo>
                            <a:cubicBezTo>
                              <a:pt x="2676" y="166"/>
                              <a:pt x="2674" y="161"/>
                              <a:pt x="2673" y="156"/>
                            </a:cubicBezTo>
                            <a:cubicBezTo>
                              <a:pt x="2672" y="151"/>
                              <a:pt x="2671" y="144"/>
                              <a:pt x="2671" y="137"/>
                            </a:cubicBezTo>
                            <a:cubicBezTo>
                              <a:pt x="2671" y="85"/>
                              <a:pt x="2671" y="85"/>
                              <a:pt x="2671" y="85"/>
                            </a:cubicBezTo>
                            <a:cubicBezTo>
                              <a:pt x="2652" y="85"/>
                              <a:pt x="2652" y="85"/>
                              <a:pt x="2652" y="85"/>
                            </a:cubicBezTo>
                            <a:cubicBezTo>
                              <a:pt x="2652" y="60"/>
                              <a:pt x="2652" y="60"/>
                              <a:pt x="2652" y="60"/>
                            </a:cubicBezTo>
                            <a:cubicBezTo>
                              <a:pt x="2671" y="60"/>
                              <a:pt x="2671" y="60"/>
                              <a:pt x="2671" y="60"/>
                            </a:cubicBezTo>
                            <a:cubicBezTo>
                              <a:pt x="2671" y="25"/>
                              <a:pt x="2671" y="25"/>
                              <a:pt x="2671" y="25"/>
                            </a:cubicBezTo>
                            <a:cubicBezTo>
                              <a:pt x="2709" y="25"/>
                              <a:pt x="2709" y="25"/>
                              <a:pt x="2709" y="25"/>
                            </a:cubicBezTo>
                            <a:cubicBezTo>
                              <a:pt x="2709" y="60"/>
                              <a:pt x="2709" y="60"/>
                              <a:pt x="2709" y="60"/>
                            </a:cubicBezTo>
                            <a:cubicBezTo>
                              <a:pt x="2733" y="60"/>
                              <a:pt x="2733" y="60"/>
                              <a:pt x="2733" y="60"/>
                            </a:cubicBezTo>
                            <a:lnTo>
                              <a:pt x="2733" y="85"/>
                            </a:lnTo>
                            <a:close/>
                            <a:moveTo>
                              <a:pt x="2783" y="46"/>
                            </a:moveTo>
                            <a:cubicBezTo>
                              <a:pt x="2745" y="46"/>
                              <a:pt x="2745" y="46"/>
                              <a:pt x="2745" y="46"/>
                            </a:cubicBezTo>
                            <a:cubicBezTo>
                              <a:pt x="2745" y="16"/>
                              <a:pt x="2745" y="16"/>
                              <a:pt x="2745" y="16"/>
                            </a:cubicBezTo>
                            <a:cubicBezTo>
                              <a:pt x="2783" y="16"/>
                              <a:pt x="2783" y="16"/>
                              <a:pt x="2783" y="16"/>
                            </a:cubicBezTo>
                            <a:lnTo>
                              <a:pt x="2783" y="46"/>
                            </a:lnTo>
                            <a:close/>
                            <a:moveTo>
                              <a:pt x="2745" y="60"/>
                            </a:moveTo>
                            <a:cubicBezTo>
                              <a:pt x="2783" y="60"/>
                              <a:pt x="2783" y="60"/>
                              <a:pt x="2783" y="60"/>
                            </a:cubicBezTo>
                            <a:cubicBezTo>
                              <a:pt x="2783" y="176"/>
                              <a:pt x="2783" y="176"/>
                              <a:pt x="2783" y="176"/>
                            </a:cubicBezTo>
                            <a:cubicBezTo>
                              <a:pt x="2745" y="176"/>
                              <a:pt x="2745" y="176"/>
                              <a:pt x="2745" y="176"/>
                            </a:cubicBezTo>
                            <a:lnTo>
                              <a:pt x="2745" y="60"/>
                            </a:lnTo>
                            <a:close/>
                            <a:moveTo>
                              <a:pt x="2803" y="60"/>
                            </a:moveTo>
                            <a:cubicBezTo>
                              <a:pt x="2840" y="60"/>
                              <a:pt x="2840" y="60"/>
                              <a:pt x="2840" y="60"/>
                            </a:cubicBezTo>
                            <a:cubicBezTo>
                              <a:pt x="2840" y="76"/>
                              <a:pt x="2840" y="76"/>
                              <a:pt x="2840" y="76"/>
                            </a:cubicBezTo>
                            <a:cubicBezTo>
                              <a:pt x="2840" y="76"/>
                              <a:pt x="2840" y="76"/>
                              <a:pt x="2840" y="76"/>
                            </a:cubicBezTo>
                            <a:cubicBezTo>
                              <a:pt x="2842" y="73"/>
                              <a:pt x="2844" y="70"/>
                              <a:pt x="2847" y="68"/>
                            </a:cubicBezTo>
                            <a:cubicBezTo>
                              <a:pt x="2850" y="66"/>
                              <a:pt x="2853" y="64"/>
                              <a:pt x="2856" y="62"/>
                            </a:cubicBezTo>
                            <a:cubicBezTo>
                              <a:pt x="2859" y="60"/>
                              <a:pt x="2863" y="59"/>
                              <a:pt x="2866" y="58"/>
                            </a:cubicBezTo>
                            <a:cubicBezTo>
                              <a:pt x="2870" y="57"/>
                              <a:pt x="2873" y="57"/>
                              <a:pt x="2877" y="57"/>
                            </a:cubicBezTo>
                            <a:cubicBezTo>
                              <a:pt x="2887" y="57"/>
                              <a:pt x="2894" y="58"/>
                              <a:pt x="2900" y="61"/>
                            </a:cubicBezTo>
                            <a:cubicBezTo>
                              <a:pt x="2905" y="65"/>
                              <a:pt x="2910" y="68"/>
                              <a:pt x="2912" y="73"/>
                            </a:cubicBezTo>
                            <a:cubicBezTo>
                              <a:pt x="2915" y="78"/>
                              <a:pt x="2917" y="82"/>
                              <a:pt x="2918" y="88"/>
                            </a:cubicBezTo>
                            <a:cubicBezTo>
                              <a:pt x="2918" y="93"/>
                              <a:pt x="2919" y="98"/>
                              <a:pt x="2919" y="102"/>
                            </a:cubicBezTo>
                            <a:cubicBezTo>
                              <a:pt x="2919" y="176"/>
                              <a:pt x="2919" y="176"/>
                              <a:pt x="2919" y="176"/>
                            </a:cubicBezTo>
                            <a:cubicBezTo>
                              <a:pt x="2881" y="176"/>
                              <a:pt x="2881" y="176"/>
                              <a:pt x="2881" y="176"/>
                            </a:cubicBezTo>
                            <a:cubicBezTo>
                              <a:pt x="2881" y="120"/>
                              <a:pt x="2881" y="120"/>
                              <a:pt x="2881" y="120"/>
                            </a:cubicBezTo>
                            <a:cubicBezTo>
                              <a:pt x="2881" y="116"/>
                              <a:pt x="2881" y="112"/>
                              <a:pt x="2881" y="109"/>
                            </a:cubicBezTo>
                            <a:cubicBezTo>
                              <a:pt x="2881" y="105"/>
                              <a:pt x="2880" y="101"/>
                              <a:pt x="2879" y="98"/>
                            </a:cubicBezTo>
                            <a:cubicBezTo>
                              <a:pt x="2878" y="95"/>
                              <a:pt x="2876" y="93"/>
                              <a:pt x="2873" y="91"/>
                            </a:cubicBezTo>
                            <a:cubicBezTo>
                              <a:pt x="2871" y="89"/>
                              <a:pt x="2867" y="88"/>
                              <a:pt x="2862" y="88"/>
                            </a:cubicBezTo>
                            <a:cubicBezTo>
                              <a:pt x="2858" y="88"/>
                              <a:pt x="2855" y="89"/>
                              <a:pt x="2852" y="90"/>
                            </a:cubicBezTo>
                            <a:cubicBezTo>
                              <a:pt x="2850" y="92"/>
                              <a:pt x="2848" y="94"/>
                              <a:pt x="2846" y="96"/>
                            </a:cubicBezTo>
                            <a:cubicBezTo>
                              <a:pt x="2844" y="98"/>
                              <a:pt x="2843" y="101"/>
                              <a:pt x="2842" y="104"/>
                            </a:cubicBezTo>
                            <a:cubicBezTo>
                              <a:pt x="2841" y="107"/>
                              <a:pt x="2841" y="110"/>
                              <a:pt x="2841" y="113"/>
                            </a:cubicBezTo>
                            <a:cubicBezTo>
                              <a:pt x="2841" y="176"/>
                              <a:pt x="2841" y="176"/>
                              <a:pt x="2841" y="176"/>
                            </a:cubicBezTo>
                            <a:cubicBezTo>
                              <a:pt x="2803" y="176"/>
                              <a:pt x="2803" y="176"/>
                              <a:pt x="2803" y="176"/>
                            </a:cubicBezTo>
                            <a:lnTo>
                              <a:pt x="2803" y="60"/>
                            </a:lnTo>
                            <a:close/>
                            <a:moveTo>
                              <a:pt x="3050" y="162"/>
                            </a:moveTo>
                            <a:cubicBezTo>
                              <a:pt x="3050" y="167"/>
                              <a:pt x="3050" y="173"/>
                              <a:pt x="3049" y="179"/>
                            </a:cubicBezTo>
                            <a:cubicBezTo>
                              <a:pt x="3048" y="185"/>
                              <a:pt x="3045" y="191"/>
                              <a:pt x="3041" y="197"/>
                            </a:cubicBezTo>
                            <a:cubicBezTo>
                              <a:pt x="3038" y="202"/>
                              <a:pt x="3032" y="207"/>
                              <a:pt x="3024" y="211"/>
                            </a:cubicBezTo>
                            <a:cubicBezTo>
                              <a:pt x="3016" y="215"/>
                              <a:pt x="3006" y="217"/>
                              <a:pt x="2992" y="217"/>
                            </a:cubicBezTo>
                            <a:cubicBezTo>
                              <a:pt x="2985" y="217"/>
                              <a:pt x="2979" y="217"/>
                              <a:pt x="2972" y="216"/>
                            </a:cubicBezTo>
                            <a:cubicBezTo>
                              <a:pt x="2966" y="215"/>
                              <a:pt x="2960" y="213"/>
                              <a:pt x="2955" y="210"/>
                            </a:cubicBezTo>
                            <a:cubicBezTo>
                              <a:pt x="2950" y="208"/>
                              <a:pt x="2945" y="204"/>
                              <a:pt x="2942" y="199"/>
                            </a:cubicBezTo>
                            <a:cubicBezTo>
                              <a:pt x="2938" y="194"/>
                              <a:pt x="2936" y="188"/>
                              <a:pt x="2935" y="180"/>
                            </a:cubicBezTo>
                            <a:cubicBezTo>
                              <a:pt x="2973" y="180"/>
                              <a:pt x="2973" y="180"/>
                              <a:pt x="2973" y="180"/>
                            </a:cubicBezTo>
                            <a:cubicBezTo>
                              <a:pt x="2974" y="185"/>
                              <a:pt x="2976" y="188"/>
                              <a:pt x="2979" y="190"/>
                            </a:cubicBezTo>
                            <a:cubicBezTo>
                              <a:pt x="2983" y="192"/>
                              <a:pt x="2987" y="193"/>
                              <a:pt x="2993" y="193"/>
                            </a:cubicBezTo>
                            <a:cubicBezTo>
                              <a:pt x="2998" y="193"/>
                              <a:pt x="3001" y="192"/>
                              <a:pt x="3004" y="190"/>
                            </a:cubicBezTo>
                            <a:cubicBezTo>
                              <a:pt x="3007" y="189"/>
                              <a:pt x="3009" y="187"/>
                              <a:pt x="3010" y="184"/>
                            </a:cubicBezTo>
                            <a:cubicBezTo>
                              <a:pt x="3012" y="182"/>
                              <a:pt x="3012" y="179"/>
                              <a:pt x="3013" y="176"/>
                            </a:cubicBezTo>
                            <a:cubicBezTo>
                              <a:pt x="3013" y="172"/>
                              <a:pt x="3013" y="169"/>
                              <a:pt x="3013" y="165"/>
                            </a:cubicBezTo>
                            <a:cubicBezTo>
                              <a:pt x="3013" y="154"/>
                              <a:pt x="3013" y="154"/>
                              <a:pt x="3013" y="154"/>
                            </a:cubicBezTo>
                            <a:cubicBezTo>
                              <a:pt x="3013" y="154"/>
                              <a:pt x="3013" y="154"/>
                              <a:pt x="3013" y="154"/>
                            </a:cubicBezTo>
                            <a:cubicBezTo>
                              <a:pt x="3009" y="160"/>
                              <a:pt x="3005" y="164"/>
                              <a:pt x="3000" y="167"/>
                            </a:cubicBezTo>
                            <a:cubicBezTo>
                              <a:pt x="2994" y="170"/>
                              <a:pt x="2988" y="171"/>
                              <a:pt x="2982" y="171"/>
                            </a:cubicBezTo>
                            <a:cubicBezTo>
                              <a:pt x="2973" y="171"/>
                              <a:pt x="2966" y="170"/>
                              <a:pt x="2959" y="167"/>
                            </a:cubicBezTo>
                            <a:cubicBezTo>
                              <a:pt x="2953" y="164"/>
                              <a:pt x="2947" y="160"/>
                              <a:pt x="2943" y="155"/>
                            </a:cubicBezTo>
                            <a:cubicBezTo>
                              <a:pt x="2939" y="150"/>
                              <a:pt x="2936" y="144"/>
                              <a:pt x="2934" y="137"/>
                            </a:cubicBezTo>
                            <a:cubicBezTo>
                              <a:pt x="2932" y="129"/>
                              <a:pt x="2931" y="122"/>
                              <a:pt x="2931" y="114"/>
                            </a:cubicBezTo>
                            <a:cubicBezTo>
                              <a:pt x="2931" y="106"/>
                              <a:pt x="2932" y="99"/>
                              <a:pt x="2934" y="92"/>
                            </a:cubicBezTo>
                            <a:cubicBezTo>
                              <a:pt x="2936" y="85"/>
                              <a:pt x="2940" y="79"/>
                              <a:pt x="2944" y="74"/>
                            </a:cubicBezTo>
                            <a:cubicBezTo>
                              <a:pt x="2948" y="69"/>
                              <a:pt x="2954" y="64"/>
                              <a:pt x="2960" y="61"/>
                            </a:cubicBezTo>
                            <a:cubicBezTo>
                              <a:pt x="2966" y="58"/>
                              <a:pt x="2974" y="57"/>
                              <a:pt x="2982" y="57"/>
                            </a:cubicBezTo>
                            <a:cubicBezTo>
                              <a:pt x="2996" y="57"/>
                              <a:pt x="3006" y="63"/>
                              <a:pt x="3013" y="75"/>
                            </a:cubicBezTo>
                            <a:cubicBezTo>
                              <a:pt x="3014" y="75"/>
                              <a:pt x="3014" y="75"/>
                              <a:pt x="3014" y="75"/>
                            </a:cubicBezTo>
                            <a:cubicBezTo>
                              <a:pt x="3014" y="60"/>
                              <a:pt x="3014" y="60"/>
                              <a:pt x="3014" y="60"/>
                            </a:cubicBezTo>
                            <a:cubicBezTo>
                              <a:pt x="3050" y="60"/>
                              <a:pt x="3050" y="60"/>
                              <a:pt x="3050" y="60"/>
                            </a:cubicBezTo>
                            <a:lnTo>
                              <a:pt x="3050" y="162"/>
                            </a:lnTo>
                            <a:close/>
                            <a:moveTo>
                              <a:pt x="3014" y="115"/>
                            </a:moveTo>
                            <a:cubicBezTo>
                              <a:pt x="3014" y="111"/>
                              <a:pt x="3014" y="108"/>
                              <a:pt x="3013" y="104"/>
                            </a:cubicBezTo>
                            <a:cubicBezTo>
                              <a:pt x="3012" y="101"/>
                              <a:pt x="3011" y="98"/>
                              <a:pt x="3009" y="95"/>
                            </a:cubicBezTo>
                            <a:cubicBezTo>
                              <a:pt x="3007" y="92"/>
                              <a:pt x="3005" y="90"/>
                              <a:pt x="3002" y="88"/>
                            </a:cubicBezTo>
                            <a:cubicBezTo>
                              <a:pt x="2999" y="87"/>
                              <a:pt x="2995" y="86"/>
                              <a:pt x="2991" y="86"/>
                            </a:cubicBezTo>
                            <a:cubicBezTo>
                              <a:pt x="2987" y="86"/>
                              <a:pt x="2983" y="87"/>
                              <a:pt x="2981" y="88"/>
                            </a:cubicBezTo>
                            <a:cubicBezTo>
                              <a:pt x="2978" y="90"/>
                              <a:pt x="2975" y="92"/>
                              <a:pt x="2974" y="95"/>
                            </a:cubicBezTo>
                            <a:cubicBezTo>
                              <a:pt x="2972" y="98"/>
                              <a:pt x="2971" y="101"/>
                              <a:pt x="2970" y="104"/>
                            </a:cubicBezTo>
                            <a:cubicBezTo>
                              <a:pt x="2969" y="108"/>
                              <a:pt x="2969" y="111"/>
                              <a:pt x="2969" y="115"/>
                            </a:cubicBezTo>
                            <a:cubicBezTo>
                              <a:pt x="2969" y="118"/>
                              <a:pt x="2969" y="122"/>
                              <a:pt x="2970" y="125"/>
                            </a:cubicBezTo>
                            <a:cubicBezTo>
                              <a:pt x="2971" y="128"/>
                              <a:pt x="2972" y="131"/>
                              <a:pt x="2974" y="134"/>
                            </a:cubicBezTo>
                            <a:cubicBezTo>
                              <a:pt x="2976" y="136"/>
                              <a:pt x="2978" y="138"/>
                              <a:pt x="2981" y="140"/>
                            </a:cubicBezTo>
                            <a:cubicBezTo>
                              <a:pt x="2984" y="142"/>
                              <a:pt x="2987" y="142"/>
                              <a:pt x="2991" y="142"/>
                            </a:cubicBezTo>
                            <a:cubicBezTo>
                              <a:pt x="2995" y="142"/>
                              <a:pt x="2998" y="142"/>
                              <a:pt x="3001" y="140"/>
                            </a:cubicBezTo>
                            <a:cubicBezTo>
                              <a:pt x="3004" y="139"/>
                              <a:pt x="3007" y="137"/>
                              <a:pt x="3008" y="134"/>
                            </a:cubicBezTo>
                            <a:cubicBezTo>
                              <a:pt x="3010" y="132"/>
                              <a:pt x="3012" y="129"/>
                              <a:pt x="3013" y="126"/>
                            </a:cubicBezTo>
                            <a:cubicBezTo>
                              <a:pt x="3014" y="122"/>
                              <a:pt x="3014" y="119"/>
                              <a:pt x="3014" y="115"/>
                            </a:cubicBezTo>
                            <a:close/>
                            <a:moveTo>
                              <a:pt x="3199" y="0"/>
                            </a:moveTo>
                            <a:cubicBezTo>
                              <a:pt x="3211" y="0"/>
                              <a:pt x="3211" y="0"/>
                              <a:pt x="3211" y="0"/>
                            </a:cubicBezTo>
                            <a:cubicBezTo>
                              <a:pt x="3211" y="224"/>
                              <a:pt x="3211" y="224"/>
                              <a:pt x="3211" y="224"/>
                            </a:cubicBezTo>
                            <a:cubicBezTo>
                              <a:pt x="3199" y="224"/>
                              <a:pt x="3199" y="224"/>
                              <a:pt x="3199" y="224"/>
                            </a:cubicBezTo>
                            <a:lnTo>
                              <a:pt x="3199" y="0"/>
                            </a:lnTo>
                            <a:close/>
                            <a:moveTo>
                              <a:pt x="3365" y="60"/>
                            </a:moveTo>
                            <a:cubicBezTo>
                              <a:pt x="3402" y="60"/>
                              <a:pt x="3402" y="60"/>
                              <a:pt x="3402" y="60"/>
                            </a:cubicBezTo>
                            <a:cubicBezTo>
                              <a:pt x="3402" y="81"/>
                              <a:pt x="3402" y="81"/>
                              <a:pt x="3402" y="81"/>
                            </a:cubicBezTo>
                            <a:cubicBezTo>
                              <a:pt x="3402" y="81"/>
                              <a:pt x="3402" y="81"/>
                              <a:pt x="3402" y="81"/>
                            </a:cubicBezTo>
                            <a:cubicBezTo>
                              <a:pt x="3405" y="73"/>
                              <a:pt x="3410" y="67"/>
                              <a:pt x="3416" y="64"/>
                            </a:cubicBezTo>
                            <a:cubicBezTo>
                              <a:pt x="3422" y="60"/>
                              <a:pt x="3429" y="58"/>
                              <a:pt x="3437" y="58"/>
                            </a:cubicBezTo>
                            <a:cubicBezTo>
                              <a:pt x="3439" y="58"/>
                              <a:pt x="3440" y="58"/>
                              <a:pt x="3442" y="58"/>
                            </a:cubicBezTo>
                            <a:cubicBezTo>
                              <a:pt x="3443" y="58"/>
                              <a:pt x="3445" y="58"/>
                              <a:pt x="3446" y="59"/>
                            </a:cubicBezTo>
                            <a:cubicBezTo>
                              <a:pt x="3446" y="94"/>
                              <a:pt x="3446" y="94"/>
                              <a:pt x="3446" y="94"/>
                            </a:cubicBezTo>
                            <a:cubicBezTo>
                              <a:pt x="3444" y="93"/>
                              <a:pt x="3441" y="92"/>
                              <a:pt x="3439" y="92"/>
                            </a:cubicBezTo>
                            <a:cubicBezTo>
                              <a:pt x="3437" y="91"/>
                              <a:pt x="3434" y="91"/>
                              <a:pt x="3432" y="91"/>
                            </a:cubicBezTo>
                            <a:cubicBezTo>
                              <a:pt x="3427" y="91"/>
                              <a:pt x="3423" y="92"/>
                              <a:pt x="3419" y="94"/>
                            </a:cubicBezTo>
                            <a:cubicBezTo>
                              <a:pt x="3416" y="95"/>
                              <a:pt x="3413" y="97"/>
                              <a:pt x="3410" y="100"/>
                            </a:cubicBezTo>
                            <a:cubicBezTo>
                              <a:pt x="3408" y="102"/>
                              <a:pt x="3406" y="105"/>
                              <a:pt x="3405" y="108"/>
                            </a:cubicBezTo>
                            <a:cubicBezTo>
                              <a:pt x="3404" y="112"/>
                              <a:pt x="3403" y="115"/>
                              <a:pt x="3403" y="119"/>
                            </a:cubicBezTo>
                            <a:cubicBezTo>
                              <a:pt x="3403" y="176"/>
                              <a:pt x="3403" y="176"/>
                              <a:pt x="3403" y="176"/>
                            </a:cubicBezTo>
                            <a:cubicBezTo>
                              <a:pt x="3365" y="176"/>
                              <a:pt x="3365" y="176"/>
                              <a:pt x="3365" y="176"/>
                            </a:cubicBezTo>
                            <a:lnTo>
                              <a:pt x="3365" y="60"/>
                            </a:lnTo>
                            <a:close/>
                            <a:moveTo>
                              <a:pt x="3481" y="128"/>
                            </a:moveTo>
                            <a:cubicBezTo>
                              <a:pt x="3481" y="136"/>
                              <a:pt x="3484" y="142"/>
                              <a:pt x="3488" y="147"/>
                            </a:cubicBezTo>
                            <a:cubicBezTo>
                              <a:pt x="3493" y="152"/>
                              <a:pt x="3499" y="154"/>
                              <a:pt x="3507" y="154"/>
                            </a:cubicBezTo>
                            <a:cubicBezTo>
                              <a:pt x="3512" y="154"/>
                              <a:pt x="3516" y="153"/>
                              <a:pt x="3520" y="151"/>
                            </a:cubicBezTo>
                            <a:cubicBezTo>
                              <a:pt x="3524" y="149"/>
                              <a:pt x="3527" y="146"/>
                              <a:pt x="3529" y="141"/>
                            </a:cubicBezTo>
                            <a:cubicBezTo>
                              <a:pt x="3564" y="141"/>
                              <a:pt x="3564" y="141"/>
                              <a:pt x="3564" y="141"/>
                            </a:cubicBezTo>
                            <a:cubicBezTo>
                              <a:pt x="3563" y="148"/>
                              <a:pt x="3560" y="154"/>
                              <a:pt x="3556" y="159"/>
                            </a:cubicBezTo>
                            <a:cubicBezTo>
                              <a:pt x="3552" y="163"/>
                              <a:pt x="3548" y="167"/>
                              <a:pt x="3543" y="171"/>
                            </a:cubicBezTo>
                            <a:cubicBezTo>
                              <a:pt x="3537" y="174"/>
                              <a:pt x="3532" y="176"/>
                              <a:pt x="3526" y="178"/>
                            </a:cubicBezTo>
                            <a:cubicBezTo>
                              <a:pt x="3519" y="179"/>
                              <a:pt x="3513" y="180"/>
                              <a:pt x="3507" y="180"/>
                            </a:cubicBezTo>
                            <a:cubicBezTo>
                              <a:pt x="3497" y="180"/>
                              <a:pt x="3489" y="178"/>
                              <a:pt x="3481" y="176"/>
                            </a:cubicBezTo>
                            <a:cubicBezTo>
                              <a:pt x="3473" y="173"/>
                              <a:pt x="3466" y="169"/>
                              <a:pt x="3461" y="164"/>
                            </a:cubicBezTo>
                            <a:cubicBezTo>
                              <a:pt x="3455" y="158"/>
                              <a:pt x="3451" y="152"/>
                              <a:pt x="3448" y="144"/>
                            </a:cubicBezTo>
                            <a:cubicBezTo>
                              <a:pt x="3445" y="136"/>
                              <a:pt x="3443" y="128"/>
                              <a:pt x="3443" y="118"/>
                            </a:cubicBezTo>
                            <a:cubicBezTo>
                              <a:pt x="3443" y="109"/>
                              <a:pt x="3445" y="101"/>
                              <a:pt x="3448" y="93"/>
                            </a:cubicBezTo>
                            <a:cubicBezTo>
                              <a:pt x="3451" y="86"/>
                              <a:pt x="3456" y="79"/>
                              <a:pt x="3461" y="74"/>
                            </a:cubicBezTo>
                            <a:cubicBezTo>
                              <a:pt x="3467" y="69"/>
                              <a:pt x="3474" y="64"/>
                              <a:pt x="3482" y="61"/>
                            </a:cubicBezTo>
                            <a:cubicBezTo>
                              <a:pt x="3489" y="58"/>
                              <a:pt x="3497" y="57"/>
                              <a:pt x="3506" y="57"/>
                            </a:cubicBezTo>
                            <a:cubicBezTo>
                              <a:pt x="3516" y="57"/>
                              <a:pt x="3525" y="59"/>
                              <a:pt x="3533" y="62"/>
                            </a:cubicBezTo>
                            <a:cubicBezTo>
                              <a:pt x="3541" y="66"/>
                              <a:pt x="3547" y="71"/>
                              <a:pt x="3552" y="77"/>
                            </a:cubicBezTo>
                            <a:cubicBezTo>
                              <a:pt x="3557" y="84"/>
                              <a:pt x="3561" y="91"/>
                              <a:pt x="3563" y="100"/>
                            </a:cubicBezTo>
                            <a:cubicBezTo>
                              <a:pt x="3566" y="108"/>
                              <a:pt x="3567" y="118"/>
                              <a:pt x="3566" y="128"/>
                            </a:cubicBezTo>
                            <a:lnTo>
                              <a:pt x="3481" y="128"/>
                            </a:lnTo>
                            <a:close/>
                            <a:moveTo>
                              <a:pt x="3528" y="106"/>
                            </a:moveTo>
                            <a:cubicBezTo>
                              <a:pt x="3528" y="100"/>
                              <a:pt x="3526" y="94"/>
                              <a:pt x="3522" y="89"/>
                            </a:cubicBezTo>
                            <a:cubicBezTo>
                              <a:pt x="3517" y="85"/>
                              <a:pt x="3512" y="83"/>
                              <a:pt x="3506" y="83"/>
                            </a:cubicBezTo>
                            <a:cubicBezTo>
                              <a:pt x="3499" y="83"/>
                              <a:pt x="3493" y="85"/>
                              <a:pt x="3489" y="89"/>
                            </a:cubicBezTo>
                            <a:cubicBezTo>
                              <a:pt x="3485" y="93"/>
                              <a:pt x="3482" y="99"/>
                              <a:pt x="3481" y="106"/>
                            </a:cubicBezTo>
                            <a:lnTo>
                              <a:pt x="3528" y="106"/>
                            </a:lnTo>
                            <a:close/>
                            <a:moveTo>
                              <a:pt x="3691" y="162"/>
                            </a:moveTo>
                            <a:cubicBezTo>
                              <a:pt x="3691" y="167"/>
                              <a:pt x="3691" y="173"/>
                              <a:pt x="3690" y="179"/>
                            </a:cubicBezTo>
                            <a:cubicBezTo>
                              <a:pt x="3689" y="185"/>
                              <a:pt x="3686" y="191"/>
                              <a:pt x="3683" y="197"/>
                            </a:cubicBezTo>
                            <a:cubicBezTo>
                              <a:pt x="3679" y="202"/>
                              <a:pt x="3673" y="207"/>
                              <a:pt x="3665" y="211"/>
                            </a:cubicBezTo>
                            <a:cubicBezTo>
                              <a:pt x="3657" y="215"/>
                              <a:pt x="3647" y="217"/>
                              <a:pt x="3633" y="217"/>
                            </a:cubicBezTo>
                            <a:cubicBezTo>
                              <a:pt x="3626" y="217"/>
                              <a:pt x="3620" y="217"/>
                              <a:pt x="3613" y="216"/>
                            </a:cubicBezTo>
                            <a:cubicBezTo>
                              <a:pt x="3607" y="215"/>
                              <a:pt x="3601" y="213"/>
                              <a:pt x="3596" y="210"/>
                            </a:cubicBezTo>
                            <a:cubicBezTo>
                              <a:pt x="3591" y="208"/>
                              <a:pt x="3587" y="204"/>
                              <a:pt x="3583" y="199"/>
                            </a:cubicBezTo>
                            <a:cubicBezTo>
                              <a:pt x="3579" y="194"/>
                              <a:pt x="3577" y="188"/>
                              <a:pt x="3576" y="180"/>
                            </a:cubicBezTo>
                            <a:cubicBezTo>
                              <a:pt x="3614" y="180"/>
                              <a:pt x="3614" y="180"/>
                              <a:pt x="3614" y="180"/>
                            </a:cubicBezTo>
                            <a:cubicBezTo>
                              <a:pt x="3615" y="185"/>
                              <a:pt x="3617" y="188"/>
                              <a:pt x="3621" y="190"/>
                            </a:cubicBezTo>
                            <a:cubicBezTo>
                              <a:pt x="3624" y="192"/>
                              <a:pt x="3628" y="193"/>
                              <a:pt x="3634" y="193"/>
                            </a:cubicBezTo>
                            <a:cubicBezTo>
                              <a:pt x="3639" y="193"/>
                              <a:pt x="3643" y="192"/>
                              <a:pt x="3645" y="190"/>
                            </a:cubicBezTo>
                            <a:cubicBezTo>
                              <a:pt x="3648" y="189"/>
                              <a:pt x="3650" y="187"/>
                              <a:pt x="3651" y="184"/>
                            </a:cubicBezTo>
                            <a:cubicBezTo>
                              <a:pt x="3653" y="182"/>
                              <a:pt x="3653" y="179"/>
                              <a:pt x="3654" y="176"/>
                            </a:cubicBezTo>
                            <a:cubicBezTo>
                              <a:pt x="3654" y="172"/>
                              <a:pt x="3654" y="169"/>
                              <a:pt x="3654" y="165"/>
                            </a:cubicBezTo>
                            <a:cubicBezTo>
                              <a:pt x="3654" y="154"/>
                              <a:pt x="3654" y="154"/>
                              <a:pt x="3654" y="154"/>
                            </a:cubicBezTo>
                            <a:cubicBezTo>
                              <a:pt x="3654" y="154"/>
                              <a:pt x="3654" y="154"/>
                              <a:pt x="3654" y="154"/>
                            </a:cubicBezTo>
                            <a:cubicBezTo>
                              <a:pt x="3651" y="160"/>
                              <a:pt x="3646" y="164"/>
                              <a:pt x="3641" y="167"/>
                            </a:cubicBezTo>
                            <a:cubicBezTo>
                              <a:pt x="3635" y="170"/>
                              <a:pt x="3629" y="171"/>
                              <a:pt x="3623" y="171"/>
                            </a:cubicBezTo>
                            <a:cubicBezTo>
                              <a:pt x="3614" y="171"/>
                              <a:pt x="3607" y="170"/>
                              <a:pt x="3600" y="167"/>
                            </a:cubicBezTo>
                            <a:cubicBezTo>
                              <a:pt x="3594" y="164"/>
                              <a:pt x="3588" y="160"/>
                              <a:pt x="3584" y="155"/>
                            </a:cubicBezTo>
                            <a:cubicBezTo>
                              <a:pt x="3580" y="150"/>
                              <a:pt x="3577" y="144"/>
                              <a:pt x="3575" y="137"/>
                            </a:cubicBezTo>
                            <a:cubicBezTo>
                              <a:pt x="3573" y="129"/>
                              <a:pt x="3572" y="122"/>
                              <a:pt x="3572" y="114"/>
                            </a:cubicBezTo>
                            <a:cubicBezTo>
                              <a:pt x="3572" y="106"/>
                              <a:pt x="3573" y="99"/>
                              <a:pt x="3575" y="92"/>
                            </a:cubicBezTo>
                            <a:cubicBezTo>
                              <a:pt x="3578" y="85"/>
                              <a:pt x="3581" y="79"/>
                              <a:pt x="3585" y="74"/>
                            </a:cubicBezTo>
                            <a:cubicBezTo>
                              <a:pt x="3590" y="69"/>
                              <a:pt x="3595" y="64"/>
                              <a:pt x="3601" y="61"/>
                            </a:cubicBezTo>
                            <a:cubicBezTo>
                              <a:pt x="3608" y="58"/>
                              <a:pt x="3615" y="57"/>
                              <a:pt x="3623" y="57"/>
                            </a:cubicBezTo>
                            <a:cubicBezTo>
                              <a:pt x="3637" y="57"/>
                              <a:pt x="3647" y="63"/>
                              <a:pt x="3654" y="75"/>
                            </a:cubicBezTo>
                            <a:cubicBezTo>
                              <a:pt x="3655" y="75"/>
                              <a:pt x="3655" y="75"/>
                              <a:pt x="3655" y="75"/>
                            </a:cubicBezTo>
                            <a:cubicBezTo>
                              <a:pt x="3655" y="60"/>
                              <a:pt x="3655" y="60"/>
                              <a:pt x="3655" y="60"/>
                            </a:cubicBezTo>
                            <a:cubicBezTo>
                              <a:pt x="3691" y="60"/>
                              <a:pt x="3691" y="60"/>
                              <a:pt x="3691" y="60"/>
                            </a:cubicBezTo>
                            <a:lnTo>
                              <a:pt x="3691" y="162"/>
                            </a:lnTo>
                            <a:close/>
                            <a:moveTo>
                              <a:pt x="3655" y="115"/>
                            </a:moveTo>
                            <a:cubicBezTo>
                              <a:pt x="3655" y="111"/>
                              <a:pt x="3655" y="108"/>
                              <a:pt x="3654" y="104"/>
                            </a:cubicBezTo>
                            <a:cubicBezTo>
                              <a:pt x="3653" y="101"/>
                              <a:pt x="3652" y="98"/>
                              <a:pt x="3650" y="95"/>
                            </a:cubicBezTo>
                            <a:cubicBezTo>
                              <a:pt x="3648" y="92"/>
                              <a:pt x="3646" y="90"/>
                              <a:pt x="3643" y="88"/>
                            </a:cubicBezTo>
                            <a:cubicBezTo>
                              <a:pt x="3640" y="87"/>
                              <a:pt x="3636" y="86"/>
                              <a:pt x="3632" y="86"/>
                            </a:cubicBezTo>
                            <a:cubicBezTo>
                              <a:pt x="3628" y="86"/>
                              <a:pt x="3625" y="87"/>
                              <a:pt x="3622" y="88"/>
                            </a:cubicBezTo>
                            <a:cubicBezTo>
                              <a:pt x="3619" y="90"/>
                              <a:pt x="3617" y="92"/>
                              <a:pt x="3615" y="95"/>
                            </a:cubicBezTo>
                            <a:cubicBezTo>
                              <a:pt x="3613" y="98"/>
                              <a:pt x="3612" y="101"/>
                              <a:pt x="3611" y="104"/>
                            </a:cubicBezTo>
                            <a:cubicBezTo>
                              <a:pt x="3610" y="108"/>
                              <a:pt x="3610" y="111"/>
                              <a:pt x="3610" y="115"/>
                            </a:cubicBezTo>
                            <a:cubicBezTo>
                              <a:pt x="3610" y="118"/>
                              <a:pt x="3610" y="122"/>
                              <a:pt x="3611" y="125"/>
                            </a:cubicBezTo>
                            <a:cubicBezTo>
                              <a:pt x="3612" y="128"/>
                              <a:pt x="3613" y="131"/>
                              <a:pt x="3615" y="134"/>
                            </a:cubicBezTo>
                            <a:cubicBezTo>
                              <a:pt x="3617" y="136"/>
                              <a:pt x="3619" y="138"/>
                              <a:pt x="3622" y="140"/>
                            </a:cubicBezTo>
                            <a:cubicBezTo>
                              <a:pt x="3625" y="142"/>
                              <a:pt x="3628" y="142"/>
                              <a:pt x="3632" y="142"/>
                            </a:cubicBezTo>
                            <a:cubicBezTo>
                              <a:pt x="3636" y="142"/>
                              <a:pt x="3640" y="142"/>
                              <a:pt x="3642" y="140"/>
                            </a:cubicBezTo>
                            <a:cubicBezTo>
                              <a:pt x="3645" y="139"/>
                              <a:pt x="3648" y="137"/>
                              <a:pt x="3650" y="134"/>
                            </a:cubicBezTo>
                            <a:cubicBezTo>
                              <a:pt x="3651" y="132"/>
                              <a:pt x="3653" y="129"/>
                              <a:pt x="3654" y="126"/>
                            </a:cubicBezTo>
                            <a:cubicBezTo>
                              <a:pt x="3655" y="122"/>
                              <a:pt x="3655" y="119"/>
                              <a:pt x="3655" y="115"/>
                            </a:cubicBezTo>
                            <a:close/>
                            <a:moveTo>
                              <a:pt x="3825" y="176"/>
                            </a:moveTo>
                            <a:cubicBezTo>
                              <a:pt x="3788" y="176"/>
                              <a:pt x="3788" y="176"/>
                              <a:pt x="3788" y="176"/>
                            </a:cubicBezTo>
                            <a:cubicBezTo>
                              <a:pt x="3788" y="160"/>
                              <a:pt x="3788" y="160"/>
                              <a:pt x="3788" y="160"/>
                            </a:cubicBezTo>
                            <a:cubicBezTo>
                              <a:pt x="3787" y="160"/>
                              <a:pt x="3787" y="160"/>
                              <a:pt x="3787" y="160"/>
                            </a:cubicBezTo>
                            <a:cubicBezTo>
                              <a:pt x="3784" y="166"/>
                              <a:pt x="3779" y="171"/>
                              <a:pt x="3772" y="175"/>
                            </a:cubicBezTo>
                            <a:cubicBezTo>
                              <a:pt x="3765" y="178"/>
                              <a:pt x="3759" y="180"/>
                              <a:pt x="3752" y="180"/>
                            </a:cubicBezTo>
                            <a:cubicBezTo>
                              <a:pt x="3743" y="180"/>
                              <a:pt x="3737" y="179"/>
                              <a:pt x="3731" y="176"/>
                            </a:cubicBezTo>
                            <a:cubicBezTo>
                              <a:pt x="3725" y="174"/>
                              <a:pt x="3721" y="171"/>
                              <a:pt x="3718" y="166"/>
                            </a:cubicBezTo>
                            <a:cubicBezTo>
                              <a:pt x="3715" y="162"/>
                              <a:pt x="3712" y="157"/>
                              <a:pt x="3711" y="151"/>
                            </a:cubicBezTo>
                            <a:cubicBezTo>
                              <a:pt x="3710" y="145"/>
                              <a:pt x="3709" y="138"/>
                              <a:pt x="3709" y="130"/>
                            </a:cubicBezTo>
                            <a:cubicBezTo>
                              <a:pt x="3709" y="60"/>
                              <a:pt x="3709" y="60"/>
                              <a:pt x="3709" y="60"/>
                            </a:cubicBezTo>
                            <a:cubicBezTo>
                              <a:pt x="3747" y="60"/>
                              <a:pt x="3747" y="60"/>
                              <a:pt x="3747" y="60"/>
                            </a:cubicBezTo>
                            <a:cubicBezTo>
                              <a:pt x="3747" y="128"/>
                              <a:pt x="3747" y="128"/>
                              <a:pt x="3747" y="128"/>
                            </a:cubicBezTo>
                            <a:cubicBezTo>
                              <a:pt x="3747" y="135"/>
                              <a:pt x="3749" y="141"/>
                              <a:pt x="3752" y="144"/>
                            </a:cubicBezTo>
                            <a:cubicBezTo>
                              <a:pt x="3755" y="147"/>
                              <a:pt x="3760" y="148"/>
                              <a:pt x="3766" y="148"/>
                            </a:cubicBezTo>
                            <a:cubicBezTo>
                              <a:pt x="3768" y="148"/>
                              <a:pt x="3770" y="148"/>
                              <a:pt x="3772" y="147"/>
                            </a:cubicBezTo>
                            <a:cubicBezTo>
                              <a:pt x="3775" y="147"/>
                              <a:pt x="3777" y="145"/>
                              <a:pt x="3779" y="143"/>
                            </a:cubicBezTo>
                            <a:cubicBezTo>
                              <a:pt x="3781" y="141"/>
                              <a:pt x="3783" y="138"/>
                              <a:pt x="3784" y="135"/>
                            </a:cubicBezTo>
                            <a:cubicBezTo>
                              <a:pt x="3786" y="132"/>
                              <a:pt x="3787" y="128"/>
                              <a:pt x="3787" y="122"/>
                            </a:cubicBezTo>
                            <a:cubicBezTo>
                              <a:pt x="3787" y="60"/>
                              <a:pt x="3787" y="60"/>
                              <a:pt x="3787" y="60"/>
                            </a:cubicBezTo>
                            <a:cubicBezTo>
                              <a:pt x="3825" y="60"/>
                              <a:pt x="3825" y="60"/>
                              <a:pt x="3825" y="60"/>
                            </a:cubicBezTo>
                            <a:lnTo>
                              <a:pt x="3825" y="176"/>
                            </a:lnTo>
                            <a:close/>
                            <a:moveTo>
                              <a:pt x="3845" y="16"/>
                            </a:moveTo>
                            <a:cubicBezTo>
                              <a:pt x="3883" y="16"/>
                              <a:pt x="3883" y="16"/>
                              <a:pt x="3883" y="16"/>
                            </a:cubicBezTo>
                            <a:cubicBezTo>
                              <a:pt x="3883" y="176"/>
                              <a:pt x="3883" y="176"/>
                              <a:pt x="3883" y="176"/>
                            </a:cubicBezTo>
                            <a:cubicBezTo>
                              <a:pt x="3845" y="176"/>
                              <a:pt x="3845" y="176"/>
                              <a:pt x="3845" y="176"/>
                            </a:cubicBezTo>
                            <a:lnTo>
                              <a:pt x="3845" y="16"/>
                            </a:lnTo>
                            <a:close/>
                            <a:moveTo>
                              <a:pt x="3902" y="96"/>
                            </a:moveTo>
                            <a:cubicBezTo>
                              <a:pt x="3902" y="88"/>
                              <a:pt x="3904" y="82"/>
                              <a:pt x="3907" y="77"/>
                            </a:cubicBezTo>
                            <a:cubicBezTo>
                              <a:pt x="3911" y="72"/>
                              <a:pt x="3915" y="68"/>
                              <a:pt x="3920" y="65"/>
                            </a:cubicBezTo>
                            <a:cubicBezTo>
                              <a:pt x="3925" y="62"/>
                              <a:pt x="3931" y="60"/>
                              <a:pt x="3937" y="59"/>
                            </a:cubicBezTo>
                            <a:cubicBezTo>
                              <a:pt x="3944" y="57"/>
                              <a:pt x="3950" y="57"/>
                              <a:pt x="3957" y="57"/>
                            </a:cubicBezTo>
                            <a:cubicBezTo>
                              <a:pt x="3964" y="57"/>
                              <a:pt x="3971" y="57"/>
                              <a:pt x="3977" y="58"/>
                            </a:cubicBezTo>
                            <a:cubicBezTo>
                              <a:pt x="3984" y="59"/>
                              <a:pt x="3989" y="61"/>
                              <a:pt x="3994" y="64"/>
                            </a:cubicBezTo>
                            <a:cubicBezTo>
                              <a:pt x="4000" y="67"/>
                              <a:pt x="4004" y="71"/>
                              <a:pt x="4007" y="76"/>
                            </a:cubicBezTo>
                            <a:cubicBezTo>
                              <a:pt x="4010" y="81"/>
                              <a:pt x="4011" y="88"/>
                              <a:pt x="4011" y="96"/>
                            </a:cubicBezTo>
                            <a:cubicBezTo>
                              <a:pt x="4011" y="147"/>
                              <a:pt x="4011" y="147"/>
                              <a:pt x="4011" y="147"/>
                            </a:cubicBezTo>
                            <a:cubicBezTo>
                              <a:pt x="4011" y="152"/>
                              <a:pt x="4011" y="157"/>
                              <a:pt x="4012" y="162"/>
                            </a:cubicBezTo>
                            <a:cubicBezTo>
                              <a:pt x="4012" y="167"/>
                              <a:pt x="4013" y="172"/>
                              <a:pt x="4016" y="176"/>
                            </a:cubicBezTo>
                            <a:cubicBezTo>
                              <a:pt x="3977" y="176"/>
                              <a:pt x="3977" y="176"/>
                              <a:pt x="3977" y="176"/>
                            </a:cubicBezTo>
                            <a:cubicBezTo>
                              <a:pt x="3977" y="175"/>
                              <a:pt x="3976" y="173"/>
                              <a:pt x="3976" y="171"/>
                            </a:cubicBezTo>
                            <a:cubicBezTo>
                              <a:pt x="3976" y="169"/>
                              <a:pt x="3975" y="167"/>
                              <a:pt x="3975" y="165"/>
                            </a:cubicBezTo>
                            <a:cubicBezTo>
                              <a:pt x="3970" y="171"/>
                              <a:pt x="3964" y="174"/>
                              <a:pt x="3958" y="176"/>
                            </a:cubicBezTo>
                            <a:cubicBezTo>
                              <a:pt x="3951" y="179"/>
                              <a:pt x="3944" y="180"/>
                              <a:pt x="3937" y="180"/>
                            </a:cubicBezTo>
                            <a:cubicBezTo>
                              <a:pt x="3931" y="180"/>
                              <a:pt x="3926" y="179"/>
                              <a:pt x="3921" y="178"/>
                            </a:cubicBezTo>
                            <a:cubicBezTo>
                              <a:pt x="3916" y="176"/>
                              <a:pt x="3912" y="174"/>
                              <a:pt x="3909" y="171"/>
                            </a:cubicBezTo>
                            <a:cubicBezTo>
                              <a:pt x="3905" y="168"/>
                              <a:pt x="3902" y="165"/>
                              <a:pt x="3900" y="160"/>
                            </a:cubicBezTo>
                            <a:cubicBezTo>
                              <a:pt x="3898" y="156"/>
                              <a:pt x="3897" y="151"/>
                              <a:pt x="3897" y="145"/>
                            </a:cubicBezTo>
                            <a:cubicBezTo>
                              <a:pt x="3897" y="138"/>
                              <a:pt x="3898" y="133"/>
                              <a:pt x="3900" y="129"/>
                            </a:cubicBezTo>
                            <a:cubicBezTo>
                              <a:pt x="3902" y="125"/>
                              <a:pt x="3905" y="121"/>
                              <a:pt x="3909" y="119"/>
                            </a:cubicBezTo>
                            <a:cubicBezTo>
                              <a:pt x="3912" y="116"/>
                              <a:pt x="3917" y="114"/>
                              <a:pt x="3921" y="112"/>
                            </a:cubicBezTo>
                            <a:cubicBezTo>
                              <a:pt x="3926" y="111"/>
                              <a:pt x="3931" y="110"/>
                              <a:pt x="3936" y="109"/>
                            </a:cubicBezTo>
                            <a:cubicBezTo>
                              <a:pt x="3941" y="108"/>
                              <a:pt x="3946" y="107"/>
                              <a:pt x="3951" y="106"/>
                            </a:cubicBezTo>
                            <a:cubicBezTo>
                              <a:pt x="3956" y="106"/>
                              <a:pt x="3960" y="105"/>
                              <a:pt x="3965" y="104"/>
                            </a:cubicBezTo>
                            <a:cubicBezTo>
                              <a:pt x="3968" y="104"/>
                              <a:pt x="3971" y="102"/>
                              <a:pt x="3972" y="101"/>
                            </a:cubicBezTo>
                            <a:cubicBezTo>
                              <a:pt x="3974" y="100"/>
                              <a:pt x="3975" y="97"/>
                              <a:pt x="3975" y="94"/>
                            </a:cubicBezTo>
                            <a:cubicBezTo>
                              <a:pt x="3975" y="91"/>
                              <a:pt x="3974" y="89"/>
                              <a:pt x="3973" y="88"/>
                            </a:cubicBezTo>
                            <a:cubicBezTo>
                              <a:pt x="3972" y="86"/>
                              <a:pt x="3970" y="85"/>
                              <a:pt x="3969" y="84"/>
                            </a:cubicBezTo>
                            <a:cubicBezTo>
                              <a:pt x="3967" y="83"/>
                              <a:pt x="3965" y="83"/>
                              <a:pt x="3963" y="82"/>
                            </a:cubicBezTo>
                            <a:cubicBezTo>
                              <a:pt x="3961" y="82"/>
                              <a:pt x="3959" y="81"/>
                              <a:pt x="3957" y="81"/>
                            </a:cubicBezTo>
                            <a:cubicBezTo>
                              <a:pt x="3946" y="81"/>
                              <a:pt x="3939" y="86"/>
                              <a:pt x="3938" y="96"/>
                            </a:cubicBezTo>
                            <a:lnTo>
                              <a:pt x="3902" y="96"/>
                            </a:lnTo>
                            <a:close/>
                            <a:moveTo>
                              <a:pt x="3935" y="143"/>
                            </a:moveTo>
                            <a:cubicBezTo>
                              <a:pt x="3935" y="148"/>
                              <a:pt x="3937" y="151"/>
                              <a:pt x="3940" y="153"/>
                            </a:cubicBezTo>
                            <a:cubicBezTo>
                              <a:pt x="3943" y="155"/>
                              <a:pt x="3947" y="156"/>
                              <a:pt x="3951" y="156"/>
                            </a:cubicBezTo>
                            <a:cubicBezTo>
                              <a:pt x="3960" y="156"/>
                              <a:pt x="3967" y="154"/>
                              <a:pt x="3970" y="148"/>
                            </a:cubicBezTo>
                            <a:cubicBezTo>
                              <a:pt x="3973" y="143"/>
                              <a:pt x="3975" y="134"/>
                              <a:pt x="3975" y="122"/>
                            </a:cubicBezTo>
                            <a:cubicBezTo>
                              <a:pt x="3972" y="124"/>
                              <a:pt x="3968" y="125"/>
                              <a:pt x="3964" y="125"/>
                            </a:cubicBezTo>
                            <a:cubicBezTo>
                              <a:pt x="3959" y="126"/>
                              <a:pt x="3955" y="127"/>
                              <a:pt x="3951" y="128"/>
                            </a:cubicBezTo>
                            <a:cubicBezTo>
                              <a:pt x="3947" y="129"/>
                              <a:pt x="3943" y="131"/>
                              <a:pt x="3940" y="133"/>
                            </a:cubicBezTo>
                            <a:cubicBezTo>
                              <a:pt x="3937" y="135"/>
                              <a:pt x="3935" y="138"/>
                              <a:pt x="3935" y="143"/>
                            </a:cubicBezTo>
                            <a:close/>
                            <a:moveTo>
                              <a:pt x="4100" y="85"/>
                            </a:moveTo>
                            <a:cubicBezTo>
                              <a:pt x="4076" y="85"/>
                              <a:pt x="4076" y="85"/>
                              <a:pt x="4076" y="85"/>
                            </a:cubicBezTo>
                            <a:cubicBezTo>
                              <a:pt x="4076" y="138"/>
                              <a:pt x="4076" y="138"/>
                              <a:pt x="4076" y="138"/>
                            </a:cubicBezTo>
                            <a:cubicBezTo>
                              <a:pt x="4076" y="142"/>
                              <a:pt x="4078" y="145"/>
                              <a:pt x="4080" y="147"/>
                            </a:cubicBezTo>
                            <a:cubicBezTo>
                              <a:pt x="4083" y="148"/>
                              <a:pt x="4086" y="149"/>
                              <a:pt x="4090" y="149"/>
                            </a:cubicBezTo>
                            <a:cubicBezTo>
                              <a:pt x="4092" y="149"/>
                              <a:pt x="4093" y="149"/>
                              <a:pt x="4095" y="149"/>
                            </a:cubicBezTo>
                            <a:cubicBezTo>
                              <a:pt x="4097" y="148"/>
                              <a:pt x="4098" y="148"/>
                              <a:pt x="4100" y="148"/>
                            </a:cubicBezTo>
                            <a:cubicBezTo>
                              <a:pt x="4100" y="176"/>
                              <a:pt x="4100" y="176"/>
                              <a:pt x="4100" y="176"/>
                            </a:cubicBezTo>
                            <a:cubicBezTo>
                              <a:pt x="4097" y="177"/>
                              <a:pt x="4093" y="177"/>
                              <a:pt x="4090" y="177"/>
                            </a:cubicBezTo>
                            <a:cubicBezTo>
                              <a:pt x="4086" y="177"/>
                              <a:pt x="4083" y="178"/>
                              <a:pt x="4079" y="178"/>
                            </a:cubicBezTo>
                            <a:cubicBezTo>
                              <a:pt x="4071" y="178"/>
                              <a:pt x="4064" y="177"/>
                              <a:pt x="4059" y="175"/>
                            </a:cubicBezTo>
                            <a:cubicBezTo>
                              <a:pt x="4054" y="174"/>
                              <a:pt x="4050" y="172"/>
                              <a:pt x="4047" y="169"/>
                            </a:cubicBezTo>
                            <a:cubicBezTo>
                              <a:pt x="4043" y="166"/>
                              <a:pt x="4041" y="161"/>
                              <a:pt x="4040" y="156"/>
                            </a:cubicBezTo>
                            <a:cubicBezTo>
                              <a:pt x="4039" y="151"/>
                              <a:pt x="4038" y="144"/>
                              <a:pt x="4038" y="137"/>
                            </a:cubicBezTo>
                            <a:cubicBezTo>
                              <a:pt x="4038" y="85"/>
                              <a:pt x="4038" y="85"/>
                              <a:pt x="4038" y="85"/>
                            </a:cubicBezTo>
                            <a:cubicBezTo>
                              <a:pt x="4019" y="85"/>
                              <a:pt x="4019" y="85"/>
                              <a:pt x="4019" y="85"/>
                            </a:cubicBezTo>
                            <a:cubicBezTo>
                              <a:pt x="4019" y="60"/>
                              <a:pt x="4019" y="60"/>
                              <a:pt x="4019" y="60"/>
                            </a:cubicBezTo>
                            <a:cubicBezTo>
                              <a:pt x="4038" y="60"/>
                              <a:pt x="4038" y="60"/>
                              <a:pt x="4038" y="60"/>
                            </a:cubicBezTo>
                            <a:cubicBezTo>
                              <a:pt x="4038" y="25"/>
                              <a:pt x="4038" y="25"/>
                              <a:pt x="4038" y="25"/>
                            </a:cubicBezTo>
                            <a:cubicBezTo>
                              <a:pt x="4076" y="25"/>
                              <a:pt x="4076" y="25"/>
                              <a:pt x="4076" y="25"/>
                            </a:cubicBezTo>
                            <a:cubicBezTo>
                              <a:pt x="4076" y="60"/>
                              <a:pt x="4076" y="60"/>
                              <a:pt x="4076" y="60"/>
                            </a:cubicBezTo>
                            <a:cubicBezTo>
                              <a:pt x="4100" y="60"/>
                              <a:pt x="4100" y="60"/>
                              <a:pt x="4100" y="60"/>
                            </a:cubicBezTo>
                            <a:lnTo>
                              <a:pt x="4100" y="85"/>
                            </a:lnTo>
                            <a:close/>
                            <a:moveTo>
                              <a:pt x="4150" y="46"/>
                            </a:moveTo>
                            <a:cubicBezTo>
                              <a:pt x="4112" y="46"/>
                              <a:pt x="4112" y="46"/>
                              <a:pt x="4112" y="46"/>
                            </a:cubicBezTo>
                            <a:cubicBezTo>
                              <a:pt x="4112" y="16"/>
                              <a:pt x="4112" y="16"/>
                              <a:pt x="4112" y="16"/>
                            </a:cubicBezTo>
                            <a:cubicBezTo>
                              <a:pt x="4150" y="16"/>
                              <a:pt x="4150" y="16"/>
                              <a:pt x="4150" y="16"/>
                            </a:cubicBezTo>
                            <a:lnTo>
                              <a:pt x="4150" y="46"/>
                            </a:lnTo>
                            <a:close/>
                            <a:moveTo>
                              <a:pt x="4112" y="60"/>
                            </a:moveTo>
                            <a:cubicBezTo>
                              <a:pt x="4150" y="60"/>
                              <a:pt x="4150" y="60"/>
                              <a:pt x="4150" y="60"/>
                            </a:cubicBezTo>
                            <a:cubicBezTo>
                              <a:pt x="4150" y="176"/>
                              <a:pt x="4150" y="176"/>
                              <a:pt x="4150" y="176"/>
                            </a:cubicBezTo>
                            <a:cubicBezTo>
                              <a:pt x="4112" y="176"/>
                              <a:pt x="4112" y="176"/>
                              <a:pt x="4112" y="176"/>
                            </a:cubicBezTo>
                            <a:lnTo>
                              <a:pt x="4112" y="60"/>
                            </a:lnTo>
                            <a:close/>
                            <a:moveTo>
                              <a:pt x="4170" y="60"/>
                            </a:moveTo>
                            <a:cubicBezTo>
                              <a:pt x="4207" y="60"/>
                              <a:pt x="4207" y="60"/>
                              <a:pt x="4207" y="60"/>
                            </a:cubicBezTo>
                            <a:cubicBezTo>
                              <a:pt x="4207" y="76"/>
                              <a:pt x="4207" y="76"/>
                              <a:pt x="4207" y="76"/>
                            </a:cubicBezTo>
                            <a:cubicBezTo>
                              <a:pt x="4208" y="76"/>
                              <a:pt x="4208" y="76"/>
                              <a:pt x="4208" y="76"/>
                            </a:cubicBezTo>
                            <a:cubicBezTo>
                              <a:pt x="4209" y="73"/>
                              <a:pt x="4212" y="70"/>
                              <a:pt x="4214" y="68"/>
                            </a:cubicBezTo>
                            <a:cubicBezTo>
                              <a:pt x="4217" y="66"/>
                              <a:pt x="4220" y="64"/>
                              <a:pt x="4223" y="62"/>
                            </a:cubicBezTo>
                            <a:cubicBezTo>
                              <a:pt x="4227" y="60"/>
                              <a:pt x="4230" y="59"/>
                              <a:pt x="4234" y="58"/>
                            </a:cubicBezTo>
                            <a:cubicBezTo>
                              <a:pt x="4237" y="57"/>
                              <a:pt x="4241" y="57"/>
                              <a:pt x="4244" y="57"/>
                            </a:cubicBezTo>
                            <a:cubicBezTo>
                              <a:pt x="4254" y="57"/>
                              <a:pt x="4262" y="58"/>
                              <a:pt x="4267" y="61"/>
                            </a:cubicBezTo>
                            <a:cubicBezTo>
                              <a:pt x="4273" y="65"/>
                              <a:pt x="4277" y="68"/>
                              <a:pt x="4280" y="73"/>
                            </a:cubicBezTo>
                            <a:cubicBezTo>
                              <a:pt x="4282" y="78"/>
                              <a:pt x="4284" y="82"/>
                              <a:pt x="4285" y="88"/>
                            </a:cubicBezTo>
                            <a:cubicBezTo>
                              <a:pt x="4286" y="93"/>
                              <a:pt x="4286" y="98"/>
                              <a:pt x="4286" y="102"/>
                            </a:cubicBezTo>
                            <a:cubicBezTo>
                              <a:pt x="4286" y="176"/>
                              <a:pt x="4286" y="176"/>
                              <a:pt x="4286" y="176"/>
                            </a:cubicBezTo>
                            <a:cubicBezTo>
                              <a:pt x="4248" y="176"/>
                              <a:pt x="4248" y="176"/>
                              <a:pt x="4248" y="176"/>
                            </a:cubicBezTo>
                            <a:cubicBezTo>
                              <a:pt x="4248" y="120"/>
                              <a:pt x="4248" y="120"/>
                              <a:pt x="4248" y="120"/>
                            </a:cubicBezTo>
                            <a:cubicBezTo>
                              <a:pt x="4248" y="116"/>
                              <a:pt x="4248" y="112"/>
                              <a:pt x="4248" y="109"/>
                            </a:cubicBezTo>
                            <a:cubicBezTo>
                              <a:pt x="4248" y="105"/>
                              <a:pt x="4247" y="101"/>
                              <a:pt x="4246" y="98"/>
                            </a:cubicBezTo>
                            <a:cubicBezTo>
                              <a:pt x="4245" y="95"/>
                              <a:pt x="4243" y="93"/>
                              <a:pt x="4241" y="91"/>
                            </a:cubicBezTo>
                            <a:cubicBezTo>
                              <a:pt x="4238" y="89"/>
                              <a:pt x="4234" y="88"/>
                              <a:pt x="4229" y="88"/>
                            </a:cubicBezTo>
                            <a:cubicBezTo>
                              <a:pt x="4225" y="88"/>
                              <a:pt x="4222" y="89"/>
                              <a:pt x="4220" y="90"/>
                            </a:cubicBezTo>
                            <a:cubicBezTo>
                              <a:pt x="4217" y="92"/>
                              <a:pt x="4215" y="94"/>
                              <a:pt x="4213" y="96"/>
                            </a:cubicBezTo>
                            <a:cubicBezTo>
                              <a:pt x="4212" y="98"/>
                              <a:pt x="4210" y="101"/>
                              <a:pt x="4210" y="104"/>
                            </a:cubicBezTo>
                            <a:cubicBezTo>
                              <a:pt x="4209" y="107"/>
                              <a:pt x="4208" y="110"/>
                              <a:pt x="4208" y="113"/>
                            </a:cubicBezTo>
                            <a:cubicBezTo>
                              <a:pt x="4208" y="176"/>
                              <a:pt x="4208" y="176"/>
                              <a:pt x="4208" y="176"/>
                            </a:cubicBezTo>
                            <a:cubicBezTo>
                              <a:pt x="4170" y="176"/>
                              <a:pt x="4170" y="176"/>
                              <a:pt x="4170" y="176"/>
                            </a:cubicBezTo>
                            <a:lnTo>
                              <a:pt x="4170" y="60"/>
                            </a:lnTo>
                            <a:close/>
                            <a:moveTo>
                              <a:pt x="4417" y="162"/>
                            </a:moveTo>
                            <a:cubicBezTo>
                              <a:pt x="4417" y="167"/>
                              <a:pt x="4417" y="173"/>
                              <a:pt x="4416" y="179"/>
                            </a:cubicBezTo>
                            <a:cubicBezTo>
                              <a:pt x="4415" y="185"/>
                              <a:pt x="4413" y="191"/>
                              <a:pt x="4409" y="197"/>
                            </a:cubicBezTo>
                            <a:cubicBezTo>
                              <a:pt x="4405" y="202"/>
                              <a:pt x="4399" y="207"/>
                              <a:pt x="4391" y="211"/>
                            </a:cubicBezTo>
                            <a:cubicBezTo>
                              <a:pt x="4384" y="215"/>
                              <a:pt x="4373" y="217"/>
                              <a:pt x="4359" y="217"/>
                            </a:cubicBezTo>
                            <a:cubicBezTo>
                              <a:pt x="4353" y="217"/>
                              <a:pt x="4346" y="217"/>
                              <a:pt x="4340" y="216"/>
                            </a:cubicBezTo>
                            <a:cubicBezTo>
                              <a:pt x="4333" y="215"/>
                              <a:pt x="4327" y="213"/>
                              <a:pt x="4322" y="210"/>
                            </a:cubicBezTo>
                            <a:cubicBezTo>
                              <a:pt x="4317" y="208"/>
                              <a:pt x="4313" y="204"/>
                              <a:pt x="4309" y="199"/>
                            </a:cubicBezTo>
                            <a:cubicBezTo>
                              <a:pt x="4306" y="194"/>
                              <a:pt x="4303" y="188"/>
                              <a:pt x="4302" y="180"/>
                            </a:cubicBezTo>
                            <a:cubicBezTo>
                              <a:pt x="4340" y="180"/>
                              <a:pt x="4340" y="180"/>
                              <a:pt x="4340" y="180"/>
                            </a:cubicBezTo>
                            <a:cubicBezTo>
                              <a:pt x="4341" y="185"/>
                              <a:pt x="4343" y="188"/>
                              <a:pt x="4347" y="190"/>
                            </a:cubicBezTo>
                            <a:cubicBezTo>
                              <a:pt x="4350" y="192"/>
                              <a:pt x="4355" y="193"/>
                              <a:pt x="4361" y="193"/>
                            </a:cubicBezTo>
                            <a:cubicBezTo>
                              <a:pt x="4365" y="193"/>
                              <a:pt x="4369" y="192"/>
                              <a:pt x="4371" y="190"/>
                            </a:cubicBezTo>
                            <a:cubicBezTo>
                              <a:pt x="4374" y="189"/>
                              <a:pt x="4376" y="187"/>
                              <a:pt x="4377" y="184"/>
                            </a:cubicBezTo>
                            <a:cubicBezTo>
                              <a:pt x="4379" y="182"/>
                              <a:pt x="4380" y="179"/>
                              <a:pt x="4380" y="176"/>
                            </a:cubicBezTo>
                            <a:cubicBezTo>
                              <a:pt x="4380" y="172"/>
                              <a:pt x="4381" y="169"/>
                              <a:pt x="4381" y="165"/>
                            </a:cubicBezTo>
                            <a:cubicBezTo>
                              <a:pt x="4381" y="154"/>
                              <a:pt x="4381" y="154"/>
                              <a:pt x="4381" y="154"/>
                            </a:cubicBezTo>
                            <a:cubicBezTo>
                              <a:pt x="4380" y="154"/>
                              <a:pt x="4380" y="154"/>
                              <a:pt x="4380" y="154"/>
                            </a:cubicBezTo>
                            <a:cubicBezTo>
                              <a:pt x="4377" y="160"/>
                              <a:pt x="4372" y="164"/>
                              <a:pt x="4367" y="167"/>
                            </a:cubicBezTo>
                            <a:cubicBezTo>
                              <a:pt x="4361" y="170"/>
                              <a:pt x="4356" y="171"/>
                              <a:pt x="4349" y="171"/>
                            </a:cubicBezTo>
                            <a:cubicBezTo>
                              <a:pt x="4340" y="171"/>
                              <a:pt x="4333" y="170"/>
                              <a:pt x="4326" y="167"/>
                            </a:cubicBezTo>
                            <a:cubicBezTo>
                              <a:pt x="4320" y="164"/>
                              <a:pt x="4315" y="160"/>
                              <a:pt x="4311" y="155"/>
                            </a:cubicBezTo>
                            <a:cubicBezTo>
                              <a:pt x="4306" y="150"/>
                              <a:pt x="4303" y="144"/>
                              <a:pt x="4301" y="137"/>
                            </a:cubicBezTo>
                            <a:cubicBezTo>
                              <a:pt x="4299" y="129"/>
                              <a:pt x="4298" y="122"/>
                              <a:pt x="4298" y="114"/>
                            </a:cubicBezTo>
                            <a:cubicBezTo>
                              <a:pt x="4298" y="106"/>
                              <a:pt x="4299" y="99"/>
                              <a:pt x="4302" y="92"/>
                            </a:cubicBezTo>
                            <a:cubicBezTo>
                              <a:pt x="4304" y="85"/>
                              <a:pt x="4307" y="79"/>
                              <a:pt x="4311" y="74"/>
                            </a:cubicBezTo>
                            <a:cubicBezTo>
                              <a:pt x="4316" y="69"/>
                              <a:pt x="4321" y="64"/>
                              <a:pt x="4327" y="61"/>
                            </a:cubicBezTo>
                            <a:cubicBezTo>
                              <a:pt x="4334" y="58"/>
                              <a:pt x="4341" y="57"/>
                              <a:pt x="4349" y="57"/>
                            </a:cubicBezTo>
                            <a:cubicBezTo>
                              <a:pt x="4363" y="57"/>
                              <a:pt x="4374" y="63"/>
                              <a:pt x="4380" y="75"/>
                            </a:cubicBezTo>
                            <a:cubicBezTo>
                              <a:pt x="4381" y="75"/>
                              <a:pt x="4381" y="75"/>
                              <a:pt x="4381" y="75"/>
                            </a:cubicBezTo>
                            <a:cubicBezTo>
                              <a:pt x="4381" y="60"/>
                              <a:pt x="4381" y="60"/>
                              <a:pt x="4381" y="60"/>
                            </a:cubicBezTo>
                            <a:cubicBezTo>
                              <a:pt x="4417" y="60"/>
                              <a:pt x="4417" y="60"/>
                              <a:pt x="4417" y="60"/>
                            </a:cubicBezTo>
                            <a:lnTo>
                              <a:pt x="4417" y="162"/>
                            </a:lnTo>
                            <a:close/>
                            <a:moveTo>
                              <a:pt x="4381" y="115"/>
                            </a:moveTo>
                            <a:cubicBezTo>
                              <a:pt x="4381" y="111"/>
                              <a:pt x="4381" y="108"/>
                              <a:pt x="4380" y="104"/>
                            </a:cubicBezTo>
                            <a:cubicBezTo>
                              <a:pt x="4379" y="101"/>
                              <a:pt x="4378" y="98"/>
                              <a:pt x="4376" y="95"/>
                            </a:cubicBezTo>
                            <a:cubicBezTo>
                              <a:pt x="4374" y="92"/>
                              <a:pt x="4372" y="90"/>
                              <a:pt x="4369" y="88"/>
                            </a:cubicBezTo>
                            <a:cubicBezTo>
                              <a:pt x="4366" y="87"/>
                              <a:pt x="4363" y="86"/>
                              <a:pt x="4358" y="86"/>
                            </a:cubicBezTo>
                            <a:cubicBezTo>
                              <a:pt x="4354" y="86"/>
                              <a:pt x="4351" y="87"/>
                              <a:pt x="4348" y="88"/>
                            </a:cubicBezTo>
                            <a:cubicBezTo>
                              <a:pt x="4345" y="90"/>
                              <a:pt x="4343" y="92"/>
                              <a:pt x="4341" y="95"/>
                            </a:cubicBezTo>
                            <a:cubicBezTo>
                              <a:pt x="4339" y="98"/>
                              <a:pt x="4338" y="101"/>
                              <a:pt x="4337" y="104"/>
                            </a:cubicBezTo>
                            <a:cubicBezTo>
                              <a:pt x="4337" y="108"/>
                              <a:pt x="4336" y="111"/>
                              <a:pt x="4336" y="115"/>
                            </a:cubicBezTo>
                            <a:cubicBezTo>
                              <a:pt x="4336" y="118"/>
                              <a:pt x="4337" y="122"/>
                              <a:pt x="4337" y="125"/>
                            </a:cubicBezTo>
                            <a:cubicBezTo>
                              <a:pt x="4338" y="128"/>
                              <a:pt x="4340" y="131"/>
                              <a:pt x="4341" y="134"/>
                            </a:cubicBezTo>
                            <a:cubicBezTo>
                              <a:pt x="4343" y="136"/>
                              <a:pt x="4345" y="138"/>
                              <a:pt x="4348" y="140"/>
                            </a:cubicBezTo>
                            <a:cubicBezTo>
                              <a:pt x="4351" y="142"/>
                              <a:pt x="4354" y="142"/>
                              <a:pt x="4358" y="142"/>
                            </a:cubicBezTo>
                            <a:cubicBezTo>
                              <a:pt x="4362" y="142"/>
                              <a:pt x="4366" y="142"/>
                              <a:pt x="4369" y="140"/>
                            </a:cubicBezTo>
                            <a:cubicBezTo>
                              <a:pt x="4372" y="139"/>
                              <a:pt x="4374" y="137"/>
                              <a:pt x="4376" y="134"/>
                            </a:cubicBezTo>
                            <a:cubicBezTo>
                              <a:pt x="4378" y="132"/>
                              <a:pt x="4379" y="129"/>
                              <a:pt x="4380" y="126"/>
                            </a:cubicBezTo>
                            <a:cubicBezTo>
                              <a:pt x="4381" y="122"/>
                              <a:pt x="4381" y="119"/>
                              <a:pt x="4381" y="115"/>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4CD4C" id="Logo_ftr_grey_ing" o:spid="_x0000_s1026" style="position:absolute;margin-left:57.2pt;margin-top:802.6pt;width:275.9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" path="m81,103v,-3,,-5,-1,-7c79,94,77,92,75,91,74,89,72,88,70,87,67,86,65,86,63,86v-6,,-10,1,-13,3c46,91,44,94,42,97v-1,3,-3,7,-3,11c38,112,38,116,38,120v,4,,8,1,11c40,135,41,138,43,141v2,3,4,5,7,7c53,150,57,151,61,151v6,,11,-2,15,-6c79,142,81,137,82,131v37,,37,,37,c118,138,116,145,113,152v-3,6,-8,11,-13,15c95,171,89,174,83,176v-7,3,-14,4,-22,4c52,180,44,178,36,175,29,173,23,169,17,163,12,158,8,152,4,145,1,137,,129,,120,,111,1,102,4,95,7,87,11,80,16,75,22,69,28,65,35,61v8,-3,16,-4,26,-4c68,57,75,58,82,60v6,2,12,4,17,8c105,72,109,77,112,83v3,5,5,12,6,20l81,103xm126,118v,-8,2,-16,5,-24c134,87,138,80,143,74v6,-5,12,-9,20,-13c170,58,178,57,187,57v9,,18,1,25,4c220,65,226,69,232,74v5,6,9,13,12,20c247,102,249,110,249,118v,9,-2,17,-5,25c241,150,237,157,232,162v-6,6,-12,10,-20,13c205,178,196,180,187,180v-9,,-17,-2,-24,-5c155,172,149,168,143,162v-5,-5,-9,-12,-12,-19c128,135,126,127,126,118xm164,118v,4,1,8,1,12c166,133,167,137,169,140v2,3,4,6,7,8c179,150,183,151,187,151v5,,9,-1,12,-3c202,146,204,143,206,140v2,-3,3,-7,4,-10c210,126,211,122,211,118v,-3,-1,-7,-1,-11c209,103,208,100,206,97v-2,-3,-4,-6,-7,-8c196,87,192,86,187,86v-4,,-8,1,-11,3c173,91,171,94,169,97v-2,3,-3,6,-4,10c165,111,164,115,164,118xm262,60v37,,37,,37,c299,76,299,76,299,76v1,,1,,1,c303,70,308,66,313,62v6,-3,13,-5,20,-5c340,57,347,58,353,61v6,3,11,8,14,15c371,69,377,65,382,61v6,-3,13,-4,21,-4c412,57,420,58,425,61v6,4,10,8,12,13c440,78,442,84,443,90v1,6,1,11,1,17c444,176,444,176,444,176v-38,,-38,,-38,c406,108,406,108,406,108v,-6,-1,-11,-4,-15c399,90,395,88,390,88v-4,,-7,1,-10,2c378,92,376,94,375,97v-1,3,-2,6,-2,10c372,111,372,115,372,119v,57,,57,,57c334,176,334,176,334,176v,-66,,-66,,-66c334,103,333,98,331,94v-2,-4,-6,-6,-11,-6c313,88,308,90,305,95v-3,5,-5,13,-5,25c300,176,300,176,300,176v-38,,-38,,-38,l262,60xm463,60v37,,37,,37,c500,76,500,76,500,76v1,,1,,1,c504,70,509,66,514,62v6,-3,13,-5,20,-5c541,57,548,58,554,61v6,3,11,8,14,15c572,69,578,65,583,61v6,-3,13,-4,21,-4c613,57,621,58,626,61v6,4,10,8,12,13c641,78,643,84,644,90v1,6,1,11,1,17c645,176,645,176,645,176v-38,,-38,,-38,c607,108,607,108,607,108v,-6,-2,-11,-4,-15c600,90,596,88,591,88v-4,,-7,1,-10,2c579,92,577,94,576,97v-1,3,-2,6,-2,10c573,111,573,115,573,119v,57,,57,,57c535,176,535,176,535,176v,-66,,-66,,-66c535,103,534,98,532,94v-2,-4,-6,-6,-11,-6c514,88,509,90,506,95v-3,5,-5,13,-5,25c501,176,501,176,501,176v-38,,-38,,-38,l463,60xm779,176v-37,,-37,,-37,c742,160,742,160,742,160v,,,,,c738,166,733,171,727,175v-7,3,-14,5,-20,5c698,180,691,179,686,176v-6,-2,-10,-5,-13,-10c669,162,667,157,666,151v-2,-6,-2,-13,-2,-21c664,60,664,60,664,60v38,,38,,38,c702,128,702,128,702,128v,7,1,13,4,16c710,147,714,148,720,148v3,,5,,7,-1c730,147,732,145,734,143v2,-2,4,-5,5,-8c741,132,741,128,741,122v,-62,,-62,,-62c779,60,779,60,779,60r,116xm798,60v37,,37,,37,c835,76,835,76,835,76v1,,1,,1,c838,73,840,70,843,68v2,-2,5,-4,9,-6c855,60,858,59,862,58v3,-1,7,-1,10,-1c882,57,890,58,895,61v6,4,10,7,13,12c911,78,912,82,913,88v1,5,1,10,1,14c914,176,914,176,914,176v-38,,-38,,-38,c876,120,876,120,876,120v,-4,,-8,,-11c876,105,876,101,874,98v-1,-3,-3,-5,-5,-7c866,89,862,88,857,88v-3,,-7,1,-9,2c845,92,843,94,841,96v-1,2,-2,5,-3,8c837,107,837,110,837,113v,63,,63,,63c798,176,798,176,798,176r,-116xm972,46v-38,,-38,,-38,c934,16,934,16,934,16v38,,38,,38,l972,46xm934,60v38,,38,,38,c972,176,972,176,972,176v-38,,-38,,-38,l934,60xm1069,103v,-3,-1,-5,-2,-7c1066,94,1065,92,1063,91v-2,-2,-4,-3,-6,-4c1055,86,1052,86,1050,86v-5,,-10,1,-13,3c1034,91,1031,94,1030,97v-2,3,-3,7,-4,11c1026,112,1025,116,1025,120v,4,1,8,2,11c1027,135,1029,138,1031,141v1,3,4,5,7,7c1040,150,1044,151,1048,151v7,,12,-2,15,-6c1067,142,1069,137,1070,131v37,,37,,37,c1106,138,1104,145,1100,152v-3,6,-7,11,-12,15c1083,171,1077,174,1070,176v-7,3,-14,4,-22,4c1039,180,1031,178,1024,175v-8,-2,-14,-6,-19,-12c999,158,995,152,992,145v-3,-8,-5,-16,-5,-25c987,111,989,102,992,95v2,-8,6,-15,12,-20c1009,69,1015,65,1023,61v7,-3,16,-4,25,-4c1055,57,1062,58,1069,60v7,2,12,4,18,8c1092,72,1096,77,1099,83v4,5,6,12,7,20l1069,103xm1118,96v,-8,2,-14,5,-19c1126,72,1131,68,1136,65v5,-3,11,-5,17,-6c1159,57,1166,57,1173,57v7,,13,,20,1c1199,59,1205,61,1210,64v5,3,9,7,12,12c1225,81,1227,88,1227,96v,51,,51,,51c1227,152,1227,157,1227,162v1,5,2,10,4,14c1193,176,1193,176,1193,176v-1,-1,-1,-3,-1,-5c1191,169,1191,167,1191,165v-5,6,-11,9,-18,11c1166,179,1160,180,1153,180v-6,,-11,-1,-16,-2c1132,176,1128,174,1124,171v-3,-3,-6,-6,-8,-11c1114,156,1113,151,1113,145v,-7,1,-12,3,-16c1118,125,1121,121,1125,119v3,-3,7,-5,12,-7c1142,111,1146,110,1151,109v5,-1,10,-2,15,-3c1171,106,1176,105,1181,104v3,,5,-2,7,-3c1190,100,1191,97,1191,94v,-3,-1,-5,-2,-6c1188,86,1186,85,1184,84v-1,-1,-3,-1,-6,-2c1176,82,1174,81,1172,81v-11,,-17,5,-19,15l1118,96xm1151,143v,5,2,8,5,10c1159,155,1163,156,1167,156v9,,15,-2,19,-8c1189,143,1191,134,1190,122v-2,2,-6,3,-10,3c1175,126,1171,127,1167,128v-5,1,-8,3,-11,5c1153,135,1151,138,1151,143xm1316,85v-24,,-24,,-24,c1292,138,1292,138,1292,138v,4,1,7,4,9c1298,148,1302,149,1306,149v1,,3,,5,c1312,148,1314,148,1316,148v,28,,28,,28c1312,177,1309,177,1305,177v-3,,-7,1,-10,1c1287,178,1280,177,1275,175v-6,-1,-10,-3,-13,-6c1259,166,1257,161,1256,156v-1,-5,-2,-12,-2,-19c1254,85,1254,85,1254,85v-19,,-19,,-19,c1235,60,1235,60,1235,60v19,,19,,19,c1254,25,1254,25,1254,25v38,,38,,38,c1292,60,1292,60,1292,60v24,,24,,24,l1316,85xm1366,46v-39,,-39,,-39,c1327,16,1327,16,1327,16v39,,39,,39,l1366,46xm1327,60v39,,39,,39,c1366,176,1366,176,1366,176v-39,,-39,,-39,l1327,60xm1386,60v37,,37,,37,c1423,76,1423,76,1423,76v,,,,,c1425,73,1427,70,1430,68v3,-2,6,-4,9,-6c1442,60,1446,59,1449,58v4,-1,7,-1,11,-1c1470,57,1477,58,1483,61v5,4,10,7,12,12c1498,78,1500,82,1501,88v,5,1,10,1,14c1502,176,1502,176,1502,176v-38,,-38,,-38,c1464,120,1464,120,1464,120v,-4,,-8,,-11c1464,105,1463,101,1462,98v-1,-3,-3,-5,-6,-7c1454,89,1450,88,1445,88v-4,,-7,1,-10,2c1433,92,1431,94,1429,96v-2,2,-3,5,-4,8c1424,107,1424,110,1424,113v,63,,63,,63c1386,176,1386,176,1386,176r,-116xm1633,162v,5,,11,-1,17c1631,185,1628,191,1624,197v-3,5,-9,10,-17,14c1599,215,1589,217,1575,217v-7,,-13,,-20,-1c1549,215,1543,213,1538,210v-5,-2,-10,-6,-13,-11c1521,194,1519,188,1518,180v38,,38,,38,c1557,185,1559,188,1562,190v4,2,8,3,14,3c1581,193,1584,192,1587,190v3,-1,5,-3,6,-6c1595,182,1595,179,1596,176v,-4,,-7,,-11c1596,154,1596,154,1596,154v,,,,,c1592,160,1588,164,1583,167v-6,3,-12,4,-18,4c1556,171,1549,170,1542,167v-6,-3,-12,-7,-16,-12c1522,150,1519,144,1517,137v-2,-8,-3,-15,-3,-23c1514,106,1515,99,1517,92v2,-7,6,-13,10,-18c1531,69,1537,64,1543,61v6,-3,14,-4,22,-4c1579,57,1589,63,1596,75v1,,1,,1,c1597,60,1597,60,1597,60v36,,36,,36,l1633,162xm1597,115v,-4,,-7,-1,-11c1595,101,1594,98,1592,95v-2,-3,-4,-5,-7,-7c1582,87,1578,86,1574,86v-4,,-8,1,-10,2c1561,90,1558,92,1557,95v-2,3,-3,6,-4,9c1552,108,1552,111,1552,115v,3,,7,1,10c1554,128,1555,131,1557,134v2,2,4,4,7,6c1567,142,1570,142,1574,142v4,,7,,10,-2c1587,139,1590,137,1591,134v2,-2,4,-5,5,-8c1597,122,1597,119,1597,115xm1782,v12,,12,,12,c1794,224,1794,224,1794,224v-12,,-12,,-12,l1782,xm1955,85v-18,,-18,,-18,c1937,60,1937,60,1937,60v18,,18,,18,c1955,52,1956,45,1958,39v1,-5,4,-10,7,-13c1969,22,1973,20,1979,19v6,-2,12,-3,21,-3c2003,16,2006,17,2009,17v3,,6,,9,c2018,44,2018,44,2018,44v-4,,-7,-1,-10,-1c2003,43,2000,44,1997,45v-2,2,-4,5,-4,10c1993,60,1993,60,1993,60v23,,23,,23,c2016,85,2016,85,2016,85v-23,,-23,,-23,c1993,176,1993,176,1993,176v-38,,-38,,-38,l1955,85xm2022,96v,-8,2,-14,5,-19c2031,72,2035,68,2040,65v5,-3,11,-5,17,-6c2064,57,2070,57,2077,57v7,,14,,20,1c2104,59,2109,61,2114,64v6,3,10,7,13,12c2130,81,2131,88,2131,96v,51,,51,,51c2131,152,2131,157,2132,162v,5,1,10,4,14c2097,176,2097,176,2097,176v,-1,-1,-3,-1,-5c2096,169,2095,167,2095,165v-5,6,-11,9,-17,11c2071,179,2064,180,2057,180v-6,,-11,-1,-16,-2c2036,176,2032,174,2029,171v-4,-3,-7,-6,-9,-11c2018,156,2017,151,2017,145v,-7,1,-12,3,-16c2022,125,2025,121,2029,119v3,-3,8,-5,12,-7c2046,111,2051,110,2056,109v5,-1,10,-2,15,-3c2076,106,2080,105,2085,104v3,,6,-2,7,-3c2094,100,2095,97,2095,94v,-3,-1,-5,-2,-6c2092,86,2090,85,2089,84v-2,-1,-4,-1,-6,-2c2081,82,2079,81,2077,81v-11,,-18,5,-19,15l2022,96xm2055,143v,5,2,8,5,10c2063,155,2067,156,2071,156v9,,16,-2,19,-8c2093,143,2095,134,2094,122v-2,2,-6,3,-10,3c2079,126,2075,127,2071,128v-4,1,-8,3,-11,5c2057,135,2055,138,2055,143xm2226,103v,-3,-1,-5,-2,-7c2223,94,2222,92,2220,91v-2,-2,-4,-3,-6,-4c2212,86,2209,86,2207,86v-5,,-10,1,-13,3c2191,91,2188,94,2187,97v-2,3,-3,7,-4,11c2183,112,2182,116,2182,120v,4,1,8,2,11c2184,135,2186,138,2188,141v1,3,4,5,7,7c2197,150,2201,151,2205,151v7,,12,-2,15,-6c2224,142,2226,137,2227,131v37,,37,,37,c2263,138,2261,145,2257,152v-3,6,-7,11,-12,15c2240,171,2234,174,2227,176v-7,3,-14,4,-22,4c2196,180,2188,178,2181,175v-8,-2,-14,-6,-19,-12c2156,158,2152,152,2149,145v-3,-8,-5,-16,-5,-25c2144,111,2146,102,2148,95v3,-8,7,-15,13,-20c2166,69,2172,65,2180,61v7,-3,16,-4,25,-4c2212,57,2219,58,2226,60v7,2,12,4,18,8c2249,72,2253,77,2256,83v4,5,6,12,6,20l2226,103xm2316,46v-39,,-39,,-39,c2277,16,2277,16,2277,16v39,,39,,39,l2316,46xm2277,60v39,,39,,39,c2316,176,2316,176,2316,176v-39,,-39,,-39,l2277,60xm2337,16v38,,38,,38,c2375,176,2375,176,2375,176v-38,,-38,,-38,l2337,16xm2435,46v-38,,-38,,-38,c2397,16,2397,16,2397,16v38,,38,,38,l2435,46xm2397,60v38,,38,,38,c2435,176,2435,176,2435,176v-38,,-38,,-38,l2397,60xm2526,85v-24,,-24,,-24,c2502,138,2502,138,2502,138v,4,1,7,4,9c2508,148,2512,149,2516,149v1,,3,,5,c2522,148,2524,148,2526,148v,28,,28,,28c2522,177,2519,177,2515,177v-3,,-7,1,-10,1c2497,178,2490,177,2485,175v-6,-1,-10,-3,-13,-6c2469,166,2467,161,2466,156v-1,-5,-2,-12,-2,-19c2464,85,2464,85,2464,85v-19,,-19,,-19,c2445,60,2445,60,2445,60v19,,19,,19,c2464,25,2464,25,2464,25v38,,38,,38,c2502,60,2502,60,2502,60v24,,24,,24,l2526,85xm2535,96v,-8,2,-14,5,-19c2543,72,2548,68,2553,65v5,-3,11,-5,17,-6c2576,57,2583,57,2590,57v7,,13,,20,1c2616,59,2622,61,2627,64v5,3,9,7,12,12c2642,81,2644,88,2644,96v,51,,51,,51c2644,152,2644,157,2645,162v,5,1,10,3,14c2610,176,2610,176,2610,176v-1,-1,-1,-3,-1,-5c2608,169,2608,167,2608,165v-5,6,-11,9,-18,11c2584,179,2577,180,2570,180v-6,,-11,-1,-16,-2c2549,176,2545,174,2541,171v-3,-3,-6,-6,-8,-11c2531,156,2530,151,2530,145v,-7,1,-12,3,-16c2535,125,2538,121,2542,119v3,-3,7,-5,12,-7c2559,111,2563,110,2568,109v5,-1,10,-2,15,-3c2588,106,2593,105,2598,104v3,,5,-2,7,-3c2607,100,2608,97,2608,94v,-3,-1,-5,-2,-6c2605,86,2603,85,2601,84v-1,-1,-3,-1,-6,-2c2593,82,2591,81,2589,81v-11,,-17,5,-19,15l2535,96xm2568,143v,5,2,8,5,10c2576,155,2580,156,2584,156v9,,15,-2,19,-8c2606,143,2608,134,2607,122v-2,2,-6,3,-10,3c2592,126,2588,127,2584,128v-5,1,-8,3,-11,5c2570,135,2568,138,2568,143xm2733,85v-24,,-24,,-24,c2709,138,2709,138,2709,138v,4,1,7,4,9c2715,148,2719,149,2723,149v1,,3,,5,c2729,148,2731,148,2733,148v,28,,28,,28c2729,177,2726,177,2722,177v-3,,-7,1,-10,1c2704,178,2697,177,2692,175v-6,-1,-10,-3,-13,-6c2676,166,2674,161,2673,156v-1,-5,-2,-12,-2,-19c2671,85,2671,85,2671,85v-19,,-19,,-19,c2652,60,2652,60,2652,60v19,,19,,19,c2671,25,2671,25,2671,25v38,,38,,38,c2709,60,2709,60,2709,60v24,,24,,24,l2733,85xm2783,46v-38,,-38,,-38,c2745,16,2745,16,2745,16v38,,38,,38,l2783,46xm2745,60v38,,38,,38,c2783,176,2783,176,2783,176v-38,,-38,,-38,l2745,60xm2803,60v37,,37,,37,c2840,76,2840,76,2840,76v,,,,,c2842,73,2844,70,2847,68v3,-2,6,-4,9,-6c2859,60,2863,59,2866,58v4,-1,7,-1,11,-1c2887,57,2894,58,2900,61v5,4,10,7,12,12c2915,78,2917,82,2918,88v,5,1,10,1,14c2919,176,2919,176,2919,176v-38,,-38,,-38,c2881,120,2881,120,2881,120v,-4,,-8,,-11c2881,105,2880,101,2879,98v-1,-3,-3,-5,-6,-7c2871,89,2867,88,2862,88v-4,,-7,1,-10,2c2850,92,2848,94,2846,96v-2,2,-3,5,-4,8c2841,107,2841,110,2841,113v,63,,63,,63c2803,176,2803,176,2803,176r,-116xm3050,162v,5,,11,-1,17c3048,185,3045,191,3041,197v-3,5,-9,10,-17,14c3016,215,3006,217,2992,217v-7,,-13,,-20,-1c2966,215,2960,213,2955,210v-5,-2,-10,-6,-13,-11c2938,194,2936,188,2935,180v38,,38,,38,c2974,185,2976,188,2979,190v4,2,8,3,14,3c2998,193,3001,192,3004,190v3,-1,5,-3,6,-6c3012,182,3012,179,3013,176v,-4,,-7,,-11c3013,154,3013,154,3013,154v,,,,,c3009,160,3005,164,3000,167v-6,3,-12,4,-18,4c2973,171,2966,170,2959,167v-6,-3,-12,-7,-16,-12c2939,150,2936,144,2934,137v-2,-8,-3,-15,-3,-23c2931,106,2932,99,2934,92v2,-7,6,-13,10,-18c2948,69,2954,64,2960,61v6,-3,14,-4,22,-4c2996,57,3006,63,3013,75v1,,1,,1,c3014,60,3014,60,3014,60v36,,36,,36,l3050,162xm3014,115v,-4,,-7,-1,-11c3012,101,3011,98,3009,95v-2,-3,-4,-5,-7,-7c2999,87,2995,86,2991,86v-4,,-8,1,-10,2c2978,90,2975,92,2974,95v-2,3,-3,6,-4,9c2969,108,2969,111,2969,115v,3,,7,1,10c2971,128,2972,131,2974,134v2,2,4,4,7,6c2984,142,2987,142,2991,142v4,,7,,10,-2c3004,139,3007,137,3008,134v2,-2,4,-5,5,-8c3014,122,3014,119,3014,115xm3199,v12,,12,,12,c3211,224,3211,224,3211,224v-12,,-12,,-12,l3199,xm3365,60v37,,37,,37,c3402,81,3402,81,3402,81v,,,,,c3405,73,3410,67,3416,64v6,-4,13,-6,21,-6c3439,58,3440,58,3442,58v1,,3,,4,1c3446,94,3446,94,3446,94v-2,-1,-5,-2,-7,-2c3437,91,3434,91,3432,91v-5,,-9,1,-13,3c3416,95,3413,97,3410,100v-2,2,-4,5,-5,8c3404,112,3403,115,3403,119v,57,,57,,57c3365,176,3365,176,3365,176r,-116xm3481,128v,8,3,14,7,19c3493,152,3499,154,3507,154v5,,9,-1,13,-3c3524,149,3527,146,3529,141v35,,35,,35,c3563,148,3560,154,3556,159v-4,4,-8,8,-13,12c3537,174,3532,176,3526,178v-7,1,-13,2,-19,2c3497,180,3489,178,3481,176v-8,-3,-15,-7,-20,-12c3455,158,3451,152,3448,144v-3,-8,-5,-16,-5,-26c3443,109,3445,101,3448,93v3,-7,8,-14,13,-19c3467,69,3474,64,3482,61v7,-3,15,-4,24,-4c3516,57,3525,59,3533,62v8,4,14,9,19,15c3557,84,3561,91,3563,100v3,8,4,18,3,28l3481,128xm3528,106v,-6,-2,-12,-6,-17c3517,85,3512,83,3506,83v-7,,-13,2,-17,6c3485,93,3482,99,3481,106r47,xm3691,162v,5,,11,-1,17c3689,185,3686,191,3683,197v-4,5,-10,10,-18,14c3657,215,3647,217,3633,217v-7,,-13,,-20,-1c3607,215,3601,213,3596,210v-5,-2,-9,-6,-13,-11c3579,194,3577,188,3576,180v38,,38,,38,c3615,185,3617,188,3621,190v3,2,7,3,13,3c3639,193,3643,192,3645,190v3,-1,5,-3,6,-6c3653,182,3653,179,3654,176v,-4,,-7,,-11c3654,154,3654,154,3654,154v,,,,,c3651,160,3646,164,3641,167v-6,3,-12,4,-18,4c3614,171,3607,170,3600,167v-6,-3,-12,-7,-16,-12c3580,150,3577,144,3575,137v-2,-8,-3,-15,-3,-23c3572,106,3573,99,3575,92v3,-7,6,-13,10,-18c3590,69,3595,64,3601,61v7,-3,14,-4,22,-4c3637,57,3647,63,3654,75v1,,1,,1,c3655,60,3655,60,3655,60v36,,36,,36,l3691,162xm3655,115v,-4,,-7,-1,-11c3653,101,3652,98,3650,95v-2,-3,-4,-5,-7,-7c3640,87,3636,86,3632,86v-4,,-7,1,-10,2c3619,90,3617,92,3615,95v-2,3,-3,6,-4,9c3610,108,3610,111,3610,115v,3,,7,1,10c3612,128,3613,131,3615,134v2,2,4,4,7,6c3625,142,3628,142,3632,142v4,,8,,10,-2c3645,139,3648,137,3650,134v1,-2,3,-5,4,-8c3655,122,3655,119,3655,115xm3825,176v-37,,-37,,-37,c3788,160,3788,160,3788,160v-1,,-1,,-1,c3784,166,3779,171,3772,175v-7,3,-13,5,-20,5c3743,180,3737,179,3731,176v-6,-2,-10,-5,-13,-10c3715,162,3712,157,3711,151v-1,-6,-2,-13,-2,-21c3709,60,3709,60,3709,60v38,,38,,38,c3747,128,3747,128,3747,128v,7,2,13,5,16c3755,147,3760,148,3766,148v2,,4,,6,-1c3775,147,3777,145,3779,143v2,-2,4,-5,5,-8c3786,132,3787,128,3787,122v,-62,,-62,,-62c3825,60,3825,60,3825,60r,116xm3845,16v38,,38,,38,c3883,176,3883,176,3883,176v-38,,-38,,-38,l3845,16xm3902,96v,-8,2,-14,5,-19c3911,72,3915,68,3920,65v5,-3,11,-5,17,-6c3944,57,3950,57,3957,57v7,,14,,20,1c3984,59,3989,61,3994,64v6,3,10,7,13,12c4010,81,4011,88,4011,96v,51,,51,,51c4011,152,4011,157,4012,162v,5,1,10,4,14c3977,176,3977,176,3977,176v,-1,-1,-3,-1,-5c3976,169,3975,167,3975,165v-5,6,-11,9,-17,11c3951,179,3944,180,3937,180v-6,,-11,-1,-16,-2c3916,176,3912,174,3909,171v-4,-3,-7,-6,-9,-11c3898,156,3897,151,3897,145v,-7,1,-12,3,-16c3902,125,3905,121,3909,119v3,-3,8,-5,12,-7c3926,111,3931,110,3936,109v5,-1,10,-2,15,-3c3956,106,3960,105,3965,104v3,,6,-2,7,-3c3974,100,3975,97,3975,94v,-3,-1,-5,-2,-6c3972,86,3970,85,3969,84v-2,-1,-4,-1,-6,-2c3961,82,3959,81,3957,81v-11,,-18,5,-19,15l3902,96xm3935,143v,5,2,8,5,10c3943,155,3947,156,3951,156v9,,16,-2,19,-8c3973,143,3975,134,3975,122v-3,2,-7,3,-11,3c3959,126,3955,127,3951,128v-4,1,-8,3,-11,5c3937,135,3935,138,3935,143xm4100,85v-24,,-24,,-24,c4076,138,4076,138,4076,138v,4,2,7,4,9c4083,148,4086,149,4090,149v2,,3,,5,c4097,148,4098,148,4100,148v,28,,28,,28c4097,177,4093,177,4090,177v-4,,-7,1,-11,1c4071,178,4064,177,4059,175v-5,-1,-9,-3,-12,-6c4043,166,4041,161,4040,156v-1,-5,-2,-12,-2,-19c4038,85,4038,85,4038,85v-19,,-19,,-19,c4019,60,4019,60,4019,60v19,,19,,19,c4038,25,4038,25,4038,25v38,,38,,38,c4076,60,4076,60,4076,60v24,,24,,24,l4100,85xm4150,46v-38,,-38,,-38,c4112,16,4112,16,4112,16v38,,38,,38,l4150,46xm4112,60v38,,38,,38,c4150,176,4150,176,4150,176v-38,,-38,,-38,l4112,60xm4170,60v37,,37,,37,c4207,76,4207,76,4207,76v1,,1,,1,c4209,73,4212,70,4214,68v3,-2,6,-4,9,-6c4227,60,4230,59,4234,58v3,-1,7,-1,10,-1c4254,57,4262,58,4267,61v6,4,10,7,13,12c4282,78,4284,82,4285,88v1,5,1,10,1,14c4286,176,4286,176,4286,176v-38,,-38,,-38,c4248,120,4248,120,4248,120v,-4,,-8,,-11c4248,105,4247,101,4246,98v-1,-3,-3,-5,-5,-7c4238,89,4234,88,4229,88v-4,,-7,1,-9,2c4217,92,4215,94,4213,96v-1,2,-3,5,-3,8c4209,107,4208,110,4208,113v,63,,63,,63c4170,176,4170,176,4170,176r,-116xm4417,162v,5,,11,-1,17c4415,185,4413,191,4409,197v-4,5,-10,10,-18,14c4384,215,4373,217,4359,217v-6,,-13,,-19,-1c4333,215,4327,213,4322,210v-5,-2,-9,-6,-13,-11c4306,194,4303,188,4302,180v38,,38,,38,c4341,185,4343,188,4347,190v3,2,8,3,14,3c4365,193,4369,192,4371,190v3,-1,5,-3,6,-6c4379,182,4380,179,4380,176v,-4,1,-7,1,-11c4381,154,4381,154,4381,154v-1,,-1,,-1,c4377,160,4372,164,4367,167v-6,3,-11,4,-18,4c4340,171,4333,170,4326,167v-6,-3,-11,-7,-15,-12c4306,150,4303,144,4301,137v-2,-8,-3,-15,-3,-23c4298,106,4299,99,4302,92v2,-7,5,-13,9,-18c4316,69,4321,64,4327,61v7,-3,14,-4,22,-4c4363,57,4374,63,4380,75v1,,1,,1,c4381,60,4381,60,4381,60v36,,36,,36,l4417,162xm4381,115v,-4,,-7,-1,-11c4379,101,4378,98,4376,95v-2,-3,-4,-5,-7,-7c4366,87,4363,86,4358,86v-4,,-7,1,-10,2c4345,90,4343,92,4341,95v-2,3,-3,6,-4,9c4337,108,4336,111,4336,115v,3,1,7,1,10c4338,128,4340,131,4341,134v2,2,4,4,7,6c4351,142,4354,142,4358,142v4,,8,,11,-2c4372,139,4374,137,4376,134v2,-2,3,-5,4,-8c4381,122,4381,119,4381,115xe" fillcolor="#4d4d4f" stroked="f">
              <v:path arrowok="t" o:connecttype="custom" o:connectlocs="94418,107695;93624,84676;113460,133180;139643,73167;351488,73989;241995,78099;506206,60835;413375,72345;526835,49326;668859,55903;667272,78921;848173,84676;872769,124959;848173,84676;930689,144689;934656,67412;1028281,120848;1025107,20552;1129046,62479;1146501,72345;1204421,147978;1203628,75633;1232191,85498;1536867,69878;1581299,69878;1663815,144689;1662229,77277;1766167,84676;1790764,124959;1766167,84676;1931994,37817;2004195,121671;2004195,69878;2054975,144689;2058942,67412;2152566,120848;2149392,20552;2253331,62479;2270787,72345;2328707,147978;2327913,75633;2356477,85498;2699237,49326;2669880,49326;2746049,60835;2922190,161953;2888866,137290;2899181,85498;3034856,144689;2998359,117560;3155457,47682;3094363,106051;3134828,128247;3236387,146333;3262570,13154;3385551,50148;3308589,144689;3475208,144689;3476002,49326;3466481,115094" o:connectangles="0,0,0,0,0,0,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FDA" w14:textId="77777777" w:rsidR="009D2A3A" w:rsidRDefault="009D2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9D2A3A" w:rsidRPr="00915B1C" w14:paraId="50A7904F" w14:textId="77777777" w:rsidTr="002E4DDC">
      <w:tc>
        <w:tcPr>
          <w:tcW w:w="6352" w:type="dxa"/>
          <w:shd w:val="clear" w:color="auto" w:fill="auto"/>
        </w:tcPr>
        <w:p w14:paraId="7286A968" w14:textId="77777777" w:rsidR="009D2A3A" w:rsidRPr="00915B1C" w:rsidRDefault="009D2A3A" w:rsidP="00915B1C">
          <w:pPr>
            <w:pStyle w:val="Footer"/>
            <w:ind w:right="28"/>
            <w:jc w:val="right"/>
            <w:rPr>
              <w:sz w:val="2"/>
              <w:szCs w:val="2"/>
            </w:rPr>
          </w:pPr>
        </w:p>
      </w:tc>
      <w:tc>
        <w:tcPr>
          <w:tcW w:w="1332" w:type="dxa"/>
          <w:tcBorders>
            <w:top w:val="single" w:sz="2" w:space="0" w:color="505050"/>
          </w:tcBorders>
          <w:shd w:val="clear" w:color="auto" w:fill="auto"/>
        </w:tcPr>
        <w:p w14:paraId="331DF72A" w14:textId="77777777" w:rsidR="009D2A3A" w:rsidRPr="00915B1C" w:rsidRDefault="009D2A3A" w:rsidP="00915B1C">
          <w:pPr>
            <w:pStyle w:val="Footer"/>
            <w:ind w:right="28"/>
            <w:jc w:val="right"/>
            <w:rPr>
              <w:sz w:val="2"/>
              <w:szCs w:val="2"/>
            </w:rPr>
          </w:pPr>
        </w:p>
      </w:tc>
      <w:tc>
        <w:tcPr>
          <w:tcW w:w="396" w:type="dxa"/>
          <w:shd w:val="clear" w:color="auto" w:fill="auto"/>
        </w:tcPr>
        <w:p w14:paraId="1F9FCDD1" w14:textId="77777777" w:rsidR="009D2A3A" w:rsidRPr="00915B1C" w:rsidRDefault="009D2A3A" w:rsidP="00332011">
          <w:pPr>
            <w:pStyle w:val="Footer"/>
            <w:rPr>
              <w:sz w:val="2"/>
              <w:szCs w:val="2"/>
            </w:rPr>
          </w:pPr>
        </w:p>
      </w:tc>
    </w:tr>
    <w:tr w:rsidR="009D2A3A" w:rsidRPr="002E4DDC" w14:paraId="5B570C12" w14:textId="77777777" w:rsidTr="00915B1C">
      <w:tc>
        <w:tcPr>
          <w:tcW w:w="7684" w:type="dxa"/>
          <w:gridSpan w:val="2"/>
          <w:shd w:val="clear" w:color="auto" w:fill="auto"/>
        </w:tcPr>
        <w:p w14:paraId="4758082E" w14:textId="77777777" w:rsidR="009D2A3A" w:rsidRPr="002E4DDC" w:rsidRDefault="009D2A3A"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00724CDB" w:rsidRPr="002E4DDC">
            <w:rPr>
              <w:color w:val="505050"/>
            </w:rPr>
            <w:fldChar w:fldCharType="begin"/>
          </w:r>
          <w:r w:rsidRPr="002E4DDC">
            <w:rPr>
              <w:color w:val="505050"/>
            </w:rPr>
            <w:instrText xml:space="preserve"> PAGE  \* roman  \* MERGEFORMAT </w:instrText>
          </w:r>
          <w:r w:rsidR="00724CDB" w:rsidRPr="002E4DDC">
            <w:rPr>
              <w:color w:val="505050"/>
            </w:rPr>
            <w:fldChar w:fldCharType="separate"/>
          </w:r>
          <w:r>
            <w:rPr>
              <w:noProof/>
              <w:color w:val="505050"/>
            </w:rPr>
            <w:t>iii</w:t>
          </w:r>
          <w:r w:rsidR="00724CDB" w:rsidRPr="002E4DDC">
            <w:rPr>
              <w:color w:val="505050"/>
            </w:rPr>
            <w:fldChar w:fldCharType="end"/>
          </w:r>
        </w:p>
      </w:tc>
      <w:tc>
        <w:tcPr>
          <w:tcW w:w="396" w:type="dxa"/>
          <w:shd w:val="clear" w:color="auto" w:fill="auto"/>
        </w:tcPr>
        <w:p w14:paraId="173EB29E" w14:textId="77777777" w:rsidR="009D2A3A" w:rsidRPr="002E4DDC" w:rsidRDefault="009D2A3A" w:rsidP="00332011">
          <w:pPr>
            <w:pStyle w:val="Footer"/>
            <w:rPr>
              <w:color w:val="505050"/>
            </w:rPr>
          </w:pPr>
        </w:p>
      </w:tc>
    </w:tr>
  </w:tbl>
  <w:p w14:paraId="357702FB" w14:textId="77777777" w:rsidR="009D2A3A" w:rsidRDefault="009D2A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63" w:type="dxa"/>
      <w:tblLayout w:type="fixed"/>
      <w:tblCellMar>
        <w:left w:w="0" w:type="dxa"/>
        <w:right w:w="0" w:type="dxa"/>
      </w:tblCellMar>
      <w:tblLook w:val="01E0" w:firstRow="1" w:lastRow="1" w:firstColumn="1" w:lastColumn="1" w:noHBand="0" w:noVBand="0"/>
    </w:tblPr>
    <w:tblGrid>
      <w:gridCol w:w="1311"/>
      <w:gridCol w:w="6352"/>
    </w:tblGrid>
    <w:tr w:rsidR="009D2A3A" w:rsidRPr="00915B1C" w14:paraId="2F23CBFD" w14:textId="77777777" w:rsidTr="00B22EB2">
      <w:tc>
        <w:tcPr>
          <w:tcW w:w="1311" w:type="dxa"/>
          <w:tcBorders>
            <w:top w:val="single" w:sz="2" w:space="0" w:color="505050"/>
          </w:tcBorders>
          <w:shd w:val="clear" w:color="auto" w:fill="auto"/>
        </w:tcPr>
        <w:p w14:paraId="678805F0" w14:textId="77777777" w:rsidR="009D2A3A" w:rsidRPr="00915B1C" w:rsidRDefault="009D2A3A" w:rsidP="00332011">
          <w:pPr>
            <w:pStyle w:val="Footer"/>
            <w:rPr>
              <w:sz w:val="2"/>
              <w:szCs w:val="2"/>
            </w:rPr>
          </w:pPr>
        </w:p>
      </w:tc>
      <w:tc>
        <w:tcPr>
          <w:tcW w:w="6352" w:type="dxa"/>
          <w:shd w:val="clear" w:color="auto" w:fill="auto"/>
        </w:tcPr>
        <w:p w14:paraId="6858BBA6" w14:textId="77777777" w:rsidR="009D2A3A" w:rsidRPr="00915B1C" w:rsidRDefault="009D2A3A" w:rsidP="00332011">
          <w:pPr>
            <w:pStyle w:val="Footer"/>
            <w:rPr>
              <w:sz w:val="2"/>
              <w:szCs w:val="2"/>
            </w:rPr>
          </w:pPr>
        </w:p>
      </w:tc>
    </w:tr>
    <w:tr w:rsidR="009D2A3A" w:rsidRPr="002E4DDC" w14:paraId="66360315" w14:textId="77777777" w:rsidTr="00B22EB2">
      <w:tc>
        <w:tcPr>
          <w:tcW w:w="7663" w:type="dxa"/>
          <w:gridSpan w:val="2"/>
          <w:shd w:val="clear" w:color="auto" w:fill="auto"/>
        </w:tcPr>
        <w:p w14:paraId="0B5565FB" w14:textId="77777777" w:rsidR="009D2A3A" w:rsidRPr="002E4DDC" w:rsidRDefault="00724CDB" w:rsidP="00332011">
          <w:pPr>
            <w:pStyle w:val="Footer"/>
            <w:rPr>
              <w:color w:val="505050"/>
            </w:rPr>
          </w:pPr>
          <w:r w:rsidRPr="002E4DDC">
            <w:rPr>
              <w:color w:val="505050"/>
            </w:rPr>
            <w:fldChar w:fldCharType="begin"/>
          </w:r>
          <w:r w:rsidR="009D2A3A" w:rsidRPr="002E4DDC">
            <w:rPr>
              <w:color w:val="505050"/>
            </w:rPr>
            <w:instrText xml:space="preserve"> PAGE  \* roman  \* MERGEFORMAT </w:instrText>
          </w:r>
          <w:r w:rsidRPr="002E4DDC">
            <w:rPr>
              <w:color w:val="505050"/>
            </w:rPr>
            <w:fldChar w:fldCharType="separate"/>
          </w:r>
          <w:r w:rsidR="007221D0">
            <w:rPr>
              <w:noProof/>
              <w:color w:val="505050"/>
            </w:rPr>
            <w:t>vi</w:t>
          </w:r>
          <w:r w:rsidRPr="002E4DDC">
            <w:rPr>
              <w:color w:val="505050"/>
            </w:rPr>
            <w:fldChar w:fldCharType="end"/>
          </w:r>
          <w:r w:rsidR="009D2A3A" w:rsidRPr="002E4DDC">
            <w:rPr>
              <w:color w:val="505050"/>
            </w:rPr>
            <w:t xml:space="preserve">   |   </w:t>
          </w:r>
          <w:r w:rsidR="009D2A3A" w:rsidRPr="00821A88">
            <w:rPr>
              <w:rFonts w:ascii="HelveticaNeueLT Std Med" w:hAnsi="HelveticaNeueLT Std Med"/>
              <w:b/>
              <w:noProof/>
              <w:color w:val="505050"/>
              <w:spacing w:val="-16"/>
              <w:sz w:val="20"/>
              <w:szCs w:val="20"/>
            </w:rPr>
            <w:t>a</w:t>
          </w:r>
          <w:r w:rsidR="009D2A3A" w:rsidRPr="00AE091D">
            <w:rPr>
              <w:rFonts w:ascii="HelveticaNeueLT Std Med" w:hAnsi="HelveticaNeueLT Std Med"/>
              <w:b/>
              <w:noProof/>
              <w:color w:val="505050"/>
              <w:spacing w:val="-15"/>
              <w:sz w:val="20"/>
              <w:szCs w:val="20"/>
            </w:rPr>
            <w:t>c</w:t>
          </w:r>
          <w:r w:rsidR="009D2A3A" w:rsidRPr="00821A88">
            <w:rPr>
              <w:rFonts w:ascii="HelveticaNeueLT Std Med" w:hAnsi="HelveticaNeueLT Std Med"/>
              <w:b/>
              <w:noProof/>
              <w:color w:val="505050"/>
              <w:spacing w:val="-16"/>
              <w:sz w:val="20"/>
              <w:szCs w:val="20"/>
            </w:rPr>
            <w:t>m</w:t>
          </w:r>
          <w:r w:rsidR="009D2A3A" w:rsidRPr="00FD2C2F">
            <w:rPr>
              <w:rFonts w:ascii="HelveticaNeueLT Std Med" w:hAnsi="HelveticaNeueLT Std Med"/>
              <w:b/>
              <w:noProof/>
              <w:color w:val="505050"/>
              <w:spacing w:val="-14"/>
              <w:sz w:val="20"/>
              <w:szCs w:val="20"/>
            </w:rPr>
            <w:t>a</w:t>
          </w:r>
          <w:r w:rsidR="009D2A3A" w:rsidRPr="002E4DDC">
            <w:rPr>
              <w:color w:val="505050"/>
            </w:rPr>
            <w:t xml:space="preserve">  </w:t>
          </w:r>
        </w:p>
      </w:tc>
    </w:tr>
  </w:tbl>
  <w:p w14:paraId="41211F9C" w14:textId="77777777" w:rsidR="009D2A3A" w:rsidRDefault="009D2A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9D2A3A" w:rsidRPr="00915B1C" w14:paraId="33C9C4AF" w14:textId="77777777" w:rsidTr="002E4DDC">
      <w:tc>
        <w:tcPr>
          <w:tcW w:w="6352" w:type="dxa"/>
          <w:shd w:val="clear" w:color="auto" w:fill="auto"/>
        </w:tcPr>
        <w:p w14:paraId="0F7C3FC2" w14:textId="77777777" w:rsidR="009D2A3A" w:rsidRPr="00915B1C" w:rsidRDefault="009D2A3A" w:rsidP="00915B1C">
          <w:pPr>
            <w:pStyle w:val="Footer"/>
            <w:ind w:right="28"/>
            <w:jc w:val="right"/>
            <w:rPr>
              <w:sz w:val="2"/>
              <w:szCs w:val="2"/>
            </w:rPr>
          </w:pPr>
        </w:p>
      </w:tc>
      <w:tc>
        <w:tcPr>
          <w:tcW w:w="1332" w:type="dxa"/>
          <w:tcBorders>
            <w:top w:val="single" w:sz="2" w:space="0" w:color="505050"/>
          </w:tcBorders>
          <w:shd w:val="clear" w:color="auto" w:fill="auto"/>
        </w:tcPr>
        <w:p w14:paraId="2CA6A4AF" w14:textId="77777777" w:rsidR="009D2A3A" w:rsidRPr="00915B1C" w:rsidRDefault="009D2A3A" w:rsidP="00915B1C">
          <w:pPr>
            <w:pStyle w:val="Footer"/>
            <w:ind w:right="28"/>
            <w:jc w:val="right"/>
            <w:rPr>
              <w:sz w:val="2"/>
              <w:szCs w:val="2"/>
            </w:rPr>
          </w:pPr>
        </w:p>
      </w:tc>
      <w:tc>
        <w:tcPr>
          <w:tcW w:w="396" w:type="dxa"/>
          <w:shd w:val="clear" w:color="auto" w:fill="auto"/>
        </w:tcPr>
        <w:p w14:paraId="100891B0" w14:textId="77777777" w:rsidR="009D2A3A" w:rsidRPr="00915B1C" w:rsidRDefault="009D2A3A" w:rsidP="00332011">
          <w:pPr>
            <w:pStyle w:val="Footer"/>
            <w:rPr>
              <w:sz w:val="2"/>
              <w:szCs w:val="2"/>
            </w:rPr>
          </w:pPr>
        </w:p>
      </w:tc>
    </w:tr>
    <w:tr w:rsidR="009D2A3A" w:rsidRPr="002E4DDC" w14:paraId="42CCA93A" w14:textId="77777777" w:rsidTr="00915B1C">
      <w:tc>
        <w:tcPr>
          <w:tcW w:w="7684" w:type="dxa"/>
          <w:gridSpan w:val="2"/>
          <w:shd w:val="clear" w:color="auto" w:fill="auto"/>
        </w:tcPr>
        <w:p w14:paraId="5E8B4CCE" w14:textId="77777777" w:rsidR="009D2A3A" w:rsidRPr="002E4DDC" w:rsidRDefault="009D2A3A"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00724CDB" w:rsidRPr="002E4DDC">
            <w:rPr>
              <w:color w:val="505050"/>
            </w:rPr>
            <w:fldChar w:fldCharType="begin"/>
          </w:r>
          <w:r w:rsidRPr="002E4DDC">
            <w:rPr>
              <w:color w:val="505050"/>
            </w:rPr>
            <w:instrText xml:space="preserve"> PAGE  \* roman  \* MERGEFORMAT </w:instrText>
          </w:r>
          <w:r w:rsidR="00724CDB" w:rsidRPr="002E4DDC">
            <w:rPr>
              <w:color w:val="505050"/>
            </w:rPr>
            <w:fldChar w:fldCharType="separate"/>
          </w:r>
          <w:r w:rsidR="007221D0">
            <w:rPr>
              <w:noProof/>
              <w:color w:val="505050"/>
            </w:rPr>
            <w:t>v</w:t>
          </w:r>
          <w:r w:rsidR="00724CDB" w:rsidRPr="002E4DDC">
            <w:rPr>
              <w:color w:val="505050"/>
            </w:rPr>
            <w:fldChar w:fldCharType="end"/>
          </w:r>
        </w:p>
      </w:tc>
      <w:tc>
        <w:tcPr>
          <w:tcW w:w="396" w:type="dxa"/>
          <w:shd w:val="clear" w:color="auto" w:fill="auto"/>
        </w:tcPr>
        <w:p w14:paraId="210E75DF" w14:textId="77777777" w:rsidR="009D2A3A" w:rsidRPr="002E4DDC" w:rsidRDefault="009D2A3A" w:rsidP="00332011">
          <w:pPr>
            <w:pStyle w:val="Footer"/>
            <w:rPr>
              <w:color w:val="505050"/>
            </w:rPr>
          </w:pPr>
        </w:p>
      </w:tc>
    </w:tr>
  </w:tbl>
  <w:p w14:paraId="4084FF45" w14:textId="77777777" w:rsidR="009D2A3A" w:rsidRDefault="009D2A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4" w:type="dxa"/>
      <w:tblLayout w:type="fixed"/>
      <w:tblCellMar>
        <w:left w:w="0" w:type="dxa"/>
        <w:right w:w="0" w:type="dxa"/>
      </w:tblCellMar>
      <w:tblLook w:val="01E0" w:firstRow="1" w:lastRow="1" w:firstColumn="1" w:lastColumn="1" w:noHBand="0" w:noVBand="0"/>
    </w:tblPr>
    <w:tblGrid>
      <w:gridCol w:w="6352"/>
      <w:gridCol w:w="1332"/>
    </w:tblGrid>
    <w:tr w:rsidR="009D2A3A" w:rsidRPr="00915B1C" w14:paraId="61CF61A3" w14:textId="77777777" w:rsidTr="00B22EB2">
      <w:tc>
        <w:tcPr>
          <w:tcW w:w="6352" w:type="dxa"/>
          <w:shd w:val="clear" w:color="auto" w:fill="auto"/>
        </w:tcPr>
        <w:p w14:paraId="7D8DBB66" w14:textId="77777777" w:rsidR="009D2A3A" w:rsidRPr="00915B1C" w:rsidRDefault="009D2A3A" w:rsidP="00915B1C">
          <w:pPr>
            <w:pStyle w:val="Footer"/>
            <w:ind w:right="28"/>
            <w:jc w:val="right"/>
            <w:rPr>
              <w:sz w:val="2"/>
              <w:szCs w:val="2"/>
            </w:rPr>
          </w:pPr>
        </w:p>
      </w:tc>
      <w:tc>
        <w:tcPr>
          <w:tcW w:w="1332" w:type="dxa"/>
          <w:tcBorders>
            <w:top w:val="single" w:sz="2" w:space="0" w:color="505050"/>
          </w:tcBorders>
          <w:shd w:val="clear" w:color="auto" w:fill="auto"/>
        </w:tcPr>
        <w:p w14:paraId="415B2CB8" w14:textId="77777777" w:rsidR="009D2A3A" w:rsidRPr="00915B1C" w:rsidRDefault="009D2A3A" w:rsidP="00915B1C">
          <w:pPr>
            <w:pStyle w:val="Footer"/>
            <w:ind w:right="28"/>
            <w:jc w:val="right"/>
            <w:rPr>
              <w:sz w:val="2"/>
              <w:szCs w:val="2"/>
            </w:rPr>
          </w:pPr>
        </w:p>
      </w:tc>
    </w:tr>
    <w:tr w:rsidR="009D2A3A" w:rsidRPr="002E4DDC" w14:paraId="49AD0F8E" w14:textId="77777777" w:rsidTr="00B22EB2">
      <w:tc>
        <w:tcPr>
          <w:tcW w:w="7684" w:type="dxa"/>
          <w:gridSpan w:val="2"/>
          <w:shd w:val="clear" w:color="auto" w:fill="auto"/>
        </w:tcPr>
        <w:p w14:paraId="6BE19F66" w14:textId="77777777" w:rsidR="009D2A3A" w:rsidRPr="002E4DDC" w:rsidRDefault="009D2A3A"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906F40">
            <w:rPr>
              <w:rFonts w:ascii="HelveticaNeueLT Std" w:hAnsi="HelveticaNeueLT Std"/>
              <w:color w:val="505050"/>
            </w:rPr>
            <w:t xml:space="preserve"> </w:t>
          </w:r>
          <w:r w:rsidRPr="002E4DDC">
            <w:rPr>
              <w:color w:val="505050"/>
            </w:rPr>
            <w:t xml:space="preserve">  |   </w:t>
          </w:r>
          <w:r w:rsidR="00724CDB" w:rsidRPr="002E4DDC">
            <w:rPr>
              <w:color w:val="505050"/>
            </w:rPr>
            <w:fldChar w:fldCharType="begin"/>
          </w:r>
          <w:r w:rsidRPr="002E4DDC">
            <w:rPr>
              <w:color w:val="505050"/>
            </w:rPr>
            <w:instrText xml:space="preserve"> PAGE  \* roman  \* MERGEFORMAT </w:instrText>
          </w:r>
          <w:r w:rsidR="00724CDB" w:rsidRPr="002E4DDC">
            <w:rPr>
              <w:color w:val="505050"/>
            </w:rPr>
            <w:fldChar w:fldCharType="separate"/>
          </w:r>
          <w:r w:rsidR="007221D0">
            <w:rPr>
              <w:noProof/>
              <w:color w:val="505050"/>
            </w:rPr>
            <w:t>iii</w:t>
          </w:r>
          <w:r w:rsidR="00724CDB" w:rsidRPr="002E4DDC">
            <w:rPr>
              <w:color w:val="505050"/>
            </w:rPr>
            <w:fldChar w:fldCharType="end"/>
          </w:r>
        </w:p>
      </w:tc>
    </w:tr>
  </w:tbl>
  <w:p w14:paraId="0F3A8C09" w14:textId="77777777" w:rsidR="009D2A3A" w:rsidRDefault="009D2A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9D2A3A" w:rsidRPr="00915B1C" w14:paraId="1BCEC8DC" w14:textId="77777777" w:rsidTr="00915B1C">
      <w:tc>
        <w:tcPr>
          <w:tcW w:w="1311" w:type="dxa"/>
          <w:tcBorders>
            <w:top w:val="single" w:sz="2" w:space="0" w:color="auto"/>
          </w:tcBorders>
          <w:shd w:val="clear" w:color="auto" w:fill="auto"/>
        </w:tcPr>
        <w:p w14:paraId="135E8B9F" w14:textId="77777777" w:rsidR="009D2A3A" w:rsidRPr="00915B1C" w:rsidRDefault="009D2A3A" w:rsidP="00332011">
          <w:pPr>
            <w:pStyle w:val="Footer"/>
            <w:rPr>
              <w:sz w:val="2"/>
              <w:szCs w:val="2"/>
            </w:rPr>
          </w:pPr>
        </w:p>
      </w:tc>
      <w:tc>
        <w:tcPr>
          <w:tcW w:w="6381" w:type="dxa"/>
          <w:shd w:val="clear" w:color="auto" w:fill="auto"/>
        </w:tcPr>
        <w:p w14:paraId="2D1F10A8" w14:textId="77777777" w:rsidR="009D2A3A" w:rsidRPr="00915B1C" w:rsidRDefault="009D2A3A" w:rsidP="00332011">
          <w:pPr>
            <w:pStyle w:val="Footer"/>
            <w:rPr>
              <w:sz w:val="2"/>
              <w:szCs w:val="2"/>
            </w:rPr>
          </w:pPr>
        </w:p>
      </w:tc>
    </w:tr>
    <w:tr w:rsidR="009D2A3A" w14:paraId="7DCF8B68" w14:textId="77777777" w:rsidTr="00915B1C">
      <w:tc>
        <w:tcPr>
          <w:tcW w:w="7692" w:type="dxa"/>
          <w:gridSpan w:val="2"/>
          <w:shd w:val="clear" w:color="auto" w:fill="auto"/>
        </w:tcPr>
        <w:p w14:paraId="66FC72DE" w14:textId="77777777" w:rsidR="009D2A3A" w:rsidRPr="00575AC5" w:rsidRDefault="00724CDB" w:rsidP="00332011">
          <w:pPr>
            <w:pStyle w:val="Footer"/>
            <w:rPr>
              <w:color w:val="505050"/>
            </w:rPr>
          </w:pPr>
          <w:r w:rsidRPr="00575AC5">
            <w:rPr>
              <w:color w:val="505050"/>
            </w:rPr>
            <w:fldChar w:fldCharType="begin"/>
          </w:r>
          <w:r w:rsidR="009D2A3A" w:rsidRPr="00575AC5">
            <w:rPr>
              <w:color w:val="505050"/>
            </w:rPr>
            <w:instrText xml:space="preserve"> PAGE  \* Arabic  \* MERGEFORMAT </w:instrText>
          </w:r>
          <w:r w:rsidRPr="00575AC5">
            <w:rPr>
              <w:color w:val="505050"/>
            </w:rPr>
            <w:fldChar w:fldCharType="separate"/>
          </w:r>
          <w:r w:rsidR="007221D0">
            <w:rPr>
              <w:noProof/>
              <w:color w:val="505050"/>
            </w:rPr>
            <w:t>64</w:t>
          </w:r>
          <w:r w:rsidRPr="00575AC5">
            <w:rPr>
              <w:color w:val="505050"/>
            </w:rPr>
            <w:fldChar w:fldCharType="end"/>
          </w:r>
          <w:r w:rsidR="009D2A3A" w:rsidRPr="00575AC5">
            <w:rPr>
              <w:color w:val="505050"/>
            </w:rPr>
            <w:t xml:space="preserve">   |   </w:t>
          </w:r>
          <w:r w:rsidR="009D2A3A" w:rsidRPr="00821A88">
            <w:rPr>
              <w:rFonts w:ascii="HelveticaNeueLT Std Med" w:hAnsi="HelveticaNeueLT Std Med"/>
              <w:b/>
              <w:noProof/>
              <w:color w:val="505050"/>
              <w:spacing w:val="-16"/>
              <w:sz w:val="20"/>
              <w:szCs w:val="20"/>
            </w:rPr>
            <w:t>a</w:t>
          </w:r>
          <w:r w:rsidR="009D2A3A" w:rsidRPr="00AE091D">
            <w:rPr>
              <w:rFonts w:ascii="HelveticaNeueLT Std Med" w:hAnsi="HelveticaNeueLT Std Med"/>
              <w:b/>
              <w:noProof/>
              <w:color w:val="505050"/>
              <w:spacing w:val="-15"/>
              <w:sz w:val="20"/>
              <w:szCs w:val="20"/>
            </w:rPr>
            <w:t>c</w:t>
          </w:r>
          <w:r w:rsidR="009D2A3A" w:rsidRPr="00821A88">
            <w:rPr>
              <w:rFonts w:ascii="HelveticaNeueLT Std Med" w:hAnsi="HelveticaNeueLT Std Med"/>
              <w:b/>
              <w:noProof/>
              <w:color w:val="505050"/>
              <w:spacing w:val="-16"/>
              <w:sz w:val="20"/>
              <w:szCs w:val="20"/>
            </w:rPr>
            <w:t>m</w:t>
          </w:r>
          <w:r w:rsidR="009D2A3A" w:rsidRPr="00FD2C2F">
            <w:rPr>
              <w:rFonts w:ascii="HelveticaNeueLT Std Med" w:hAnsi="HelveticaNeueLT Std Med"/>
              <w:b/>
              <w:noProof/>
              <w:color w:val="505050"/>
              <w:spacing w:val="-14"/>
              <w:sz w:val="20"/>
              <w:szCs w:val="20"/>
            </w:rPr>
            <w:t>a</w:t>
          </w:r>
          <w:r w:rsidR="009D2A3A" w:rsidRPr="00575AC5">
            <w:rPr>
              <w:color w:val="505050"/>
            </w:rPr>
            <w:t xml:space="preserve">  </w:t>
          </w:r>
        </w:p>
      </w:tc>
    </w:tr>
  </w:tbl>
  <w:p w14:paraId="1E24100A" w14:textId="77777777" w:rsidR="009D2A3A" w:rsidRDefault="009D2A3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9D2A3A" w:rsidRPr="00915B1C" w14:paraId="4B8F9E48" w14:textId="77777777" w:rsidTr="00915B1C">
      <w:tc>
        <w:tcPr>
          <w:tcW w:w="6355" w:type="dxa"/>
          <w:shd w:val="clear" w:color="auto" w:fill="auto"/>
        </w:tcPr>
        <w:p w14:paraId="4986A5D2" w14:textId="77777777" w:rsidR="009D2A3A" w:rsidRPr="00915B1C" w:rsidRDefault="009D2A3A" w:rsidP="00915B1C">
          <w:pPr>
            <w:pStyle w:val="Footer"/>
            <w:ind w:right="28"/>
            <w:jc w:val="right"/>
            <w:rPr>
              <w:sz w:val="2"/>
              <w:szCs w:val="2"/>
            </w:rPr>
          </w:pPr>
        </w:p>
      </w:tc>
      <w:tc>
        <w:tcPr>
          <w:tcW w:w="1328" w:type="dxa"/>
          <w:tcBorders>
            <w:top w:val="single" w:sz="2" w:space="0" w:color="auto"/>
          </w:tcBorders>
          <w:shd w:val="clear" w:color="auto" w:fill="auto"/>
        </w:tcPr>
        <w:p w14:paraId="4D944108" w14:textId="77777777" w:rsidR="009D2A3A" w:rsidRPr="00915B1C" w:rsidRDefault="009D2A3A" w:rsidP="00915B1C">
          <w:pPr>
            <w:pStyle w:val="Footer"/>
            <w:ind w:right="28"/>
            <w:jc w:val="right"/>
            <w:rPr>
              <w:sz w:val="2"/>
              <w:szCs w:val="2"/>
            </w:rPr>
          </w:pPr>
        </w:p>
      </w:tc>
    </w:tr>
    <w:tr w:rsidR="009D2A3A" w14:paraId="325E8D92" w14:textId="77777777" w:rsidTr="00915B1C">
      <w:tc>
        <w:tcPr>
          <w:tcW w:w="7683" w:type="dxa"/>
          <w:gridSpan w:val="2"/>
          <w:shd w:val="clear" w:color="auto" w:fill="auto"/>
        </w:tcPr>
        <w:p w14:paraId="5FB809D8" w14:textId="77777777" w:rsidR="009D2A3A" w:rsidRPr="00575AC5" w:rsidRDefault="009D2A3A" w:rsidP="00915B1C">
          <w:pPr>
            <w:pStyle w:val="Footer"/>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   </w:t>
          </w:r>
          <w:r w:rsidR="00724CDB" w:rsidRPr="00575AC5">
            <w:rPr>
              <w:color w:val="505050"/>
            </w:rPr>
            <w:fldChar w:fldCharType="begin"/>
          </w:r>
          <w:r w:rsidRPr="00575AC5">
            <w:rPr>
              <w:color w:val="505050"/>
            </w:rPr>
            <w:instrText xml:space="preserve"> PAGE  \* Arabic  \* MERGEFORMAT </w:instrText>
          </w:r>
          <w:r w:rsidR="00724CDB" w:rsidRPr="00575AC5">
            <w:rPr>
              <w:color w:val="505050"/>
            </w:rPr>
            <w:fldChar w:fldCharType="separate"/>
          </w:r>
          <w:r w:rsidR="007221D0">
            <w:rPr>
              <w:noProof/>
              <w:color w:val="505050"/>
            </w:rPr>
            <w:t>63</w:t>
          </w:r>
          <w:r w:rsidR="00724CDB" w:rsidRPr="00575AC5">
            <w:rPr>
              <w:color w:val="505050"/>
            </w:rPr>
            <w:fldChar w:fldCharType="end"/>
          </w:r>
        </w:p>
      </w:tc>
    </w:tr>
  </w:tbl>
  <w:p w14:paraId="7069D54E" w14:textId="77777777" w:rsidR="009D2A3A" w:rsidRDefault="009D2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93D1B" w14:textId="77777777" w:rsidR="009D2A3A" w:rsidRDefault="009D2A3A">
      <w:r>
        <w:separator/>
      </w:r>
    </w:p>
  </w:footnote>
  <w:footnote w:type="continuationSeparator" w:id="0">
    <w:p w14:paraId="1ECEDAB7" w14:textId="77777777" w:rsidR="009D2A3A" w:rsidRDefault="009D2A3A">
      <w:r>
        <w:continuationSeparator/>
      </w:r>
    </w:p>
  </w:footnote>
  <w:footnote w:id="1">
    <w:p w14:paraId="34CD2B75" w14:textId="77777777" w:rsidR="009D2A3A" w:rsidRPr="00FE5177" w:rsidRDefault="009D2A3A" w:rsidP="008400F2">
      <w:pPr>
        <w:pStyle w:val="FootnoteText"/>
        <w:rPr>
          <w:rFonts w:cs="Arial"/>
        </w:rPr>
      </w:pPr>
      <w:r w:rsidRPr="00FE5177">
        <w:rPr>
          <w:rStyle w:val="FootnoteReference"/>
          <w:rFonts w:cs="Arial"/>
        </w:rPr>
        <w:footnoteRef/>
      </w:r>
      <w:r w:rsidRPr="00FE5177">
        <w:rPr>
          <w:rFonts w:cs="Arial"/>
        </w:rPr>
        <w:t xml:space="preserve"> </w:t>
      </w:r>
      <w:r w:rsidRPr="004E40AA">
        <w:t>Further</w:t>
      </w:r>
      <w:r w:rsidRPr="00063213">
        <w:rPr>
          <w:rFonts w:cs="Arial"/>
        </w:rPr>
        <w:t xml:space="preserve"> information </w:t>
      </w:r>
      <w:r w:rsidRPr="0005361B">
        <w:t>about</w:t>
      </w:r>
      <w:r w:rsidRPr="00063213">
        <w:rPr>
          <w:rFonts w:cs="Arial"/>
        </w:rPr>
        <w:t xml:space="preserve"> the ACMA’s recommendations, including the May 2011 information paper </w:t>
      </w:r>
      <w:r w:rsidRPr="00063213">
        <w:rPr>
          <w:rFonts w:cs="Arial"/>
          <w:i/>
        </w:rPr>
        <w:t>Draft spectrum reallocation recommendations for the 700 MHz digital dividend and 2.5 GHz bands</w:t>
      </w:r>
      <w:r w:rsidRPr="00063213">
        <w:rPr>
          <w:rFonts w:cs="Arial"/>
        </w:rPr>
        <w:t xml:space="preserve"> is available on the ACMA </w:t>
      </w:r>
      <w:hyperlink r:id="rId1" w:history="1">
        <w:r w:rsidRPr="00063213">
          <w:rPr>
            <w:rStyle w:val="Hyperlink"/>
            <w:rFonts w:cs="Arial"/>
          </w:rPr>
          <w:t>website</w:t>
        </w:r>
      </w:hyperlink>
      <w:r w:rsidRPr="00063213">
        <w:rPr>
          <w:rFonts w:cs="Arial"/>
        </w:rPr>
        <w:t>.</w:t>
      </w:r>
    </w:p>
  </w:footnote>
  <w:footnote w:id="2">
    <w:p w14:paraId="3E08EE76" w14:textId="77777777" w:rsidR="009D2A3A" w:rsidRPr="004D0530" w:rsidRDefault="009D2A3A" w:rsidP="00D1133F">
      <w:pPr>
        <w:pStyle w:val="FootnoteText"/>
      </w:pPr>
      <w:r w:rsidRPr="004D0530">
        <w:rPr>
          <w:rStyle w:val="FootnoteReference"/>
          <w:rFonts w:cs="Arial"/>
        </w:rPr>
        <w:footnoteRef/>
      </w:r>
      <w:r w:rsidRPr="004D0530">
        <w:t xml:space="preserve"> See Ministerial direction, Australian Communications and Media Authority (Realising the Digital Dividend) Direction 2010, and associated explanatory statement, on the</w:t>
      </w:r>
      <w:r>
        <w:t xml:space="preserve"> Comlaw </w:t>
      </w:r>
      <w:hyperlink r:id="rId2" w:history="1">
        <w:r w:rsidRPr="0025721D">
          <w:rPr>
            <w:rStyle w:val="Hyperlink"/>
            <w:rFonts w:cs="Arial"/>
          </w:rPr>
          <w:t>website</w:t>
        </w:r>
      </w:hyperlink>
      <w:r w:rsidRPr="004D0530">
        <w:t>.</w:t>
      </w:r>
    </w:p>
  </w:footnote>
  <w:footnote w:id="3">
    <w:p w14:paraId="77B0FF3A" w14:textId="77777777" w:rsidR="009D2A3A" w:rsidRDefault="009D2A3A">
      <w:pPr>
        <w:pStyle w:val="FootnoteText"/>
      </w:pPr>
      <w:r>
        <w:rPr>
          <w:rStyle w:val="FootnoteReference"/>
        </w:rPr>
        <w:footnoteRef/>
      </w:r>
      <w:r>
        <w:t xml:space="preserve"> See </w:t>
      </w:r>
      <w:r>
        <w:rPr>
          <w:i/>
        </w:rPr>
        <w:t xml:space="preserve">Digital Dividend Green Paper, </w:t>
      </w:r>
      <w:r>
        <w:t xml:space="preserve">and submissions received in response to the paper, on the Department of Broadband, Communications and the Digital Economy </w:t>
      </w:r>
      <w:hyperlink r:id="rId3" w:history="1">
        <w:r w:rsidRPr="00740D06">
          <w:rPr>
            <w:rStyle w:val="Hyperlink"/>
          </w:rPr>
          <w:t>website</w:t>
        </w:r>
      </w:hyperlink>
      <w:r>
        <w:t>.</w:t>
      </w:r>
    </w:p>
  </w:footnote>
  <w:footnote w:id="4">
    <w:p w14:paraId="5C3C5685" w14:textId="77777777" w:rsidR="009D2A3A" w:rsidRPr="004D0530" w:rsidRDefault="009D2A3A" w:rsidP="00FC6592">
      <w:pPr>
        <w:pStyle w:val="FootnoteText"/>
        <w:rPr>
          <w:rFonts w:cs="Arial"/>
        </w:rPr>
      </w:pPr>
      <w:r w:rsidRPr="004D0530">
        <w:rPr>
          <w:rStyle w:val="FootnoteReference"/>
          <w:rFonts w:cs="Arial"/>
        </w:rPr>
        <w:footnoteRef/>
      </w:r>
      <w:r w:rsidRPr="00837369">
        <w:rPr>
          <w:rFonts w:cs="Arial"/>
          <w:vertAlign w:val="superscript"/>
        </w:rPr>
        <w:t xml:space="preserve"> </w:t>
      </w:r>
      <w:r w:rsidRPr="004D0530">
        <w:rPr>
          <w:rFonts w:cs="Arial"/>
        </w:rPr>
        <w:t xml:space="preserve">Further information about the review, including the January 2010 discussion paper </w:t>
      </w:r>
      <w:r w:rsidRPr="004D0530">
        <w:rPr>
          <w:rStyle w:val="Emphasis"/>
          <w:rFonts w:cs="Arial"/>
          <w:iCs w:val="0"/>
        </w:rPr>
        <w:t>Review of the 2.5 GHz band and long-term arrangements for ENG</w:t>
      </w:r>
      <w:r w:rsidRPr="004D0530">
        <w:rPr>
          <w:rStyle w:val="Emphasis"/>
          <w:rFonts w:cs="Arial"/>
          <w:i w:val="0"/>
          <w:iCs w:val="0"/>
        </w:rPr>
        <w:t xml:space="preserve"> and the ACMA’s response to submissions to that paper</w:t>
      </w:r>
      <w:r>
        <w:rPr>
          <w:rStyle w:val="Emphasis"/>
          <w:rFonts w:cs="Arial"/>
          <w:i w:val="0"/>
          <w:iCs w:val="0"/>
        </w:rPr>
        <w:t>,</w:t>
      </w:r>
      <w:r w:rsidRPr="004D0530">
        <w:rPr>
          <w:rStyle w:val="Emphasis"/>
          <w:rFonts w:cs="Arial"/>
          <w:i w:val="0"/>
          <w:iCs w:val="0"/>
        </w:rPr>
        <w:t xml:space="preserve"> is </w:t>
      </w:r>
      <w:r w:rsidRPr="004D0530">
        <w:rPr>
          <w:rFonts w:cs="Arial"/>
        </w:rPr>
        <w:t xml:space="preserve">on the ACMA </w:t>
      </w:r>
      <w:hyperlink r:id="rId4" w:history="1">
        <w:r w:rsidRPr="004D0530">
          <w:rPr>
            <w:rStyle w:val="Hyperlink"/>
            <w:rFonts w:cs="Arial"/>
          </w:rPr>
          <w:t>website</w:t>
        </w:r>
      </w:hyperlink>
      <w:r w:rsidRPr="004D0530">
        <w:rPr>
          <w:rFonts w:cs="Arial"/>
        </w:rPr>
        <w:t>.</w:t>
      </w:r>
    </w:p>
  </w:footnote>
  <w:footnote w:id="5">
    <w:p w14:paraId="11D00F4D" w14:textId="77777777" w:rsidR="009D2A3A" w:rsidRDefault="009D2A3A">
      <w:pPr>
        <w:pStyle w:val="FootnoteText"/>
      </w:pPr>
      <w:r>
        <w:rPr>
          <w:rStyle w:val="FootnoteReference"/>
        </w:rPr>
        <w:footnoteRef/>
      </w:r>
      <w:r>
        <w:t xml:space="preserve"> See subsection 153H(2) of the Act.</w:t>
      </w:r>
    </w:p>
  </w:footnote>
  <w:footnote w:id="6">
    <w:p w14:paraId="75E7AE6C" w14:textId="77777777" w:rsidR="009D2A3A" w:rsidRPr="004D0530" w:rsidRDefault="009D2A3A" w:rsidP="00FC6592">
      <w:pPr>
        <w:pStyle w:val="FootnoteText"/>
        <w:rPr>
          <w:rFonts w:cs="Arial"/>
        </w:rPr>
      </w:pPr>
      <w:r w:rsidRPr="004D0530">
        <w:rPr>
          <w:rStyle w:val="FootnoteReference"/>
          <w:rFonts w:cs="Arial"/>
        </w:rPr>
        <w:footnoteRef/>
      </w:r>
      <w:r w:rsidRPr="004D0530">
        <w:rPr>
          <w:rFonts w:cs="Arial"/>
        </w:rPr>
        <w:t xml:space="preserve"> </w:t>
      </w:r>
      <w:r>
        <w:rPr>
          <w:rFonts w:cs="Arial"/>
        </w:rPr>
        <w:t>‘</w:t>
      </w:r>
      <w:r w:rsidRPr="004D0530">
        <w:rPr>
          <w:rFonts w:cs="Arial"/>
        </w:rPr>
        <w:t>Perth Area</w:t>
      </w:r>
      <w:r>
        <w:rPr>
          <w:rFonts w:cs="Arial"/>
        </w:rPr>
        <w:t>’</w:t>
      </w:r>
      <w:r w:rsidRPr="004D0530">
        <w:rPr>
          <w:rFonts w:cs="Arial"/>
        </w:rPr>
        <w:t xml:space="preserve"> is defined in the 2.5 GHz spectrum reallocation declaration at </w:t>
      </w:r>
      <w:r w:rsidRPr="005D0ED1">
        <w:rPr>
          <w:rFonts w:cs="Arial"/>
        </w:rPr>
        <w:t>Attachment K.</w:t>
      </w:r>
    </w:p>
  </w:footnote>
  <w:footnote w:id="7">
    <w:p w14:paraId="541B60F1" w14:textId="77777777" w:rsidR="009D2A3A" w:rsidRDefault="009D2A3A">
      <w:pPr>
        <w:pStyle w:val="FootnoteText"/>
      </w:pPr>
      <w:r>
        <w:rPr>
          <w:rStyle w:val="FootnoteReference"/>
        </w:rPr>
        <w:footnoteRef/>
      </w:r>
      <w:r>
        <w:t xml:space="preserve"> The broadcasting services bands are the parts of the spectrum that the minister, acting in accordance with section 31 of the Act, has: designated as being primarily for broadcasting purposes or restricted datacasting services; and referred to the ACMA for planning under Part 3 of the Broadcasting Services Act. </w:t>
      </w:r>
    </w:p>
  </w:footnote>
  <w:footnote w:id="8">
    <w:p w14:paraId="3962D332" w14:textId="77777777" w:rsidR="009D2A3A" w:rsidRPr="00FE5177" w:rsidRDefault="009D2A3A" w:rsidP="00B3631F">
      <w:pPr>
        <w:pStyle w:val="FootnoteText"/>
        <w:rPr>
          <w:rFonts w:cs="Arial"/>
        </w:rPr>
      </w:pPr>
      <w:r w:rsidRPr="00FE5177">
        <w:rPr>
          <w:rStyle w:val="FootnoteReference"/>
          <w:rFonts w:cs="Arial"/>
        </w:rPr>
        <w:footnoteRef/>
      </w:r>
      <w:r w:rsidRPr="00FE5177">
        <w:rPr>
          <w:rFonts w:cs="Arial"/>
        </w:rPr>
        <w:t xml:space="preserve"> Section 26AA of the B</w:t>
      </w:r>
      <w:r>
        <w:rPr>
          <w:rFonts w:cs="Arial"/>
        </w:rPr>
        <w:t xml:space="preserve">roadcasting Services Act </w:t>
      </w:r>
      <w:r w:rsidRPr="00FE5177">
        <w:rPr>
          <w:rFonts w:cs="Arial"/>
        </w:rPr>
        <w:t>provides for compliance with TLAPs.</w:t>
      </w:r>
    </w:p>
  </w:footnote>
  <w:footnote w:id="9">
    <w:p w14:paraId="1F4CF03F" w14:textId="77777777" w:rsidR="009D2A3A" w:rsidRDefault="009D2A3A" w:rsidP="00B3631F">
      <w:pPr>
        <w:pStyle w:val="FootnoteText"/>
      </w:pPr>
      <w:r>
        <w:rPr>
          <w:rStyle w:val="FootnoteReference"/>
        </w:rPr>
        <w:footnoteRef/>
      </w:r>
      <w:r>
        <w:t xml:space="preserve"> DCPs are temporary planning instruments made under the </w:t>
      </w:r>
      <w:r w:rsidRPr="007D5276">
        <w:rPr>
          <w:i/>
        </w:rPr>
        <w:t>Commercial Television Conversion Scheme 1999</w:t>
      </w:r>
      <w:r>
        <w:t xml:space="preserve"> and the </w:t>
      </w:r>
      <w:r w:rsidRPr="007D5276">
        <w:rPr>
          <w:i/>
        </w:rPr>
        <w:t>National Television Conversion Scheme 1999</w:t>
      </w:r>
      <w:r>
        <w:t>. They determine which channels are to be allotted to each area, the assignment of channels to each commercial and national broadcaster and the technical characteristics of those channels.</w:t>
      </w:r>
    </w:p>
  </w:footnote>
  <w:footnote w:id="10">
    <w:p w14:paraId="65A95483" w14:textId="77777777" w:rsidR="009D2A3A" w:rsidRDefault="009D2A3A">
      <w:pPr>
        <w:pStyle w:val="FootnoteText"/>
      </w:pPr>
      <w:r>
        <w:rPr>
          <w:rStyle w:val="FootnoteReference"/>
        </w:rPr>
        <w:footnoteRef/>
      </w:r>
      <w:r>
        <w:t xml:space="preserve"> See Australian Government Budget 2012-13, Budget Paper No. 2 – Budget Measures 2012-13, </w:t>
      </w:r>
      <w:hyperlink r:id="rId5" w:history="1">
        <w:r w:rsidRPr="00687B72">
          <w:rPr>
            <w:rStyle w:val="Hyperlink"/>
          </w:rPr>
          <w:t>Part 2: Expense Measures</w:t>
        </w:r>
      </w:hyperlink>
      <w:r>
        <w:t>, p. 94.</w:t>
      </w:r>
    </w:p>
  </w:footnote>
  <w:footnote w:id="11">
    <w:p w14:paraId="2C1C0533" w14:textId="77777777" w:rsidR="009D2A3A" w:rsidRDefault="009D2A3A" w:rsidP="00B3631F">
      <w:pPr>
        <w:pStyle w:val="FootnoteText"/>
      </w:pPr>
      <w:r>
        <w:rPr>
          <w:rStyle w:val="FootnoteReference"/>
        </w:rPr>
        <w:footnoteRef/>
      </w:r>
      <w:r>
        <w:t xml:space="preserve"> See the Radiocommunications (Low Interference Potential Devices) Class Licence 2000 on the Comlaw </w:t>
      </w:r>
      <w:hyperlink r:id="rId6" w:history="1">
        <w:r w:rsidRPr="001A3711">
          <w:rPr>
            <w:rStyle w:val="Hyperlink"/>
          </w:rPr>
          <w:t>website</w:t>
        </w:r>
      </w:hyperlink>
      <w:r>
        <w:t>.</w:t>
      </w:r>
    </w:p>
  </w:footnote>
  <w:footnote w:id="12">
    <w:p w14:paraId="4A0046AD" w14:textId="77777777" w:rsidR="009D2A3A" w:rsidRPr="00AD42C3" w:rsidRDefault="009D2A3A" w:rsidP="00463898">
      <w:pPr>
        <w:pStyle w:val="FootnoteText"/>
      </w:pPr>
      <w:r>
        <w:rPr>
          <w:rStyle w:val="FootnoteReference"/>
        </w:rPr>
        <w:footnoteRef/>
      </w:r>
      <w:r>
        <w:t xml:space="preserve"> See section 27 of the Broadcasting Services Act and section 17 of the </w:t>
      </w:r>
      <w:r w:rsidRPr="00F9091A">
        <w:rPr>
          <w:i/>
        </w:rPr>
        <w:t>Legislative Instruments Act 2003</w:t>
      </w:r>
      <w:r>
        <w:t>.</w:t>
      </w:r>
    </w:p>
  </w:footnote>
  <w:footnote w:id="13">
    <w:p w14:paraId="07A429D3" w14:textId="77777777" w:rsidR="009D2A3A" w:rsidRDefault="009D2A3A" w:rsidP="00B3631F">
      <w:pPr>
        <w:pStyle w:val="FootnoteText"/>
      </w:pPr>
      <w:r>
        <w:rPr>
          <w:rStyle w:val="FootnoteReference"/>
        </w:rPr>
        <w:footnoteRef/>
      </w:r>
      <w:r>
        <w:t xml:space="preserve"> Subsection 31(1AA) of the Act provides that the minister may vary the broadcasting services bands designation so as to enlarge or reduce the part of the spectrum covered by the designation.</w:t>
      </w:r>
    </w:p>
  </w:footnote>
  <w:footnote w:id="14">
    <w:p w14:paraId="3FE5485D" w14:textId="77777777" w:rsidR="009D2A3A" w:rsidRPr="00FE5177" w:rsidRDefault="009D2A3A" w:rsidP="00C21117">
      <w:pPr>
        <w:pStyle w:val="FootnoteText"/>
        <w:rPr>
          <w:rFonts w:cs="Arial"/>
        </w:rPr>
      </w:pPr>
      <w:r w:rsidRPr="00FE5177">
        <w:rPr>
          <w:rStyle w:val="FootnoteReference"/>
          <w:rFonts w:cs="Arial"/>
        </w:rPr>
        <w:footnoteRef/>
      </w:r>
      <w:r w:rsidRPr="00FE5177">
        <w:rPr>
          <w:rFonts w:cs="Arial"/>
        </w:rPr>
        <w:t xml:space="preserve"> The</w:t>
      </w:r>
      <w:r>
        <w:rPr>
          <w:rFonts w:cs="Arial"/>
        </w:rPr>
        <w:t xml:space="preserve"> </w:t>
      </w:r>
      <w:r w:rsidRPr="00837369">
        <w:rPr>
          <w:rFonts w:cs="Arial"/>
          <w:i/>
        </w:rPr>
        <w:t>Digital dividend auction tune-up</w:t>
      </w:r>
      <w:r w:rsidRPr="00FE5177">
        <w:rPr>
          <w:rFonts w:cs="Arial"/>
        </w:rPr>
        <w:t xml:space="preserve"> held in November 2011 marked a key milestone in the ACMA’s auction preparations. Copies of the ACMA’s presentations at the event, including a ‘consultation roadmap’, are available on the ACMA’s </w:t>
      </w:r>
      <w:hyperlink r:id="rId7" w:history="1">
        <w:r w:rsidRPr="008B6157">
          <w:rPr>
            <w:rStyle w:val="Hyperlink"/>
          </w:rPr>
          <w:t>engage website</w:t>
        </w:r>
      </w:hyperlink>
      <w:r w:rsidRPr="00FE5177">
        <w:rPr>
          <w:rFonts w:cs="Arial"/>
        </w:rPr>
        <w:t xml:space="preserve">. </w:t>
      </w:r>
    </w:p>
  </w:footnote>
  <w:footnote w:id="15">
    <w:p w14:paraId="5A15E0EA" w14:textId="77777777" w:rsidR="009D2A3A" w:rsidRDefault="009D2A3A">
      <w:pPr>
        <w:pStyle w:val="FootnoteText"/>
      </w:pPr>
      <w:r>
        <w:rPr>
          <w:rStyle w:val="FootnoteReference"/>
        </w:rPr>
        <w:footnoteRef/>
      </w:r>
      <w:r>
        <w:t xml:space="preserve"> The Mid-west RQZ is an area in remote Western Australia that was excluded from the ‘National Area’ defined in the minister’s spectrum reallocation declarations for the 700 MHz and 2.5 GHz bands, at </w:t>
      </w:r>
      <w:r w:rsidRPr="005D0ED1">
        <w:t>Attachments J and K, re</w:t>
      </w:r>
      <w:r>
        <w:t>spectively (see 1.2.1).</w:t>
      </w:r>
    </w:p>
  </w:footnote>
  <w:footnote w:id="16">
    <w:p w14:paraId="146255A4" w14:textId="77777777" w:rsidR="009D2A3A" w:rsidRDefault="009D2A3A">
      <w:pPr>
        <w:pStyle w:val="FootnoteText"/>
      </w:pPr>
      <w:r>
        <w:rPr>
          <w:rStyle w:val="FootnoteReference"/>
        </w:rPr>
        <w:footnoteRef/>
      </w:r>
      <w:r>
        <w:t xml:space="preserve"> T</w:t>
      </w:r>
      <w:r w:rsidRPr="002B1C78">
        <w:t xml:space="preserve">he </w:t>
      </w:r>
      <w:r>
        <w:t>‘Google Map’</w:t>
      </w:r>
      <w:r w:rsidRPr="002B1C78">
        <w:t xml:space="preserve"> link</w:t>
      </w:r>
      <w:r>
        <w:t xml:space="preserve"> </w:t>
      </w:r>
      <w:r w:rsidRPr="002B1C78">
        <w:t xml:space="preserve">will display ACMA spatial data on the Google Maps web service. Clicking on </w:t>
      </w:r>
      <w:r>
        <w:t xml:space="preserve">this </w:t>
      </w:r>
      <w:r w:rsidRPr="002B1C78">
        <w:t xml:space="preserve">link will take you to the Google Maps website. The ACMA is not responsible for the quality, currency or accuracy of any information or any content found on this website. These links are provided for the convenience of </w:t>
      </w:r>
      <w:r>
        <w:t xml:space="preserve">readers of this auction guide </w:t>
      </w:r>
      <w:r w:rsidRPr="002B1C78">
        <w:t>and do not constitute endorsement of the material at the Google Maps website, or any associated organisation, product or service.</w:t>
      </w:r>
      <w:r>
        <w:t xml:space="preserve"> </w:t>
      </w:r>
      <w:r w:rsidRPr="002B1C78">
        <w:t xml:space="preserve">The linked website may not share the </w:t>
      </w:r>
      <w:r>
        <w:t>p</w:t>
      </w:r>
      <w:r w:rsidRPr="002B1C78">
        <w:t xml:space="preserve">rivacy and </w:t>
      </w:r>
      <w:r>
        <w:t>c</w:t>
      </w:r>
      <w:r w:rsidRPr="002B1C78">
        <w:t xml:space="preserve">opyright policies of the ACMA website. The linked website may have its own </w:t>
      </w:r>
      <w:r>
        <w:t>t</w:t>
      </w:r>
      <w:r w:rsidRPr="002B1C78">
        <w:t xml:space="preserve">erms and </w:t>
      </w:r>
      <w:r>
        <w:t>c</w:t>
      </w:r>
      <w:r w:rsidRPr="002B1C78">
        <w:t xml:space="preserve">onditions applicable to its use and by accessing these links you may become bound to comply with those </w:t>
      </w:r>
      <w:r>
        <w:t>t</w:t>
      </w:r>
      <w:r w:rsidRPr="002B1C78">
        <w:t xml:space="preserve">erms and </w:t>
      </w:r>
      <w:r>
        <w:t>c</w:t>
      </w:r>
      <w:r w:rsidRPr="002B1C78">
        <w:t>onditions.</w:t>
      </w:r>
    </w:p>
  </w:footnote>
  <w:footnote w:id="17">
    <w:p w14:paraId="1B7C25E2" w14:textId="77777777" w:rsidR="009D2A3A" w:rsidRDefault="009D2A3A">
      <w:pPr>
        <w:pStyle w:val="FootnoteText"/>
      </w:pPr>
      <w:r>
        <w:rPr>
          <w:rStyle w:val="FootnoteReference"/>
        </w:rPr>
        <w:footnoteRef/>
      </w:r>
      <w:r>
        <w:t xml:space="preserve"> To view the Google Earth version of the image, you will need to install software capable of displaying data in Keyhole Markup Language (KML) format, such as </w:t>
      </w:r>
      <w:hyperlink r:id="rId8" w:history="1">
        <w:r w:rsidRPr="00B928FF">
          <w:rPr>
            <w:rStyle w:val="Hyperlink"/>
          </w:rPr>
          <w:t>Google Earth</w:t>
        </w:r>
      </w:hyperlink>
      <w:r>
        <w:t xml:space="preserve"> or </w:t>
      </w:r>
      <w:hyperlink r:id="rId9" w:history="1">
        <w:r w:rsidRPr="004570AF">
          <w:rPr>
            <w:rStyle w:val="Hyperlink"/>
          </w:rPr>
          <w:t>NASA World</w:t>
        </w:r>
        <w:r>
          <w:rPr>
            <w:rStyle w:val="Hyperlink"/>
          </w:rPr>
          <w:t xml:space="preserve"> W</w:t>
        </w:r>
        <w:r w:rsidRPr="004570AF">
          <w:rPr>
            <w:rStyle w:val="Hyperlink"/>
          </w:rPr>
          <w:t>ind</w:t>
        </w:r>
      </w:hyperlink>
      <w:r>
        <w:t>.</w:t>
      </w:r>
    </w:p>
  </w:footnote>
  <w:footnote w:id="18">
    <w:p w14:paraId="04C61683" w14:textId="77777777" w:rsidR="009D2A3A" w:rsidRDefault="009D2A3A">
      <w:pPr>
        <w:pStyle w:val="FootnoteText"/>
      </w:pPr>
      <w:r>
        <w:rPr>
          <w:rStyle w:val="FootnoteReference"/>
        </w:rPr>
        <w:footnoteRef/>
      </w:r>
      <w:r>
        <w:t xml:space="preserve"> T</w:t>
      </w:r>
      <w:r w:rsidRPr="002B1C78">
        <w:t xml:space="preserve">he </w:t>
      </w:r>
      <w:r>
        <w:t>‘Google Map’</w:t>
      </w:r>
      <w:r w:rsidRPr="002B1C78">
        <w:t xml:space="preserve"> link</w:t>
      </w:r>
      <w:r>
        <w:t xml:space="preserve"> </w:t>
      </w:r>
      <w:r w:rsidRPr="002B1C78">
        <w:t xml:space="preserve">will display ACMA spatial data on the Google Maps web service. Clicking on </w:t>
      </w:r>
      <w:r>
        <w:t xml:space="preserve">this </w:t>
      </w:r>
      <w:r w:rsidRPr="002B1C78">
        <w:t xml:space="preserve">link will take you to the Google Maps website. The ACMA is not responsible for the quality, currency or accuracy of any information or any content found on this website. These links are provided for the convenience of </w:t>
      </w:r>
      <w:r>
        <w:t xml:space="preserve">readers of this auction guide </w:t>
      </w:r>
      <w:r w:rsidRPr="002B1C78">
        <w:t>and do not constitute endorsement of the material at the Google Maps website, or any associated organisation, product or service.</w:t>
      </w:r>
      <w:r>
        <w:t xml:space="preserve"> </w:t>
      </w:r>
      <w:r w:rsidRPr="002B1C78">
        <w:t xml:space="preserve">The linked website may not share the </w:t>
      </w:r>
      <w:r>
        <w:t>p</w:t>
      </w:r>
      <w:r w:rsidRPr="002B1C78">
        <w:t xml:space="preserve">rivacy and </w:t>
      </w:r>
      <w:r>
        <w:t>c</w:t>
      </w:r>
      <w:r w:rsidRPr="002B1C78">
        <w:t xml:space="preserve">opyright policies of the ACMA website. The linked website may have its own </w:t>
      </w:r>
      <w:r>
        <w:t>t</w:t>
      </w:r>
      <w:r w:rsidRPr="002B1C78">
        <w:t xml:space="preserve">erms and </w:t>
      </w:r>
      <w:r>
        <w:t>c</w:t>
      </w:r>
      <w:r w:rsidRPr="002B1C78">
        <w:t xml:space="preserve">onditions applicable to its use and by accessing these links you may become bound to comply with those </w:t>
      </w:r>
      <w:r>
        <w:t>t</w:t>
      </w:r>
      <w:r w:rsidRPr="002B1C78">
        <w:t xml:space="preserve">erms and </w:t>
      </w:r>
      <w:r>
        <w:t>c</w:t>
      </w:r>
      <w:r w:rsidRPr="002B1C78">
        <w:t>onditions.</w:t>
      </w:r>
    </w:p>
  </w:footnote>
  <w:footnote w:id="19">
    <w:p w14:paraId="3E5A570A" w14:textId="77777777" w:rsidR="009D2A3A" w:rsidRDefault="009D2A3A">
      <w:pPr>
        <w:pStyle w:val="FootnoteText"/>
      </w:pPr>
      <w:r>
        <w:rPr>
          <w:rStyle w:val="FootnoteReference"/>
        </w:rPr>
        <w:footnoteRef/>
      </w:r>
      <w:r>
        <w:t xml:space="preserve"> To view the Google Earth version of the image, you will need to install software capable of displaying data in Keyhole Markup Language (KML) format, such as </w:t>
      </w:r>
      <w:hyperlink r:id="rId10" w:history="1">
        <w:r w:rsidRPr="00B928FF">
          <w:rPr>
            <w:rStyle w:val="Hyperlink"/>
          </w:rPr>
          <w:t>Google Earth</w:t>
        </w:r>
      </w:hyperlink>
      <w:r>
        <w:t xml:space="preserve"> or </w:t>
      </w:r>
      <w:hyperlink r:id="rId11" w:history="1">
        <w:r w:rsidRPr="004570AF">
          <w:rPr>
            <w:rStyle w:val="Hyperlink"/>
          </w:rPr>
          <w:t>NASA World</w:t>
        </w:r>
        <w:r>
          <w:rPr>
            <w:rStyle w:val="Hyperlink"/>
          </w:rPr>
          <w:t xml:space="preserve"> W</w:t>
        </w:r>
        <w:r w:rsidRPr="004570AF">
          <w:rPr>
            <w:rStyle w:val="Hyperlink"/>
          </w:rPr>
          <w:t>ind</w:t>
        </w:r>
      </w:hyperlink>
      <w:r>
        <w:t>.</w:t>
      </w:r>
    </w:p>
  </w:footnote>
  <w:footnote w:id="20">
    <w:p w14:paraId="2AC9DDFF" w14:textId="77777777" w:rsidR="009D2A3A" w:rsidRPr="005D0ED1" w:rsidRDefault="009D2A3A" w:rsidP="008A60B8">
      <w:pPr>
        <w:pStyle w:val="FootnoteText"/>
        <w:rPr>
          <w:rFonts w:cs="Arial"/>
        </w:rPr>
      </w:pPr>
      <w:r w:rsidRPr="00FE5177">
        <w:rPr>
          <w:rStyle w:val="FootnoteReference"/>
          <w:rFonts w:cs="Arial"/>
        </w:rPr>
        <w:footnoteRef/>
      </w:r>
      <w:r w:rsidRPr="00FE5177">
        <w:rPr>
          <w:rFonts w:cs="Arial"/>
        </w:rPr>
        <w:t xml:space="preserve"> </w:t>
      </w:r>
      <w:r>
        <w:rPr>
          <w:rFonts w:cs="Arial"/>
        </w:rPr>
        <w:t>‘</w:t>
      </w:r>
      <w:r w:rsidRPr="00837369">
        <w:rPr>
          <w:rFonts w:cs="Arial"/>
        </w:rPr>
        <w:t>National Area</w:t>
      </w:r>
      <w:r>
        <w:rPr>
          <w:rFonts w:cs="Arial"/>
        </w:rPr>
        <w:t>’</w:t>
      </w:r>
      <w:r w:rsidRPr="004F4435">
        <w:rPr>
          <w:rFonts w:cs="Arial"/>
        </w:rPr>
        <w:t xml:space="preserve"> and </w:t>
      </w:r>
      <w:r>
        <w:rPr>
          <w:rFonts w:cs="Arial"/>
        </w:rPr>
        <w:t>‘</w:t>
      </w:r>
      <w:r w:rsidRPr="00837369">
        <w:rPr>
          <w:rFonts w:cs="Arial"/>
        </w:rPr>
        <w:t>Perth Area</w:t>
      </w:r>
      <w:r>
        <w:rPr>
          <w:rFonts w:cs="Arial"/>
        </w:rPr>
        <w:t>’</w:t>
      </w:r>
      <w:r w:rsidRPr="004F4435">
        <w:rPr>
          <w:rFonts w:cs="Arial"/>
        </w:rPr>
        <w:t xml:space="preserve"> </w:t>
      </w:r>
      <w:r w:rsidRPr="00FE5177">
        <w:rPr>
          <w:rFonts w:cs="Arial"/>
        </w:rPr>
        <w:t xml:space="preserve">are defined in the 2.5 GHz spectrum reallocation declaration, at </w:t>
      </w:r>
      <w:r w:rsidRPr="005D0ED1">
        <w:rPr>
          <w:rFonts w:cs="Arial"/>
        </w:rPr>
        <w:t>Attachment K.</w:t>
      </w:r>
    </w:p>
  </w:footnote>
  <w:footnote w:id="21">
    <w:p w14:paraId="1D563E6E" w14:textId="77777777" w:rsidR="009D2A3A" w:rsidRPr="00FE5177" w:rsidRDefault="009D2A3A" w:rsidP="00051F1E">
      <w:pPr>
        <w:pStyle w:val="FootnoteText"/>
        <w:rPr>
          <w:rFonts w:cs="Arial"/>
        </w:rPr>
      </w:pPr>
      <w:r w:rsidRPr="00FE5177">
        <w:rPr>
          <w:rStyle w:val="FootnoteReference"/>
          <w:rFonts w:cs="Arial"/>
        </w:rPr>
        <w:footnoteRef/>
      </w:r>
      <w:r w:rsidRPr="00FE5177">
        <w:rPr>
          <w:rFonts w:cs="Arial"/>
        </w:rPr>
        <w:t xml:space="preserve"> See section 153P of the Act.</w:t>
      </w:r>
      <w:r>
        <w:rPr>
          <w:rFonts w:cs="Arial"/>
        </w:rPr>
        <w:t xml:space="preserve"> Paragraph 153P(2)(e) allows the ACMA to consider, on a case-by-case basis, whether there are special circumstances that justify the issuing of an apparatus licence notwithstanding the general prohibition under subsection 153P(2).</w:t>
      </w:r>
    </w:p>
  </w:footnote>
  <w:footnote w:id="22">
    <w:p w14:paraId="10A5BDAF" w14:textId="77777777" w:rsidR="009D2A3A" w:rsidRDefault="009D2A3A">
      <w:pPr>
        <w:pStyle w:val="FootnoteText"/>
      </w:pPr>
      <w:r>
        <w:rPr>
          <w:rStyle w:val="FootnoteReference"/>
        </w:rPr>
        <w:footnoteRef/>
      </w:r>
      <w:r>
        <w:t xml:space="preserve"> See condition 8 in Licence Schedule 4 (‘Other Conditions’) in the draft sample licence for the 700 MHz band.</w:t>
      </w:r>
    </w:p>
  </w:footnote>
  <w:footnote w:id="23">
    <w:p w14:paraId="416A8D22" w14:textId="77777777" w:rsidR="009D2A3A" w:rsidRDefault="009D2A3A">
      <w:pPr>
        <w:pStyle w:val="FootnoteText"/>
      </w:pPr>
      <w:r>
        <w:rPr>
          <w:rStyle w:val="FootnoteReference"/>
        </w:rPr>
        <w:footnoteRef/>
      </w:r>
      <w:r>
        <w:t xml:space="preserve"> See subsection 153H(2) of the Act.</w:t>
      </w:r>
    </w:p>
  </w:footnote>
  <w:footnote w:id="24">
    <w:p w14:paraId="2FB531C9" w14:textId="77777777" w:rsidR="009D2A3A" w:rsidRPr="00FE5177" w:rsidRDefault="009D2A3A" w:rsidP="008128F7">
      <w:pPr>
        <w:pStyle w:val="FootnoteText"/>
        <w:rPr>
          <w:rFonts w:cs="Arial"/>
        </w:rPr>
      </w:pPr>
      <w:r w:rsidRPr="00FE5177">
        <w:rPr>
          <w:rStyle w:val="FootnoteReference"/>
          <w:rFonts w:cs="Arial"/>
        </w:rPr>
        <w:footnoteRef/>
      </w:r>
      <w:r w:rsidRPr="00FE5177">
        <w:rPr>
          <w:rFonts w:cs="Arial"/>
        </w:rPr>
        <w:t xml:space="preserve"> The ‘supplementary bid limit’ (the maximum number of bids that a bidder is permitted to make in the supplementary round) will, in accordance with s.</w:t>
      </w:r>
      <w:r>
        <w:rPr>
          <w:rFonts w:cs="Arial"/>
        </w:rPr>
        <w:t> </w:t>
      </w:r>
      <w:r w:rsidRPr="00FE5177">
        <w:rPr>
          <w:rFonts w:cs="Arial"/>
        </w:rPr>
        <w:t>4.1</w:t>
      </w:r>
      <w:r>
        <w:rPr>
          <w:rFonts w:cs="Arial"/>
        </w:rPr>
        <w:t>6</w:t>
      </w:r>
      <w:r w:rsidRPr="00FE5177">
        <w:rPr>
          <w:rFonts w:cs="Arial"/>
        </w:rPr>
        <w:t xml:space="preserve"> of the allocation determination, be set by the ACMA after the application deadline, and disclosed to applicants at least five </w:t>
      </w:r>
      <w:r>
        <w:rPr>
          <w:rFonts w:cs="Arial"/>
        </w:rPr>
        <w:t xml:space="preserve">working </w:t>
      </w:r>
      <w:r w:rsidRPr="00FE5177">
        <w:rPr>
          <w:rFonts w:cs="Arial"/>
        </w:rPr>
        <w:t>days before the eligibility deadline.</w:t>
      </w:r>
    </w:p>
  </w:footnote>
  <w:footnote w:id="25">
    <w:p w14:paraId="5543BD17" w14:textId="77777777" w:rsidR="009D2A3A" w:rsidRDefault="009D2A3A">
      <w:pPr>
        <w:pStyle w:val="FootnoteText"/>
      </w:pPr>
      <w:r>
        <w:rPr>
          <w:rStyle w:val="FootnoteReference"/>
        </w:rPr>
        <w:footnoteRef/>
      </w:r>
      <w:r>
        <w:t xml:space="preserve"> Under ‘revealed preference’, a bidder can bid for a package that has not become relatively more expensive than packages that the bidder bid for in certain prior rounds.</w:t>
      </w:r>
    </w:p>
  </w:footnote>
  <w:footnote w:id="26">
    <w:p w14:paraId="22BA09BA" w14:textId="77777777" w:rsidR="009D2A3A" w:rsidRDefault="009D2A3A">
      <w:pPr>
        <w:pStyle w:val="FootnoteText"/>
      </w:pPr>
      <w:r>
        <w:rPr>
          <w:rStyle w:val="FootnoteReference"/>
        </w:rPr>
        <w:footnoteRef/>
      </w:r>
      <w:r>
        <w:t xml:space="preserve"> ‘Pseudorandom selection’ is defined in section 1.4 of the allocation determination.</w:t>
      </w:r>
    </w:p>
  </w:footnote>
  <w:footnote w:id="27">
    <w:p w14:paraId="5613ED66" w14:textId="77777777" w:rsidR="009D2A3A" w:rsidRPr="000E5D2F" w:rsidRDefault="009D2A3A" w:rsidP="000C0966">
      <w:pPr>
        <w:pStyle w:val="FootnoteText"/>
        <w:rPr>
          <w:lang w:val="en-GB"/>
        </w:rPr>
      </w:pPr>
      <w:r>
        <w:rPr>
          <w:rStyle w:val="FootnoteReference"/>
        </w:rPr>
        <w:footnoteRef/>
      </w:r>
      <w:r>
        <w:t xml:space="preserve"> ‘Y</w:t>
      </w:r>
      <w:r>
        <w:rPr>
          <w:lang w:val="en-GB"/>
        </w:rPr>
        <w:t xml:space="preserve"> only’ is not an option because it would result in the other bidder being awarded non-contiguous frequency ranges.</w:t>
      </w:r>
    </w:p>
  </w:footnote>
  <w:footnote w:id="28">
    <w:p w14:paraId="5587512C" w14:textId="77777777" w:rsidR="009D2A3A" w:rsidRPr="00FE5177" w:rsidRDefault="009D2A3A" w:rsidP="00143E2A">
      <w:pPr>
        <w:pStyle w:val="FootnoteText"/>
        <w:rPr>
          <w:rFonts w:cs="Arial"/>
        </w:rPr>
      </w:pPr>
      <w:r w:rsidRPr="00FE5177">
        <w:rPr>
          <w:rStyle w:val="FootnoteReference"/>
          <w:rFonts w:cs="Arial"/>
        </w:rPr>
        <w:footnoteRef/>
      </w:r>
      <w:r w:rsidRPr="00FE5177">
        <w:rPr>
          <w:rFonts w:cs="Arial"/>
        </w:rPr>
        <w:t xml:space="preserve"> </w:t>
      </w:r>
      <w:r>
        <w:rPr>
          <w:rFonts w:cs="Arial"/>
        </w:rPr>
        <w:t>‘</w:t>
      </w:r>
      <w:r w:rsidRPr="00837369">
        <w:rPr>
          <w:rFonts w:cs="Arial"/>
        </w:rPr>
        <w:t>Auction period</w:t>
      </w:r>
      <w:r>
        <w:rPr>
          <w:rFonts w:cs="Arial"/>
        </w:rPr>
        <w:t>’</w:t>
      </w:r>
      <w:r w:rsidRPr="0005727F">
        <w:rPr>
          <w:rFonts w:cs="Arial"/>
        </w:rPr>
        <w:t xml:space="preserve"> </w:t>
      </w:r>
      <w:r>
        <w:rPr>
          <w:rFonts w:cs="Arial"/>
        </w:rPr>
        <w:t xml:space="preserve">is defined in section 1.4 of the allocation determination, and </w:t>
      </w:r>
      <w:r w:rsidRPr="00FE5177">
        <w:rPr>
          <w:rFonts w:cs="Arial"/>
        </w:rPr>
        <w:t>means the period from the eligibility deadline to the completion of the assignment stage</w:t>
      </w:r>
      <w:r>
        <w:rPr>
          <w:rFonts w:cs="Arial"/>
        </w:rPr>
        <w:t xml:space="preserve"> under subsection 5.6(3) of the allocation determination</w:t>
      </w:r>
      <w:r w:rsidRPr="00FE5177">
        <w:rPr>
          <w:rFonts w:cs="Arial"/>
        </w:rPr>
        <w:t>.</w:t>
      </w:r>
    </w:p>
  </w:footnote>
  <w:footnote w:id="29">
    <w:p w14:paraId="4341ED23" w14:textId="77777777" w:rsidR="009D2A3A" w:rsidRPr="00FE5177" w:rsidRDefault="009D2A3A" w:rsidP="00C02A8E">
      <w:pPr>
        <w:pStyle w:val="FootnoteText"/>
        <w:rPr>
          <w:rFonts w:cs="Arial"/>
        </w:rPr>
      </w:pPr>
      <w:r w:rsidRPr="00FE5177">
        <w:rPr>
          <w:rStyle w:val="FootnoteReference"/>
          <w:rFonts w:cs="Arial"/>
        </w:rPr>
        <w:footnoteRef/>
      </w:r>
      <w:r w:rsidRPr="00FE5177">
        <w:rPr>
          <w:rFonts w:cs="Arial"/>
        </w:rPr>
        <w:t xml:space="preserve"> </w:t>
      </w:r>
      <w:r>
        <w:rPr>
          <w:rFonts w:cs="Arial"/>
        </w:rPr>
        <w:t>‘</w:t>
      </w:r>
      <w:r w:rsidRPr="00837369">
        <w:rPr>
          <w:rFonts w:cs="Arial"/>
        </w:rPr>
        <w:t>Associate</w:t>
      </w:r>
      <w:r>
        <w:rPr>
          <w:rFonts w:cs="Arial"/>
        </w:rPr>
        <w:t>’</w:t>
      </w:r>
      <w:r w:rsidRPr="00FE5177">
        <w:rPr>
          <w:rFonts w:cs="Arial"/>
        </w:rPr>
        <w:t xml:space="preserve"> is defined in section 2.2 of the allocation determination.</w:t>
      </w:r>
    </w:p>
  </w:footnote>
  <w:footnote w:id="30">
    <w:p w14:paraId="53331D9F" w14:textId="77777777" w:rsidR="009D2A3A" w:rsidRPr="00FE5177" w:rsidRDefault="009D2A3A" w:rsidP="000A2D26">
      <w:pPr>
        <w:pStyle w:val="FootnoteText"/>
        <w:rPr>
          <w:rFonts w:cs="Arial"/>
        </w:rPr>
      </w:pPr>
      <w:r w:rsidRPr="00FE5177">
        <w:rPr>
          <w:rStyle w:val="FootnoteReference"/>
          <w:rFonts w:cs="Arial"/>
        </w:rPr>
        <w:footnoteRef/>
      </w:r>
      <w:r w:rsidRPr="00FE5177">
        <w:rPr>
          <w:rFonts w:cs="Arial"/>
        </w:rPr>
        <w:t xml:space="preserve"> </w:t>
      </w:r>
      <w:r>
        <w:rPr>
          <w:rFonts w:cs="Arial"/>
        </w:rPr>
        <w:t>‘</w:t>
      </w:r>
      <w:r w:rsidRPr="00837369">
        <w:rPr>
          <w:rFonts w:cs="Arial"/>
        </w:rPr>
        <w:t>Related person</w:t>
      </w:r>
      <w:r>
        <w:rPr>
          <w:rFonts w:cs="Arial"/>
        </w:rPr>
        <w:t>’</w:t>
      </w:r>
      <w:r w:rsidRPr="00BD6BC3">
        <w:rPr>
          <w:rFonts w:cs="Arial"/>
        </w:rPr>
        <w:t xml:space="preserve"> </w:t>
      </w:r>
      <w:r w:rsidRPr="00FE5177">
        <w:rPr>
          <w:rFonts w:cs="Arial"/>
        </w:rPr>
        <w:t>is defined in section 1.4 of the allocation determination.</w:t>
      </w:r>
    </w:p>
  </w:footnote>
  <w:footnote w:id="31">
    <w:p w14:paraId="6B0448A8" w14:textId="77777777" w:rsidR="009D2A3A" w:rsidRPr="00FE5177" w:rsidRDefault="009D2A3A" w:rsidP="00C02A8E">
      <w:pPr>
        <w:pStyle w:val="FootnoteText"/>
        <w:rPr>
          <w:rFonts w:cs="Arial"/>
        </w:rPr>
      </w:pPr>
      <w:r w:rsidRPr="00FE5177">
        <w:rPr>
          <w:rStyle w:val="FootnoteReference"/>
          <w:rFonts w:cs="Arial"/>
        </w:rPr>
        <w:footnoteRef/>
      </w:r>
      <w:r w:rsidRPr="00FE5177">
        <w:rPr>
          <w:rFonts w:cs="Arial"/>
        </w:rPr>
        <w:t xml:space="preserve"> </w:t>
      </w:r>
      <w:r>
        <w:rPr>
          <w:rFonts w:cs="Arial"/>
        </w:rPr>
        <w:t>‘</w:t>
      </w:r>
      <w:r w:rsidRPr="00837369">
        <w:rPr>
          <w:rFonts w:cs="Arial"/>
        </w:rPr>
        <w:t>Confidential information</w:t>
      </w:r>
      <w:r>
        <w:rPr>
          <w:rFonts w:cs="Arial"/>
        </w:rPr>
        <w:t>’</w:t>
      </w:r>
      <w:r w:rsidRPr="00F05026">
        <w:rPr>
          <w:rFonts w:cs="Arial"/>
        </w:rPr>
        <w:t xml:space="preserve"> </w:t>
      </w:r>
      <w:r w:rsidRPr="00FE5177">
        <w:rPr>
          <w:rFonts w:cs="Arial"/>
        </w:rPr>
        <w:t>is defined in section 3.1 of the allocation determination.</w:t>
      </w:r>
    </w:p>
  </w:footnote>
  <w:footnote w:id="32">
    <w:p w14:paraId="1E644474" w14:textId="77777777" w:rsidR="009D2A3A" w:rsidRPr="00FE5177" w:rsidRDefault="009D2A3A" w:rsidP="00D90A45">
      <w:pPr>
        <w:pStyle w:val="FootnoteText"/>
        <w:rPr>
          <w:rFonts w:cs="Arial"/>
        </w:rPr>
      </w:pPr>
      <w:r w:rsidRPr="00FE5177">
        <w:rPr>
          <w:rStyle w:val="FootnoteReference"/>
          <w:rFonts w:cs="Arial"/>
        </w:rPr>
        <w:footnoteRef/>
      </w:r>
      <w:r w:rsidRPr="00FE5177">
        <w:rPr>
          <w:rFonts w:cs="Arial"/>
        </w:rPr>
        <w:t xml:space="preserve"> Presentations made by the ACMA and Power Auctions at the workshops are available </w:t>
      </w:r>
      <w:hyperlink r:id="rId12" w:history="1">
        <w:r w:rsidRPr="00FE5177">
          <w:rPr>
            <w:rStyle w:val="Hyperlink"/>
            <w:rFonts w:cs="Arial"/>
          </w:rPr>
          <w:t>here</w:t>
        </w:r>
      </w:hyperlink>
      <w:r w:rsidRPr="00FE5177">
        <w:rPr>
          <w:rFonts w:cs="Arial"/>
        </w:rPr>
        <w:t xml:space="preserve">. Answers to questions raised at the workshops are available </w:t>
      </w:r>
      <w:hyperlink r:id="rId13" w:history="1">
        <w:r w:rsidRPr="00FE5177">
          <w:rPr>
            <w:rStyle w:val="Hyperlink"/>
            <w:rFonts w:cs="Arial"/>
          </w:rPr>
          <w:t>here</w:t>
        </w:r>
      </w:hyperlink>
      <w:r w:rsidRPr="00FE5177">
        <w:rPr>
          <w:rFonts w:cs="Arial"/>
        </w:rPr>
        <w:t xml:space="preserve">. </w:t>
      </w:r>
    </w:p>
  </w:footnote>
  <w:footnote w:id="33">
    <w:p w14:paraId="07A2CD84" w14:textId="77777777" w:rsidR="009D2A3A" w:rsidRPr="00FE5177" w:rsidRDefault="009D2A3A" w:rsidP="00D90A45">
      <w:pPr>
        <w:pStyle w:val="FootnoteText"/>
        <w:rPr>
          <w:rFonts w:cs="Arial"/>
        </w:rPr>
      </w:pPr>
      <w:r w:rsidRPr="00FE5177">
        <w:rPr>
          <w:rStyle w:val="FootnoteReference"/>
          <w:rFonts w:cs="Arial"/>
        </w:rPr>
        <w:footnoteRef/>
      </w:r>
      <w:r w:rsidRPr="00FE5177">
        <w:rPr>
          <w:rFonts w:cs="Arial"/>
        </w:rPr>
        <w:t xml:space="preserve"> The presentation made by the ACMA at the industry briefing is available </w:t>
      </w:r>
      <w:hyperlink r:id="rId14" w:history="1">
        <w:r w:rsidRPr="00FE5177">
          <w:rPr>
            <w:rStyle w:val="Hyperlink"/>
            <w:rFonts w:cs="Arial"/>
          </w:rPr>
          <w:t>here</w:t>
        </w:r>
      </w:hyperlink>
      <w:r w:rsidRPr="00FE5177">
        <w:rPr>
          <w:rFonts w:cs="Arial"/>
        </w:rPr>
        <w:t xml:space="preserve">. </w:t>
      </w:r>
    </w:p>
  </w:footnote>
  <w:footnote w:id="34">
    <w:p w14:paraId="0BB2FD59" w14:textId="77777777" w:rsidR="009D2A3A" w:rsidRDefault="009D2A3A" w:rsidP="006B688B">
      <w:pPr>
        <w:pStyle w:val="FootnoteText"/>
      </w:pPr>
      <w:r>
        <w:rPr>
          <w:rStyle w:val="FootnoteReference"/>
        </w:rPr>
        <w:footnoteRef/>
      </w:r>
      <w:r>
        <w:t xml:space="preserve"> Procedures for ‘lodgement of documents’ and ‘payment of amounts’ are set out in sections 1.6 and 1.7 of the allocation determination, respectively. </w:t>
      </w:r>
    </w:p>
  </w:footnote>
  <w:footnote w:id="35">
    <w:p w14:paraId="6CAE023E" w14:textId="77777777" w:rsidR="009D2A3A" w:rsidRDefault="009D2A3A" w:rsidP="00CF12BF">
      <w:pPr>
        <w:pStyle w:val="FootnoteText"/>
      </w:pPr>
      <w:r>
        <w:rPr>
          <w:rStyle w:val="FootnoteReference"/>
        </w:rPr>
        <w:footnoteRef/>
      </w:r>
      <w:r>
        <w:t xml:space="preserve"> Section 4.2 of the allocation determination provides that before the ACMA publishes a notice inviting applications for the auction, it must set the amount of the application fee (see instrument a</w:t>
      </w:r>
      <w:r w:rsidRPr="00FC3C9C">
        <w:t xml:space="preserve">t Attachment R). </w:t>
      </w:r>
      <w:r>
        <w:t>GST is not payable on the application fee.</w:t>
      </w:r>
    </w:p>
  </w:footnote>
  <w:footnote w:id="36">
    <w:p w14:paraId="6A98E63A" w14:textId="77777777" w:rsidR="009D2A3A" w:rsidRDefault="009D2A3A">
      <w:pPr>
        <w:pStyle w:val="FootnoteText"/>
      </w:pPr>
      <w:r>
        <w:rPr>
          <w:rStyle w:val="FootnoteReference"/>
        </w:rPr>
        <w:footnoteRef/>
      </w:r>
      <w:r>
        <w:t xml:space="preserve"> In the interests of operational efficiency and security, applicants are encouraged to nominate no more than three authorised persons. However, applicants can nominate an additional two authorised persons (i.e., a total of up to five persons) if they wish. Instructions for nominating authorised persons are provided in the application form.</w:t>
      </w:r>
    </w:p>
  </w:footnote>
  <w:footnote w:id="37">
    <w:p w14:paraId="06C539E2" w14:textId="77777777" w:rsidR="009D2A3A" w:rsidRDefault="009D2A3A">
      <w:pPr>
        <w:pStyle w:val="FootnoteText"/>
      </w:pPr>
      <w:r>
        <w:rPr>
          <w:rStyle w:val="FootnoteReference"/>
        </w:rPr>
        <w:footnoteRef/>
      </w:r>
      <w:r>
        <w:t xml:space="preserve"> As well as applying to bidders and their related persons during the auction period, this obligation also applies to applicants, bidders, and the related persons of applicants and bidders, </w:t>
      </w:r>
      <w:r w:rsidRPr="00EA5523">
        <w:rPr>
          <w:i/>
        </w:rPr>
        <w:t>before and after</w:t>
      </w:r>
      <w:r>
        <w:t xml:space="preserve"> the auction period (see 3.2.7).</w:t>
      </w:r>
    </w:p>
  </w:footnote>
  <w:footnote w:id="38">
    <w:p w14:paraId="574A3B69" w14:textId="77777777" w:rsidR="009D2A3A" w:rsidRPr="00FE5177" w:rsidRDefault="009D2A3A" w:rsidP="008A60B8">
      <w:pPr>
        <w:pStyle w:val="FootnoteText"/>
        <w:rPr>
          <w:rFonts w:cs="Arial"/>
        </w:rPr>
      </w:pPr>
      <w:r w:rsidRPr="00FE5177">
        <w:rPr>
          <w:rStyle w:val="FootnoteReference"/>
          <w:rFonts w:cs="Arial"/>
        </w:rPr>
        <w:footnoteRef/>
      </w:r>
      <w:r w:rsidRPr="00FE5177">
        <w:rPr>
          <w:rFonts w:cs="Arial"/>
        </w:rPr>
        <w:t xml:space="preserve"> Horizontal radiated power is the power limit radiated from an antenna in the horizontal plane. A full description can be found in the sample licence provided at Schedule 6 in the marketing plan for each band. </w:t>
      </w:r>
    </w:p>
  </w:footnote>
  <w:footnote w:id="39">
    <w:p w14:paraId="55D620B5" w14:textId="77777777" w:rsidR="009D2A3A" w:rsidRDefault="009D2A3A" w:rsidP="00774346">
      <w:pPr>
        <w:pStyle w:val="FootnoteText"/>
      </w:pPr>
      <w:r>
        <w:rPr>
          <w:rStyle w:val="FootnoteReference"/>
        </w:rPr>
        <w:footnoteRef/>
      </w:r>
      <w:r>
        <w:t xml:space="preserve"> ‘Australian spectrum map grid’ is defined in section 4 of the respective subsection 145(4) determinations.</w:t>
      </w:r>
    </w:p>
  </w:footnote>
  <w:footnote w:id="40">
    <w:p w14:paraId="12B1995F" w14:textId="77777777" w:rsidR="009D2A3A" w:rsidRPr="00FE5177" w:rsidRDefault="009D2A3A" w:rsidP="008A60B8">
      <w:pPr>
        <w:pStyle w:val="FootnoteText"/>
        <w:spacing w:before="80" w:after="120"/>
        <w:rPr>
          <w:rFonts w:cs="Arial"/>
          <w:color w:val="000000" w:themeColor="text1"/>
        </w:rPr>
      </w:pPr>
      <w:r w:rsidRPr="00FE5177">
        <w:rPr>
          <w:rStyle w:val="FootnoteReference"/>
          <w:rFonts w:cs="Arial"/>
        </w:rPr>
        <w:footnoteRef/>
      </w:r>
      <w:r w:rsidRPr="00FE5177">
        <w:rPr>
          <w:rFonts w:cs="Arial"/>
        </w:rPr>
        <w:t xml:space="preserve"> </w:t>
      </w:r>
      <w:r w:rsidRPr="00FE5177">
        <w:rPr>
          <w:rFonts w:cs="Arial"/>
          <w:color w:val="000000" w:themeColor="text1"/>
        </w:rPr>
        <w:t>The</w:t>
      </w:r>
      <w:r w:rsidRPr="00FE5177">
        <w:rPr>
          <w:rFonts w:cs="Arial"/>
        </w:rPr>
        <w:t xml:space="preserve"> </w:t>
      </w:r>
      <w:hyperlink r:id="rId15" w:history="1">
        <w:r w:rsidRPr="00FE5177">
          <w:rPr>
            <w:rStyle w:val="Hyperlink"/>
            <w:rFonts w:cs="Arial"/>
          </w:rPr>
          <w:t>Radiocommunications (section 145(3) Certificates) Determination 20</w:t>
        </w:r>
        <w:r>
          <w:rPr>
            <w:rStyle w:val="Hyperlink"/>
            <w:rFonts w:cs="Arial"/>
          </w:rPr>
          <w:t>12</w:t>
        </w:r>
      </w:hyperlink>
      <w:r w:rsidRPr="00FE5177">
        <w:rPr>
          <w:rFonts w:cs="Arial"/>
        </w:rPr>
        <w:t xml:space="preserve"> </w:t>
      </w:r>
      <w:r w:rsidRPr="00FE5177">
        <w:rPr>
          <w:rFonts w:cs="Arial"/>
          <w:color w:val="000000" w:themeColor="text1"/>
        </w:rPr>
        <w:t xml:space="preserve">sets out the conditions that apply to accredited persons </w:t>
      </w:r>
      <w:r>
        <w:rPr>
          <w:rFonts w:cs="Arial"/>
          <w:color w:val="000000" w:themeColor="text1"/>
        </w:rPr>
        <w:t>when</w:t>
      </w:r>
      <w:r w:rsidRPr="00FE5177">
        <w:rPr>
          <w:rFonts w:cs="Arial"/>
          <w:color w:val="000000" w:themeColor="text1"/>
        </w:rPr>
        <w:t xml:space="preserve"> issuing IICs. Contact details for all current accredited persons who have </w:t>
      </w:r>
      <w:r w:rsidRPr="00F775DF">
        <w:rPr>
          <w:rFonts w:cs="Arial"/>
          <w:color w:val="000000" w:themeColor="text1"/>
        </w:rPr>
        <w:t xml:space="preserve">consented to the release of those details are on the ACMA </w:t>
      </w:r>
      <w:hyperlink r:id="rId16" w:history="1">
        <w:r w:rsidRPr="00F775DF">
          <w:rPr>
            <w:rStyle w:val="Hyperlink"/>
            <w:rFonts w:cs="Arial"/>
          </w:rPr>
          <w:t>website</w:t>
        </w:r>
      </w:hyperlink>
      <w:r w:rsidRPr="00F775DF">
        <w:rPr>
          <w:rFonts w:cs="Arial"/>
          <w:color w:val="000000" w:themeColor="text1"/>
        </w:rPr>
        <w:t>.</w:t>
      </w:r>
    </w:p>
  </w:footnote>
  <w:footnote w:id="41">
    <w:p w14:paraId="42558E47" w14:textId="77777777" w:rsidR="009D2A3A" w:rsidRPr="00FE5177" w:rsidRDefault="009D2A3A" w:rsidP="008A60B8">
      <w:pPr>
        <w:pStyle w:val="FootnoteText"/>
        <w:spacing w:before="80" w:after="120"/>
        <w:rPr>
          <w:rFonts w:cs="Arial"/>
        </w:rPr>
      </w:pPr>
      <w:r w:rsidRPr="00FE5177">
        <w:rPr>
          <w:rStyle w:val="FootnoteReference"/>
          <w:rFonts w:cs="Arial"/>
        </w:rPr>
        <w:footnoteRef/>
      </w:r>
      <w:r w:rsidRPr="00FE5177">
        <w:rPr>
          <w:rFonts w:cs="Arial"/>
        </w:rPr>
        <w:t xml:space="preserve"> Requirements for the labelling of radiocommunications transmitters, including exemptions to the general labelling requirement, are set out in the </w:t>
      </w:r>
      <w:hyperlink r:id="rId17" w:history="1">
        <w:r w:rsidRPr="00FE5177">
          <w:rPr>
            <w:rStyle w:val="Hyperlink"/>
            <w:rFonts w:cs="Arial"/>
          </w:rPr>
          <w:t>Radiocommunications (Labelling) Determination 1997</w:t>
        </w:r>
      </w:hyperlink>
      <w:r w:rsidRPr="00FE5177">
        <w:rPr>
          <w:rFonts w:cs="Arial"/>
        </w:rPr>
        <w:t>.</w:t>
      </w:r>
    </w:p>
  </w:footnote>
  <w:footnote w:id="42">
    <w:p w14:paraId="67401F8B" w14:textId="77777777" w:rsidR="009D2A3A" w:rsidRDefault="009D2A3A" w:rsidP="00480E87">
      <w:pPr>
        <w:pStyle w:val="FootnoteText"/>
      </w:pPr>
      <w:r>
        <w:rPr>
          <w:rStyle w:val="FootnoteReference"/>
        </w:rPr>
        <w:footnoteRef/>
      </w:r>
      <w:r>
        <w:t xml:space="preserve"> ‘Non-standard device’ is defined in section 5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0309" w14:textId="2BFF6513" w:rsidR="009D2A3A" w:rsidRDefault="000B0C99">
    <w:pPr>
      <w:pStyle w:val="Header"/>
    </w:pPr>
    <w:r>
      <w:rPr>
        <w:noProof/>
      </w:rPr>
      <mc:AlternateContent>
        <mc:Choice Requires="wps">
          <w:drawing>
            <wp:anchor distT="0" distB="0" distL="114300" distR="114300" simplePos="0" relativeHeight="251658240" behindDoc="1" locked="1" layoutInCell="1" allowOverlap="1" wp14:anchorId="1B9FB403" wp14:editId="114F5869">
              <wp:simplePos x="0" y="0"/>
              <wp:positionH relativeFrom="page">
                <wp:posOffset>5796280</wp:posOffset>
              </wp:positionH>
              <wp:positionV relativeFrom="page">
                <wp:posOffset>578485</wp:posOffset>
              </wp:positionV>
              <wp:extent cx="1092200" cy="340360"/>
              <wp:effectExtent l="5080" t="6985" r="7620" b="5080"/>
              <wp:wrapNone/>
              <wp:docPr id="21"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44835" id="acma" o:spid="_x0000_s1026" style="position:absolute;margin-left:456.4pt;margin-top:45.55pt;width:86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14:anchorId="58C985C5" wp14:editId="40D5AAEA">
              <wp:simplePos x="0" y="0"/>
              <wp:positionH relativeFrom="page">
                <wp:posOffset>1707515</wp:posOffset>
              </wp:positionH>
              <wp:positionV relativeFrom="page">
                <wp:posOffset>436880</wp:posOffset>
              </wp:positionV>
              <wp:extent cx="1502410" cy="464820"/>
              <wp:effectExtent l="12065" t="8255" r="0" b="3175"/>
              <wp:wrapNone/>
              <wp:docPr id="7"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8" name="black_curl"/>
                      <wpg:cNvGrpSpPr>
                        <a:grpSpLocks/>
                      </wpg:cNvGrpSpPr>
                      <wpg:grpSpPr bwMode="auto">
                        <a:xfrm>
                          <a:off x="1950" y="913"/>
                          <a:ext cx="800" cy="466"/>
                          <a:chOff x="702" y="1163"/>
                          <a:chExt cx="1674" cy="986"/>
                        </a:xfrm>
                      </wpg:grpSpPr>
                      <wps:wsp>
                        <wps:cNvPr id="11" name="Line 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3" name="Line 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 name="Freeform 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2CA41" id="Logo_acma_bw" o:spid="_x0000_s1026" style="position:absolute;margin-left:134.45pt;margin-top:34.4pt;width:118.3pt;height:36.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">
              <v:group id="black_curl" o:spid="_x0000_s1027" style="position:absolute;left:1950;top:913;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7"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" stroked="f">
                  <o:lock v:ext="edit" aspectratio="t"/>
                </v:line>
                <v:line id="Line 8"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h/vwAAANsAAAAPAAAAZHJzL2Rvd25yZXYueG1sRE9Na8Mw&#10;DL0P9h+MBrutzj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DnWBh/vwAAANsAAAAPAAAAAAAA&#10;AAAAAAAAAAcCAABkcnMvZG93bnJldi54bWxQSwUGAAAAAAMAAwC3AAAA8wIAAAAA&#10;" stroked="f">
                  <o:lock v:ext="edit" aspectratio="t"/>
                </v:line>
                <v:shape id="Freeform 9"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0"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1"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2"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grey" o:spid="_x0000_s1035" style="position:absolute;left:2574;top:1218;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rPr>
      <mc:AlternateContent>
        <mc:Choice Requires="wpg">
          <w:drawing>
            <wp:anchor distT="0" distB="0" distL="114300" distR="114300" simplePos="0" relativeHeight="251656192" behindDoc="1" locked="1" layoutInCell="1" allowOverlap="1" wp14:anchorId="461DB6A0" wp14:editId="5B97C558">
              <wp:simplePos x="0" y="0"/>
              <wp:positionH relativeFrom="page">
                <wp:posOffset>721360</wp:posOffset>
              </wp:positionH>
              <wp:positionV relativeFrom="page">
                <wp:posOffset>433070</wp:posOffset>
              </wp:positionV>
              <wp:extent cx="873760" cy="460375"/>
              <wp:effectExtent l="6985" t="4445" r="5080" b="1905"/>
              <wp:wrapNone/>
              <wp:docPr id="3"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4" name="Freeform 2"/>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D2AFA" id="Logo_AustGov" o:spid="_x0000_s1026" style="position:absolute;margin-left:56.8pt;margin-top:34.1pt;width:68.8pt;height:36.25pt;z-index:-251660288;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rM+uEAAP+v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">
              <o:lock v:ext="edit" aspectratio="t"/>
              <v:shape id="Freeform 2"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3"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4"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A2B3B" w14:textId="77777777" w:rsidR="009D2A3A" w:rsidRPr="0027165D" w:rsidRDefault="009D2A3A">
    <w:pPr>
      <w:pStyle w:val="Header"/>
      <w:rPr>
        <w:rFonts w:cs="Arial"/>
      </w:rPr>
    </w:pPr>
  </w:p>
  <w:tbl>
    <w:tblPr>
      <w:tblW w:w="7685" w:type="dxa"/>
      <w:tblLayout w:type="fixed"/>
      <w:tblCellMar>
        <w:left w:w="0" w:type="dxa"/>
        <w:right w:w="0" w:type="dxa"/>
      </w:tblCellMar>
      <w:tblLook w:val="01E0" w:firstRow="1" w:lastRow="1" w:firstColumn="1" w:lastColumn="1" w:noHBand="0" w:noVBand="0"/>
    </w:tblPr>
    <w:tblGrid>
      <w:gridCol w:w="7685"/>
    </w:tblGrid>
    <w:tr w:rsidR="009D2A3A" w:rsidRPr="0027165D" w14:paraId="46ABE1CD" w14:textId="77777777" w:rsidTr="00915B1C">
      <w:trPr>
        <w:trHeight w:hRule="exact" w:val="988"/>
      </w:trPr>
      <w:tc>
        <w:tcPr>
          <w:tcW w:w="7685" w:type="dxa"/>
          <w:shd w:val="clear" w:color="auto" w:fill="auto"/>
        </w:tcPr>
        <w:p w14:paraId="350973CA" w14:textId="77777777" w:rsidR="009D2A3A" w:rsidRPr="0027165D" w:rsidRDefault="009D2A3A">
          <w:pPr>
            <w:pStyle w:val="Header"/>
            <w:rPr>
              <w:rFonts w:cs="Arial"/>
            </w:rPr>
          </w:pPr>
        </w:p>
      </w:tc>
    </w:tr>
    <w:tr w:rsidR="009D2A3A" w:rsidRPr="0027165D" w14:paraId="3310FD14" w14:textId="77777777" w:rsidTr="00915B1C">
      <w:tc>
        <w:tcPr>
          <w:tcW w:w="7685" w:type="dxa"/>
          <w:shd w:val="clear" w:color="auto" w:fill="auto"/>
        </w:tcPr>
        <w:p w14:paraId="4B025202" w14:textId="77777777" w:rsidR="009D2A3A" w:rsidRPr="0027165D" w:rsidRDefault="009D2A3A" w:rsidP="000A4A51">
          <w:pPr>
            <w:pStyle w:val="TOCHeading"/>
            <w:rPr>
              <w:rFonts w:cs="Arial"/>
            </w:rPr>
          </w:pPr>
          <w:r w:rsidRPr="0027165D">
            <w:rPr>
              <w:rFonts w:cs="Arial"/>
            </w:rPr>
            <w:t>Contents</w:t>
          </w:r>
        </w:p>
      </w:tc>
    </w:tr>
  </w:tbl>
  <w:p w14:paraId="2DC9C6C0" w14:textId="77777777" w:rsidR="009D2A3A" w:rsidRPr="0027165D" w:rsidRDefault="009D2A3A">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E884B" w14:textId="77777777" w:rsidR="009D2A3A" w:rsidRDefault="009D2A3A">
    <w:pPr>
      <w:pStyle w:val="Header"/>
    </w:pPr>
  </w:p>
  <w:p w14:paraId="677F8AB2" w14:textId="77777777" w:rsidR="009D2A3A" w:rsidRDefault="009D2A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EB033" w14:textId="77777777" w:rsidR="009D2A3A" w:rsidRDefault="009D2A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47538" w14:textId="77777777" w:rsidR="009D2A3A" w:rsidRDefault="009D2A3A">
    <w:pPr>
      <w:pStyle w:val="Header"/>
    </w:pPr>
  </w:p>
  <w:tbl>
    <w:tblPr>
      <w:tblW w:w="7678" w:type="dxa"/>
      <w:tblLayout w:type="fixed"/>
      <w:tblCellMar>
        <w:left w:w="0" w:type="dxa"/>
        <w:right w:w="0" w:type="dxa"/>
      </w:tblCellMar>
      <w:tblLook w:val="01E0" w:firstRow="1" w:lastRow="1" w:firstColumn="1" w:lastColumn="1" w:noHBand="0" w:noVBand="0"/>
    </w:tblPr>
    <w:tblGrid>
      <w:gridCol w:w="7678"/>
    </w:tblGrid>
    <w:tr w:rsidR="009D2A3A" w14:paraId="2391B4E2" w14:textId="77777777" w:rsidTr="00915B1C">
      <w:trPr>
        <w:trHeight w:hRule="exact" w:val="988"/>
      </w:trPr>
      <w:tc>
        <w:tcPr>
          <w:tcW w:w="7678" w:type="dxa"/>
          <w:shd w:val="clear" w:color="auto" w:fill="auto"/>
        </w:tcPr>
        <w:p w14:paraId="6DD1C579" w14:textId="77777777" w:rsidR="009D2A3A" w:rsidRDefault="009D2A3A" w:rsidP="005D2502">
          <w:pPr>
            <w:pStyle w:val="Header"/>
          </w:pPr>
        </w:p>
      </w:tc>
    </w:tr>
    <w:tr w:rsidR="009D2A3A" w14:paraId="356FC04B" w14:textId="77777777" w:rsidTr="00915B1C">
      <w:tc>
        <w:tcPr>
          <w:tcW w:w="7678" w:type="dxa"/>
          <w:shd w:val="clear" w:color="auto" w:fill="auto"/>
        </w:tcPr>
        <w:p w14:paraId="27D51ABE" w14:textId="77777777" w:rsidR="009D2A3A" w:rsidRDefault="009D2A3A" w:rsidP="005D2502">
          <w:pPr>
            <w:pStyle w:val="TOCHeading"/>
          </w:pPr>
          <w:r>
            <w:t xml:space="preserve">Contents </w:t>
          </w:r>
          <w:r w:rsidRPr="00915B1C">
            <w:rPr>
              <w:b w:val="0"/>
              <w:spacing w:val="0"/>
              <w:sz w:val="28"/>
              <w:szCs w:val="28"/>
            </w:rPr>
            <w:t>(Continued)</w:t>
          </w:r>
        </w:p>
      </w:tc>
    </w:tr>
    <w:tr w:rsidR="009D2A3A" w14:paraId="3A090C10" w14:textId="77777777" w:rsidTr="00D6507F">
      <w:trPr>
        <w:trHeight w:val="1220"/>
      </w:trPr>
      <w:tc>
        <w:tcPr>
          <w:tcW w:w="7678" w:type="dxa"/>
          <w:shd w:val="clear" w:color="auto" w:fill="auto"/>
        </w:tcPr>
        <w:p w14:paraId="1B30CBD9" w14:textId="77777777" w:rsidR="009D2A3A" w:rsidRDefault="009D2A3A" w:rsidP="00D6507F"/>
      </w:tc>
    </w:tr>
  </w:tbl>
  <w:p w14:paraId="08209F8D" w14:textId="77777777" w:rsidR="009D2A3A" w:rsidRDefault="009D2A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9050" w14:textId="77777777" w:rsidR="009D2A3A" w:rsidRDefault="009D2A3A">
    <w:pPr>
      <w:pStyle w:val="Header"/>
    </w:pPr>
  </w:p>
  <w:tbl>
    <w:tblPr>
      <w:tblW w:w="0" w:type="auto"/>
      <w:tblLayout w:type="fixed"/>
      <w:tblCellMar>
        <w:left w:w="0" w:type="dxa"/>
        <w:right w:w="0" w:type="dxa"/>
      </w:tblCellMar>
      <w:tblLook w:val="01E0" w:firstRow="1" w:lastRow="1" w:firstColumn="1" w:lastColumn="1" w:noHBand="0" w:noVBand="0"/>
    </w:tblPr>
    <w:tblGrid>
      <w:gridCol w:w="7671"/>
    </w:tblGrid>
    <w:tr w:rsidR="009D2A3A" w14:paraId="2A9F523A" w14:textId="77777777" w:rsidTr="00915B1C">
      <w:trPr>
        <w:trHeight w:hRule="exact" w:val="988"/>
      </w:trPr>
      <w:tc>
        <w:tcPr>
          <w:tcW w:w="7671" w:type="dxa"/>
          <w:shd w:val="clear" w:color="auto" w:fill="auto"/>
        </w:tcPr>
        <w:p w14:paraId="42900868" w14:textId="77777777" w:rsidR="009D2A3A" w:rsidRDefault="009D2A3A" w:rsidP="005D2502">
          <w:pPr>
            <w:pStyle w:val="Header"/>
          </w:pPr>
        </w:p>
      </w:tc>
    </w:tr>
    <w:tr w:rsidR="009D2A3A" w14:paraId="6773F395" w14:textId="77777777" w:rsidTr="00915B1C">
      <w:tc>
        <w:tcPr>
          <w:tcW w:w="7671" w:type="dxa"/>
          <w:shd w:val="clear" w:color="auto" w:fill="auto"/>
        </w:tcPr>
        <w:p w14:paraId="3D2249BF" w14:textId="77777777" w:rsidR="009D2A3A" w:rsidRDefault="009D2A3A" w:rsidP="005D2502">
          <w:pPr>
            <w:pStyle w:val="TOCHeading"/>
          </w:pPr>
          <w:r>
            <w:t xml:space="preserve">Contents </w:t>
          </w:r>
          <w:r w:rsidRPr="00915B1C">
            <w:rPr>
              <w:b w:val="0"/>
              <w:spacing w:val="0"/>
              <w:sz w:val="28"/>
              <w:szCs w:val="28"/>
            </w:rPr>
            <w:t>(Continued)</w:t>
          </w:r>
        </w:p>
      </w:tc>
    </w:tr>
  </w:tbl>
  <w:p w14:paraId="66549B1B" w14:textId="77777777" w:rsidR="009D2A3A" w:rsidRDefault="009D2A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3BB4" w14:textId="77777777" w:rsidR="009D2A3A" w:rsidRDefault="009D2A3A">
    <w:pPr>
      <w:pStyle w:val="Header"/>
    </w:pPr>
  </w:p>
  <w:p w14:paraId="66BB3304" w14:textId="77777777" w:rsidR="009D2A3A" w:rsidRDefault="009D2A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2464" w14:textId="77777777" w:rsidR="009D2A3A" w:rsidRDefault="009D2A3A">
    <w:pPr>
      <w:pStyle w:val="Header"/>
    </w:pPr>
  </w:p>
  <w:p w14:paraId="60B10597" w14:textId="77777777" w:rsidR="009D2A3A" w:rsidRDefault="009D2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444DAF4"/>
    <w:lvl w:ilvl="0">
      <w:start w:val="1"/>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1F3A7A9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DEFAA50C"/>
    <w:lvl w:ilvl="0">
      <w:start w:val="1"/>
      <w:numFmt w:val="decimal"/>
      <w:pStyle w:val="ListNumber"/>
      <w:lvlText w:val="%1."/>
      <w:lvlJc w:val="left"/>
      <w:pPr>
        <w:ind w:left="360" w:hanging="360"/>
      </w:pPr>
      <w:rPr>
        <w:rFonts w:hint="default"/>
        <w:caps/>
        <w:sz w:val="20"/>
      </w:rPr>
    </w:lvl>
  </w:abstractNum>
  <w:abstractNum w:abstractNumId="3" w15:restartNumberingAfterBreak="0">
    <w:nsid w:val="FFFFFF89"/>
    <w:multiLevelType w:val="singleLevel"/>
    <w:tmpl w:val="1B700E50"/>
    <w:lvl w:ilvl="0">
      <w:start w:val="1"/>
      <w:numFmt w:val="bullet"/>
      <w:pStyle w:val="ListBullet"/>
      <w:lvlText w:val="&gt;"/>
      <w:lvlJc w:val="left"/>
      <w:pPr>
        <w:tabs>
          <w:tab w:val="num" w:pos="295"/>
        </w:tabs>
        <w:ind w:left="295" w:hanging="295"/>
      </w:pPr>
      <w:rPr>
        <w:rFonts w:ascii="HelveticaNeueLT Std Lt" w:hAnsi="HelveticaNeueLT Std Lt" w:hint="default"/>
        <w:strike w:val="0"/>
        <w:sz w:val="20"/>
      </w:rPr>
    </w:lvl>
  </w:abstractNum>
  <w:abstractNum w:abstractNumId="4" w15:restartNumberingAfterBreak="0">
    <w:nsid w:val="0D4010F7"/>
    <w:multiLevelType w:val="multilevel"/>
    <w:tmpl w:val="F266C156"/>
    <w:lvl w:ilvl="0">
      <w:start w:val="5"/>
      <w:numFmt w:val="decimal"/>
      <w:lvlText w:val="%1."/>
      <w:lvlJc w:val="left"/>
      <w:pPr>
        <w:tabs>
          <w:tab w:val="num" w:pos="720"/>
        </w:tabs>
        <w:ind w:left="720" w:hanging="720"/>
      </w:pPr>
      <w:rPr>
        <w:rFonts w:ascii="Arial" w:hAnsi="Arial" w:cs="Arial"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901C1E"/>
    <w:multiLevelType w:val="multilevel"/>
    <w:tmpl w:val="7AF6CD16"/>
    <w:lvl w:ilvl="0">
      <w:start w:val="1"/>
      <w:numFmt w:val="decimal"/>
      <w:lvlText w:val="%1."/>
      <w:lvlJc w:val="left"/>
      <w:pPr>
        <w:tabs>
          <w:tab w:val="num" w:pos="720"/>
        </w:tabs>
        <w:ind w:left="720" w:hanging="720"/>
      </w:pPr>
      <w:rPr>
        <w:rFonts w:ascii="Arial" w:hAnsi="Arial" w:cs="Arial"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F5A5080"/>
    <w:multiLevelType w:val="hybridMultilevel"/>
    <w:tmpl w:val="B88084E8"/>
    <w:lvl w:ilvl="0" w:tplc="2AD6D52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C090001">
      <w:start w:val="1"/>
      <w:numFmt w:val="bullet"/>
      <w:lvlText w:val=""/>
      <w:lvlJc w:val="left"/>
      <w:pPr>
        <w:tabs>
          <w:tab w:val="num" w:pos="1728"/>
        </w:tabs>
        <w:ind w:left="1728" w:hanging="360"/>
      </w:pPr>
      <w:rPr>
        <w:rFonts w:ascii="Symbol" w:hAnsi="Symbol" w:hint="default"/>
      </w:rPr>
    </w:lvl>
    <w:lvl w:ilvl="2" w:tplc="04090005">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06A7D00"/>
    <w:multiLevelType w:val="hybridMultilevel"/>
    <w:tmpl w:val="0C9E81D8"/>
    <w:lvl w:ilvl="0" w:tplc="FD74EEBA">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CB2CFB"/>
    <w:multiLevelType w:val="hybridMultilevel"/>
    <w:tmpl w:val="C50E1C5E"/>
    <w:lvl w:ilvl="0" w:tplc="C3A08136">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BE5505"/>
    <w:multiLevelType w:val="hybridMultilevel"/>
    <w:tmpl w:val="618CB85A"/>
    <w:lvl w:ilvl="0" w:tplc="0256EFD4">
      <w:start w:val="1"/>
      <w:numFmt w:val="decimal"/>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2B73249"/>
    <w:multiLevelType w:val="hybridMultilevel"/>
    <w:tmpl w:val="CBF04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6D744F"/>
    <w:multiLevelType w:val="hybridMultilevel"/>
    <w:tmpl w:val="4FA0447A"/>
    <w:lvl w:ilvl="0" w:tplc="FD74EEBA">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74C7EE0"/>
    <w:multiLevelType w:val="hybridMultilevel"/>
    <w:tmpl w:val="76424ACC"/>
    <w:lvl w:ilvl="0" w:tplc="03C01D3A">
      <w:start w:val="1"/>
      <w:numFmt w:val="decimal"/>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1E4AEF"/>
    <w:multiLevelType w:val="hybridMultilevel"/>
    <w:tmpl w:val="E438D948"/>
    <w:lvl w:ilvl="0" w:tplc="0C090017">
      <w:start w:val="1"/>
      <w:numFmt w:val="lowerLetter"/>
      <w:lvlText w:val="%1)"/>
      <w:lvlJc w:val="left"/>
      <w:pPr>
        <w:ind w:left="655" w:hanging="360"/>
      </w:pPr>
    </w:lvl>
    <w:lvl w:ilvl="1" w:tplc="0C090019" w:tentative="1">
      <w:start w:val="1"/>
      <w:numFmt w:val="lowerLetter"/>
      <w:lvlText w:val="%2."/>
      <w:lvlJc w:val="left"/>
      <w:pPr>
        <w:ind w:left="1375" w:hanging="360"/>
      </w:pPr>
    </w:lvl>
    <w:lvl w:ilvl="2" w:tplc="0C09001B" w:tentative="1">
      <w:start w:val="1"/>
      <w:numFmt w:val="lowerRoman"/>
      <w:lvlText w:val="%3."/>
      <w:lvlJc w:val="right"/>
      <w:pPr>
        <w:ind w:left="2095" w:hanging="180"/>
      </w:pPr>
    </w:lvl>
    <w:lvl w:ilvl="3" w:tplc="0C09000F" w:tentative="1">
      <w:start w:val="1"/>
      <w:numFmt w:val="decimal"/>
      <w:lvlText w:val="%4."/>
      <w:lvlJc w:val="left"/>
      <w:pPr>
        <w:ind w:left="2815" w:hanging="360"/>
      </w:pPr>
    </w:lvl>
    <w:lvl w:ilvl="4" w:tplc="0C090019" w:tentative="1">
      <w:start w:val="1"/>
      <w:numFmt w:val="lowerLetter"/>
      <w:lvlText w:val="%5."/>
      <w:lvlJc w:val="left"/>
      <w:pPr>
        <w:ind w:left="3535" w:hanging="360"/>
      </w:pPr>
    </w:lvl>
    <w:lvl w:ilvl="5" w:tplc="0C09001B" w:tentative="1">
      <w:start w:val="1"/>
      <w:numFmt w:val="lowerRoman"/>
      <w:lvlText w:val="%6."/>
      <w:lvlJc w:val="right"/>
      <w:pPr>
        <w:ind w:left="4255" w:hanging="180"/>
      </w:pPr>
    </w:lvl>
    <w:lvl w:ilvl="6" w:tplc="0C09000F" w:tentative="1">
      <w:start w:val="1"/>
      <w:numFmt w:val="decimal"/>
      <w:lvlText w:val="%7."/>
      <w:lvlJc w:val="left"/>
      <w:pPr>
        <w:ind w:left="4975" w:hanging="360"/>
      </w:pPr>
    </w:lvl>
    <w:lvl w:ilvl="7" w:tplc="0C090019" w:tentative="1">
      <w:start w:val="1"/>
      <w:numFmt w:val="lowerLetter"/>
      <w:lvlText w:val="%8."/>
      <w:lvlJc w:val="left"/>
      <w:pPr>
        <w:ind w:left="5695" w:hanging="360"/>
      </w:pPr>
    </w:lvl>
    <w:lvl w:ilvl="8" w:tplc="0C09001B" w:tentative="1">
      <w:start w:val="1"/>
      <w:numFmt w:val="lowerRoman"/>
      <w:lvlText w:val="%9."/>
      <w:lvlJc w:val="right"/>
      <w:pPr>
        <w:ind w:left="6415" w:hanging="180"/>
      </w:pPr>
    </w:lvl>
  </w:abstractNum>
  <w:abstractNum w:abstractNumId="15" w15:restartNumberingAfterBreak="0">
    <w:nsid w:val="6D97130C"/>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048588F"/>
    <w:multiLevelType w:val="hybridMultilevel"/>
    <w:tmpl w:val="7B34FEA6"/>
    <w:lvl w:ilvl="0" w:tplc="0C090011">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3"/>
  </w:num>
  <w:num w:numId="2">
    <w:abstractNumId w:val="1"/>
  </w:num>
  <w:num w:numId="3">
    <w:abstractNumId w:val="2"/>
  </w:num>
  <w:num w:numId="4">
    <w:abstractNumId w:val="0"/>
  </w:num>
  <w:num w:numId="5">
    <w:abstractNumId w:val="8"/>
  </w:num>
  <w:num w:numId="6">
    <w:abstractNumId w:val="10"/>
  </w:num>
  <w:num w:numId="7">
    <w:abstractNumId w:val="13"/>
  </w:num>
  <w:num w:numId="8">
    <w:abstractNumId w:val="12"/>
  </w:num>
  <w:num w:numId="9">
    <w:abstractNumId w:val="16"/>
  </w:num>
  <w:num w:numId="10">
    <w:abstractNumId w:val="7"/>
  </w:num>
  <w:num w:numId="11">
    <w:abstractNumId w:val="5"/>
  </w:num>
  <w:num w:numId="12">
    <w:abstractNumId w:val="4"/>
  </w:num>
  <w:num w:numId="13">
    <w:abstractNumId w:val="6"/>
  </w:num>
  <w:num w:numId="14">
    <w:abstractNumId w:val="15"/>
  </w:num>
  <w:num w:numId="15">
    <w:abstractNumId w:val="14"/>
  </w:num>
  <w:num w:numId="16">
    <w:abstractNumId w:val="9"/>
  </w:num>
  <w:num w:numId="17">
    <w:abstractNumId w:val="11"/>
  </w:num>
  <w:num w:numId="18">
    <w:abstractNumId w:val="3"/>
  </w:num>
  <w:num w:numId="19">
    <w:abstractNumId w:val="3"/>
  </w:num>
  <w:num w:numId="20">
    <w:abstractNumId w:val="1"/>
  </w:num>
  <w:num w:numId="21">
    <w:abstractNumId w:val="3"/>
  </w:num>
  <w:num w:numId="22">
    <w:abstractNumId w:val="3"/>
  </w:num>
  <w:num w:numId="23">
    <w:abstractNumId w:val="1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1"/>
  </w:num>
  <w:num w:numId="3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B8"/>
    <w:rsid w:val="00000394"/>
    <w:rsid w:val="00000D0C"/>
    <w:rsid w:val="000052A5"/>
    <w:rsid w:val="0000596C"/>
    <w:rsid w:val="00005D55"/>
    <w:rsid w:val="00006283"/>
    <w:rsid w:val="000072A2"/>
    <w:rsid w:val="00007E16"/>
    <w:rsid w:val="00010667"/>
    <w:rsid w:val="00010FFA"/>
    <w:rsid w:val="00011BFF"/>
    <w:rsid w:val="000128DA"/>
    <w:rsid w:val="00013181"/>
    <w:rsid w:val="00013B67"/>
    <w:rsid w:val="00014D80"/>
    <w:rsid w:val="00015296"/>
    <w:rsid w:val="00015AE7"/>
    <w:rsid w:val="00015EF9"/>
    <w:rsid w:val="00016449"/>
    <w:rsid w:val="00016540"/>
    <w:rsid w:val="00016830"/>
    <w:rsid w:val="00016E21"/>
    <w:rsid w:val="00016FD9"/>
    <w:rsid w:val="0001719C"/>
    <w:rsid w:val="00020D11"/>
    <w:rsid w:val="000222A9"/>
    <w:rsid w:val="0002289D"/>
    <w:rsid w:val="00023247"/>
    <w:rsid w:val="000232E6"/>
    <w:rsid w:val="0002370C"/>
    <w:rsid w:val="000245B4"/>
    <w:rsid w:val="00024A74"/>
    <w:rsid w:val="00026F91"/>
    <w:rsid w:val="00030D08"/>
    <w:rsid w:val="00030E00"/>
    <w:rsid w:val="00030F05"/>
    <w:rsid w:val="000312AD"/>
    <w:rsid w:val="00031CB6"/>
    <w:rsid w:val="00031F91"/>
    <w:rsid w:val="00032E29"/>
    <w:rsid w:val="00032FC5"/>
    <w:rsid w:val="0003334F"/>
    <w:rsid w:val="0003386B"/>
    <w:rsid w:val="00034062"/>
    <w:rsid w:val="000345C6"/>
    <w:rsid w:val="0003619F"/>
    <w:rsid w:val="00037151"/>
    <w:rsid w:val="00037D03"/>
    <w:rsid w:val="00040AC4"/>
    <w:rsid w:val="00040E94"/>
    <w:rsid w:val="00043138"/>
    <w:rsid w:val="0004542A"/>
    <w:rsid w:val="00045D45"/>
    <w:rsid w:val="00046413"/>
    <w:rsid w:val="000477A9"/>
    <w:rsid w:val="0005026C"/>
    <w:rsid w:val="0005045A"/>
    <w:rsid w:val="00050D13"/>
    <w:rsid w:val="00051206"/>
    <w:rsid w:val="00051C1E"/>
    <w:rsid w:val="00051F1E"/>
    <w:rsid w:val="0005299C"/>
    <w:rsid w:val="0005361B"/>
    <w:rsid w:val="000539F9"/>
    <w:rsid w:val="00054C27"/>
    <w:rsid w:val="00055EC3"/>
    <w:rsid w:val="000563CE"/>
    <w:rsid w:val="00057032"/>
    <w:rsid w:val="0005727F"/>
    <w:rsid w:val="000601DB"/>
    <w:rsid w:val="0006020A"/>
    <w:rsid w:val="0006165D"/>
    <w:rsid w:val="000627CC"/>
    <w:rsid w:val="00063213"/>
    <w:rsid w:val="00063F1A"/>
    <w:rsid w:val="000659B6"/>
    <w:rsid w:val="00066721"/>
    <w:rsid w:val="00066A7B"/>
    <w:rsid w:val="000705AB"/>
    <w:rsid w:val="0007119B"/>
    <w:rsid w:val="00072527"/>
    <w:rsid w:val="0007307B"/>
    <w:rsid w:val="000730C5"/>
    <w:rsid w:val="0007401D"/>
    <w:rsid w:val="00075797"/>
    <w:rsid w:val="00075B96"/>
    <w:rsid w:val="00077843"/>
    <w:rsid w:val="00080443"/>
    <w:rsid w:val="000815E6"/>
    <w:rsid w:val="0008196A"/>
    <w:rsid w:val="00081CF9"/>
    <w:rsid w:val="00084ABA"/>
    <w:rsid w:val="00085667"/>
    <w:rsid w:val="000865E8"/>
    <w:rsid w:val="00086C8C"/>
    <w:rsid w:val="00090B6D"/>
    <w:rsid w:val="0009133A"/>
    <w:rsid w:val="000915ED"/>
    <w:rsid w:val="00091E3D"/>
    <w:rsid w:val="0009209D"/>
    <w:rsid w:val="00093930"/>
    <w:rsid w:val="000969BD"/>
    <w:rsid w:val="000969BF"/>
    <w:rsid w:val="00096B29"/>
    <w:rsid w:val="00097C7B"/>
    <w:rsid w:val="000A0C22"/>
    <w:rsid w:val="000A10C0"/>
    <w:rsid w:val="000A2D26"/>
    <w:rsid w:val="000A3C43"/>
    <w:rsid w:val="000A4A51"/>
    <w:rsid w:val="000A4C55"/>
    <w:rsid w:val="000A4E00"/>
    <w:rsid w:val="000A5970"/>
    <w:rsid w:val="000A5B9C"/>
    <w:rsid w:val="000A5D2B"/>
    <w:rsid w:val="000A61B6"/>
    <w:rsid w:val="000A6E1E"/>
    <w:rsid w:val="000B0C99"/>
    <w:rsid w:val="000B1302"/>
    <w:rsid w:val="000B262D"/>
    <w:rsid w:val="000B48E1"/>
    <w:rsid w:val="000B5DE3"/>
    <w:rsid w:val="000B6DF2"/>
    <w:rsid w:val="000B728A"/>
    <w:rsid w:val="000B733D"/>
    <w:rsid w:val="000C02A1"/>
    <w:rsid w:val="000C0966"/>
    <w:rsid w:val="000C0C31"/>
    <w:rsid w:val="000C0D9B"/>
    <w:rsid w:val="000C1FF1"/>
    <w:rsid w:val="000C230C"/>
    <w:rsid w:val="000C27FA"/>
    <w:rsid w:val="000C69A9"/>
    <w:rsid w:val="000C7445"/>
    <w:rsid w:val="000D1470"/>
    <w:rsid w:val="000D3B56"/>
    <w:rsid w:val="000D3BC1"/>
    <w:rsid w:val="000D6F21"/>
    <w:rsid w:val="000D71D9"/>
    <w:rsid w:val="000D76BF"/>
    <w:rsid w:val="000D76E0"/>
    <w:rsid w:val="000D7E8B"/>
    <w:rsid w:val="000E0855"/>
    <w:rsid w:val="000E1733"/>
    <w:rsid w:val="000E20B7"/>
    <w:rsid w:val="000E25D5"/>
    <w:rsid w:val="000E4372"/>
    <w:rsid w:val="000E4449"/>
    <w:rsid w:val="000E55BD"/>
    <w:rsid w:val="000E5C60"/>
    <w:rsid w:val="000E6097"/>
    <w:rsid w:val="000E6133"/>
    <w:rsid w:val="000E7990"/>
    <w:rsid w:val="000F1CEF"/>
    <w:rsid w:val="000F2270"/>
    <w:rsid w:val="000F2673"/>
    <w:rsid w:val="000F2C33"/>
    <w:rsid w:val="000F2F5C"/>
    <w:rsid w:val="000F71EF"/>
    <w:rsid w:val="001005FA"/>
    <w:rsid w:val="00100C21"/>
    <w:rsid w:val="00104B5D"/>
    <w:rsid w:val="00105727"/>
    <w:rsid w:val="00105C79"/>
    <w:rsid w:val="001067F6"/>
    <w:rsid w:val="00106A3E"/>
    <w:rsid w:val="00106FF5"/>
    <w:rsid w:val="00110C10"/>
    <w:rsid w:val="0011143E"/>
    <w:rsid w:val="00111444"/>
    <w:rsid w:val="00111FCE"/>
    <w:rsid w:val="001124DE"/>
    <w:rsid w:val="0011298F"/>
    <w:rsid w:val="001133F7"/>
    <w:rsid w:val="00113AC5"/>
    <w:rsid w:val="0011590F"/>
    <w:rsid w:val="00116707"/>
    <w:rsid w:val="0011686F"/>
    <w:rsid w:val="001201C3"/>
    <w:rsid w:val="001229FE"/>
    <w:rsid w:val="00122B36"/>
    <w:rsid w:val="00122C10"/>
    <w:rsid w:val="0012489B"/>
    <w:rsid w:val="00124F3E"/>
    <w:rsid w:val="00125340"/>
    <w:rsid w:val="00126DF9"/>
    <w:rsid w:val="001274F1"/>
    <w:rsid w:val="00127DCF"/>
    <w:rsid w:val="00127FEE"/>
    <w:rsid w:val="00130017"/>
    <w:rsid w:val="00130F91"/>
    <w:rsid w:val="00131F7D"/>
    <w:rsid w:val="001327DE"/>
    <w:rsid w:val="001352C6"/>
    <w:rsid w:val="00135EAC"/>
    <w:rsid w:val="001373E2"/>
    <w:rsid w:val="00137424"/>
    <w:rsid w:val="0014130B"/>
    <w:rsid w:val="00141AD9"/>
    <w:rsid w:val="00143BAB"/>
    <w:rsid w:val="00143E2A"/>
    <w:rsid w:val="0014414D"/>
    <w:rsid w:val="001448E9"/>
    <w:rsid w:val="001458E0"/>
    <w:rsid w:val="001465E9"/>
    <w:rsid w:val="0014773A"/>
    <w:rsid w:val="00147A08"/>
    <w:rsid w:val="001525EB"/>
    <w:rsid w:val="001527C7"/>
    <w:rsid w:val="00152903"/>
    <w:rsid w:val="00154882"/>
    <w:rsid w:val="00154A0C"/>
    <w:rsid w:val="0015614F"/>
    <w:rsid w:val="001577C2"/>
    <w:rsid w:val="00160CFD"/>
    <w:rsid w:val="0016161A"/>
    <w:rsid w:val="0016292D"/>
    <w:rsid w:val="0016339D"/>
    <w:rsid w:val="001633C4"/>
    <w:rsid w:val="00163A45"/>
    <w:rsid w:val="00164B41"/>
    <w:rsid w:val="00164D4E"/>
    <w:rsid w:val="001658E7"/>
    <w:rsid w:val="0016592B"/>
    <w:rsid w:val="00170417"/>
    <w:rsid w:val="00171591"/>
    <w:rsid w:val="00172075"/>
    <w:rsid w:val="0017275C"/>
    <w:rsid w:val="0017370A"/>
    <w:rsid w:val="00173981"/>
    <w:rsid w:val="0017581F"/>
    <w:rsid w:val="00175B8A"/>
    <w:rsid w:val="0017719D"/>
    <w:rsid w:val="0018088E"/>
    <w:rsid w:val="00180D85"/>
    <w:rsid w:val="001812E1"/>
    <w:rsid w:val="001813C2"/>
    <w:rsid w:val="001825E6"/>
    <w:rsid w:val="00182CC0"/>
    <w:rsid w:val="00182F48"/>
    <w:rsid w:val="001834DA"/>
    <w:rsid w:val="00183F72"/>
    <w:rsid w:val="00184364"/>
    <w:rsid w:val="00184E8A"/>
    <w:rsid w:val="0018536C"/>
    <w:rsid w:val="00185AD5"/>
    <w:rsid w:val="001875B7"/>
    <w:rsid w:val="00187CB3"/>
    <w:rsid w:val="001908E6"/>
    <w:rsid w:val="00191C46"/>
    <w:rsid w:val="00192E58"/>
    <w:rsid w:val="001932D5"/>
    <w:rsid w:val="001955F9"/>
    <w:rsid w:val="00195C59"/>
    <w:rsid w:val="00197618"/>
    <w:rsid w:val="001976E3"/>
    <w:rsid w:val="00197E31"/>
    <w:rsid w:val="001A07D6"/>
    <w:rsid w:val="001A3A4C"/>
    <w:rsid w:val="001A5880"/>
    <w:rsid w:val="001A58D8"/>
    <w:rsid w:val="001A59C3"/>
    <w:rsid w:val="001A60E4"/>
    <w:rsid w:val="001B07D6"/>
    <w:rsid w:val="001B1313"/>
    <w:rsid w:val="001B1A48"/>
    <w:rsid w:val="001B52A7"/>
    <w:rsid w:val="001B56C2"/>
    <w:rsid w:val="001B58AA"/>
    <w:rsid w:val="001B641C"/>
    <w:rsid w:val="001B7E48"/>
    <w:rsid w:val="001C17CE"/>
    <w:rsid w:val="001C26E5"/>
    <w:rsid w:val="001C2A30"/>
    <w:rsid w:val="001C3459"/>
    <w:rsid w:val="001C36CA"/>
    <w:rsid w:val="001C3DEF"/>
    <w:rsid w:val="001C3F87"/>
    <w:rsid w:val="001C44D1"/>
    <w:rsid w:val="001C5028"/>
    <w:rsid w:val="001C5553"/>
    <w:rsid w:val="001C6AEE"/>
    <w:rsid w:val="001C6C1B"/>
    <w:rsid w:val="001C7630"/>
    <w:rsid w:val="001C7811"/>
    <w:rsid w:val="001D109F"/>
    <w:rsid w:val="001D1326"/>
    <w:rsid w:val="001D3A6F"/>
    <w:rsid w:val="001D46AD"/>
    <w:rsid w:val="001D5E23"/>
    <w:rsid w:val="001D6088"/>
    <w:rsid w:val="001D6D15"/>
    <w:rsid w:val="001E02C5"/>
    <w:rsid w:val="001E0789"/>
    <w:rsid w:val="001E087D"/>
    <w:rsid w:val="001E0E09"/>
    <w:rsid w:val="001E1168"/>
    <w:rsid w:val="001E1F4E"/>
    <w:rsid w:val="001F0098"/>
    <w:rsid w:val="001F31E3"/>
    <w:rsid w:val="001F3A7F"/>
    <w:rsid w:val="001F3E30"/>
    <w:rsid w:val="001F437A"/>
    <w:rsid w:val="001F4864"/>
    <w:rsid w:val="001F49A4"/>
    <w:rsid w:val="001F515D"/>
    <w:rsid w:val="001F5A7F"/>
    <w:rsid w:val="001F722A"/>
    <w:rsid w:val="001F7558"/>
    <w:rsid w:val="001F76F8"/>
    <w:rsid w:val="001F79E5"/>
    <w:rsid w:val="002003CF"/>
    <w:rsid w:val="002013CE"/>
    <w:rsid w:val="00201A24"/>
    <w:rsid w:val="00201AA1"/>
    <w:rsid w:val="002029C9"/>
    <w:rsid w:val="0020494D"/>
    <w:rsid w:val="00205082"/>
    <w:rsid w:val="0020541F"/>
    <w:rsid w:val="00205B57"/>
    <w:rsid w:val="00206C03"/>
    <w:rsid w:val="00206F84"/>
    <w:rsid w:val="0020740A"/>
    <w:rsid w:val="002074C0"/>
    <w:rsid w:val="0021295D"/>
    <w:rsid w:val="00214CB6"/>
    <w:rsid w:val="002157E0"/>
    <w:rsid w:val="00215EDA"/>
    <w:rsid w:val="00221F1C"/>
    <w:rsid w:val="0022334F"/>
    <w:rsid w:val="0022477C"/>
    <w:rsid w:val="00224886"/>
    <w:rsid w:val="00224A73"/>
    <w:rsid w:val="00224AA2"/>
    <w:rsid w:val="00225571"/>
    <w:rsid w:val="002259B3"/>
    <w:rsid w:val="00226819"/>
    <w:rsid w:val="00226B64"/>
    <w:rsid w:val="00226CF6"/>
    <w:rsid w:val="0022727E"/>
    <w:rsid w:val="0022730F"/>
    <w:rsid w:val="00231F9E"/>
    <w:rsid w:val="00233101"/>
    <w:rsid w:val="0023326E"/>
    <w:rsid w:val="00233817"/>
    <w:rsid w:val="00234088"/>
    <w:rsid w:val="002346DD"/>
    <w:rsid w:val="002365AE"/>
    <w:rsid w:val="002367FF"/>
    <w:rsid w:val="00236E0A"/>
    <w:rsid w:val="00237F56"/>
    <w:rsid w:val="00240CE9"/>
    <w:rsid w:val="0024152F"/>
    <w:rsid w:val="0024338C"/>
    <w:rsid w:val="00243EB4"/>
    <w:rsid w:val="00244BCF"/>
    <w:rsid w:val="002452F3"/>
    <w:rsid w:val="00246089"/>
    <w:rsid w:val="00246098"/>
    <w:rsid w:val="00246702"/>
    <w:rsid w:val="00246850"/>
    <w:rsid w:val="002474AE"/>
    <w:rsid w:val="00247C59"/>
    <w:rsid w:val="00247F2E"/>
    <w:rsid w:val="002500D2"/>
    <w:rsid w:val="00250393"/>
    <w:rsid w:val="00250ADC"/>
    <w:rsid w:val="00250CE2"/>
    <w:rsid w:val="00252042"/>
    <w:rsid w:val="00252318"/>
    <w:rsid w:val="002525D8"/>
    <w:rsid w:val="0025435F"/>
    <w:rsid w:val="0025494E"/>
    <w:rsid w:val="002563C6"/>
    <w:rsid w:val="0025721D"/>
    <w:rsid w:val="00257553"/>
    <w:rsid w:val="0026056F"/>
    <w:rsid w:val="00260A7B"/>
    <w:rsid w:val="00262128"/>
    <w:rsid w:val="00262244"/>
    <w:rsid w:val="0026586B"/>
    <w:rsid w:val="0027165D"/>
    <w:rsid w:val="00273CEB"/>
    <w:rsid w:val="00274539"/>
    <w:rsid w:val="00274E56"/>
    <w:rsid w:val="00274E67"/>
    <w:rsid w:val="0027515E"/>
    <w:rsid w:val="00277739"/>
    <w:rsid w:val="00277F38"/>
    <w:rsid w:val="002809CC"/>
    <w:rsid w:val="002813D1"/>
    <w:rsid w:val="0028143F"/>
    <w:rsid w:val="002814DA"/>
    <w:rsid w:val="00281C89"/>
    <w:rsid w:val="0028282F"/>
    <w:rsid w:val="00283393"/>
    <w:rsid w:val="00283D79"/>
    <w:rsid w:val="0028491F"/>
    <w:rsid w:val="00284C17"/>
    <w:rsid w:val="00287BD7"/>
    <w:rsid w:val="002904EF"/>
    <w:rsid w:val="00295766"/>
    <w:rsid w:val="00296C52"/>
    <w:rsid w:val="00297675"/>
    <w:rsid w:val="002979FF"/>
    <w:rsid w:val="00297F19"/>
    <w:rsid w:val="00297FC5"/>
    <w:rsid w:val="002A030A"/>
    <w:rsid w:val="002A0417"/>
    <w:rsid w:val="002A1371"/>
    <w:rsid w:val="002A16D8"/>
    <w:rsid w:val="002A1BC8"/>
    <w:rsid w:val="002A1D5D"/>
    <w:rsid w:val="002A3031"/>
    <w:rsid w:val="002A346A"/>
    <w:rsid w:val="002A3889"/>
    <w:rsid w:val="002A3EF2"/>
    <w:rsid w:val="002A446F"/>
    <w:rsid w:val="002A5C2C"/>
    <w:rsid w:val="002A6919"/>
    <w:rsid w:val="002A744D"/>
    <w:rsid w:val="002A77AD"/>
    <w:rsid w:val="002A7F71"/>
    <w:rsid w:val="002B0DED"/>
    <w:rsid w:val="002B19A2"/>
    <w:rsid w:val="002B1A28"/>
    <w:rsid w:val="002B1A3F"/>
    <w:rsid w:val="002B1EEA"/>
    <w:rsid w:val="002B381A"/>
    <w:rsid w:val="002B4208"/>
    <w:rsid w:val="002B4FCC"/>
    <w:rsid w:val="002B57E5"/>
    <w:rsid w:val="002B7CFD"/>
    <w:rsid w:val="002C0AB6"/>
    <w:rsid w:val="002C0AF7"/>
    <w:rsid w:val="002C1B74"/>
    <w:rsid w:val="002C43A2"/>
    <w:rsid w:val="002C523B"/>
    <w:rsid w:val="002C52FE"/>
    <w:rsid w:val="002C5C0B"/>
    <w:rsid w:val="002C7514"/>
    <w:rsid w:val="002D06F3"/>
    <w:rsid w:val="002D0E31"/>
    <w:rsid w:val="002D3600"/>
    <w:rsid w:val="002D5A14"/>
    <w:rsid w:val="002D6D78"/>
    <w:rsid w:val="002D73DD"/>
    <w:rsid w:val="002D7FB8"/>
    <w:rsid w:val="002E1D6B"/>
    <w:rsid w:val="002E27C1"/>
    <w:rsid w:val="002E3512"/>
    <w:rsid w:val="002E491C"/>
    <w:rsid w:val="002E4DDC"/>
    <w:rsid w:val="002E69F7"/>
    <w:rsid w:val="002E7322"/>
    <w:rsid w:val="002F1551"/>
    <w:rsid w:val="002F1877"/>
    <w:rsid w:val="002F1DE0"/>
    <w:rsid w:val="002F2C16"/>
    <w:rsid w:val="002F3416"/>
    <w:rsid w:val="002F3575"/>
    <w:rsid w:val="002F3C03"/>
    <w:rsid w:val="002F4BFC"/>
    <w:rsid w:val="002F538F"/>
    <w:rsid w:val="002F6DB5"/>
    <w:rsid w:val="00302480"/>
    <w:rsid w:val="00302B1C"/>
    <w:rsid w:val="00304CA2"/>
    <w:rsid w:val="00307479"/>
    <w:rsid w:val="00307BC9"/>
    <w:rsid w:val="00310387"/>
    <w:rsid w:val="0031319A"/>
    <w:rsid w:val="0031510E"/>
    <w:rsid w:val="0031566E"/>
    <w:rsid w:val="003165E6"/>
    <w:rsid w:val="00317B07"/>
    <w:rsid w:val="00322244"/>
    <w:rsid w:val="003230A7"/>
    <w:rsid w:val="003233ED"/>
    <w:rsid w:val="00323E8F"/>
    <w:rsid w:val="00324D9F"/>
    <w:rsid w:val="00326452"/>
    <w:rsid w:val="00327948"/>
    <w:rsid w:val="0033000F"/>
    <w:rsid w:val="00332011"/>
    <w:rsid w:val="00332518"/>
    <w:rsid w:val="003329E7"/>
    <w:rsid w:val="003332ED"/>
    <w:rsid w:val="003332F7"/>
    <w:rsid w:val="00333B2E"/>
    <w:rsid w:val="003368DC"/>
    <w:rsid w:val="00336C04"/>
    <w:rsid w:val="003424BB"/>
    <w:rsid w:val="003429D6"/>
    <w:rsid w:val="00342A37"/>
    <w:rsid w:val="00343192"/>
    <w:rsid w:val="00343CD2"/>
    <w:rsid w:val="0034402F"/>
    <w:rsid w:val="00345196"/>
    <w:rsid w:val="00345927"/>
    <w:rsid w:val="00347076"/>
    <w:rsid w:val="0034750A"/>
    <w:rsid w:val="00350494"/>
    <w:rsid w:val="00350584"/>
    <w:rsid w:val="00351857"/>
    <w:rsid w:val="00352D74"/>
    <w:rsid w:val="0035323D"/>
    <w:rsid w:val="00353AD9"/>
    <w:rsid w:val="00353D94"/>
    <w:rsid w:val="00355369"/>
    <w:rsid w:val="00355505"/>
    <w:rsid w:val="0035554B"/>
    <w:rsid w:val="00357A39"/>
    <w:rsid w:val="003610E1"/>
    <w:rsid w:val="00362A08"/>
    <w:rsid w:val="00363A49"/>
    <w:rsid w:val="00364882"/>
    <w:rsid w:val="00365638"/>
    <w:rsid w:val="003671BE"/>
    <w:rsid w:val="00367D16"/>
    <w:rsid w:val="00367F0C"/>
    <w:rsid w:val="003708B9"/>
    <w:rsid w:val="00371BCF"/>
    <w:rsid w:val="00372485"/>
    <w:rsid w:val="00373200"/>
    <w:rsid w:val="00373C75"/>
    <w:rsid w:val="00374F9C"/>
    <w:rsid w:val="003752F0"/>
    <w:rsid w:val="00375596"/>
    <w:rsid w:val="0037586E"/>
    <w:rsid w:val="00375EF5"/>
    <w:rsid w:val="003767A5"/>
    <w:rsid w:val="0037759C"/>
    <w:rsid w:val="00377D1C"/>
    <w:rsid w:val="0038015D"/>
    <w:rsid w:val="0038022B"/>
    <w:rsid w:val="003850F9"/>
    <w:rsid w:val="00385254"/>
    <w:rsid w:val="003865A5"/>
    <w:rsid w:val="003878BC"/>
    <w:rsid w:val="003878C0"/>
    <w:rsid w:val="00391DCE"/>
    <w:rsid w:val="00394828"/>
    <w:rsid w:val="003949CD"/>
    <w:rsid w:val="00394D26"/>
    <w:rsid w:val="00396037"/>
    <w:rsid w:val="003972AB"/>
    <w:rsid w:val="003A08AB"/>
    <w:rsid w:val="003A18E8"/>
    <w:rsid w:val="003A1A57"/>
    <w:rsid w:val="003A31DC"/>
    <w:rsid w:val="003A3AAA"/>
    <w:rsid w:val="003A46B9"/>
    <w:rsid w:val="003A51CE"/>
    <w:rsid w:val="003A5F5B"/>
    <w:rsid w:val="003A789A"/>
    <w:rsid w:val="003B09B3"/>
    <w:rsid w:val="003B20A6"/>
    <w:rsid w:val="003B30ED"/>
    <w:rsid w:val="003B330C"/>
    <w:rsid w:val="003B4218"/>
    <w:rsid w:val="003B65DD"/>
    <w:rsid w:val="003B7690"/>
    <w:rsid w:val="003B7F5B"/>
    <w:rsid w:val="003C0090"/>
    <w:rsid w:val="003C07CF"/>
    <w:rsid w:val="003C305D"/>
    <w:rsid w:val="003C3E6A"/>
    <w:rsid w:val="003C4161"/>
    <w:rsid w:val="003C58F8"/>
    <w:rsid w:val="003C5C37"/>
    <w:rsid w:val="003C6547"/>
    <w:rsid w:val="003C77E0"/>
    <w:rsid w:val="003D17D7"/>
    <w:rsid w:val="003D2678"/>
    <w:rsid w:val="003D2871"/>
    <w:rsid w:val="003D2DB1"/>
    <w:rsid w:val="003D4192"/>
    <w:rsid w:val="003D430C"/>
    <w:rsid w:val="003D5A10"/>
    <w:rsid w:val="003D71A3"/>
    <w:rsid w:val="003D7ED1"/>
    <w:rsid w:val="003E0B8E"/>
    <w:rsid w:val="003E2F62"/>
    <w:rsid w:val="003E48D2"/>
    <w:rsid w:val="003E68D1"/>
    <w:rsid w:val="003E6ACB"/>
    <w:rsid w:val="003E75F0"/>
    <w:rsid w:val="003E76BB"/>
    <w:rsid w:val="003F16F6"/>
    <w:rsid w:val="003F31F5"/>
    <w:rsid w:val="003F4DC7"/>
    <w:rsid w:val="003F5235"/>
    <w:rsid w:val="003F52CD"/>
    <w:rsid w:val="003F7FCC"/>
    <w:rsid w:val="0040197A"/>
    <w:rsid w:val="00401A93"/>
    <w:rsid w:val="00402783"/>
    <w:rsid w:val="004027E4"/>
    <w:rsid w:val="00402AB5"/>
    <w:rsid w:val="00405770"/>
    <w:rsid w:val="004071DE"/>
    <w:rsid w:val="00407630"/>
    <w:rsid w:val="0041071D"/>
    <w:rsid w:val="00411F9E"/>
    <w:rsid w:val="0041284B"/>
    <w:rsid w:val="004140C1"/>
    <w:rsid w:val="00414AFC"/>
    <w:rsid w:val="00414E10"/>
    <w:rsid w:val="004151A7"/>
    <w:rsid w:val="00415310"/>
    <w:rsid w:val="00415771"/>
    <w:rsid w:val="00415D3F"/>
    <w:rsid w:val="004164C6"/>
    <w:rsid w:val="00417D10"/>
    <w:rsid w:val="004203D5"/>
    <w:rsid w:val="00420576"/>
    <w:rsid w:val="00421709"/>
    <w:rsid w:val="00423763"/>
    <w:rsid w:val="00423A83"/>
    <w:rsid w:val="00424E68"/>
    <w:rsid w:val="00426845"/>
    <w:rsid w:val="00426B65"/>
    <w:rsid w:val="0042762F"/>
    <w:rsid w:val="00427DC7"/>
    <w:rsid w:val="00427DFB"/>
    <w:rsid w:val="004303FB"/>
    <w:rsid w:val="00430557"/>
    <w:rsid w:val="004309DB"/>
    <w:rsid w:val="00431613"/>
    <w:rsid w:val="00432388"/>
    <w:rsid w:val="0043297A"/>
    <w:rsid w:val="00432EB2"/>
    <w:rsid w:val="0043306B"/>
    <w:rsid w:val="0043336A"/>
    <w:rsid w:val="00433D95"/>
    <w:rsid w:val="004353AC"/>
    <w:rsid w:val="0043714F"/>
    <w:rsid w:val="00440BF8"/>
    <w:rsid w:val="0044286E"/>
    <w:rsid w:val="0044389F"/>
    <w:rsid w:val="004438B5"/>
    <w:rsid w:val="0044403D"/>
    <w:rsid w:val="00444242"/>
    <w:rsid w:val="004444EF"/>
    <w:rsid w:val="00446838"/>
    <w:rsid w:val="00450EE0"/>
    <w:rsid w:val="004514F9"/>
    <w:rsid w:val="00452061"/>
    <w:rsid w:val="004523CF"/>
    <w:rsid w:val="00453E7D"/>
    <w:rsid w:val="00453EF4"/>
    <w:rsid w:val="00454596"/>
    <w:rsid w:val="0045605D"/>
    <w:rsid w:val="0045639C"/>
    <w:rsid w:val="00456E94"/>
    <w:rsid w:val="004570AF"/>
    <w:rsid w:val="0045771A"/>
    <w:rsid w:val="00460B0C"/>
    <w:rsid w:val="00462CE5"/>
    <w:rsid w:val="0046306D"/>
    <w:rsid w:val="00463898"/>
    <w:rsid w:val="00463E74"/>
    <w:rsid w:val="00464346"/>
    <w:rsid w:val="004653D5"/>
    <w:rsid w:val="0046618B"/>
    <w:rsid w:val="00467531"/>
    <w:rsid w:val="004712A2"/>
    <w:rsid w:val="00474A25"/>
    <w:rsid w:val="00474AB3"/>
    <w:rsid w:val="00475F0E"/>
    <w:rsid w:val="0047766C"/>
    <w:rsid w:val="00480AA3"/>
    <w:rsid w:val="00480E87"/>
    <w:rsid w:val="004812B9"/>
    <w:rsid w:val="00481695"/>
    <w:rsid w:val="004849BF"/>
    <w:rsid w:val="00484E42"/>
    <w:rsid w:val="00486E73"/>
    <w:rsid w:val="00487401"/>
    <w:rsid w:val="00490185"/>
    <w:rsid w:val="00492C8B"/>
    <w:rsid w:val="004933CE"/>
    <w:rsid w:val="004943F4"/>
    <w:rsid w:val="004944CC"/>
    <w:rsid w:val="00494F0F"/>
    <w:rsid w:val="00495A7B"/>
    <w:rsid w:val="00496A81"/>
    <w:rsid w:val="004A0125"/>
    <w:rsid w:val="004A185D"/>
    <w:rsid w:val="004A372E"/>
    <w:rsid w:val="004A39FE"/>
    <w:rsid w:val="004A3BE8"/>
    <w:rsid w:val="004A3FA8"/>
    <w:rsid w:val="004A4E54"/>
    <w:rsid w:val="004A56BB"/>
    <w:rsid w:val="004A574A"/>
    <w:rsid w:val="004A5CC7"/>
    <w:rsid w:val="004B1751"/>
    <w:rsid w:val="004B1E62"/>
    <w:rsid w:val="004B221B"/>
    <w:rsid w:val="004B24F3"/>
    <w:rsid w:val="004B26D7"/>
    <w:rsid w:val="004B282C"/>
    <w:rsid w:val="004B4D40"/>
    <w:rsid w:val="004B586C"/>
    <w:rsid w:val="004C0253"/>
    <w:rsid w:val="004C0D5E"/>
    <w:rsid w:val="004C0E0C"/>
    <w:rsid w:val="004C134F"/>
    <w:rsid w:val="004C20ED"/>
    <w:rsid w:val="004C6E23"/>
    <w:rsid w:val="004C781E"/>
    <w:rsid w:val="004D0530"/>
    <w:rsid w:val="004D0870"/>
    <w:rsid w:val="004D1788"/>
    <w:rsid w:val="004D1A3B"/>
    <w:rsid w:val="004D33AD"/>
    <w:rsid w:val="004D3507"/>
    <w:rsid w:val="004D411C"/>
    <w:rsid w:val="004D42BA"/>
    <w:rsid w:val="004D4637"/>
    <w:rsid w:val="004D56FF"/>
    <w:rsid w:val="004D5C91"/>
    <w:rsid w:val="004D6F2F"/>
    <w:rsid w:val="004D7DDB"/>
    <w:rsid w:val="004E0045"/>
    <w:rsid w:val="004E0BF5"/>
    <w:rsid w:val="004E159D"/>
    <w:rsid w:val="004E1D35"/>
    <w:rsid w:val="004E39D3"/>
    <w:rsid w:val="004E4026"/>
    <w:rsid w:val="004E40AA"/>
    <w:rsid w:val="004E4BE5"/>
    <w:rsid w:val="004E508A"/>
    <w:rsid w:val="004E52B9"/>
    <w:rsid w:val="004E59C4"/>
    <w:rsid w:val="004E60DE"/>
    <w:rsid w:val="004E616D"/>
    <w:rsid w:val="004E6AD6"/>
    <w:rsid w:val="004E6DE2"/>
    <w:rsid w:val="004E7483"/>
    <w:rsid w:val="004F0EA9"/>
    <w:rsid w:val="004F1BDE"/>
    <w:rsid w:val="004F1DB9"/>
    <w:rsid w:val="004F2742"/>
    <w:rsid w:val="004F4435"/>
    <w:rsid w:val="004F63A4"/>
    <w:rsid w:val="004F7A34"/>
    <w:rsid w:val="004F7F44"/>
    <w:rsid w:val="00500350"/>
    <w:rsid w:val="00500DA5"/>
    <w:rsid w:val="0050161B"/>
    <w:rsid w:val="00502C89"/>
    <w:rsid w:val="005030AB"/>
    <w:rsid w:val="0050376B"/>
    <w:rsid w:val="005037B4"/>
    <w:rsid w:val="00504389"/>
    <w:rsid w:val="00505634"/>
    <w:rsid w:val="005079BF"/>
    <w:rsid w:val="00510258"/>
    <w:rsid w:val="00510B39"/>
    <w:rsid w:val="00510DCD"/>
    <w:rsid w:val="0051141B"/>
    <w:rsid w:val="00511DE5"/>
    <w:rsid w:val="0051290D"/>
    <w:rsid w:val="00514006"/>
    <w:rsid w:val="0051762F"/>
    <w:rsid w:val="00521544"/>
    <w:rsid w:val="005215B5"/>
    <w:rsid w:val="00522669"/>
    <w:rsid w:val="00523B5A"/>
    <w:rsid w:val="00524900"/>
    <w:rsid w:val="00524DBD"/>
    <w:rsid w:val="005260E2"/>
    <w:rsid w:val="005306FA"/>
    <w:rsid w:val="00531B9A"/>
    <w:rsid w:val="00531D15"/>
    <w:rsid w:val="005324AC"/>
    <w:rsid w:val="00533298"/>
    <w:rsid w:val="00534C3E"/>
    <w:rsid w:val="00535184"/>
    <w:rsid w:val="00535A60"/>
    <w:rsid w:val="00535BF6"/>
    <w:rsid w:val="00536B34"/>
    <w:rsid w:val="005376AC"/>
    <w:rsid w:val="005376B4"/>
    <w:rsid w:val="0054057B"/>
    <w:rsid w:val="00542377"/>
    <w:rsid w:val="00542B99"/>
    <w:rsid w:val="005435A1"/>
    <w:rsid w:val="00544378"/>
    <w:rsid w:val="0054493F"/>
    <w:rsid w:val="00544FD1"/>
    <w:rsid w:val="005456FA"/>
    <w:rsid w:val="005466CC"/>
    <w:rsid w:val="00546BFE"/>
    <w:rsid w:val="00546E39"/>
    <w:rsid w:val="00551055"/>
    <w:rsid w:val="00551ACB"/>
    <w:rsid w:val="00552B26"/>
    <w:rsid w:val="0055350F"/>
    <w:rsid w:val="005541C5"/>
    <w:rsid w:val="00554BE4"/>
    <w:rsid w:val="00556620"/>
    <w:rsid w:val="005570E0"/>
    <w:rsid w:val="00557337"/>
    <w:rsid w:val="0056088B"/>
    <w:rsid w:val="00560A5C"/>
    <w:rsid w:val="00561814"/>
    <w:rsid w:val="0056191D"/>
    <w:rsid w:val="00561AFB"/>
    <w:rsid w:val="00561CE8"/>
    <w:rsid w:val="00562B35"/>
    <w:rsid w:val="00563EF1"/>
    <w:rsid w:val="00564B72"/>
    <w:rsid w:val="00565225"/>
    <w:rsid w:val="00565876"/>
    <w:rsid w:val="00565980"/>
    <w:rsid w:val="005662A7"/>
    <w:rsid w:val="00566711"/>
    <w:rsid w:val="00566AB4"/>
    <w:rsid w:val="00566B36"/>
    <w:rsid w:val="005700F6"/>
    <w:rsid w:val="0057020F"/>
    <w:rsid w:val="00572326"/>
    <w:rsid w:val="00572848"/>
    <w:rsid w:val="005730DD"/>
    <w:rsid w:val="00573FF0"/>
    <w:rsid w:val="00574B7F"/>
    <w:rsid w:val="00575AC5"/>
    <w:rsid w:val="0057605D"/>
    <w:rsid w:val="00576C1B"/>
    <w:rsid w:val="00581347"/>
    <w:rsid w:val="0058269F"/>
    <w:rsid w:val="00582812"/>
    <w:rsid w:val="00582C20"/>
    <w:rsid w:val="00583E87"/>
    <w:rsid w:val="005849F8"/>
    <w:rsid w:val="00585018"/>
    <w:rsid w:val="00587239"/>
    <w:rsid w:val="00587AEF"/>
    <w:rsid w:val="0059026E"/>
    <w:rsid w:val="005913D4"/>
    <w:rsid w:val="00592618"/>
    <w:rsid w:val="005938DF"/>
    <w:rsid w:val="00595350"/>
    <w:rsid w:val="00595A8F"/>
    <w:rsid w:val="0059754D"/>
    <w:rsid w:val="005979E7"/>
    <w:rsid w:val="00597AE8"/>
    <w:rsid w:val="005A099B"/>
    <w:rsid w:val="005A1402"/>
    <w:rsid w:val="005A1783"/>
    <w:rsid w:val="005A1A8D"/>
    <w:rsid w:val="005A2740"/>
    <w:rsid w:val="005A28B4"/>
    <w:rsid w:val="005A2D9C"/>
    <w:rsid w:val="005A3E4D"/>
    <w:rsid w:val="005A41D5"/>
    <w:rsid w:val="005A6636"/>
    <w:rsid w:val="005A6A11"/>
    <w:rsid w:val="005A6D58"/>
    <w:rsid w:val="005B0338"/>
    <w:rsid w:val="005B044A"/>
    <w:rsid w:val="005B16F3"/>
    <w:rsid w:val="005B298A"/>
    <w:rsid w:val="005B4238"/>
    <w:rsid w:val="005B5806"/>
    <w:rsid w:val="005B6C76"/>
    <w:rsid w:val="005B72A0"/>
    <w:rsid w:val="005B78AB"/>
    <w:rsid w:val="005B7AEA"/>
    <w:rsid w:val="005C02D8"/>
    <w:rsid w:val="005C04A7"/>
    <w:rsid w:val="005C1DB9"/>
    <w:rsid w:val="005C22DF"/>
    <w:rsid w:val="005C305A"/>
    <w:rsid w:val="005C4A9C"/>
    <w:rsid w:val="005C6AB8"/>
    <w:rsid w:val="005D0ED1"/>
    <w:rsid w:val="005D1B25"/>
    <w:rsid w:val="005D2502"/>
    <w:rsid w:val="005D3B83"/>
    <w:rsid w:val="005D49BF"/>
    <w:rsid w:val="005D4EE4"/>
    <w:rsid w:val="005D5F90"/>
    <w:rsid w:val="005D67E0"/>
    <w:rsid w:val="005D785E"/>
    <w:rsid w:val="005D79A6"/>
    <w:rsid w:val="005D7F60"/>
    <w:rsid w:val="005E0AC3"/>
    <w:rsid w:val="005E0D60"/>
    <w:rsid w:val="005E0F93"/>
    <w:rsid w:val="005E1336"/>
    <w:rsid w:val="005E1350"/>
    <w:rsid w:val="005E1633"/>
    <w:rsid w:val="005E16E4"/>
    <w:rsid w:val="005E17CA"/>
    <w:rsid w:val="005E1B44"/>
    <w:rsid w:val="005E23F5"/>
    <w:rsid w:val="005E257F"/>
    <w:rsid w:val="005E2941"/>
    <w:rsid w:val="005E2C3F"/>
    <w:rsid w:val="005E3ACD"/>
    <w:rsid w:val="005E49A6"/>
    <w:rsid w:val="005E4FAB"/>
    <w:rsid w:val="005E57E6"/>
    <w:rsid w:val="005E7A57"/>
    <w:rsid w:val="005F1240"/>
    <w:rsid w:val="005F24B0"/>
    <w:rsid w:val="005F2FFF"/>
    <w:rsid w:val="005F3F69"/>
    <w:rsid w:val="005F4285"/>
    <w:rsid w:val="005F4820"/>
    <w:rsid w:val="005F4AD5"/>
    <w:rsid w:val="005F6B79"/>
    <w:rsid w:val="005F72D7"/>
    <w:rsid w:val="005F73F9"/>
    <w:rsid w:val="005F793C"/>
    <w:rsid w:val="0060146C"/>
    <w:rsid w:val="00601E6A"/>
    <w:rsid w:val="0060309F"/>
    <w:rsid w:val="00605225"/>
    <w:rsid w:val="006052CF"/>
    <w:rsid w:val="0060689E"/>
    <w:rsid w:val="00606A21"/>
    <w:rsid w:val="00606BD0"/>
    <w:rsid w:val="00607B8D"/>
    <w:rsid w:val="006102CE"/>
    <w:rsid w:val="00611F5C"/>
    <w:rsid w:val="00614A5D"/>
    <w:rsid w:val="00616E09"/>
    <w:rsid w:val="00620D1D"/>
    <w:rsid w:val="00620F09"/>
    <w:rsid w:val="00621D36"/>
    <w:rsid w:val="0062285E"/>
    <w:rsid w:val="00622A5A"/>
    <w:rsid w:val="006235B9"/>
    <w:rsid w:val="00625326"/>
    <w:rsid w:val="006258BB"/>
    <w:rsid w:val="00625AB5"/>
    <w:rsid w:val="006266CC"/>
    <w:rsid w:val="00627875"/>
    <w:rsid w:val="00627D4E"/>
    <w:rsid w:val="00630F12"/>
    <w:rsid w:val="00631C73"/>
    <w:rsid w:val="00632024"/>
    <w:rsid w:val="006321EE"/>
    <w:rsid w:val="00632285"/>
    <w:rsid w:val="006324B7"/>
    <w:rsid w:val="00632DB0"/>
    <w:rsid w:val="00634478"/>
    <w:rsid w:val="00637C43"/>
    <w:rsid w:val="00641086"/>
    <w:rsid w:val="00643200"/>
    <w:rsid w:val="006435D8"/>
    <w:rsid w:val="006439C3"/>
    <w:rsid w:val="00643AF0"/>
    <w:rsid w:val="00643CB9"/>
    <w:rsid w:val="00644373"/>
    <w:rsid w:val="00645915"/>
    <w:rsid w:val="00646078"/>
    <w:rsid w:val="00646516"/>
    <w:rsid w:val="006519C3"/>
    <w:rsid w:val="0065228B"/>
    <w:rsid w:val="00652B30"/>
    <w:rsid w:val="00652F62"/>
    <w:rsid w:val="006538E7"/>
    <w:rsid w:val="00656345"/>
    <w:rsid w:val="00656DC6"/>
    <w:rsid w:val="006602E1"/>
    <w:rsid w:val="0066069B"/>
    <w:rsid w:val="00660C1C"/>
    <w:rsid w:val="00660E14"/>
    <w:rsid w:val="00662AAF"/>
    <w:rsid w:val="006630E6"/>
    <w:rsid w:val="00663DAE"/>
    <w:rsid w:val="00664110"/>
    <w:rsid w:val="0066467B"/>
    <w:rsid w:val="00664D17"/>
    <w:rsid w:val="00666520"/>
    <w:rsid w:val="0066697B"/>
    <w:rsid w:val="00666EF0"/>
    <w:rsid w:val="006671BA"/>
    <w:rsid w:val="00667A0E"/>
    <w:rsid w:val="00667C5B"/>
    <w:rsid w:val="0067031A"/>
    <w:rsid w:val="00670CBB"/>
    <w:rsid w:val="00675082"/>
    <w:rsid w:val="00676008"/>
    <w:rsid w:val="0067680C"/>
    <w:rsid w:val="00676CF6"/>
    <w:rsid w:val="006779A6"/>
    <w:rsid w:val="006808B4"/>
    <w:rsid w:val="00681AAE"/>
    <w:rsid w:val="00682CB9"/>
    <w:rsid w:val="00683547"/>
    <w:rsid w:val="00684148"/>
    <w:rsid w:val="00684911"/>
    <w:rsid w:val="00687543"/>
    <w:rsid w:val="0069091A"/>
    <w:rsid w:val="0069119E"/>
    <w:rsid w:val="00692CDE"/>
    <w:rsid w:val="00693073"/>
    <w:rsid w:val="00693555"/>
    <w:rsid w:val="00696C59"/>
    <w:rsid w:val="006977A1"/>
    <w:rsid w:val="006977FF"/>
    <w:rsid w:val="006979DD"/>
    <w:rsid w:val="006A01FA"/>
    <w:rsid w:val="006A0E9E"/>
    <w:rsid w:val="006A25C7"/>
    <w:rsid w:val="006A4AAD"/>
    <w:rsid w:val="006A65E3"/>
    <w:rsid w:val="006A6DA2"/>
    <w:rsid w:val="006A7AB2"/>
    <w:rsid w:val="006A7E8A"/>
    <w:rsid w:val="006B3575"/>
    <w:rsid w:val="006B35CB"/>
    <w:rsid w:val="006B4C4C"/>
    <w:rsid w:val="006B5717"/>
    <w:rsid w:val="006B5FA6"/>
    <w:rsid w:val="006B60A3"/>
    <w:rsid w:val="006B688B"/>
    <w:rsid w:val="006B6EFC"/>
    <w:rsid w:val="006B7023"/>
    <w:rsid w:val="006C0CEB"/>
    <w:rsid w:val="006C19E5"/>
    <w:rsid w:val="006C224F"/>
    <w:rsid w:val="006C2AB1"/>
    <w:rsid w:val="006C32DA"/>
    <w:rsid w:val="006C3B1E"/>
    <w:rsid w:val="006C3C33"/>
    <w:rsid w:val="006C47FD"/>
    <w:rsid w:val="006C4C45"/>
    <w:rsid w:val="006C659B"/>
    <w:rsid w:val="006C7C9A"/>
    <w:rsid w:val="006C7E77"/>
    <w:rsid w:val="006D08CC"/>
    <w:rsid w:val="006D0AFD"/>
    <w:rsid w:val="006D0BA0"/>
    <w:rsid w:val="006D0C71"/>
    <w:rsid w:val="006D2351"/>
    <w:rsid w:val="006D27CB"/>
    <w:rsid w:val="006D2F08"/>
    <w:rsid w:val="006D4548"/>
    <w:rsid w:val="006D5319"/>
    <w:rsid w:val="006D564F"/>
    <w:rsid w:val="006D6B51"/>
    <w:rsid w:val="006D73E9"/>
    <w:rsid w:val="006D7F8B"/>
    <w:rsid w:val="006E4064"/>
    <w:rsid w:val="006E4B1B"/>
    <w:rsid w:val="006E538D"/>
    <w:rsid w:val="006E5445"/>
    <w:rsid w:val="006E56B4"/>
    <w:rsid w:val="006E5FD5"/>
    <w:rsid w:val="006E7018"/>
    <w:rsid w:val="006E7D93"/>
    <w:rsid w:val="006F08E3"/>
    <w:rsid w:val="006F0994"/>
    <w:rsid w:val="006F0F12"/>
    <w:rsid w:val="006F1A61"/>
    <w:rsid w:val="006F40AA"/>
    <w:rsid w:val="006F4107"/>
    <w:rsid w:val="006F4939"/>
    <w:rsid w:val="006F66FD"/>
    <w:rsid w:val="006F7110"/>
    <w:rsid w:val="006F74FB"/>
    <w:rsid w:val="007000AC"/>
    <w:rsid w:val="007010A2"/>
    <w:rsid w:val="007029A3"/>
    <w:rsid w:val="00703FAD"/>
    <w:rsid w:val="00704AE4"/>
    <w:rsid w:val="00704F8E"/>
    <w:rsid w:val="00705E10"/>
    <w:rsid w:val="0070684A"/>
    <w:rsid w:val="00706E4E"/>
    <w:rsid w:val="0070791C"/>
    <w:rsid w:val="007122EA"/>
    <w:rsid w:val="00712959"/>
    <w:rsid w:val="00713606"/>
    <w:rsid w:val="0071383C"/>
    <w:rsid w:val="00713D4B"/>
    <w:rsid w:val="007141A7"/>
    <w:rsid w:val="00714671"/>
    <w:rsid w:val="007150B4"/>
    <w:rsid w:val="00715CA3"/>
    <w:rsid w:val="00715F03"/>
    <w:rsid w:val="007161BB"/>
    <w:rsid w:val="00716205"/>
    <w:rsid w:val="0071633D"/>
    <w:rsid w:val="00717444"/>
    <w:rsid w:val="0072008D"/>
    <w:rsid w:val="007217FF"/>
    <w:rsid w:val="00721B55"/>
    <w:rsid w:val="00722134"/>
    <w:rsid w:val="007221D0"/>
    <w:rsid w:val="00723494"/>
    <w:rsid w:val="007236BF"/>
    <w:rsid w:val="00724981"/>
    <w:rsid w:val="00724CDB"/>
    <w:rsid w:val="007258C7"/>
    <w:rsid w:val="0072693A"/>
    <w:rsid w:val="00726CE4"/>
    <w:rsid w:val="00726EBF"/>
    <w:rsid w:val="00727FFC"/>
    <w:rsid w:val="00730B97"/>
    <w:rsid w:val="0073111B"/>
    <w:rsid w:val="00732687"/>
    <w:rsid w:val="00732F36"/>
    <w:rsid w:val="007334C2"/>
    <w:rsid w:val="00734143"/>
    <w:rsid w:val="00734668"/>
    <w:rsid w:val="007348D4"/>
    <w:rsid w:val="007351B4"/>
    <w:rsid w:val="00735F86"/>
    <w:rsid w:val="007362DC"/>
    <w:rsid w:val="00736CAF"/>
    <w:rsid w:val="007401E7"/>
    <w:rsid w:val="00740AD1"/>
    <w:rsid w:val="00740D06"/>
    <w:rsid w:val="00740EAC"/>
    <w:rsid w:val="00742776"/>
    <w:rsid w:val="007428B9"/>
    <w:rsid w:val="00744956"/>
    <w:rsid w:val="00745A5C"/>
    <w:rsid w:val="0074605F"/>
    <w:rsid w:val="00746CED"/>
    <w:rsid w:val="00747469"/>
    <w:rsid w:val="00747821"/>
    <w:rsid w:val="00747E94"/>
    <w:rsid w:val="00750573"/>
    <w:rsid w:val="0075077D"/>
    <w:rsid w:val="00750AEB"/>
    <w:rsid w:val="00752482"/>
    <w:rsid w:val="00752F36"/>
    <w:rsid w:val="00753086"/>
    <w:rsid w:val="00753D2F"/>
    <w:rsid w:val="007551D0"/>
    <w:rsid w:val="00757FFE"/>
    <w:rsid w:val="0076011A"/>
    <w:rsid w:val="00760378"/>
    <w:rsid w:val="00761206"/>
    <w:rsid w:val="0076224C"/>
    <w:rsid w:val="0076273E"/>
    <w:rsid w:val="0076476B"/>
    <w:rsid w:val="00765998"/>
    <w:rsid w:val="0076606A"/>
    <w:rsid w:val="00766749"/>
    <w:rsid w:val="00767B45"/>
    <w:rsid w:val="00767BFC"/>
    <w:rsid w:val="00767C1B"/>
    <w:rsid w:val="00771212"/>
    <w:rsid w:val="007714A9"/>
    <w:rsid w:val="00771879"/>
    <w:rsid w:val="00772A67"/>
    <w:rsid w:val="00774122"/>
    <w:rsid w:val="00774346"/>
    <w:rsid w:val="00774AB3"/>
    <w:rsid w:val="00774F88"/>
    <w:rsid w:val="00776A6B"/>
    <w:rsid w:val="00777948"/>
    <w:rsid w:val="00777BA2"/>
    <w:rsid w:val="007800CD"/>
    <w:rsid w:val="00780330"/>
    <w:rsid w:val="00780CED"/>
    <w:rsid w:val="0078123F"/>
    <w:rsid w:val="00781408"/>
    <w:rsid w:val="00781BF4"/>
    <w:rsid w:val="00783AB3"/>
    <w:rsid w:val="007849CA"/>
    <w:rsid w:val="00784F7F"/>
    <w:rsid w:val="00791307"/>
    <w:rsid w:val="00791F2B"/>
    <w:rsid w:val="00792756"/>
    <w:rsid w:val="00792BF6"/>
    <w:rsid w:val="0079433D"/>
    <w:rsid w:val="00794702"/>
    <w:rsid w:val="00796F25"/>
    <w:rsid w:val="007975C9"/>
    <w:rsid w:val="007A17C3"/>
    <w:rsid w:val="007A2E98"/>
    <w:rsid w:val="007A3846"/>
    <w:rsid w:val="007A3BA3"/>
    <w:rsid w:val="007A67B4"/>
    <w:rsid w:val="007A6B2A"/>
    <w:rsid w:val="007A799F"/>
    <w:rsid w:val="007B02EF"/>
    <w:rsid w:val="007B1373"/>
    <w:rsid w:val="007B1499"/>
    <w:rsid w:val="007B1BBF"/>
    <w:rsid w:val="007B2960"/>
    <w:rsid w:val="007B2B1E"/>
    <w:rsid w:val="007B2F76"/>
    <w:rsid w:val="007B355D"/>
    <w:rsid w:val="007B35BA"/>
    <w:rsid w:val="007B37ED"/>
    <w:rsid w:val="007B400C"/>
    <w:rsid w:val="007B51F4"/>
    <w:rsid w:val="007B56C6"/>
    <w:rsid w:val="007B621A"/>
    <w:rsid w:val="007B762E"/>
    <w:rsid w:val="007B7980"/>
    <w:rsid w:val="007C00A6"/>
    <w:rsid w:val="007C0284"/>
    <w:rsid w:val="007C06B4"/>
    <w:rsid w:val="007C0E54"/>
    <w:rsid w:val="007C138E"/>
    <w:rsid w:val="007C1D80"/>
    <w:rsid w:val="007C2020"/>
    <w:rsid w:val="007C255B"/>
    <w:rsid w:val="007C2959"/>
    <w:rsid w:val="007C3628"/>
    <w:rsid w:val="007C3739"/>
    <w:rsid w:val="007C3EE5"/>
    <w:rsid w:val="007C4FDA"/>
    <w:rsid w:val="007C5D5A"/>
    <w:rsid w:val="007C607F"/>
    <w:rsid w:val="007C6916"/>
    <w:rsid w:val="007C7630"/>
    <w:rsid w:val="007C79DD"/>
    <w:rsid w:val="007C7D2B"/>
    <w:rsid w:val="007D098B"/>
    <w:rsid w:val="007D1634"/>
    <w:rsid w:val="007D1A97"/>
    <w:rsid w:val="007D29CE"/>
    <w:rsid w:val="007D2CD6"/>
    <w:rsid w:val="007D3063"/>
    <w:rsid w:val="007D3499"/>
    <w:rsid w:val="007D379F"/>
    <w:rsid w:val="007D4920"/>
    <w:rsid w:val="007D523C"/>
    <w:rsid w:val="007D6FE1"/>
    <w:rsid w:val="007D71CD"/>
    <w:rsid w:val="007E0A18"/>
    <w:rsid w:val="007E11D3"/>
    <w:rsid w:val="007E1FFF"/>
    <w:rsid w:val="007E355E"/>
    <w:rsid w:val="007E4FBE"/>
    <w:rsid w:val="007E5193"/>
    <w:rsid w:val="007E7683"/>
    <w:rsid w:val="007E7812"/>
    <w:rsid w:val="007F055A"/>
    <w:rsid w:val="007F0636"/>
    <w:rsid w:val="007F1347"/>
    <w:rsid w:val="007F45E9"/>
    <w:rsid w:val="007F49B0"/>
    <w:rsid w:val="007F49FA"/>
    <w:rsid w:val="007F537F"/>
    <w:rsid w:val="007F658D"/>
    <w:rsid w:val="007F6E9A"/>
    <w:rsid w:val="007F73E0"/>
    <w:rsid w:val="00800DEC"/>
    <w:rsid w:val="008013B4"/>
    <w:rsid w:val="008016EE"/>
    <w:rsid w:val="0080222B"/>
    <w:rsid w:val="0080286C"/>
    <w:rsid w:val="00802FDB"/>
    <w:rsid w:val="008044D4"/>
    <w:rsid w:val="008063CA"/>
    <w:rsid w:val="00810AB4"/>
    <w:rsid w:val="0081117C"/>
    <w:rsid w:val="008119CE"/>
    <w:rsid w:val="008124E2"/>
    <w:rsid w:val="008128F7"/>
    <w:rsid w:val="00813F39"/>
    <w:rsid w:val="00814A12"/>
    <w:rsid w:val="00814F17"/>
    <w:rsid w:val="00817B56"/>
    <w:rsid w:val="00820ED8"/>
    <w:rsid w:val="008211E8"/>
    <w:rsid w:val="00821315"/>
    <w:rsid w:val="00821A88"/>
    <w:rsid w:val="008245CC"/>
    <w:rsid w:val="0082495D"/>
    <w:rsid w:val="008259DA"/>
    <w:rsid w:val="00825B93"/>
    <w:rsid w:val="0082723D"/>
    <w:rsid w:val="00827403"/>
    <w:rsid w:val="008278C8"/>
    <w:rsid w:val="00830DA7"/>
    <w:rsid w:val="008320ED"/>
    <w:rsid w:val="0083641E"/>
    <w:rsid w:val="00836C5A"/>
    <w:rsid w:val="00837369"/>
    <w:rsid w:val="0083793E"/>
    <w:rsid w:val="008400F2"/>
    <w:rsid w:val="0084074B"/>
    <w:rsid w:val="00842876"/>
    <w:rsid w:val="00843E00"/>
    <w:rsid w:val="00844CE4"/>
    <w:rsid w:val="008455E7"/>
    <w:rsid w:val="00845BC4"/>
    <w:rsid w:val="0084635F"/>
    <w:rsid w:val="00846E4D"/>
    <w:rsid w:val="00847C1A"/>
    <w:rsid w:val="00847D2B"/>
    <w:rsid w:val="00850399"/>
    <w:rsid w:val="0085295C"/>
    <w:rsid w:val="00852DEC"/>
    <w:rsid w:val="0085362C"/>
    <w:rsid w:val="00855F85"/>
    <w:rsid w:val="00856C62"/>
    <w:rsid w:val="00856CAA"/>
    <w:rsid w:val="00857F7D"/>
    <w:rsid w:val="0086181A"/>
    <w:rsid w:val="00861EB7"/>
    <w:rsid w:val="00861FF6"/>
    <w:rsid w:val="008623B5"/>
    <w:rsid w:val="00862928"/>
    <w:rsid w:val="00864058"/>
    <w:rsid w:val="00867DA0"/>
    <w:rsid w:val="00870550"/>
    <w:rsid w:val="00870A01"/>
    <w:rsid w:val="008710E1"/>
    <w:rsid w:val="008748D5"/>
    <w:rsid w:val="00874F6D"/>
    <w:rsid w:val="0087573E"/>
    <w:rsid w:val="00875946"/>
    <w:rsid w:val="00880913"/>
    <w:rsid w:val="00881466"/>
    <w:rsid w:val="008814E1"/>
    <w:rsid w:val="00881AF9"/>
    <w:rsid w:val="008830B5"/>
    <w:rsid w:val="00883628"/>
    <w:rsid w:val="00883EE9"/>
    <w:rsid w:val="00884465"/>
    <w:rsid w:val="00884CAB"/>
    <w:rsid w:val="00884D11"/>
    <w:rsid w:val="00885544"/>
    <w:rsid w:val="00885C7B"/>
    <w:rsid w:val="0088634E"/>
    <w:rsid w:val="008904BD"/>
    <w:rsid w:val="00890665"/>
    <w:rsid w:val="00890986"/>
    <w:rsid w:val="00893055"/>
    <w:rsid w:val="00893AB8"/>
    <w:rsid w:val="00893E49"/>
    <w:rsid w:val="0089667A"/>
    <w:rsid w:val="00896921"/>
    <w:rsid w:val="00896AF8"/>
    <w:rsid w:val="008A04C8"/>
    <w:rsid w:val="008A094C"/>
    <w:rsid w:val="008A1B77"/>
    <w:rsid w:val="008A2235"/>
    <w:rsid w:val="008A2DA1"/>
    <w:rsid w:val="008A3962"/>
    <w:rsid w:val="008A45BE"/>
    <w:rsid w:val="008A60B8"/>
    <w:rsid w:val="008A6913"/>
    <w:rsid w:val="008A7379"/>
    <w:rsid w:val="008A7516"/>
    <w:rsid w:val="008B0467"/>
    <w:rsid w:val="008B08D8"/>
    <w:rsid w:val="008B1A13"/>
    <w:rsid w:val="008B1AC9"/>
    <w:rsid w:val="008B3B36"/>
    <w:rsid w:val="008B5D16"/>
    <w:rsid w:val="008B6157"/>
    <w:rsid w:val="008B70F3"/>
    <w:rsid w:val="008B76DF"/>
    <w:rsid w:val="008C01DE"/>
    <w:rsid w:val="008C18CC"/>
    <w:rsid w:val="008C1B63"/>
    <w:rsid w:val="008C2BEE"/>
    <w:rsid w:val="008C2EC0"/>
    <w:rsid w:val="008C4621"/>
    <w:rsid w:val="008C4AB3"/>
    <w:rsid w:val="008C65F1"/>
    <w:rsid w:val="008C771E"/>
    <w:rsid w:val="008D1049"/>
    <w:rsid w:val="008D119A"/>
    <w:rsid w:val="008D122C"/>
    <w:rsid w:val="008D17A6"/>
    <w:rsid w:val="008D1C03"/>
    <w:rsid w:val="008D1C8C"/>
    <w:rsid w:val="008D1CCA"/>
    <w:rsid w:val="008D45E9"/>
    <w:rsid w:val="008D48ED"/>
    <w:rsid w:val="008D5A56"/>
    <w:rsid w:val="008D6F0A"/>
    <w:rsid w:val="008D7B89"/>
    <w:rsid w:val="008E1E58"/>
    <w:rsid w:val="008E2D51"/>
    <w:rsid w:val="008E4767"/>
    <w:rsid w:val="008E6BF8"/>
    <w:rsid w:val="008E7867"/>
    <w:rsid w:val="008F0D34"/>
    <w:rsid w:val="008F1E6C"/>
    <w:rsid w:val="008F2147"/>
    <w:rsid w:val="008F2B86"/>
    <w:rsid w:val="008F40A5"/>
    <w:rsid w:val="008F4565"/>
    <w:rsid w:val="008F4E0C"/>
    <w:rsid w:val="008F4EAB"/>
    <w:rsid w:val="008F5ADB"/>
    <w:rsid w:val="009019C3"/>
    <w:rsid w:val="00901E13"/>
    <w:rsid w:val="009030D3"/>
    <w:rsid w:val="00903285"/>
    <w:rsid w:val="009039AF"/>
    <w:rsid w:val="00904378"/>
    <w:rsid w:val="009045F0"/>
    <w:rsid w:val="00906BD1"/>
    <w:rsid w:val="00906E14"/>
    <w:rsid w:val="00906F40"/>
    <w:rsid w:val="00907032"/>
    <w:rsid w:val="0090731E"/>
    <w:rsid w:val="009079FE"/>
    <w:rsid w:val="0091011B"/>
    <w:rsid w:val="00911EE3"/>
    <w:rsid w:val="00913037"/>
    <w:rsid w:val="009135B8"/>
    <w:rsid w:val="009137D8"/>
    <w:rsid w:val="009151C0"/>
    <w:rsid w:val="009158FB"/>
    <w:rsid w:val="00915B1C"/>
    <w:rsid w:val="00916351"/>
    <w:rsid w:val="00916C7C"/>
    <w:rsid w:val="0091797D"/>
    <w:rsid w:val="00921A47"/>
    <w:rsid w:val="00921C75"/>
    <w:rsid w:val="00922B1C"/>
    <w:rsid w:val="00923CBA"/>
    <w:rsid w:val="00924D69"/>
    <w:rsid w:val="00926703"/>
    <w:rsid w:val="00926F03"/>
    <w:rsid w:val="00927691"/>
    <w:rsid w:val="00927A5F"/>
    <w:rsid w:val="00933B0D"/>
    <w:rsid w:val="00933FBF"/>
    <w:rsid w:val="0093476C"/>
    <w:rsid w:val="009364A2"/>
    <w:rsid w:val="00936611"/>
    <w:rsid w:val="00936804"/>
    <w:rsid w:val="009373D8"/>
    <w:rsid w:val="009408FA"/>
    <w:rsid w:val="009417B0"/>
    <w:rsid w:val="009417F9"/>
    <w:rsid w:val="00941FB0"/>
    <w:rsid w:val="00942367"/>
    <w:rsid w:val="00942454"/>
    <w:rsid w:val="009426D4"/>
    <w:rsid w:val="00945EC1"/>
    <w:rsid w:val="009464B2"/>
    <w:rsid w:val="00947C85"/>
    <w:rsid w:val="009514E9"/>
    <w:rsid w:val="009515C8"/>
    <w:rsid w:val="009519FE"/>
    <w:rsid w:val="00952C84"/>
    <w:rsid w:val="00952E75"/>
    <w:rsid w:val="00952E87"/>
    <w:rsid w:val="009530B9"/>
    <w:rsid w:val="0095490B"/>
    <w:rsid w:val="00954988"/>
    <w:rsid w:val="009552E1"/>
    <w:rsid w:val="00955D11"/>
    <w:rsid w:val="00956362"/>
    <w:rsid w:val="00956403"/>
    <w:rsid w:val="00956825"/>
    <w:rsid w:val="00956E87"/>
    <w:rsid w:val="00957191"/>
    <w:rsid w:val="00957D2E"/>
    <w:rsid w:val="00960729"/>
    <w:rsid w:val="009614C5"/>
    <w:rsid w:val="00961A88"/>
    <w:rsid w:val="00961AF0"/>
    <w:rsid w:val="0096262E"/>
    <w:rsid w:val="00963EBB"/>
    <w:rsid w:val="00964723"/>
    <w:rsid w:val="009659BC"/>
    <w:rsid w:val="00967380"/>
    <w:rsid w:val="00967885"/>
    <w:rsid w:val="00970BFD"/>
    <w:rsid w:val="00971258"/>
    <w:rsid w:val="0097177C"/>
    <w:rsid w:val="009726DB"/>
    <w:rsid w:val="009733DC"/>
    <w:rsid w:val="00973DEB"/>
    <w:rsid w:val="00974363"/>
    <w:rsid w:val="009755D4"/>
    <w:rsid w:val="00981272"/>
    <w:rsid w:val="00981F30"/>
    <w:rsid w:val="00982141"/>
    <w:rsid w:val="00982F50"/>
    <w:rsid w:val="009841C4"/>
    <w:rsid w:val="009844AA"/>
    <w:rsid w:val="009844D5"/>
    <w:rsid w:val="009859A4"/>
    <w:rsid w:val="00985E14"/>
    <w:rsid w:val="00986E02"/>
    <w:rsid w:val="009876C4"/>
    <w:rsid w:val="00987BBC"/>
    <w:rsid w:val="00993A69"/>
    <w:rsid w:val="00995728"/>
    <w:rsid w:val="0099577C"/>
    <w:rsid w:val="00995B6B"/>
    <w:rsid w:val="00996596"/>
    <w:rsid w:val="009A06FB"/>
    <w:rsid w:val="009A154D"/>
    <w:rsid w:val="009A2713"/>
    <w:rsid w:val="009A2D5A"/>
    <w:rsid w:val="009A3189"/>
    <w:rsid w:val="009A4638"/>
    <w:rsid w:val="009A6522"/>
    <w:rsid w:val="009A6A26"/>
    <w:rsid w:val="009A7579"/>
    <w:rsid w:val="009A7EAD"/>
    <w:rsid w:val="009B07F8"/>
    <w:rsid w:val="009B0D05"/>
    <w:rsid w:val="009B136A"/>
    <w:rsid w:val="009B4908"/>
    <w:rsid w:val="009B4E9E"/>
    <w:rsid w:val="009B5EEC"/>
    <w:rsid w:val="009B5F35"/>
    <w:rsid w:val="009B6084"/>
    <w:rsid w:val="009B69DF"/>
    <w:rsid w:val="009C1690"/>
    <w:rsid w:val="009C17CB"/>
    <w:rsid w:val="009C3153"/>
    <w:rsid w:val="009C3FF7"/>
    <w:rsid w:val="009C41FC"/>
    <w:rsid w:val="009C6881"/>
    <w:rsid w:val="009C7262"/>
    <w:rsid w:val="009C7759"/>
    <w:rsid w:val="009D03B5"/>
    <w:rsid w:val="009D2A3A"/>
    <w:rsid w:val="009D2A53"/>
    <w:rsid w:val="009D2FED"/>
    <w:rsid w:val="009D335F"/>
    <w:rsid w:val="009D3A3A"/>
    <w:rsid w:val="009D3C99"/>
    <w:rsid w:val="009D43EA"/>
    <w:rsid w:val="009D4747"/>
    <w:rsid w:val="009D5F36"/>
    <w:rsid w:val="009D609F"/>
    <w:rsid w:val="009D6C71"/>
    <w:rsid w:val="009E00FE"/>
    <w:rsid w:val="009E0271"/>
    <w:rsid w:val="009E04E0"/>
    <w:rsid w:val="009E0C1F"/>
    <w:rsid w:val="009E16D0"/>
    <w:rsid w:val="009E16ED"/>
    <w:rsid w:val="009E2E76"/>
    <w:rsid w:val="009E2F8A"/>
    <w:rsid w:val="009E31C3"/>
    <w:rsid w:val="009E38FD"/>
    <w:rsid w:val="009E557D"/>
    <w:rsid w:val="009E61ED"/>
    <w:rsid w:val="009E6B51"/>
    <w:rsid w:val="009F0948"/>
    <w:rsid w:val="009F115F"/>
    <w:rsid w:val="009F13D6"/>
    <w:rsid w:val="009F155A"/>
    <w:rsid w:val="009F2C69"/>
    <w:rsid w:val="009F3A71"/>
    <w:rsid w:val="009F4C6B"/>
    <w:rsid w:val="009F576D"/>
    <w:rsid w:val="009F583D"/>
    <w:rsid w:val="009F5949"/>
    <w:rsid w:val="009F5F53"/>
    <w:rsid w:val="009F770A"/>
    <w:rsid w:val="009F78A8"/>
    <w:rsid w:val="00A00105"/>
    <w:rsid w:val="00A001FF"/>
    <w:rsid w:val="00A0021E"/>
    <w:rsid w:val="00A02270"/>
    <w:rsid w:val="00A027C8"/>
    <w:rsid w:val="00A034BC"/>
    <w:rsid w:val="00A03C1C"/>
    <w:rsid w:val="00A042ED"/>
    <w:rsid w:val="00A04558"/>
    <w:rsid w:val="00A04813"/>
    <w:rsid w:val="00A05C7D"/>
    <w:rsid w:val="00A05DDC"/>
    <w:rsid w:val="00A07096"/>
    <w:rsid w:val="00A07318"/>
    <w:rsid w:val="00A11370"/>
    <w:rsid w:val="00A138EB"/>
    <w:rsid w:val="00A14180"/>
    <w:rsid w:val="00A14687"/>
    <w:rsid w:val="00A152F3"/>
    <w:rsid w:val="00A15B30"/>
    <w:rsid w:val="00A15DBF"/>
    <w:rsid w:val="00A2058C"/>
    <w:rsid w:val="00A212BB"/>
    <w:rsid w:val="00A22132"/>
    <w:rsid w:val="00A224CE"/>
    <w:rsid w:val="00A22522"/>
    <w:rsid w:val="00A23DA9"/>
    <w:rsid w:val="00A24F5C"/>
    <w:rsid w:val="00A25822"/>
    <w:rsid w:val="00A25907"/>
    <w:rsid w:val="00A27850"/>
    <w:rsid w:val="00A27F25"/>
    <w:rsid w:val="00A319F0"/>
    <w:rsid w:val="00A33054"/>
    <w:rsid w:val="00A3384D"/>
    <w:rsid w:val="00A338C0"/>
    <w:rsid w:val="00A344E5"/>
    <w:rsid w:val="00A34828"/>
    <w:rsid w:val="00A35E24"/>
    <w:rsid w:val="00A35FBB"/>
    <w:rsid w:val="00A37146"/>
    <w:rsid w:val="00A37E42"/>
    <w:rsid w:val="00A40310"/>
    <w:rsid w:val="00A40871"/>
    <w:rsid w:val="00A40C13"/>
    <w:rsid w:val="00A41545"/>
    <w:rsid w:val="00A41926"/>
    <w:rsid w:val="00A42479"/>
    <w:rsid w:val="00A42929"/>
    <w:rsid w:val="00A43390"/>
    <w:rsid w:val="00A436A6"/>
    <w:rsid w:val="00A44033"/>
    <w:rsid w:val="00A440E0"/>
    <w:rsid w:val="00A46C81"/>
    <w:rsid w:val="00A53F75"/>
    <w:rsid w:val="00A543F4"/>
    <w:rsid w:val="00A54731"/>
    <w:rsid w:val="00A56999"/>
    <w:rsid w:val="00A57240"/>
    <w:rsid w:val="00A6011E"/>
    <w:rsid w:val="00A60870"/>
    <w:rsid w:val="00A61512"/>
    <w:rsid w:val="00A61B55"/>
    <w:rsid w:val="00A63688"/>
    <w:rsid w:val="00A63739"/>
    <w:rsid w:val="00A63DD6"/>
    <w:rsid w:val="00A643DE"/>
    <w:rsid w:val="00A64402"/>
    <w:rsid w:val="00A65A8D"/>
    <w:rsid w:val="00A65C16"/>
    <w:rsid w:val="00A679C3"/>
    <w:rsid w:val="00A705F1"/>
    <w:rsid w:val="00A70ADF"/>
    <w:rsid w:val="00A71250"/>
    <w:rsid w:val="00A7144D"/>
    <w:rsid w:val="00A71466"/>
    <w:rsid w:val="00A73E85"/>
    <w:rsid w:val="00A74B5E"/>
    <w:rsid w:val="00A752F9"/>
    <w:rsid w:val="00A775A4"/>
    <w:rsid w:val="00A80B11"/>
    <w:rsid w:val="00A81111"/>
    <w:rsid w:val="00A814A3"/>
    <w:rsid w:val="00A81BED"/>
    <w:rsid w:val="00A81EC4"/>
    <w:rsid w:val="00A824B1"/>
    <w:rsid w:val="00A86F06"/>
    <w:rsid w:val="00A86F15"/>
    <w:rsid w:val="00A874A6"/>
    <w:rsid w:val="00A875C7"/>
    <w:rsid w:val="00A901E5"/>
    <w:rsid w:val="00A914EC"/>
    <w:rsid w:val="00A921E7"/>
    <w:rsid w:val="00A954E8"/>
    <w:rsid w:val="00A962F2"/>
    <w:rsid w:val="00A965BF"/>
    <w:rsid w:val="00A967FD"/>
    <w:rsid w:val="00A97DC4"/>
    <w:rsid w:val="00AA2589"/>
    <w:rsid w:val="00AA2BCE"/>
    <w:rsid w:val="00AA723D"/>
    <w:rsid w:val="00AA73FB"/>
    <w:rsid w:val="00AA7975"/>
    <w:rsid w:val="00AB12FE"/>
    <w:rsid w:val="00AB156C"/>
    <w:rsid w:val="00AB1E89"/>
    <w:rsid w:val="00AB22D4"/>
    <w:rsid w:val="00AB2FC7"/>
    <w:rsid w:val="00AB383F"/>
    <w:rsid w:val="00AB3C3B"/>
    <w:rsid w:val="00AB42E5"/>
    <w:rsid w:val="00AB4D26"/>
    <w:rsid w:val="00AB56ED"/>
    <w:rsid w:val="00AB6727"/>
    <w:rsid w:val="00AB68F9"/>
    <w:rsid w:val="00AB76C9"/>
    <w:rsid w:val="00AC1244"/>
    <w:rsid w:val="00AC1A4A"/>
    <w:rsid w:val="00AC259C"/>
    <w:rsid w:val="00AC2683"/>
    <w:rsid w:val="00AC26CF"/>
    <w:rsid w:val="00AC3282"/>
    <w:rsid w:val="00AC509D"/>
    <w:rsid w:val="00AC5F2B"/>
    <w:rsid w:val="00AC6633"/>
    <w:rsid w:val="00AC6C26"/>
    <w:rsid w:val="00AC71DC"/>
    <w:rsid w:val="00AC791A"/>
    <w:rsid w:val="00AD0A8E"/>
    <w:rsid w:val="00AD0AB4"/>
    <w:rsid w:val="00AD10EF"/>
    <w:rsid w:val="00AD11CC"/>
    <w:rsid w:val="00AD273D"/>
    <w:rsid w:val="00AD2AFE"/>
    <w:rsid w:val="00AD3052"/>
    <w:rsid w:val="00AD3082"/>
    <w:rsid w:val="00AD42C3"/>
    <w:rsid w:val="00AD4AD0"/>
    <w:rsid w:val="00AD5F87"/>
    <w:rsid w:val="00AD60CD"/>
    <w:rsid w:val="00AD6C8C"/>
    <w:rsid w:val="00AD78C7"/>
    <w:rsid w:val="00AE0104"/>
    <w:rsid w:val="00AE08C9"/>
    <w:rsid w:val="00AE091D"/>
    <w:rsid w:val="00AE0954"/>
    <w:rsid w:val="00AE18F4"/>
    <w:rsid w:val="00AE2880"/>
    <w:rsid w:val="00AE400F"/>
    <w:rsid w:val="00AE42FF"/>
    <w:rsid w:val="00AE53A1"/>
    <w:rsid w:val="00AE6075"/>
    <w:rsid w:val="00AE769D"/>
    <w:rsid w:val="00AF0CDE"/>
    <w:rsid w:val="00AF13F6"/>
    <w:rsid w:val="00AF1F7B"/>
    <w:rsid w:val="00AF2484"/>
    <w:rsid w:val="00AF2CEF"/>
    <w:rsid w:val="00AF3575"/>
    <w:rsid w:val="00AF4174"/>
    <w:rsid w:val="00AF53F1"/>
    <w:rsid w:val="00AF5789"/>
    <w:rsid w:val="00AF63E7"/>
    <w:rsid w:val="00AF7280"/>
    <w:rsid w:val="00AF74C5"/>
    <w:rsid w:val="00AF76A6"/>
    <w:rsid w:val="00AF785C"/>
    <w:rsid w:val="00AF7CEB"/>
    <w:rsid w:val="00AF7DA3"/>
    <w:rsid w:val="00B01296"/>
    <w:rsid w:val="00B0142F"/>
    <w:rsid w:val="00B0165D"/>
    <w:rsid w:val="00B01818"/>
    <w:rsid w:val="00B02A63"/>
    <w:rsid w:val="00B031F3"/>
    <w:rsid w:val="00B052A4"/>
    <w:rsid w:val="00B058A8"/>
    <w:rsid w:val="00B06AC3"/>
    <w:rsid w:val="00B0733F"/>
    <w:rsid w:val="00B079D9"/>
    <w:rsid w:val="00B1133A"/>
    <w:rsid w:val="00B1212B"/>
    <w:rsid w:val="00B125DE"/>
    <w:rsid w:val="00B13062"/>
    <w:rsid w:val="00B13813"/>
    <w:rsid w:val="00B13FDD"/>
    <w:rsid w:val="00B14D9F"/>
    <w:rsid w:val="00B15DE9"/>
    <w:rsid w:val="00B164E6"/>
    <w:rsid w:val="00B167EE"/>
    <w:rsid w:val="00B2044C"/>
    <w:rsid w:val="00B20675"/>
    <w:rsid w:val="00B206F6"/>
    <w:rsid w:val="00B21C37"/>
    <w:rsid w:val="00B22C37"/>
    <w:rsid w:val="00B22EB2"/>
    <w:rsid w:val="00B23D3E"/>
    <w:rsid w:val="00B24179"/>
    <w:rsid w:val="00B244C4"/>
    <w:rsid w:val="00B25662"/>
    <w:rsid w:val="00B25E25"/>
    <w:rsid w:val="00B272C7"/>
    <w:rsid w:val="00B27442"/>
    <w:rsid w:val="00B31167"/>
    <w:rsid w:val="00B327F6"/>
    <w:rsid w:val="00B329D8"/>
    <w:rsid w:val="00B32BB9"/>
    <w:rsid w:val="00B33AE1"/>
    <w:rsid w:val="00B34409"/>
    <w:rsid w:val="00B346AA"/>
    <w:rsid w:val="00B34F94"/>
    <w:rsid w:val="00B35175"/>
    <w:rsid w:val="00B35DEC"/>
    <w:rsid w:val="00B3631F"/>
    <w:rsid w:val="00B37C38"/>
    <w:rsid w:val="00B40672"/>
    <w:rsid w:val="00B41C35"/>
    <w:rsid w:val="00B4288C"/>
    <w:rsid w:val="00B44100"/>
    <w:rsid w:val="00B44F32"/>
    <w:rsid w:val="00B458AC"/>
    <w:rsid w:val="00B4613A"/>
    <w:rsid w:val="00B46CBA"/>
    <w:rsid w:val="00B46CC0"/>
    <w:rsid w:val="00B46F94"/>
    <w:rsid w:val="00B47691"/>
    <w:rsid w:val="00B5094B"/>
    <w:rsid w:val="00B51A27"/>
    <w:rsid w:val="00B52CDD"/>
    <w:rsid w:val="00B5311C"/>
    <w:rsid w:val="00B547B7"/>
    <w:rsid w:val="00B54B12"/>
    <w:rsid w:val="00B54BEC"/>
    <w:rsid w:val="00B55440"/>
    <w:rsid w:val="00B56906"/>
    <w:rsid w:val="00B60599"/>
    <w:rsid w:val="00B61F03"/>
    <w:rsid w:val="00B61FBB"/>
    <w:rsid w:val="00B626E4"/>
    <w:rsid w:val="00B6335F"/>
    <w:rsid w:val="00B63386"/>
    <w:rsid w:val="00B64559"/>
    <w:rsid w:val="00B65874"/>
    <w:rsid w:val="00B679C6"/>
    <w:rsid w:val="00B70D7B"/>
    <w:rsid w:val="00B71699"/>
    <w:rsid w:val="00B72714"/>
    <w:rsid w:val="00B72B4E"/>
    <w:rsid w:val="00B72F4A"/>
    <w:rsid w:val="00B73AAB"/>
    <w:rsid w:val="00B740BE"/>
    <w:rsid w:val="00B7567E"/>
    <w:rsid w:val="00B76177"/>
    <w:rsid w:val="00B81028"/>
    <w:rsid w:val="00B83124"/>
    <w:rsid w:val="00B83A25"/>
    <w:rsid w:val="00B83A29"/>
    <w:rsid w:val="00B83C27"/>
    <w:rsid w:val="00B84BC3"/>
    <w:rsid w:val="00B84BDD"/>
    <w:rsid w:val="00B8500D"/>
    <w:rsid w:val="00B86458"/>
    <w:rsid w:val="00B86E33"/>
    <w:rsid w:val="00B86E4D"/>
    <w:rsid w:val="00B8725D"/>
    <w:rsid w:val="00B87573"/>
    <w:rsid w:val="00B92440"/>
    <w:rsid w:val="00B92812"/>
    <w:rsid w:val="00B928FF"/>
    <w:rsid w:val="00B948D9"/>
    <w:rsid w:val="00B95EB6"/>
    <w:rsid w:val="00B9601F"/>
    <w:rsid w:val="00BA10B6"/>
    <w:rsid w:val="00BA2BB3"/>
    <w:rsid w:val="00BB0C83"/>
    <w:rsid w:val="00BB104C"/>
    <w:rsid w:val="00BB1151"/>
    <w:rsid w:val="00BB17CA"/>
    <w:rsid w:val="00BB6A0A"/>
    <w:rsid w:val="00BB7651"/>
    <w:rsid w:val="00BB7686"/>
    <w:rsid w:val="00BB76C1"/>
    <w:rsid w:val="00BB78AE"/>
    <w:rsid w:val="00BC017F"/>
    <w:rsid w:val="00BC1129"/>
    <w:rsid w:val="00BC238E"/>
    <w:rsid w:val="00BC23F9"/>
    <w:rsid w:val="00BC2CD2"/>
    <w:rsid w:val="00BC3421"/>
    <w:rsid w:val="00BC3717"/>
    <w:rsid w:val="00BC4390"/>
    <w:rsid w:val="00BC473F"/>
    <w:rsid w:val="00BC4C22"/>
    <w:rsid w:val="00BC732C"/>
    <w:rsid w:val="00BD0A1B"/>
    <w:rsid w:val="00BD1A04"/>
    <w:rsid w:val="00BD1B8D"/>
    <w:rsid w:val="00BD1CC3"/>
    <w:rsid w:val="00BD2E68"/>
    <w:rsid w:val="00BD30B1"/>
    <w:rsid w:val="00BD3B47"/>
    <w:rsid w:val="00BD44BC"/>
    <w:rsid w:val="00BD4FBF"/>
    <w:rsid w:val="00BD6BC3"/>
    <w:rsid w:val="00BD6C15"/>
    <w:rsid w:val="00BE0F1D"/>
    <w:rsid w:val="00BE0F34"/>
    <w:rsid w:val="00BE229B"/>
    <w:rsid w:val="00BE2580"/>
    <w:rsid w:val="00BE266D"/>
    <w:rsid w:val="00BE322B"/>
    <w:rsid w:val="00BE3960"/>
    <w:rsid w:val="00BE4C11"/>
    <w:rsid w:val="00BE53FD"/>
    <w:rsid w:val="00BE61D1"/>
    <w:rsid w:val="00BE6E0F"/>
    <w:rsid w:val="00BE6E82"/>
    <w:rsid w:val="00BE71C0"/>
    <w:rsid w:val="00BE74C8"/>
    <w:rsid w:val="00BF0056"/>
    <w:rsid w:val="00BF101B"/>
    <w:rsid w:val="00BF216D"/>
    <w:rsid w:val="00BF319F"/>
    <w:rsid w:val="00BF47A2"/>
    <w:rsid w:val="00BF5FF9"/>
    <w:rsid w:val="00BF62EE"/>
    <w:rsid w:val="00BF69DA"/>
    <w:rsid w:val="00BF6EA5"/>
    <w:rsid w:val="00BF6F4C"/>
    <w:rsid w:val="00C0019B"/>
    <w:rsid w:val="00C0060B"/>
    <w:rsid w:val="00C01ED1"/>
    <w:rsid w:val="00C0277D"/>
    <w:rsid w:val="00C02A8E"/>
    <w:rsid w:val="00C030D6"/>
    <w:rsid w:val="00C03302"/>
    <w:rsid w:val="00C036A0"/>
    <w:rsid w:val="00C03C05"/>
    <w:rsid w:val="00C04153"/>
    <w:rsid w:val="00C0432D"/>
    <w:rsid w:val="00C05C6D"/>
    <w:rsid w:val="00C061F7"/>
    <w:rsid w:val="00C063CE"/>
    <w:rsid w:val="00C07829"/>
    <w:rsid w:val="00C07BB8"/>
    <w:rsid w:val="00C1192D"/>
    <w:rsid w:val="00C11D98"/>
    <w:rsid w:val="00C12E14"/>
    <w:rsid w:val="00C1346D"/>
    <w:rsid w:val="00C13900"/>
    <w:rsid w:val="00C1477F"/>
    <w:rsid w:val="00C152B5"/>
    <w:rsid w:val="00C20190"/>
    <w:rsid w:val="00C20A9A"/>
    <w:rsid w:val="00C21117"/>
    <w:rsid w:val="00C22C47"/>
    <w:rsid w:val="00C22F89"/>
    <w:rsid w:val="00C2344E"/>
    <w:rsid w:val="00C23D58"/>
    <w:rsid w:val="00C23EFD"/>
    <w:rsid w:val="00C24A53"/>
    <w:rsid w:val="00C24ACB"/>
    <w:rsid w:val="00C25212"/>
    <w:rsid w:val="00C25AF7"/>
    <w:rsid w:val="00C26256"/>
    <w:rsid w:val="00C26C21"/>
    <w:rsid w:val="00C304DA"/>
    <w:rsid w:val="00C30A1E"/>
    <w:rsid w:val="00C30ACC"/>
    <w:rsid w:val="00C3141D"/>
    <w:rsid w:val="00C31B66"/>
    <w:rsid w:val="00C320CF"/>
    <w:rsid w:val="00C334B8"/>
    <w:rsid w:val="00C34228"/>
    <w:rsid w:val="00C36732"/>
    <w:rsid w:val="00C36B5F"/>
    <w:rsid w:val="00C3741F"/>
    <w:rsid w:val="00C37EFA"/>
    <w:rsid w:val="00C400A9"/>
    <w:rsid w:val="00C41449"/>
    <w:rsid w:val="00C41C5D"/>
    <w:rsid w:val="00C42E96"/>
    <w:rsid w:val="00C43CE8"/>
    <w:rsid w:val="00C4495C"/>
    <w:rsid w:val="00C45155"/>
    <w:rsid w:val="00C46A99"/>
    <w:rsid w:val="00C474F5"/>
    <w:rsid w:val="00C4786B"/>
    <w:rsid w:val="00C50DB2"/>
    <w:rsid w:val="00C51029"/>
    <w:rsid w:val="00C526EC"/>
    <w:rsid w:val="00C535E3"/>
    <w:rsid w:val="00C53B4A"/>
    <w:rsid w:val="00C5449C"/>
    <w:rsid w:val="00C5498F"/>
    <w:rsid w:val="00C54FA0"/>
    <w:rsid w:val="00C5735B"/>
    <w:rsid w:val="00C579CE"/>
    <w:rsid w:val="00C604CF"/>
    <w:rsid w:val="00C6323D"/>
    <w:rsid w:val="00C63B98"/>
    <w:rsid w:val="00C64C98"/>
    <w:rsid w:val="00C64CD0"/>
    <w:rsid w:val="00C65C96"/>
    <w:rsid w:val="00C6684F"/>
    <w:rsid w:val="00C66B3E"/>
    <w:rsid w:val="00C675C1"/>
    <w:rsid w:val="00C67EFD"/>
    <w:rsid w:val="00C7020A"/>
    <w:rsid w:val="00C70B42"/>
    <w:rsid w:val="00C70E70"/>
    <w:rsid w:val="00C71EED"/>
    <w:rsid w:val="00C72A71"/>
    <w:rsid w:val="00C7363C"/>
    <w:rsid w:val="00C73B61"/>
    <w:rsid w:val="00C73F03"/>
    <w:rsid w:val="00C749E8"/>
    <w:rsid w:val="00C74A23"/>
    <w:rsid w:val="00C74E23"/>
    <w:rsid w:val="00C75F8D"/>
    <w:rsid w:val="00C76F31"/>
    <w:rsid w:val="00C77CD5"/>
    <w:rsid w:val="00C8019C"/>
    <w:rsid w:val="00C80338"/>
    <w:rsid w:val="00C803AD"/>
    <w:rsid w:val="00C837DB"/>
    <w:rsid w:val="00C864CC"/>
    <w:rsid w:val="00C87FD7"/>
    <w:rsid w:val="00C90567"/>
    <w:rsid w:val="00C90EB3"/>
    <w:rsid w:val="00C950E3"/>
    <w:rsid w:val="00C95B72"/>
    <w:rsid w:val="00C95C3B"/>
    <w:rsid w:val="00C96224"/>
    <w:rsid w:val="00C97736"/>
    <w:rsid w:val="00CA0183"/>
    <w:rsid w:val="00CA056A"/>
    <w:rsid w:val="00CA2004"/>
    <w:rsid w:val="00CA21F5"/>
    <w:rsid w:val="00CA37BE"/>
    <w:rsid w:val="00CA523C"/>
    <w:rsid w:val="00CA54E6"/>
    <w:rsid w:val="00CA6EDA"/>
    <w:rsid w:val="00CA7211"/>
    <w:rsid w:val="00CA7A92"/>
    <w:rsid w:val="00CB104D"/>
    <w:rsid w:val="00CB1E82"/>
    <w:rsid w:val="00CB1FB1"/>
    <w:rsid w:val="00CB2389"/>
    <w:rsid w:val="00CB24B2"/>
    <w:rsid w:val="00CB37BC"/>
    <w:rsid w:val="00CB3B41"/>
    <w:rsid w:val="00CB473C"/>
    <w:rsid w:val="00CB4BA8"/>
    <w:rsid w:val="00CB52D7"/>
    <w:rsid w:val="00CB54C5"/>
    <w:rsid w:val="00CB566E"/>
    <w:rsid w:val="00CB58F4"/>
    <w:rsid w:val="00CB6614"/>
    <w:rsid w:val="00CC00A4"/>
    <w:rsid w:val="00CC05B0"/>
    <w:rsid w:val="00CC084B"/>
    <w:rsid w:val="00CC153B"/>
    <w:rsid w:val="00CC1CD5"/>
    <w:rsid w:val="00CC2278"/>
    <w:rsid w:val="00CC2AF7"/>
    <w:rsid w:val="00CC42EA"/>
    <w:rsid w:val="00CC5274"/>
    <w:rsid w:val="00CC6732"/>
    <w:rsid w:val="00CC6927"/>
    <w:rsid w:val="00CC6997"/>
    <w:rsid w:val="00CC72CF"/>
    <w:rsid w:val="00CD02B5"/>
    <w:rsid w:val="00CD05C9"/>
    <w:rsid w:val="00CD19FF"/>
    <w:rsid w:val="00CD21E3"/>
    <w:rsid w:val="00CD2C67"/>
    <w:rsid w:val="00CD3910"/>
    <w:rsid w:val="00CD4832"/>
    <w:rsid w:val="00CD4CB6"/>
    <w:rsid w:val="00CD516D"/>
    <w:rsid w:val="00CD6081"/>
    <w:rsid w:val="00CD6B96"/>
    <w:rsid w:val="00CE02F8"/>
    <w:rsid w:val="00CE14EA"/>
    <w:rsid w:val="00CE4680"/>
    <w:rsid w:val="00CE4F11"/>
    <w:rsid w:val="00CE50A3"/>
    <w:rsid w:val="00CE5182"/>
    <w:rsid w:val="00CE51A8"/>
    <w:rsid w:val="00CE54ED"/>
    <w:rsid w:val="00CE5FB5"/>
    <w:rsid w:val="00CE7A44"/>
    <w:rsid w:val="00CE7BF9"/>
    <w:rsid w:val="00CF0A12"/>
    <w:rsid w:val="00CF12BF"/>
    <w:rsid w:val="00CF14FD"/>
    <w:rsid w:val="00CF35CD"/>
    <w:rsid w:val="00CF369B"/>
    <w:rsid w:val="00CF521E"/>
    <w:rsid w:val="00CF5DA5"/>
    <w:rsid w:val="00CF5E43"/>
    <w:rsid w:val="00CF6BF8"/>
    <w:rsid w:val="00CF6F0C"/>
    <w:rsid w:val="00CF75C9"/>
    <w:rsid w:val="00D02675"/>
    <w:rsid w:val="00D02A0D"/>
    <w:rsid w:val="00D039D7"/>
    <w:rsid w:val="00D05494"/>
    <w:rsid w:val="00D07DC2"/>
    <w:rsid w:val="00D10FAF"/>
    <w:rsid w:val="00D1133F"/>
    <w:rsid w:val="00D125CC"/>
    <w:rsid w:val="00D12BD2"/>
    <w:rsid w:val="00D14D1A"/>
    <w:rsid w:val="00D15810"/>
    <w:rsid w:val="00D158C9"/>
    <w:rsid w:val="00D16D4E"/>
    <w:rsid w:val="00D1777A"/>
    <w:rsid w:val="00D17FD1"/>
    <w:rsid w:val="00D21632"/>
    <w:rsid w:val="00D21983"/>
    <w:rsid w:val="00D23016"/>
    <w:rsid w:val="00D26FC5"/>
    <w:rsid w:val="00D27CA1"/>
    <w:rsid w:val="00D27E54"/>
    <w:rsid w:val="00D27F41"/>
    <w:rsid w:val="00D30644"/>
    <w:rsid w:val="00D308F4"/>
    <w:rsid w:val="00D3092E"/>
    <w:rsid w:val="00D33769"/>
    <w:rsid w:val="00D36441"/>
    <w:rsid w:val="00D36B60"/>
    <w:rsid w:val="00D3766D"/>
    <w:rsid w:val="00D37F2D"/>
    <w:rsid w:val="00D400CD"/>
    <w:rsid w:val="00D40320"/>
    <w:rsid w:val="00D404FB"/>
    <w:rsid w:val="00D4064E"/>
    <w:rsid w:val="00D41559"/>
    <w:rsid w:val="00D41B59"/>
    <w:rsid w:val="00D423A3"/>
    <w:rsid w:val="00D4304E"/>
    <w:rsid w:val="00D4471F"/>
    <w:rsid w:val="00D44899"/>
    <w:rsid w:val="00D4494E"/>
    <w:rsid w:val="00D44E9B"/>
    <w:rsid w:val="00D50DB9"/>
    <w:rsid w:val="00D52830"/>
    <w:rsid w:val="00D52C43"/>
    <w:rsid w:val="00D544B3"/>
    <w:rsid w:val="00D545BD"/>
    <w:rsid w:val="00D56019"/>
    <w:rsid w:val="00D56D2B"/>
    <w:rsid w:val="00D572D5"/>
    <w:rsid w:val="00D579B9"/>
    <w:rsid w:val="00D60B6A"/>
    <w:rsid w:val="00D6222E"/>
    <w:rsid w:val="00D63DCA"/>
    <w:rsid w:val="00D648F1"/>
    <w:rsid w:val="00D6507F"/>
    <w:rsid w:val="00D65606"/>
    <w:rsid w:val="00D65EEB"/>
    <w:rsid w:val="00D67436"/>
    <w:rsid w:val="00D71BF9"/>
    <w:rsid w:val="00D71C56"/>
    <w:rsid w:val="00D720C1"/>
    <w:rsid w:val="00D72FEA"/>
    <w:rsid w:val="00D73C21"/>
    <w:rsid w:val="00D73FCA"/>
    <w:rsid w:val="00D75571"/>
    <w:rsid w:val="00D75764"/>
    <w:rsid w:val="00D80C7D"/>
    <w:rsid w:val="00D81334"/>
    <w:rsid w:val="00D8219D"/>
    <w:rsid w:val="00D82FE4"/>
    <w:rsid w:val="00D830E1"/>
    <w:rsid w:val="00D84F04"/>
    <w:rsid w:val="00D85226"/>
    <w:rsid w:val="00D85683"/>
    <w:rsid w:val="00D86937"/>
    <w:rsid w:val="00D872D2"/>
    <w:rsid w:val="00D877D1"/>
    <w:rsid w:val="00D87B94"/>
    <w:rsid w:val="00D87E0F"/>
    <w:rsid w:val="00D90A45"/>
    <w:rsid w:val="00D91405"/>
    <w:rsid w:val="00D91EB7"/>
    <w:rsid w:val="00D92D49"/>
    <w:rsid w:val="00D92EE1"/>
    <w:rsid w:val="00D93765"/>
    <w:rsid w:val="00D95911"/>
    <w:rsid w:val="00D95DBF"/>
    <w:rsid w:val="00D97AA6"/>
    <w:rsid w:val="00DA2546"/>
    <w:rsid w:val="00DA33E5"/>
    <w:rsid w:val="00DA4E41"/>
    <w:rsid w:val="00DA71DD"/>
    <w:rsid w:val="00DB117A"/>
    <w:rsid w:val="00DB1DDC"/>
    <w:rsid w:val="00DB3F2D"/>
    <w:rsid w:val="00DB3FD6"/>
    <w:rsid w:val="00DB4884"/>
    <w:rsid w:val="00DB5173"/>
    <w:rsid w:val="00DB5AD1"/>
    <w:rsid w:val="00DB6F4B"/>
    <w:rsid w:val="00DB7873"/>
    <w:rsid w:val="00DB7AC2"/>
    <w:rsid w:val="00DC0D87"/>
    <w:rsid w:val="00DC187B"/>
    <w:rsid w:val="00DC1D7E"/>
    <w:rsid w:val="00DC24B5"/>
    <w:rsid w:val="00DC2C07"/>
    <w:rsid w:val="00DC2D05"/>
    <w:rsid w:val="00DC3230"/>
    <w:rsid w:val="00DC4824"/>
    <w:rsid w:val="00DC53FE"/>
    <w:rsid w:val="00DC704E"/>
    <w:rsid w:val="00DC762F"/>
    <w:rsid w:val="00DC7B51"/>
    <w:rsid w:val="00DD0CEA"/>
    <w:rsid w:val="00DD0F2A"/>
    <w:rsid w:val="00DD162F"/>
    <w:rsid w:val="00DD1A5A"/>
    <w:rsid w:val="00DD1A95"/>
    <w:rsid w:val="00DD1FA8"/>
    <w:rsid w:val="00DD34AB"/>
    <w:rsid w:val="00DD5225"/>
    <w:rsid w:val="00DD564A"/>
    <w:rsid w:val="00DD5E30"/>
    <w:rsid w:val="00DD694A"/>
    <w:rsid w:val="00DD6EEA"/>
    <w:rsid w:val="00DD724D"/>
    <w:rsid w:val="00DD73C2"/>
    <w:rsid w:val="00DD7B80"/>
    <w:rsid w:val="00DD7EAB"/>
    <w:rsid w:val="00DE1A11"/>
    <w:rsid w:val="00DE1DF5"/>
    <w:rsid w:val="00DE319B"/>
    <w:rsid w:val="00DE3AED"/>
    <w:rsid w:val="00DE3F65"/>
    <w:rsid w:val="00DE4051"/>
    <w:rsid w:val="00DE4C5F"/>
    <w:rsid w:val="00DE6E35"/>
    <w:rsid w:val="00DE6F9A"/>
    <w:rsid w:val="00DF18E9"/>
    <w:rsid w:val="00DF19F8"/>
    <w:rsid w:val="00DF1A48"/>
    <w:rsid w:val="00DF1B91"/>
    <w:rsid w:val="00DF318D"/>
    <w:rsid w:val="00DF3307"/>
    <w:rsid w:val="00DF34FE"/>
    <w:rsid w:val="00DF4019"/>
    <w:rsid w:val="00DF423D"/>
    <w:rsid w:val="00DF49D9"/>
    <w:rsid w:val="00DF5D6D"/>
    <w:rsid w:val="00DF6B6B"/>
    <w:rsid w:val="00DF78E7"/>
    <w:rsid w:val="00E007E0"/>
    <w:rsid w:val="00E014DA"/>
    <w:rsid w:val="00E04048"/>
    <w:rsid w:val="00E04DE0"/>
    <w:rsid w:val="00E04F4C"/>
    <w:rsid w:val="00E05EE5"/>
    <w:rsid w:val="00E06588"/>
    <w:rsid w:val="00E100A7"/>
    <w:rsid w:val="00E10503"/>
    <w:rsid w:val="00E110E0"/>
    <w:rsid w:val="00E135EA"/>
    <w:rsid w:val="00E1432C"/>
    <w:rsid w:val="00E152D1"/>
    <w:rsid w:val="00E15371"/>
    <w:rsid w:val="00E1724B"/>
    <w:rsid w:val="00E201CC"/>
    <w:rsid w:val="00E21097"/>
    <w:rsid w:val="00E21209"/>
    <w:rsid w:val="00E214D7"/>
    <w:rsid w:val="00E21663"/>
    <w:rsid w:val="00E22691"/>
    <w:rsid w:val="00E22B3C"/>
    <w:rsid w:val="00E24104"/>
    <w:rsid w:val="00E2428E"/>
    <w:rsid w:val="00E24313"/>
    <w:rsid w:val="00E26159"/>
    <w:rsid w:val="00E27554"/>
    <w:rsid w:val="00E30066"/>
    <w:rsid w:val="00E31B0F"/>
    <w:rsid w:val="00E32539"/>
    <w:rsid w:val="00E32D02"/>
    <w:rsid w:val="00E330AF"/>
    <w:rsid w:val="00E33D2F"/>
    <w:rsid w:val="00E36E2D"/>
    <w:rsid w:val="00E37C96"/>
    <w:rsid w:val="00E40705"/>
    <w:rsid w:val="00E41ECB"/>
    <w:rsid w:val="00E42ADE"/>
    <w:rsid w:val="00E43C76"/>
    <w:rsid w:val="00E452B8"/>
    <w:rsid w:val="00E45961"/>
    <w:rsid w:val="00E47715"/>
    <w:rsid w:val="00E503FD"/>
    <w:rsid w:val="00E52679"/>
    <w:rsid w:val="00E5294D"/>
    <w:rsid w:val="00E52ABE"/>
    <w:rsid w:val="00E54FDB"/>
    <w:rsid w:val="00E563D7"/>
    <w:rsid w:val="00E607BA"/>
    <w:rsid w:val="00E608D2"/>
    <w:rsid w:val="00E60E80"/>
    <w:rsid w:val="00E641CC"/>
    <w:rsid w:val="00E663F4"/>
    <w:rsid w:val="00E666F2"/>
    <w:rsid w:val="00E66DD4"/>
    <w:rsid w:val="00E67F50"/>
    <w:rsid w:val="00E748CC"/>
    <w:rsid w:val="00E75415"/>
    <w:rsid w:val="00E76721"/>
    <w:rsid w:val="00E804D7"/>
    <w:rsid w:val="00E81371"/>
    <w:rsid w:val="00E83CF0"/>
    <w:rsid w:val="00E83F4C"/>
    <w:rsid w:val="00E845B6"/>
    <w:rsid w:val="00E84936"/>
    <w:rsid w:val="00E84A03"/>
    <w:rsid w:val="00E853E0"/>
    <w:rsid w:val="00E86983"/>
    <w:rsid w:val="00E9092A"/>
    <w:rsid w:val="00E93388"/>
    <w:rsid w:val="00E93629"/>
    <w:rsid w:val="00E939EC"/>
    <w:rsid w:val="00E93C36"/>
    <w:rsid w:val="00E94CEC"/>
    <w:rsid w:val="00E958CC"/>
    <w:rsid w:val="00E967A2"/>
    <w:rsid w:val="00E978B4"/>
    <w:rsid w:val="00EA022A"/>
    <w:rsid w:val="00EA04EF"/>
    <w:rsid w:val="00EA0753"/>
    <w:rsid w:val="00EA07B8"/>
    <w:rsid w:val="00EA2EF7"/>
    <w:rsid w:val="00EA3630"/>
    <w:rsid w:val="00EA3937"/>
    <w:rsid w:val="00EA5523"/>
    <w:rsid w:val="00EA6F19"/>
    <w:rsid w:val="00EB0751"/>
    <w:rsid w:val="00EB0E76"/>
    <w:rsid w:val="00EB123B"/>
    <w:rsid w:val="00EB1711"/>
    <w:rsid w:val="00EB1B53"/>
    <w:rsid w:val="00EB44F9"/>
    <w:rsid w:val="00EB4AD2"/>
    <w:rsid w:val="00EB4E46"/>
    <w:rsid w:val="00EB66A0"/>
    <w:rsid w:val="00EB7090"/>
    <w:rsid w:val="00EB7194"/>
    <w:rsid w:val="00EB7FC9"/>
    <w:rsid w:val="00EC162F"/>
    <w:rsid w:val="00EC36B1"/>
    <w:rsid w:val="00EC37E9"/>
    <w:rsid w:val="00EC5CD7"/>
    <w:rsid w:val="00EC7C39"/>
    <w:rsid w:val="00ED13FC"/>
    <w:rsid w:val="00ED2371"/>
    <w:rsid w:val="00ED2A6D"/>
    <w:rsid w:val="00ED2D4C"/>
    <w:rsid w:val="00ED3D16"/>
    <w:rsid w:val="00ED57DB"/>
    <w:rsid w:val="00ED69C6"/>
    <w:rsid w:val="00ED73A2"/>
    <w:rsid w:val="00EE078D"/>
    <w:rsid w:val="00EE0E18"/>
    <w:rsid w:val="00EE2B8F"/>
    <w:rsid w:val="00EE3B30"/>
    <w:rsid w:val="00EE5A49"/>
    <w:rsid w:val="00EE5B62"/>
    <w:rsid w:val="00EE5FB3"/>
    <w:rsid w:val="00EE6534"/>
    <w:rsid w:val="00EE68CD"/>
    <w:rsid w:val="00EE6E40"/>
    <w:rsid w:val="00EE6EB5"/>
    <w:rsid w:val="00EE7D43"/>
    <w:rsid w:val="00EE7F79"/>
    <w:rsid w:val="00EF2561"/>
    <w:rsid w:val="00EF3D4F"/>
    <w:rsid w:val="00EF7581"/>
    <w:rsid w:val="00EF75DC"/>
    <w:rsid w:val="00EF7FB1"/>
    <w:rsid w:val="00F00DB9"/>
    <w:rsid w:val="00F02895"/>
    <w:rsid w:val="00F03D52"/>
    <w:rsid w:val="00F03E6C"/>
    <w:rsid w:val="00F04397"/>
    <w:rsid w:val="00F04756"/>
    <w:rsid w:val="00F05026"/>
    <w:rsid w:val="00F065BD"/>
    <w:rsid w:val="00F06A00"/>
    <w:rsid w:val="00F06D79"/>
    <w:rsid w:val="00F07655"/>
    <w:rsid w:val="00F07907"/>
    <w:rsid w:val="00F11238"/>
    <w:rsid w:val="00F1131B"/>
    <w:rsid w:val="00F113D1"/>
    <w:rsid w:val="00F11468"/>
    <w:rsid w:val="00F14711"/>
    <w:rsid w:val="00F14EA8"/>
    <w:rsid w:val="00F15BB0"/>
    <w:rsid w:val="00F160A5"/>
    <w:rsid w:val="00F16DD7"/>
    <w:rsid w:val="00F179D4"/>
    <w:rsid w:val="00F2023C"/>
    <w:rsid w:val="00F22FBD"/>
    <w:rsid w:val="00F2345B"/>
    <w:rsid w:val="00F23733"/>
    <w:rsid w:val="00F23DDD"/>
    <w:rsid w:val="00F26C96"/>
    <w:rsid w:val="00F26DCE"/>
    <w:rsid w:val="00F303DE"/>
    <w:rsid w:val="00F31564"/>
    <w:rsid w:val="00F32231"/>
    <w:rsid w:val="00F33C56"/>
    <w:rsid w:val="00F34643"/>
    <w:rsid w:val="00F347C1"/>
    <w:rsid w:val="00F347C7"/>
    <w:rsid w:val="00F34848"/>
    <w:rsid w:val="00F35A91"/>
    <w:rsid w:val="00F37029"/>
    <w:rsid w:val="00F37A6C"/>
    <w:rsid w:val="00F40F66"/>
    <w:rsid w:val="00F41116"/>
    <w:rsid w:val="00F41604"/>
    <w:rsid w:val="00F4284B"/>
    <w:rsid w:val="00F42D46"/>
    <w:rsid w:val="00F43066"/>
    <w:rsid w:val="00F4496C"/>
    <w:rsid w:val="00F45BA5"/>
    <w:rsid w:val="00F45BF3"/>
    <w:rsid w:val="00F45D0E"/>
    <w:rsid w:val="00F47365"/>
    <w:rsid w:val="00F47827"/>
    <w:rsid w:val="00F4786E"/>
    <w:rsid w:val="00F47881"/>
    <w:rsid w:val="00F47CB6"/>
    <w:rsid w:val="00F518D1"/>
    <w:rsid w:val="00F52527"/>
    <w:rsid w:val="00F528D3"/>
    <w:rsid w:val="00F54039"/>
    <w:rsid w:val="00F5789E"/>
    <w:rsid w:val="00F57F44"/>
    <w:rsid w:val="00F614C0"/>
    <w:rsid w:val="00F6195E"/>
    <w:rsid w:val="00F627AB"/>
    <w:rsid w:val="00F62F51"/>
    <w:rsid w:val="00F63693"/>
    <w:rsid w:val="00F65C74"/>
    <w:rsid w:val="00F66463"/>
    <w:rsid w:val="00F679DC"/>
    <w:rsid w:val="00F67AC4"/>
    <w:rsid w:val="00F67E82"/>
    <w:rsid w:val="00F70A7F"/>
    <w:rsid w:val="00F70BE1"/>
    <w:rsid w:val="00F71771"/>
    <w:rsid w:val="00F72D48"/>
    <w:rsid w:val="00F72EA1"/>
    <w:rsid w:val="00F75388"/>
    <w:rsid w:val="00F75FE6"/>
    <w:rsid w:val="00F775DF"/>
    <w:rsid w:val="00F778C5"/>
    <w:rsid w:val="00F80290"/>
    <w:rsid w:val="00F82129"/>
    <w:rsid w:val="00F83848"/>
    <w:rsid w:val="00F83993"/>
    <w:rsid w:val="00F84206"/>
    <w:rsid w:val="00F84FFD"/>
    <w:rsid w:val="00F84FFE"/>
    <w:rsid w:val="00F857B7"/>
    <w:rsid w:val="00F86F71"/>
    <w:rsid w:val="00F87446"/>
    <w:rsid w:val="00F87D2C"/>
    <w:rsid w:val="00F903FF"/>
    <w:rsid w:val="00F90482"/>
    <w:rsid w:val="00F9091A"/>
    <w:rsid w:val="00F916B7"/>
    <w:rsid w:val="00F9266D"/>
    <w:rsid w:val="00F92C91"/>
    <w:rsid w:val="00F93028"/>
    <w:rsid w:val="00F93988"/>
    <w:rsid w:val="00F93F27"/>
    <w:rsid w:val="00F94BCB"/>
    <w:rsid w:val="00FA1B7D"/>
    <w:rsid w:val="00FA2716"/>
    <w:rsid w:val="00FA35EA"/>
    <w:rsid w:val="00FA3DF8"/>
    <w:rsid w:val="00FA4514"/>
    <w:rsid w:val="00FA4833"/>
    <w:rsid w:val="00FA5887"/>
    <w:rsid w:val="00FA6A45"/>
    <w:rsid w:val="00FA7F15"/>
    <w:rsid w:val="00FB0E74"/>
    <w:rsid w:val="00FB2FA0"/>
    <w:rsid w:val="00FB5B1C"/>
    <w:rsid w:val="00FC0C66"/>
    <w:rsid w:val="00FC1049"/>
    <w:rsid w:val="00FC205B"/>
    <w:rsid w:val="00FC216B"/>
    <w:rsid w:val="00FC286F"/>
    <w:rsid w:val="00FC3C9C"/>
    <w:rsid w:val="00FC43A5"/>
    <w:rsid w:val="00FC4B29"/>
    <w:rsid w:val="00FC4E21"/>
    <w:rsid w:val="00FC5F6D"/>
    <w:rsid w:val="00FC6592"/>
    <w:rsid w:val="00FC6A68"/>
    <w:rsid w:val="00FC78D2"/>
    <w:rsid w:val="00FC7DA6"/>
    <w:rsid w:val="00FC7EDC"/>
    <w:rsid w:val="00FC7F99"/>
    <w:rsid w:val="00FD2C2F"/>
    <w:rsid w:val="00FD3B31"/>
    <w:rsid w:val="00FD3D4A"/>
    <w:rsid w:val="00FD4E89"/>
    <w:rsid w:val="00FD53BA"/>
    <w:rsid w:val="00FD63FE"/>
    <w:rsid w:val="00FD6C5D"/>
    <w:rsid w:val="00FD72EC"/>
    <w:rsid w:val="00FE10B9"/>
    <w:rsid w:val="00FE1823"/>
    <w:rsid w:val="00FE207F"/>
    <w:rsid w:val="00FE24D2"/>
    <w:rsid w:val="00FE36D7"/>
    <w:rsid w:val="00FE487A"/>
    <w:rsid w:val="00FE5177"/>
    <w:rsid w:val="00FE5933"/>
    <w:rsid w:val="00FE77F4"/>
    <w:rsid w:val="00FF0569"/>
    <w:rsid w:val="00FF06BE"/>
    <w:rsid w:val="00FF19CC"/>
    <w:rsid w:val="00FF2155"/>
    <w:rsid w:val="00FF6EB1"/>
    <w:rsid w:val="00FF6F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colormru v:ext="edit" colors="red,#4d4d4f"/>
    </o:shapedefaults>
    <o:shapelayout v:ext="edit">
      <o:idmap v:ext="edit" data="1"/>
    </o:shapelayout>
  </w:shapeDefaults>
  <w:decimalSymbol w:val="."/>
  <w:listSeparator w:val=","/>
  <w14:docId w14:val="3CAFFE01"/>
  <w15:docId w15:val="{39DC7472-7BAA-48A6-A6DE-1AF700BD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65D"/>
    <w:pPr>
      <w:spacing w:line="240" w:lineRule="atLeast"/>
    </w:pPr>
    <w:rPr>
      <w:rFonts w:ascii="Arial" w:hAnsi="Arial"/>
      <w:szCs w:val="24"/>
    </w:rPr>
  </w:style>
  <w:style w:type="paragraph" w:styleId="Heading1">
    <w:name w:val="heading 1"/>
    <w:basedOn w:val="Normal"/>
    <w:next w:val="Normal"/>
    <w:qFormat/>
    <w:rsid w:val="00AE08C9"/>
    <w:pPr>
      <w:keepNext/>
      <w:pageBreakBefore/>
      <w:widowControl w:val="0"/>
      <w:numPr>
        <w:numId w:val="14"/>
      </w:numPr>
      <w:tabs>
        <w:tab w:val="num" w:pos="720"/>
      </w:tabs>
      <w:spacing w:after="360" w:line="550" w:lineRule="exact"/>
      <w:ind w:left="720" w:hanging="720"/>
      <w:outlineLvl w:val="0"/>
    </w:pPr>
    <w:rPr>
      <w:rFonts w:cs="Arial"/>
      <w:bCs/>
      <w:color w:val="4D4D4F"/>
      <w:kern w:val="32"/>
      <w:sz w:val="53"/>
      <w:szCs w:val="32"/>
    </w:rPr>
  </w:style>
  <w:style w:type="paragraph" w:styleId="Heading2">
    <w:name w:val="heading 2"/>
    <w:basedOn w:val="Normal"/>
    <w:next w:val="Normal"/>
    <w:qFormat/>
    <w:rsid w:val="00A07096"/>
    <w:pPr>
      <w:keepNext/>
      <w:numPr>
        <w:ilvl w:val="1"/>
        <w:numId w:val="14"/>
      </w:numPr>
      <w:spacing w:before="60" w:after="60"/>
      <w:outlineLvl w:val="1"/>
    </w:pPr>
    <w:rPr>
      <w:rFonts w:cs="Arial"/>
      <w:b/>
      <w:bCs/>
      <w:iCs/>
      <w:sz w:val="28"/>
      <w:szCs w:val="28"/>
    </w:rPr>
  </w:style>
  <w:style w:type="paragraph" w:styleId="Heading3">
    <w:name w:val="heading 3"/>
    <w:basedOn w:val="Normal"/>
    <w:next w:val="Normal"/>
    <w:link w:val="Heading3Char"/>
    <w:qFormat/>
    <w:rsid w:val="00A07096"/>
    <w:pPr>
      <w:keepNext/>
      <w:numPr>
        <w:ilvl w:val="2"/>
        <w:numId w:val="14"/>
      </w:numPr>
      <w:spacing w:before="60" w:after="60"/>
      <w:outlineLvl w:val="2"/>
    </w:pPr>
    <w:rPr>
      <w:rFonts w:cs="Arial"/>
      <w:b/>
      <w:bCs/>
      <w:szCs w:val="26"/>
    </w:rPr>
  </w:style>
  <w:style w:type="paragraph" w:styleId="Heading4">
    <w:name w:val="heading 4"/>
    <w:basedOn w:val="Normal"/>
    <w:next w:val="Normal"/>
    <w:semiHidden/>
    <w:qFormat/>
    <w:rsid w:val="00BE4C11"/>
    <w:pPr>
      <w:keepNext/>
      <w:numPr>
        <w:ilvl w:val="3"/>
        <w:numId w:val="14"/>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BE4C11"/>
    <w:pPr>
      <w:numPr>
        <w:ilvl w:val="4"/>
        <w:numId w:val="14"/>
      </w:numPr>
      <w:spacing w:before="240" w:after="60"/>
      <w:outlineLvl w:val="4"/>
    </w:pPr>
    <w:rPr>
      <w:b/>
      <w:bCs/>
      <w:i/>
      <w:iCs/>
      <w:sz w:val="26"/>
      <w:szCs w:val="26"/>
    </w:rPr>
  </w:style>
  <w:style w:type="paragraph" w:styleId="Heading6">
    <w:name w:val="heading 6"/>
    <w:basedOn w:val="Normal"/>
    <w:next w:val="Normal"/>
    <w:semiHidden/>
    <w:qFormat/>
    <w:rsid w:val="00BE4C11"/>
    <w:pPr>
      <w:numPr>
        <w:ilvl w:val="5"/>
        <w:numId w:val="14"/>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BE4C11"/>
    <w:pPr>
      <w:numPr>
        <w:ilvl w:val="6"/>
        <w:numId w:val="14"/>
      </w:numPr>
      <w:spacing w:before="240" w:after="60"/>
      <w:outlineLvl w:val="6"/>
    </w:pPr>
    <w:rPr>
      <w:rFonts w:ascii="Times New Roman" w:hAnsi="Times New Roman"/>
      <w:sz w:val="24"/>
    </w:rPr>
  </w:style>
  <w:style w:type="paragraph" w:styleId="Heading8">
    <w:name w:val="heading 8"/>
    <w:basedOn w:val="Normal"/>
    <w:next w:val="Normal"/>
    <w:semiHidden/>
    <w:qFormat/>
    <w:rsid w:val="00BE4C11"/>
    <w:pPr>
      <w:numPr>
        <w:ilvl w:val="7"/>
        <w:numId w:val="14"/>
      </w:numPr>
      <w:spacing w:before="240" w:after="60"/>
      <w:outlineLvl w:val="7"/>
    </w:pPr>
    <w:rPr>
      <w:rFonts w:ascii="Times New Roman" w:hAnsi="Times New Roman"/>
      <w:i/>
      <w:iCs/>
      <w:sz w:val="24"/>
    </w:rPr>
  </w:style>
  <w:style w:type="paragraph" w:styleId="Heading9">
    <w:name w:val="heading 9"/>
    <w:basedOn w:val="Normal"/>
    <w:next w:val="Normal"/>
    <w:semiHidden/>
    <w:qFormat/>
    <w:rsid w:val="00BE4C11"/>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791C"/>
    <w:pPr>
      <w:tabs>
        <w:tab w:val="center" w:pos="4153"/>
        <w:tab w:val="right" w:pos="8306"/>
      </w:tabs>
      <w:spacing w:line="240" w:lineRule="auto"/>
    </w:pPr>
    <w:rPr>
      <w:sz w:val="16"/>
    </w:rPr>
  </w:style>
  <w:style w:type="paragraph" w:styleId="Footer">
    <w:name w:val="footer"/>
    <w:basedOn w:val="Normal"/>
    <w:link w:val="FooterChar"/>
    <w:uiPriority w:val="99"/>
    <w:rsid w:val="0070791C"/>
    <w:pPr>
      <w:tabs>
        <w:tab w:val="center" w:pos="4153"/>
        <w:tab w:val="right" w:pos="8306"/>
      </w:tabs>
      <w:spacing w:line="240" w:lineRule="auto"/>
    </w:pPr>
    <w:rPr>
      <w:sz w:val="16"/>
    </w:rPr>
  </w:style>
  <w:style w:type="paragraph" w:customStyle="1" w:styleId="ReportTitle">
    <w:name w:val="Report Title"/>
    <w:basedOn w:val="Normal"/>
    <w:rsid w:val="00A07096"/>
    <w:pPr>
      <w:spacing w:line="560" w:lineRule="exact"/>
    </w:pPr>
    <w:rPr>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A07096"/>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A07096"/>
    <w:pPr>
      <w:spacing w:line="240" w:lineRule="auto"/>
    </w:pPr>
    <w:rPr>
      <w:b/>
      <w:color w:val="4D4D4F"/>
      <w:spacing w:val="-28"/>
      <w:sz w:val="53"/>
    </w:rPr>
  </w:style>
  <w:style w:type="paragraph" w:styleId="Caption">
    <w:name w:val="caption"/>
    <w:basedOn w:val="Normal"/>
    <w:next w:val="Normal"/>
    <w:qFormat/>
    <w:rsid w:val="0027165D"/>
    <w:rPr>
      <w:b/>
      <w:bCs/>
      <w:color w:val="808285"/>
      <w:szCs w:val="20"/>
    </w:rPr>
  </w:style>
  <w:style w:type="paragraph" w:customStyle="1" w:styleId="Bodysubheader">
    <w:name w:val="Body sub header"/>
    <w:basedOn w:val="Normal"/>
    <w:next w:val="Normal"/>
    <w:rsid w:val="0027165D"/>
    <w:rPr>
      <w:b/>
      <w:i/>
    </w:rPr>
  </w:style>
  <w:style w:type="paragraph" w:styleId="ListBullet">
    <w:name w:val="List Bullet"/>
    <w:basedOn w:val="Normal"/>
    <w:rsid w:val="001C6AEE"/>
    <w:pPr>
      <w:numPr>
        <w:numId w:val="1"/>
      </w:numPr>
      <w:spacing w:after="80"/>
    </w:pPr>
  </w:style>
  <w:style w:type="paragraph" w:styleId="ListBullet2">
    <w:name w:val="List Bullet 2"/>
    <w:basedOn w:val="Normal"/>
    <w:rsid w:val="001C6AEE"/>
    <w:pPr>
      <w:numPr>
        <w:numId w:val="2"/>
      </w:numPr>
      <w:spacing w:after="80"/>
    </w:pPr>
  </w:style>
  <w:style w:type="paragraph" w:styleId="ListNumber">
    <w:name w:val="List Number"/>
    <w:basedOn w:val="Normal"/>
    <w:rsid w:val="00C24A53"/>
    <w:pPr>
      <w:numPr>
        <w:numId w:val="3"/>
      </w:numPr>
      <w:spacing w:after="80"/>
    </w:pPr>
  </w:style>
  <w:style w:type="paragraph" w:styleId="ListNumber2">
    <w:name w:val="List Number 2"/>
    <w:basedOn w:val="Normal"/>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A07096"/>
    <w:pPr>
      <w:spacing w:after="1440" w:line="550" w:lineRule="exact"/>
    </w:pPr>
    <w:rPr>
      <w:b/>
      <w:color w:val="4D4D4F"/>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uiPriority w:val="99"/>
    <w:semiHidden/>
    <w:rsid w:val="009F4C6B"/>
    <w:pPr>
      <w:spacing w:line="240" w:lineRule="auto"/>
    </w:pPr>
    <w:rPr>
      <w:rFonts w:ascii="Tahoma" w:hAnsi="Tahoma" w:cs="Tahoma"/>
      <w:sz w:val="16"/>
      <w:szCs w:val="16"/>
    </w:rPr>
  </w:style>
  <w:style w:type="paragraph" w:styleId="TOC1">
    <w:name w:val="toc 1"/>
    <w:basedOn w:val="Normal"/>
    <w:next w:val="Normal"/>
    <w:uiPriority w:val="39"/>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uiPriority w:val="39"/>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rsid w:val="00C70E70"/>
    <w:pPr>
      <w:tabs>
        <w:tab w:val="right" w:pos="7661"/>
      </w:tabs>
      <w:spacing w:line="240" w:lineRule="auto"/>
    </w:pPr>
    <w:rPr>
      <w:noProof/>
      <w:color w:val="808285"/>
      <w:sz w:val="22"/>
      <w:szCs w:val="22"/>
    </w:rPr>
  </w:style>
  <w:style w:type="character" w:styleId="Hyperlink">
    <w:name w:val="Hyperlink"/>
    <w:basedOn w:val="DefaultParagraphFont"/>
    <w:uiPriority w:val="99"/>
    <w:rsid w:val="003A5F5B"/>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uiPriority w:val="39"/>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BalloonTextChar">
    <w:name w:val="Balloon Text Char"/>
    <w:basedOn w:val="DefaultParagraphFont"/>
    <w:link w:val="BalloonText"/>
    <w:uiPriority w:val="99"/>
    <w:semiHidden/>
    <w:rsid w:val="006A6DA2"/>
    <w:rPr>
      <w:rFonts w:ascii="Tahoma" w:hAnsi="Tahoma" w:cs="Tahoma"/>
      <w:sz w:val="16"/>
      <w:szCs w:val="16"/>
    </w:rPr>
  </w:style>
  <w:style w:type="paragraph" w:customStyle="1" w:styleId="ChapterHeading">
    <w:name w:val="Chapter Heading"/>
    <w:basedOn w:val="Normal"/>
    <w:rsid w:val="00DF34FE"/>
    <w:pPr>
      <w:spacing w:line="560" w:lineRule="exact"/>
    </w:pPr>
    <w:rPr>
      <w:color w:val="808285"/>
      <w:spacing w:val="-28"/>
      <w:sz w:val="53"/>
    </w:rPr>
  </w:style>
  <w:style w:type="character" w:customStyle="1" w:styleId="apple-style-span">
    <w:name w:val="apple-style-span"/>
    <w:basedOn w:val="DefaultParagraphFont"/>
    <w:rsid w:val="00EE7F79"/>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uiPriority w:val="99"/>
    <w:semiHidden/>
    <w:rsid w:val="00EE7F79"/>
    <w:rPr>
      <w:b/>
      <w:bCs/>
    </w:rPr>
  </w:style>
  <w:style w:type="character" w:customStyle="1" w:styleId="CommentSubjectChar">
    <w:name w:val="Comment Subject Char"/>
    <w:basedOn w:val="CommentTextChar"/>
    <w:link w:val="CommentSubject"/>
    <w:uiPriority w:val="99"/>
    <w:semiHidden/>
    <w:rsid w:val="00EE7F79"/>
    <w:rPr>
      <w:rFonts w:ascii="Arial" w:hAnsi="Arial"/>
      <w:b/>
      <w:bCs/>
    </w:rPr>
  </w:style>
  <w:style w:type="paragraph" w:styleId="NormalWeb">
    <w:name w:val="Normal (Web)"/>
    <w:basedOn w:val="Normal"/>
    <w:uiPriority w:val="99"/>
    <w:unhideWhenUsed/>
    <w:rsid w:val="00C97736"/>
    <w:pPr>
      <w:spacing w:before="100" w:beforeAutospacing="1" w:after="100" w:afterAutospacing="1" w:line="240" w:lineRule="auto"/>
    </w:pPr>
    <w:rPr>
      <w:rFonts w:ascii="Times New Roman" w:eastAsiaTheme="minorHAnsi" w:hAnsi="Times New Roman"/>
      <w:sz w:val="24"/>
    </w:rPr>
  </w:style>
  <w:style w:type="character" w:styleId="PlaceholderText">
    <w:name w:val="Placeholder Text"/>
    <w:basedOn w:val="DefaultParagraphFont"/>
    <w:uiPriority w:val="99"/>
    <w:semiHidden/>
    <w:rsid w:val="00C97736"/>
    <w:rPr>
      <w:color w:val="808080"/>
    </w:rPr>
  </w:style>
  <w:style w:type="character" w:customStyle="1" w:styleId="HeaderChar">
    <w:name w:val="Header Char"/>
    <w:basedOn w:val="DefaultParagraphFont"/>
    <w:link w:val="Header"/>
    <w:uiPriority w:val="99"/>
    <w:semiHidden/>
    <w:rsid w:val="008A60B8"/>
    <w:rPr>
      <w:rFonts w:ascii="Arial" w:hAnsi="Arial"/>
      <w:sz w:val="16"/>
      <w:szCs w:val="24"/>
    </w:rPr>
  </w:style>
  <w:style w:type="character" w:customStyle="1" w:styleId="FooterChar">
    <w:name w:val="Footer Char"/>
    <w:basedOn w:val="DefaultParagraphFont"/>
    <w:link w:val="Footer"/>
    <w:uiPriority w:val="99"/>
    <w:rsid w:val="008A60B8"/>
    <w:rPr>
      <w:rFonts w:ascii="Arial" w:hAnsi="Arial"/>
      <w:sz w:val="16"/>
      <w:szCs w:val="24"/>
    </w:rPr>
  </w:style>
  <w:style w:type="paragraph" w:styleId="ListParagraph">
    <w:name w:val="List Paragraph"/>
    <w:basedOn w:val="Normal"/>
    <w:uiPriority w:val="34"/>
    <w:qFormat/>
    <w:rsid w:val="008A60B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uiPriority w:val="99"/>
    <w:rsid w:val="008A60B8"/>
    <w:rPr>
      <w:rFonts w:ascii="Arial" w:hAnsi="Arial"/>
      <w:sz w:val="16"/>
      <w:szCs w:val="16"/>
    </w:rPr>
  </w:style>
  <w:style w:type="character" w:styleId="FollowedHyperlink">
    <w:name w:val="FollowedHyperlink"/>
    <w:basedOn w:val="DefaultParagraphFont"/>
    <w:uiPriority w:val="99"/>
    <w:semiHidden/>
    <w:unhideWhenUsed/>
    <w:rsid w:val="008A60B8"/>
    <w:rPr>
      <w:color w:val="800080" w:themeColor="followedHyperlink"/>
      <w:u w:val="single"/>
    </w:rPr>
  </w:style>
  <w:style w:type="character" w:styleId="Emphasis">
    <w:name w:val="Emphasis"/>
    <w:basedOn w:val="DefaultParagraphFont"/>
    <w:uiPriority w:val="20"/>
    <w:qFormat/>
    <w:rsid w:val="008A60B8"/>
    <w:rPr>
      <w:i/>
      <w:iCs/>
    </w:rPr>
  </w:style>
  <w:style w:type="table" w:styleId="LightList-Accent3">
    <w:name w:val="Light List Accent 3"/>
    <w:basedOn w:val="TableNormal"/>
    <w:uiPriority w:val="61"/>
    <w:rsid w:val="008A60B8"/>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1">
    <w:name w:val="P1"/>
    <w:aliases w:val="(a)"/>
    <w:basedOn w:val="Normal"/>
    <w:rsid w:val="008A60B8"/>
    <w:pPr>
      <w:keepLines/>
      <w:tabs>
        <w:tab w:val="right" w:pos="1191"/>
      </w:tabs>
      <w:spacing w:before="60" w:line="260" w:lineRule="exact"/>
      <w:ind w:left="1418" w:hanging="1418"/>
      <w:jc w:val="both"/>
    </w:pPr>
    <w:rPr>
      <w:rFonts w:ascii="Times New Roman" w:hAnsi="Times New Roman"/>
      <w:sz w:val="24"/>
    </w:rPr>
  </w:style>
  <w:style w:type="paragraph" w:customStyle="1" w:styleId="ACMABodyText">
    <w:name w:val="ACMA Body Text"/>
    <w:link w:val="ACMABodyTextChar"/>
    <w:rsid w:val="008A60B8"/>
    <w:pPr>
      <w:suppressAutoHyphens/>
      <w:spacing w:before="80" w:after="120" w:line="280" w:lineRule="atLeast"/>
    </w:pPr>
    <w:rPr>
      <w:snapToGrid w:val="0"/>
      <w:sz w:val="24"/>
      <w:lang w:eastAsia="en-US"/>
    </w:rPr>
  </w:style>
  <w:style w:type="paragraph" w:customStyle="1" w:styleId="ACMABulletLevel1">
    <w:name w:val="ACMA Bullet Level 1"/>
    <w:rsid w:val="008A60B8"/>
    <w:pPr>
      <w:numPr>
        <w:numId w:val="10"/>
      </w:numPr>
      <w:spacing w:after="120"/>
    </w:pPr>
    <w:rPr>
      <w:sz w:val="24"/>
      <w:lang w:eastAsia="en-US"/>
    </w:rPr>
  </w:style>
  <w:style w:type="paragraph" w:customStyle="1" w:styleId="ACMAHeading1">
    <w:name w:val="ACMA Heading 1"/>
    <w:next w:val="ACMABodyText"/>
    <w:link w:val="ACMAHeading1Char"/>
    <w:rsid w:val="008A60B8"/>
    <w:pPr>
      <w:keepNext/>
      <w:suppressAutoHyphens/>
      <w:spacing w:before="320"/>
      <w:outlineLvl w:val="1"/>
    </w:pPr>
    <w:rPr>
      <w:rFonts w:ascii="Arial" w:hAnsi="Arial"/>
      <w:b/>
      <w:sz w:val="32"/>
      <w:szCs w:val="32"/>
      <w:lang w:val="en-US" w:eastAsia="en-US"/>
    </w:rPr>
  </w:style>
  <w:style w:type="paragraph" w:customStyle="1" w:styleId="ACMAHeading3">
    <w:name w:val="ACMA Heading 3"/>
    <w:next w:val="ACMABodyText"/>
    <w:rsid w:val="008A60B8"/>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8A60B8"/>
    <w:pPr>
      <w:keepNext/>
      <w:suppressAutoHyphens/>
      <w:spacing w:before="80"/>
      <w:outlineLvl w:val="4"/>
    </w:pPr>
    <w:rPr>
      <w:rFonts w:ascii="Arial" w:hAnsi="Arial"/>
      <w:b/>
      <w:i/>
      <w:lang w:eastAsia="en-US"/>
    </w:rPr>
  </w:style>
  <w:style w:type="paragraph" w:customStyle="1" w:styleId="ACMAletteredlist">
    <w:name w:val="ACMA lettered list"/>
    <w:rsid w:val="008A60B8"/>
    <w:pPr>
      <w:numPr>
        <w:numId w:val="11"/>
      </w:numPr>
      <w:spacing w:before="20" w:after="20"/>
    </w:pPr>
    <w:rPr>
      <w:sz w:val="24"/>
      <w:lang w:eastAsia="en-US"/>
    </w:rPr>
  </w:style>
  <w:style w:type="paragraph" w:customStyle="1" w:styleId="Hangingindent">
    <w:name w:val="Hanging indent"/>
    <w:rsid w:val="008A60B8"/>
    <w:pPr>
      <w:tabs>
        <w:tab w:val="left" w:pos="567"/>
      </w:tabs>
      <w:spacing w:after="170"/>
      <w:ind w:left="567" w:hanging="567"/>
    </w:pPr>
    <w:rPr>
      <w:snapToGrid w:val="0"/>
      <w:sz w:val="24"/>
      <w:lang w:val="en-US" w:eastAsia="en-US"/>
    </w:rPr>
  </w:style>
  <w:style w:type="paragraph" w:customStyle="1" w:styleId="BodyText1">
    <w:name w:val="Body Text1"/>
    <w:rsid w:val="008A60B8"/>
    <w:pPr>
      <w:spacing w:after="170"/>
    </w:pPr>
    <w:rPr>
      <w:snapToGrid w:val="0"/>
      <w:color w:val="000000"/>
      <w:sz w:val="24"/>
      <w:lang w:val="en-US" w:eastAsia="en-US"/>
    </w:rPr>
  </w:style>
  <w:style w:type="character" w:customStyle="1" w:styleId="ACMABodyTextChar">
    <w:name w:val="ACMA Body Text Char"/>
    <w:basedOn w:val="DefaultParagraphFont"/>
    <w:link w:val="ACMABodyText"/>
    <w:rsid w:val="008A60B8"/>
    <w:rPr>
      <w:snapToGrid w:val="0"/>
      <w:sz w:val="24"/>
      <w:lang w:eastAsia="en-US"/>
    </w:rPr>
  </w:style>
  <w:style w:type="character" w:customStyle="1" w:styleId="ACMAHeading1Char">
    <w:name w:val="ACMA Heading 1 Char"/>
    <w:basedOn w:val="DefaultParagraphFont"/>
    <w:link w:val="ACMAHeading1"/>
    <w:rsid w:val="008A60B8"/>
    <w:rPr>
      <w:rFonts w:ascii="Arial" w:hAnsi="Arial"/>
      <w:b/>
      <w:sz w:val="32"/>
      <w:szCs w:val="32"/>
      <w:lang w:val="en-US" w:eastAsia="en-US"/>
    </w:rPr>
  </w:style>
  <w:style w:type="character" w:styleId="LineNumber">
    <w:name w:val="line number"/>
    <w:basedOn w:val="DefaultParagraphFont"/>
    <w:semiHidden/>
    <w:rsid w:val="009D4747"/>
  </w:style>
  <w:style w:type="paragraph" w:styleId="Revision">
    <w:name w:val="Revision"/>
    <w:hidden/>
    <w:uiPriority w:val="99"/>
    <w:semiHidden/>
    <w:rsid w:val="00AB56ED"/>
    <w:rPr>
      <w:rFonts w:ascii="Arial" w:hAnsi="Arial"/>
      <w:szCs w:val="24"/>
    </w:rPr>
  </w:style>
  <w:style w:type="character" w:customStyle="1" w:styleId="Heading3Char">
    <w:name w:val="Heading 3 Char"/>
    <w:basedOn w:val="DefaultParagraphFont"/>
    <w:link w:val="Heading3"/>
    <w:rsid w:val="00B3631F"/>
    <w:rPr>
      <w:rFonts w:ascii="Arial" w:hAnsi="Arial" w:cs="Arial"/>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8047">
      <w:bodyDiv w:val="1"/>
      <w:marLeft w:val="0"/>
      <w:marRight w:val="0"/>
      <w:marTop w:val="0"/>
      <w:marBottom w:val="0"/>
      <w:divBdr>
        <w:top w:val="none" w:sz="0" w:space="0" w:color="auto"/>
        <w:left w:val="none" w:sz="0" w:space="0" w:color="auto"/>
        <w:bottom w:val="none" w:sz="0" w:space="0" w:color="auto"/>
        <w:right w:val="none" w:sz="0" w:space="0" w:color="auto"/>
      </w:divBdr>
    </w:div>
    <w:div w:id="574585644">
      <w:bodyDiv w:val="1"/>
      <w:marLeft w:val="0"/>
      <w:marRight w:val="0"/>
      <w:marTop w:val="0"/>
      <w:marBottom w:val="0"/>
      <w:divBdr>
        <w:top w:val="none" w:sz="0" w:space="0" w:color="auto"/>
        <w:left w:val="none" w:sz="0" w:space="0" w:color="auto"/>
        <w:bottom w:val="none" w:sz="0" w:space="0" w:color="auto"/>
        <w:right w:val="none" w:sz="0" w:space="0" w:color="auto"/>
      </w:divBdr>
    </w:div>
    <w:div w:id="608663004">
      <w:bodyDiv w:val="1"/>
      <w:marLeft w:val="0"/>
      <w:marRight w:val="0"/>
      <w:marTop w:val="0"/>
      <w:marBottom w:val="0"/>
      <w:divBdr>
        <w:top w:val="none" w:sz="0" w:space="0" w:color="auto"/>
        <w:left w:val="none" w:sz="0" w:space="0" w:color="auto"/>
        <w:bottom w:val="none" w:sz="0" w:space="0" w:color="auto"/>
        <w:right w:val="none" w:sz="0" w:space="0" w:color="auto"/>
      </w:divBdr>
    </w:div>
    <w:div w:id="1424565658">
      <w:bodyDiv w:val="1"/>
      <w:marLeft w:val="0"/>
      <w:marRight w:val="0"/>
      <w:marTop w:val="0"/>
      <w:marBottom w:val="0"/>
      <w:divBdr>
        <w:top w:val="none" w:sz="0" w:space="0" w:color="auto"/>
        <w:left w:val="none" w:sz="0" w:space="0" w:color="auto"/>
        <w:bottom w:val="none" w:sz="0" w:space="0" w:color="auto"/>
        <w:right w:val="none" w:sz="0" w:space="0" w:color="auto"/>
      </w:divBdr>
    </w:div>
    <w:div w:id="1656452639">
      <w:bodyDiv w:val="1"/>
      <w:marLeft w:val="0"/>
      <w:marRight w:val="0"/>
      <w:marTop w:val="0"/>
      <w:marBottom w:val="0"/>
      <w:divBdr>
        <w:top w:val="none" w:sz="0" w:space="0" w:color="auto"/>
        <w:left w:val="none" w:sz="0" w:space="0" w:color="auto"/>
        <w:bottom w:val="none" w:sz="0" w:space="0" w:color="auto"/>
        <w:right w:val="none" w:sz="0" w:space="0" w:color="auto"/>
      </w:divBdr>
    </w:div>
    <w:div w:id="19324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www.acma.gov.au/WEB/STANDARD/pc=PC_312475" TargetMode="External"/><Relationship Id="rId39" Type="http://schemas.openxmlformats.org/officeDocument/2006/relationships/hyperlink" Target="http://www.powerauctions.com/" TargetMode="External"/><Relationship Id="rId21" Type="http://schemas.openxmlformats.org/officeDocument/2006/relationships/footer" Target="footer4.xml"/><Relationship Id="rId34" Type="http://schemas.openxmlformats.org/officeDocument/2006/relationships/image" Target="media/image4.png"/><Relationship Id="rId42" Type="http://schemas.openxmlformats.org/officeDocument/2006/relationships/hyperlink" Target="http://engage.acma.gov.au/digitaldividend/auction-forms" TargetMode="External"/><Relationship Id="rId47" Type="http://schemas.openxmlformats.org/officeDocument/2006/relationships/hyperlink" Target="http://engage.acma.gov.au/know-your-obligations-help-for-spectrum-licensees/" TargetMode="External"/><Relationship Id="rId50" Type="http://schemas.openxmlformats.org/officeDocument/2006/relationships/hyperlink" Target="http://www.acma.gov.au/webwr/_assets/main/lib410188/registration-rcomms_devices_under_spectrum_licences.docx" TargetMode="External"/><Relationship Id="rId55" Type="http://schemas.openxmlformats.org/officeDocument/2006/relationships/hyperlink" Target="http://www.acma.gov.au/WEB/STANDARD/pc=PC_2708" TargetMode="External"/><Relationship Id="rId63" Type="http://schemas.openxmlformats.org/officeDocument/2006/relationships/hyperlink" Target="http://www.comlaw.gov.au/Details/F2012L02548" TargetMode="External"/><Relationship Id="rId68" Type="http://schemas.openxmlformats.org/officeDocument/2006/relationships/hyperlink" Target="http://www.comlaw.gov.au/Details/F2012L02552" TargetMode="External"/><Relationship Id="rId76" Type="http://schemas.openxmlformats.org/officeDocument/2006/relationships/hyperlink" Target="http://www.comlaw.gov.au/Details/F2012L00206" TargetMode="External"/><Relationship Id="rId84" Type="http://schemas.openxmlformats.org/officeDocument/2006/relationships/hyperlink" Target="http://www.comlaw.gov.au/Details/C2012C00773" TargetMode="External"/><Relationship Id="rId89" Type="http://schemas.openxmlformats.org/officeDocument/2006/relationships/footer" Target="footer8.xml"/><Relationship Id="rId7" Type="http://schemas.openxmlformats.org/officeDocument/2006/relationships/styles" Target="styles.xml"/><Relationship Id="rId71" Type="http://schemas.openxmlformats.org/officeDocument/2006/relationships/hyperlink" Target="http://www.comlaw.gov.au/Details/F2012L02549"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1.emf"/><Relationship Id="rId11" Type="http://schemas.openxmlformats.org/officeDocument/2006/relationships/endnotes" Target="endnotes.xml"/><Relationship Id="rId24" Type="http://schemas.openxmlformats.org/officeDocument/2006/relationships/hyperlink" Target="http://www.acma.gov.au/WEB/STANDARD/pc=PC_410102" TargetMode="External"/><Relationship Id="rId32" Type="http://schemas.openxmlformats.org/officeDocument/2006/relationships/hyperlink" Target="http://www.acma.gov.au/interforms/placemarks/spectrum_mp/market_region_700.kmz" TargetMode="External"/><Relationship Id="rId37" Type="http://schemas.openxmlformats.org/officeDocument/2006/relationships/hyperlink" Target="http://engage.acma.gov.au/digitaldividend/" TargetMode="External"/><Relationship Id="rId40" Type="http://schemas.openxmlformats.org/officeDocument/2006/relationships/hyperlink" Target="http://www.smithinst.co.uk/" TargetMode="External"/><Relationship Id="rId45" Type="http://schemas.openxmlformats.org/officeDocument/2006/relationships/hyperlink" Target="http://engage.acma.gov.au/know-your-obligations-help-for-spectrum-licensees/" TargetMode="External"/><Relationship Id="rId53" Type="http://schemas.openxmlformats.org/officeDocument/2006/relationships/hyperlink" Target="http://engage.acma.gov.au/know-your-obligations-help-for-spectrum-licensees/" TargetMode="External"/><Relationship Id="rId58" Type="http://schemas.openxmlformats.org/officeDocument/2006/relationships/hyperlink" Target="http://engage.acma.gov.au/digitaldividend/category/restack/" TargetMode="External"/><Relationship Id="rId66" Type="http://schemas.openxmlformats.org/officeDocument/2006/relationships/hyperlink" Target="http://www.comlaw.gov.au/Details/F2012L02546" TargetMode="External"/><Relationship Id="rId74" Type="http://schemas.openxmlformats.org/officeDocument/2006/relationships/hyperlink" Target="http://www.comlaw.gov.au/Details/F2012L00205" TargetMode="External"/><Relationship Id="rId79" Type="http://schemas.openxmlformats.org/officeDocument/2006/relationships/hyperlink" Target="http://www.acma.gov.au/webwr/_assets/main/lib550055/Aptmnt_of_auction_manager-Spectrum_auctions.pdf" TargetMode="External"/><Relationship Id="rId87"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hyperlink" Target="mailto:ddauctionmanager@acma.gov.au" TargetMode="External"/><Relationship Id="rId82" Type="http://schemas.openxmlformats.org/officeDocument/2006/relationships/hyperlink" Target="http://www.comlaw.gov.au/Details/C2012C00530" TargetMode="External"/><Relationship Id="rId90"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engage.acma.gov.au/digitaldividend/category/restack/" TargetMode="External"/><Relationship Id="rId30" Type="http://schemas.openxmlformats.org/officeDocument/2006/relationships/image" Target="media/image2.png"/><Relationship Id="rId35" Type="http://schemas.openxmlformats.org/officeDocument/2006/relationships/hyperlink" Target="http://maps.google.com.au/maps?q=http%3A%2F%2Fwww%2Eacma%2Egov%2Eau%2Finterforms%2Fplacemarks%2Fspectrum_mp%2Fmarket_regions_2g5_gm.kmz" TargetMode="External"/><Relationship Id="rId43" Type="http://schemas.openxmlformats.org/officeDocument/2006/relationships/image" Target="media/image7.png"/><Relationship Id="rId48" Type="http://schemas.openxmlformats.org/officeDocument/2006/relationships/hyperlink" Target="http://engage.acma.gov.au/know-your-obligations-help-for-spectrum-licensees/" TargetMode="External"/><Relationship Id="rId56" Type="http://schemas.openxmlformats.org/officeDocument/2006/relationships/hyperlink" Target="http://engage.acma.gov.au/know-your-obligations-help-for-spectrum-licensees/" TargetMode="External"/><Relationship Id="rId64" Type="http://schemas.openxmlformats.org/officeDocument/2006/relationships/hyperlink" Target="http://www.comlaw.gov.au/Details/F2012L02547" TargetMode="External"/><Relationship Id="rId69" Type="http://schemas.openxmlformats.org/officeDocument/2006/relationships/hyperlink" Target="http://www.comlaw.gov.au/Details/F2012L02545" TargetMode="External"/><Relationship Id="rId77" Type="http://schemas.openxmlformats.org/officeDocument/2006/relationships/hyperlink" Target="http://www.comlaw.gov.au/Details/F2012L02473" TargetMode="External"/><Relationship Id="rId8" Type="http://schemas.openxmlformats.org/officeDocument/2006/relationships/settings" Target="settings.xml"/><Relationship Id="rId51" Type="http://schemas.openxmlformats.org/officeDocument/2006/relationships/hyperlink" Target="http://engage.acma.gov.au/know-your-obligations-help-for-spectrum-licensees/" TargetMode="External"/><Relationship Id="rId72" Type="http://schemas.openxmlformats.org/officeDocument/2006/relationships/hyperlink" Target="http://www.comlaw.gov.au/Details/F2011L02180/Download" TargetMode="External"/><Relationship Id="rId80" Type="http://schemas.openxmlformats.org/officeDocument/2006/relationships/hyperlink" Target="http://www.acma.gov.au/webwr/_assets/main/lib550055/Amt_of_application_fee-Spectrum_auctions.pdf" TargetMode="External"/><Relationship Id="rId85" Type="http://schemas.openxmlformats.org/officeDocument/2006/relationships/hyperlink" Target="http://www.comlaw.gov.au/Details/C2012C00514"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dbcde.gov.au/television/achieving_the_digital_dividend_-_restack" TargetMode="External"/><Relationship Id="rId33" Type="http://schemas.openxmlformats.org/officeDocument/2006/relationships/image" Target="media/image3.emf"/><Relationship Id="rId38" Type="http://schemas.openxmlformats.org/officeDocument/2006/relationships/image" Target="media/image5.png"/><Relationship Id="rId46" Type="http://schemas.openxmlformats.org/officeDocument/2006/relationships/hyperlink" Target="http://www.acma.gov.au/WEB/STANDARD/pc=PC_410046" TargetMode="External"/><Relationship Id="rId59" Type="http://schemas.openxmlformats.org/officeDocument/2006/relationships/hyperlink" Target="http://www.dbcde.gov.au/television/achieving_the_digital_dividend_-_restack" TargetMode="External"/><Relationship Id="rId67" Type="http://schemas.openxmlformats.org/officeDocument/2006/relationships/hyperlink" Target="http://www.comlaw.gov.au/Details/F2012L02544" TargetMode="External"/><Relationship Id="rId20" Type="http://schemas.openxmlformats.org/officeDocument/2006/relationships/header" Target="header6.xml"/><Relationship Id="rId41" Type="http://schemas.openxmlformats.org/officeDocument/2006/relationships/image" Target="media/image6.png"/><Relationship Id="rId54" Type="http://schemas.openxmlformats.org/officeDocument/2006/relationships/hyperlink" Target="http://www.acma.gov.au/WEB/STANDARD/pc=PC_100628" TargetMode="External"/><Relationship Id="rId62" Type="http://schemas.openxmlformats.org/officeDocument/2006/relationships/hyperlink" Target="mailto:ddauctionmanager@acma.gov.au" TargetMode="External"/><Relationship Id="rId70" Type="http://schemas.openxmlformats.org/officeDocument/2006/relationships/hyperlink" Target="http://www.comlaw.gov.au/Details/F2012L02550" TargetMode="External"/><Relationship Id="rId75" Type="http://schemas.openxmlformats.org/officeDocument/2006/relationships/hyperlink" Target="http://www.comlaw.gov.au/Details/F2012L02470" TargetMode="External"/><Relationship Id="rId83" Type="http://schemas.openxmlformats.org/officeDocument/2006/relationships/hyperlink" Target="http://www.comlaw.gov.au/Details/C2012C00233" TargetMode="External"/><Relationship Id="rId88" Type="http://schemas.openxmlformats.org/officeDocument/2006/relationships/footer" Target="footer7.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engage.acma.gov.au/digitaldividend/stakeholder-engagement-and-consultation/" TargetMode="External"/><Relationship Id="rId36" Type="http://schemas.openxmlformats.org/officeDocument/2006/relationships/hyperlink" Target="http://www.acma.gov.au/interforms/placemarks/spectrum_mp/market_regions_2g5.kmz" TargetMode="External"/><Relationship Id="rId49" Type="http://schemas.openxmlformats.org/officeDocument/2006/relationships/hyperlink" Target="http://www.acma.gov.au/WEB/STANDARD/pc=PC_310738" TargetMode="External"/><Relationship Id="rId57" Type="http://schemas.openxmlformats.org/officeDocument/2006/relationships/hyperlink" Target="http://engage.acma.gov.au/digitaldividend/" TargetMode="External"/><Relationship Id="rId10" Type="http://schemas.openxmlformats.org/officeDocument/2006/relationships/footnotes" Target="footnotes.xml"/><Relationship Id="rId31" Type="http://schemas.openxmlformats.org/officeDocument/2006/relationships/hyperlink" Target="http://maps.google.com.au/maps?q=http%3A%2F%2Fwww%2Eacma%2Egov%2Eau%2Finterforms%2Fplacemarks%2Fspectrum_mp%2Fmarket_region_700_gm.kmz" TargetMode="External"/><Relationship Id="rId44" Type="http://schemas.openxmlformats.org/officeDocument/2006/relationships/hyperlink" Target="http://www.comlaw.gov.au" TargetMode="External"/><Relationship Id="rId52" Type="http://schemas.openxmlformats.org/officeDocument/2006/relationships/hyperlink" Target="http://engage.acma.gov.au/know-your-obligations-help-for-spectrum-licensees/" TargetMode="External"/><Relationship Id="rId60" Type="http://schemas.openxmlformats.org/officeDocument/2006/relationships/hyperlink" Target="mailto:majorspectrumallocations@acma.gov.au" TargetMode="External"/><Relationship Id="rId65" Type="http://schemas.openxmlformats.org/officeDocument/2006/relationships/hyperlink" Target="http://www.comlaw.gov.au/Details/F2012L02543" TargetMode="External"/><Relationship Id="rId73" Type="http://schemas.openxmlformats.org/officeDocument/2006/relationships/hyperlink" Target="http://www.comlaw.gov.au/Details/F2011L02181/Download" TargetMode="External"/><Relationship Id="rId78" Type="http://schemas.openxmlformats.org/officeDocument/2006/relationships/hyperlink" Target="http://www.comlaw.gov.au/Details/F2012L02198" TargetMode="External"/><Relationship Id="rId81" Type="http://schemas.openxmlformats.org/officeDocument/2006/relationships/hyperlink" Target="http://engage.acma.gov.au/digitaldividend/auction-forms" TargetMode="External"/><Relationship Id="rId86"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com/earth" TargetMode="External"/><Relationship Id="rId13" Type="http://schemas.openxmlformats.org/officeDocument/2006/relationships/hyperlink" Target="http://engage.acma.gov.au/digitaldividend/cca-workshops-qa/" TargetMode="External"/><Relationship Id="rId3" Type="http://schemas.openxmlformats.org/officeDocument/2006/relationships/hyperlink" Target="http://www.dbcde.gov.au/consultation_and_submissions/digital_dividend/digital_dividend_green_paper" TargetMode="External"/><Relationship Id="rId7" Type="http://schemas.openxmlformats.org/officeDocument/2006/relationships/hyperlink" Target="http://engage.acma.gov.au/digitaldividend/presentations/" TargetMode="External"/><Relationship Id="rId12" Type="http://schemas.openxmlformats.org/officeDocument/2006/relationships/hyperlink" Target="http://engage.acma.gov.au/digitaldividend/experts-explain-the-spectrum-auction-process/" TargetMode="External"/><Relationship Id="rId17" Type="http://schemas.openxmlformats.org/officeDocument/2006/relationships/hyperlink" Target="http://www.comlaw.gov.au/Details/F2007B00114" TargetMode="External"/><Relationship Id="rId2" Type="http://schemas.openxmlformats.org/officeDocument/2006/relationships/hyperlink" Target="http://www.comlaw.gov.au/Details/F2010L01990" TargetMode="External"/><Relationship Id="rId16" Type="http://schemas.openxmlformats.org/officeDocument/2006/relationships/hyperlink" Target="http://www.acma.gov.au/WEB/STANDARD/pc=PC_496" TargetMode="External"/><Relationship Id="rId1" Type="http://schemas.openxmlformats.org/officeDocument/2006/relationships/hyperlink" Target="http://acact01nctt1/scripts/nc.dll?WEBEDIT.262334:STANDARD::pc=PC_312542" TargetMode="External"/><Relationship Id="rId6" Type="http://schemas.openxmlformats.org/officeDocument/2006/relationships/hyperlink" Target="http://www.comlaw.gov.au/Details/F2011C00543" TargetMode="External"/><Relationship Id="rId11" Type="http://schemas.openxmlformats.org/officeDocument/2006/relationships/hyperlink" Target="http://www.worldwindcentral.com/wiki/Main_page" TargetMode="External"/><Relationship Id="rId5" Type="http://schemas.openxmlformats.org/officeDocument/2006/relationships/hyperlink" Target="http://www.budget.gov.au/2012-13/content/bp2/html/index.htm" TargetMode="External"/><Relationship Id="rId15" Type="http://schemas.openxmlformats.org/officeDocument/2006/relationships/hyperlink" Target="http://www.comlaw.gov.au/Details/F2012L01719" TargetMode="External"/><Relationship Id="rId10" Type="http://schemas.openxmlformats.org/officeDocument/2006/relationships/hyperlink" Target="http://www.google.com/earth" TargetMode="External"/><Relationship Id="rId4" Type="http://schemas.openxmlformats.org/officeDocument/2006/relationships/hyperlink" Target="http://www.acma.gov.au/WEB/STANDARD/pc=PC_312013" TargetMode="External"/><Relationship Id="rId9" Type="http://schemas.openxmlformats.org/officeDocument/2006/relationships/hyperlink" Target="http://www.worldwindcentral.com/wiki/Main_page" TargetMode="External"/><Relationship Id="rId14" Type="http://schemas.openxmlformats.org/officeDocument/2006/relationships/hyperlink" Target="http://engage.acma.gov.au/digitaldividend/industry-briefing-presentation-now-avail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25304620C157419965BBE04711452B" ma:contentTypeVersion="8" ma:contentTypeDescription="Create a new document." ma:contentTypeScope="" ma:versionID="5fd89a0fb101c9049885d4e7b810af01">
  <xsd:schema xmlns:xsd="http://www.w3.org/2001/XMLSchema" xmlns:xs="http://www.w3.org/2001/XMLSchema" xmlns:p="http://schemas.microsoft.com/office/2006/metadata/properties" xmlns:ns3="d6f2653f-5da8-426e-a198-08c26d3f345a" targetNamespace="http://schemas.microsoft.com/office/2006/metadata/properties" ma:root="true" ma:fieldsID="99022a9e837a62c3d33629b5ad562430" ns3:_="">
    <xsd:import namespace="d6f2653f-5da8-426e-a198-08c26d3f34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653f-5da8-426e-a198-08c26d3f3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D9A6-5E7B-442F-86BB-A3C881B807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6f2653f-5da8-426e-a198-08c26d3f345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A21CE28-D243-44F8-9C94-706E151A459B}">
  <ds:schemaRefs>
    <ds:schemaRef ds:uri="http://schemas.openxmlformats.org/officeDocument/2006/bibliography"/>
  </ds:schemaRefs>
</ds:datastoreItem>
</file>

<file path=customXml/itemProps3.xml><?xml version="1.0" encoding="utf-8"?>
<ds:datastoreItem xmlns:ds="http://schemas.openxmlformats.org/officeDocument/2006/customXml" ds:itemID="{EBE16E19-1AF8-46AC-9874-A8535FEED05B}">
  <ds:schemaRefs>
    <ds:schemaRef ds:uri="http://schemas.microsoft.com/sharepoint/v3/contenttype/forms"/>
  </ds:schemaRefs>
</ds:datastoreItem>
</file>

<file path=customXml/itemProps4.xml><?xml version="1.0" encoding="utf-8"?>
<ds:datastoreItem xmlns:ds="http://schemas.openxmlformats.org/officeDocument/2006/customXml" ds:itemID="{179B5239-930D-4B27-9524-65DBFB5AD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653f-5da8-426e-a198-08c26d3f3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D8A53F-97A3-4A85-B9CE-EA92CAE0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32764</Words>
  <Characters>186756</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Document</vt:lpstr>
    </vt:vector>
  </TitlesOfParts>
  <Company>acma</Company>
  <LinksUpToDate>false</LinksUpToDate>
  <CharactersWithSpaces>219082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rurquhar</dc:creator>
  <cp:lastModifiedBy>Jeffrey Zhu</cp:lastModifiedBy>
  <cp:revision>2</cp:revision>
  <cp:lastPrinted>2012-12-17T05:45:00Z</cp:lastPrinted>
  <dcterms:created xsi:type="dcterms:W3CDTF">2019-10-16T05:26:00Z</dcterms:created>
  <dcterms:modified xsi:type="dcterms:W3CDTF">2019-10-16T05:26:00Z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2007</vt:lpwstr>
  </property>
  <property fmtid="{D5CDD505-2E9C-101B-9397-08002B2CF9AE}" pid="3" name="CH ver">
    <vt:lpwstr>17</vt:lpwstr>
  </property>
  <property fmtid="{D5CDD505-2E9C-101B-9397-08002B2CF9AE}" pid="4" name="ContentTypeId">
    <vt:lpwstr>0x010100BE25304620C157419965BBE04711452B</vt:lpwstr>
  </property>
  <property fmtid="{D5CDD505-2E9C-101B-9397-08002B2CF9AE}" pid="5" name="_dlc_DocIdItemGuid">
    <vt:lpwstr>349bc915-ddee-47c8-acb9-46e5c4e6007e</vt:lpwstr>
  </property>
</Properties>
</file>