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7765" w14:textId="73031EA4" w:rsidR="00F06E14" w:rsidRDefault="00EB1A6B" w:rsidP="00EF06D8">
      <w:pPr>
        <w:pStyle w:val="ACMAReportTitle"/>
        <w:spacing w:after="0"/>
      </w:pPr>
      <w:r>
        <w:t>Variations to</w:t>
      </w:r>
      <w:r w:rsidR="00D018ED">
        <w:t xml:space="preserve"> the LIPD Class Licence </w:t>
      </w:r>
    </w:p>
    <w:p w14:paraId="48B04E4F" w14:textId="63A13E7F" w:rsidR="00F06E14" w:rsidRDefault="00DA3175" w:rsidP="00F06E14">
      <w:pPr>
        <w:pStyle w:val="ACMAReportSubTitle"/>
      </w:pPr>
      <w:r>
        <w:t>R</w:t>
      </w:r>
      <w:r w:rsidR="00D018ED">
        <w:t xml:space="preserve">esponse to </w:t>
      </w:r>
      <w:r w:rsidR="00D100EA">
        <w:t>s</w:t>
      </w:r>
      <w:r w:rsidR="00D018ED">
        <w:t>ubmissions</w:t>
      </w:r>
    </w:p>
    <w:p w14:paraId="2EB906D7" w14:textId="0DCE18BD" w:rsidR="00F06E14" w:rsidRDefault="004730BE" w:rsidP="00492413">
      <w:pPr>
        <w:pStyle w:val="ACMAReportDate"/>
        <w:spacing w:after="720"/>
      </w:pPr>
      <w:r>
        <w:t xml:space="preserve">July </w:t>
      </w:r>
      <w:r w:rsidR="00D018ED">
        <w:t>201</w:t>
      </w:r>
      <w:r w:rsidR="00951C14">
        <w:t>8</w:t>
      </w:r>
    </w:p>
    <w:p w14:paraId="0B482D4A" w14:textId="77777777" w:rsidR="00246093" w:rsidRPr="00492413" w:rsidRDefault="00246093" w:rsidP="00492413">
      <w:pPr>
        <w:pStyle w:val="ACMAInstructions"/>
        <w:spacing w:after="0"/>
        <w:rPr>
          <w:b w:val="0"/>
          <w:sz w:val="20"/>
        </w:rPr>
      </w:pPr>
    </w:p>
    <w:p w14:paraId="6AFE38C9" w14:textId="77777777" w:rsidR="00C97736" w:rsidRPr="000D76E0" w:rsidRDefault="00C97736" w:rsidP="0041071D">
      <w:pPr>
        <w:rPr>
          <w:rFonts w:cs="Arial"/>
        </w:rPr>
      </w:pPr>
    </w:p>
    <w:p w14:paraId="35D56D1C" w14:textId="3204A924"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57C788D6" w14:textId="7737E98C" w:rsidR="0005011A" w:rsidRPr="00F44F3A" w:rsidRDefault="0005011A" w:rsidP="00FC07B9">
      <w:pPr>
        <w:pStyle w:val="ACMACorporateAddressHeader"/>
      </w:pPr>
      <w:r w:rsidRPr="00F44F3A">
        <w:lastRenderedPageBreak/>
        <w:t>Canberra</w:t>
      </w:r>
    </w:p>
    <w:p w14:paraId="1CD96664"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B39CC57" w14:textId="77777777" w:rsidR="0005011A" w:rsidRPr="00FC07B9" w:rsidRDefault="0005011A" w:rsidP="00FC07B9">
      <w:pPr>
        <w:pStyle w:val="ACMACorporateAddresses"/>
      </w:pPr>
      <w:r w:rsidRPr="00FC07B9">
        <w:t>PO Box 78</w:t>
      </w:r>
      <w:r w:rsidRPr="00FC07B9">
        <w:br/>
        <w:t>Belconnen ACT 2616</w:t>
      </w:r>
    </w:p>
    <w:p w14:paraId="5361006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B59E868" w14:textId="77777777" w:rsidR="0005011A" w:rsidRPr="00F44F3A" w:rsidRDefault="0005011A" w:rsidP="00FC07B9">
      <w:pPr>
        <w:pStyle w:val="ACMACorporateAddressHeader"/>
      </w:pPr>
      <w:r w:rsidRPr="00F44F3A">
        <w:t>Melbourne</w:t>
      </w:r>
    </w:p>
    <w:p w14:paraId="5335A7F6"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C795B76"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6B6A890"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86D8F55" w14:textId="77777777" w:rsidR="0005011A" w:rsidRPr="00F44F3A" w:rsidRDefault="0005011A" w:rsidP="00FC07B9">
      <w:pPr>
        <w:pStyle w:val="ACMACorporateAddressHeader"/>
      </w:pPr>
      <w:r w:rsidRPr="00F44F3A">
        <w:t>Sydney</w:t>
      </w:r>
    </w:p>
    <w:p w14:paraId="6E205C62" w14:textId="77777777" w:rsidR="0005011A" w:rsidRPr="00F44F3A" w:rsidRDefault="0005011A" w:rsidP="00FC07B9">
      <w:pPr>
        <w:pStyle w:val="ACMACorporateAddresses"/>
      </w:pPr>
      <w:r w:rsidRPr="00F44F3A">
        <w:t xml:space="preserve">Level 5 </w:t>
      </w:r>
      <w:r w:rsidRPr="00F44F3A">
        <w:br/>
      </w:r>
      <w:proofErr w:type="gramStart"/>
      <w:r w:rsidRPr="00F44F3A">
        <w:t>The</w:t>
      </w:r>
      <w:proofErr w:type="gramEnd"/>
      <w:r w:rsidRPr="00F44F3A">
        <w:t xml:space="preserve"> Bay Centre</w:t>
      </w:r>
      <w:r w:rsidRPr="00F44F3A">
        <w:br/>
        <w:t xml:space="preserve">65 </w:t>
      </w:r>
      <w:proofErr w:type="spellStart"/>
      <w:r w:rsidRPr="00F44F3A">
        <w:t>Pirrama</w:t>
      </w:r>
      <w:proofErr w:type="spellEnd"/>
      <w:r w:rsidRPr="00F44F3A">
        <w:t xml:space="preserve"> Road </w:t>
      </w:r>
      <w:r w:rsidRPr="00F44F3A">
        <w:br/>
        <w:t>Pyrmont NSW</w:t>
      </w:r>
    </w:p>
    <w:p w14:paraId="6A8517C1"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0EED4692"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FB90164" w14:textId="77777777" w:rsidR="00140318" w:rsidRPr="006D46E5" w:rsidRDefault="00140318" w:rsidP="00FC07B9">
      <w:pPr>
        <w:pStyle w:val="ACMACopyrightHeader"/>
      </w:pPr>
      <w:r w:rsidRPr="00140318">
        <w:t>Copyright notice</w:t>
      </w:r>
    </w:p>
    <w:p w14:paraId="37773591" w14:textId="77777777" w:rsidR="00140318" w:rsidRPr="006D46E5" w:rsidRDefault="00623FF9" w:rsidP="00623FF9">
      <w:pPr>
        <w:pStyle w:val="ACMACClogo"/>
      </w:pPr>
      <w:r w:rsidRPr="00623FF9">
        <w:rPr>
          <w:noProof/>
        </w:rPr>
        <w:drawing>
          <wp:inline distT="0" distB="0" distL="0" distR="0" wp14:anchorId="10C4C7BC" wp14:editId="682F38C8">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6A6C61DB" w14:textId="77777777" w:rsidR="00A7464D" w:rsidRDefault="0040512D" w:rsidP="00A7464D">
      <w:pPr>
        <w:pStyle w:val="ACMACorporateAddresses"/>
        <w:rPr>
          <w:rStyle w:val="Hyperlink"/>
        </w:rPr>
      </w:pPr>
      <w:hyperlink r:id="rId16" w:history="1">
        <w:r w:rsidR="00A7464D">
          <w:rPr>
            <w:rStyle w:val="Hyperlink"/>
          </w:rPr>
          <w:t>https://creativecommons.org/licenses/by/4.0//</w:t>
        </w:r>
      </w:hyperlink>
    </w:p>
    <w:p w14:paraId="5AF2FD00" w14:textId="77777777" w:rsidR="00A7464D" w:rsidRDefault="00A7464D" w:rsidP="00A7464D">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36E0DF2A" w14:textId="77777777" w:rsidR="00A7464D" w:rsidRDefault="00A7464D" w:rsidP="00A7464D">
      <w:pPr>
        <w:pStyle w:val="ACMACorporateAddresses"/>
      </w:pPr>
      <w:r>
        <w:t>We request attribution as © Commonwealth of Australia (Australian Communications and Media Authority) 2018.</w:t>
      </w:r>
    </w:p>
    <w:p w14:paraId="6BDE12E4" w14:textId="77777777" w:rsidR="00A7464D" w:rsidRDefault="00A7464D" w:rsidP="00A7464D">
      <w:pPr>
        <w:pStyle w:val="ACMACorporateAddresses"/>
      </w:pPr>
      <w:r>
        <w:t>All other rights are reserved.</w:t>
      </w:r>
    </w:p>
    <w:p w14:paraId="41879D5A" w14:textId="77777777" w:rsidR="00A7464D" w:rsidRDefault="00A7464D" w:rsidP="00A7464D">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AAC6E86" w14:textId="77777777" w:rsidR="00A7464D" w:rsidRDefault="00A7464D" w:rsidP="00A7464D">
      <w:pPr>
        <w:pStyle w:val="ACMACorporateAddresses"/>
      </w:pPr>
      <w:r>
        <w:t>Written enquiries may be sent to:</w:t>
      </w:r>
    </w:p>
    <w:p w14:paraId="1418C294" w14:textId="77777777" w:rsidR="00A7464D" w:rsidRDefault="00A7464D" w:rsidP="00A7464D">
      <w:pPr>
        <w:pStyle w:val="ACMACorporateAddresses"/>
        <w:rPr>
          <w:rStyle w:val="Hyperlink"/>
        </w:rPr>
      </w:pPr>
      <w:r>
        <w:t>Manager, Editorial and Design</w:t>
      </w:r>
      <w:r>
        <w:br/>
        <w:t>PO Box 13112</w:t>
      </w:r>
      <w:r>
        <w:br/>
        <w:t>Law Courts</w:t>
      </w:r>
      <w:r>
        <w:br/>
        <w:t>Melbourne VIC 8010</w:t>
      </w:r>
      <w:r>
        <w:br/>
        <w:t xml:space="preserve">Email: </w:t>
      </w:r>
      <w:hyperlink r:id="rId17" w:history="1">
        <w:r>
          <w:rPr>
            <w:rStyle w:val="Hyperlink"/>
          </w:rPr>
          <w:t>info@acma.gov.au</w:t>
        </w:r>
      </w:hyperlink>
    </w:p>
    <w:p w14:paraId="3629F6A6" w14:textId="77777777" w:rsidR="00D16FE3" w:rsidRDefault="00D16FE3" w:rsidP="00D16FE3">
      <w:pPr>
        <w:pStyle w:val="ACMACorporateAddresses"/>
        <w:rPr>
          <w:rStyle w:val="Hyperlink"/>
        </w:rPr>
      </w:pPr>
    </w:p>
    <w:p w14:paraId="02E7FBD3"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D689DCA" w14:textId="77777777" w:rsidR="004730BE"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4730BE">
        <w:t>Introduction</w:t>
      </w:r>
      <w:r w:rsidR="004730BE">
        <w:tab/>
      </w:r>
      <w:r w:rsidR="004730BE">
        <w:fldChar w:fldCharType="begin"/>
      </w:r>
      <w:r w:rsidR="004730BE">
        <w:instrText xml:space="preserve"> PAGEREF _Toc518042863 \h </w:instrText>
      </w:r>
      <w:r w:rsidR="004730BE">
        <w:fldChar w:fldCharType="separate"/>
      </w:r>
      <w:r w:rsidR="004730BE">
        <w:t>1</w:t>
      </w:r>
      <w:r w:rsidR="004730BE">
        <w:fldChar w:fldCharType="end"/>
      </w:r>
    </w:p>
    <w:p w14:paraId="417A2706" w14:textId="77777777" w:rsidR="004730BE" w:rsidRDefault="004730BE">
      <w:pPr>
        <w:pStyle w:val="TOC1"/>
        <w:rPr>
          <w:rFonts w:asciiTheme="minorHAnsi" w:eastAsiaTheme="minorEastAsia" w:hAnsiTheme="minorHAnsi" w:cstheme="minorBidi"/>
          <w:b w:val="0"/>
          <w:spacing w:val="0"/>
          <w:sz w:val="22"/>
          <w:szCs w:val="22"/>
        </w:rPr>
      </w:pPr>
      <w:r>
        <w:t>Response to submissions</w:t>
      </w:r>
      <w:r>
        <w:tab/>
      </w:r>
      <w:r>
        <w:fldChar w:fldCharType="begin"/>
      </w:r>
      <w:r>
        <w:instrText xml:space="preserve"> PAGEREF _Toc518042864 \h </w:instrText>
      </w:r>
      <w:r>
        <w:fldChar w:fldCharType="separate"/>
      </w:r>
      <w:r>
        <w:t>2</w:t>
      </w:r>
      <w:r>
        <w:fldChar w:fldCharType="end"/>
      </w:r>
    </w:p>
    <w:p w14:paraId="0637E674" w14:textId="77777777" w:rsidR="004730BE" w:rsidRDefault="004730BE">
      <w:pPr>
        <w:pStyle w:val="TOC2"/>
        <w:rPr>
          <w:rFonts w:asciiTheme="minorHAnsi" w:eastAsiaTheme="minorEastAsia" w:hAnsiTheme="minorHAnsi" w:cstheme="minorBidi"/>
          <w:spacing w:val="0"/>
          <w:sz w:val="22"/>
          <w:szCs w:val="22"/>
        </w:rPr>
      </w:pPr>
      <w:r>
        <w:t>Overview of proposals</w:t>
      </w:r>
      <w:r>
        <w:tab/>
      </w:r>
      <w:r>
        <w:fldChar w:fldCharType="begin"/>
      </w:r>
      <w:r>
        <w:instrText xml:space="preserve"> PAGEREF _Toc518042865 \h </w:instrText>
      </w:r>
      <w:r>
        <w:fldChar w:fldCharType="separate"/>
      </w:r>
      <w:r>
        <w:t>2</w:t>
      </w:r>
      <w:r>
        <w:fldChar w:fldCharType="end"/>
      </w:r>
    </w:p>
    <w:p w14:paraId="29909861" w14:textId="77777777" w:rsidR="004730BE" w:rsidRDefault="004730BE">
      <w:pPr>
        <w:pStyle w:val="TOC2"/>
        <w:rPr>
          <w:rFonts w:asciiTheme="minorHAnsi" w:eastAsiaTheme="minorEastAsia" w:hAnsiTheme="minorHAnsi" w:cstheme="minorBidi"/>
          <w:spacing w:val="0"/>
          <w:sz w:val="22"/>
          <w:szCs w:val="22"/>
        </w:rPr>
      </w:pPr>
      <w:r>
        <w:t>Issues raised and responses</w:t>
      </w:r>
      <w:r>
        <w:tab/>
      </w:r>
      <w:r>
        <w:fldChar w:fldCharType="begin"/>
      </w:r>
      <w:r>
        <w:instrText xml:space="preserve"> PAGEREF _Toc518042866 \h </w:instrText>
      </w:r>
      <w:r>
        <w:fldChar w:fldCharType="separate"/>
      </w:r>
      <w:r>
        <w:t>2</w:t>
      </w:r>
      <w:r>
        <w:fldChar w:fldCharType="end"/>
      </w:r>
    </w:p>
    <w:p w14:paraId="2B328979" w14:textId="77777777" w:rsidR="004730BE" w:rsidRDefault="004730BE">
      <w:pPr>
        <w:pStyle w:val="TOC3"/>
        <w:rPr>
          <w:rFonts w:asciiTheme="minorHAnsi" w:eastAsiaTheme="minorEastAsia" w:hAnsiTheme="minorHAnsi" w:cstheme="minorBidi"/>
        </w:rPr>
      </w:pPr>
      <w:r>
        <w:t>Item 23A of Schedule 1—All transmitters 122 to 122.25 GHz</w:t>
      </w:r>
      <w:r>
        <w:tab/>
      </w:r>
      <w:r>
        <w:fldChar w:fldCharType="begin"/>
      </w:r>
      <w:r>
        <w:instrText xml:space="preserve"> PAGEREF _Toc518042867 \h </w:instrText>
      </w:r>
      <w:r>
        <w:fldChar w:fldCharType="separate"/>
      </w:r>
      <w:r>
        <w:t>2</w:t>
      </w:r>
      <w:r>
        <w:fldChar w:fldCharType="end"/>
      </w:r>
    </w:p>
    <w:p w14:paraId="4CD09E54" w14:textId="77777777" w:rsidR="004730BE" w:rsidRDefault="004730BE">
      <w:pPr>
        <w:pStyle w:val="TOC3"/>
        <w:rPr>
          <w:rFonts w:asciiTheme="minorHAnsi" w:eastAsiaTheme="minorEastAsia" w:hAnsiTheme="minorHAnsi" w:cstheme="minorBidi"/>
        </w:rPr>
      </w:pPr>
      <w:r>
        <w:t>Item 33 of Schedule 1—Medical implant communications systems transmitters</w:t>
      </w:r>
      <w:r>
        <w:tab/>
      </w:r>
      <w:r>
        <w:fldChar w:fldCharType="begin"/>
      </w:r>
      <w:r>
        <w:instrText xml:space="preserve"> PAGEREF _Toc518042868 \h </w:instrText>
      </w:r>
      <w:r>
        <w:fldChar w:fldCharType="separate"/>
      </w:r>
      <w:r>
        <w:t>2</w:t>
      </w:r>
      <w:r>
        <w:fldChar w:fldCharType="end"/>
      </w:r>
    </w:p>
    <w:p w14:paraId="7A56DF45" w14:textId="77777777" w:rsidR="004730BE" w:rsidRDefault="004730BE">
      <w:pPr>
        <w:pStyle w:val="TOC3"/>
        <w:rPr>
          <w:rFonts w:asciiTheme="minorHAnsi" w:eastAsiaTheme="minorEastAsia" w:hAnsiTheme="minorHAnsi" w:cstheme="minorBidi"/>
        </w:rPr>
      </w:pPr>
      <w:r>
        <w:t>Item 34A of Schedule 1—Medical endoscopy capsule transmitters</w:t>
      </w:r>
      <w:r>
        <w:tab/>
      </w:r>
      <w:r>
        <w:fldChar w:fldCharType="begin"/>
      </w:r>
      <w:r>
        <w:instrText xml:space="preserve"> PAGEREF _Toc518042869 \h </w:instrText>
      </w:r>
      <w:r>
        <w:fldChar w:fldCharType="separate"/>
      </w:r>
      <w:r>
        <w:t>3</w:t>
      </w:r>
      <w:r>
        <w:fldChar w:fldCharType="end"/>
      </w:r>
    </w:p>
    <w:p w14:paraId="71C04357" w14:textId="77777777" w:rsidR="004730BE" w:rsidRDefault="004730BE">
      <w:pPr>
        <w:pStyle w:val="TOC3"/>
        <w:rPr>
          <w:rFonts w:asciiTheme="minorHAnsi" w:eastAsiaTheme="minorEastAsia" w:hAnsiTheme="minorHAnsi" w:cstheme="minorBidi"/>
        </w:rPr>
      </w:pPr>
      <w:r>
        <w:t>Item 35A of Schedule 1—Medical body area network transmitters</w:t>
      </w:r>
      <w:r>
        <w:tab/>
      </w:r>
      <w:r>
        <w:fldChar w:fldCharType="begin"/>
      </w:r>
      <w:r>
        <w:instrText xml:space="preserve"> PAGEREF _Toc518042870 \h </w:instrText>
      </w:r>
      <w:r>
        <w:fldChar w:fldCharType="separate"/>
      </w:r>
      <w:r>
        <w:t>3</w:t>
      </w:r>
      <w:r>
        <w:fldChar w:fldCharType="end"/>
      </w:r>
    </w:p>
    <w:p w14:paraId="77E44262" w14:textId="77777777" w:rsidR="004730BE" w:rsidRDefault="004730BE">
      <w:pPr>
        <w:pStyle w:val="TOC3"/>
        <w:rPr>
          <w:rFonts w:asciiTheme="minorHAnsi" w:eastAsiaTheme="minorEastAsia" w:hAnsiTheme="minorHAnsi" w:cstheme="minorBidi"/>
        </w:rPr>
      </w:pPr>
      <w:r>
        <w:t>Item 35B of Schedule 1—Low-power active medical implant</w:t>
      </w:r>
      <w:r>
        <w:tab/>
      </w:r>
      <w:r>
        <w:fldChar w:fldCharType="begin"/>
      </w:r>
      <w:r>
        <w:instrText xml:space="preserve"> PAGEREF _Toc518042871 \h </w:instrText>
      </w:r>
      <w:r>
        <w:fldChar w:fldCharType="separate"/>
      </w:r>
      <w:r>
        <w:t>3</w:t>
      </w:r>
      <w:r>
        <w:fldChar w:fldCharType="end"/>
      </w:r>
    </w:p>
    <w:p w14:paraId="0AD3AB75" w14:textId="77777777" w:rsidR="004730BE" w:rsidRDefault="004730BE">
      <w:pPr>
        <w:pStyle w:val="TOC3"/>
        <w:rPr>
          <w:rFonts w:asciiTheme="minorHAnsi" w:eastAsiaTheme="minorEastAsia" w:hAnsiTheme="minorHAnsi" w:cstheme="minorBidi"/>
        </w:rPr>
      </w:pPr>
      <w:r>
        <w:t>Item 65 of Schedule 1—Digital communication transmitters 57–66 GHz</w:t>
      </w:r>
      <w:r>
        <w:tab/>
      </w:r>
      <w:r>
        <w:fldChar w:fldCharType="begin"/>
      </w:r>
      <w:r>
        <w:instrText xml:space="preserve"> PAGEREF _Toc518042872 \h </w:instrText>
      </w:r>
      <w:r>
        <w:fldChar w:fldCharType="separate"/>
      </w:r>
      <w:r>
        <w:t>4</w:t>
      </w:r>
      <w:r>
        <w:fldChar w:fldCharType="end"/>
      </w:r>
    </w:p>
    <w:p w14:paraId="756552BC" w14:textId="77777777" w:rsidR="004730BE" w:rsidRDefault="004730BE">
      <w:pPr>
        <w:pStyle w:val="TOC3"/>
        <w:rPr>
          <w:rFonts w:asciiTheme="minorHAnsi" w:eastAsiaTheme="minorEastAsia" w:hAnsiTheme="minorHAnsi" w:cstheme="minorBidi"/>
        </w:rPr>
      </w:pPr>
      <w:r>
        <w:t>Terminology for limitations specifying compliance with a standard</w:t>
      </w:r>
      <w:r>
        <w:tab/>
      </w:r>
      <w:r>
        <w:fldChar w:fldCharType="begin"/>
      </w:r>
      <w:r>
        <w:instrText xml:space="preserve"> PAGEREF _Toc518042873 \h </w:instrText>
      </w:r>
      <w:r>
        <w:fldChar w:fldCharType="separate"/>
      </w:r>
      <w:r>
        <w:t>4</w:t>
      </w:r>
      <w:r>
        <w:fldChar w:fldCharType="end"/>
      </w:r>
    </w:p>
    <w:p w14:paraId="4B23EF15" w14:textId="77777777" w:rsidR="004730BE" w:rsidRDefault="004730BE">
      <w:pPr>
        <w:pStyle w:val="TOC3"/>
        <w:rPr>
          <w:rFonts w:asciiTheme="minorHAnsi" w:eastAsiaTheme="minorEastAsia" w:hAnsiTheme="minorHAnsi" w:cstheme="minorBidi"/>
        </w:rPr>
      </w:pPr>
      <w:r>
        <w:t>Future changes for data communications systems to support 5G systems</w:t>
      </w:r>
      <w:r>
        <w:tab/>
      </w:r>
      <w:r>
        <w:fldChar w:fldCharType="begin"/>
      </w:r>
      <w:r>
        <w:instrText xml:space="preserve"> PAGEREF _Toc518042874 \h </w:instrText>
      </w:r>
      <w:r>
        <w:fldChar w:fldCharType="separate"/>
      </w:r>
      <w:r>
        <w:t>4</w:t>
      </w:r>
      <w:r>
        <w:fldChar w:fldCharType="end"/>
      </w:r>
    </w:p>
    <w:p w14:paraId="3C97CAFA" w14:textId="77777777" w:rsidR="004730BE" w:rsidRDefault="004730BE">
      <w:pPr>
        <w:pStyle w:val="TOC3"/>
        <w:rPr>
          <w:rFonts w:asciiTheme="minorHAnsi" w:eastAsiaTheme="minorEastAsia" w:hAnsiTheme="minorHAnsi" w:cstheme="minorBidi"/>
        </w:rPr>
      </w:pPr>
      <w:r>
        <w:t>Requirement for consequential standards updates</w:t>
      </w:r>
      <w:r>
        <w:tab/>
      </w:r>
      <w:r>
        <w:fldChar w:fldCharType="begin"/>
      </w:r>
      <w:r>
        <w:instrText xml:space="preserve"> PAGEREF _Toc518042875 \h </w:instrText>
      </w:r>
      <w:r>
        <w:fldChar w:fldCharType="separate"/>
      </w:r>
      <w:r>
        <w:t>5</w:t>
      </w:r>
      <w:r>
        <w:fldChar w:fldCharType="end"/>
      </w:r>
    </w:p>
    <w:p w14:paraId="3EF59F7C" w14:textId="77777777" w:rsidR="000A4A51" w:rsidRPr="000D76E0" w:rsidRDefault="007A6CC0">
      <w:pPr>
        <w:rPr>
          <w:rFonts w:cs="Arial"/>
        </w:rPr>
      </w:pPr>
      <w:r>
        <w:rPr>
          <w:rFonts w:cs="Arial"/>
          <w:b/>
          <w:noProof/>
          <w:spacing w:val="-14"/>
          <w:sz w:val="28"/>
        </w:rPr>
        <w:fldChar w:fldCharType="end"/>
      </w:r>
    </w:p>
    <w:p w14:paraId="6FF43C13" w14:textId="77777777" w:rsidR="004D56FF" w:rsidRPr="000D76E0" w:rsidRDefault="004D56FF">
      <w:pPr>
        <w:rPr>
          <w:rFonts w:cs="Arial"/>
        </w:rPr>
        <w:sectPr w:rsidR="004D56FF" w:rsidRPr="000D76E0" w:rsidSect="007B706B">
          <w:headerReference w:type="even" r:id="rId22"/>
          <w:headerReference w:type="default" r:id="rId23"/>
          <w:footerReference w:type="even" r:id="rId24"/>
          <w:footerReference w:type="default" r:id="rId25"/>
          <w:footerReference w:type="first" r:id="rId26"/>
          <w:pgSz w:w="11906" w:h="16838" w:code="9"/>
          <w:pgMar w:top="3646" w:right="2834" w:bottom="1134" w:left="1134" w:header="709" w:footer="119" w:gutter="0"/>
          <w:cols w:space="708"/>
          <w:titlePg/>
          <w:docGrid w:linePitch="360"/>
        </w:sectPr>
      </w:pPr>
    </w:p>
    <w:p w14:paraId="07B1918D" w14:textId="77777777" w:rsidR="009D6C71" w:rsidRPr="009174F3" w:rsidRDefault="00D018ED" w:rsidP="00D018ED">
      <w:pPr>
        <w:pStyle w:val="ACMAExecSummaryHeading"/>
        <w:spacing w:after="960"/>
      </w:pPr>
      <w:bookmarkStart w:id="0" w:name="_Toc518042863"/>
      <w:r>
        <w:lastRenderedPageBreak/>
        <w:t>Introduction</w:t>
      </w:r>
      <w:bookmarkEnd w:id="0"/>
    </w:p>
    <w:p w14:paraId="42299062" w14:textId="4F4E2ADA" w:rsidR="00B42977" w:rsidRPr="00436573" w:rsidRDefault="00FF3C69" w:rsidP="00FF3C69">
      <w:r w:rsidRPr="006D46E5">
        <w:rPr>
          <w:rFonts w:cs="Arial"/>
        </w:rPr>
        <w:t xml:space="preserve">The </w:t>
      </w:r>
      <w:r w:rsidR="00E23940">
        <w:rPr>
          <w:rFonts w:cs="Arial"/>
        </w:rPr>
        <w:t>ACMA thank</w:t>
      </w:r>
      <w:r w:rsidR="00E75BE7">
        <w:rPr>
          <w:rFonts w:cs="Arial"/>
        </w:rPr>
        <w:t>s</w:t>
      </w:r>
      <w:r w:rsidR="00E23940">
        <w:rPr>
          <w:rFonts w:cs="Arial"/>
        </w:rPr>
        <w:t xml:space="preserve"> all stakeholders </w:t>
      </w:r>
      <w:r w:rsidR="00A7464D">
        <w:rPr>
          <w:rFonts w:cs="Arial"/>
        </w:rPr>
        <w:t xml:space="preserve">who </w:t>
      </w:r>
      <w:r w:rsidR="00E23940">
        <w:rPr>
          <w:rFonts w:cs="Arial"/>
        </w:rPr>
        <w:t>responded to the</w:t>
      </w:r>
      <w:r w:rsidR="00E46079">
        <w:rPr>
          <w:rFonts w:cs="Arial"/>
        </w:rPr>
        <w:t xml:space="preserve"> </w:t>
      </w:r>
      <w:proofErr w:type="gramStart"/>
      <w:r w:rsidR="00E46079" w:rsidRPr="000D74AA">
        <w:rPr>
          <w:rFonts w:cs="Arial"/>
          <w:i/>
        </w:rPr>
        <w:t>Proposed</w:t>
      </w:r>
      <w:proofErr w:type="gramEnd"/>
      <w:r w:rsidR="00E46079" w:rsidRPr="000D74AA">
        <w:rPr>
          <w:rFonts w:cs="Arial"/>
          <w:i/>
        </w:rPr>
        <w:t xml:space="preserve"> variation to the </w:t>
      </w:r>
      <w:proofErr w:type="spellStart"/>
      <w:r w:rsidR="00E46079" w:rsidRPr="000D74AA">
        <w:rPr>
          <w:rFonts w:cs="Arial"/>
          <w:i/>
        </w:rPr>
        <w:t>Radiocommunications</w:t>
      </w:r>
      <w:proofErr w:type="spellEnd"/>
      <w:r w:rsidR="00E46079" w:rsidRPr="000D74AA">
        <w:rPr>
          <w:rFonts w:cs="Arial"/>
          <w:i/>
        </w:rPr>
        <w:t xml:space="preserve"> (Low Interference Potential Devices) Class Licence 2015</w:t>
      </w:r>
      <w:r w:rsidR="00A7464D">
        <w:rPr>
          <w:rFonts w:cs="Arial"/>
        </w:rPr>
        <w:t xml:space="preserve"> </w:t>
      </w:r>
      <w:r w:rsidR="007F2D6E">
        <w:rPr>
          <w:rFonts w:cs="Arial"/>
        </w:rPr>
        <w:t>consultation</w:t>
      </w:r>
      <w:r w:rsidR="008C20F0">
        <w:rPr>
          <w:rFonts w:cs="Arial"/>
        </w:rPr>
        <w:t xml:space="preserve"> paper</w:t>
      </w:r>
      <w:r w:rsidR="00E46079">
        <w:rPr>
          <w:rFonts w:cs="Arial"/>
        </w:rPr>
        <w:t>.</w:t>
      </w:r>
      <w:r w:rsidR="00B42977">
        <w:rPr>
          <w:rFonts w:cs="Arial"/>
        </w:rPr>
        <w:t xml:space="preserve"> </w:t>
      </w:r>
      <w:r w:rsidR="00A7464D">
        <w:t>We</w:t>
      </w:r>
      <w:r w:rsidR="00B42977">
        <w:t xml:space="preserve"> received </w:t>
      </w:r>
      <w:r w:rsidR="00A7464D">
        <w:t xml:space="preserve">13 </w:t>
      </w:r>
      <w:r w:rsidR="00B42977">
        <w:t>submissions</w:t>
      </w:r>
      <w:r w:rsidR="00A7464D">
        <w:t>,</w:t>
      </w:r>
      <w:r w:rsidR="00E46079">
        <w:t xml:space="preserve"> </w:t>
      </w:r>
      <w:r w:rsidR="008B65B3">
        <w:t xml:space="preserve">which </w:t>
      </w:r>
      <w:r w:rsidR="00B42977">
        <w:t xml:space="preserve">have been published on the </w:t>
      </w:r>
      <w:hyperlink r:id="rId27" w:history="1">
        <w:r w:rsidR="00B42977" w:rsidRPr="00A7464D">
          <w:rPr>
            <w:rStyle w:val="Hyperlink"/>
          </w:rPr>
          <w:t>ACMA website</w:t>
        </w:r>
      </w:hyperlink>
      <w:r w:rsidR="00436573">
        <w:t>.</w:t>
      </w:r>
    </w:p>
    <w:p w14:paraId="0D3E3A52" w14:textId="0F066FCB" w:rsidR="005728C4" w:rsidRDefault="000825ED" w:rsidP="006B70DF">
      <w:r>
        <w:t xml:space="preserve">All </w:t>
      </w:r>
      <w:r w:rsidR="00A7464D">
        <w:t xml:space="preserve">13 </w:t>
      </w:r>
      <w:r>
        <w:t>submissions support</w:t>
      </w:r>
      <w:r w:rsidR="00965A1E">
        <w:t>ed</w:t>
      </w:r>
      <w:r>
        <w:t xml:space="preserve"> the proposed variation</w:t>
      </w:r>
      <w:r w:rsidR="005B38EC">
        <w:t>. S</w:t>
      </w:r>
      <w:r w:rsidR="00B42977" w:rsidRPr="00436573">
        <w:t>uggestions</w:t>
      </w:r>
      <w:r w:rsidR="00E76E69" w:rsidRPr="00436573">
        <w:t xml:space="preserve"> raised during consultation </w:t>
      </w:r>
      <w:r w:rsidR="007F2D6E">
        <w:t>were</w:t>
      </w:r>
      <w:r w:rsidR="005B38EC">
        <w:t xml:space="preserve"> </w:t>
      </w:r>
      <w:r w:rsidR="00E76E69" w:rsidRPr="00436573">
        <w:t xml:space="preserve">taken into </w:t>
      </w:r>
      <w:r w:rsidR="005B38EC">
        <w:t>account</w:t>
      </w:r>
      <w:r w:rsidR="005B38EC" w:rsidRPr="00436573">
        <w:t xml:space="preserve"> </w:t>
      </w:r>
      <w:r w:rsidR="00E76E69" w:rsidRPr="00436573">
        <w:t xml:space="preserve">in </w:t>
      </w:r>
      <w:r w:rsidR="00436573" w:rsidRPr="00436573">
        <w:t>making the</w:t>
      </w:r>
      <w:r w:rsidR="00E76E69" w:rsidRPr="00436573">
        <w:t xml:space="preserve"> </w:t>
      </w:r>
      <w:proofErr w:type="spellStart"/>
      <w:r w:rsidR="00436573" w:rsidRPr="000D74AA">
        <w:t>Radiocommunications</w:t>
      </w:r>
      <w:proofErr w:type="spellEnd"/>
      <w:r w:rsidR="00436573" w:rsidRPr="000D74AA">
        <w:t xml:space="preserve"> (Low Interference Potential Devices) Class Licence Variation Notice 2018 (No. 1)</w:t>
      </w:r>
      <w:r w:rsidR="00436573" w:rsidRPr="00A26656">
        <w:t xml:space="preserve"> </w:t>
      </w:r>
      <w:r w:rsidR="00436573" w:rsidRPr="00436573">
        <w:t>(the</w:t>
      </w:r>
      <w:r w:rsidR="004C0C48">
        <w:t> </w:t>
      </w:r>
      <w:r w:rsidR="00436573" w:rsidRPr="00436573">
        <w:t>Variation)</w:t>
      </w:r>
      <w:r w:rsidR="00C225A0" w:rsidRPr="00436573">
        <w:t>.</w:t>
      </w:r>
      <w:r w:rsidR="00E46079">
        <w:t xml:space="preserve"> </w:t>
      </w:r>
    </w:p>
    <w:p w14:paraId="5F4703D6" w14:textId="0E5235B1" w:rsidR="00E034E4" w:rsidRPr="0097675A" w:rsidRDefault="005728C4" w:rsidP="00E034E4">
      <w:pPr>
        <w:rPr>
          <w:rStyle w:val="Emphasis"/>
        </w:rPr>
      </w:pPr>
      <w:r w:rsidRPr="00436573">
        <w:t xml:space="preserve">This document </w:t>
      </w:r>
      <w:r w:rsidR="004C0C48">
        <w:t>summarises</w:t>
      </w:r>
      <w:r w:rsidRPr="00436573">
        <w:t xml:space="preserve"> the issues raised by </w:t>
      </w:r>
      <w:r w:rsidR="004C0C48">
        <w:t xml:space="preserve">the </w:t>
      </w:r>
      <w:r w:rsidRPr="00436573">
        <w:t xml:space="preserve">submissions </w:t>
      </w:r>
      <w:r w:rsidR="00E549F7">
        <w:t>and</w:t>
      </w:r>
      <w:r>
        <w:t xml:space="preserve"> </w:t>
      </w:r>
      <w:r w:rsidR="004C0C48">
        <w:t>our</w:t>
      </w:r>
      <w:r w:rsidRPr="00436573">
        <w:t xml:space="preserve"> response to them.</w:t>
      </w:r>
      <w:bookmarkStart w:id="1" w:name="_Toc348105631"/>
    </w:p>
    <w:p w14:paraId="426B1B28" w14:textId="77777777" w:rsidR="00E034E4" w:rsidRDefault="00D018ED" w:rsidP="0025532A">
      <w:pPr>
        <w:pStyle w:val="Heading1"/>
      </w:pPr>
      <w:bookmarkStart w:id="2" w:name="_Toc285789710"/>
      <w:bookmarkStart w:id="3" w:name="_Toc285791789"/>
      <w:bookmarkStart w:id="4" w:name="_Toc518042864"/>
      <w:bookmarkEnd w:id="1"/>
      <w:r w:rsidRPr="0025532A">
        <w:lastRenderedPageBreak/>
        <w:t>Response</w:t>
      </w:r>
      <w:r>
        <w:t xml:space="preserve"> to submissions</w:t>
      </w:r>
      <w:bookmarkEnd w:id="2"/>
      <w:bookmarkEnd w:id="3"/>
      <w:bookmarkEnd w:id="4"/>
    </w:p>
    <w:p w14:paraId="55070F8E" w14:textId="6B97FFF3" w:rsidR="00436573" w:rsidRDefault="00436573" w:rsidP="00436573">
      <w:pPr>
        <w:pStyle w:val="Heading2"/>
      </w:pPr>
      <w:bookmarkStart w:id="5" w:name="_Toc518042865"/>
      <w:r>
        <w:t xml:space="preserve">Overview </w:t>
      </w:r>
      <w:r w:rsidR="005B0965">
        <w:t>of proposals</w:t>
      </w:r>
      <w:bookmarkEnd w:id="5"/>
    </w:p>
    <w:p w14:paraId="27593EED" w14:textId="74AE7C51" w:rsidR="00436573" w:rsidRPr="006B12D2" w:rsidRDefault="00436573" w:rsidP="00436573">
      <w:pPr>
        <w:spacing w:after="80"/>
        <w:rPr>
          <w:rFonts w:cs="Arial"/>
        </w:rPr>
      </w:pPr>
      <w:r>
        <w:rPr>
          <w:rFonts w:cs="Arial"/>
        </w:rPr>
        <w:t>The ACMA sought</w:t>
      </w:r>
      <w:r w:rsidR="009A24C2">
        <w:rPr>
          <w:rFonts w:cs="Arial"/>
        </w:rPr>
        <w:t xml:space="preserve"> comment on a draft of a </w:t>
      </w:r>
      <w:r w:rsidRPr="006B12D2">
        <w:rPr>
          <w:rFonts w:cs="Arial"/>
        </w:rPr>
        <w:t>proposed variation to the</w:t>
      </w:r>
      <w:r w:rsidR="009A24C2">
        <w:rPr>
          <w:rFonts w:cs="Arial"/>
        </w:rPr>
        <w:t xml:space="preserve"> </w:t>
      </w:r>
      <w:proofErr w:type="spellStart"/>
      <w:r w:rsidR="009A24C2" w:rsidRPr="000D74AA">
        <w:t>Radiocommunications</w:t>
      </w:r>
      <w:proofErr w:type="spellEnd"/>
      <w:r w:rsidR="009A24C2" w:rsidRPr="000D74AA">
        <w:t xml:space="preserve"> (Low Interference Potential Devices) Class Licence 2015</w:t>
      </w:r>
      <w:r w:rsidR="009A24C2">
        <w:t xml:space="preserve"> </w:t>
      </w:r>
      <w:r w:rsidR="009A24C2" w:rsidRPr="00B92A45">
        <w:t>(</w:t>
      </w:r>
      <w:r w:rsidRPr="00B92A45">
        <w:rPr>
          <w:rFonts w:cs="Arial"/>
        </w:rPr>
        <w:t>LIPD</w:t>
      </w:r>
      <w:r w:rsidR="008C20F0">
        <w:rPr>
          <w:rFonts w:cs="Arial"/>
        </w:rPr>
        <w:t> </w:t>
      </w:r>
      <w:r w:rsidRPr="00B92A45">
        <w:rPr>
          <w:rFonts w:cs="Arial"/>
        </w:rPr>
        <w:t>Class Licence</w:t>
      </w:r>
      <w:r w:rsidR="009A24C2" w:rsidRPr="00B92A45">
        <w:rPr>
          <w:rFonts w:cs="Arial"/>
        </w:rPr>
        <w:t>)</w:t>
      </w:r>
      <w:r w:rsidR="009A24C2">
        <w:rPr>
          <w:rFonts w:cs="Arial"/>
        </w:rPr>
        <w:t xml:space="preserve"> </w:t>
      </w:r>
      <w:r>
        <w:rPr>
          <w:rFonts w:cs="Arial"/>
        </w:rPr>
        <w:t>consist</w:t>
      </w:r>
      <w:r w:rsidR="008C20F0">
        <w:rPr>
          <w:rFonts w:cs="Arial"/>
        </w:rPr>
        <w:t>ing</w:t>
      </w:r>
      <w:r>
        <w:rPr>
          <w:rFonts w:cs="Arial"/>
        </w:rPr>
        <w:t xml:space="preserve"> of</w:t>
      </w:r>
      <w:r w:rsidRPr="006B12D2">
        <w:rPr>
          <w:rFonts w:cs="Arial"/>
        </w:rPr>
        <w:t>:</w:t>
      </w:r>
    </w:p>
    <w:p w14:paraId="25CFD46E" w14:textId="77777777" w:rsidR="00436573" w:rsidRPr="006B12D2" w:rsidRDefault="00436573" w:rsidP="00436573">
      <w:pPr>
        <w:pStyle w:val="ListBullet"/>
        <w:spacing w:after="90"/>
        <w:ind w:left="300" w:hanging="300"/>
        <w:rPr>
          <w:rFonts w:cs="Arial"/>
        </w:rPr>
      </w:pPr>
      <w:r>
        <w:rPr>
          <w:rFonts w:cs="Arial"/>
        </w:rPr>
        <w:t>adding</w:t>
      </w:r>
      <w:r w:rsidRPr="006B12D2">
        <w:rPr>
          <w:rFonts w:cs="Arial"/>
        </w:rPr>
        <w:t xml:space="preserve"> </w:t>
      </w:r>
      <w:r>
        <w:rPr>
          <w:rFonts w:cs="Arial"/>
        </w:rPr>
        <w:t>the</w:t>
      </w:r>
      <w:r w:rsidRPr="006B12D2">
        <w:rPr>
          <w:rFonts w:cs="Arial"/>
        </w:rPr>
        <w:t xml:space="preserve"> frequency </w:t>
      </w:r>
      <w:r>
        <w:rPr>
          <w:rFonts w:cs="Arial"/>
        </w:rPr>
        <w:t>range</w:t>
      </w:r>
      <w:r w:rsidRPr="006B12D2">
        <w:rPr>
          <w:rFonts w:cs="Arial"/>
        </w:rPr>
        <w:t xml:space="preserve"> </w:t>
      </w:r>
      <w:r>
        <w:rPr>
          <w:rFonts w:cs="Arial"/>
        </w:rPr>
        <w:t>122–</w:t>
      </w:r>
      <w:r w:rsidRPr="006B12D2">
        <w:rPr>
          <w:rFonts w:cs="Arial"/>
        </w:rPr>
        <w:t>122.25</w:t>
      </w:r>
      <w:r>
        <w:rPr>
          <w:rFonts w:cs="Arial"/>
        </w:rPr>
        <w:t> </w:t>
      </w:r>
      <w:r w:rsidRPr="006B12D2">
        <w:rPr>
          <w:rFonts w:cs="Arial"/>
        </w:rPr>
        <w:t>GHz to arrangements for all transmitters</w:t>
      </w:r>
      <w:r>
        <w:rPr>
          <w:rFonts w:cs="Arial"/>
        </w:rPr>
        <w:t>,</w:t>
      </w:r>
      <w:r w:rsidRPr="006B12D2">
        <w:rPr>
          <w:rFonts w:cs="Arial"/>
        </w:rPr>
        <w:t xml:space="preserve"> align</w:t>
      </w:r>
      <w:r>
        <w:rPr>
          <w:rFonts w:cs="Arial"/>
        </w:rPr>
        <w:t>ing</w:t>
      </w:r>
      <w:r w:rsidRPr="006B12D2">
        <w:rPr>
          <w:rFonts w:cs="Arial"/>
        </w:rPr>
        <w:t xml:space="preserve"> with European arrangements</w:t>
      </w:r>
    </w:p>
    <w:p w14:paraId="31153AA2" w14:textId="77777777" w:rsidR="00436573" w:rsidRPr="00BD51A1" w:rsidRDefault="00436573" w:rsidP="00436573">
      <w:pPr>
        <w:pStyle w:val="ListBullet"/>
        <w:spacing w:after="90"/>
        <w:ind w:left="300" w:hanging="300"/>
        <w:rPr>
          <w:rFonts w:cs="Arial"/>
        </w:rPr>
      </w:pPr>
      <w:r w:rsidRPr="004D1F0E">
        <w:rPr>
          <w:rFonts w:cs="Arial"/>
        </w:rPr>
        <w:t>support</w:t>
      </w:r>
      <w:r>
        <w:rPr>
          <w:rFonts w:cs="Arial"/>
        </w:rPr>
        <w:t>ing</w:t>
      </w:r>
      <w:r w:rsidRPr="004D1F0E">
        <w:rPr>
          <w:rFonts w:cs="Arial"/>
        </w:rPr>
        <w:t xml:space="preserve"> the operation of endoscopy capsules in the frequency range </w:t>
      </w:r>
      <w:r>
        <w:rPr>
          <w:rFonts w:cs="Arial"/>
        </w:rPr>
        <w:br/>
      </w:r>
      <w:r w:rsidRPr="004D1F0E">
        <w:rPr>
          <w:rFonts w:cs="Arial"/>
        </w:rPr>
        <w:t>430</w:t>
      </w:r>
      <w:r>
        <w:rPr>
          <w:rFonts w:cs="Arial"/>
        </w:rPr>
        <w:t>–</w:t>
      </w:r>
      <w:r w:rsidRPr="004D1F0E">
        <w:rPr>
          <w:rFonts w:cs="Arial"/>
        </w:rPr>
        <w:t xml:space="preserve">440 MHz </w:t>
      </w:r>
    </w:p>
    <w:p w14:paraId="167714F2" w14:textId="77777777" w:rsidR="00436573" w:rsidRPr="006B12D2" w:rsidRDefault="00436573" w:rsidP="00436573">
      <w:pPr>
        <w:pStyle w:val="ListBullet"/>
        <w:spacing w:after="90"/>
        <w:ind w:left="300" w:hanging="300"/>
        <w:rPr>
          <w:rFonts w:cs="Arial"/>
        </w:rPr>
      </w:pPr>
      <w:r>
        <w:rPr>
          <w:rFonts w:cs="Arial"/>
        </w:rPr>
        <w:t xml:space="preserve">supporting </w:t>
      </w:r>
      <w:r w:rsidRPr="004D1F0E">
        <w:rPr>
          <w:rFonts w:cs="Arial"/>
        </w:rPr>
        <w:t xml:space="preserve">wireless medical telemetry devices </w:t>
      </w:r>
      <w:r>
        <w:rPr>
          <w:rFonts w:cs="Arial"/>
        </w:rPr>
        <w:t xml:space="preserve">operating in the </w:t>
      </w:r>
      <w:r w:rsidRPr="006B12D2">
        <w:rPr>
          <w:rFonts w:cs="Arial"/>
        </w:rPr>
        <w:t xml:space="preserve">frequency </w:t>
      </w:r>
      <w:r>
        <w:rPr>
          <w:rFonts w:cs="Arial"/>
        </w:rPr>
        <w:t>range 2483.5–2500 MHz</w:t>
      </w:r>
    </w:p>
    <w:p w14:paraId="716B5550" w14:textId="265BCA9D" w:rsidR="00436573" w:rsidRPr="006B12D2" w:rsidRDefault="00436573" w:rsidP="00436573">
      <w:pPr>
        <w:pStyle w:val="ListBulletLast"/>
      </w:pPr>
      <w:proofErr w:type="gramStart"/>
      <w:r>
        <w:t>revising</w:t>
      </w:r>
      <w:proofErr w:type="gramEnd"/>
      <w:r>
        <w:t xml:space="preserve"> </w:t>
      </w:r>
      <w:r w:rsidRPr="004D1F0E">
        <w:t>technical limitations on existing arrangements for data communication transmitters operating in the 57</w:t>
      </w:r>
      <w:r>
        <w:t>–</w:t>
      </w:r>
      <w:r w:rsidRPr="004D1F0E">
        <w:t xml:space="preserve">66 GHz band </w:t>
      </w:r>
      <w:r>
        <w:t xml:space="preserve">to align with </w:t>
      </w:r>
      <w:r w:rsidR="009F7807">
        <w:t xml:space="preserve">changes by the </w:t>
      </w:r>
      <w:r w:rsidR="007F2D6E">
        <w:t xml:space="preserve">US </w:t>
      </w:r>
      <w:r w:rsidRPr="004D1F0E">
        <w:t>F</w:t>
      </w:r>
      <w:r>
        <w:t>ederal Communications Commission (FCC).</w:t>
      </w:r>
    </w:p>
    <w:p w14:paraId="0F99BC97" w14:textId="56A64055" w:rsidR="005728C4" w:rsidRDefault="005728C4" w:rsidP="005728C4">
      <w:pPr>
        <w:spacing w:after="80"/>
        <w:rPr>
          <w:rFonts w:cs="Arial"/>
        </w:rPr>
      </w:pPr>
      <w:r>
        <w:rPr>
          <w:rFonts w:cs="Arial"/>
        </w:rPr>
        <w:t>In addition to seeking comment on the proposed variation</w:t>
      </w:r>
      <w:r w:rsidR="00DE4070">
        <w:rPr>
          <w:rFonts w:cs="Arial"/>
        </w:rPr>
        <w:t>, the</w:t>
      </w:r>
      <w:r>
        <w:rPr>
          <w:rFonts w:cs="Arial"/>
        </w:rPr>
        <w:t xml:space="preserve"> ACMA sought:</w:t>
      </w:r>
    </w:p>
    <w:p w14:paraId="11B45262" w14:textId="2F017246" w:rsidR="007E6F8B" w:rsidRPr="009A24C2" w:rsidRDefault="007E6F8B" w:rsidP="00A7464D">
      <w:pPr>
        <w:pStyle w:val="ListBullet"/>
        <w:rPr>
          <w:rFonts w:cs="Arial"/>
        </w:rPr>
      </w:pPr>
      <w:r>
        <w:t xml:space="preserve">views as to whether </w:t>
      </w:r>
      <w:r w:rsidR="008C20F0">
        <w:t>we</w:t>
      </w:r>
      <w:r>
        <w:t xml:space="preserve"> should consider </w:t>
      </w:r>
      <w:r w:rsidR="008C20F0">
        <w:t xml:space="preserve">in future variations </w:t>
      </w:r>
      <w:r w:rsidRPr="00125E0A">
        <w:t>arrangements similar to those introduced in the US in 2016 in the frequency range 64–71 GHz</w:t>
      </w:r>
      <w:r w:rsidR="008C20F0">
        <w:t>, which</w:t>
      </w:r>
      <w:r w:rsidRPr="00125E0A">
        <w:t xml:space="preserve"> provide further options for data communications intended to support future ‘5G’ services </w:t>
      </w:r>
      <w:r>
        <w:t xml:space="preserve"> </w:t>
      </w:r>
    </w:p>
    <w:p w14:paraId="0BCCEB64" w14:textId="6D27CF82" w:rsidR="001D5DEB" w:rsidRPr="001D5DEB" w:rsidRDefault="007E6F8B" w:rsidP="001D5DEB">
      <w:pPr>
        <w:numPr>
          <w:ilvl w:val="0"/>
          <w:numId w:val="1"/>
        </w:numPr>
        <w:spacing w:after="0" w:line="276" w:lineRule="auto"/>
        <w:rPr>
          <w:rFonts w:cs="Arial"/>
        </w:rPr>
      </w:pPr>
      <w:r w:rsidRPr="007E6F8B">
        <w:t xml:space="preserve">views on </w:t>
      </w:r>
      <w:r w:rsidR="00EE57C7">
        <w:t>which of the proposed changes should be considered in future standards up</w:t>
      </w:r>
      <w:r w:rsidR="00FA1BC3">
        <w:t>d</w:t>
      </w:r>
      <w:r w:rsidR="00EE57C7">
        <w:t>ates</w:t>
      </w:r>
    </w:p>
    <w:p w14:paraId="1CB7EE35" w14:textId="0CFA936D" w:rsidR="005728C4" w:rsidRPr="00125E0A" w:rsidRDefault="005728C4" w:rsidP="00A7464D">
      <w:pPr>
        <w:pStyle w:val="ListBulletLast"/>
      </w:pPr>
      <w:proofErr w:type="gramStart"/>
      <w:r w:rsidRPr="00125E0A">
        <w:t>suggestions</w:t>
      </w:r>
      <w:proofErr w:type="gramEnd"/>
      <w:r w:rsidRPr="00125E0A">
        <w:t xml:space="preserve"> from industry and individuals on possible devices and technologies for inclusion in future updates</w:t>
      </w:r>
      <w:r w:rsidR="008C20F0">
        <w:t>.</w:t>
      </w:r>
    </w:p>
    <w:p w14:paraId="0ADE44F6" w14:textId="23922680" w:rsidR="00BD6C36" w:rsidRPr="00CE1ED3" w:rsidRDefault="008C20F0" w:rsidP="00A7464D">
      <w:r>
        <w:t>We received 13</w:t>
      </w:r>
      <w:r w:rsidR="00987D74">
        <w:t xml:space="preserve"> s</w:t>
      </w:r>
      <w:r w:rsidR="007E6F8B" w:rsidRPr="00CE1ED3">
        <w:t>ubmissions from the Australian Mobile Telecommunication Associations</w:t>
      </w:r>
      <w:r w:rsidR="000E2309" w:rsidRPr="00CE1ED3">
        <w:t xml:space="preserve"> (AMTA),</w:t>
      </w:r>
      <w:r w:rsidR="007E6F8B" w:rsidRPr="00CE1ED3">
        <w:t xml:space="preserve"> Analyse Solve &amp; Test</w:t>
      </w:r>
      <w:r w:rsidR="00FF54A3">
        <w:t xml:space="preserve"> (AST)</w:t>
      </w:r>
      <w:r w:rsidR="007E6F8B" w:rsidRPr="00CE1ED3">
        <w:t xml:space="preserve">, </w:t>
      </w:r>
      <w:proofErr w:type="spellStart"/>
      <w:r w:rsidR="007E6F8B" w:rsidRPr="00CE1ED3">
        <w:t>Baumer</w:t>
      </w:r>
      <w:proofErr w:type="spellEnd"/>
      <w:r w:rsidR="007E6F8B" w:rsidRPr="00CE1ED3">
        <w:t xml:space="preserve"> Electric AG, Cambium Networks, GE Healthcare, Medtronic Inc</w:t>
      </w:r>
      <w:r>
        <w:t>.</w:t>
      </w:r>
      <w:r w:rsidR="007E6F8B" w:rsidRPr="00CE1ED3">
        <w:t xml:space="preserve">, </w:t>
      </w:r>
      <w:r w:rsidR="00CE1ED3" w:rsidRPr="006B70DF">
        <w:t xml:space="preserve">Microsoft Australia, </w:t>
      </w:r>
      <w:proofErr w:type="spellStart"/>
      <w:r w:rsidR="007E6F8B" w:rsidRPr="006B70DF">
        <w:t>Siklu</w:t>
      </w:r>
      <w:proofErr w:type="spellEnd"/>
      <w:r w:rsidR="007E6F8B" w:rsidRPr="006B70DF">
        <w:t xml:space="preserve"> Communications, </w:t>
      </w:r>
      <w:r w:rsidR="00CE1ED3" w:rsidRPr="00CE1ED3">
        <w:t xml:space="preserve">Steven Forst, </w:t>
      </w:r>
      <w:proofErr w:type="spellStart"/>
      <w:r w:rsidR="007E6F8B" w:rsidRPr="006B70DF">
        <w:t>Superloop</w:t>
      </w:r>
      <w:proofErr w:type="spellEnd"/>
      <w:r w:rsidR="007E6F8B" w:rsidRPr="006B70DF">
        <w:t>, Telstra, Vertical Telecoms Pty Ltd</w:t>
      </w:r>
      <w:r w:rsidR="000E2309" w:rsidRPr="006B70DF">
        <w:t xml:space="preserve"> (</w:t>
      </w:r>
      <w:proofErr w:type="spellStart"/>
      <w:r w:rsidR="000E2309" w:rsidRPr="006B70DF">
        <w:t>Vertel</w:t>
      </w:r>
      <w:proofErr w:type="spellEnd"/>
      <w:r w:rsidR="000E2309" w:rsidRPr="006B70DF">
        <w:t>)</w:t>
      </w:r>
      <w:r w:rsidR="00CE1ED3">
        <w:t xml:space="preserve"> and </w:t>
      </w:r>
      <w:proofErr w:type="spellStart"/>
      <w:r w:rsidR="007E6F8B" w:rsidRPr="00CE1ED3">
        <w:t>WiFi</w:t>
      </w:r>
      <w:proofErr w:type="spellEnd"/>
      <w:r w:rsidR="007E6F8B" w:rsidRPr="00CE1ED3">
        <w:t xml:space="preserve"> Alliance</w:t>
      </w:r>
      <w:r w:rsidR="00CE1ED3">
        <w:t>.</w:t>
      </w:r>
    </w:p>
    <w:p w14:paraId="50D51EF2" w14:textId="15188835" w:rsidR="00987D74" w:rsidRDefault="003846A2" w:rsidP="00A7464D">
      <w:r>
        <w:t>Except for possible future updates</w:t>
      </w:r>
      <w:r w:rsidR="008C20F0">
        <w:t>, about which</w:t>
      </w:r>
      <w:r>
        <w:t xml:space="preserve"> no suggestion</w:t>
      </w:r>
      <w:r w:rsidR="007534BD">
        <w:t>s</w:t>
      </w:r>
      <w:r>
        <w:t xml:space="preserve"> were received, s</w:t>
      </w:r>
      <w:r w:rsidR="00987D74">
        <w:t>ubmissions cover</w:t>
      </w:r>
      <w:r w:rsidR="008C20F0">
        <w:t>ed</w:t>
      </w:r>
      <w:r w:rsidR="00987D74">
        <w:t xml:space="preserve"> all matters </w:t>
      </w:r>
      <w:r w:rsidR="008C20F0">
        <w:t>we</w:t>
      </w:r>
      <w:r w:rsidR="00987D74">
        <w:t xml:space="preserve"> sought comment</w:t>
      </w:r>
      <w:r>
        <w:t xml:space="preserve"> on. </w:t>
      </w:r>
      <w:r w:rsidR="00987D74" w:rsidRPr="00FD4AB9">
        <w:rPr>
          <w:szCs w:val="20"/>
        </w:rPr>
        <w:t xml:space="preserve">Matters </w:t>
      </w:r>
      <w:r w:rsidR="00987D74">
        <w:rPr>
          <w:szCs w:val="20"/>
        </w:rPr>
        <w:t xml:space="preserve">that </w:t>
      </w:r>
      <w:r w:rsidR="008C20F0">
        <w:rPr>
          <w:szCs w:val="20"/>
        </w:rPr>
        <w:t>we</w:t>
      </w:r>
      <w:r w:rsidR="00987D74">
        <w:rPr>
          <w:szCs w:val="20"/>
        </w:rPr>
        <w:t xml:space="preserve"> </w:t>
      </w:r>
      <w:r>
        <w:rPr>
          <w:szCs w:val="20"/>
        </w:rPr>
        <w:t>intend</w:t>
      </w:r>
      <w:r w:rsidR="00987D74">
        <w:rPr>
          <w:szCs w:val="20"/>
        </w:rPr>
        <w:t xml:space="preserve"> to consider in future </w:t>
      </w:r>
      <w:r w:rsidR="002801E9">
        <w:rPr>
          <w:szCs w:val="20"/>
        </w:rPr>
        <w:t xml:space="preserve">LIPD Class Licence </w:t>
      </w:r>
      <w:r w:rsidR="00987D74">
        <w:rPr>
          <w:szCs w:val="20"/>
        </w:rPr>
        <w:t xml:space="preserve">updates </w:t>
      </w:r>
      <w:r>
        <w:t>are outline</w:t>
      </w:r>
      <w:r w:rsidR="008C20F0">
        <w:t xml:space="preserve">d </w:t>
      </w:r>
      <w:r>
        <w:t xml:space="preserve">in </w:t>
      </w:r>
      <w:r w:rsidR="008C20F0">
        <w:t>our</w:t>
      </w:r>
      <w:r w:rsidR="00DD026D" w:rsidRPr="00B92A45">
        <w:t xml:space="preserve"> </w:t>
      </w:r>
      <w:hyperlink r:id="rId28" w:history="1">
        <w:r w:rsidR="00DD026D" w:rsidRPr="000D74AA">
          <w:rPr>
            <w:rStyle w:val="Hyperlink"/>
            <w:i/>
          </w:rPr>
          <w:t>Draft</w:t>
        </w:r>
        <w:r w:rsidR="00987D74" w:rsidRPr="000D74AA">
          <w:rPr>
            <w:rStyle w:val="Hyperlink"/>
            <w:i/>
          </w:rPr>
          <w:t xml:space="preserve"> five-year spectrum outlook 2018–22</w:t>
        </w:r>
      </w:hyperlink>
      <w:r>
        <w:t>.</w:t>
      </w:r>
    </w:p>
    <w:p w14:paraId="23EF432B" w14:textId="1B9EE5C6" w:rsidR="00BD6C36" w:rsidRDefault="008C20F0" w:rsidP="00A7464D">
      <w:r>
        <w:rPr>
          <w:rFonts w:cs="Arial"/>
        </w:rPr>
        <w:t>We have outlined a s</w:t>
      </w:r>
      <w:r w:rsidR="00BD6C36">
        <w:rPr>
          <w:rFonts w:cs="Arial"/>
        </w:rPr>
        <w:t>ummary of submissions and i</w:t>
      </w:r>
      <w:r w:rsidR="00FB113F" w:rsidRPr="00436573">
        <w:t>ssues raised</w:t>
      </w:r>
      <w:r>
        <w:t>,</w:t>
      </w:r>
      <w:r w:rsidR="00FB113F" w:rsidRPr="00436573">
        <w:t xml:space="preserve"> </w:t>
      </w:r>
      <w:r w:rsidR="00BD6C36">
        <w:t xml:space="preserve">as well as </w:t>
      </w:r>
      <w:r>
        <w:t xml:space="preserve">our </w:t>
      </w:r>
      <w:r w:rsidR="00FB113F" w:rsidRPr="00436573">
        <w:t>response</w:t>
      </w:r>
      <w:r>
        <w:t>,</w:t>
      </w:r>
      <w:r w:rsidR="00BD6C36">
        <w:t xml:space="preserve"> </w:t>
      </w:r>
      <w:r w:rsidR="00FB113F">
        <w:t>below.</w:t>
      </w:r>
      <w:r w:rsidR="00BA6206">
        <w:t xml:space="preserve"> </w:t>
      </w:r>
    </w:p>
    <w:p w14:paraId="1D244101" w14:textId="49384F0C" w:rsidR="00E034E4" w:rsidRPr="0025532A" w:rsidRDefault="00E23940" w:rsidP="0025532A">
      <w:pPr>
        <w:pStyle w:val="Heading2"/>
      </w:pPr>
      <w:bookmarkStart w:id="6" w:name="_Toc285789711"/>
      <w:bookmarkStart w:id="7" w:name="_Toc285791790"/>
      <w:bookmarkStart w:id="8" w:name="_Toc518042866"/>
      <w:r w:rsidRPr="00C028F5">
        <w:t>Issue</w:t>
      </w:r>
      <w:bookmarkEnd w:id="6"/>
      <w:bookmarkEnd w:id="7"/>
      <w:r w:rsidRPr="00C028F5">
        <w:t>s</w:t>
      </w:r>
      <w:r w:rsidR="00E323A0" w:rsidRPr="00C028F5">
        <w:t xml:space="preserve"> </w:t>
      </w:r>
      <w:r w:rsidR="00022D91" w:rsidRPr="00C028F5">
        <w:t xml:space="preserve">raised </w:t>
      </w:r>
      <w:r w:rsidR="00E323A0" w:rsidRPr="00C028F5">
        <w:t>and responses</w:t>
      </w:r>
      <w:bookmarkEnd w:id="8"/>
    </w:p>
    <w:p w14:paraId="336773B3" w14:textId="1FCC3C2B" w:rsidR="00474A2D" w:rsidRDefault="00474A2D" w:rsidP="00474A2D">
      <w:pPr>
        <w:pStyle w:val="Heading3"/>
      </w:pPr>
      <w:bookmarkStart w:id="9" w:name="_Toc518042867"/>
      <w:r>
        <w:t>Item 23A</w:t>
      </w:r>
      <w:r w:rsidRPr="00D1439D">
        <w:t xml:space="preserve"> </w:t>
      </w:r>
      <w:r>
        <w:t>of Schedule 1</w:t>
      </w:r>
      <w:r w:rsidR="008C20F0">
        <w:t>—</w:t>
      </w:r>
      <w:r>
        <w:t>All transmitters 122 to 122.25 GHz</w:t>
      </w:r>
      <w:bookmarkEnd w:id="9"/>
      <w:r w:rsidRPr="006D46E5">
        <w:t xml:space="preserve"> </w:t>
      </w:r>
    </w:p>
    <w:p w14:paraId="0CF30711" w14:textId="4E0BC19F" w:rsidR="00474A2D" w:rsidRPr="00C50DD4" w:rsidRDefault="00CE1ED3" w:rsidP="00A7464D">
      <w:r w:rsidRPr="00CE1ED3">
        <w:t>This proposal was supported by</w:t>
      </w:r>
      <w:r w:rsidR="0043433F">
        <w:t xml:space="preserve"> submissions from </w:t>
      </w:r>
      <w:proofErr w:type="spellStart"/>
      <w:r w:rsidR="00FB073D" w:rsidRPr="006B70DF">
        <w:t>Baumer</w:t>
      </w:r>
      <w:proofErr w:type="spellEnd"/>
      <w:r w:rsidR="00FB073D" w:rsidRPr="006B70DF">
        <w:t xml:space="preserve"> Electric, </w:t>
      </w:r>
      <w:r w:rsidRPr="00CE1ED3">
        <w:t xml:space="preserve">Steven Forst and </w:t>
      </w:r>
      <w:r w:rsidRPr="006B70DF">
        <w:t>T</w:t>
      </w:r>
      <w:r w:rsidR="00FB073D" w:rsidRPr="006B70DF">
        <w:t>elstra</w:t>
      </w:r>
      <w:r>
        <w:t>. No</w:t>
      </w:r>
      <w:r w:rsidR="00FB073D" w:rsidRPr="006B70DF">
        <w:t xml:space="preserve"> </w:t>
      </w:r>
      <w:r w:rsidR="00474A2D">
        <w:t>further comment</w:t>
      </w:r>
      <w:r>
        <w:t xml:space="preserve">s were </w:t>
      </w:r>
      <w:r w:rsidR="00474A2D">
        <w:t xml:space="preserve">received.  </w:t>
      </w:r>
    </w:p>
    <w:p w14:paraId="06212262" w14:textId="792CFD75" w:rsidR="000F1D7E" w:rsidRDefault="00953D00" w:rsidP="00A7464D">
      <w:pPr>
        <w:pStyle w:val="Heading3"/>
      </w:pPr>
      <w:bookmarkStart w:id="10" w:name="_Toc518042868"/>
      <w:r>
        <w:t>Item 33</w:t>
      </w:r>
      <w:r w:rsidRPr="00D1439D">
        <w:t xml:space="preserve"> </w:t>
      </w:r>
      <w:r w:rsidR="00207F00">
        <w:t>of Schedule 1</w:t>
      </w:r>
      <w:r w:rsidR="008C20F0">
        <w:t>—</w:t>
      </w:r>
      <w:r w:rsidRPr="00D1439D">
        <w:t xml:space="preserve">Medical </w:t>
      </w:r>
      <w:r w:rsidR="0025532A">
        <w:t>i</w:t>
      </w:r>
      <w:r w:rsidRPr="00D1439D">
        <w:t xml:space="preserve">mplant communications systems </w:t>
      </w:r>
      <w:r>
        <w:t>transmitters</w:t>
      </w:r>
      <w:bookmarkEnd w:id="10"/>
      <w:r w:rsidR="000F1D7E" w:rsidRPr="006D46E5">
        <w:t xml:space="preserve"> </w:t>
      </w:r>
    </w:p>
    <w:p w14:paraId="5B8F47E5" w14:textId="7238F4E9" w:rsidR="00EE57C7" w:rsidRPr="001E2775" w:rsidRDefault="0043433F" w:rsidP="00A7464D">
      <w:r>
        <w:t xml:space="preserve">While </w:t>
      </w:r>
      <w:r w:rsidR="00EE57C7">
        <w:t>no changes were proposed to item 33,</w:t>
      </w:r>
      <w:r w:rsidR="003846A2">
        <w:t xml:space="preserve"> </w:t>
      </w:r>
      <w:proofErr w:type="spellStart"/>
      <w:r w:rsidR="00743B7B" w:rsidRPr="00CE1ED3">
        <w:t>Metronic</w:t>
      </w:r>
      <w:proofErr w:type="spellEnd"/>
      <w:r w:rsidR="00EE57C7" w:rsidDel="00EE57C7">
        <w:t xml:space="preserve"> </w:t>
      </w:r>
      <w:r w:rsidR="003846A2">
        <w:t>noted</w:t>
      </w:r>
      <w:r w:rsidR="006F7E5C">
        <w:t xml:space="preserve"> </w:t>
      </w:r>
      <w:r w:rsidR="0014785C">
        <w:t xml:space="preserve">that as a result of </w:t>
      </w:r>
      <w:hyperlink r:id="rId29" w:history="1">
        <w:r w:rsidR="008C20F0">
          <w:rPr>
            <w:rStyle w:val="Hyperlink"/>
            <w:rFonts w:cs="Arial"/>
          </w:rPr>
          <w:t>2017 reorganisation by the FCC</w:t>
        </w:r>
      </w:hyperlink>
      <w:r w:rsidR="0014785C">
        <w:t xml:space="preserve">, </w:t>
      </w:r>
      <w:r w:rsidR="00E549F7">
        <w:t>the</w:t>
      </w:r>
      <w:r w:rsidR="00A33C5A">
        <w:t xml:space="preserve"> requirements specified in</w:t>
      </w:r>
      <w:r w:rsidR="00E549F7">
        <w:t xml:space="preserve"> </w:t>
      </w:r>
      <w:r w:rsidR="00EE57C7">
        <w:t>item 33 limitation (b)(ii)</w:t>
      </w:r>
      <w:r w:rsidR="008C20F0">
        <w:t>,</w:t>
      </w:r>
      <w:r w:rsidR="00EE57C7">
        <w:t xml:space="preserve"> which refer</w:t>
      </w:r>
      <w:r w:rsidR="00FF54A3">
        <w:t xml:space="preserve"> to</w:t>
      </w:r>
      <w:r w:rsidR="00EE57C7">
        <w:t xml:space="preserve"> </w:t>
      </w:r>
      <w:r w:rsidR="00EE57C7" w:rsidRPr="006F7E5C">
        <w:t>FCC Rules Title 47 Part 95 Sections 627 and 635</w:t>
      </w:r>
      <w:r w:rsidR="008C20F0">
        <w:t>,</w:t>
      </w:r>
      <w:r w:rsidR="00EE57C7">
        <w:t xml:space="preserve"> </w:t>
      </w:r>
      <w:r w:rsidR="00653440">
        <w:t xml:space="preserve">are </w:t>
      </w:r>
      <w:r w:rsidR="00EE57C7">
        <w:t xml:space="preserve">now contained elsewhere in </w:t>
      </w:r>
      <w:r w:rsidR="000471D8">
        <w:t xml:space="preserve">the </w:t>
      </w:r>
      <w:r w:rsidR="00EE57C7">
        <w:t>FCC rules.</w:t>
      </w:r>
    </w:p>
    <w:p w14:paraId="26825495" w14:textId="541AD0A3" w:rsidR="000F1D7E" w:rsidRPr="00A7464D" w:rsidRDefault="000F1D7E" w:rsidP="0085452E">
      <w:pPr>
        <w:pStyle w:val="BodySubHeader"/>
        <w:keepNext/>
      </w:pPr>
      <w:r>
        <w:lastRenderedPageBreak/>
        <w:t xml:space="preserve">ACMA </w:t>
      </w:r>
      <w:r w:rsidR="0025532A">
        <w:t>r</w:t>
      </w:r>
      <w:r>
        <w:t>esponse</w:t>
      </w:r>
      <w:r w:rsidRPr="006D46E5">
        <w:t xml:space="preserve"> </w:t>
      </w:r>
    </w:p>
    <w:p w14:paraId="174E5929" w14:textId="322252B0" w:rsidR="000D0A57" w:rsidRDefault="00FB113F" w:rsidP="00A7464D">
      <w:r>
        <w:t xml:space="preserve">The </w:t>
      </w:r>
      <w:r w:rsidR="0014785C">
        <w:t xml:space="preserve">limitation has been </w:t>
      </w:r>
      <w:r>
        <w:t>update</w:t>
      </w:r>
      <w:r w:rsidR="00E549F7">
        <w:t>d</w:t>
      </w:r>
      <w:r>
        <w:t xml:space="preserve"> and now </w:t>
      </w:r>
      <w:r w:rsidR="0014785C">
        <w:t>refers</w:t>
      </w:r>
      <w:r>
        <w:t xml:space="preserve"> to </w:t>
      </w:r>
      <w:r w:rsidR="000D0A57">
        <w:t>FCC Rules Title 47 Part 95 Sections 2573 and 2579.</w:t>
      </w:r>
    </w:p>
    <w:p w14:paraId="5B446A29" w14:textId="600762C0" w:rsidR="000F1D7E" w:rsidRDefault="00953D00" w:rsidP="000F1D7E">
      <w:pPr>
        <w:pStyle w:val="Heading3"/>
      </w:pPr>
      <w:bookmarkStart w:id="11" w:name="_Toc518042869"/>
      <w:r>
        <w:t xml:space="preserve">Item </w:t>
      </w:r>
      <w:r w:rsidR="000D0A57">
        <w:t>34A</w:t>
      </w:r>
      <w:r w:rsidRPr="00BF03AF">
        <w:t xml:space="preserve"> </w:t>
      </w:r>
      <w:r w:rsidR="00207F00">
        <w:t>of Schedule 1</w:t>
      </w:r>
      <w:r w:rsidR="004F1948">
        <w:t>—</w:t>
      </w:r>
      <w:r w:rsidR="000D0A57">
        <w:t>Medical endoscopy capsule transmitters</w:t>
      </w:r>
      <w:bookmarkEnd w:id="11"/>
      <w:r w:rsidR="000F1D7E" w:rsidRPr="006D46E5">
        <w:t xml:space="preserve"> </w:t>
      </w:r>
    </w:p>
    <w:p w14:paraId="2DFFC78C" w14:textId="1E0AC724" w:rsidR="00743B7B" w:rsidRDefault="00FF54A3" w:rsidP="006B70DF">
      <w:r>
        <w:rPr>
          <w:rFonts w:cs="Arial"/>
          <w:szCs w:val="20"/>
        </w:rPr>
        <w:t>Submissions from</w:t>
      </w:r>
      <w:r w:rsidRPr="006B70DF">
        <w:rPr>
          <w:rFonts w:cs="Arial"/>
          <w:szCs w:val="20"/>
        </w:rPr>
        <w:t xml:space="preserve"> </w:t>
      </w:r>
      <w:r w:rsidR="00743B7B" w:rsidRPr="00987D74">
        <w:t xml:space="preserve">Medtronic, </w:t>
      </w:r>
      <w:r w:rsidRPr="00987D74">
        <w:t xml:space="preserve">Steven Forst </w:t>
      </w:r>
      <w:r>
        <w:t xml:space="preserve">and </w:t>
      </w:r>
      <w:r w:rsidR="00743B7B" w:rsidRPr="00987D74">
        <w:t>Telstra</w:t>
      </w:r>
      <w:r>
        <w:t xml:space="preserve"> supported </w:t>
      </w:r>
      <w:r w:rsidR="00743B7B">
        <w:t>the proposed arrangement for medical endoscopy transmitters operating in the 430</w:t>
      </w:r>
      <w:r w:rsidR="004F1948">
        <w:t>–</w:t>
      </w:r>
      <w:r w:rsidR="00743B7B">
        <w:t>440 MHz band</w:t>
      </w:r>
      <w:r w:rsidR="004F1948">
        <w:t>. T</w:t>
      </w:r>
      <w:r w:rsidR="00DD026D">
        <w:t>he submission from AST commented on technical limitations.</w:t>
      </w:r>
    </w:p>
    <w:p w14:paraId="47E49281" w14:textId="1E867D1B" w:rsidR="007115F9" w:rsidRDefault="007115F9" w:rsidP="00AB3AC5">
      <w:r w:rsidRPr="00987D74">
        <w:t>Medtronic</w:t>
      </w:r>
      <w:r w:rsidR="00653440">
        <w:t>'s</w:t>
      </w:r>
      <w:r>
        <w:t xml:space="preserve"> </w:t>
      </w:r>
      <w:r w:rsidR="00AB3AC5">
        <w:t>submission</w:t>
      </w:r>
      <w:r>
        <w:t xml:space="preserve"> </w:t>
      </w:r>
      <w:r w:rsidR="00DD026D">
        <w:t xml:space="preserve">also </w:t>
      </w:r>
      <w:r>
        <w:t xml:space="preserve">suggested that the proposed maximum equivalent </w:t>
      </w:r>
      <w:proofErr w:type="spellStart"/>
      <w:r>
        <w:t>isot</w:t>
      </w:r>
      <w:r w:rsidR="00A33C5A">
        <w:t>r</w:t>
      </w:r>
      <w:r>
        <w:t>opically</w:t>
      </w:r>
      <w:proofErr w:type="spellEnd"/>
      <w:r>
        <w:t xml:space="preserve"> radiated power limit be changed</w:t>
      </w:r>
      <w:r w:rsidR="00AB3AC5">
        <w:t xml:space="preserve"> </w:t>
      </w:r>
      <w:r w:rsidR="007F2D6E">
        <w:t xml:space="preserve">from 100 </w:t>
      </w:r>
      <w:proofErr w:type="spellStart"/>
      <w:r w:rsidR="007F2D6E">
        <w:t>nW</w:t>
      </w:r>
      <w:proofErr w:type="spellEnd"/>
      <w:r w:rsidR="007F2D6E">
        <w:t xml:space="preserve"> to 164 </w:t>
      </w:r>
      <w:proofErr w:type="spellStart"/>
      <w:r w:rsidR="007F2D6E">
        <w:t>nW</w:t>
      </w:r>
      <w:proofErr w:type="spellEnd"/>
      <w:r w:rsidR="007F2D6E">
        <w:t xml:space="preserve"> </w:t>
      </w:r>
      <w:r>
        <w:t xml:space="preserve">to align with limits </w:t>
      </w:r>
      <w:r w:rsidR="007F2D6E">
        <w:t xml:space="preserve">in the </w:t>
      </w:r>
      <w:r>
        <w:t>European Telecommunications Standards Institute (ETSI) standard on m</w:t>
      </w:r>
      <w:r w:rsidRPr="007115F9">
        <w:t xml:space="preserve">edical endoscopy capsule transmitters </w:t>
      </w:r>
      <w:r>
        <w:t>(EN 303 520)</w:t>
      </w:r>
      <w:r w:rsidR="007F2D6E">
        <w:t>.</w:t>
      </w:r>
      <w:r>
        <w:t xml:space="preserve"> </w:t>
      </w:r>
      <w:r w:rsidR="00AB3AC5">
        <w:t xml:space="preserve">The submission from </w:t>
      </w:r>
      <w:r w:rsidR="00FF54A3">
        <w:rPr>
          <w:rFonts w:cs="Arial"/>
          <w:szCs w:val="20"/>
        </w:rPr>
        <w:t>AST</w:t>
      </w:r>
      <w:r w:rsidR="00AB3AC5" w:rsidRPr="00987D74">
        <w:rPr>
          <w:rFonts w:cs="Arial"/>
          <w:szCs w:val="20"/>
        </w:rPr>
        <w:t xml:space="preserve"> </w:t>
      </w:r>
      <w:r w:rsidR="00AB3AC5">
        <w:rPr>
          <w:rFonts w:cs="Arial"/>
          <w:szCs w:val="20"/>
        </w:rPr>
        <w:t xml:space="preserve">noted </w:t>
      </w:r>
      <w:r w:rsidR="007F2D6E">
        <w:rPr>
          <w:rFonts w:cs="Arial"/>
          <w:szCs w:val="20"/>
        </w:rPr>
        <w:t xml:space="preserve">a </w:t>
      </w:r>
      <w:r w:rsidR="00AB3AC5">
        <w:rPr>
          <w:rFonts w:cs="Arial"/>
          <w:szCs w:val="20"/>
        </w:rPr>
        <w:t xml:space="preserve">difference between </w:t>
      </w:r>
      <w:r w:rsidR="007F2D6E">
        <w:rPr>
          <w:rFonts w:cs="Arial"/>
          <w:szCs w:val="20"/>
        </w:rPr>
        <w:t xml:space="preserve">the </w:t>
      </w:r>
      <w:r w:rsidR="00AB3AC5">
        <w:rPr>
          <w:rFonts w:cs="Arial"/>
          <w:szCs w:val="20"/>
        </w:rPr>
        <w:t xml:space="preserve">Australian technical limit being specified in </w:t>
      </w:r>
      <w:r w:rsidR="00AB3AC5">
        <w:t xml:space="preserve">equivalent </w:t>
      </w:r>
      <w:proofErr w:type="spellStart"/>
      <w:r w:rsidR="00AB3AC5">
        <w:t>isot</w:t>
      </w:r>
      <w:r w:rsidR="00A33C5A">
        <w:t>r</w:t>
      </w:r>
      <w:r w:rsidR="00AB3AC5">
        <w:t>opically</w:t>
      </w:r>
      <w:proofErr w:type="spellEnd"/>
      <w:r w:rsidR="00AB3AC5">
        <w:t xml:space="preserve"> radiated power</w:t>
      </w:r>
      <w:r w:rsidR="007F2D6E">
        <w:t xml:space="preserve"> (</w:t>
      </w:r>
      <w:proofErr w:type="spellStart"/>
      <w:r w:rsidR="007F2D6E">
        <w:t>EIRP</w:t>
      </w:r>
      <w:proofErr w:type="spellEnd"/>
      <w:r w:rsidR="007F2D6E">
        <w:t>)</w:t>
      </w:r>
      <w:r w:rsidR="00AB3AC5">
        <w:t xml:space="preserve"> and </w:t>
      </w:r>
      <w:r w:rsidR="007F2D6E">
        <w:t xml:space="preserve">the </w:t>
      </w:r>
      <w:r w:rsidR="00AB3AC5">
        <w:t xml:space="preserve">ETSI use of </w:t>
      </w:r>
      <w:r w:rsidR="00FB69D4">
        <w:t xml:space="preserve">effective </w:t>
      </w:r>
      <w:r w:rsidR="00AB3AC5">
        <w:t>radiated power</w:t>
      </w:r>
      <w:r w:rsidR="007F2D6E">
        <w:t xml:space="preserve"> (ERP)</w:t>
      </w:r>
      <w:r w:rsidR="004F1948">
        <w:t>,</w:t>
      </w:r>
      <w:r w:rsidR="00FF54A3">
        <w:t xml:space="preserve"> and suggested</w:t>
      </w:r>
      <w:r w:rsidR="00987D74">
        <w:t xml:space="preserve"> changes to the </w:t>
      </w:r>
      <w:r w:rsidR="007F2D6E">
        <w:t>EIRP limit.</w:t>
      </w:r>
    </w:p>
    <w:p w14:paraId="2085F935" w14:textId="7B189887" w:rsidR="000D49C1" w:rsidRPr="000D49C1" w:rsidRDefault="003846A2" w:rsidP="00AB3AC5">
      <w:pPr>
        <w:rPr>
          <w:rFonts w:cs="Arial"/>
          <w:szCs w:val="20"/>
        </w:rPr>
      </w:pPr>
      <w:r>
        <w:rPr>
          <w:rFonts w:cs="Arial"/>
          <w:szCs w:val="20"/>
        </w:rPr>
        <w:t xml:space="preserve">The submission from AST </w:t>
      </w:r>
      <w:r w:rsidR="000D49C1">
        <w:rPr>
          <w:rFonts w:cs="Arial"/>
          <w:szCs w:val="20"/>
        </w:rPr>
        <w:t>also</w:t>
      </w:r>
      <w:r w:rsidR="000D49C1" w:rsidRPr="00FD42F0">
        <w:rPr>
          <w:rFonts w:cs="Arial"/>
          <w:szCs w:val="20"/>
        </w:rPr>
        <w:t xml:space="preserve"> commented on the</w:t>
      </w:r>
      <w:r>
        <w:rPr>
          <w:rFonts w:cs="Arial"/>
          <w:szCs w:val="20"/>
        </w:rPr>
        <w:t xml:space="preserve"> proposed </w:t>
      </w:r>
      <w:r w:rsidR="000D49C1" w:rsidRPr="00FD42F0">
        <w:rPr>
          <w:rFonts w:cs="Arial"/>
          <w:szCs w:val="20"/>
        </w:rPr>
        <w:t>insertion of Note 3</w:t>
      </w:r>
      <w:r w:rsidR="004F1948">
        <w:rPr>
          <w:rFonts w:cs="Arial"/>
          <w:szCs w:val="20"/>
        </w:rPr>
        <w:t>, which</w:t>
      </w:r>
      <w:r>
        <w:rPr>
          <w:rFonts w:cs="Arial"/>
          <w:szCs w:val="20"/>
        </w:rPr>
        <w:t xml:space="preserve"> advises that a</w:t>
      </w:r>
      <w:r w:rsidRPr="003846A2">
        <w:rPr>
          <w:rFonts w:cs="Arial"/>
          <w:szCs w:val="20"/>
        </w:rPr>
        <w:t xml:space="preserve"> transmitter that complies with ETSI Standard EN 303 520 will meet the requirement not to exceed the maximum EIRP limit specified at item 34A</w:t>
      </w:r>
      <w:r>
        <w:rPr>
          <w:rFonts w:cs="Arial"/>
          <w:szCs w:val="20"/>
        </w:rPr>
        <w:t xml:space="preserve">. </w:t>
      </w:r>
      <w:r w:rsidR="009D2864">
        <w:rPr>
          <w:rFonts w:cs="Arial"/>
          <w:szCs w:val="20"/>
        </w:rPr>
        <w:t xml:space="preserve">The AST submission </w:t>
      </w:r>
      <w:r w:rsidR="00DD026D">
        <w:rPr>
          <w:rFonts w:cs="Arial"/>
          <w:szCs w:val="20"/>
        </w:rPr>
        <w:t>suggested</w:t>
      </w:r>
      <w:r>
        <w:rPr>
          <w:rFonts w:cs="Arial"/>
          <w:szCs w:val="20"/>
        </w:rPr>
        <w:t xml:space="preserve"> that </w:t>
      </w:r>
      <w:r w:rsidR="000D49C1" w:rsidRPr="00FD42F0">
        <w:rPr>
          <w:rFonts w:cs="Arial"/>
          <w:szCs w:val="20"/>
        </w:rPr>
        <w:t xml:space="preserve">the compliance </w:t>
      </w:r>
      <w:r w:rsidR="009D2864">
        <w:rPr>
          <w:rFonts w:cs="Arial"/>
          <w:szCs w:val="20"/>
        </w:rPr>
        <w:t xml:space="preserve">with </w:t>
      </w:r>
      <w:r w:rsidR="000D49C1" w:rsidRPr="00FD42F0">
        <w:rPr>
          <w:rFonts w:cs="Arial"/>
          <w:szCs w:val="20"/>
        </w:rPr>
        <w:t>the re</w:t>
      </w:r>
      <w:r w:rsidR="004D459C">
        <w:rPr>
          <w:rFonts w:cs="Arial"/>
          <w:szCs w:val="20"/>
        </w:rPr>
        <w:t>ferred ETSI standard</w:t>
      </w:r>
      <w:r w:rsidR="009D2864">
        <w:rPr>
          <w:rFonts w:cs="Arial"/>
          <w:szCs w:val="20"/>
        </w:rPr>
        <w:t xml:space="preserve"> should </w:t>
      </w:r>
      <w:r w:rsidR="004F1948" w:rsidRPr="00FD42F0">
        <w:rPr>
          <w:rFonts w:cs="Arial"/>
          <w:szCs w:val="20"/>
        </w:rPr>
        <w:t xml:space="preserve">instead </w:t>
      </w:r>
      <w:r w:rsidR="009D2864">
        <w:rPr>
          <w:rFonts w:cs="Arial"/>
          <w:szCs w:val="20"/>
        </w:rPr>
        <w:t>be included as a</w:t>
      </w:r>
      <w:r w:rsidR="004D459C">
        <w:rPr>
          <w:rFonts w:cs="Arial"/>
          <w:szCs w:val="20"/>
        </w:rPr>
        <w:t xml:space="preserve"> </w:t>
      </w:r>
      <w:r w:rsidR="009D2864">
        <w:rPr>
          <w:rFonts w:cs="Arial"/>
          <w:szCs w:val="20"/>
        </w:rPr>
        <w:t>l</w:t>
      </w:r>
      <w:r w:rsidR="009D2864" w:rsidRPr="00FD42F0">
        <w:rPr>
          <w:rFonts w:cs="Arial"/>
          <w:szCs w:val="20"/>
        </w:rPr>
        <w:t>imitation</w:t>
      </w:r>
      <w:r w:rsidR="000D49C1" w:rsidRPr="00FD42F0">
        <w:rPr>
          <w:rFonts w:cs="Arial"/>
          <w:szCs w:val="20"/>
        </w:rPr>
        <w:t xml:space="preserve"> (Column 4 of Schedule 1</w:t>
      </w:r>
      <w:r w:rsidR="009D2864">
        <w:rPr>
          <w:rFonts w:cs="Arial"/>
          <w:szCs w:val="20"/>
        </w:rPr>
        <w:t xml:space="preserve">) rather than advice in a note. It was also </w:t>
      </w:r>
      <w:r w:rsidR="00784046">
        <w:rPr>
          <w:rFonts w:cs="Arial"/>
          <w:szCs w:val="20"/>
        </w:rPr>
        <w:t xml:space="preserve">suggested that the </w:t>
      </w:r>
      <w:r w:rsidR="009D2864">
        <w:rPr>
          <w:rFonts w:cs="Arial"/>
          <w:szCs w:val="20"/>
        </w:rPr>
        <w:t xml:space="preserve">option of compliance with the </w:t>
      </w:r>
      <w:r w:rsidR="00784046">
        <w:rPr>
          <w:rFonts w:cs="Arial"/>
          <w:szCs w:val="20"/>
        </w:rPr>
        <w:t xml:space="preserve">relevant FCC provision should be </w:t>
      </w:r>
      <w:r w:rsidR="00FA1BC3">
        <w:rPr>
          <w:rFonts w:cs="Arial"/>
          <w:szCs w:val="20"/>
        </w:rPr>
        <w:t>included</w:t>
      </w:r>
      <w:r w:rsidR="000D49C1" w:rsidRPr="00FD42F0">
        <w:rPr>
          <w:rFonts w:cs="Arial"/>
          <w:szCs w:val="20"/>
        </w:rPr>
        <w:t xml:space="preserve">.  </w:t>
      </w:r>
    </w:p>
    <w:p w14:paraId="0773F32A" w14:textId="03A718A3" w:rsidR="000F1D7E" w:rsidRDefault="000F1D7E" w:rsidP="000F1D7E">
      <w:pPr>
        <w:pStyle w:val="BodySubHeader"/>
        <w:rPr>
          <w:rFonts w:cs="Arial"/>
        </w:rPr>
      </w:pPr>
      <w:r>
        <w:rPr>
          <w:rFonts w:cs="Arial"/>
        </w:rPr>
        <w:t xml:space="preserve">ACMA </w:t>
      </w:r>
      <w:r w:rsidR="0025532A">
        <w:rPr>
          <w:rFonts w:cs="Arial"/>
        </w:rPr>
        <w:t>r</w:t>
      </w:r>
      <w:r>
        <w:rPr>
          <w:rFonts w:cs="Arial"/>
        </w:rPr>
        <w:t>esponse</w:t>
      </w:r>
      <w:r w:rsidRPr="006D46E5">
        <w:rPr>
          <w:rFonts w:cs="Arial"/>
        </w:rPr>
        <w:t xml:space="preserve"> </w:t>
      </w:r>
    </w:p>
    <w:p w14:paraId="59AA1797" w14:textId="46588988" w:rsidR="007B6D4D" w:rsidRDefault="00375391" w:rsidP="000F1D7E">
      <w:r>
        <w:t xml:space="preserve">The </w:t>
      </w:r>
      <w:r w:rsidR="00784046">
        <w:t>limits</w:t>
      </w:r>
      <w:r w:rsidR="00653440">
        <w:t>,</w:t>
      </w:r>
      <w:r w:rsidR="00784046">
        <w:t xml:space="preserve"> as proposed</w:t>
      </w:r>
      <w:r w:rsidR="007F2D6E">
        <w:t>,</w:t>
      </w:r>
      <w:r w:rsidR="00784046">
        <w:t xml:space="preserve"> reflect the ACMA</w:t>
      </w:r>
      <w:r w:rsidR="004F1948">
        <w:t>’s</w:t>
      </w:r>
      <w:r w:rsidR="00784046">
        <w:t xml:space="preserve"> understanding of maximum </w:t>
      </w:r>
      <w:r w:rsidR="007F2D6E">
        <w:t>EIRP</w:t>
      </w:r>
      <w:r w:rsidR="00784046">
        <w:t xml:space="preserve"> for m</w:t>
      </w:r>
      <w:r w:rsidR="00784046" w:rsidRPr="007115F9">
        <w:t>edical endoscopy capsule transmitters</w:t>
      </w:r>
      <w:r w:rsidR="00784046">
        <w:t xml:space="preserve"> intended to be used in Australia. </w:t>
      </w:r>
      <w:r w:rsidR="004F1948">
        <w:t xml:space="preserve">We </w:t>
      </w:r>
      <w:r w:rsidR="00906A10">
        <w:t>further</w:t>
      </w:r>
      <w:r w:rsidR="007F2D6E">
        <w:t xml:space="preserve"> </w:t>
      </w:r>
      <w:r>
        <w:t>reviewed arrangement</w:t>
      </w:r>
      <w:r w:rsidR="004F1948">
        <w:t>s</w:t>
      </w:r>
      <w:r>
        <w:t xml:space="preserve"> for medical endoscopy capsule transmitter</w:t>
      </w:r>
      <w:r w:rsidR="00B544AE">
        <w:t>s</w:t>
      </w:r>
      <w:r>
        <w:t xml:space="preserve"> under the </w:t>
      </w:r>
      <w:r w:rsidR="005C38FE">
        <w:t xml:space="preserve">European </w:t>
      </w:r>
      <w:proofErr w:type="spellStart"/>
      <w:r w:rsidR="005C38FE">
        <w:t>Radiocommunication</w:t>
      </w:r>
      <w:proofErr w:type="spellEnd"/>
      <w:r w:rsidR="005C38FE">
        <w:t xml:space="preserve"> Committee (</w:t>
      </w:r>
      <w:proofErr w:type="spellStart"/>
      <w:r w:rsidR="008E7304">
        <w:t>ERC</w:t>
      </w:r>
      <w:proofErr w:type="spellEnd"/>
      <w:r w:rsidR="005C38FE">
        <w:t>)</w:t>
      </w:r>
      <w:r w:rsidR="008E7304">
        <w:t xml:space="preserve"> Recommendation 70-03</w:t>
      </w:r>
      <w:r w:rsidR="00B544AE">
        <w:t>,</w:t>
      </w:r>
      <w:r w:rsidR="008E7304">
        <w:t xml:space="preserve"> and associated ETSI standard EN 302 520</w:t>
      </w:r>
      <w:r w:rsidR="00B544AE">
        <w:t>,</w:t>
      </w:r>
      <w:r w:rsidR="00784046">
        <w:t xml:space="preserve"> and decided </w:t>
      </w:r>
      <w:r w:rsidR="00906A10">
        <w:t xml:space="preserve">to </w:t>
      </w:r>
      <w:r w:rsidR="00FB69D4">
        <w:t xml:space="preserve">specify </w:t>
      </w:r>
      <w:r w:rsidR="00906A10">
        <w:t>radiated power</w:t>
      </w:r>
      <w:r w:rsidR="00FB69D4">
        <w:t xml:space="preserve"> limits</w:t>
      </w:r>
      <w:r w:rsidR="00906A10">
        <w:t xml:space="preserve"> in </w:t>
      </w:r>
      <w:r w:rsidR="004F1948">
        <w:t xml:space="preserve">the </w:t>
      </w:r>
      <w:r w:rsidR="00906A10">
        <w:t>same units as in the European arrangements</w:t>
      </w:r>
      <w:r w:rsidR="00B544AE">
        <w:t xml:space="preserve">. </w:t>
      </w:r>
      <w:r w:rsidR="00906A10">
        <w:t xml:space="preserve">This has been achieved by removing </w:t>
      </w:r>
      <w:r w:rsidR="008E7304">
        <w:t>the maximum EIRP limit for this item from Column 3 of Schedule 1</w:t>
      </w:r>
      <w:r w:rsidR="00B544AE">
        <w:t>,</w:t>
      </w:r>
      <w:r w:rsidR="00906A10">
        <w:t xml:space="preserve"> and </w:t>
      </w:r>
      <w:r w:rsidR="00E549F7">
        <w:t xml:space="preserve">including limitations for this item (Column 4 of Schedule 1) </w:t>
      </w:r>
      <w:r w:rsidR="00FB69D4">
        <w:t xml:space="preserve">in terms of </w:t>
      </w:r>
      <w:r w:rsidR="00E549F7">
        <w:t>a</w:t>
      </w:r>
      <w:r w:rsidR="008E7304">
        <w:t xml:space="preserve"> maximum effective radiated spectral density</w:t>
      </w:r>
      <w:r w:rsidR="00B37663">
        <w:t xml:space="preserve"> of </w:t>
      </w:r>
      <w:r w:rsidR="004F1948">
        <w:t>–</w:t>
      </w:r>
      <w:r w:rsidR="00B37663">
        <w:t>50 </w:t>
      </w:r>
      <w:proofErr w:type="spellStart"/>
      <w:r w:rsidR="00B37663">
        <w:t>dBm</w:t>
      </w:r>
      <w:proofErr w:type="spellEnd"/>
      <w:r w:rsidR="00B37663">
        <w:t xml:space="preserve"> per 100 kHz </w:t>
      </w:r>
      <w:r w:rsidR="008E7304">
        <w:t xml:space="preserve">and </w:t>
      </w:r>
      <w:r w:rsidR="00B37663">
        <w:t xml:space="preserve">a </w:t>
      </w:r>
      <w:r w:rsidR="008E7304">
        <w:t xml:space="preserve">total </w:t>
      </w:r>
      <w:r w:rsidR="00B37663">
        <w:t xml:space="preserve">effective </w:t>
      </w:r>
      <w:r w:rsidR="008E7304">
        <w:t xml:space="preserve">radiated power </w:t>
      </w:r>
      <w:r w:rsidR="00B37663">
        <w:t xml:space="preserve">of </w:t>
      </w:r>
      <w:r w:rsidR="004F1948">
        <w:t>–</w:t>
      </w:r>
      <w:r w:rsidR="00B37663">
        <w:t xml:space="preserve">40 </w:t>
      </w:r>
      <w:proofErr w:type="spellStart"/>
      <w:r w:rsidR="00B37663">
        <w:t>dBm</w:t>
      </w:r>
      <w:proofErr w:type="spellEnd"/>
      <w:r w:rsidR="00B37663">
        <w:t xml:space="preserve"> in 10</w:t>
      </w:r>
      <w:r w:rsidR="00E549F7">
        <w:t xml:space="preserve"> </w:t>
      </w:r>
      <w:proofErr w:type="spellStart"/>
      <w:r w:rsidR="00E549F7">
        <w:t>MHz.</w:t>
      </w:r>
      <w:proofErr w:type="spellEnd"/>
      <w:r w:rsidR="00E549F7">
        <w:t xml:space="preserve"> These </w:t>
      </w:r>
      <w:r w:rsidR="00474A2D">
        <w:t>limitations</w:t>
      </w:r>
      <w:r w:rsidR="00E549F7">
        <w:t xml:space="preserve"> are </w:t>
      </w:r>
      <w:r w:rsidR="008E7304">
        <w:t xml:space="preserve">equivalent to </w:t>
      </w:r>
      <w:r w:rsidR="00474A2D">
        <w:t xml:space="preserve">radiated power limits for </w:t>
      </w:r>
      <w:r w:rsidR="007B6D4D">
        <w:t>medical endoscopy capsule</w:t>
      </w:r>
      <w:r w:rsidR="00B544AE">
        <w:t xml:space="preserve"> transmitters</w:t>
      </w:r>
      <w:r w:rsidR="007B6D4D">
        <w:t xml:space="preserve"> under the ERC Recommendation 70-03</w:t>
      </w:r>
      <w:r w:rsidR="00906A10">
        <w:t xml:space="preserve"> and </w:t>
      </w:r>
      <w:r w:rsidR="00FB69D4">
        <w:t xml:space="preserve">ETSI standard </w:t>
      </w:r>
      <w:r w:rsidR="00906A10">
        <w:t>EN 302 520.</w:t>
      </w:r>
    </w:p>
    <w:p w14:paraId="24AF69E9" w14:textId="4FD53B53" w:rsidR="000D49C1" w:rsidRDefault="004F1948" w:rsidP="000F1D7E">
      <w:r>
        <w:t>For</w:t>
      </w:r>
      <w:r w:rsidR="00DD026D">
        <w:t xml:space="preserve"> </w:t>
      </w:r>
      <w:r w:rsidR="00326DFA">
        <w:t xml:space="preserve">the </w:t>
      </w:r>
      <w:r w:rsidR="00DD026D">
        <w:t xml:space="preserve">proposal that </w:t>
      </w:r>
      <w:r w:rsidR="004D459C">
        <w:t xml:space="preserve">the </w:t>
      </w:r>
      <w:r w:rsidR="00DD026D">
        <w:t xml:space="preserve">advice </w:t>
      </w:r>
      <w:r w:rsidR="004D459C">
        <w:t>of Note 3</w:t>
      </w:r>
      <w:r w:rsidR="00B544AE">
        <w:t>,</w:t>
      </w:r>
      <w:r w:rsidR="004D459C">
        <w:t xml:space="preserve"> for item 34</w:t>
      </w:r>
      <w:r w:rsidR="00B37663">
        <w:t>A</w:t>
      </w:r>
      <w:r w:rsidR="00B544AE">
        <w:t>,</w:t>
      </w:r>
      <w:r w:rsidR="004D459C">
        <w:t xml:space="preserve"> </w:t>
      </w:r>
      <w:r w:rsidR="00DD026D">
        <w:t xml:space="preserve">be included as </w:t>
      </w:r>
      <w:r w:rsidR="00127F1D">
        <w:t>part of the L</w:t>
      </w:r>
      <w:r w:rsidR="004D459C">
        <w:t>imitation</w:t>
      </w:r>
      <w:r w:rsidR="00127F1D">
        <w:t>s (Column 4 of Schedule 1)</w:t>
      </w:r>
      <w:r w:rsidR="004D459C">
        <w:t xml:space="preserve">, </w:t>
      </w:r>
      <w:r>
        <w:t>we believe</w:t>
      </w:r>
      <w:r w:rsidR="00691C47">
        <w:t xml:space="preserve"> that the </w:t>
      </w:r>
      <w:r w:rsidR="00127F1D">
        <w:t xml:space="preserve">set of </w:t>
      </w:r>
      <w:r w:rsidR="00691C47">
        <w:t xml:space="preserve">technical </w:t>
      </w:r>
      <w:r w:rsidR="005C7B6C">
        <w:t xml:space="preserve">requirements </w:t>
      </w:r>
      <w:r w:rsidR="00691C47">
        <w:t>specifi</w:t>
      </w:r>
      <w:r w:rsidR="005C7B6C">
        <w:t>ed</w:t>
      </w:r>
      <w:r w:rsidR="00691C47">
        <w:t xml:space="preserve"> under the Limitations (Column 4 of Schedule 1) </w:t>
      </w:r>
      <w:r>
        <w:t xml:space="preserve">is </w:t>
      </w:r>
      <w:r w:rsidR="00691C47">
        <w:t xml:space="preserve">sufficient </w:t>
      </w:r>
      <w:r w:rsidR="00335348">
        <w:t>for interference management purposes</w:t>
      </w:r>
      <w:r w:rsidR="00B37663">
        <w:t xml:space="preserve">. </w:t>
      </w:r>
      <w:r w:rsidR="00B37663" w:rsidRPr="003458E1">
        <w:t>No</w:t>
      </w:r>
      <w:r w:rsidR="00691C47" w:rsidRPr="003458E1">
        <w:t xml:space="preserve">te 3 is </w:t>
      </w:r>
      <w:r w:rsidR="00906A10" w:rsidRPr="003458E1">
        <w:t>provided</w:t>
      </w:r>
      <w:r w:rsidR="00B544AE" w:rsidRPr="003458E1">
        <w:t>,</w:t>
      </w:r>
      <w:r w:rsidR="00906A10" w:rsidRPr="003458E1">
        <w:t xml:space="preserve"> as advice</w:t>
      </w:r>
      <w:r w:rsidR="00B544AE" w:rsidRPr="003458E1">
        <w:t>,</w:t>
      </w:r>
      <w:r w:rsidR="00906A10" w:rsidRPr="003458E1">
        <w:t xml:space="preserve"> </w:t>
      </w:r>
      <w:r w:rsidR="00B37663" w:rsidRPr="003458E1">
        <w:t xml:space="preserve">on a relevant </w:t>
      </w:r>
      <w:r w:rsidR="00335348" w:rsidRPr="003458E1">
        <w:t xml:space="preserve">industry </w:t>
      </w:r>
      <w:r w:rsidR="00B37663" w:rsidRPr="003458E1">
        <w:t xml:space="preserve">standard </w:t>
      </w:r>
      <w:r w:rsidR="00702E98" w:rsidRPr="003458E1">
        <w:t xml:space="preserve">if </w:t>
      </w:r>
      <w:r w:rsidR="00B37663" w:rsidRPr="003458E1">
        <w:t xml:space="preserve">more information </w:t>
      </w:r>
      <w:r w:rsidR="00702E98" w:rsidRPr="003458E1">
        <w:t xml:space="preserve">is </w:t>
      </w:r>
      <w:r w:rsidR="00B37663" w:rsidRPr="003458E1">
        <w:t>required</w:t>
      </w:r>
      <w:r w:rsidR="00906A10" w:rsidRPr="003458E1">
        <w:t>.</w:t>
      </w:r>
      <w:r w:rsidR="00335348">
        <w:t xml:space="preserve"> </w:t>
      </w:r>
      <w:r w:rsidR="004817A0">
        <w:t>A</w:t>
      </w:r>
      <w:r w:rsidR="009D2864">
        <w:t>s a general principle</w:t>
      </w:r>
      <w:r w:rsidR="00B06B40">
        <w:t xml:space="preserve"> and if </w:t>
      </w:r>
      <w:r w:rsidR="009D2864">
        <w:t>appropriate, the ACMA does include both FCC and ETSI requirements. In this case</w:t>
      </w:r>
      <w:r>
        <w:t>, we are</w:t>
      </w:r>
      <w:r w:rsidR="00906A10">
        <w:t xml:space="preserve"> not aware of equivalent FCC provisions for m</w:t>
      </w:r>
      <w:r w:rsidR="00906A10" w:rsidRPr="007115F9">
        <w:t>edical endoscopy capsule transmitters</w:t>
      </w:r>
      <w:r w:rsidR="00906A10">
        <w:t xml:space="preserve"> in </w:t>
      </w:r>
      <w:r>
        <w:br/>
      </w:r>
      <w:r w:rsidR="00906A10">
        <w:t>430</w:t>
      </w:r>
      <w:r>
        <w:t>–</w:t>
      </w:r>
      <w:r w:rsidR="00906A10">
        <w:t>440 M</w:t>
      </w:r>
      <w:r w:rsidR="00B37663">
        <w:t>Hz</w:t>
      </w:r>
      <w:r>
        <w:t>, so</w:t>
      </w:r>
      <w:r w:rsidR="008F7FD3">
        <w:t xml:space="preserve"> no reference has been included for this item</w:t>
      </w:r>
      <w:r w:rsidR="00B37663">
        <w:t>.</w:t>
      </w:r>
    </w:p>
    <w:p w14:paraId="50807A08" w14:textId="5704397C" w:rsidR="005A3210" w:rsidRDefault="005A3210" w:rsidP="00A7464D">
      <w:pPr>
        <w:pStyle w:val="Heading3"/>
      </w:pPr>
      <w:bookmarkStart w:id="12" w:name="_Toc518042870"/>
      <w:r>
        <w:t>Item 3</w:t>
      </w:r>
      <w:r w:rsidR="00725EAE">
        <w:t>5</w:t>
      </w:r>
      <w:r>
        <w:t>A</w:t>
      </w:r>
      <w:r w:rsidRPr="00BF03AF">
        <w:t xml:space="preserve"> </w:t>
      </w:r>
      <w:r>
        <w:t>of Schedule 1</w:t>
      </w:r>
      <w:r w:rsidR="004F1948">
        <w:t>—</w:t>
      </w:r>
      <w:r>
        <w:t>Medical body area network transmitters</w:t>
      </w:r>
      <w:bookmarkEnd w:id="12"/>
      <w:r w:rsidRPr="006D46E5">
        <w:t xml:space="preserve"> </w:t>
      </w:r>
    </w:p>
    <w:p w14:paraId="5F85A5E4" w14:textId="581E24DC" w:rsidR="00725EAE" w:rsidRPr="00C50DD4" w:rsidRDefault="009D2864" w:rsidP="006B70DF">
      <w:pPr>
        <w:pStyle w:val="ACMANormalTabbed"/>
      </w:pPr>
      <w:r w:rsidRPr="00CE1ED3">
        <w:t>This proposal was supported by</w:t>
      </w:r>
      <w:r>
        <w:t xml:space="preserve"> submissions from </w:t>
      </w:r>
      <w:r w:rsidRPr="006B70DF">
        <w:t>GE Healthcare</w:t>
      </w:r>
      <w:r>
        <w:rPr>
          <w:i/>
        </w:rPr>
        <w:t>,</w:t>
      </w:r>
      <w:r w:rsidRPr="006023F1">
        <w:t xml:space="preserve"> </w:t>
      </w:r>
      <w:r w:rsidRPr="00CE1ED3">
        <w:t xml:space="preserve">Steven Forst and </w:t>
      </w:r>
      <w:r w:rsidRPr="006023F1">
        <w:t>Telstra</w:t>
      </w:r>
      <w:r>
        <w:t>. No</w:t>
      </w:r>
      <w:r w:rsidRPr="006023F1">
        <w:t xml:space="preserve"> </w:t>
      </w:r>
      <w:r>
        <w:t>further comments were received.</w:t>
      </w:r>
    </w:p>
    <w:p w14:paraId="3682F336" w14:textId="7DC659AB" w:rsidR="00725EAE" w:rsidRDefault="00725EAE" w:rsidP="00725EAE">
      <w:pPr>
        <w:pStyle w:val="Heading3"/>
      </w:pPr>
      <w:bookmarkStart w:id="13" w:name="_Toc518042871"/>
      <w:r>
        <w:t>Item 35B</w:t>
      </w:r>
      <w:r w:rsidRPr="00BF03AF">
        <w:t xml:space="preserve"> </w:t>
      </w:r>
      <w:r>
        <w:t>of Schedule 1</w:t>
      </w:r>
      <w:r w:rsidR="004F1948">
        <w:t>—</w:t>
      </w:r>
      <w:r>
        <w:t>Low</w:t>
      </w:r>
      <w:r w:rsidR="004F1948">
        <w:t>-</w:t>
      </w:r>
      <w:r>
        <w:t>power active medical implant</w:t>
      </w:r>
      <w:bookmarkEnd w:id="13"/>
      <w:r w:rsidRPr="006D46E5">
        <w:t xml:space="preserve"> </w:t>
      </w:r>
    </w:p>
    <w:p w14:paraId="787C6838" w14:textId="3D6ADFD2" w:rsidR="009D2864" w:rsidRPr="00C50DD4" w:rsidRDefault="009D2864" w:rsidP="009D2864">
      <w:pPr>
        <w:pStyle w:val="ACMANormalTabbed"/>
      </w:pPr>
      <w:r w:rsidRPr="00CE1ED3">
        <w:t>This proposal was supported by</w:t>
      </w:r>
      <w:r>
        <w:t xml:space="preserve"> submissions from</w:t>
      </w:r>
      <w:r w:rsidRPr="006023F1">
        <w:t xml:space="preserve"> </w:t>
      </w:r>
      <w:r w:rsidRPr="00CE1ED3">
        <w:t xml:space="preserve">Steven Forst and </w:t>
      </w:r>
      <w:r w:rsidRPr="006023F1">
        <w:t>Telstra</w:t>
      </w:r>
      <w:r>
        <w:t>. No</w:t>
      </w:r>
      <w:r w:rsidRPr="006023F1">
        <w:t xml:space="preserve"> </w:t>
      </w:r>
      <w:r>
        <w:t>further comments were received.</w:t>
      </w:r>
    </w:p>
    <w:p w14:paraId="0419BBCA" w14:textId="0CE9BB6D" w:rsidR="00B45BF2" w:rsidRDefault="00B45BF2" w:rsidP="00B45BF2">
      <w:pPr>
        <w:pStyle w:val="Heading3"/>
      </w:pPr>
      <w:bookmarkStart w:id="14" w:name="_Toc518042872"/>
      <w:r>
        <w:lastRenderedPageBreak/>
        <w:t>Item 65</w:t>
      </w:r>
      <w:r w:rsidRPr="00BF03AF">
        <w:t xml:space="preserve"> </w:t>
      </w:r>
      <w:r>
        <w:t>of Schedule 1</w:t>
      </w:r>
      <w:r w:rsidR="004F1948">
        <w:t>—</w:t>
      </w:r>
      <w:r>
        <w:t>Digital communication transmitters</w:t>
      </w:r>
      <w:r w:rsidR="00C3578D">
        <w:t xml:space="preserve"> </w:t>
      </w:r>
      <w:r w:rsidR="00C3578D" w:rsidRPr="004D1F0E">
        <w:t>57</w:t>
      </w:r>
      <w:r w:rsidR="00C3578D">
        <w:t>–</w:t>
      </w:r>
      <w:r w:rsidR="00C3578D" w:rsidRPr="004D1F0E">
        <w:t>66 GHz</w:t>
      </w:r>
      <w:bookmarkEnd w:id="14"/>
    </w:p>
    <w:p w14:paraId="07305702" w14:textId="71EC70B5" w:rsidR="00AB1328" w:rsidRDefault="004B4FDE" w:rsidP="00B45BF2">
      <w:pPr>
        <w:pStyle w:val="ACMANormalTabbed"/>
      </w:pPr>
      <w:r>
        <w:t>Seven s</w:t>
      </w:r>
      <w:r w:rsidR="00B45BF2">
        <w:t>ubmissions</w:t>
      </w:r>
      <w:r>
        <w:t xml:space="preserve"> were received on this proposal, </w:t>
      </w:r>
      <w:r w:rsidR="00D06F55">
        <w:t>f</w:t>
      </w:r>
      <w:r w:rsidR="00D06F55" w:rsidRPr="00D06F55">
        <w:t xml:space="preserve">rom Cambium Networks, Microsoft, </w:t>
      </w:r>
      <w:proofErr w:type="spellStart"/>
      <w:r w:rsidR="00D06F55" w:rsidRPr="00D06F55">
        <w:t>Siklu</w:t>
      </w:r>
      <w:proofErr w:type="spellEnd"/>
      <w:r w:rsidR="00D06F55" w:rsidRPr="00D06F55">
        <w:t xml:space="preserve">, Communications, Steven Forst, </w:t>
      </w:r>
      <w:proofErr w:type="spellStart"/>
      <w:r w:rsidR="00D06F55" w:rsidRPr="00D06F55">
        <w:t>Superloop</w:t>
      </w:r>
      <w:proofErr w:type="spellEnd"/>
      <w:r w:rsidR="00D06F55" w:rsidRPr="00D06F55">
        <w:t xml:space="preserve">, Telstra and </w:t>
      </w:r>
      <w:proofErr w:type="spellStart"/>
      <w:r w:rsidR="00D06F55" w:rsidRPr="00D06F55">
        <w:t>WiFi</w:t>
      </w:r>
      <w:proofErr w:type="spellEnd"/>
      <w:r w:rsidR="00D06F55" w:rsidRPr="00D06F55">
        <w:t xml:space="preserve"> Alliance</w:t>
      </w:r>
      <w:r w:rsidR="00D06F55">
        <w:t>. A</w:t>
      </w:r>
      <w:r w:rsidR="00B8640C">
        <w:t>ll were supportive</w:t>
      </w:r>
      <w:r>
        <w:t>. In addition</w:t>
      </w:r>
      <w:r w:rsidR="00D06F55">
        <w:t>,</w:t>
      </w:r>
      <w:r>
        <w:t xml:space="preserve"> the submission from </w:t>
      </w:r>
      <w:proofErr w:type="spellStart"/>
      <w:r w:rsidR="007D49F7" w:rsidRPr="00FA1BC3">
        <w:rPr>
          <w:rFonts w:cs="Arial"/>
          <w:szCs w:val="20"/>
        </w:rPr>
        <w:t>Siklu</w:t>
      </w:r>
      <w:proofErr w:type="spellEnd"/>
      <w:r w:rsidR="007D49F7" w:rsidRPr="00FA1BC3">
        <w:rPr>
          <w:rFonts w:cs="Arial"/>
          <w:szCs w:val="20"/>
        </w:rPr>
        <w:t xml:space="preserve"> Communication</w:t>
      </w:r>
      <w:r w:rsidR="00B45BF2">
        <w:t xml:space="preserve"> recommend</w:t>
      </w:r>
      <w:r>
        <w:t xml:space="preserve">ed </w:t>
      </w:r>
      <w:r w:rsidR="00B45BF2">
        <w:t>remov</w:t>
      </w:r>
      <w:r w:rsidR="00D06F55">
        <w:t>ing</w:t>
      </w:r>
      <w:r w:rsidR="00B45BF2">
        <w:t xml:space="preserve"> the maximum EIRP limit</w:t>
      </w:r>
      <w:r w:rsidR="00090581">
        <w:t xml:space="preserve"> and</w:t>
      </w:r>
      <w:r w:rsidR="00B45BF2">
        <w:t xml:space="preserve"> </w:t>
      </w:r>
      <w:r w:rsidR="00B8640C">
        <w:t>replac</w:t>
      </w:r>
      <w:r w:rsidR="00D06F55">
        <w:t>ing it</w:t>
      </w:r>
      <w:r w:rsidR="00B8640C">
        <w:t xml:space="preserve"> </w:t>
      </w:r>
      <w:r w:rsidR="00090581">
        <w:t xml:space="preserve">with a </w:t>
      </w:r>
      <w:r>
        <w:t xml:space="preserve">direct reference to FCC requirements </w:t>
      </w:r>
      <w:r w:rsidR="00AB1328">
        <w:t>of Part 15</w:t>
      </w:r>
      <w:r w:rsidR="00D06F55">
        <w:t xml:space="preserve"> </w:t>
      </w:r>
      <w:r w:rsidR="00AB1328">
        <w:t>Section 255</w:t>
      </w:r>
      <w:r w:rsidR="00B8640C">
        <w:t>,</w:t>
      </w:r>
      <w:r w:rsidR="00AB1328">
        <w:t xml:space="preserve"> </w:t>
      </w:r>
      <w:r>
        <w:t xml:space="preserve">to avoid </w:t>
      </w:r>
      <w:r w:rsidR="00B45BF2">
        <w:t>potential duplication and possible inconsistency</w:t>
      </w:r>
      <w:r>
        <w:t xml:space="preserve"> should FCC </w:t>
      </w:r>
      <w:r w:rsidR="00FE039E">
        <w:t xml:space="preserve">equipment </w:t>
      </w:r>
      <w:r w:rsidR="00B8640C">
        <w:t xml:space="preserve">rules </w:t>
      </w:r>
      <w:r w:rsidR="00FE039E">
        <w:t xml:space="preserve">change in the future. </w:t>
      </w:r>
    </w:p>
    <w:p w14:paraId="118D65D3" w14:textId="16ACB941" w:rsidR="00B45BF2" w:rsidRDefault="00FE039E" w:rsidP="00B45BF2">
      <w:pPr>
        <w:pStyle w:val="ACMANormalTabbed"/>
      </w:pPr>
      <w:proofErr w:type="spellStart"/>
      <w:r w:rsidRPr="00FA1BC3">
        <w:t>Si</w:t>
      </w:r>
      <w:r w:rsidR="00B8640C">
        <w:t>kl</w:t>
      </w:r>
      <w:r w:rsidRPr="00FA1BC3">
        <w:t>u</w:t>
      </w:r>
      <w:proofErr w:type="spellEnd"/>
      <w:r w:rsidRPr="00FA1BC3">
        <w:t xml:space="preserve"> </w:t>
      </w:r>
      <w:r w:rsidR="007D49F7" w:rsidRPr="00FA1BC3">
        <w:rPr>
          <w:rFonts w:cs="Arial"/>
          <w:szCs w:val="20"/>
        </w:rPr>
        <w:t>Communication</w:t>
      </w:r>
      <w:r w:rsidR="00277E16">
        <w:t xml:space="preserve"> </w:t>
      </w:r>
      <w:r>
        <w:t xml:space="preserve">also considered that directly </w:t>
      </w:r>
      <w:r w:rsidR="00AB1328">
        <w:t xml:space="preserve">referencing </w:t>
      </w:r>
      <w:r>
        <w:t>FCC requirement</w:t>
      </w:r>
      <w:r w:rsidR="00AB1328">
        <w:t>s</w:t>
      </w:r>
      <w:r>
        <w:t xml:space="preserve"> would remove any ambiguity on whether higher powered directional point-to-point links were supported under the LIPD Class Licence a</w:t>
      </w:r>
      <w:r w:rsidR="00AB1328">
        <w:t>s they</w:t>
      </w:r>
      <w:r>
        <w:t xml:space="preserve"> are under </w:t>
      </w:r>
      <w:r w:rsidR="00AB1328">
        <w:t>FCC Part 15 Section</w:t>
      </w:r>
      <w:r w:rsidR="00D06F55">
        <w:t> </w:t>
      </w:r>
      <w:r w:rsidR="00AB1328">
        <w:t>255 paragraph (b</w:t>
      </w:r>
      <w:proofErr w:type="gramStart"/>
      <w:r w:rsidR="00D06F55">
        <w:t>)</w:t>
      </w:r>
      <w:r w:rsidR="00AB1328">
        <w:t>(</w:t>
      </w:r>
      <w:proofErr w:type="gramEnd"/>
      <w:r w:rsidR="00AB1328">
        <w:t>1)(ii)</w:t>
      </w:r>
      <w:r w:rsidR="00B8640C">
        <w:t>.</w:t>
      </w:r>
    </w:p>
    <w:p w14:paraId="2E2F2F4D" w14:textId="77777777" w:rsidR="00DB24E1" w:rsidRPr="006D46E5" w:rsidRDefault="00DB24E1" w:rsidP="00DB24E1">
      <w:pPr>
        <w:pStyle w:val="BodySubHeader"/>
        <w:rPr>
          <w:rFonts w:cs="Arial"/>
        </w:rPr>
      </w:pPr>
      <w:r>
        <w:rPr>
          <w:rFonts w:cs="Arial"/>
        </w:rPr>
        <w:t>ACMA response</w:t>
      </w:r>
      <w:r w:rsidRPr="006D46E5">
        <w:rPr>
          <w:rFonts w:cs="Arial"/>
        </w:rPr>
        <w:t xml:space="preserve"> </w:t>
      </w:r>
    </w:p>
    <w:p w14:paraId="67E37965" w14:textId="7D1A09F3" w:rsidR="009F7807" w:rsidRDefault="00AB1328" w:rsidP="00DB24E1">
      <w:r>
        <w:t xml:space="preserve">It is not intended that higher power directional point-to-point links </w:t>
      </w:r>
      <w:r w:rsidR="00270567">
        <w:t xml:space="preserve">be </w:t>
      </w:r>
      <w:r>
        <w:t xml:space="preserve">supported under this item and the </w:t>
      </w:r>
      <w:r w:rsidR="00DB24E1">
        <w:t xml:space="preserve">EIRP limit </w:t>
      </w:r>
      <w:r>
        <w:t>shall remain at 20 watts. Higher powered transmitters (150</w:t>
      </w:r>
      <w:r w:rsidR="00D06F55">
        <w:t> </w:t>
      </w:r>
      <w:r>
        <w:t xml:space="preserve">watts) are authorised by item </w:t>
      </w:r>
      <w:r w:rsidR="00DB24E1">
        <w:t>64 (59</w:t>
      </w:r>
      <w:r w:rsidR="00D06F55">
        <w:t>–</w:t>
      </w:r>
      <w:r w:rsidR="00DB24E1">
        <w:t xml:space="preserve">63 </w:t>
      </w:r>
      <w:r w:rsidR="00702E98">
        <w:t>GHz</w:t>
      </w:r>
      <w:r w:rsidR="00DB24E1">
        <w:t>)</w:t>
      </w:r>
      <w:r w:rsidR="00E11AC2">
        <w:t xml:space="preserve"> of Schedule 1</w:t>
      </w:r>
      <w:r>
        <w:t xml:space="preserve">. </w:t>
      </w:r>
      <w:r w:rsidR="00D06F55">
        <w:t>We</w:t>
      </w:r>
      <w:r>
        <w:t xml:space="preserve"> </w:t>
      </w:r>
      <w:r w:rsidR="009F7807">
        <w:t>will review support for point</w:t>
      </w:r>
      <w:r w:rsidR="00357213">
        <w:t>-to-</w:t>
      </w:r>
      <w:r w:rsidR="009F7807">
        <w:t xml:space="preserve">point links under of both of these items when considering </w:t>
      </w:r>
      <w:r w:rsidR="009F7807" w:rsidRPr="00125E0A">
        <w:t xml:space="preserve">arrangements similar to those introduced in the US in 2016 in the frequency range </w:t>
      </w:r>
      <w:r w:rsidR="00D06F55">
        <w:br/>
      </w:r>
      <w:r w:rsidR="009F7807" w:rsidRPr="00125E0A">
        <w:t>64–71 GHz to provide further options for data communications intended to support future ‘5G’ services</w:t>
      </w:r>
      <w:r w:rsidR="009F7807">
        <w:t xml:space="preserve">. </w:t>
      </w:r>
    </w:p>
    <w:p w14:paraId="69EA7CB6" w14:textId="33CE89C2" w:rsidR="007326D7" w:rsidRDefault="00F50CC2" w:rsidP="007326D7">
      <w:pPr>
        <w:pStyle w:val="Heading3"/>
      </w:pPr>
      <w:bookmarkStart w:id="15" w:name="_Toc518042873"/>
      <w:r>
        <w:t>Terminology for limitation</w:t>
      </w:r>
      <w:r w:rsidR="006A6C30">
        <w:t>s</w:t>
      </w:r>
      <w:r>
        <w:t xml:space="preserve"> </w:t>
      </w:r>
      <w:r w:rsidR="006A6C30">
        <w:t>specifying</w:t>
      </w:r>
      <w:r>
        <w:t xml:space="preserve"> compliance with a </w:t>
      </w:r>
      <w:r w:rsidR="007326D7">
        <w:t>standard</w:t>
      </w:r>
      <w:bookmarkEnd w:id="15"/>
      <w:r w:rsidR="007326D7">
        <w:t xml:space="preserve"> </w:t>
      </w:r>
    </w:p>
    <w:p w14:paraId="31EB1ECE" w14:textId="5545B382" w:rsidR="00AC2CC8" w:rsidRDefault="00326DFA" w:rsidP="007326D7">
      <w:pPr>
        <w:pStyle w:val="ACMANormalTabbed"/>
      </w:pPr>
      <w:r>
        <w:t>A s</w:t>
      </w:r>
      <w:r w:rsidR="007326D7">
        <w:t xml:space="preserve">ubmission on this issue </w:t>
      </w:r>
      <w:r w:rsidR="00B8640C">
        <w:t>was</w:t>
      </w:r>
      <w:r w:rsidR="007326D7">
        <w:t xml:space="preserve"> received </w:t>
      </w:r>
      <w:r w:rsidR="00B8640C">
        <w:t xml:space="preserve">from </w:t>
      </w:r>
      <w:r w:rsidR="00FA1BC3">
        <w:t>AST</w:t>
      </w:r>
      <w:r w:rsidR="000D49C1">
        <w:t xml:space="preserve"> </w:t>
      </w:r>
      <w:r w:rsidR="00AC2CC8">
        <w:t>recommending replac</w:t>
      </w:r>
      <w:r w:rsidR="00B8640C">
        <w:t>ing</w:t>
      </w:r>
      <w:r w:rsidR="00AC2CC8">
        <w:t xml:space="preserve"> </w:t>
      </w:r>
      <w:r w:rsidR="00B8640C">
        <w:t xml:space="preserve">the </w:t>
      </w:r>
      <w:r w:rsidR="00AC2CC8">
        <w:t xml:space="preserve">term </w:t>
      </w:r>
      <w:r w:rsidR="00D06F55">
        <w:t>‘</w:t>
      </w:r>
      <w:r w:rsidR="00AC2CC8">
        <w:t>must comply</w:t>
      </w:r>
      <w:r w:rsidR="00D06F55">
        <w:t>’</w:t>
      </w:r>
      <w:r w:rsidR="00AC2CC8">
        <w:t xml:space="preserve"> </w:t>
      </w:r>
      <w:r w:rsidR="00B8640C">
        <w:t xml:space="preserve">with </w:t>
      </w:r>
      <w:r w:rsidR="00D06F55">
        <w:t>‘</w:t>
      </w:r>
      <w:r w:rsidR="00AC2CC8">
        <w:t>shall comply</w:t>
      </w:r>
      <w:r w:rsidR="00D06F55">
        <w:t xml:space="preserve">’ </w:t>
      </w:r>
      <w:r w:rsidR="00AC2CC8">
        <w:t xml:space="preserve">to ensure consistency with </w:t>
      </w:r>
      <w:r w:rsidR="007C46E7" w:rsidRPr="00FA1BC3">
        <w:t>Standards Australia</w:t>
      </w:r>
      <w:r w:rsidR="007C46E7">
        <w:t xml:space="preserve"> drafting requirements and </w:t>
      </w:r>
      <w:r w:rsidR="00AC2CC8">
        <w:t>the AS/NZS 4268 Standard.</w:t>
      </w:r>
    </w:p>
    <w:p w14:paraId="6E877C2C" w14:textId="77777777" w:rsidR="00AC2CC8" w:rsidRPr="006D46E5" w:rsidRDefault="00AC2CC8" w:rsidP="00AC2CC8">
      <w:pPr>
        <w:pStyle w:val="BodySubHeader"/>
        <w:rPr>
          <w:rFonts w:cs="Arial"/>
        </w:rPr>
      </w:pPr>
      <w:r>
        <w:rPr>
          <w:rFonts w:cs="Arial"/>
        </w:rPr>
        <w:t>ACMA response</w:t>
      </w:r>
      <w:r w:rsidRPr="006D46E5">
        <w:rPr>
          <w:rFonts w:cs="Arial"/>
        </w:rPr>
        <w:t xml:space="preserve"> </w:t>
      </w:r>
    </w:p>
    <w:p w14:paraId="66154BBD" w14:textId="69B51D83" w:rsidR="007326D7" w:rsidRPr="007326D7" w:rsidRDefault="00AC2CC8" w:rsidP="00AC2CC8">
      <w:pPr>
        <w:pStyle w:val="ACMANormalTabbed"/>
      </w:pPr>
      <w:r>
        <w:t xml:space="preserve">The ACMA is of the view that the term </w:t>
      </w:r>
      <w:r w:rsidR="00D06F55">
        <w:t>‘</w:t>
      </w:r>
      <w:r>
        <w:t>must comply</w:t>
      </w:r>
      <w:r w:rsidR="00D06F55">
        <w:t>’</w:t>
      </w:r>
      <w:r>
        <w:t xml:space="preserve"> better reflects the </w:t>
      </w:r>
      <w:r w:rsidR="00B8640C">
        <w:t>regulatory nature of</w:t>
      </w:r>
      <w:r>
        <w:t xml:space="preserve"> the LIPD Class licence</w:t>
      </w:r>
      <w:r w:rsidR="00B8640C">
        <w:t>.</w:t>
      </w:r>
    </w:p>
    <w:p w14:paraId="68572683" w14:textId="0B2A23F8" w:rsidR="00734F84" w:rsidRDefault="00B301E2" w:rsidP="00734F84">
      <w:pPr>
        <w:pStyle w:val="Heading3"/>
      </w:pPr>
      <w:bookmarkStart w:id="16" w:name="_Toc518042874"/>
      <w:r>
        <w:t>Future changes for data communications systems to support 5G systems</w:t>
      </w:r>
      <w:bookmarkEnd w:id="16"/>
    </w:p>
    <w:p w14:paraId="04431E5F" w14:textId="3E3E76EC" w:rsidR="001264DB" w:rsidRPr="00A26656" w:rsidRDefault="00D06F55" w:rsidP="00734F84">
      <w:r>
        <w:t>We</w:t>
      </w:r>
      <w:r w:rsidR="00734F84">
        <w:t xml:space="preserve"> received eight submissions </w:t>
      </w:r>
      <w:r w:rsidR="00B8640C">
        <w:t>on the issue of</w:t>
      </w:r>
      <w:r w:rsidR="00734F84">
        <w:t xml:space="preserve"> </w:t>
      </w:r>
      <w:r w:rsidR="00B301E2">
        <w:t xml:space="preserve">whether </w:t>
      </w:r>
      <w:r>
        <w:t>we</w:t>
      </w:r>
      <w:r w:rsidR="00B301E2">
        <w:t xml:space="preserve"> should consider </w:t>
      </w:r>
      <w:r w:rsidR="00B301E2" w:rsidRPr="00125E0A">
        <w:t xml:space="preserve">arrangements similar to those introduced in the US in 2016 in the frequency range </w:t>
      </w:r>
      <w:r>
        <w:br/>
      </w:r>
      <w:r w:rsidR="002B5590" w:rsidRPr="00125E0A">
        <w:t>6</w:t>
      </w:r>
      <w:r w:rsidR="002373AA">
        <w:t>4</w:t>
      </w:r>
      <w:r w:rsidR="00B301E2" w:rsidRPr="00125E0A">
        <w:t>–71 GHz to provide further options for data communications intended to support future ‘5G’ services</w:t>
      </w:r>
      <w:r w:rsidR="00B301E2">
        <w:t xml:space="preserve">. </w:t>
      </w:r>
      <w:r w:rsidR="00734F84">
        <w:t>Six of the</w:t>
      </w:r>
      <w:r w:rsidR="00B301E2">
        <w:t xml:space="preserve"> </w:t>
      </w:r>
      <w:r w:rsidR="00B301E2" w:rsidRPr="009D2864">
        <w:t>submissions (</w:t>
      </w:r>
      <w:r w:rsidR="00734F84" w:rsidRPr="009D2864">
        <w:rPr>
          <w:szCs w:val="20"/>
        </w:rPr>
        <w:t xml:space="preserve">Cambium Networks, Microsoft Australia, </w:t>
      </w:r>
      <w:proofErr w:type="spellStart"/>
      <w:r w:rsidR="00734F84" w:rsidRPr="009D2864">
        <w:rPr>
          <w:szCs w:val="20"/>
        </w:rPr>
        <w:t>Siklu</w:t>
      </w:r>
      <w:proofErr w:type="spellEnd"/>
      <w:r w:rsidR="00734F84" w:rsidRPr="009D2864">
        <w:rPr>
          <w:szCs w:val="20"/>
        </w:rPr>
        <w:t xml:space="preserve"> Communications, </w:t>
      </w:r>
      <w:proofErr w:type="spellStart"/>
      <w:r w:rsidR="00734F84" w:rsidRPr="009D2864">
        <w:rPr>
          <w:szCs w:val="20"/>
        </w:rPr>
        <w:t>Superloop</w:t>
      </w:r>
      <w:proofErr w:type="spellEnd"/>
      <w:r w:rsidR="00734F84" w:rsidRPr="009D2864">
        <w:rPr>
          <w:szCs w:val="20"/>
        </w:rPr>
        <w:t xml:space="preserve">, </w:t>
      </w:r>
      <w:proofErr w:type="spellStart"/>
      <w:r w:rsidR="000E2309" w:rsidRPr="009436F8">
        <w:rPr>
          <w:szCs w:val="20"/>
        </w:rPr>
        <w:t>Vertel</w:t>
      </w:r>
      <w:proofErr w:type="spellEnd"/>
      <w:r w:rsidR="000E2309" w:rsidRPr="009436F8">
        <w:rPr>
          <w:szCs w:val="20"/>
        </w:rPr>
        <w:t xml:space="preserve"> </w:t>
      </w:r>
      <w:r w:rsidR="00734F84" w:rsidRPr="009436F8">
        <w:rPr>
          <w:szCs w:val="20"/>
        </w:rPr>
        <w:t xml:space="preserve">and </w:t>
      </w:r>
      <w:proofErr w:type="spellStart"/>
      <w:r w:rsidR="00734F84" w:rsidRPr="009436F8">
        <w:rPr>
          <w:szCs w:val="20"/>
        </w:rPr>
        <w:t>WiFi</w:t>
      </w:r>
      <w:proofErr w:type="spellEnd"/>
      <w:r w:rsidR="00734F84" w:rsidRPr="009436F8">
        <w:rPr>
          <w:szCs w:val="20"/>
        </w:rPr>
        <w:t xml:space="preserve"> Alliance</w:t>
      </w:r>
      <w:r w:rsidR="00B301E2" w:rsidRPr="009436F8">
        <w:rPr>
          <w:szCs w:val="20"/>
        </w:rPr>
        <w:t>)</w:t>
      </w:r>
      <w:r w:rsidR="00734F84">
        <w:rPr>
          <w:szCs w:val="20"/>
        </w:rPr>
        <w:t xml:space="preserve"> supported the </w:t>
      </w:r>
      <w:r w:rsidR="00B301E2">
        <w:rPr>
          <w:szCs w:val="20"/>
        </w:rPr>
        <w:t>ACMA considering such arrangements.</w:t>
      </w:r>
    </w:p>
    <w:p w14:paraId="0A84EA63" w14:textId="7D64FFC4" w:rsidR="001264DB" w:rsidRDefault="00B301E2" w:rsidP="001264DB">
      <w:pPr>
        <w:rPr>
          <w:szCs w:val="20"/>
        </w:rPr>
      </w:pPr>
      <w:r>
        <w:rPr>
          <w:szCs w:val="20"/>
        </w:rPr>
        <w:t>S</w:t>
      </w:r>
      <w:r w:rsidR="001264DB">
        <w:rPr>
          <w:szCs w:val="20"/>
        </w:rPr>
        <w:t>ubmissions from AMTA and Telstra</w:t>
      </w:r>
      <w:r w:rsidR="00E71D0E">
        <w:rPr>
          <w:szCs w:val="20"/>
        </w:rPr>
        <w:t xml:space="preserve">, while supporting the ACMA monitoring developments, considered that with </w:t>
      </w:r>
      <w:r w:rsidR="001264DB" w:rsidRPr="001264DB">
        <w:rPr>
          <w:szCs w:val="20"/>
        </w:rPr>
        <w:t>the band 66</w:t>
      </w:r>
      <w:r w:rsidR="00D06F55">
        <w:rPr>
          <w:szCs w:val="20"/>
        </w:rPr>
        <w:t>–</w:t>
      </w:r>
      <w:r w:rsidR="001264DB" w:rsidRPr="001264DB">
        <w:rPr>
          <w:szCs w:val="20"/>
        </w:rPr>
        <w:t xml:space="preserve">71 </w:t>
      </w:r>
      <w:r w:rsidR="00702E98">
        <w:rPr>
          <w:szCs w:val="20"/>
        </w:rPr>
        <w:t>G</w:t>
      </w:r>
      <w:r w:rsidR="00702E98" w:rsidRPr="001264DB">
        <w:rPr>
          <w:szCs w:val="20"/>
        </w:rPr>
        <w:t xml:space="preserve">Hz </w:t>
      </w:r>
      <w:r w:rsidR="001264DB" w:rsidRPr="001264DB">
        <w:rPr>
          <w:szCs w:val="20"/>
        </w:rPr>
        <w:t>being considered for global harmoni</w:t>
      </w:r>
      <w:r w:rsidR="005B38EC">
        <w:rPr>
          <w:szCs w:val="20"/>
        </w:rPr>
        <w:t>s</w:t>
      </w:r>
      <w:r w:rsidR="001264DB" w:rsidRPr="001264DB">
        <w:rPr>
          <w:szCs w:val="20"/>
        </w:rPr>
        <w:t xml:space="preserve">ation as an ITM-2020 band at the </w:t>
      </w:r>
      <w:proofErr w:type="spellStart"/>
      <w:r w:rsidR="001264DB" w:rsidRPr="001264DB">
        <w:rPr>
          <w:szCs w:val="20"/>
        </w:rPr>
        <w:t>ITU</w:t>
      </w:r>
      <w:proofErr w:type="spellEnd"/>
      <w:r w:rsidR="001264DB" w:rsidRPr="001264DB">
        <w:rPr>
          <w:szCs w:val="20"/>
        </w:rPr>
        <w:t xml:space="preserve">-R World </w:t>
      </w:r>
      <w:proofErr w:type="spellStart"/>
      <w:r w:rsidR="001264DB" w:rsidRPr="001264DB">
        <w:rPr>
          <w:szCs w:val="20"/>
        </w:rPr>
        <w:t>Radiocommuni</w:t>
      </w:r>
      <w:r w:rsidR="00E71D0E">
        <w:rPr>
          <w:szCs w:val="20"/>
        </w:rPr>
        <w:t>cation</w:t>
      </w:r>
      <w:proofErr w:type="spellEnd"/>
      <w:r w:rsidR="00E71D0E">
        <w:rPr>
          <w:szCs w:val="20"/>
        </w:rPr>
        <w:t xml:space="preserve"> Conference 2019 (</w:t>
      </w:r>
      <w:proofErr w:type="spellStart"/>
      <w:r w:rsidR="00E71D0E">
        <w:rPr>
          <w:szCs w:val="20"/>
        </w:rPr>
        <w:t>WRC</w:t>
      </w:r>
      <w:proofErr w:type="spellEnd"/>
      <w:r w:rsidR="00E71D0E">
        <w:rPr>
          <w:szCs w:val="20"/>
        </w:rPr>
        <w:t>-19), no decision should be taken until after WRC</w:t>
      </w:r>
      <w:r w:rsidR="007C0526">
        <w:rPr>
          <w:szCs w:val="20"/>
        </w:rPr>
        <w:t>-</w:t>
      </w:r>
      <w:r w:rsidR="00E71D0E">
        <w:rPr>
          <w:szCs w:val="20"/>
        </w:rPr>
        <w:t>19.</w:t>
      </w:r>
    </w:p>
    <w:p w14:paraId="020DDA95" w14:textId="63C12485" w:rsidR="001264DB" w:rsidRPr="001264DB" w:rsidRDefault="007C46E7" w:rsidP="001264DB">
      <w:pPr>
        <w:rPr>
          <w:szCs w:val="20"/>
        </w:rPr>
      </w:pPr>
      <w:r>
        <w:rPr>
          <w:szCs w:val="20"/>
        </w:rPr>
        <w:t xml:space="preserve">Industry also commented on this </w:t>
      </w:r>
      <w:r w:rsidR="001264DB" w:rsidRPr="001264DB">
        <w:rPr>
          <w:szCs w:val="20"/>
        </w:rPr>
        <w:t xml:space="preserve">issue </w:t>
      </w:r>
      <w:r>
        <w:rPr>
          <w:szCs w:val="20"/>
        </w:rPr>
        <w:t>in submissions to</w:t>
      </w:r>
      <w:r w:rsidR="001264DB" w:rsidRPr="001264DB">
        <w:rPr>
          <w:szCs w:val="20"/>
        </w:rPr>
        <w:t xml:space="preserve"> </w:t>
      </w:r>
      <w:r w:rsidR="00B8640C">
        <w:rPr>
          <w:szCs w:val="20"/>
        </w:rPr>
        <w:t xml:space="preserve">the </w:t>
      </w:r>
      <w:hyperlink r:id="rId30" w:history="1">
        <w:r w:rsidR="001264DB" w:rsidRPr="00F633C0">
          <w:rPr>
            <w:rStyle w:val="Hyperlink"/>
            <w:i/>
            <w:szCs w:val="20"/>
          </w:rPr>
          <w:t>Five-year spectrum outlook 2017</w:t>
        </w:r>
        <w:r w:rsidR="00D06F55" w:rsidRPr="00F633C0">
          <w:rPr>
            <w:rStyle w:val="Hyperlink"/>
            <w:i/>
            <w:szCs w:val="20"/>
          </w:rPr>
          <w:t>–</w:t>
        </w:r>
        <w:r w:rsidR="001264DB" w:rsidRPr="00F633C0">
          <w:rPr>
            <w:rStyle w:val="Hyperlink"/>
            <w:i/>
            <w:szCs w:val="20"/>
          </w:rPr>
          <w:t>21</w:t>
        </w:r>
      </w:hyperlink>
      <w:r w:rsidR="005057D2">
        <w:rPr>
          <w:szCs w:val="20"/>
        </w:rPr>
        <w:t xml:space="preserve"> </w:t>
      </w:r>
      <w:r w:rsidR="001264DB" w:rsidRPr="001264DB">
        <w:rPr>
          <w:szCs w:val="20"/>
        </w:rPr>
        <w:t>and</w:t>
      </w:r>
      <w:r>
        <w:rPr>
          <w:szCs w:val="20"/>
        </w:rPr>
        <w:t xml:space="preserve"> the 2017</w:t>
      </w:r>
      <w:r w:rsidR="008A0C6C">
        <w:rPr>
          <w:szCs w:val="20"/>
        </w:rPr>
        <w:t xml:space="preserve"> consultation on</w:t>
      </w:r>
      <w:r w:rsidR="001264DB" w:rsidRPr="001264DB">
        <w:rPr>
          <w:szCs w:val="20"/>
        </w:rPr>
        <w:t xml:space="preserve"> </w:t>
      </w:r>
      <w:hyperlink r:id="rId31" w:history="1">
        <w:r w:rsidR="001264DB" w:rsidRPr="00484E45">
          <w:rPr>
            <w:rStyle w:val="Hyperlink"/>
            <w:szCs w:val="20"/>
          </w:rPr>
          <w:t xml:space="preserve">Spectrum for broadband in </w:t>
        </w:r>
        <w:proofErr w:type="spellStart"/>
        <w:r w:rsidR="001264DB" w:rsidRPr="00484E45">
          <w:rPr>
            <w:rStyle w:val="Hyperlink"/>
            <w:szCs w:val="20"/>
          </w:rPr>
          <w:t>mmWave</w:t>
        </w:r>
        <w:proofErr w:type="spellEnd"/>
        <w:r w:rsidR="001264DB" w:rsidRPr="00484E45">
          <w:rPr>
            <w:rStyle w:val="Hyperlink"/>
            <w:szCs w:val="20"/>
          </w:rPr>
          <w:t xml:space="preserve"> bands</w:t>
        </w:r>
      </w:hyperlink>
      <w:r w:rsidR="005057D2">
        <w:rPr>
          <w:szCs w:val="20"/>
        </w:rPr>
        <w:t xml:space="preserve">. </w:t>
      </w:r>
      <w:r w:rsidR="0001507F">
        <w:rPr>
          <w:szCs w:val="20"/>
        </w:rPr>
        <w:t>In response to those consultations</w:t>
      </w:r>
      <w:r w:rsidR="004E3FB5">
        <w:rPr>
          <w:szCs w:val="20"/>
        </w:rPr>
        <w:t xml:space="preserve">, </w:t>
      </w:r>
      <w:r w:rsidR="00D06F55">
        <w:rPr>
          <w:szCs w:val="20"/>
        </w:rPr>
        <w:t xml:space="preserve">particularly </w:t>
      </w:r>
      <w:r w:rsidR="004E3FB5">
        <w:rPr>
          <w:szCs w:val="20"/>
        </w:rPr>
        <w:t xml:space="preserve">the </w:t>
      </w:r>
      <w:proofErr w:type="spellStart"/>
      <w:r w:rsidR="004E3FB5">
        <w:rPr>
          <w:szCs w:val="20"/>
        </w:rPr>
        <w:t>mmWave</w:t>
      </w:r>
      <w:proofErr w:type="spellEnd"/>
      <w:r w:rsidR="004E3FB5">
        <w:rPr>
          <w:szCs w:val="20"/>
        </w:rPr>
        <w:t xml:space="preserve"> </w:t>
      </w:r>
      <w:r w:rsidR="00D06F55">
        <w:rPr>
          <w:szCs w:val="20"/>
        </w:rPr>
        <w:t>issue</w:t>
      </w:r>
      <w:r w:rsidR="004E3FB5">
        <w:rPr>
          <w:szCs w:val="20"/>
        </w:rPr>
        <w:t xml:space="preserve">, </w:t>
      </w:r>
      <w:r w:rsidR="0001507F">
        <w:rPr>
          <w:szCs w:val="20"/>
        </w:rPr>
        <w:t xml:space="preserve">a number of </w:t>
      </w:r>
      <w:r w:rsidR="000864FC">
        <w:rPr>
          <w:szCs w:val="20"/>
        </w:rPr>
        <w:t>respondents</w:t>
      </w:r>
      <w:r w:rsidR="0001507F">
        <w:rPr>
          <w:szCs w:val="20"/>
        </w:rPr>
        <w:t xml:space="preserve"> </w:t>
      </w:r>
      <w:r w:rsidR="00D06F55">
        <w:rPr>
          <w:szCs w:val="20"/>
        </w:rPr>
        <w:t>(</w:t>
      </w:r>
      <w:r w:rsidR="00D06F55" w:rsidRPr="00D06F55">
        <w:rPr>
          <w:szCs w:val="20"/>
        </w:rPr>
        <w:t xml:space="preserve">Airbus, Facebook, Intel, Microsoft, SES, </w:t>
      </w:r>
      <w:proofErr w:type="spellStart"/>
      <w:r w:rsidR="00D06F55" w:rsidRPr="00D06F55">
        <w:rPr>
          <w:szCs w:val="20"/>
        </w:rPr>
        <w:t>Tasmanet</w:t>
      </w:r>
      <w:proofErr w:type="spellEnd"/>
      <w:r w:rsidR="00D06F55" w:rsidRPr="00D06F55">
        <w:rPr>
          <w:szCs w:val="20"/>
        </w:rPr>
        <w:t xml:space="preserve"> and </w:t>
      </w:r>
      <w:proofErr w:type="spellStart"/>
      <w:r w:rsidR="00D06F55" w:rsidRPr="00D06F55">
        <w:rPr>
          <w:szCs w:val="20"/>
        </w:rPr>
        <w:t>WISPAU</w:t>
      </w:r>
      <w:proofErr w:type="spellEnd"/>
      <w:r w:rsidR="00D06F55">
        <w:rPr>
          <w:szCs w:val="20"/>
        </w:rPr>
        <w:t xml:space="preserve">) </w:t>
      </w:r>
      <w:r w:rsidR="004E3FB5">
        <w:rPr>
          <w:szCs w:val="20"/>
        </w:rPr>
        <w:t xml:space="preserve">also </w:t>
      </w:r>
      <w:r w:rsidR="0001507F">
        <w:rPr>
          <w:szCs w:val="20"/>
        </w:rPr>
        <w:t>suggest</w:t>
      </w:r>
      <w:r w:rsidR="000864FC">
        <w:rPr>
          <w:szCs w:val="20"/>
        </w:rPr>
        <w:t>ed that the ACMA consider</w:t>
      </w:r>
      <w:r w:rsidR="005057D2">
        <w:rPr>
          <w:szCs w:val="20"/>
        </w:rPr>
        <w:t xml:space="preserve"> expanding current arrangements</w:t>
      </w:r>
      <w:r w:rsidR="00D06F55">
        <w:rPr>
          <w:szCs w:val="20"/>
        </w:rPr>
        <w:t>.</w:t>
      </w:r>
      <w:r w:rsidR="005057D2">
        <w:rPr>
          <w:szCs w:val="20"/>
        </w:rPr>
        <w:t xml:space="preserve"> AMTA and Telstra</w:t>
      </w:r>
      <w:r w:rsidR="00B8640C">
        <w:rPr>
          <w:szCs w:val="20"/>
        </w:rPr>
        <w:t xml:space="preserve"> </w:t>
      </w:r>
      <w:r w:rsidR="004E3FB5">
        <w:rPr>
          <w:szCs w:val="20"/>
        </w:rPr>
        <w:t>express</w:t>
      </w:r>
      <w:r w:rsidR="00B8640C">
        <w:rPr>
          <w:szCs w:val="20"/>
        </w:rPr>
        <w:t>ed</w:t>
      </w:r>
      <w:r w:rsidR="004E3FB5">
        <w:rPr>
          <w:szCs w:val="20"/>
        </w:rPr>
        <w:t xml:space="preserve"> a view that any decision should be deferred until after WRC-19.</w:t>
      </w:r>
      <w:r w:rsidR="005057D2">
        <w:rPr>
          <w:szCs w:val="20"/>
        </w:rPr>
        <w:t xml:space="preserve"> </w:t>
      </w:r>
    </w:p>
    <w:p w14:paraId="6ED2B515" w14:textId="03A2FE07" w:rsidR="000F1D7E" w:rsidRPr="006D46E5" w:rsidRDefault="000F1D7E" w:rsidP="008A0C6C">
      <w:pPr>
        <w:pStyle w:val="BodySubHeader"/>
        <w:keepNext/>
        <w:rPr>
          <w:rFonts w:cs="Arial"/>
        </w:rPr>
      </w:pPr>
      <w:r>
        <w:rPr>
          <w:rFonts w:cs="Arial"/>
        </w:rPr>
        <w:lastRenderedPageBreak/>
        <w:t xml:space="preserve">ACMA </w:t>
      </w:r>
      <w:r w:rsidR="00D06F55">
        <w:rPr>
          <w:rFonts w:cs="Arial"/>
        </w:rPr>
        <w:t>r</w:t>
      </w:r>
      <w:r>
        <w:rPr>
          <w:rFonts w:cs="Arial"/>
        </w:rPr>
        <w:t>esponse</w:t>
      </w:r>
      <w:r w:rsidRPr="006D46E5">
        <w:rPr>
          <w:rFonts w:cs="Arial"/>
        </w:rPr>
        <w:t xml:space="preserve"> </w:t>
      </w:r>
    </w:p>
    <w:p w14:paraId="773FED38" w14:textId="1EF801C0" w:rsidR="007C46E7" w:rsidRPr="007C46E7" w:rsidRDefault="000C017A" w:rsidP="0085452E">
      <w:pPr>
        <w:keepNext/>
        <w:keepLines/>
        <w:rPr>
          <w:rFonts w:ascii="Calibri" w:hAnsi="Calibri"/>
        </w:rPr>
      </w:pPr>
      <w:r>
        <w:t>The ACMA is of the view</w:t>
      </w:r>
      <w:r w:rsidR="008E4E62">
        <w:t xml:space="preserve">, </w:t>
      </w:r>
      <w:r w:rsidR="007C46E7">
        <w:t xml:space="preserve">as outlined in the </w:t>
      </w:r>
      <w:hyperlink r:id="rId32" w:history="1">
        <w:r w:rsidR="00487384" w:rsidRPr="00F633C0">
          <w:rPr>
            <w:rStyle w:val="Hyperlink"/>
            <w:i/>
            <w:lang w:val="en"/>
          </w:rPr>
          <w:t>Draft five-year spectrum outlook 2018–22</w:t>
        </w:r>
      </w:hyperlink>
      <w:r w:rsidR="00487384">
        <w:rPr>
          <w:lang w:val="en"/>
        </w:rPr>
        <w:t xml:space="preserve"> </w:t>
      </w:r>
      <w:r w:rsidR="007C46E7">
        <w:t>released for comment</w:t>
      </w:r>
      <w:r w:rsidR="00487384">
        <w:t xml:space="preserve"> on 18 May</w:t>
      </w:r>
      <w:r w:rsidR="00B8640C">
        <w:t xml:space="preserve"> 2018</w:t>
      </w:r>
      <w:r w:rsidR="007C46E7">
        <w:t xml:space="preserve">, </w:t>
      </w:r>
      <w:r w:rsidR="007C46E7" w:rsidRPr="007C46E7">
        <w:t xml:space="preserve">that there is significant interest in Australia </w:t>
      </w:r>
      <w:r w:rsidR="006D446A">
        <w:t xml:space="preserve">in </w:t>
      </w:r>
      <w:r w:rsidR="007C46E7" w:rsidRPr="007C46E7">
        <w:t>progressing this work</w:t>
      </w:r>
      <w:r w:rsidR="00B8640C">
        <w:t>,</w:t>
      </w:r>
      <w:r w:rsidR="007C46E7" w:rsidRPr="007C46E7">
        <w:t xml:space="preserve"> in parallel with ITU consideration, as has been done in a number of other jurisdictions. </w:t>
      </w:r>
      <w:r w:rsidR="00D06F55">
        <w:t>We</w:t>
      </w:r>
      <w:r w:rsidR="007C46E7" w:rsidRPr="007C46E7">
        <w:t xml:space="preserve"> will continue to investigate, with a view to developing a proposal for consideration </w:t>
      </w:r>
      <w:r w:rsidR="007C46E7">
        <w:t xml:space="preserve">in the next </w:t>
      </w:r>
      <w:r w:rsidR="007C46E7" w:rsidRPr="007C46E7">
        <w:t>LIPD update.</w:t>
      </w:r>
    </w:p>
    <w:p w14:paraId="3A302E76" w14:textId="5F935698" w:rsidR="000C017A" w:rsidRDefault="00D06F55" w:rsidP="001264DB">
      <w:pPr>
        <w:rPr>
          <w:szCs w:val="20"/>
        </w:rPr>
      </w:pPr>
      <w:r>
        <w:t>S</w:t>
      </w:r>
      <w:r w:rsidR="000C017A" w:rsidRPr="001264DB">
        <w:t>everal spectrum regulators around the world</w:t>
      </w:r>
      <w:r w:rsidR="005840BC">
        <w:t xml:space="preserve"> have or are considering similar arrangements</w:t>
      </w:r>
      <w:r w:rsidR="000C017A" w:rsidRPr="001264DB">
        <w:t xml:space="preserve">. For example, </w:t>
      </w:r>
      <w:r w:rsidR="00B8640C">
        <w:rPr>
          <w:szCs w:val="20"/>
          <w:lang w:eastAsia="en-US" w:bidi="he-IL"/>
        </w:rPr>
        <w:t>US FCC</w:t>
      </w:r>
      <w:r w:rsidR="000C017A" w:rsidRPr="001264DB">
        <w:rPr>
          <w:szCs w:val="20"/>
          <w:vertAlign w:val="superscript"/>
          <w:lang w:eastAsia="en-US" w:bidi="he-IL"/>
        </w:rPr>
        <w:footnoteReference w:id="1"/>
      </w:r>
      <w:r w:rsidR="000C017A" w:rsidRPr="001264DB">
        <w:rPr>
          <w:szCs w:val="20"/>
          <w:lang w:eastAsia="en-US" w:bidi="he-IL"/>
        </w:rPr>
        <w:t xml:space="preserve"> </w:t>
      </w:r>
      <w:r w:rsidR="000C017A" w:rsidRPr="001264DB">
        <w:rPr>
          <w:rFonts w:cs="Arial"/>
          <w:szCs w:val="20"/>
          <w:lang w:eastAsia="en-US" w:bidi="he-IL"/>
        </w:rPr>
        <w:t>ha</w:t>
      </w:r>
      <w:r w:rsidR="007D0DFD">
        <w:rPr>
          <w:rFonts w:cs="Arial"/>
          <w:szCs w:val="20"/>
          <w:lang w:eastAsia="en-US" w:bidi="he-IL"/>
        </w:rPr>
        <w:t xml:space="preserve">s </w:t>
      </w:r>
      <w:r w:rsidR="000C017A" w:rsidRPr="001264DB">
        <w:rPr>
          <w:rFonts w:cs="Arial"/>
          <w:szCs w:val="20"/>
          <w:lang w:eastAsia="en-US" w:bidi="he-IL"/>
        </w:rPr>
        <w:t xml:space="preserve">already opened the band under </w:t>
      </w:r>
      <w:r w:rsidR="00717204">
        <w:rPr>
          <w:rFonts w:cs="Arial"/>
          <w:szCs w:val="20"/>
          <w:lang w:eastAsia="en-US" w:bidi="he-IL"/>
        </w:rPr>
        <w:t xml:space="preserve">an </w:t>
      </w:r>
      <w:r w:rsidR="008E708F">
        <w:rPr>
          <w:rFonts w:cs="Arial"/>
          <w:szCs w:val="20"/>
          <w:lang w:eastAsia="en-US" w:bidi="he-IL"/>
        </w:rPr>
        <w:t>‘</w:t>
      </w:r>
      <w:r w:rsidR="000C017A" w:rsidRPr="001264DB">
        <w:rPr>
          <w:rFonts w:cs="Arial"/>
          <w:szCs w:val="20"/>
          <w:lang w:eastAsia="en-US" w:bidi="he-IL"/>
        </w:rPr>
        <w:t>unlicensed</w:t>
      </w:r>
      <w:r w:rsidR="008E708F">
        <w:rPr>
          <w:rFonts w:cs="Arial"/>
          <w:szCs w:val="20"/>
          <w:lang w:eastAsia="en-US" w:bidi="he-IL"/>
        </w:rPr>
        <w:t>’</w:t>
      </w:r>
      <w:r w:rsidR="000C017A" w:rsidRPr="001264DB">
        <w:rPr>
          <w:rFonts w:cs="Arial"/>
          <w:szCs w:val="20"/>
          <w:lang w:eastAsia="en-US" w:bidi="he-IL"/>
        </w:rPr>
        <w:t xml:space="preserve"> option. </w:t>
      </w:r>
      <w:r w:rsidR="007D0DFD" w:rsidRPr="001264DB">
        <w:rPr>
          <w:rFonts w:cs="Arial"/>
          <w:szCs w:val="20"/>
          <w:lang w:eastAsia="en-US" w:bidi="he-IL"/>
        </w:rPr>
        <w:t xml:space="preserve">Innovation, Science and Economic Development </w:t>
      </w:r>
      <w:r w:rsidR="007D0DFD">
        <w:rPr>
          <w:rFonts w:cs="Arial"/>
          <w:szCs w:val="20"/>
          <w:lang w:eastAsia="en-US" w:bidi="he-IL"/>
        </w:rPr>
        <w:t xml:space="preserve">(ISED) </w:t>
      </w:r>
      <w:r w:rsidR="007D0DFD" w:rsidRPr="001264DB">
        <w:rPr>
          <w:rFonts w:cs="Arial"/>
          <w:szCs w:val="20"/>
          <w:lang w:eastAsia="en-US" w:bidi="he-IL"/>
        </w:rPr>
        <w:t>Canada</w:t>
      </w:r>
      <w:r w:rsidR="007D0DFD">
        <w:rPr>
          <w:rStyle w:val="FootnoteReference"/>
          <w:rFonts w:cs="Arial"/>
          <w:szCs w:val="20"/>
          <w:lang w:eastAsia="en-US" w:bidi="he-IL"/>
        </w:rPr>
        <w:footnoteReference w:id="2"/>
      </w:r>
      <w:r w:rsidR="007D0DFD" w:rsidRPr="001264DB">
        <w:rPr>
          <w:rFonts w:cs="Arial"/>
          <w:szCs w:val="20"/>
          <w:lang w:eastAsia="en-US" w:bidi="he-IL"/>
        </w:rPr>
        <w:t xml:space="preserve"> </w:t>
      </w:r>
      <w:r w:rsidR="007D0DFD">
        <w:rPr>
          <w:rFonts w:cs="Arial"/>
          <w:szCs w:val="20"/>
          <w:lang w:eastAsia="en-US" w:bidi="he-IL"/>
        </w:rPr>
        <w:t>and t</w:t>
      </w:r>
      <w:r w:rsidR="000C017A" w:rsidRPr="001264DB">
        <w:rPr>
          <w:rFonts w:cs="Arial"/>
          <w:szCs w:val="20"/>
          <w:lang w:eastAsia="en-US" w:bidi="he-IL"/>
        </w:rPr>
        <w:t xml:space="preserve">he United Kingdom’s communication regulator </w:t>
      </w:r>
      <w:proofErr w:type="spellStart"/>
      <w:r w:rsidR="000C017A" w:rsidRPr="001264DB">
        <w:rPr>
          <w:rFonts w:cs="Arial"/>
          <w:szCs w:val="20"/>
          <w:lang w:eastAsia="en-US" w:bidi="he-IL"/>
        </w:rPr>
        <w:t>Ofcom</w:t>
      </w:r>
      <w:proofErr w:type="spellEnd"/>
      <w:r w:rsidR="00C96EBD">
        <w:rPr>
          <w:rStyle w:val="FootnoteReference"/>
          <w:rFonts w:cs="Arial"/>
          <w:szCs w:val="20"/>
          <w:lang w:eastAsia="en-US" w:bidi="he-IL"/>
        </w:rPr>
        <w:footnoteReference w:id="3"/>
      </w:r>
      <w:r w:rsidR="000C017A" w:rsidRPr="001264DB">
        <w:rPr>
          <w:rFonts w:cs="Arial"/>
          <w:szCs w:val="20"/>
          <w:lang w:eastAsia="en-US" w:bidi="he-IL"/>
        </w:rPr>
        <w:t xml:space="preserve"> </w:t>
      </w:r>
      <w:r w:rsidR="007D0DFD">
        <w:rPr>
          <w:rFonts w:cs="Arial"/>
          <w:szCs w:val="20"/>
          <w:lang w:eastAsia="en-US" w:bidi="he-IL"/>
        </w:rPr>
        <w:t xml:space="preserve">are </w:t>
      </w:r>
      <w:r w:rsidR="000C017A" w:rsidRPr="001264DB">
        <w:rPr>
          <w:rFonts w:cs="Arial"/>
          <w:szCs w:val="20"/>
          <w:lang w:eastAsia="en-US" w:bidi="he-IL"/>
        </w:rPr>
        <w:t>also consider</w:t>
      </w:r>
      <w:r w:rsidR="00524C38">
        <w:rPr>
          <w:rFonts w:cs="Arial"/>
          <w:szCs w:val="20"/>
          <w:lang w:eastAsia="en-US" w:bidi="he-IL"/>
        </w:rPr>
        <w:t>ing</w:t>
      </w:r>
      <w:r w:rsidR="000C017A" w:rsidRPr="001264DB">
        <w:rPr>
          <w:rFonts w:cs="Arial"/>
          <w:szCs w:val="20"/>
          <w:lang w:eastAsia="en-US" w:bidi="he-IL"/>
        </w:rPr>
        <w:t xml:space="preserve"> the </w:t>
      </w:r>
      <w:r w:rsidR="008E708F">
        <w:rPr>
          <w:rFonts w:cs="Arial"/>
          <w:szCs w:val="20"/>
          <w:lang w:eastAsia="en-US" w:bidi="he-IL"/>
        </w:rPr>
        <w:t>‘</w:t>
      </w:r>
      <w:r w:rsidR="000C017A" w:rsidRPr="001264DB">
        <w:rPr>
          <w:rFonts w:cs="Arial"/>
          <w:szCs w:val="20"/>
          <w:lang w:eastAsia="en-US" w:bidi="he-IL"/>
        </w:rPr>
        <w:t>licence exempt</w:t>
      </w:r>
      <w:r w:rsidR="008E708F">
        <w:rPr>
          <w:rFonts w:cs="Arial"/>
          <w:szCs w:val="20"/>
          <w:lang w:eastAsia="en-US" w:bidi="he-IL"/>
        </w:rPr>
        <w:t>’</w:t>
      </w:r>
      <w:r w:rsidR="000C017A" w:rsidRPr="001264DB">
        <w:rPr>
          <w:rFonts w:cs="Arial"/>
          <w:szCs w:val="20"/>
          <w:lang w:eastAsia="en-US" w:bidi="he-IL"/>
        </w:rPr>
        <w:t xml:space="preserve"> options for this band. </w:t>
      </w:r>
      <w:r w:rsidR="00717204">
        <w:rPr>
          <w:rFonts w:cs="Arial"/>
          <w:szCs w:val="20"/>
          <w:lang w:eastAsia="en-US" w:bidi="he-IL"/>
        </w:rPr>
        <w:t xml:space="preserve">The </w:t>
      </w:r>
      <w:r w:rsidR="000C017A" w:rsidRPr="001264DB">
        <w:rPr>
          <w:rFonts w:cs="Arial"/>
          <w:szCs w:val="20"/>
          <w:lang w:eastAsia="en-US" w:bidi="he-IL"/>
        </w:rPr>
        <w:t>Radio Spectrum Policy Group</w:t>
      </w:r>
      <w:r w:rsidR="009436F8">
        <w:rPr>
          <w:rStyle w:val="FootnoteReference"/>
          <w:rFonts w:cs="Arial"/>
          <w:szCs w:val="20"/>
          <w:lang w:eastAsia="en-US" w:bidi="he-IL"/>
        </w:rPr>
        <w:footnoteReference w:id="4"/>
      </w:r>
      <w:r w:rsidR="009436F8">
        <w:rPr>
          <w:rFonts w:cs="Arial"/>
          <w:szCs w:val="20"/>
          <w:lang w:eastAsia="en-US" w:bidi="he-IL"/>
        </w:rPr>
        <w:t xml:space="preserve"> </w:t>
      </w:r>
      <w:r w:rsidR="000C017A" w:rsidRPr="001264DB">
        <w:rPr>
          <w:rFonts w:cs="Arial"/>
          <w:szCs w:val="20"/>
          <w:lang w:eastAsia="en-US" w:bidi="he-IL"/>
        </w:rPr>
        <w:t xml:space="preserve">of the European Commission has recommended </w:t>
      </w:r>
      <w:r w:rsidR="00717204">
        <w:rPr>
          <w:rFonts w:cs="Arial"/>
          <w:szCs w:val="20"/>
          <w:lang w:eastAsia="en-US" w:bidi="he-IL"/>
        </w:rPr>
        <w:t xml:space="preserve">a </w:t>
      </w:r>
      <w:r w:rsidR="000C017A" w:rsidRPr="001264DB">
        <w:rPr>
          <w:rFonts w:cs="Arial"/>
          <w:szCs w:val="20"/>
          <w:lang w:eastAsia="en-US" w:bidi="he-IL"/>
        </w:rPr>
        <w:t xml:space="preserve">general </w:t>
      </w:r>
      <w:r w:rsidR="00717204" w:rsidRPr="001264DB">
        <w:rPr>
          <w:rFonts w:cs="Arial"/>
          <w:szCs w:val="20"/>
          <w:lang w:eastAsia="en-US" w:bidi="he-IL"/>
        </w:rPr>
        <w:t>authori</w:t>
      </w:r>
      <w:r w:rsidR="00717204">
        <w:rPr>
          <w:rFonts w:cs="Arial"/>
          <w:szCs w:val="20"/>
          <w:lang w:eastAsia="en-US" w:bidi="he-IL"/>
        </w:rPr>
        <w:t>s</w:t>
      </w:r>
      <w:r w:rsidR="00717204" w:rsidRPr="001264DB">
        <w:rPr>
          <w:rFonts w:cs="Arial"/>
          <w:szCs w:val="20"/>
          <w:lang w:eastAsia="en-US" w:bidi="he-IL"/>
        </w:rPr>
        <w:t xml:space="preserve">ation </w:t>
      </w:r>
      <w:r w:rsidR="000C017A" w:rsidRPr="001264DB">
        <w:rPr>
          <w:rFonts w:cs="Arial"/>
          <w:szCs w:val="20"/>
          <w:lang w:eastAsia="en-US" w:bidi="he-IL"/>
        </w:rPr>
        <w:t xml:space="preserve">regime for </w:t>
      </w:r>
      <w:r w:rsidR="00717204">
        <w:rPr>
          <w:rFonts w:cs="Arial"/>
          <w:szCs w:val="20"/>
          <w:lang w:eastAsia="en-US" w:bidi="he-IL"/>
        </w:rPr>
        <w:t xml:space="preserve">the </w:t>
      </w:r>
      <w:r w:rsidR="008E708F">
        <w:rPr>
          <w:rFonts w:cs="Arial"/>
          <w:szCs w:val="20"/>
          <w:lang w:eastAsia="en-US" w:bidi="he-IL"/>
        </w:rPr>
        <w:br/>
      </w:r>
      <w:r w:rsidR="000C017A" w:rsidRPr="001264DB">
        <w:rPr>
          <w:rFonts w:cs="Arial"/>
          <w:szCs w:val="20"/>
          <w:lang w:eastAsia="en-US" w:bidi="he-IL"/>
        </w:rPr>
        <w:t>66</w:t>
      </w:r>
      <w:r w:rsidR="008E708F">
        <w:rPr>
          <w:rFonts w:cs="Arial"/>
          <w:szCs w:val="20"/>
          <w:lang w:eastAsia="en-US" w:bidi="he-IL"/>
        </w:rPr>
        <w:t>–</w:t>
      </w:r>
      <w:r w:rsidR="000C017A" w:rsidRPr="001264DB">
        <w:rPr>
          <w:rFonts w:cs="Arial"/>
          <w:szCs w:val="20"/>
          <w:lang w:eastAsia="en-US" w:bidi="he-IL"/>
        </w:rPr>
        <w:t xml:space="preserve">71 </w:t>
      </w:r>
      <w:r w:rsidR="00717204">
        <w:rPr>
          <w:rFonts w:cs="Arial"/>
          <w:szCs w:val="20"/>
          <w:lang w:eastAsia="en-US" w:bidi="he-IL"/>
        </w:rPr>
        <w:t>G</w:t>
      </w:r>
      <w:r w:rsidR="00717204" w:rsidRPr="001264DB">
        <w:rPr>
          <w:rFonts w:cs="Arial"/>
          <w:szCs w:val="20"/>
          <w:lang w:eastAsia="en-US" w:bidi="he-IL"/>
        </w:rPr>
        <w:t xml:space="preserve">Hz </w:t>
      </w:r>
      <w:r w:rsidR="000C017A" w:rsidRPr="001264DB">
        <w:rPr>
          <w:rFonts w:cs="Arial"/>
          <w:szCs w:val="20"/>
          <w:lang w:eastAsia="en-US" w:bidi="he-IL"/>
        </w:rPr>
        <w:t>band.</w:t>
      </w:r>
    </w:p>
    <w:p w14:paraId="354D4608" w14:textId="629F7CE6" w:rsidR="0012347C" w:rsidRDefault="00487384" w:rsidP="00A7464D">
      <w:pPr>
        <w:pStyle w:val="Heading3"/>
      </w:pPr>
      <w:bookmarkStart w:id="17" w:name="_Toc518042875"/>
      <w:r>
        <w:t xml:space="preserve">Requirement for </w:t>
      </w:r>
      <w:r w:rsidRPr="00A7464D">
        <w:t>c</w:t>
      </w:r>
      <w:r w:rsidR="0012347C" w:rsidRPr="00A7464D">
        <w:t>onsequential</w:t>
      </w:r>
      <w:r w:rsidR="0012347C">
        <w:t xml:space="preserve"> </w:t>
      </w:r>
      <w:r>
        <w:t>standards updates</w:t>
      </w:r>
      <w:bookmarkEnd w:id="17"/>
      <w:r>
        <w:t xml:space="preserve"> </w:t>
      </w:r>
    </w:p>
    <w:p w14:paraId="52F2B1B4" w14:textId="326DFE9B" w:rsidR="00372227" w:rsidRDefault="00372227" w:rsidP="00A7464D">
      <w:pPr>
        <w:rPr>
          <w:rFonts w:cs="Arial"/>
          <w:szCs w:val="20"/>
        </w:rPr>
      </w:pPr>
      <w:r>
        <w:t xml:space="preserve">The ACMA received </w:t>
      </w:r>
      <w:r w:rsidR="00C3578D">
        <w:t>four submissions comment</w:t>
      </w:r>
      <w:r w:rsidR="00717204">
        <w:t>ing</w:t>
      </w:r>
      <w:r w:rsidR="00C3578D">
        <w:t xml:space="preserve"> on the need for </w:t>
      </w:r>
      <w:r w:rsidR="00135770">
        <w:t xml:space="preserve">consequential </w:t>
      </w:r>
      <w:r w:rsidR="00C3578D">
        <w:t xml:space="preserve">standard updates. Three </w:t>
      </w:r>
      <w:r w:rsidR="00717204">
        <w:t xml:space="preserve">submissions </w:t>
      </w:r>
      <w:r w:rsidR="00C3578D">
        <w:t>(</w:t>
      </w:r>
      <w:proofErr w:type="spellStart"/>
      <w:r w:rsidR="00C3578D" w:rsidRPr="009D2864">
        <w:t>Siklu</w:t>
      </w:r>
      <w:proofErr w:type="spellEnd"/>
      <w:r w:rsidR="00C3578D" w:rsidRPr="009D2864">
        <w:t xml:space="preserve"> Communications, </w:t>
      </w:r>
      <w:proofErr w:type="spellStart"/>
      <w:r w:rsidR="00C3578D" w:rsidRPr="009D2864">
        <w:t>Superloop</w:t>
      </w:r>
      <w:proofErr w:type="spellEnd"/>
      <w:r w:rsidR="00C3578D" w:rsidRPr="009D2864">
        <w:t xml:space="preserve"> and Telstra</w:t>
      </w:r>
      <w:r w:rsidR="00C3578D">
        <w:t>) supported the need for</w:t>
      </w:r>
      <w:r w:rsidR="006B70DF">
        <w:t xml:space="preserve"> a</w:t>
      </w:r>
      <w:r w:rsidR="00C3578D">
        <w:t xml:space="preserve"> standard update to reflect </w:t>
      </w:r>
      <w:r w:rsidR="002B5590">
        <w:t xml:space="preserve">proposed </w:t>
      </w:r>
      <w:r w:rsidR="006B70DF">
        <w:t>change</w:t>
      </w:r>
      <w:r w:rsidR="008E708F">
        <w:t>s</w:t>
      </w:r>
      <w:r w:rsidR="006B70DF">
        <w:t xml:space="preserve"> </w:t>
      </w:r>
      <w:r w:rsidR="002B5590">
        <w:t xml:space="preserve">to the </w:t>
      </w:r>
      <w:r w:rsidR="00C3578D">
        <w:t>d</w:t>
      </w:r>
      <w:r w:rsidR="00C3578D" w:rsidRPr="00C3578D">
        <w:t>igital communication transmitters</w:t>
      </w:r>
      <w:r w:rsidR="00C3578D">
        <w:t xml:space="preserve"> </w:t>
      </w:r>
      <w:r w:rsidR="002B5590">
        <w:t xml:space="preserve">operating in </w:t>
      </w:r>
      <w:r w:rsidR="00717204">
        <w:t xml:space="preserve">the </w:t>
      </w:r>
      <w:r w:rsidR="00C3578D" w:rsidRPr="004D1F0E">
        <w:t>57</w:t>
      </w:r>
      <w:r w:rsidR="00C3578D">
        <w:t>–</w:t>
      </w:r>
      <w:r w:rsidR="00C3578D" w:rsidRPr="004D1F0E">
        <w:t>66 GHz</w:t>
      </w:r>
      <w:r w:rsidR="002B5590">
        <w:t xml:space="preserve"> band</w:t>
      </w:r>
      <w:r w:rsidR="00C3578D">
        <w:t>. One</w:t>
      </w:r>
      <w:r w:rsidR="00E627EE">
        <w:t xml:space="preserve"> </w:t>
      </w:r>
      <w:r w:rsidR="00717204">
        <w:t xml:space="preserve">submission </w:t>
      </w:r>
      <w:r w:rsidR="00C3578D">
        <w:t>(</w:t>
      </w:r>
      <w:r w:rsidR="009D2864">
        <w:rPr>
          <w:rFonts w:cs="Arial"/>
          <w:szCs w:val="20"/>
        </w:rPr>
        <w:t>AST</w:t>
      </w:r>
      <w:r w:rsidR="00C3578D">
        <w:rPr>
          <w:rFonts w:cs="Arial"/>
          <w:szCs w:val="20"/>
        </w:rPr>
        <w:t xml:space="preserve">) recommended that all items be considered in a revision to the </w:t>
      </w:r>
      <w:r w:rsidR="00C3578D" w:rsidRPr="009436F8">
        <w:rPr>
          <w:rFonts w:cs="Arial"/>
          <w:szCs w:val="20"/>
        </w:rPr>
        <w:t>Standards Australia standard</w:t>
      </w:r>
      <w:r w:rsidR="00C3578D">
        <w:rPr>
          <w:rFonts w:cs="Arial"/>
          <w:szCs w:val="20"/>
        </w:rPr>
        <w:t xml:space="preserve"> AS/NZS 4268 (</w:t>
      </w:r>
      <w:r w:rsidR="00C3578D" w:rsidRPr="00C3578D">
        <w:rPr>
          <w:rFonts w:cs="Arial"/>
          <w:szCs w:val="20"/>
        </w:rPr>
        <w:t>Radio equipment and systems – Short range devices – Limits and methods of measurement</w:t>
      </w:r>
      <w:r w:rsidR="00C3578D">
        <w:rPr>
          <w:rFonts w:cs="Arial"/>
          <w:szCs w:val="20"/>
        </w:rPr>
        <w:t>)</w:t>
      </w:r>
      <w:r w:rsidR="008E708F">
        <w:rPr>
          <w:rFonts w:cs="Arial"/>
          <w:szCs w:val="20"/>
        </w:rPr>
        <w:t>.</w:t>
      </w:r>
      <w:r w:rsidR="00156298">
        <w:rPr>
          <w:rStyle w:val="FootnoteReference"/>
          <w:rFonts w:cs="Arial"/>
          <w:szCs w:val="20"/>
        </w:rPr>
        <w:footnoteReference w:id="5"/>
      </w:r>
    </w:p>
    <w:p w14:paraId="65DF9C23" w14:textId="1CC3E69F" w:rsidR="00215ADC" w:rsidRDefault="00215ADC" w:rsidP="0012347C">
      <w:pPr>
        <w:rPr>
          <w:rFonts w:cs="Arial"/>
          <w:szCs w:val="20"/>
        </w:rPr>
      </w:pPr>
      <w:r>
        <w:rPr>
          <w:rFonts w:cs="Arial"/>
          <w:szCs w:val="20"/>
        </w:rPr>
        <w:t xml:space="preserve">The submission from </w:t>
      </w:r>
      <w:r w:rsidR="009D2864">
        <w:rPr>
          <w:rFonts w:cs="Arial"/>
          <w:szCs w:val="20"/>
        </w:rPr>
        <w:t>AST</w:t>
      </w:r>
      <w:r>
        <w:rPr>
          <w:rFonts w:cs="Arial"/>
          <w:szCs w:val="20"/>
        </w:rPr>
        <w:t xml:space="preserve"> also discussed the time delay that occurs between the ACMA updating the LIPD Class Licence and any necessary consequential revisions to </w:t>
      </w:r>
      <w:r w:rsidR="00994978">
        <w:rPr>
          <w:rFonts w:cs="Arial"/>
          <w:szCs w:val="20"/>
        </w:rPr>
        <w:t xml:space="preserve">the </w:t>
      </w:r>
      <w:r w:rsidR="00717204">
        <w:rPr>
          <w:rFonts w:cs="Arial"/>
          <w:szCs w:val="20"/>
        </w:rPr>
        <w:t>Standard</w:t>
      </w:r>
      <w:r w:rsidR="008E708F">
        <w:rPr>
          <w:rFonts w:cs="Arial"/>
          <w:szCs w:val="20"/>
        </w:rPr>
        <w:t>s</w:t>
      </w:r>
      <w:r w:rsidR="00717204">
        <w:rPr>
          <w:rFonts w:cs="Arial"/>
          <w:szCs w:val="20"/>
        </w:rPr>
        <w:t xml:space="preserve"> Australia </w:t>
      </w:r>
      <w:r>
        <w:rPr>
          <w:rFonts w:cs="Arial"/>
          <w:szCs w:val="20"/>
        </w:rPr>
        <w:t xml:space="preserve">AS/NZS 4268. The submission outlined changes included by </w:t>
      </w:r>
      <w:r w:rsidR="00717204">
        <w:rPr>
          <w:rFonts w:cs="Arial"/>
          <w:szCs w:val="20"/>
        </w:rPr>
        <w:t xml:space="preserve">the </w:t>
      </w:r>
      <w:r w:rsidRPr="00FA1BC3">
        <w:rPr>
          <w:rFonts w:cs="Arial"/>
          <w:szCs w:val="20"/>
        </w:rPr>
        <w:t>Standards Australia</w:t>
      </w:r>
      <w:r>
        <w:rPr>
          <w:rFonts w:cs="Arial"/>
          <w:szCs w:val="20"/>
        </w:rPr>
        <w:t xml:space="preserve"> RC</w:t>
      </w:r>
      <w:r w:rsidR="00702E98">
        <w:rPr>
          <w:rFonts w:cs="Arial"/>
          <w:szCs w:val="20"/>
        </w:rPr>
        <w:t>-</w:t>
      </w:r>
      <w:r>
        <w:rPr>
          <w:rFonts w:cs="Arial"/>
          <w:szCs w:val="20"/>
        </w:rPr>
        <w:t>006 committee</w:t>
      </w:r>
      <w:r w:rsidR="00A777AE">
        <w:rPr>
          <w:rFonts w:cs="Arial"/>
          <w:szCs w:val="20"/>
        </w:rPr>
        <w:t xml:space="preserve"> (</w:t>
      </w:r>
      <w:r w:rsidR="00717204">
        <w:rPr>
          <w:rFonts w:cs="Arial"/>
          <w:szCs w:val="20"/>
        </w:rPr>
        <w:t xml:space="preserve">which included </w:t>
      </w:r>
      <w:r w:rsidR="008E708F">
        <w:rPr>
          <w:rFonts w:cs="Arial"/>
          <w:szCs w:val="20"/>
        </w:rPr>
        <w:t xml:space="preserve">ACMA </w:t>
      </w:r>
      <w:r w:rsidR="00A777AE">
        <w:rPr>
          <w:rFonts w:cs="Arial"/>
          <w:szCs w:val="20"/>
        </w:rPr>
        <w:t>representatives)</w:t>
      </w:r>
      <w:r>
        <w:rPr>
          <w:rFonts w:cs="Arial"/>
          <w:szCs w:val="20"/>
        </w:rPr>
        <w:t xml:space="preserve"> in the last update to </w:t>
      </w:r>
      <w:r w:rsidR="00994978">
        <w:rPr>
          <w:rFonts w:cs="Arial"/>
          <w:szCs w:val="20"/>
        </w:rPr>
        <w:t xml:space="preserve">the </w:t>
      </w:r>
      <w:r>
        <w:rPr>
          <w:rFonts w:cs="Arial"/>
          <w:szCs w:val="20"/>
        </w:rPr>
        <w:t>AS/NZS 4268</w:t>
      </w:r>
      <w:r w:rsidR="00717204">
        <w:rPr>
          <w:rFonts w:cs="Arial"/>
          <w:szCs w:val="20"/>
        </w:rPr>
        <w:t>,</w:t>
      </w:r>
      <w:r>
        <w:rPr>
          <w:rFonts w:cs="Arial"/>
          <w:szCs w:val="20"/>
        </w:rPr>
        <w:t xml:space="preserve"> which could </w:t>
      </w:r>
      <w:r w:rsidR="00E20295">
        <w:rPr>
          <w:rFonts w:cs="Arial"/>
          <w:szCs w:val="20"/>
        </w:rPr>
        <w:t xml:space="preserve">provide a pathway to </w:t>
      </w:r>
      <w:r>
        <w:rPr>
          <w:rFonts w:cs="Arial"/>
          <w:szCs w:val="20"/>
        </w:rPr>
        <w:t xml:space="preserve">removing the </w:t>
      </w:r>
      <w:r w:rsidR="00A777AE">
        <w:rPr>
          <w:rFonts w:cs="Arial"/>
          <w:szCs w:val="20"/>
        </w:rPr>
        <w:t>time delay. The submission recommended the ACMA make changes</w:t>
      </w:r>
      <w:r w:rsidR="00E20295">
        <w:rPr>
          <w:rFonts w:cs="Arial"/>
          <w:szCs w:val="20"/>
        </w:rPr>
        <w:t xml:space="preserve"> </w:t>
      </w:r>
      <w:r w:rsidR="00A777AE">
        <w:rPr>
          <w:rFonts w:cs="Arial"/>
          <w:szCs w:val="20"/>
        </w:rPr>
        <w:t>necessary to the LIPD Class Licence to ensure automatic updates to the standard for future variations to the LIPD Class Licence.</w:t>
      </w:r>
    </w:p>
    <w:p w14:paraId="2F996A25" w14:textId="22733443" w:rsidR="00372227" w:rsidRDefault="00372227" w:rsidP="00372227">
      <w:pPr>
        <w:pStyle w:val="BodySubHeader"/>
        <w:rPr>
          <w:rFonts w:cs="Arial"/>
        </w:rPr>
      </w:pPr>
      <w:r>
        <w:rPr>
          <w:rFonts w:cs="Arial"/>
        </w:rPr>
        <w:t xml:space="preserve">ACMA </w:t>
      </w:r>
      <w:r w:rsidR="008E708F">
        <w:rPr>
          <w:rFonts w:cs="Arial"/>
        </w:rPr>
        <w:t>r</w:t>
      </w:r>
      <w:r>
        <w:rPr>
          <w:rFonts w:cs="Arial"/>
        </w:rPr>
        <w:t>esponse</w:t>
      </w:r>
      <w:r w:rsidRPr="006D46E5">
        <w:rPr>
          <w:rFonts w:cs="Arial"/>
        </w:rPr>
        <w:t xml:space="preserve"> </w:t>
      </w:r>
    </w:p>
    <w:p w14:paraId="5E26E0E6" w14:textId="6C4F008A" w:rsidR="000225E0" w:rsidRDefault="00F65AE0" w:rsidP="003A5142">
      <w:r>
        <w:t xml:space="preserve">The </w:t>
      </w:r>
      <w:r w:rsidR="00156298">
        <w:t xml:space="preserve">delay between </w:t>
      </w:r>
      <w:r>
        <w:t xml:space="preserve">ACMA </w:t>
      </w:r>
      <w:r w:rsidR="00156298">
        <w:t xml:space="preserve">making a variation to the LIPD Class Licence and </w:t>
      </w:r>
      <w:r w:rsidR="008E4E62">
        <w:t>consequential standard update</w:t>
      </w:r>
      <w:r w:rsidR="00717204">
        <w:t>s to the Standard</w:t>
      </w:r>
      <w:r w:rsidR="008E708F">
        <w:t>s</w:t>
      </w:r>
      <w:r w:rsidR="00717204">
        <w:t xml:space="preserve"> Australia AS/NZS 4268</w:t>
      </w:r>
      <w:r w:rsidR="008E4E62">
        <w:t xml:space="preserve"> is a known issue. While </w:t>
      </w:r>
      <w:r w:rsidR="000225E0">
        <w:t xml:space="preserve">to date </w:t>
      </w:r>
      <w:r w:rsidR="00717204">
        <w:t>it</w:t>
      </w:r>
      <w:r w:rsidR="008E4E62">
        <w:t xml:space="preserve"> has </w:t>
      </w:r>
      <w:r w:rsidR="00702E98">
        <w:t xml:space="preserve">not </w:t>
      </w:r>
      <w:r w:rsidR="008E4E62">
        <w:t>presented a</w:t>
      </w:r>
      <w:r w:rsidR="000225E0">
        <w:t>n interference management risk,</w:t>
      </w:r>
      <w:r w:rsidR="008E4E62">
        <w:t xml:space="preserve"> </w:t>
      </w:r>
      <w:r w:rsidR="008E708F">
        <w:t>we</w:t>
      </w:r>
      <w:r w:rsidR="008E4E62">
        <w:t xml:space="preserve"> welcome </w:t>
      </w:r>
      <w:r w:rsidR="000225E0">
        <w:t>suggestions on</w:t>
      </w:r>
      <w:r w:rsidR="006E1685">
        <w:t xml:space="preserve"> how to address </w:t>
      </w:r>
      <w:r w:rsidR="00717204">
        <w:t>the delay</w:t>
      </w:r>
      <w:r w:rsidR="005B38EC">
        <w:t xml:space="preserve">. </w:t>
      </w:r>
      <w:r w:rsidR="008E708F">
        <w:t>We have</w:t>
      </w:r>
      <w:r w:rsidR="008E4E62">
        <w:t xml:space="preserve"> been considering </w:t>
      </w:r>
      <w:r w:rsidR="000225E0">
        <w:t xml:space="preserve">possible changes to </w:t>
      </w:r>
      <w:r w:rsidR="00717204">
        <w:t xml:space="preserve">the </w:t>
      </w:r>
      <w:r w:rsidR="000225E0">
        <w:t xml:space="preserve">equipment rules </w:t>
      </w:r>
      <w:r w:rsidR="005766DB">
        <w:t xml:space="preserve">resulting </w:t>
      </w:r>
      <w:r w:rsidR="000225E0">
        <w:t>from spectrum review implementation work</w:t>
      </w:r>
      <w:r w:rsidR="008E708F">
        <w:t xml:space="preserve"> and are</w:t>
      </w:r>
      <w:r w:rsidR="00717204">
        <w:t xml:space="preserve"> </w:t>
      </w:r>
      <w:r w:rsidR="006E1685">
        <w:t xml:space="preserve">wary of making changes that might later be replaced through </w:t>
      </w:r>
      <w:r w:rsidR="008E708F">
        <w:t>this</w:t>
      </w:r>
      <w:r w:rsidR="006E1685">
        <w:t xml:space="preserve"> work</w:t>
      </w:r>
      <w:r w:rsidR="00717204">
        <w:t xml:space="preserve">. Nonetheless, </w:t>
      </w:r>
      <w:r w:rsidR="008E708F">
        <w:t>we have</w:t>
      </w:r>
      <w:r w:rsidR="005766DB">
        <w:t xml:space="preserve"> been considering </w:t>
      </w:r>
      <w:r w:rsidR="005766DB" w:rsidRPr="005766DB">
        <w:t xml:space="preserve">whether there is a simpler and more effective way </w:t>
      </w:r>
      <w:r w:rsidR="005766DB">
        <w:t xml:space="preserve">to address the delay issue in future variations to the LIPD Class Licence </w:t>
      </w:r>
      <w:r w:rsidR="005766DB" w:rsidRPr="005766DB">
        <w:t xml:space="preserve">that minimises </w:t>
      </w:r>
      <w:r w:rsidR="005766DB">
        <w:t xml:space="preserve">both the work of </w:t>
      </w:r>
      <w:r w:rsidR="005766DB" w:rsidRPr="009D2864">
        <w:t>Standards Australia</w:t>
      </w:r>
      <w:r w:rsidR="005766DB">
        <w:t xml:space="preserve"> and the ACMA</w:t>
      </w:r>
      <w:r w:rsidR="005766DB" w:rsidRPr="005766DB">
        <w:t>.</w:t>
      </w:r>
    </w:p>
    <w:p w14:paraId="6B2CE6C4" w14:textId="5DEED61C" w:rsidR="00663732" w:rsidRDefault="00E8034E" w:rsidP="0085452E">
      <w:pPr>
        <w:keepNext/>
        <w:keepLines/>
      </w:pPr>
      <w:r>
        <w:lastRenderedPageBreak/>
        <w:t>Our</w:t>
      </w:r>
      <w:r w:rsidR="00524C38">
        <w:t xml:space="preserve"> </w:t>
      </w:r>
      <w:r w:rsidR="00702E98">
        <w:t>proposed</w:t>
      </w:r>
      <w:r w:rsidR="00663732">
        <w:t xml:space="preserve"> </w:t>
      </w:r>
      <w:r w:rsidR="003805E5">
        <w:t xml:space="preserve">approach </w:t>
      </w:r>
      <w:r w:rsidR="00663732">
        <w:t xml:space="preserve">is to amend </w:t>
      </w:r>
      <w:r w:rsidR="00663732" w:rsidRPr="00F633C0">
        <w:t xml:space="preserve">the </w:t>
      </w:r>
      <w:proofErr w:type="spellStart"/>
      <w:r w:rsidR="00663732" w:rsidRPr="00F633C0">
        <w:t>Radiocommunications</w:t>
      </w:r>
      <w:proofErr w:type="spellEnd"/>
      <w:r w:rsidR="00663732" w:rsidRPr="00F633C0">
        <w:t xml:space="preserve"> (Short Range Devices) Standard 2014</w:t>
      </w:r>
      <w:r w:rsidR="00663732" w:rsidRPr="00A26656">
        <w:t xml:space="preserve"> </w:t>
      </w:r>
      <w:r w:rsidR="00717204">
        <w:t>by</w:t>
      </w:r>
      <w:r w:rsidR="00663732">
        <w:t xml:space="preserve"> specifying that the standard for performance is the standard</w:t>
      </w:r>
      <w:r>
        <w:t xml:space="preserve"> </w:t>
      </w:r>
      <w:r w:rsidR="00663732">
        <w:t>listed in Column 4 of Schedule 1 of the LIPD class licence or</w:t>
      </w:r>
      <w:r w:rsidR="00717204">
        <w:t>,</w:t>
      </w:r>
      <w:r w:rsidR="00663732">
        <w:t xml:space="preserve"> if no standard </w:t>
      </w:r>
      <w:r w:rsidR="00524C38">
        <w:t xml:space="preserve">is </w:t>
      </w:r>
      <w:r w:rsidR="00663732">
        <w:t>listed</w:t>
      </w:r>
      <w:r w:rsidR="00717204">
        <w:t>,</w:t>
      </w:r>
      <w:r w:rsidR="00663732">
        <w:t xml:space="preserve"> th</w:t>
      </w:r>
      <w:r w:rsidR="003805E5">
        <w:t xml:space="preserve">e requirements of </w:t>
      </w:r>
      <w:r w:rsidR="00994978">
        <w:t xml:space="preserve">the </w:t>
      </w:r>
      <w:r w:rsidR="003805E5">
        <w:t xml:space="preserve">AS/NZS 4268. </w:t>
      </w:r>
      <w:r w:rsidR="00A26656">
        <w:t xml:space="preserve">For this to occur, we’ll be consulting on a </w:t>
      </w:r>
      <w:hyperlink r:id="rId33" w:history="1">
        <w:r w:rsidR="00A26656" w:rsidRPr="00EB61EB">
          <w:rPr>
            <w:rStyle w:val="Hyperlink"/>
          </w:rPr>
          <w:t>draft amendment to the Short Range Devices Standard</w:t>
        </w:r>
      </w:hyperlink>
      <w:r w:rsidR="00A26656">
        <w:rPr>
          <w:rStyle w:val="CommentReference"/>
        </w:rPr>
        <w:t>.</w:t>
      </w:r>
      <w:r w:rsidR="003805E5">
        <w:t xml:space="preserve"> </w:t>
      </w:r>
      <w:r w:rsidR="008A0DAF">
        <w:t xml:space="preserve">If implemented, </w:t>
      </w:r>
      <w:r w:rsidR="00A26656">
        <w:t>we</w:t>
      </w:r>
      <w:r w:rsidR="008A0DAF">
        <w:t xml:space="preserve"> would publish additional guidance on how to determine and where to find applicable</w:t>
      </w:r>
      <w:r w:rsidR="00A33C5A">
        <w:t xml:space="preserve"> standard</w:t>
      </w:r>
      <w:r w:rsidR="003458E1">
        <w:t>s</w:t>
      </w:r>
      <w:r w:rsidR="00A33C5A">
        <w:t>.</w:t>
      </w:r>
    </w:p>
    <w:p w14:paraId="1B471386" w14:textId="59F215C3" w:rsidR="00AC201A" w:rsidRDefault="002916A6" w:rsidP="00C62D6C">
      <w:r>
        <w:t>We do</w:t>
      </w:r>
      <w:r w:rsidR="00A777AE">
        <w:t xml:space="preserve"> </w:t>
      </w:r>
      <w:r w:rsidR="00166B03">
        <w:t>not agree</w:t>
      </w:r>
      <w:r w:rsidR="00A777AE">
        <w:t xml:space="preserve"> that all devices supported under the LIPD Class Licence should</w:t>
      </w:r>
      <w:r w:rsidR="006E1685">
        <w:t xml:space="preserve"> be automatically subject to a </w:t>
      </w:r>
      <w:r w:rsidR="006E1685" w:rsidRPr="009B7026">
        <w:t>standard</w:t>
      </w:r>
      <w:r>
        <w:t>,</w:t>
      </w:r>
      <w:r w:rsidR="009B7026" w:rsidRPr="009B7026">
        <w:t xml:space="preserve"> given </w:t>
      </w:r>
      <w:r w:rsidR="00D93012" w:rsidRPr="009B7026">
        <w:t xml:space="preserve">the regulatory burden </w:t>
      </w:r>
      <w:r w:rsidR="00AE2ABF" w:rsidRPr="009B7026">
        <w:t xml:space="preserve">that </w:t>
      </w:r>
      <w:r w:rsidR="00D93012" w:rsidRPr="009B7026">
        <w:t xml:space="preserve">compliance with a standard </w:t>
      </w:r>
      <w:r w:rsidR="009B7026" w:rsidRPr="009B7026">
        <w:t xml:space="preserve">brings for </w:t>
      </w:r>
      <w:r w:rsidR="00D93012" w:rsidRPr="009B7026">
        <w:t>industry</w:t>
      </w:r>
      <w:r w:rsidR="006E1685" w:rsidRPr="009B7026">
        <w:t>.</w:t>
      </w:r>
      <w:r w:rsidR="00F4771B">
        <w:t xml:space="preserve"> </w:t>
      </w:r>
      <w:r>
        <w:t>Our</w:t>
      </w:r>
      <w:r w:rsidR="00F4771B">
        <w:t xml:space="preserve"> view is that the need</w:t>
      </w:r>
      <w:r w:rsidR="003458E1">
        <w:t>s</w:t>
      </w:r>
      <w:r w:rsidR="003A1FE7">
        <w:t xml:space="preserve"> for each device </w:t>
      </w:r>
      <w:r w:rsidR="00F4771B">
        <w:t>should be</w:t>
      </w:r>
      <w:r w:rsidR="003A1FE7">
        <w:t xml:space="preserve"> individually</w:t>
      </w:r>
      <w:r w:rsidR="00F4771B">
        <w:t xml:space="preserve"> considered</w:t>
      </w:r>
      <w:r w:rsidR="00AE2ABF">
        <w:t>,</w:t>
      </w:r>
      <w:r w:rsidR="00F4771B">
        <w:t xml:space="preserve"> in consultation with industry</w:t>
      </w:r>
      <w:r w:rsidR="00AE2ABF">
        <w:t>,</w:t>
      </w:r>
      <w:r w:rsidR="00F4771B">
        <w:t xml:space="preserve"> </w:t>
      </w:r>
      <w:r>
        <w:t>for</w:t>
      </w:r>
      <w:r w:rsidR="00F4771B">
        <w:t xml:space="preserve"> the intended application, operating environment, potential </w:t>
      </w:r>
      <w:bookmarkStart w:id="18" w:name="_GoBack"/>
      <w:bookmarkEnd w:id="18"/>
      <w:r w:rsidR="00F4771B">
        <w:t>consequences of interference (should it occur) and likely numbers of devices to be used</w:t>
      </w:r>
      <w:r w:rsidR="00AE2ABF">
        <w:t>. G</w:t>
      </w:r>
      <w:r w:rsidR="00F4771B">
        <w:t>iven its low power</w:t>
      </w:r>
      <w:r w:rsidR="00AE2ABF">
        <w:t>,</w:t>
      </w:r>
      <w:r w:rsidR="00F4771B">
        <w:t xml:space="preserve"> and controlled environment when being used</w:t>
      </w:r>
      <w:r w:rsidR="003A1FE7">
        <w:t xml:space="preserve">, the ACMA does not see the need for a </w:t>
      </w:r>
      <w:proofErr w:type="spellStart"/>
      <w:r w:rsidR="003A1FE7">
        <w:t>radiocommunications</w:t>
      </w:r>
      <w:proofErr w:type="spellEnd"/>
      <w:r w:rsidR="003A1FE7">
        <w:t xml:space="preserve"> standard for medical endoscopy capsule transmitters (Item 34A)</w:t>
      </w:r>
      <w:r w:rsidR="008A7D84">
        <w:t>. However</w:t>
      </w:r>
      <w:r>
        <w:t>,</w:t>
      </w:r>
      <w:r w:rsidR="008A7D84">
        <w:t xml:space="preserve"> a </w:t>
      </w:r>
      <w:r w:rsidR="003A1FE7">
        <w:t xml:space="preserve">note is to be included for the item </w:t>
      </w:r>
      <w:r w:rsidR="008A7D84">
        <w:t xml:space="preserve">in the LIPD </w:t>
      </w:r>
      <w:r w:rsidR="003A1FE7">
        <w:t xml:space="preserve">providing advice on a relevant industry standard </w:t>
      </w:r>
      <w:r w:rsidR="00702E98">
        <w:t xml:space="preserve">if </w:t>
      </w:r>
      <w:r w:rsidR="003A1FE7">
        <w:t xml:space="preserve">more information </w:t>
      </w:r>
      <w:r w:rsidR="00702E98">
        <w:t xml:space="preserve">is </w:t>
      </w:r>
      <w:r w:rsidR="003A1FE7">
        <w:t xml:space="preserve">required. </w:t>
      </w:r>
      <w:r w:rsidR="009436F8">
        <w:t>For a</w:t>
      </w:r>
      <w:r w:rsidR="003A1FE7">
        <w:t xml:space="preserve">ll other </w:t>
      </w:r>
      <w:r w:rsidR="009436F8">
        <w:t>proposed changes</w:t>
      </w:r>
      <w:r w:rsidR="00135770">
        <w:t>,</w:t>
      </w:r>
      <w:r w:rsidR="009436F8">
        <w:t xml:space="preserve"> </w:t>
      </w:r>
      <w:r w:rsidR="003A1FE7">
        <w:t>being subject to a standard</w:t>
      </w:r>
      <w:r w:rsidR="009436F8">
        <w:t xml:space="preserve"> is considered appropriate</w:t>
      </w:r>
      <w:r w:rsidR="00D93012">
        <w:t>.</w:t>
      </w:r>
      <w:r w:rsidR="003A1FE7">
        <w:t xml:space="preserve"> </w:t>
      </w:r>
    </w:p>
    <w:sectPr w:rsidR="00AC201A"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9724" w14:textId="77777777" w:rsidR="003848BE" w:rsidRDefault="003848BE">
      <w:r>
        <w:separator/>
      </w:r>
    </w:p>
  </w:endnote>
  <w:endnote w:type="continuationSeparator" w:id="0">
    <w:p w14:paraId="6FA7CC32" w14:textId="77777777" w:rsidR="003848BE" w:rsidRDefault="0038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C5F07" w14:textId="77777777" w:rsidR="0040512D" w:rsidRDefault="0040512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D8866" w14:textId="77777777" w:rsidR="003848BE" w:rsidRPr="00622A3B" w:rsidRDefault="003848B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0512D">
      <w:rPr>
        <w:noProof/>
        <w:color w:val="505050"/>
      </w:rPr>
      <w:t>5</w:t>
    </w:r>
    <w:r w:rsidRPr="00575AC5">
      <w:rPr>
        <w:color w:val="505050"/>
      </w:rPr>
      <w:fldChar w:fldCharType="end"/>
    </w:r>
  </w:p>
  <w:p w14:paraId="6FB68798" w14:textId="77777777" w:rsidR="003848BE" w:rsidRPr="00A5474E" w:rsidRDefault="003848BE"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5E21" w14:textId="77777777" w:rsidR="003848BE" w:rsidRPr="00A5474E" w:rsidRDefault="003848BE" w:rsidP="00A5474E">
    <w:pPr>
      <w:pStyle w:val="Footer"/>
    </w:pPr>
    <w:r>
      <w:rPr>
        <w:noProof/>
      </w:rPr>
      <w:drawing>
        <wp:inline distT="0" distB="0" distL="0" distR="0" wp14:anchorId="790B9745" wp14:editId="4CB72455">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A76B" w14:textId="77777777" w:rsidR="0040512D" w:rsidRDefault="004051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702E" w14:textId="77777777" w:rsidR="003848BE" w:rsidRDefault="003848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0D0C" w14:textId="77777777" w:rsidR="003848BE" w:rsidRDefault="003848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763C" w14:textId="77777777" w:rsidR="003848BE" w:rsidRPr="00A5474E" w:rsidRDefault="003848BE"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994B" w14:textId="77777777" w:rsidR="003848BE" w:rsidRPr="00A5474E" w:rsidRDefault="003848BE"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1A1F" w14:textId="77777777" w:rsidR="003848BE" w:rsidRPr="00622A3B" w:rsidRDefault="003848BE"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rPr>
      <w:t>a</w:t>
    </w:r>
    <w:r w:rsidRPr="00622A3B">
      <w:rPr>
        <w:rFonts w:cs="Arial"/>
        <w:b/>
        <w:noProof/>
        <w:spacing w:val="-15"/>
        <w:sz w:val="20"/>
      </w:rPr>
      <w:t>c</w:t>
    </w:r>
    <w:r w:rsidRPr="00622A3B">
      <w:rPr>
        <w:rFonts w:cs="Arial"/>
        <w:b/>
        <w:noProof/>
        <w:spacing w:val="-16"/>
        <w:sz w:val="20"/>
      </w:rPr>
      <w:t>m</w:t>
    </w:r>
    <w:r w:rsidRPr="00622A3B">
      <w:rPr>
        <w:rFonts w:cs="Arial"/>
        <w:b/>
        <w:noProof/>
        <w:spacing w:val="-14"/>
        <w:sz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40512D">
      <w:rPr>
        <w:noProof/>
        <w:color w:val="505050"/>
      </w:rPr>
      <w:t>iii</w:t>
    </w:r>
    <w:r w:rsidRPr="002E4DDC">
      <w:rPr>
        <w:color w:val="505050"/>
      </w:rPr>
      <w:fldChar w:fldCharType="end"/>
    </w:r>
  </w:p>
  <w:p w14:paraId="485B1597" w14:textId="77777777" w:rsidR="003848BE" w:rsidRPr="00A5474E" w:rsidRDefault="003848BE"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2EB6" w14:textId="77777777" w:rsidR="003848BE" w:rsidRPr="00622A3B" w:rsidRDefault="003848B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40512D">
      <w:rPr>
        <w:noProof/>
      </w:rPr>
      <w:t>6</w:t>
    </w:r>
    <w:r w:rsidRPr="00575AC5">
      <w:fldChar w:fldCharType="end"/>
    </w:r>
    <w:r w:rsidRPr="0094078F">
      <w:tab/>
    </w:r>
    <w:r w:rsidRPr="00622A3B">
      <w:t>|</w:t>
    </w:r>
    <w:r>
      <w:tab/>
    </w:r>
    <w:r w:rsidRPr="00622A3B">
      <w:rPr>
        <w:b/>
        <w:noProof/>
        <w:spacing w:val="-16"/>
        <w:sz w:val="20"/>
      </w:rPr>
      <w:t>a</w:t>
    </w:r>
    <w:r w:rsidRPr="00622A3B">
      <w:rPr>
        <w:b/>
        <w:noProof/>
        <w:spacing w:val="-15"/>
        <w:sz w:val="20"/>
      </w:rPr>
      <w:t>c</w:t>
    </w:r>
    <w:r w:rsidRPr="00622A3B">
      <w:rPr>
        <w:b/>
        <w:noProof/>
        <w:spacing w:val="-16"/>
        <w:sz w:val="20"/>
      </w:rPr>
      <w:t>m</w:t>
    </w:r>
    <w:r w:rsidRPr="00622A3B">
      <w:rPr>
        <w:b/>
        <w:noProof/>
        <w:spacing w:val="-14"/>
        <w:sz w:val="20"/>
      </w:rPr>
      <w:t>a</w:t>
    </w:r>
  </w:p>
  <w:p w14:paraId="5514C09A" w14:textId="77777777" w:rsidR="003848BE" w:rsidRPr="00A5474E" w:rsidRDefault="003848BE"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3659" w14:textId="77777777" w:rsidR="003848BE" w:rsidRDefault="003848BE">
      <w:r>
        <w:separator/>
      </w:r>
    </w:p>
  </w:footnote>
  <w:footnote w:type="continuationSeparator" w:id="0">
    <w:p w14:paraId="14357278" w14:textId="77777777" w:rsidR="003848BE" w:rsidRDefault="003848BE">
      <w:r>
        <w:continuationSeparator/>
      </w:r>
    </w:p>
  </w:footnote>
  <w:footnote w:id="1">
    <w:p w14:paraId="5639E94F" w14:textId="7BCA2D3E" w:rsidR="000C017A" w:rsidRPr="009436F8" w:rsidRDefault="000C017A" w:rsidP="009436F8">
      <w:pPr>
        <w:pStyle w:val="FootnoteText"/>
        <w:spacing w:after="0" w:line="240" w:lineRule="auto"/>
        <w:rPr>
          <w:rFonts w:cs="Arial"/>
        </w:rPr>
      </w:pPr>
      <w:r w:rsidRPr="009436F8">
        <w:rPr>
          <w:rStyle w:val="FootnoteReference"/>
          <w:rFonts w:cs="Arial"/>
        </w:rPr>
        <w:footnoteRef/>
      </w:r>
      <w:r w:rsidR="009436F8" w:rsidRPr="009436F8">
        <w:rPr>
          <w:rFonts w:cs="Arial"/>
        </w:rPr>
        <w:t xml:space="preserve"> Refer FCC rules Part 15 section </w:t>
      </w:r>
      <w:hyperlink r:id="rId1" w:anchor="se47.1.15_1255" w:history="1">
        <w:r w:rsidR="009436F8" w:rsidRPr="009436F8">
          <w:rPr>
            <w:rStyle w:val="Hyperlink"/>
            <w:rFonts w:cs="Arial"/>
          </w:rPr>
          <w:t>255</w:t>
        </w:r>
        <w:r w:rsidR="00621752" w:rsidRPr="0085452E">
          <w:t>.</w:t>
        </w:r>
        <w:r w:rsidR="009436F8" w:rsidRPr="009436F8">
          <w:rPr>
            <w:rStyle w:val="Hyperlink"/>
            <w:rFonts w:cs="Arial"/>
          </w:rPr>
          <w:t xml:space="preserve"> </w:t>
        </w:r>
      </w:hyperlink>
    </w:p>
  </w:footnote>
  <w:footnote w:id="2">
    <w:p w14:paraId="7BDFDE6A" w14:textId="16369EDC" w:rsidR="007D0DFD" w:rsidRPr="006B70DF" w:rsidRDefault="007D0DFD" w:rsidP="007D0DFD">
      <w:pPr>
        <w:pStyle w:val="FootnoteText"/>
        <w:spacing w:after="0" w:line="240" w:lineRule="auto"/>
      </w:pPr>
      <w:r>
        <w:rPr>
          <w:rStyle w:val="FootnoteReference"/>
        </w:rPr>
        <w:footnoteRef/>
      </w:r>
      <w:r>
        <w:t xml:space="preserve"> Refer I</w:t>
      </w:r>
      <w:r w:rsidRPr="007D0DFD">
        <w:t>SED</w:t>
      </w:r>
      <w:r>
        <w:t xml:space="preserve"> June 2017</w:t>
      </w:r>
      <w:r w:rsidR="008E708F">
        <w:t>,</w:t>
      </w:r>
      <w:r>
        <w:t xml:space="preserve"> </w:t>
      </w:r>
      <w:hyperlink r:id="rId2" w:history="1">
        <w:r w:rsidRPr="00F633C0">
          <w:rPr>
            <w:rStyle w:val="Hyperlink"/>
            <w:rFonts w:cs="Arial"/>
            <w:i/>
            <w:lang w:val="en"/>
          </w:rPr>
          <w:t xml:space="preserve">Consultation on Releasing </w:t>
        </w:r>
        <w:proofErr w:type="spellStart"/>
        <w:r w:rsidRPr="00F633C0">
          <w:rPr>
            <w:rStyle w:val="Hyperlink"/>
            <w:rFonts w:cs="Arial"/>
            <w:i/>
            <w:lang w:val="en"/>
          </w:rPr>
          <w:t>Millimetre</w:t>
        </w:r>
        <w:proofErr w:type="spellEnd"/>
        <w:r w:rsidRPr="00F633C0">
          <w:rPr>
            <w:rStyle w:val="Hyperlink"/>
            <w:rFonts w:cs="Arial"/>
            <w:i/>
            <w:lang w:val="en"/>
          </w:rPr>
          <w:t xml:space="preserve"> Wave Spectrum to Support 5G</w:t>
        </w:r>
      </w:hyperlink>
      <w:r w:rsidRPr="00F633C0">
        <w:rPr>
          <w:rFonts w:cs="Arial"/>
          <w:i/>
          <w:color w:val="333333"/>
          <w:lang w:val="en"/>
        </w:rPr>
        <w:t xml:space="preserve"> and </w:t>
      </w:r>
      <w:hyperlink r:id="rId3" w:history="1">
        <w:r w:rsidRPr="00F633C0">
          <w:rPr>
            <w:rStyle w:val="Hyperlink"/>
            <w:rFonts w:cs="Arial"/>
            <w:i/>
            <w:lang w:val="en"/>
          </w:rPr>
          <w:t>Spectrum Outlook 2018 to 2022</w:t>
        </w:r>
      </w:hyperlink>
      <w:r>
        <w:rPr>
          <w:rFonts w:cs="Arial"/>
          <w:color w:val="333333"/>
          <w:lang w:val="en"/>
        </w:rPr>
        <w:t xml:space="preserve"> June 2018.</w:t>
      </w:r>
    </w:p>
  </w:footnote>
  <w:footnote w:id="3">
    <w:p w14:paraId="02705D09" w14:textId="678648C2" w:rsidR="00C96EBD" w:rsidRDefault="00C96EBD" w:rsidP="00BC5D01">
      <w:pPr>
        <w:pStyle w:val="FootnoteText"/>
        <w:spacing w:after="0" w:line="240" w:lineRule="auto"/>
      </w:pPr>
      <w:r>
        <w:rPr>
          <w:rStyle w:val="FootnoteReference"/>
        </w:rPr>
        <w:footnoteRef/>
      </w:r>
      <w:r>
        <w:t xml:space="preserve"> See </w:t>
      </w:r>
      <w:proofErr w:type="spellStart"/>
      <w:r>
        <w:t>Ofcom</w:t>
      </w:r>
      <w:proofErr w:type="spellEnd"/>
      <w:r>
        <w:t xml:space="preserve"> consultation</w:t>
      </w:r>
      <w:r w:rsidR="008E708F">
        <w:t>,</w:t>
      </w:r>
      <w:r>
        <w:t xml:space="preserve"> </w:t>
      </w:r>
      <w:hyperlink r:id="rId4" w:history="1">
        <w:proofErr w:type="gramStart"/>
        <w:r w:rsidRPr="00F633C0">
          <w:rPr>
            <w:rStyle w:val="Hyperlink"/>
            <w:i/>
          </w:rPr>
          <w:t>Fixed</w:t>
        </w:r>
        <w:proofErr w:type="gramEnd"/>
        <w:r w:rsidRPr="00F633C0">
          <w:rPr>
            <w:rStyle w:val="Hyperlink"/>
            <w:i/>
          </w:rPr>
          <w:t xml:space="preserve"> wireless spectrum strategy: Consultation on proposed next steps to enable future uses of fixed wireless links</w:t>
        </w:r>
      </w:hyperlink>
      <w:r w:rsidR="008E708F">
        <w:t>.</w:t>
      </w:r>
    </w:p>
  </w:footnote>
  <w:footnote w:id="4">
    <w:p w14:paraId="154CE8CC" w14:textId="3BE4D205" w:rsidR="009436F8" w:rsidRDefault="009436F8" w:rsidP="009436F8">
      <w:pPr>
        <w:pStyle w:val="FootnoteText"/>
        <w:spacing w:after="0" w:line="240" w:lineRule="auto"/>
      </w:pPr>
      <w:r w:rsidRPr="006B70DF">
        <w:rPr>
          <w:rStyle w:val="FootnoteReference"/>
        </w:rPr>
        <w:footnoteRef/>
      </w:r>
      <w:r w:rsidRPr="006B70DF">
        <w:t xml:space="preserve"> See</w:t>
      </w:r>
      <w:r w:rsidR="00C62D6C">
        <w:t xml:space="preserve"> </w:t>
      </w:r>
      <w:r w:rsidR="00C62D6C">
        <w:rPr>
          <w:rFonts w:cs="Arial"/>
          <w:szCs w:val="20"/>
        </w:rPr>
        <w:t>R</w:t>
      </w:r>
      <w:r w:rsidR="00C62D6C" w:rsidRPr="00632276">
        <w:rPr>
          <w:rFonts w:cs="Arial"/>
          <w:szCs w:val="20"/>
        </w:rPr>
        <w:t xml:space="preserve">adio spectrum policy </w:t>
      </w:r>
      <w:r w:rsidR="00C62D6C">
        <w:rPr>
          <w:rFonts w:cs="Arial"/>
          <w:szCs w:val="20"/>
        </w:rPr>
        <w:t>group</w:t>
      </w:r>
      <w:r w:rsidR="00C62D6C">
        <w:t xml:space="preserve">, </w:t>
      </w:r>
      <w:r w:rsidR="00C62D6C" w:rsidRPr="00C62D6C">
        <w:t>RSPG Second Opinion on 5G networks (Strategic Spectrum Road Map Towards 5G for Europe</w:t>
      </w:r>
      <w:r w:rsidR="00C62D6C">
        <w:t xml:space="preserve">), January 2018 at </w:t>
      </w:r>
      <w:hyperlink r:id="rId5" w:tgtFrame="_blank" w:history="1">
        <w:r w:rsidR="00C62D6C" w:rsidRPr="00C62D6C">
          <w:rPr>
            <w:rStyle w:val="Hyperlink"/>
            <w:lang w:val="en-US"/>
          </w:rPr>
          <w:t>Document RSPG 18-005</w:t>
        </w:r>
      </w:hyperlink>
      <w:r w:rsidR="008E708F">
        <w:t>.</w:t>
      </w:r>
    </w:p>
  </w:footnote>
  <w:footnote w:id="5">
    <w:p w14:paraId="4760A747" w14:textId="5958F758" w:rsidR="00156298" w:rsidRDefault="00156298" w:rsidP="009436F8">
      <w:pPr>
        <w:pStyle w:val="FootnoteText"/>
        <w:spacing w:after="0" w:line="240" w:lineRule="auto"/>
      </w:pPr>
      <w:r w:rsidRPr="009436F8">
        <w:rPr>
          <w:rStyle w:val="FootnoteReference"/>
          <w:rFonts w:cs="Arial"/>
        </w:rPr>
        <w:footnoteRef/>
      </w:r>
      <w:r w:rsidRPr="009436F8">
        <w:rPr>
          <w:rFonts w:cs="Arial"/>
        </w:rPr>
        <w:t xml:space="preserve"> </w:t>
      </w:r>
      <w:r w:rsidR="008E708F">
        <w:rPr>
          <w:rFonts w:cs="Arial"/>
        </w:rPr>
        <w:t>T</w:t>
      </w:r>
      <w:r w:rsidRPr="009436F8">
        <w:rPr>
          <w:rFonts w:cs="Arial"/>
        </w:rPr>
        <w:t xml:space="preserve">he ACMA’s </w:t>
      </w:r>
      <w:proofErr w:type="spellStart"/>
      <w:r w:rsidRPr="009436F8">
        <w:rPr>
          <w:rFonts w:cs="Arial"/>
        </w:rPr>
        <w:t>Radiocommunications</w:t>
      </w:r>
      <w:proofErr w:type="spellEnd"/>
      <w:r w:rsidRPr="009436F8">
        <w:rPr>
          <w:rFonts w:cs="Arial"/>
        </w:rPr>
        <w:t xml:space="preserve"> (Short Range Devices) Standard 2014 references the Standards Australia industry standard AS/NZS 4268 (as in force or existing from time to time). Typically, Standards Australia updates</w:t>
      </w:r>
      <w:r w:rsidRPr="00156298">
        <w:t xml:space="preserve"> </w:t>
      </w:r>
      <w:r w:rsidR="00994978">
        <w:t xml:space="preserve">the </w:t>
      </w:r>
      <w:r w:rsidRPr="00156298">
        <w:t>AS/NZS 4268 after the</w:t>
      </w:r>
      <w:r w:rsidR="008E4E62">
        <w:t xml:space="preserve"> ACMA </w:t>
      </w:r>
      <w:r w:rsidRPr="00156298">
        <w:t>mak</w:t>
      </w:r>
      <w:r w:rsidR="008E708F">
        <w:t>es</w:t>
      </w:r>
      <w:r w:rsidRPr="00156298">
        <w:t xml:space="preserve"> </w:t>
      </w:r>
      <w:r w:rsidR="008E4E62">
        <w:t>a v</w:t>
      </w:r>
      <w:r w:rsidRPr="00156298">
        <w:t>ariation to the LIPD Class Licence as a part of regular procedural review</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7D7C" w14:textId="77777777" w:rsidR="0040512D" w:rsidRDefault="00405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9028C" w14:textId="77777777" w:rsidR="003848BE" w:rsidRPr="00A5474E" w:rsidRDefault="003848BE" w:rsidP="00A5474E">
    <w:pPr>
      <w:pStyle w:val="Header"/>
    </w:pPr>
    <w:r>
      <w:rPr>
        <w:noProof/>
      </w:rPr>
      <w:drawing>
        <wp:inline distT="0" distB="0" distL="0" distR="0" wp14:anchorId="46E7D0E4" wp14:editId="4645A65A">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28DB" w14:textId="77777777" w:rsidR="003848BE" w:rsidRPr="00A5474E" w:rsidRDefault="003848BE"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1C4E" w14:textId="77777777" w:rsidR="003848BE" w:rsidRDefault="003848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C80E" w14:textId="77777777" w:rsidR="003848BE" w:rsidRDefault="003848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71A6" w14:textId="77777777" w:rsidR="003848BE" w:rsidRPr="00A5474E" w:rsidRDefault="003848BE"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F1A0" w14:textId="77777777" w:rsidR="003848BE" w:rsidRPr="00A5474E" w:rsidRDefault="003848BE"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3CC7" w14:textId="77777777" w:rsidR="003848BE" w:rsidRDefault="003848B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F01C" w14:textId="77777777" w:rsidR="003848BE" w:rsidRDefault="00384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75pt;height:32.25pt;visibility:visible;mso-wrap-style:square" o:bullet="t">
        <v:imagedata r:id="rId1" o:title="" croptop="15915f" cropbottom="20445f" cropleft="21717f" cropright="21898f"/>
      </v:shape>
    </w:pict>
  </w:numPicBullet>
  <w:abstractNum w:abstractNumId="0">
    <w:nsid w:val="FFFFFF1D"/>
    <w:multiLevelType w:val="multilevel"/>
    <w:tmpl w:val="18306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2568BA8"/>
    <w:lvl w:ilvl="0">
      <w:start w:val="1"/>
      <w:numFmt w:val="decimal"/>
      <w:lvlText w:val="%1."/>
      <w:lvlJc w:val="left"/>
      <w:pPr>
        <w:tabs>
          <w:tab w:val="num" w:pos="1492"/>
        </w:tabs>
        <w:ind w:left="1492" w:hanging="360"/>
      </w:pPr>
    </w:lvl>
  </w:abstractNum>
  <w:abstractNum w:abstractNumId="2">
    <w:nsid w:val="FFFFFF7D"/>
    <w:multiLevelType w:val="singleLevel"/>
    <w:tmpl w:val="EFE489D2"/>
    <w:lvl w:ilvl="0">
      <w:start w:val="1"/>
      <w:numFmt w:val="decimal"/>
      <w:lvlText w:val="%1."/>
      <w:lvlJc w:val="left"/>
      <w:pPr>
        <w:tabs>
          <w:tab w:val="num" w:pos="1209"/>
        </w:tabs>
        <w:ind w:left="1209" w:hanging="360"/>
      </w:pPr>
    </w:lvl>
  </w:abstractNum>
  <w:abstractNum w:abstractNumId="3">
    <w:nsid w:val="FFFFFF7E"/>
    <w:multiLevelType w:val="singleLevel"/>
    <w:tmpl w:val="4D1460AA"/>
    <w:lvl w:ilvl="0">
      <w:start w:val="1"/>
      <w:numFmt w:val="decimal"/>
      <w:lvlText w:val="%1."/>
      <w:lvlJc w:val="left"/>
      <w:pPr>
        <w:tabs>
          <w:tab w:val="num" w:pos="926"/>
        </w:tabs>
        <w:ind w:left="926" w:hanging="360"/>
      </w:pPr>
    </w:lvl>
  </w:abstractNum>
  <w:abstractNum w:abstractNumId="4">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nsid w:val="FFFFFF80"/>
    <w:multiLevelType w:val="singleLevel"/>
    <w:tmpl w:val="E49269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E0AAD6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E4A1B4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1A626DE"/>
    <w:multiLevelType w:val="hybridMultilevel"/>
    <w:tmpl w:val="892A9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DF6DF1"/>
    <w:multiLevelType w:val="hybridMultilevel"/>
    <w:tmpl w:val="37DC5F8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425A80"/>
    <w:multiLevelType w:val="hybridMultilevel"/>
    <w:tmpl w:val="55421C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8084F"/>
    <w:multiLevelType w:val="multilevel"/>
    <w:tmpl w:val="C8004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2"/>
  </w:num>
  <w:num w:numId="12">
    <w:abstractNumId w:val="22"/>
  </w:num>
  <w:num w:numId="13">
    <w:abstractNumId w:val="29"/>
  </w:num>
  <w:num w:numId="14">
    <w:abstractNumId w:val="18"/>
  </w:num>
  <w:num w:numId="15">
    <w:abstractNumId w:val="20"/>
  </w:num>
  <w:num w:numId="16">
    <w:abstractNumId w:val="48"/>
  </w:num>
  <w:num w:numId="17">
    <w:abstractNumId w:val="44"/>
  </w:num>
  <w:num w:numId="18">
    <w:abstractNumId w:val="33"/>
  </w:num>
  <w:num w:numId="19">
    <w:abstractNumId w:val="12"/>
  </w:num>
  <w:num w:numId="20">
    <w:abstractNumId w:val="0"/>
  </w:num>
  <w:num w:numId="21">
    <w:abstractNumId w:val="14"/>
  </w:num>
  <w:num w:numId="22">
    <w:abstractNumId w:val="26"/>
  </w:num>
  <w:num w:numId="23">
    <w:abstractNumId w:val="21"/>
  </w:num>
  <w:num w:numId="24">
    <w:abstractNumId w:val="37"/>
  </w:num>
  <w:num w:numId="25">
    <w:abstractNumId w:val="46"/>
  </w:num>
  <w:num w:numId="26">
    <w:abstractNumId w:val="32"/>
  </w:num>
  <w:num w:numId="27">
    <w:abstractNumId w:val="34"/>
  </w:num>
  <w:num w:numId="28">
    <w:abstractNumId w:val="31"/>
  </w:num>
  <w:num w:numId="29">
    <w:abstractNumId w:val="19"/>
  </w:num>
  <w:num w:numId="30">
    <w:abstractNumId w:val="25"/>
  </w:num>
  <w:num w:numId="31">
    <w:abstractNumId w:val="35"/>
  </w:num>
  <w:num w:numId="32">
    <w:abstractNumId w:val="47"/>
  </w:num>
  <w:num w:numId="33">
    <w:abstractNumId w:val="27"/>
  </w:num>
  <w:num w:numId="34">
    <w:abstractNumId w:val="40"/>
  </w:num>
  <w:num w:numId="35">
    <w:abstractNumId w:val="17"/>
  </w:num>
  <w:num w:numId="36">
    <w:abstractNumId w:val="13"/>
  </w:num>
  <w:num w:numId="37">
    <w:abstractNumId w:val="15"/>
  </w:num>
  <w:num w:numId="38">
    <w:abstractNumId w:val="41"/>
  </w:num>
  <w:num w:numId="39">
    <w:abstractNumId w:val="28"/>
  </w:num>
  <w:num w:numId="40">
    <w:abstractNumId w:val="36"/>
  </w:num>
  <w:num w:numId="41">
    <w:abstractNumId w:val="43"/>
  </w:num>
  <w:num w:numId="42">
    <w:abstractNumId w:val="45"/>
  </w:num>
  <w:num w:numId="43">
    <w:abstractNumId w:val="3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23"/>
  </w:num>
  <w:num w:numId="48">
    <w:abstractNumId w:val="10"/>
  </w:num>
  <w:num w:numId="49">
    <w:abstractNumId w:val="3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06977"/>
    <w:rsid w:val="00010667"/>
    <w:rsid w:val="000129D5"/>
    <w:rsid w:val="0001507F"/>
    <w:rsid w:val="00015AE7"/>
    <w:rsid w:val="00016E21"/>
    <w:rsid w:val="0001719C"/>
    <w:rsid w:val="000216D5"/>
    <w:rsid w:val="000225E0"/>
    <w:rsid w:val="00022D91"/>
    <w:rsid w:val="00023CBF"/>
    <w:rsid w:val="00026F91"/>
    <w:rsid w:val="00035210"/>
    <w:rsid w:val="000471D8"/>
    <w:rsid w:val="0005011A"/>
    <w:rsid w:val="0005045A"/>
    <w:rsid w:val="00051C1E"/>
    <w:rsid w:val="000539F9"/>
    <w:rsid w:val="00054C27"/>
    <w:rsid w:val="00055EC3"/>
    <w:rsid w:val="000563CE"/>
    <w:rsid w:val="000659B6"/>
    <w:rsid w:val="0006722A"/>
    <w:rsid w:val="000732CF"/>
    <w:rsid w:val="00075B96"/>
    <w:rsid w:val="000776DE"/>
    <w:rsid w:val="0008196A"/>
    <w:rsid w:val="000825ED"/>
    <w:rsid w:val="000864FC"/>
    <w:rsid w:val="00090581"/>
    <w:rsid w:val="000915ED"/>
    <w:rsid w:val="0009209D"/>
    <w:rsid w:val="00093E42"/>
    <w:rsid w:val="000969BD"/>
    <w:rsid w:val="000969BF"/>
    <w:rsid w:val="000A0C22"/>
    <w:rsid w:val="000A2957"/>
    <w:rsid w:val="000A3C43"/>
    <w:rsid w:val="000A4A51"/>
    <w:rsid w:val="000A5D2B"/>
    <w:rsid w:val="000B2E4B"/>
    <w:rsid w:val="000B5DE3"/>
    <w:rsid w:val="000C017A"/>
    <w:rsid w:val="000C0A57"/>
    <w:rsid w:val="000C230C"/>
    <w:rsid w:val="000D0A57"/>
    <w:rsid w:val="000D49C1"/>
    <w:rsid w:val="000D71D9"/>
    <w:rsid w:val="000D74AA"/>
    <w:rsid w:val="000D76E0"/>
    <w:rsid w:val="000D7E8B"/>
    <w:rsid w:val="000E2309"/>
    <w:rsid w:val="000E4449"/>
    <w:rsid w:val="000E6097"/>
    <w:rsid w:val="000F1D7E"/>
    <w:rsid w:val="000F3C36"/>
    <w:rsid w:val="000F6939"/>
    <w:rsid w:val="00103829"/>
    <w:rsid w:val="00111FCE"/>
    <w:rsid w:val="0012234E"/>
    <w:rsid w:val="001229A5"/>
    <w:rsid w:val="0012347C"/>
    <w:rsid w:val="0012489B"/>
    <w:rsid w:val="00125E0A"/>
    <w:rsid w:val="001264DB"/>
    <w:rsid w:val="00127F1D"/>
    <w:rsid w:val="00130017"/>
    <w:rsid w:val="00130F91"/>
    <w:rsid w:val="00135770"/>
    <w:rsid w:val="00137424"/>
    <w:rsid w:val="00140318"/>
    <w:rsid w:val="00141AD9"/>
    <w:rsid w:val="001461C7"/>
    <w:rsid w:val="00146925"/>
    <w:rsid w:val="00146CE6"/>
    <w:rsid w:val="0014785C"/>
    <w:rsid w:val="00152903"/>
    <w:rsid w:val="0015614F"/>
    <w:rsid w:val="00156298"/>
    <w:rsid w:val="001577C2"/>
    <w:rsid w:val="001633C4"/>
    <w:rsid w:val="00166B03"/>
    <w:rsid w:val="00171591"/>
    <w:rsid w:val="00173981"/>
    <w:rsid w:val="0017719D"/>
    <w:rsid w:val="001823E2"/>
    <w:rsid w:val="00185CAB"/>
    <w:rsid w:val="001871C1"/>
    <w:rsid w:val="001875B7"/>
    <w:rsid w:val="00187CB3"/>
    <w:rsid w:val="0019050A"/>
    <w:rsid w:val="001910D4"/>
    <w:rsid w:val="001976E3"/>
    <w:rsid w:val="001A3C34"/>
    <w:rsid w:val="001A44EC"/>
    <w:rsid w:val="001B58AA"/>
    <w:rsid w:val="001B5C04"/>
    <w:rsid w:val="001B7E48"/>
    <w:rsid w:val="001C17CE"/>
    <w:rsid w:val="001C36CA"/>
    <w:rsid w:val="001C44D1"/>
    <w:rsid w:val="001C6AEE"/>
    <w:rsid w:val="001C7630"/>
    <w:rsid w:val="001C7FC6"/>
    <w:rsid w:val="001D55A6"/>
    <w:rsid w:val="001D5DEB"/>
    <w:rsid w:val="001D6D15"/>
    <w:rsid w:val="001E0406"/>
    <w:rsid w:val="001E2775"/>
    <w:rsid w:val="001F7558"/>
    <w:rsid w:val="001F7C96"/>
    <w:rsid w:val="0020033C"/>
    <w:rsid w:val="002006FB"/>
    <w:rsid w:val="00205B57"/>
    <w:rsid w:val="00207F00"/>
    <w:rsid w:val="00214709"/>
    <w:rsid w:val="00214A25"/>
    <w:rsid w:val="002157E0"/>
    <w:rsid w:val="00215ADC"/>
    <w:rsid w:val="00216A57"/>
    <w:rsid w:val="0021781F"/>
    <w:rsid w:val="0022334F"/>
    <w:rsid w:val="00226819"/>
    <w:rsid w:val="00233101"/>
    <w:rsid w:val="00233817"/>
    <w:rsid w:val="002367FF"/>
    <w:rsid w:val="002373AA"/>
    <w:rsid w:val="00240CE9"/>
    <w:rsid w:val="002434BA"/>
    <w:rsid w:val="00246089"/>
    <w:rsid w:val="00246093"/>
    <w:rsid w:val="00246702"/>
    <w:rsid w:val="00247C59"/>
    <w:rsid w:val="00247F2E"/>
    <w:rsid w:val="00250ADC"/>
    <w:rsid w:val="00250B07"/>
    <w:rsid w:val="0025532A"/>
    <w:rsid w:val="00257553"/>
    <w:rsid w:val="00260FB2"/>
    <w:rsid w:val="00262128"/>
    <w:rsid w:val="00262448"/>
    <w:rsid w:val="00270567"/>
    <w:rsid w:val="0027165D"/>
    <w:rsid w:val="00273CEB"/>
    <w:rsid w:val="00275B3E"/>
    <w:rsid w:val="00277E16"/>
    <w:rsid w:val="002801E9"/>
    <w:rsid w:val="00281C89"/>
    <w:rsid w:val="0028282F"/>
    <w:rsid w:val="00283B80"/>
    <w:rsid w:val="002916A6"/>
    <w:rsid w:val="00293426"/>
    <w:rsid w:val="0029593B"/>
    <w:rsid w:val="00297FC5"/>
    <w:rsid w:val="002A0417"/>
    <w:rsid w:val="002A16D8"/>
    <w:rsid w:val="002A1BC8"/>
    <w:rsid w:val="002A3EF2"/>
    <w:rsid w:val="002B0DED"/>
    <w:rsid w:val="002B19A2"/>
    <w:rsid w:val="002B381A"/>
    <w:rsid w:val="002B4FCC"/>
    <w:rsid w:val="002B5590"/>
    <w:rsid w:val="002B7408"/>
    <w:rsid w:val="002B7CFD"/>
    <w:rsid w:val="002B7FAB"/>
    <w:rsid w:val="002C210F"/>
    <w:rsid w:val="002C61C0"/>
    <w:rsid w:val="002C6AE5"/>
    <w:rsid w:val="002D3600"/>
    <w:rsid w:val="002E4A82"/>
    <w:rsid w:val="002E4DDC"/>
    <w:rsid w:val="002E7114"/>
    <w:rsid w:val="002E751B"/>
    <w:rsid w:val="002F1BBE"/>
    <w:rsid w:val="00302480"/>
    <w:rsid w:val="0031402D"/>
    <w:rsid w:val="003165E6"/>
    <w:rsid w:val="003221CF"/>
    <w:rsid w:val="003233ED"/>
    <w:rsid w:val="00324D9F"/>
    <w:rsid w:val="00326DFA"/>
    <w:rsid w:val="00327948"/>
    <w:rsid w:val="0033000F"/>
    <w:rsid w:val="00332011"/>
    <w:rsid w:val="00332518"/>
    <w:rsid w:val="00332925"/>
    <w:rsid w:val="003332ED"/>
    <w:rsid w:val="00335348"/>
    <w:rsid w:val="003368DC"/>
    <w:rsid w:val="00343A1F"/>
    <w:rsid w:val="003458E1"/>
    <w:rsid w:val="00345927"/>
    <w:rsid w:val="00346950"/>
    <w:rsid w:val="003469F6"/>
    <w:rsid w:val="00346CAC"/>
    <w:rsid w:val="00350584"/>
    <w:rsid w:val="00351857"/>
    <w:rsid w:val="00357213"/>
    <w:rsid w:val="003610E1"/>
    <w:rsid w:val="00365695"/>
    <w:rsid w:val="003671BE"/>
    <w:rsid w:val="00372227"/>
    <w:rsid w:val="00372485"/>
    <w:rsid w:val="00373200"/>
    <w:rsid w:val="00375391"/>
    <w:rsid w:val="00375EF5"/>
    <w:rsid w:val="003767A5"/>
    <w:rsid w:val="00376F49"/>
    <w:rsid w:val="003805E5"/>
    <w:rsid w:val="003846A2"/>
    <w:rsid w:val="003848BE"/>
    <w:rsid w:val="00385254"/>
    <w:rsid w:val="0039578F"/>
    <w:rsid w:val="0039658B"/>
    <w:rsid w:val="003A1729"/>
    <w:rsid w:val="003A1A4B"/>
    <w:rsid w:val="003A1FE7"/>
    <w:rsid w:val="003A5142"/>
    <w:rsid w:val="003A5F5B"/>
    <w:rsid w:val="003A789A"/>
    <w:rsid w:val="003B12EC"/>
    <w:rsid w:val="003B1619"/>
    <w:rsid w:val="003B5AF5"/>
    <w:rsid w:val="003C05E5"/>
    <w:rsid w:val="003C77E0"/>
    <w:rsid w:val="003D17D7"/>
    <w:rsid w:val="003D2678"/>
    <w:rsid w:val="003D57EA"/>
    <w:rsid w:val="003D71A3"/>
    <w:rsid w:val="003E2B8A"/>
    <w:rsid w:val="003F10EE"/>
    <w:rsid w:val="003F16F6"/>
    <w:rsid w:val="003F4DC7"/>
    <w:rsid w:val="003F5235"/>
    <w:rsid w:val="004027E4"/>
    <w:rsid w:val="0040454A"/>
    <w:rsid w:val="0040512D"/>
    <w:rsid w:val="0041071D"/>
    <w:rsid w:val="004135BC"/>
    <w:rsid w:val="00414AFC"/>
    <w:rsid w:val="004151A7"/>
    <w:rsid w:val="00415310"/>
    <w:rsid w:val="00421709"/>
    <w:rsid w:val="00423763"/>
    <w:rsid w:val="0042762F"/>
    <w:rsid w:val="00427DC7"/>
    <w:rsid w:val="00431613"/>
    <w:rsid w:val="00431792"/>
    <w:rsid w:val="0043297A"/>
    <w:rsid w:val="00432EB2"/>
    <w:rsid w:val="0043433F"/>
    <w:rsid w:val="00436573"/>
    <w:rsid w:val="0043714F"/>
    <w:rsid w:val="004438B5"/>
    <w:rsid w:val="00447037"/>
    <w:rsid w:val="0045124D"/>
    <w:rsid w:val="00454596"/>
    <w:rsid w:val="0045605D"/>
    <w:rsid w:val="0046135B"/>
    <w:rsid w:val="00462284"/>
    <w:rsid w:val="00462B62"/>
    <w:rsid w:val="00463158"/>
    <w:rsid w:val="004718CC"/>
    <w:rsid w:val="004730BE"/>
    <w:rsid w:val="00474A2D"/>
    <w:rsid w:val="0048011D"/>
    <w:rsid w:val="00481695"/>
    <w:rsid w:val="004817A0"/>
    <w:rsid w:val="00484255"/>
    <w:rsid w:val="00484E45"/>
    <w:rsid w:val="00487384"/>
    <w:rsid w:val="00492413"/>
    <w:rsid w:val="00495A96"/>
    <w:rsid w:val="004A56BB"/>
    <w:rsid w:val="004A570E"/>
    <w:rsid w:val="004B1751"/>
    <w:rsid w:val="004B2416"/>
    <w:rsid w:val="004B4FDE"/>
    <w:rsid w:val="004C0253"/>
    <w:rsid w:val="004C0C48"/>
    <w:rsid w:val="004C116C"/>
    <w:rsid w:val="004D459C"/>
    <w:rsid w:val="004D5168"/>
    <w:rsid w:val="004D56FF"/>
    <w:rsid w:val="004E39D3"/>
    <w:rsid w:val="004E3FB5"/>
    <w:rsid w:val="004E508A"/>
    <w:rsid w:val="004E616D"/>
    <w:rsid w:val="004F1948"/>
    <w:rsid w:val="004F1BDE"/>
    <w:rsid w:val="004F2CEE"/>
    <w:rsid w:val="004F556E"/>
    <w:rsid w:val="004F7F44"/>
    <w:rsid w:val="005011B5"/>
    <w:rsid w:val="005037B4"/>
    <w:rsid w:val="005057D2"/>
    <w:rsid w:val="005079BF"/>
    <w:rsid w:val="005173BC"/>
    <w:rsid w:val="005219E7"/>
    <w:rsid w:val="00524C38"/>
    <w:rsid w:val="00531B9A"/>
    <w:rsid w:val="00531D15"/>
    <w:rsid w:val="00537604"/>
    <w:rsid w:val="0054012F"/>
    <w:rsid w:val="00542377"/>
    <w:rsid w:val="005452D0"/>
    <w:rsid w:val="00551782"/>
    <w:rsid w:val="00563EF1"/>
    <w:rsid w:val="00566AB4"/>
    <w:rsid w:val="005728C4"/>
    <w:rsid w:val="00575AC5"/>
    <w:rsid w:val="0057605D"/>
    <w:rsid w:val="005766DB"/>
    <w:rsid w:val="00581347"/>
    <w:rsid w:val="00581AC9"/>
    <w:rsid w:val="005840BC"/>
    <w:rsid w:val="005849F8"/>
    <w:rsid w:val="005938DF"/>
    <w:rsid w:val="00594E9C"/>
    <w:rsid w:val="005950CE"/>
    <w:rsid w:val="005A099B"/>
    <w:rsid w:val="005A2D9C"/>
    <w:rsid w:val="005A3210"/>
    <w:rsid w:val="005A55FE"/>
    <w:rsid w:val="005A6A11"/>
    <w:rsid w:val="005B0965"/>
    <w:rsid w:val="005B38EC"/>
    <w:rsid w:val="005B4F02"/>
    <w:rsid w:val="005B549A"/>
    <w:rsid w:val="005B687E"/>
    <w:rsid w:val="005C14CA"/>
    <w:rsid w:val="005C38FE"/>
    <w:rsid w:val="005C7B6C"/>
    <w:rsid w:val="005D2502"/>
    <w:rsid w:val="005D2C83"/>
    <w:rsid w:val="005D47F3"/>
    <w:rsid w:val="005D49BF"/>
    <w:rsid w:val="005D59FB"/>
    <w:rsid w:val="005D6F4E"/>
    <w:rsid w:val="005D7046"/>
    <w:rsid w:val="005E3ACD"/>
    <w:rsid w:val="005E712C"/>
    <w:rsid w:val="005E7226"/>
    <w:rsid w:val="005E7A57"/>
    <w:rsid w:val="005F24B0"/>
    <w:rsid w:val="00604315"/>
    <w:rsid w:val="00604E26"/>
    <w:rsid w:val="006052CF"/>
    <w:rsid w:val="00607B8D"/>
    <w:rsid w:val="00611F5C"/>
    <w:rsid w:val="00611F75"/>
    <w:rsid w:val="00616E09"/>
    <w:rsid w:val="00621752"/>
    <w:rsid w:val="00622A3B"/>
    <w:rsid w:val="0062396C"/>
    <w:rsid w:val="00623E8F"/>
    <w:rsid w:val="00623FF9"/>
    <w:rsid w:val="00627D4E"/>
    <w:rsid w:val="006315A5"/>
    <w:rsid w:val="00634478"/>
    <w:rsid w:val="00634EE5"/>
    <w:rsid w:val="00644373"/>
    <w:rsid w:val="00645915"/>
    <w:rsid w:val="0064787F"/>
    <w:rsid w:val="006519C3"/>
    <w:rsid w:val="00652B30"/>
    <w:rsid w:val="00653440"/>
    <w:rsid w:val="00656345"/>
    <w:rsid w:val="00656DC6"/>
    <w:rsid w:val="00663732"/>
    <w:rsid w:val="00664110"/>
    <w:rsid w:val="00664D17"/>
    <w:rsid w:val="00666520"/>
    <w:rsid w:val="00667C5B"/>
    <w:rsid w:val="00691C47"/>
    <w:rsid w:val="00692CDE"/>
    <w:rsid w:val="00693073"/>
    <w:rsid w:val="006977FF"/>
    <w:rsid w:val="006A01FA"/>
    <w:rsid w:val="006A0E9E"/>
    <w:rsid w:val="006A25C7"/>
    <w:rsid w:val="006A4AAD"/>
    <w:rsid w:val="006A6C30"/>
    <w:rsid w:val="006A6DA2"/>
    <w:rsid w:val="006A7AB2"/>
    <w:rsid w:val="006B4669"/>
    <w:rsid w:val="006B5717"/>
    <w:rsid w:val="006B582F"/>
    <w:rsid w:val="006B70DF"/>
    <w:rsid w:val="006C0CEB"/>
    <w:rsid w:val="006C3B1E"/>
    <w:rsid w:val="006C47FD"/>
    <w:rsid w:val="006C5544"/>
    <w:rsid w:val="006C70A0"/>
    <w:rsid w:val="006D27CB"/>
    <w:rsid w:val="006D2F08"/>
    <w:rsid w:val="006D446A"/>
    <w:rsid w:val="006D576C"/>
    <w:rsid w:val="006D5865"/>
    <w:rsid w:val="006E10E8"/>
    <w:rsid w:val="006E1685"/>
    <w:rsid w:val="006E1B5E"/>
    <w:rsid w:val="006E333C"/>
    <w:rsid w:val="006E4B1B"/>
    <w:rsid w:val="006E5445"/>
    <w:rsid w:val="006E7D93"/>
    <w:rsid w:val="006F7E5C"/>
    <w:rsid w:val="007029A3"/>
    <w:rsid w:val="00702E98"/>
    <w:rsid w:val="00706E4E"/>
    <w:rsid w:val="0070791C"/>
    <w:rsid w:val="007105EB"/>
    <w:rsid w:val="007115F9"/>
    <w:rsid w:val="0071383C"/>
    <w:rsid w:val="007141A7"/>
    <w:rsid w:val="00717204"/>
    <w:rsid w:val="00721B55"/>
    <w:rsid w:val="00725EAE"/>
    <w:rsid w:val="00726CE4"/>
    <w:rsid w:val="007319EE"/>
    <w:rsid w:val="007326D7"/>
    <w:rsid w:val="00734143"/>
    <w:rsid w:val="00734F84"/>
    <w:rsid w:val="00737E47"/>
    <w:rsid w:val="00740EAC"/>
    <w:rsid w:val="00743B7B"/>
    <w:rsid w:val="00744956"/>
    <w:rsid w:val="00745A5C"/>
    <w:rsid w:val="0074605F"/>
    <w:rsid w:val="00747E94"/>
    <w:rsid w:val="00752F5C"/>
    <w:rsid w:val="007534BD"/>
    <w:rsid w:val="007561AC"/>
    <w:rsid w:val="00766749"/>
    <w:rsid w:val="00767C1B"/>
    <w:rsid w:val="007714A9"/>
    <w:rsid w:val="00774636"/>
    <w:rsid w:val="00774CE1"/>
    <w:rsid w:val="00774F88"/>
    <w:rsid w:val="00774FDB"/>
    <w:rsid w:val="00777BA2"/>
    <w:rsid w:val="00781408"/>
    <w:rsid w:val="00784046"/>
    <w:rsid w:val="00784F7F"/>
    <w:rsid w:val="00791A84"/>
    <w:rsid w:val="00796F25"/>
    <w:rsid w:val="007A1F34"/>
    <w:rsid w:val="007A2E98"/>
    <w:rsid w:val="007A3BA3"/>
    <w:rsid w:val="007A6CC0"/>
    <w:rsid w:val="007A787E"/>
    <w:rsid w:val="007B1499"/>
    <w:rsid w:val="007B1BBF"/>
    <w:rsid w:val="007B2960"/>
    <w:rsid w:val="007B355D"/>
    <w:rsid w:val="007B5928"/>
    <w:rsid w:val="007B6D4D"/>
    <w:rsid w:val="007B706B"/>
    <w:rsid w:val="007B7980"/>
    <w:rsid w:val="007C0526"/>
    <w:rsid w:val="007C29FF"/>
    <w:rsid w:val="007C39AA"/>
    <w:rsid w:val="007C46E7"/>
    <w:rsid w:val="007C5D5A"/>
    <w:rsid w:val="007C607F"/>
    <w:rsid w:val="007C79DD"/>
    <w:rsid w:val="007D0DFD"/>
    <w:rsid w:val="007D1A97"/>
    <w:rsid w:val="007D2CD6"/>
    <w:rsid w:val="007D3063"/>
    <w:rsid w:val="007D3CEB"/>
    <w:rsid w:val="007D49F7"/>
    <w:rsid w:val="007D7A34"/>
    <w:rsid w:val="007E37F7"/>
    <w:rsid w:val="007E6F8B"/>
    <w:rsid w:val="007E7683"/>
    <w:rsid w:val="007F2D6E"/>
    <w:rsid w:val="007F49FA"/>
    <w:rsid w:val="007F54C4"/>
    <w:rsid w:val="007F6E9A"/>
    <w:rsid w:val="008044D4"/>
    <w:rsid w:val="00810AB4"/>
    <w:rsid w:val="00816FB2"/>
    <w:rsid w:val="00817B56"/>
    <w:rsid w:val="00821A88"/>
    <w:rsid w:val="0082495D"/>
    <w:rsid w:val="00831AC3"/>
    <w:rsid w:val="00836AB6"/>
    <w:rsid w:val="00851F3F"/>
    <w:rsid w:val="0085452E"/>
    <w:rsid w:val="00856EDC"/>
    <w:rsid w:val="00857041"/>
    <w:rsid w:val="008607DA"/>
    <w:rsid w:val="008623B5"/>
    <w:rsid w:val="00865A33"/>
    <w:rsid w:val="00870ABA"/>
    <w:rsid w:val="008710E1"/>
    <w:rsid w:val="008716E5"/>
    <w:rsid w:val="008732AE"/>
    <w:rsid w:val="00881CA9"/>
    <w:rsid w:val="00883628"/>
    <w:rsid w:val="00885544"/>
    <w:rsid w:val="0088634E"/>
    <w:rsid w:val="00893AB8"/>
    <w:rsid w:val="00894DF8"/>
    <w:rsid w:val="008A04C8"/>
    <w:rsid w:val="008A0C6C"/>
    <w:rsid w:val="008A0DAF"/>
    <w:rsid w:val="008A6913"/>
    <w:rsid w:val="008A7D84"/>
    <w:rsid w:val="008B65B3"/>
    <w:rsid w:val="008B70F3"/>
    <w:rsid w:val="008B76DF"/>
    <w:rsid w:val="008C10F4"/>
    <w:rsid w:val="008C20F0"/>
    <w:rsid w:val="008C5AA7"/>
    <w:rsid w:val="008D3580"/>
    <w:rsid w:val="008E4767"/>
    <w:rsid w:val="008E4E62"/>
    <w:rsid w:val="008E708F"/>
    <w:rsid w:val="008E7304"/>
    <w:rsid w:val="008E7A8C"/>
    <w:rsid w:val="008F7FD3"/>
    <w:rsid w:val="00903285"/>
    <w:rsid w:val="00903BED"/>
    <w:rsid w:val="00906A10"/>
    <w:rsid w:val="00906F40"/>
    <w:rsid w:val="0090731E"/>
    <w:rsid w:val="00907F99"/>
    <w:rsid w:val="00910B71"/>
    <w:rsid w:val="00915B1C"/>
    <w:rsid w:val="00915C87"/>
    <w:rsid w:val="00916E6D"/>
    <w:rsid w:val="009174F3"/>
    <w:rsid w:val="0091797D"/>
    <w:rsid w:val="009204CB"/>
    <w:rsid w:val="009223ED"/>
    <w:rsid w:val="00923CBA"/>
    <w:rsid w:val="00926703"/>
    <w:rsid w:val="00927691"/>
    <w:rsid w:val="00927A5F"/>
    <w:rsid w:val="00935B63"/>
    <w:rsid w:val="0094078F"/>
    <w:rsid w:val="00940FA3"/>
    <w:rsid w:val="00941FB0"/>
    <w:rsid w:val="009426D4"/>
    <w:rsid w:val="009436F8"/>
    <w:rsid w:val="009442B9"/>
    <w:rsid w:val="00947F25"/>
    <w:rsid w:val="00950159"/>
    <w:rsid w:val="00951C14"/>
    <w:rsid w:val="00953D00"/>
    <w:rsid w:val="0095490B"/>
    <w:rsid w:val="00960976"/>
    <w:rsid w:val="009610F4"/>
    <w:rsid w:val="00965A1E"/>
    <w:rsid w:val="0097030B"/>
    <w:rsid w:val="00974363"/>
    <w:rsid w:val="00974ED6"/>
    <w:rsid w:val="00980FE8"/>
    <w:rsid w:val="00981898"/>
    <w:rsid w:val="00987D74"/>
    <w:rsid w:val="00994978"/>
    <w:rsid w:val="0099527A"/>
    <w:rsid w:val="0099577C"/>
    <w:rsid w:val="009A24C2"/>
    <w:rsid w:val="009B4E9E"/>
    <w:rsid w:val="009B7026"/>
    <w:rsid w:val="009C1690"/>
    <w:rsid w:val="009C2DDB"/>
    <w:rsid w:val="009C4F3E"/>
    <w:rsid w:val="009C668C"/>
    <w:rsid w:val="009C6881"/>
    <w:rsid w:val="009C7759"/>
    <w:rsid w:val="009D043D"/>
    <w:rsid w:val="009D2864"/>
    <w:rsid w:val="009D6C71"/>
    <w:rsid w:val="009E0631"/>
    <w:rsid w:val="009E16D0"/>
    <w:rsid w:val="009E38FD"/>
    <w:rsid w:val="009F13D6"/>
    <w:rsid w:val="009F4C6B"/>
    <w:rsid w:val="009F4DEC"/>
    <w:rsid w:val="009F7807"/>
    <w:rsid w:val="009F78A8"/>
    <w:rsid w:val="00A02AD6"/>
    <w:rsid w:val="00A07096"/>
    <w:rsid w:val="00A07318"/>
    <w:rsid w:val="00A11370"/>
    <w:rsid w:val="00A224CE"/>
    <w:rsid w:val="00A22522"/>
    <w:rsid w:val="00A24AFD"/>
    <w:rsid w:val="00A24F5C"/>
    <w:rsid w:val="00A26656"/>
    <w:rsid w:val="00A314B9"/>
    <w:rsid w:val="00A32F96"/>
    <w:rsid w:val="00A33C5A"/>
    <w:rsid w:val="00A37110"/>
    <w:rsid w:val="00A40871"/>
    <w:rsid w:val="00A412AB"/>
    <w:rsid w:val="00A4193E"/>
    <w:rsid w:val="00A440E0"/>
    <w:rsid w:val="00A5418D"/>
    <w:rsid w:val="00A5474E"/>
    <w:rsid w:val="00A61704"/>
    <w:rsid w:val="00A6316A"/>
    <w:rsid w:val="00A66CBF"/>
    <w:rsid w:val="00A70ADF"/>
    <w:rsid w:val="00A71466"/>
    <w:rsid w:val="00A7464D"/>
    <w:rsid w:val="00A74B5E"/>
    <w:rsid w:val="00A777AE"/>
    <w:rsid w:val="00A80C3D"/>
    <w:rsid w:val="00A81BED"/>
    <w:rsid w:val="00A81EC4"/>
    <w:rsid w:val="00A84EB6"/>
    <w:rsid w:val="00A967FD"/>
    <w:rsid w:val="00AA4237"/>
    <w:rsid w:val="00AB11B1"/>
    <w:rsid w:val="00AB1328"/>
    <w:rsid w:val="00AB156C"/>
    <w:rsid w:val="00AB2C38"/>
    <w:rsid w:val="00AB3AC5"/>
    <w:rsid w:val="00AB4106"/>
    <w:rsid w:val="00AB6814"/>
    <w:rsid w:val="00AB738A"/>
    <w:rsid w:val="00AC04BA"/>
    <w:rsid w:val="00AC0E39"/>
    <w:rsid w:val="00AC201A"/>
    <w:rsid w:val="00AC2CC8"/>
    <w:rsid w:val="00AD3082"/>
    <w:rsid w:val="00AD4AD0"/>
    <w:rsid w:val="00AD5436"/>
    <w:rsid w:val="00AD60CD"/>
    <w:rsid w:val="00AD6C8C"/>
    <w:rsid w:val="00AE091D"/>
    <w:rsid w:val="00AE2ABF"/>
    <w:rsid w:val="00AE3B60"/>
    <w:rsid w:val="00AE53A1"/>
    <w:rsid w:val="00AF2484"/>
    <w:rsid w:val="00AF63E7"/>
    <w:rsid w:val="00B0165D"/>
    <w:rsid w:val="00B02D41"/>
    <w:rsid w:val="00B031F3"/>
    <w:rsid w:val="00B03995"/>
    <w:rsid w:val="00B052A4"/>
    <w:rsid w:val="00B06B40"/>
    <w:rsid w:val="00B07305"/>
    <w:rsid w:val="00B125DE"/>
    <w:rsid w:val="00B13FDD"/>
    <w:rsid w:val="00B13FEA"/>
    <w:rsid w:val="00B20C31"/>
    <w:rsid w:val="00B22EB2"/>
    <w:rsid w:val="00B23097"/>
    <w:rsid w:val="00B26A26"/>
    <w:rsid w:val="00B27442"/>
    <w:rsid w:val="00B27EA5"/>
    <w:rsid w:val="00B301E2"/>
    <w:rsid w:val="00B31167"/>
    <w:rsid w:val="00B3132B"/>
    <w:rsid w:val="00B31EA3"/>
    <w:rsid w:val="00B329D8"/>
    <w:rsid w:val="00B32BB9"/>
    <w:rsid w:val="00B3361E"/>
    <w:rsid w:val="00B33AE1"/>
    <w:rsid w:val="00B34343"/>
    <w:rsid w:val="00B37663"/>
    <w:rsid w:val="00B37C38"/>
    <w:rsid w:val="00B4288C"/>
    <w:rsid w:val="00B42977"/>
    <w:rsid w:val="00B43262"/>
    <w:rsid w:val="00B4353A"/>
    <w:rsid w:val="00B44100"/>
    <w:rsid w:val="00B45BF2"/>
    <w:rsid w:val="00B46CBA"/>
    <w:rsid w:val="00B46F94"/>
    <w:rsid w:val="00B514E6"/>
    <w:rsid w:val="00B5390B"/>
    <w:rsid w:val="00B544AE"/>
    <w:rsid w:val="00B61F03"/>
    <w:rsid w:val="00B626E4"/>
    <w:rsid w:val="00B66E06"/>
    <w:rsid w:val="00B72F4A"/>
    <w:rsid w:val="00B83C27"/>
    <w:rsid w:val="00B84BC3"/>
    <w:rsid w:val="00B84BDD"/>
    <w:rsid w:val="00B8640C"/>
    <w:rsid w:val="00B911E2"/>
    <w:rsid w:val="00B92812"/>
    <w:rsid w:val="00B92A45"/>
    <w:rsid w:val="00BA3531"/>
    <w:rsid w:val="00BA6206"/>
    <w:rsid w:val="00BB45A1"/>
    <w:rsid w:val="00BB6729"/>
    <w:rsid w:val="00BB7686"/>
    <w:rsid w:val="00BB7B54"/>
    <w:rsid w:val="00BC23F9"/>
    <w:rsid w:val="00BC3184"/>
    <w:rsid w:val="00BC3421"/>
    <w:rsid w:val="00BC5D01"/>
    <w:rsid w:val="00BC6DDB"/>
    <w:rsid w:val="00BC732C"/>
    <w:rsid w:val="00BD52D8"/>
    <w:rsid w:val="00BD6C36"/>
    <w:rsid w:val="00BE2580"/>
    <w:rsid w:val="00BE266D"/>
    <w:rsid w:val="00BE3938"/>
    <w:rsid w:val="00BE3F32"/>
    <w:rsid w:val="00BE4C11"/>
    <w:rsid w:val="00BE71C0"/>
    <w:rsid w:val="00BE7549"/>
    <w:rsid w:val="00BF610C"/>
    <w:rsid w:val="00C0060B"/>
    <w:rsid w:val="00C0277D"/>
    <w:rsid w:val="00C028F5"/>
    <w:rsid w:val="00C053A1"/>
    <w:rsid w:val="00C16198"/>
    <w:rsid w:val="00C17E94"/>
    <w:rsid w:val="00C2079D"/>
    <w:rsid w:val="00C2083D"/>
    <w:rsid w:val="00C20980"/>
    <w:rsid w:val="00C225A0"/>
    <w:rsid w:val="00C24A53"/>
    <w:rsid w:val="00C3578D"/>
    <w:rsid w:val="00C379C3"/>
    <w:rsid w:val="00C4032F"/>
    <w:rsid w:val="00C44047"/>
    <w:rsid w:val="00C44A22"/>
    <w:rsid w:val="00C45155"/>
    <w:rsid w:val="00C50DD4"/>
    <w:rsid w:val="00C5498F"/>
    <w:rsid w:val="00C55235"/>
    <w:rsid w:val="00C62D6C"/>
    <w:rsid w:val="00C64CD0"/>
    <w:rsid w:val="00C6684F"/>
    <w:rsid w:val="00C70A3B"/>
    <w:rsid w:val="00C70E70"/>
    <w:rsid w:val="00C72F93"/>
    <w:rsid w:val="00C73C2C"/>
    <w:rsid w:val="00C75F8D"/>
    <w:rsid w:val="00C77380"/>
    <w:rsid w:val="00C8633D"/>
    <w:rsid w:val="00C96321"/>
    <w:rsid w:val="00C96EBD"/>
    <w:rsid w:val="00C97370"/>
    <w:rsid w:val="00C97736"/>
    <w:rsid w:val="00CA1283"/>
    <w:rsid w:val="00CA234A"/>
    <w:rsid w:val="00CA345A"/>
    <w:rsid w:val="00CB1E82"/>
    <w:rsid w:val="00CB4BA8"/>
    <w:rsid w:val="00CB52D7"/>
    <w:rsid w:val="00CC6732"/>
    <w:rsid w:val="00CD0CFD"/>
    <w:rsid w:val="00CD3A4A"/>
    <w:rsid w:val="00CD7970"/>
    <w:rsid w:val="00CE1ED3"/>
    <w:rsid w:val="00CE3C96"/>
    <w:rsid w:val="00CE51A8"/>
    <w:rsid w:val="00CF369B"/>
    <w:rsid w:val="00D00E28"/>
    <w:rsid w:val="00D018ED"/>
    <w:rsid w:val="00D0269E"/>
    <w:rsid w:val="00D06F55"/>
    <w:rsid w:val="00D100EA"/>
    <w:rsid w:val="00D1069B"/>
    <w:rsid w:val="00D15810"/>
    <w:rsid w:val="00D16D4E"/>
    <w:rsid w:val="00D16FE3"/>
    <w:rsid w:val="00D27F41"/>
    <w:rsid w:val="00D36441"/>
    <w:rsid w:val="00D4064E"/>
    <w:rsid w:val="00D44E9B"/>
    <w:rsid w:val="00D50DB9"/>
    <w:rsid w:val="00D5236D"/>
    <w:rsid w:val="00D52C43"/>
    <w:rsid w:val="00D57BAB"/>
    <w:rsid w:val="00D6507F"/>
    <w:rsid w:val="00D730BC"/>
    <w:rsid w:val="00D73912"/>
    <w:rsid w:val="00D84766"/>
    <w:rsid w:val="00D84F4B"/>
    <w:rsid w:val="00D85226"/>
    <w:rsid w:val="00D87B94"/>
    <w:rsid w:val="00D916C8"/>
    <w:rsid w:val="00D92D49"/>
    <w:rsid w:val="00D92EC1"/>
    <w:rsid w:val="00D93012"/>
    <w:rsid w:val="00D94996"/>
    <w:rsid w:val="00D96DEA"/>
    <w:rsid w:val="00DA1F6A"/>
    <w:rsid w:val="00DA3175"/>
    <w:rsid w:val="00DA4E41"/>
    <w:rsid w:val="00DA5A27"/>
    <w:rsid w:val="00DB117A"/>
    <w:rsid w:val="00DB24E1"/>
    <w:rsid w:val="00DB484F"/>
    <w:rsid w:val="00DB5173"/>
    <w:rsid w:val="00DB68C0"/>
    <w:rsid w:val="00DB7873"/>
    <w:rsid w:val="00DC187B"/>
    <w:rsid w:val="00DD026D"/>
    <w:rsid w:val="00DD0D08"/>
    <w:rsid w:val="00DD73C2"/>
    <w:rsid w:val="00DE04AC"/>
    <w:rsid w:val="00DE319B"/>
    <w:rsid w:val="00DE4070"/>
    <w:rsid w:val="00DF34FE"/>
    <w:rsid w:val="00DF3800"/>
    <w:rsid w:val="00DF56AA"/>
    <w:rsid w:val="00DF78E7"/>
    <w:rsid w:val="00E034E4"/>
    <w:rsid w:val="00E110E0"/>
    <w:rsid w:val="00E11AC2"/>
    <w:rsid w:val="00E15371"/>
    <w:rsid w:val="00E157D0"/>
    <w:rsid w:val="00E20295"/>
    <w:rsid w:val="00E20F56"/>
    <w:rsid w:val="00E22080"/>
    <w:rsid w:val="00E23940"/>
    <w:rsid w:val="00E24104"/>
    <w:rsid w:val="00E27A3D"/>
    <w:rsid w:val="00E323A0"/>
    <w:rsid w:val="00E347F0"/>
    <w:rsid w:val="00E35707"/>
    <w:rsid w:val="00E36AA1"/>
    <w:rsid w:val="00E41ECB"/>
    <w:rsid w:val="00E427DB"/>
    <w:rsid w:val="00E46079"/>
    <w:rsid w:val="00E549F7"/>
    <w:rsid w:val="00E54FDB"/>
    <w:rsid w:val="00E5617D"/>
    <w:rsid w:val="00E563D7"/>
    <w:rsid w:val="00E627EE"/>
    <w:rsid w:val="00E663F4"/>
    <w:rsid w:val="00E666F2"/>
    <w:rsid w:val="00E66DD4"/>
    <w:rsid w:val="00E71D0E"/>
    <w:rsid w:val="00E748CC"/>
    <w:rsid w:val="00E75415"/>
    <w:rsid w:val="00E75BE7"/>
    <w:rsid w:val="00E76E69"/>
    <w:rsid w:val="00E77222"/>
    <w:rsid w:val="00E775B1"/>
    <w:rsid w:val="00E8034E"/>
    <w:rsid w:val="00E8152A"/>
    <w:rsid w:val="00E81895"/>
    <w:rsid w:val="00E834AE"/>
    <w:rsid w:val="00E90F93"/>
    <w:rsid w:val="00E91515"/>
    <w:rsid w:val="00E93629"/>
    <w:rsid w:val="00E93B5C"/>
    <w:rsid w:val="00E94CEC"/>
    <w:rsid w:val="00E96E83"/>
    <w:rsid w:val="00EA04EF"/>
    <w:rsid w:val="00EA6F19"/>
    <w:rsid w:val="00EB1A6B"/>
    <w:rsid w:val="00EB61EB"/>
    <w:rsid w:val="00EB7090"/>
    <w:rsid w:val="00EC1BBE"/>
    <w:rsid w:val="00EC4CB1"/>
    <w:rsid w:val="00EC57AC"/>
    <w:rsid w:val="00EC5CD7"/>
    <w:rsid w:val="00EE38F8"/>
    <w:rsid w:val="00EE39AB"/>
    <w:rsid w:val="00EE57C7"/>
    <w:rsid w:val="00EE5FB3"/>
    <w:rsid w:val="00EE7F79"/>
    <w:rsid w:val="00EF06D8"/>
    <w:rsid w:val="00EF715A"/>
    <w:rsid w:val="00F04370"/>
    <w:rsid w:val="00F06CE1"/>
    <w:rsid w:val="00F06E14"/>
    <w:rsid w:val="00F179D4"/>
    <w:rsid w:val="00F33C56"/>
    <w:rsid w:val="00F34595"/>
    <w:rsid w:val="00F347C7"/>
    <w:rsid w:val="00F34848"/>
    <w:rsid w:val="00F34CDB"/>
    <w:rsid w:val="00F41714"/>
    <w:rsid w:val="00F419EE"/>
    <w:rsid w:val="00F42D46"/>
    <w:rsid w:val="00F4496C"/>
    <w:rsid w:val="00F44F3A"/>
    <w:rsid w:val="00F4771B"/>
    <w:rsid w:val="00F50CC2"/>
    <w:rsid w:val="00F51F10"/>
    <w:rsid w:val="00F529A5"/>
    <w:rsid w:val="00F60F00"/>
    <w:rsid w:val="00F614C0"/>
    <w:rsid w:val="00F633C0"/>
    <w:rsid w:val="00F65AE0"/>
    <w:rsid w:val="00F65F47"/>
    <w:rsid w:val="00F72D29"/>
    <w:rsid w:val="00F74AA1"/>
    <w:rsid w:val="00F7531D"/>
    <w:rsid w:val="00F82651"/>
    <w:rsid w:val="00F83848"/>
    <w:rsid w:val="00F85908"/>
    <w:rsid w:val="00F872AA"/>
    <w:rsid w:val="00F975E9"/>
    <w:rsid w:val="00FA1B7D"/>
    <w:rsid w:val="00FA1BC3"/>
    <w:rsid w:val="00FA73B9"/>
    <w:rsid w:val="00FB073D"/>
    <w:rsid w:val="00FB113F"/>
    <w:rsid w:val="00FB69D4"/>
    <w:rsid w:val="00FB7548"/>
    <w:rsid w:val="00FC07B9"/>
    <w:rsid w:val="00FC4E21"/>
    <w:rsid w:val="00FC5F6D"/>
    <w:rsid w:val="00FD2C2F"/>
    <w:rsid w:val="00FD3B31"/>
    <w:rsid w:val="00FD577F"/>
    <w:rsid w:val="00FE039E"/>
    <w:rsid w:val="00FE1823"/>
    <w:rsid w:val="00FE245C"/>
    <w:rsid w:val="00FE487A"/>
    <w:rsid w:val="00FF0569"/>
    <w:rsid w:val="00FF206E"/>
    <w:rsid w:val="00FF3C69"/>
    <w:rsid w:val="00FF54A3"/>
    <w:rsid w:val="00FF69B1"/>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0CAD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22"/>
    <w:pPr>
      <w:spacing w:after="240"/>
    </w:pPr>
    <w:rPr>
      <w:szCs w:val="24"/>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246093"/>
    <w:pPr>
      <w:spacing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3A1729"/>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pPr>
    <w:rPr>
      <w:b/>
      <w:bCs/>
      <w:color w:val="323232"/>
    </w:rPr>
  </w:style>
  <w:style w:type="paragraph" w:customStyle="1" w:styleId="BodySubHeader">
    <w:name w:val="BodySubHeader"/>
    <w:basedOn w:val="Normal"/>
    <w:next w:val="Normal"/>
    <w:qFormat/>
    <w:rsid w:val="003A1729"/>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qFormat/>
    <w:rsid w:val="003A5F5B"/>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uiPriority w:val="99"/>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3A1729"/>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3A172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3A172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b/>
      <w:bCs/>
      <w:color w:val="323232"/>
    </w:rPr>
  </w:style>
  <w:style w:type="paragraph" w:customStyle="1" w:styleId="ACMANotes">
    <w:name w:val="ACMA_Notes"/>
    <w:qFormat/>
    <w:rsid w:val="003A1729"/>
    <w:pPr>
      <w:spacing w:before="80" w:line="240" w:lineRule="auto"/>
    </w:pPr>
    <w:rPr>
      <w:rFonts w:cs="Arial"/>
      <w:i/>
      <w:sz w:val="16"/>
      <w:szCs w:val="24"/>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b/>
      <w:bCs/>
      <w:color w:val="323232"/>
    </w:rPr>
  </w:style>
  <w:style w:type="paragraph" w:customStyle="1" w:styleId="Captionfigure">
    <w:name w:val="Caption figure"/>
    <w:basedOn w:val="Caption"/>
    <w:qFormat/>
    <w:rsid w:val="00E8152A"/>
    <w:pPr>
      <w:keepNext/>
      <w:numPr>
        <w:numId w:val="40"/>
      </w:numPr>
    </w:pPr>
    <w:rPr>
      <w:rFonts w:cs="Arial"/>
    </w:rPr>
  </w:style>
  <w:style w:type="paragraph" w:customStyle="1" w:styleId="ACMALinecover">
    <w:name w:val="ACMA_Line cover"/>
    <w:basedOn w:val="Normal"/>
    <w:qFormat/>
    <w:rsid w:val="00E034E4"/>
    <w:pPr>
      <w:pBdr>
        <w:bottom w:val="single" w:sz="4" w:space="1" w:color="auto"/>
      </w:pBdr>
      <w:spacing w:after="600"/>
    </w:pPr>
    <w:rPr>
      <w:rFonts w:cs="Arial"/>
    </w:rPr>
  </w:style>
  <w:style w:type="paragraph" w:customStyle="1" w:styleId="Researchquote">
    <w:name w:val="Research quote"/>
    <w:basedOn w:val="Normal"/>
    <w:qFormat/>
    <w:rsid w:val="00E034E4"/>
    <w:pPr>
      <w:spacing w:before="120" w:after="120"/>
      <w:ind w:left="680" w:right="567"/>
    </w:pPr>
    <w:rPr>
      <w:rFonts w:cs="Arial"/>
      <w:sz w:val="18"/>
      <w:szCs w:val="18"/>
    </w:rPr>
  </w:style>
  <w:style w:type="paragraph" w:styleId="Quote">
    <w:name w:val="Quote"/>
    <w:basedOn w:val="Normal"/>
    <w:next w:val="Normal"/>
    <w:link w:val="QuoteChar"/>
    <w:rsid w:val="00E034E4"/>
    <w:rPr>
      <w:i/>
      <w:iCs/>
      <w:color w:val="000000" w:themeColor="text1"/>
    </w:rPr>
  </w:style>
  <w:style w:type="character" w:customStyle="1" w:styleId="QuoteChar">
    <w:name w:val="Quote Char"/>
    <w:basedOn w:val="DefaultParagraphFont"/>
    <w:link w:val="Quote"/>
    <w:rsid w:val="00E034E4"/>
    <w:rPr>
      <w:rFonts w:ascii="Arial" w:hAnsi="Arial"/>
      <w:i/>
      <w:iCs/>
      <w:color w:val="000000" w:themeColor="text1"/>
      <w:sz w:val="20"/>
    </w:rPr>
  </w:style>
  <w:style w:type="character" w:styleId="BookTitle">
    <w:name w:val="Book Title"/>
    <w:basedOn w:val="DefaultParagraphFont"/>
    <w:rsid w:val="00F06CE1"/>
    <w:rPr>
      <w:b/>
      <w:bCs/>
      <w:i/>
      <w:iCs/>
      <w:spacing w:val="5"/>
    </w:rPr>
  </w:style>
  <w:style w:type="paragraph" w:styleId="ListParagraph">
    <w:name w:val="List Paragraph"/>
    <w:basedOn w:val="Normal"/>
    <w:uiPriority w:val="34"/>
    <w:qFormat/>
    <w:rsid w:val="00E23940"/>
    <w:pPr>
      <w:spacing w:after="0" w:line="240" w:lineRule="auto"/>
      <w:ind w:left="720"/>
    </w:pPr>
    <w:rPr>
      <w:rFonts w:ascii="Verdana" w:eastAsia="SimSun" w:hAnsi="Verdana" w:cs="SimSun"/>
      <w:szCs w:val="20"/>
      <w:lang w:eastAsia="zh-CN"/>
    </w:rPr>
  </w:style>
  <w:style w:type="paragraph" w:styleId="Revision">
    <w:name w:val="Revision"/>
    <w:hidden/>
    <w:semiHidden/>
    <w:rsid w:val="00DD0D08"/>
    <w:pPr>
      <w:spacing w:line="240" w:lineRule="auto"/>
    </w:pPr>
    <w:rPr>
      <w:szCs w:val="24"/>
    </w:rPr>
  </w:style>
  <w:style w:type="character" w:customStyle="1" w:styleId="FootnoteTextChar">
    <w:name w:val="Footnote Text Char"/>
    <w:basedOn w:val="DefaultParagraphFont"/>
    <w:link w:val="FootnoteText"/>
    <w:uiPriority w:val="99"/>
    <w:semiHidden/>
    <w:locked/>
    <w:rsid w:val="009A24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760">
      <w:bodyDiv w:val="1"/>
      <w:marLeft w:val="0"/>
      <w:marRight w:val="0"/>
      <w:marTop w:val="0"/>
      <w:marBottom w:val="0"/>
      <w:divBdr>
        <w:top w:val="none" w:sz="0" w:space="0" w:color="auto"/>
        <w:left w:val="none" w:sz="0" w:space="0" w:color="auto"/>
        <w:bottom w:val="none" w:sz="0" w:space="0" w:color="auto"/>
        <w:right w:val="none" w:sz="0" w:space="0" w:color="auto"/>
      </w:divBdr>
    </w:div>
    <w:div w:id="1832788635">
      <w:bodyDiv w:val="1"/>
      <w:marLeft w:val="0"/>
      <w:marRight w:val="0"/>
      <w:marTop w:val="0"/>
      <w:marBottom w:val="0"/>
      <w:divBdr>
        <w:top w:val="none" w:sz="0" w:space="0" w:color="auto"/>
        <w:left w:val="none" w:sz="0" w:space="0" w:color="auto"/>
        <w:bottom w:val="none" w:sz="0" w:space="0" w:color="auto"/>
        <w:right w:val="none" w:sz="0" w:space="0" w:color="auto"/>
      </w:divBdr>
    </w:div>
    <w:div w:id="19890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footer" Target="footer7.xml"/><Relationship Id="rId33" Type="http://schemas.openxmlformats.org/officeDocument/2006/relationships/hyperlink" Target="https://www.acma.gov.au/theACMA/proposal-to-amend-short-range-devices-standard-and-make-new-intelligent-transport-system-standar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4.xml"/><Relationship Id="rId29" Type="http://schemas.openxmlformats.org/officeDocument/2006/relationships/hyperlink" Target="https://www.fcc.gov/document/part-95-report-and-or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acma.gov.au/theACMA/draft-five-year-spectrum-outlook-2018-22"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hyperlink" Target="https://www.acma.gov.au/theACMA/draft-five-year-spectrum-outlook-2018-22" TargetMode="Externa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www.acma.gov.au/theACMA/spectrum-for-broadband-in-mmwave-ba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s://www.acma.gov.au/theACMA/variations-to-the-lipd-class-licence-2" TargetMode="External"/><Relationship Id="rId30" Type="http://schemas.openxmlformats.org/officeDocument/2006/relationships/hyperlink" Target="https://www.acma.gov.au/theACMA/five-year-spectrum-outlook-2017-21" TargetMode="External"/><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ic.gc.ca/eic/site/smt-gst.nsf/eng/sf11403.html" TargetMode="External"/><Relationship Id="rId2" Type="http://schemas.openxmlformats.org/officeDocument/2006/relationships/hyperlink" Target="http://www.ic.gc.ca/eic/site/smt-gst.nsf/eng/sf11298.html" TargetMode="External"/><Relationship Id="rId1" Type="http://schemas.openxmlformats.org/officeDocument/2006/relationships/hyperlink" Target="https://www.ecfr.gov/cgi-bin/text-idx?SID=c985a609358690f15fa7272a80e2d60f&amp;mc=true&amp;node=pt47.1.15&amp;rgn=div5%20-%20se47.1.15_1255" TargetMode="External"/><Relationship Id="rId5" Type="http://schemas.openxmlformats.org/officeDocument/2006/relationships/hyperlink" Target="https://circabc.europa.eu/sd/a/fe1a3338-b751-43e3-9ed8-a5632f051d1f/RSPG18-005final-2nd_opinion_on_5G.pdf" TargetMode="External"/><Relationship Id="rId4" Type="http://schemas.openxmlformats.org/officeDocument/2006/relationships/hyperlink" Target="https://www.ofcom.org.uk/consultations-and-statements/category-2/fixed-wireless-spectrum-strate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88AA-AA00-4315-939E-6F55D52E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2018-07-03T23:59:00Z</dcterms:created>
  <dcterms:modified xsi:type="dcterms:W3CDTF">2018-07-03T23:59:00Z</dcterms:modified>
  <cp:category/>
</cp:coreProperties>
</file>