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C34D9" w14:textId="06D48FE9" w:rsidR="00F06E14" w:rsidRPr="005143C2" w:rsidRDefault="00693F4C" w:rsidP="001A5AE3">
      <w:pPr>
        <w:pStyle w:val="ACMAReportTitle"/>
        <w:rPr>
          <w:rFonts w:cs="Arial"/>
        </w:rPr>
      </w:pPr>
      <w:r>
        <w:rPr>
          <w:rFonts w:cs="Arial"/>
        </w:rPr>
        <w:t>R</w:t>
      </w:r>
      <w:r w:rsidR="008F0EB9" w:rsidRPr="005143C2">
        <w:rPr>
          <w:rFonts w:cs="Arial"/>
        </w:rPr>
        <w:t>emak</w:t>
      </w:r>
      <w:r>
        <w:rPr>
          <w:rFonts w:cs="Arial"/>
        </w:rPr>
        <w:t>ing</w:t>
      </w:r>
      <w:r w:rsidR="008F0EB9" w:rsidRPr="005143C2">
        <w:rPr>
          <w:rFonts w:cs="Arial"/>
        </w:rPr>
        <w:t xml:space="preserve"> the Radiocommunications (</w:t>
      </w:r>
      <w:r w:rsidR="00B21712">
        <w:rPr>
          <w:rFonts w:cs="Arial"/>
        </w:rPr>
        <w:t>Communication with Space Object</w:t>
      </w:r>
      <w:r w:rsidR="008F0EB9" w:rsidRPr="005143C2">
        <w:rPr>
          <w:rFonts w:cs="Arial"/>
        </w:rPr>
        <w:t>) Class Licence 1998</w:t>
      </w:r>
    </w:p>
    <w:p w14:paraId="7A646848" w14:textId="77777777" w:rsidR="00F06E14" w:rsidRPr="005143C2" w:rsidRDefault="008F0EB9" w:rsidP="00F06E14">
      <w:pPr>
        <w:pStyle w:val="ACMAReportSubTitle"/>
        <w:rPr>
          <w:rFonts w:cs="Arial"/>
        </w:rPr>
      </w:pPr>
      <w:r w:rsidRPr="005143C2">
        <w:rPr>
          <w:rFonts w:cs="Arial"/>
        </w:rPr>
        <w:t>Response Paper</w:t>
      </w:r>
    </w:p>
    <w:p w14:paraId="7901913B" w14:textId="12D41EAD" w:rsidR="00F06E14" w:rsidRPr="005143C2" w:rsidRDefault="00ED20AF" w:rsidP="00D47AEB">
      <w:pPr>
        <w:pStyle w:val="ACMAReportDate"/>
        <w:spacing w:after="720"/>
        <w:rPr>
          <w:rFonts w:cs="Arial"/>
        </w:rPr>
      </w:pPr>
      <w:r>
        <w:rPr>
          <w:rFonts w:cs="Arial"/>
        </w:rPr>
        <w:t>OCTOBER</w:t>
      </w:r>
      <w:r w:rsidRPr="00210A38">
        <w:rPr>
          <w:rFonts w:cs="Arial"/>
        </w:rPr>
        <w:t xml:space="preserve"> </w:t>
      </w:r>
      <w:r w:rsidR="008F0EB9" w:rsidRPr="00210A38">
        <w:rPr>
          <w:rFonts w:cs="Arial"/>
        </w:rPr>
        <w:t>2015</w:t>
      </w:r>
    </w:p>
    <w:p w14:paraId="3505536D" w14:textId="761654AF" w:rsidR="00C97736" w:rsidRDefault="00C97736" w:rsidP="004C1ABF">
      <w:pPr>
        <w:rPr>
          <w:rFonts w:cs="Arial"/>
        </w:rPr>
      </w:pPr>
    </w:p>
    <w:p w14:paraId="51BBA98C" w14:textId="77777777" w:rsidR="00F65712" w:rsidRPr="005143C2" w:rsidRDefault="00F65712" w:rsidP="004C1ABF">
      <w:pPr>
        <w:rPr>
          <w:rFonts w:cs="Arial"/>
        </w:rPr>
      </w:pPr>
      <w:bookmarkStart w:id="0" w:name="_GoBack"/>
      <w:bookmarkEnd w:id="0"/>
    </w:p>
    <w:p w14:paraId="285E5B16" w14:textId="77777777" w:rsidR="00C97736" w:rsidRPr="005143C2" w:rsidRDefault="00C97736" w:rsidP="004C1ABF">
      <w:pPr>
        <w:rPr>
          <w:rFonts w:cs="Arial"/>
        </w:rPr>
        <w:sectPr w:rsidR="00C97736" w:rsidRPr="005143C2"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46D91057" w14:textId="77777777" w:rsidR="0005011A" w:rsidRPr="005143C2" w:rsidRDefault="0005011A" w:rsidP="00FC07B9">
      <w:pPr>
        <w:pStyle w:val="ACMACorporateAddressHeader"/>
        <w:rPr>
          <w:rFonts w:cs="Arial"/>
        </w:rPr>
      </w:pPr>
      <w:r w:rsidRPr="005143C2">
        <w:rPr>
          <w:rFonts w:cs="Arial"/>
        </w:rPr>
        <w:lastRenderedPageBreak/>
        <w:t>Canberra</w:t>
      </w:r>
    </w:p>
    <w:p w14:paraId="1054C009" w14:textId="77777777" w:rsidR="0005011A" w:rsidRPr="005143C2" w:rsidRDefault="0005011A" w:rsidP="00FC07B9">
      <w:pPr>
        <w:pStyle w:val="ACMACorporateAddresses"/>
        <w:rPr>
          <w:rFonts w:cs="Arial"/>
        </w:rPr>
      </w:pPr>
      <w:r w:rsidRPr="005143C2">
        <w:rPr>
          <w:rFonts w:cs="Arial"/>
        </w:rPr>
        <w:t xml:space="preserve">Red Building </w:t>
      </w:r>
      <w:r w:rsidRPr="005143C2">
        <w:rPr>
          <w:rFonts w:cs="Arial"/>
        </w:rPr>
        <w:br/>
        <w:t>Benjamin Offices</w:t>
      </w:r>
      <w:r w:rsidRPr="005143C2">
        <w:rPr>
          <w:rFonts w:cs="Arial"/>
        </w:rPr>
        <w:br/>
        <w:t xml:space="preserve">Chan Street </w:t>
      </w:r>
      <w:r w:rsidRPr="005143C2">
        <w:rPr>
          <w:rFonts w:cs="Arial"/>
        </w:rPr>
        <w:br/>
        <w:t>Belconnen ACT</w:t>
      </w:r>
    </w:p>
    <w:p w14:paraId="1E57D85D" w14:textId="77777777" w:rsidR="0005011A" w:rsidRPr="005143C2" w:rsidRDefault="0005011A" w:rsidP="00FC07B9">
      <w:pPr>
        <w:pStyle w:val="ACMACorporateAddresses"/>
        <w:rPr>
          <w:rFonts w:cs="Arial"/>
        </w:rPr>
      </w:pPr>
      <w:r w:rsidRPr="005143C2">
        <w:rPr>
          <w:rFonts w:cs="Arial"/>
        </w:rPr>
        <w:t>PO Box 78</w:t>
      </w:r>
      <w:r w:rsidRPr="005143C2">
        <w:rPr>
          <w:rFonts w:cs="Arial"/>
        </w:rPr>
        <w:br/>
        <w:t>Belconnen ACT 2616</w:t>
      </w:r>
    </w:p>
    <w:p w14:paraId="2B141904" w14:textId="77777777" w:rsidR="00FE1823" w:rsidRPr="005143C2" w:rsidRDefault="0005011A" w:rsidP="00FC07B9">
      <w:pPr>
        <w:pStyle w:val="ACMACorporateAddresses"/>
        <w:rPr>
          <w:rFonts w:cs="Arial"/>
        </w:rPr>
      </w:pPr>
      <w:r w:rsidRPr="005143C2">
        <w:rPr>
          <w:rFonts w:cs="Arial"/>
        </w:rPr>
        <w:t>T</w:t>
      </w:r>
      <w:r w:rsidR="00537604" w:rsidRPr="005143C2">
        <w:rPr>
          <w:rFonts w:cs="Arial"/>
        </w:rPr>
        <w:tab/>
      </w:r>
      <w:r w:rsidRPr="005143C2">
        <w:rPr>
          <w:rFonts w:cs="Arial"/>
        </w:rPr>
        <w:t>+61 2 6219 5555</w:t>
      </w:r>
      <w:r w:rsidRPr="005143C2">
        <w:rPr>
          <w:rFonts w:cs="Arial"/>
        </w:rPr>
        <w:br/>
        <w:t>F</w:t>
      </w:r>
      <w:r w:rsidR="00537604" w:rsidRPr="005143C2">
        <w:rPr>
          <w:rFonts w:cs="Arial"/>
        </w:rPr>
        <w:tab/>
      </w:r>
      <w:r w:rsidRPr="005143C2">
        <w:rPr>
          <w:rFonts w:cs="Arial"/>
        </w:rPr>
        <w:t>+61 2 6219 5353</w:t>
      </w:r>
    </w:p>
    <w:p w14:paraId="3D106EE4" w14:textId="77777777" w:rsidR="0005011A" w:rsidRPr="005143C2" w:rsidRDefault="0005011A" w:rsidP="00FC07B9">
      <w:pPr>
        <w:pStyle w:val="ACMACorporateAddressHeader"/>
        <w:rPr>
          <w:rFonts w:cs="Arial"/>
        </w:rPr>
      </w:pPr>
      <w:r w:rsidRPr="005143C2">
        <w:rPr>
          <w:rFonts w:cs="Arial"/>
        </w:rPr>
        <w:t>Melbourne</w:t>
      </w:r>
    </w:p>
    <w:p w14:paraId="3A7B02C3" w14:textId="77777777" w:rsidR="0005011A" w:rsidRPr="005143C2" w:rsidRDefault="0005011A" w:rsidP="00FC07B9">
      <w:pPr>
        <w:pStyle w:val="ACMACorporateAddresses"/>
        <w:rPr>
          <w:rFonts w:cs="Arial"/>
        </w:rPr>
      </w:pPr>
      <w:r w:rsidRPr="005143C2">
        <w:rPr>
          <w:rFonts w:cs="Arial"/>
        </w:rPr>
        <w:t xml:space="preserve">Level 32 </w:t>
      </w:r>
      <w:r w:rsidRPr="005143C2">
        <w:rPr>
          <w:rFonts w:cs="Arial"/>
        </w:rPr>
        <w:br/>
        <w:t>Melbourne Central Tower</w:t>
      </w:r>
      <w:r w:rsidRPr="005143C2">
        <w:rPr>
          <w:rFonts w:cs="Arial"/>
        </w:rPr>
        <w:br/>
        <w:t xml:space="preserve">360 Elizabeth Street </w:t>
      </w:r>
      <w:r w:rsidR="008C10F4" w:rsidRPr="005143C2">
        <w:rPr>
          <w:rFonts w:cs="Arial"/>
        </w:rPr>
        <w:br/>
      </w:r>
      <w:r w:rsidRPr="005143C2">
        <w:rPr>
          <w:rFonts w:cs="Arial"/>
        </w:rPr>
        <w:t>Melbourne VIC</w:t>
      </w:r>
    </w:p>
    <w:p w14:paraId="1C25B5D4" w14:textId="77777777" w:rsidR="0005011A" w:rsidRPr="005143C2" w:rsidRDefault="0005011A" w:rsidP="00FC07B9">
      <w:pPr>
        <w:pStyle w:val="ACMACorporateAddresses"/>
        <w:rPr>
          <w:rFonts w:cs="Arial"/>
        </w:rPr>
      </w:pPr>
      <w:r w:rsidRPr="005143C2">
        <w:rPr>
          <w:rFonts w:cs="Arial"/>
        </w:rPr>
        <w:t>PO Box 13112</w:t>
      </w:r>
      <w:r w:rsidRPr="005143C2">
        <w:rPr>
          <w:rFonts w:cs="Arial"/>
        </w:rPr>
        <w:br/>
        <w:t xml:space="preserve">Law Courts </w:t>
      </w:r>
      <w:r w:rsidRPr="005143C2">
        <w:rPr>
          <w:rFonts w:cs="Arial"/>
        </w:rPr>
        <w:br/>
        <w:t>Melbourne VIC 8010</w:t>
      </w:r>
    </w:p>
    <w:p w14:paraId="6DBD4853" w14:textId="77777777" w:rsidR="0005011A" w:rsidRPr="005143C2" w:rsidRDefault="0005011A" w:rsidP="00FC07B9">
      <w:pPr>
        <w:pStyle w:val="ACMACorporateAddresses"/>
        <w:rPr>
          <w:rFonts w:cs="Arial"/>
        </w:rPr>
      </w:pPr>
      <w:r w:rsidRPr="005143C2">
        <w:rPr>
          <w:rFonts w:cs="Arial"/>
        </w:rPr>
        <w:t>T</w:t>
      </w:r>
      <w:r w:rsidR="00140318" w:rsidRPr="005143C2">
        <w:rPr>
          <w:rFonts w:cs="Arial"/>
        </w:rPr>
        <w:tab/>
      </w:r>
      <w:r w:rsidRPr="005143C2">
        <w:rPr>
          <w:rFonts w:cs="Arial"/>
        </w:rPr>
        <w:t>+61 3 9963 6800</w:t>
      </w:r>
      <w:r w:rsidRPr="005143C2">
        <w:rPr>
          <w:rFonts w:cs="Arial"/>
        </w:rPr>
        <w:br/>
        <w:t>F</w:t>
      </w:r>
      <w:r w:rsidR="00140318" w:rsidRPr="005143C2">
        <w:rPr>
          <w:rFonts w:cs="Arial"/>
        </w:rPr>
        <w:tab/>
      </w:r>
      <w:r w:rsidRPr="005143C2">
        <w:rPr>
          <w:rFonts w:cs="Arial"/>
        </w:rPr>
        <w:t>+61 3 9963 6899</w:t>
      </w:r>
    </w:p>
    <w:p w14:paraId="118C8ED8" w14:textId="77777777" w:rsidR="0005011A" w:rsidRPr="005143C2" w:rsidRDefault="0005011A" w:rsidP="00FC07B9">
      <w:pPr>
        <w:pStyle w:val="ACMACorporateAddressHeader"/>
        <w:rPr>
          <w:rFonts w:cs="Arial"/>
        </w:rPr>
      </w:pPr>
      <w:r w:rsidRPr="005143C2">
        <w:rPr>
          <w:rFonts w:cs="Arial"/>
        </w:rPr>
        <w:t>Sydney</w:t>
      </w:r>
    </w:p>
    <w:p w14:paraId="58509D27" w14:textId="77777777" w:rsidR="0005011A" w:rsidRPr="005143C2" w:rsidRDefault="0005011A" w:rsidP="00FC07B9">
      <w:pPr>
        <w:pStyle w:val="ACMACorporateAddresses"/>
        <w:rPr>
          <w:rFonts w:cs="Arial"/>
        </w:rPr>
      </w:pPr>
      <w:r w:rsidRPr="005143C2">
        <w:rPr>
          <w:rFonts w:cs="Arial"/>
        </w:rPr>
        <w:t xml:space="preserve">Level 5 </w:t>
      </w:r>
      <w:r w:rsidRPr="005143C2">
        <w:rPr>
          <w:rFonts w:cs="Arial"/>
        </w:rPr>
        <w:br/>
        <w:t>The Bay Centre</w:t>
      </w:r>
      <w:r w:rsidRPr="005143C2">
        <w:rPr>
          <w:rFonts w:cs="Arial"/>
        </w:rPr>
        <w:br/>
        <w:t xml:space="preserve">65 Pirrama Road </w:t>
      </w:r>
      <w:r w:rsidRPr="005143C2">
        <w:rPr>
          <w:rFonts w:cs="Arial"/>
        </w:rPr>
        <w:br/>
        <w:t>Pyrmont NSW</w:t>
      </w:r>
    </w:p>
    <w:p w14:paraId="27A9D336" w14:textId="77777777" w:rsidR="0005011A" w:rsidRPr="005143C2" w:rsidRDefault="0005011A" w:rsidP="00FC07B9">
      <w:pPr>
        <w:pStyle w:val="ACMACorporateAddresses"/>
        <w:rPr>
          <w:rFonts w:cs="Arial"/>
        </w:rPr>
      </w:pPr>
      <w:r w:rsidRPr="005143C2">
        <w:rPr>
          <w:rFonts w:cs="Arial"/>
        </w:rPr>
        <w:t>PO Box Q500</w:t>
      </w:r>
      <w:r w:rsidRPr="005143C2">
        <w:rPr>
          <w:rFonts w:cs="Arial"/>
        </w:rPr>
        <w:br/>
        <w:t xml:space="preserve">Queen Victoria Building </w:t>
      </w:r>
      <w:r w:rsidRPr="005143C2">
        <w:rPr>
          <w:rFonts w:cs="Arial"/>
        </w:rPr>
        <w:br/>
        <w:t>NSW 1230</w:t>
      </w:r>
    </w:p>
    <w:p w14:paraId="391883A0" w14:textId="77777777" w:rsidR="0005011A" w:rsidRPr="005143C2" w:rsidRDefault="0005011A" w:rsidP="00FC07B9">
      <w:pPr>
        <w:pStyle w:val="ACMACorporateAddresses"/>
        <w:rPr>
          <w:rFonts w:cs="Arial"/>
        </w:rPr>
      </w:pPr>
      <w:r w:rsidRPr="005143C2">
        <w:rPr>
          <w:rFonts w:cs="Arial"/>
        </w:rPr>
        <w:t>T</w:t>
      </w:r>
      <w:r w:rsidR="00140318" w:rsidRPr="005143C2">
        <w:rPr>
          <w:rFonts w:cs="Arial"/>
        </w:rPr>
        <w:tab/>
      </w:r>
      <w:r w:rsidRPr="005143C2">
        <w:rPr>
          <w:rFonts w:cs="Arial"/>
        </w:rPr>
        <w:t>+61 2 9334 7700</w:t>
      </w:r>
      <w:r w:rsidR="00140318" w:rsidRPr="005143C2">
        <w:rPr>
          <w:rFonts w:cs="Arial"/>
        </w:rPr>
        <w:t xml:space="preserve"> or</w:t>
      </w:r>
      <w:r w:rsidRPr="005143C2">
        <w:rPr>
          <w:rFonts w:cs="Arial"/>
        </w:rPr>
        <w:t xml:space="preserve"> 1800 226 667</w:t>
      </w:r>
      <w:r w:rsidRPr="005143C2">
        <w:rPr>
          <w:rFonts w:cs="Arial"/>
        </w:rPr>
        <w:br/>
        <w:t>F</w:t>
      </w:r>
      <w:r w:rsidR="00140318" w:rsidRPr="005143C2">
        <w:rPr>
          <w:rFonts w:cs="Arial"/>
        </w:rPr>
        <w:tab/>
      </w:r>
      <w:r w:rsidRPr="005143C2">
        <w:rPr>
          <w:rFonts w:cs="Arial"/>
        </w:rPr>
        <w:t>+61 2 9334 7799</w:t>
      </w:r>
    </w:p>
    <w:p w14:paraId="7C7E7620" w14:textId="77777777" w:rsidR="00140318" w:rsidRPr="005143C2" w:rsidRDefault="00140318" w:rsidP="00FC07B9">
      <w:pPr>
        <w:pStyle w:val="ACMACopyrightHeader"/>
        <w:rPr>
          <w:rFonts w:cs="Arial"/>
        </w:rPr>
      </w:pPr>
      <w:r w:rsidRPr="005143C2">
        <w:rPr>
          <w:rFonts w:cs="Arial"/>
        </w:rPr>
        <w:t>Copyright notice</w:t>
      </w:r>
    </w:p>
    <w:p w14:paraId="1A86A423" w14:textId="77777777" w:rsidR="00140318" w:rsidRPr="005143C2" w:rsidRDefault="00623FF9" w:rsidP="00623FF9">
      <w:pPr>
        <w:pStyle w:val="ACMACClogo"/>
        <w:rPr>
          <w:rFonts w:cs="Arial"/>
        </w:rPr>
      </w:pPr>
      <w:r w:rsidRPr="005143C2">
        <w:rPr>
          <w:rFonts w:cs="Arial"/>
          <w:noProof/>
        </w:rPr>
        <w:drawing>
          <wp:inline distT="0" distB="0" distL="0" distR="0" wp14:anchorId="03FA6A05" wp14:editId="38C1F179">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3A538598" w14:textId="77777777" w:rsidR="00140318" w:rsidRPr="005143C2" w:rsidRDefault="00D15443" w:rsidP="00FC07B9">
      <w:pPr>
        <w:pStyle w:val="ACMACorporateAddresses"/>
        <w:rPr>
          <w:rStyle w:val="Hyperlink"/>
          <w:rFonts w:cs="Arial"/>
        </w:rPr>
      </w:pPr>
      <w:hyperlink r:id="rId13" w:tooltip="Creative Commons Licenses" w:history="1">
        <w:r w:rsidR="00140318" w:rsidRPr="005143C2">
          <w:rPr>
            <w:rStyle w:val="Hyperlink"/>
            <w:rFonts w:cs="Arial"/>
          </w:rPr>
          <w:t>http://creativecommons.org/licenses/by/3.0/au/</w:t>
        </w:r>
      </w:hyperlink>
    </w:p>
    <w:p w14:paraId="3138D882" w14:textId="77777777" w:rsidR="00140318" w:rsidRPr="005143C2" w:rsidRDefault="00140318" w:rsidP="00FC07B9">
      <w:pPr>
        <w:pStyle w:val="ACMACorporateAddresses"/>
        <w:rPr>
          <w:rFonts w:cs="Arial"/>
        </w:rPr>
      </w:pPr>
      <w:proofErr w:type="gramStart"/>
      <w:r w:rsidRPr="005143C2">
        <w:rPr>
          <w:rFonts w:cs="Arial"/>
        </w:rPr>
        <w:t>With the exception of</w:t>
      </w:r>
      <w:proofErr w:type="gramEnd"/>
      <w:r w:rsidRPr="005143C2">
        <w:rPr>
          <w:rFonts w:cs="Arial"/>
        </w:rPr>
        <w:t xml:space="preserve"> coats of arms, logos, emblems, images, other third-party material or devices protected by a trademark, this content is licensed under the Creative Commons Australia Attribution 3.0 Licence. </w:t>
      </w:r>
    </w:p>
    <w:p w14:paraId="6CD6C738" w14:textId="77777777" w:rsidR="00140318" w:rsidRPr="005143C2" w:rsidRDefault="00140318" w:rsidP="00FC07B9">
      <w:pPr>
        <w:pStyle w:val="ACMACorporateAddresses"/>
        <w:rPr>
          <w:rFonts w:cs="Arial"/>
        </w:rPr>
      </w:pPr>
      <w:r w:rsidRPr="005143C2">
        <w:rPr>
          <w:rFonts w:cs="Arial"/>
        </w:rPr>
        <w:t>We request attribution as: © Commonwealth of Australia (Australian Communic</w:t>
      </w:r>
      <w:r w:rsidR="008408FF" w:rsidRPr="005143C2">
        <w:rPr>
          <w:rFonts w:cs="Arial"/>
        </w:rPr>
        <w:t>ations and Media Authority) 2015</w:t>
      </w:r>
      <w:r w:rsidRPr="005143C2">
        <w:rPr>
          <w:rFonts w:cs="Arial"/>
        </w:rPr>
        <w:t>.</w:t>
      </w:r>
    </w:p>
    <w:p w14:paraId="06A5A0F0" w14:textId="77777777" w:rsidR="00140318" w:rsidRPr="005143C2" w:rsidRDefault="00140318" w:rsidP="00FC07B9">
      <w:pPr>
        <w:pStyle w:val="ACMACorporateAddresses"/>
        <w:rPr>
          <w:rFonts w:cs="Arial"/>
        </w:rPr>
      </w:pPr>
      <w:r w:rsidRPr="005143C2">
        <w:rPr>
          <w:rFonts w:cs="Arial"/>
        </w:rPr>
        <w:t>All other rights are reserved.</w:t>
      </w:r>
    </w:p>
    <w:p w14:paraId="1B1BD8C1" w14:textId="77777777" w:rsidR="00140318" w:rsidRPr="005143C2" w:rsidRDefault="00140318" w:rsidP="00FC07B9">
      <w:pPr>
        <w:pStyle w:val="ACMACorporateAddresses"/>
        <w:rPr>
          <w:rFonts w:cs="Arial"/>
        </w:rPr>
      </w:pPr>
      <w:r w:rsidRPr="005143C2">
        <w:rPr>
          <w:rFonts w:cs="Arial"/>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657151F" w14:textId="77777777" w:rsidR="00140318" w:rsidRPr="005143C2" w:rsidRDefault="00140318" w:rsidP="00FC07B9">
      <w:pPr>
        <w:pStyle w:val="ACMACorporateAddresses"/>
        <w:rPr>
          <w:rFonts w:cs="Arial"/>
        </w:rPr>
      </w:pPr>
      <w:r w:rsidRPr="005143C2">
        <w:rPr>
          <w:rFonts w:cs="Arial"/>
        </w:rPr>
        <w:t>Written enquiries may be sent to:</w:t>
      </w:r>
    </w:p>
    <w:p w14:paraId="25D1F1CC" w14:textId="77777777" w:rsidR="00D16FE3" w:rsidRPr="005143C2" w:rsidRDefault="00140318" w:rsidP="00D16FE3">
      <w:pPr>
        <w:pStyle w:val="ACMACorporateAddresses"/>
        <w:rPr>
          <w:rStyle w:val="Hyperlink"/>
          <w:rFonts w:cs="Arial"/>
        </w:rPr>
      </w:pPr>
      <w:r w:rsidRPr="005143C2">
        <w:rPr>
          <w:rFonts w:cs="Arial"/>
        </w:rPr>
        <w:t>Manager, Editorial and Design</w:t>
      </w:r>
      <w:r w:rsidR="00623FF9" w:rsidRPr="005143C2">
        <w:rPr>
          <w:rFonts w:cs="Arial"/>
        </w:rPr>
        <w:br/>
      </w:r>
      <w:r w:rsidRPr="005143C2">
        <w:rPr>
          <w:rFonts w:cs="Arial"/>
        </w:rPr>
        <w:t>PO Box 13112</w:t>
      </w:r>
      <w:r w:rsidR="00623FF9" w:rsidRPr="005143C2">
        <w:rPr>
          <w:rFonts w:cs="Arial"/>
        </w:rPr>
        <w:br/>
      </w:r>
      <w:r w:rsidRPr="005143C2">
        <w:rPr>
          <w:rFonts w:cs="Arial"/>
        </w:rPr>
        <w:t>Law Courts</w:t>
      </w:r>
      <w:r w:rsidR="00623FF9" w:rsidRPr="005143C2">
        <w:rPr>
          <w:rFonts w:cs="Arial"/>
        </w:rPr>
        <w:br/>
      </w:r>
      <w:r w:rsidRPr="005143C2">
        <w:rPr>
          <w:rFonts w:cs="Arial"/>
        </w:rPr>
        <w:t>Melbourne VIC 8010</w:t>
      </w:r>
      <w:r w:rsidR="00623FF9" w:rsidRPr="005143C2">
        <w:rPr>
          <w:rFonts w:cs="Arial"/>
        </w:rPr>
        <w:br/>
      </w:r>
      <w:r w:rsidRPr="005143C2">
        <w:rPr>
          <w:rFonts w:cs="Arial"/>
        </w:rPr>
        <w:t>Tel: 03 9963 6968</w:t>
      </w:r>
      <w:r w:rsidR="00623FF9" w:rsidRPr="005143C2">
        <w:rPr>
          <w:rFonts w:cs="Arial"/>
        </w:rPr>
        <w:br/>
      </w:r>
      <w:r w:rsidRPr="005143C2">
        <w:rPr>
          <w:rFonts w:cs="Arial"/>
        </w:rPr>
        <w:t xml:space="preserve">Email: </w:t>
      </w:r>
      <w:hyperlink r:id="rId14" w:history="1">
        <w:r w:rsidRPr="005143C2">
          <w:rPr>
            <w:rStyle w:val="Hyperlink"/>
            <w:rFonts w:cs="Arial"/>
          </w:rPr>
          <w:t>candinfo@acma.gov.au</w:t>
        </w:r>
      </w:hyperlink>
    </w:p>
    <w:p w14:paraId="0235E70B" w14:textId="77777777" w:rsidR="00D16FE3" w:rsidRPr="005143C2" w:rsidRDefault="00D16FE3" w:rsidP="00D16FE3">
      <w:pPr>
        <w:pStyle w:val="ACMACorporateAddresses"/>
        <w:rPr>
          <w:rStyle w:val="Hyperlink"/>
          <w:rFonts w:cs="Arial"/>
        </w:rPr>
      </w:pPr>
    </w:p>
    <w:p w14:paraId="68ED52DB" w14:textId="77777777" w:rsidR="00D16FE3" w:rsidRPr="005143C2" w:rsidRDefault="00D16FE3" w:rsidP="00D16FE3">
      <w:pPr>
        <w:pStyle w:val="ACMACorporateAddresses"/>
        <w:rPr>
          <w:rFonts w:cs="Arial"/>
        </w:rPr>
        <w:sectPr w:rsidR="00D16FE3" w:rsidRPr="005143C2">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6F6C7DAB" w14:textId="77777777" w:rsidR="00C03F53" w:rsidRDefault="007A6CC0">
      <w:pPr>
        <w:pStyle w:val="TOC1"/>
        <w:rPr>
          <w:rFonts w:asciiTheme="minorHAnsi" w:eastAsiaTheme="minorEastAsia" w:hAnsiTheme="minorHAnsi" w:cstheme="minorBidi"/>
          <w:b w:val="0"/>
          <w:spacing w:val="0"/>
          <w:sz w:val="22"/>
          <w:szCs w:val="22"/>
        </w:rPr>
      </w:pPr>
      <w:r w:rsidRPr="005143C2">
        <w:rPr>
          <w:rFonts w:cs="Arial"/>
          <w:b w:val="0"/>
          <w:noProof w:val="0"/>
          <w:spacing w:val="0"/>
          <w:sz w:val="20"/>
        </w:rPr>
        <w:lastRenderedPageBreak/>
        <w:fldChar w:fldCharType="begin"/>
      </w:r>
      <w:r w:rsidRPr="005143C2">
        <w:rPr>
          <w:rFonts w:cs="Arial"/>
        </w:rPr>
        <w:instrText xml:space="preserve"> TOC \o "1-3" \t "ACMA_ExecSummaryHeading,1" </w:instrText>
      </w:r>
      <w:r w:rsidRPr="005143C2">
        <w:rPr>
          <w:rFonts w:cs="Arial"/>
          <w:b w:val="0"/>
          <w:noProof w:val="0"/>
          <w:spacing w:val="0"/>
          <w:sz w:val="20"/>
        </w:rPr>
        <w:fldChar w:fldCharType="separate"/>
      </w:r>
      <w:r w:rsidR="00C03F53">
        <w:t>Introduction</w:t>
      </w:r>
      <w:r w:rsidR="00C03F53">
        <w:tab/>
      </w:r>
      <w:r w:rsidR="00C03F53">
        <w:fldChar w:fldCharType="begin"/>
      </w:r>
      <w:r w:rsidR="00C03F53">
        <w:instrText xml:space="preserve"> PAGEREF _Toc431541418 \h </w:instrText>
      </w:r>
      <w:r w:rsidR="00C03F53">
        <w:fldChar w:fldCharType="separate"/>
      </w:r>
      <w:r w:rsidR="00C03F53">
        <w:t>1</w:t>
      </w:r>
      <w:r w:rsidR="00C03F53">
        <w:fldChar w:fldCharType="end"/>
      </w:r>
    </w:p>
    <w:p w14:paraId="301DFD56" w14:textId="77777777" w:rsidR="00C03F53" w:rsidRDefault="00C03F53">
      <w:pPr>
        <w:pStyle w:val="TOC1"/>
        <w:rPr>
          <w:rFonts w:asciiTheme="minorHAnsi" w:eastAsiaTheme="minorEastAsia" w:hAnsiTheme="minorHAnsi" w:cstheme="minorBidi"/>
          <w:b w:val="0"/>
          <w:spacing w:val="0"/>
          <w:sz w:val="22"/>
          <w:szCs w:val="22"/>
        </w:rPr>
      </w:pPr>
      <w:r>
        <w:t>Space object and radionavigation-satellite service class licences</w:t>
      </w:r>
      <w:r>
        <w:tab/>
      </w:r>
      <w:r>
        <w:fldChar w:fldCharType="begin"/>
      </w:r>
      <w:r>
        <w:instrText xml:space="preserve"> PAGEREF _Toc431541419 \h </w:instrText>
      </w:r>
      <w:r>
        <w:fldChar w:fldCharType="separate"/>
      </w:r>
      <w:r>
        <w:t>2</w:t>
      </w:r>
      <w:r>
        <w:fldChar w:fldCharType="end"/>
      </w:r>
    </w:p>
    <w:p w14:paraId="098C9B98" w14:textId="77777777" w:rsidR="00C03F53" w:rsidRDefault="00C03F53">
      <w:pPr>
        <w:pStyle w:val="TOC2"/>
        <w:rPr>
          <w:rFonts w:asciiTheme="minorHAnsi" w:eastAsiaTheme="minorEastAsia" w:hAnsiTheme="minorHAnsi" w:cstheme="minorBidi"/>
          <w:spacing w:val="0"/>
          <w:sz w:val="22"/>
          <w:szCs w:val="22"/>
        </w:rPr>
      </w:pPr>
      <w:r>
        <w:t>Frequency ranges of the radionavigation-satellite service</w:t>
      </w:r>
      <w:r>
        <w:tab/>
      </w:r>
      <w:r>
        <w:fldChar w:fldCharType="begin"/>
      </w:r>
      <w:r>
        <w:instrText xml:space="preserve"> PAGEREF _Toc431541420 \h </w:instrText>
      </w:r>
      <w:r>
        <w:fldChar w:fldCharType="separate"/>
      </w:r>
      <w:r>
        <w:t>3</w:t>
      </w:r>
      <w:r>
        <w:fldChar w:fldCharType="end"/>
      </w:r>
    </w:p>
    <w:p w14:paraId="7239D767" w14:textId="77777777" w:rsidR="00C03F53" w:rsidRDefault="00C03F53">
      <w:pPr>
        <w:pStyle w:val="TOC2"/>
        <w:rPr>
          <w:rFonts w:asciiTheme="minorHAnsi" w:eastAsiaTheme="minorEastAsia" w:hAnsiTheme="minorHAnsi" w:cstheme="minorBidi"/>
          <w:spacing w:val="0"/>
          <w:sz w:val="22"/>
          <w:szCs w:val="22"/>
        </w:rPr>
      </w:pPr>
      <w:r>
        <w:t>Potential interference and out-of-band considerations</w:t>
      </w:r>
      <w:r>
        <w:tab/>
      </w:r>
      <w:r>
        <w:fldChar w:fldCharType="begin"/>
      </w:r>
      <w:r>
        <w:instrText xml:space="preserve"> PAGEREF _Toc431541421 \h </w:instrText>
      </w:r>
      <w:r>
        <w:fldChar w:fldCharType="separate"/>
      </w:r>
      <w:r>
        <w:t>4</w:t>
      </w:r>
      <w:r>
        <w:fldChar w:fldCharType="end"/>
      </w:r>
    </w:p>
    <w:p w14:paraId="30098BAC" w14:textId="77777777" w:rsidR="00C03F53" w:rsidRDefault="00C03F53">
      <w:pPr>
        <w:pStyle w:val="TOC2"/>
        <w:rPr>
          <w:rFonts w:asciiTheme="minorHAnsi" w:eastAsiaTheme="minorEastAsia" w:hAnsiTheme="minorHAnsi" w:cstheme="minorBidi"/>
          <w:spacing w:val="0"/>
          <w:sz w:val="22"/>
          <w:szCs w:val="22"/>
        </w:rPr>
      </w:pPr>
      <w:r>
        <w:t>The 1980-2010 MHz and 2170-2200 MHz frequency ranges of the mobile-satellite service</w:t>
      </w:r>
      <w:r>
        <w:tab/>
      </w:r>
      <w:r>
        <w:fldChar w:fldCharType="begin"/>
      </w:r>
      <w:r>
        <w:instrText xml:space="preserve"> PAGEREF _Toc431541422 \h </w:instrText>
      </w:r>
      <w:r>
        <w:fldChar w:fldCharType="separate"/>
      </w:r>
      <w:r>
        <w:t>5</w:t>
      </w:r>
      <w:r>
        <w:fldChar w:fldCharType="end"/>
      </w:r>
    </w:p>
    <w:p w14:paraId="794005B2" w14:textId="77777777" w:rsidR="00C03F53" w:rsidRDefault="00C03F53">
      <w:pPr>
        <w:pStyle w:val="TOC2"/>
        <w:rPr>
          <w:rFonts w:asciiTheme="minorHAnsi" w:eastAsiaTheme="minorEastAsia" w:hAnsiTheme="minorHAnsi" w:cstheme="minorBidi"/>
          <w:spacing w:val="0"/>
          <w:sz w:val="22"/>
          <w:szCs w:val="22"/>
        </w:rPr>
      </w:pPr>
      <w:r>
        <w:t>Stations operating on a vessel</w:t>
      </w:r>
      <w:r>
        <w:tab/>
      </w:r>
      <w:r>
        <w:fldChar w:fldCharType="begin"/>
      </w:r>
      <w:r>
        <w:instrText xml:space="preserve"> PAGEREF _Toc431541423 \h </w:instrText>
      </w:r>
      <w:r>
        <w:fldChar w:fldCharType="separate"/>
      </w:r>
      <w:r>
        <w:t>6</w:t>
      </w:r>
      <w:r>
        <w:fldChar w:fldCharType="end"/>
      </w:r>
    </w:p>
    <w:p w14:paraId="2827710E" w14:textId="77777777" w:rsidR="00C03F53" w:rsidRDefault="00C03F53">
      <w:pPr>
        <w:pStyle w:val="TOC2"/>
        <w:rPr>
          <w:rFonts w:asciiTheme="minorHAnsi" w:eastAsiaTheme="minorEastAsia" w:hAnsiTheme="minorHAnsi" w:cstheme="minorBidi"/>
          <w:spacing w:val="0"/>
          <w:sz w:val="22"/>
          <w:szCs w:val="22"/>
        </w:rPr>
      </w:pPr>
      <w:r>
        <w:t>Use of notes in the class licences</w:t>
      </w:r>
      <w:r>
        <w:tab/>
      </w:r>
      <w:r>
        <w:fldChar w:fldCharType="begin"/>
      </w:r>
      <w:r>
        <w:instrText xml:space="preserve"> PAGEREF _Toc431541424 \h </w:instrText>
      </w:r>
      <w:r>
        <w:fldChar w:fldCharType="separate"/>
      </w:r>
      <w:r>
        <w:t>6</w:t>
      </w:r>
      <w:r>
        <w:fldChar w:fldCharType="end"/>
      </w:r>
    </w:p>
    <w:p w14:paraId="0C28F570" w14:textId="77777777" w:rsidR="00C03F53" w:rsidRDefault="00C03F53">
      <w:pPr>
        <w:pStyle w:val="TOC1"/>
        <w:rPr>
          <w:rFonts w:asciiTheme="minorHAnsi" w:eastAsiaTheme="minorEastAsia" w:hAnsiTheme="minorHAnsi" w:cstheme="minorBidi"/>
          <w:b w:val="0"/>
          <w:spacing w:val="0"/>
          <w:sz w:val="22"/>
          <w:szCs w:val="22"/>
        </w:rPr>
      </w:pPr>
      <w:r>
        <w:rPr>
          <w:lang w:eastAsia="en-US"/>
        </w:rPr>
        <w:t>Foreign space objects determination and jamming prohibition</w:t>
      </w:r>
      <w:r>
        <w:tab/>
      </w:r>
      <w:r>
        <w:fldChar w:fldCharType="begin"/>
      </w:r>
      <w:r>
        <w:instrText xml:space="preserve"> PAGEREF _Toc431541425 \h </w:instrText>
      </w:r>
      <w:r>
        <w:fldChar w:fldCharType="separate"/>
      </w:r>
      <w:r>
        <w:t>8</w:t>
      </w:r>
      <w:r>
        <w:fldChar w:fldCharType="end"/>
      </w:r>
    </w:p>
    <w:p w14:paraId="1A5C8AE1" w14:textId="77777777" w:rsidR="00C03F53" w:rsidRDefault="00C03F53">
      <w:pPr>
        <w:pStyle w:val="TOC2"/>
        <w:rPr>
          <w:rFonts w:asciiTheme="minorHAnsi" w:eastAsiaTheme="minorEastAsia" w:hAnsiTheme="minorHAnsi" w:cstheme="minorBidi"/>
          <w:spacing w:val="0"/>
          <w:sz w:val="22"/>
          <w:szCs w:val="22"/>
        </w:rPr>
      </w:pPr>
      <w:r>
        <w:rPr>
          <w:lang w:eastAsia="en-US"/>
        </w:rPr>
        <w:t>Consequential instrument amendments</w:t>
      </w:r>
      <w:r>
        <w:tab/>
      </w:r>
      <w:r>
        <w:fldChar w:fldCharType="begin"/>
      </w:r>
      <w:r>
        <w:instrText xml:space="preserve"> PAGEREF _Toc431541426 \h </w:instrText>
      </w:r>
      <w:r>
        <w:fldChar w:fldCharType="separate"/>
      </w:r>
      <w:r>
        <w:t>8</w:t>
      </w:r>
      <w:r>
        <w:fldChar w:fldCharType="end"/>
      </w:r>
    </w:p>
    <w:p w14:paraId="50FBFA9E" w14:textId="77777777" w:rsidR="000A4A51" w:rsidRPr="005143C2" w:rsidRDefault="007A6CC0" w:rsidP="004C1ABF">
      <w:pPr>
        <w:rPr>
          <w:rFonts w:cs="Arial"/>
        </w:rPr>
      </w:pPr>
      <w:r w:rsidRPr="005143C2">
        <w:rPr>
          <w:rFonts w:cs="Arial"/>
          <w:b/>
          <w:noProof/>
          <w:spacing w:val="-14"/>
          <w:sz w:val="28"/>
        </w:rPr>
        <w:fldChar w:fldCharType="end"/>
      </w:r>
    </w:p>
    <w:p w14:paraId="6DCA66B9" w14:textId="77777777" w:rsidR="004D56FF" w:rsidRPr="005143C2" w:rsidRDefault="004D56FF" w:rsidP="004C1ABF">
      <w:pPr>
        <w:rPr>
          <w:rFonts w:cs="Arial"/>
        </w:rPr>
        <w:sectPr w:rsidR="004D56FF" w:rsidRPr="005143C2"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71F4C04C" w14:textId="77777777" w:rsidR="004C1D90" w:rsidRDefault="00973207" w:rsidP="004C1D90">
      <w:pPr>
        <w:pStyle w:val="Heading1"/>
      </w:pPr>
      <w:bookmarkStart w:id="1" w:name="_Toc431541418"/>
      <w:r w:rsidRPr="004C1D90">
        <w:lastRenderedPageBreak/>
        <w:t>Introduction</w:t>
      </w:r>
      <w:bookmarkEnd w:id="1"/>
      <w:r w:rsidRPr="00973207">
        <w:t xml:space="preserve"> </w:t>
      </w:r>
    </w:p>
    <w:p w14:paraId="00F094C2" w14:textId="60DA9D95" w:rsidR="004C1D90" w:rsidRDefault="004C1D90" w:rsidP="004C1D90">
      <w:pPr>
        <w:rPr>
          <w:lang w:eastAsia="en-US"/>
        </w:rPr>
      </w:pPr>
      <w:r>
        <w:t xml:space="preserve">Under Part 6 of the </w:t>
      </w:r>
      <w:r>
        <w:rPr>
          <w:i/>
        </w:rPr>
        <w:t>Legislative Instruments Act 2003</w:t>
      </w:r>
      <w:r w:rsidRPr="004C1D90">
        <w:t>, th</w:t>
      </w:r>
      <w:r>
        <w:t xml:space="preserve">e </w:t>
      </w:r>
      <w:r>
        <w:rPr>
          <w:i/>
        </w:rPr>
        <w:t>Radiocommunications (Communication with Space Object) Class Licence 1998</w:t>
      </w:r>
      <w:r>
        <w:t xml:space="preserve"> </w:t>
      </w:r>
      <w:r>
        <w:rPr>
          <w:lang w:eastAsia="en-US"/>
        </w:rPr>
        <w:t xml:space="preserve">(the space object class licence) </w:t>
      </w:r>
      <w:r w:rsidR="00845A44">
        <w:rPr>
          <w:lang w:eastAsia="en-US"/>
        </w:rPr>
        <w:t xml:space="preserve">was set to </w:t>
      </w:r>
      <w:r>
        <w:rPr>
          <w:lang w:eastAsia="en-US"/>
        </w:rPr>
        <w:t xml:space="preserve">‘sunset’ on 1 October 2015. </w:t>
      </w:r>
      <w:r w:rsidR="00845A44">
        <w:rPr>
          <w:lang w:eastAsia="en-US"/>
        </w:rPr>
        <w:t>On 21 April 2015, t</w:t>
      </w:r>
      <w:r>
        <w:rPr>
          <w:lang w:eastAsia="en-US"/>
        </w:rPr>
        <w:t xml:space="preserve">he </w:t>
      </w:r>
      <w:r w:rsidR="00845A44">
        <w:rPr>
          <w:lang w:eastAsia="en-US"/>
        </w:rPr>
        <w:t>Australian Communications and Media Authority (</w:t>
      </w:r>
      <w:r>
        <w:rPr>
          <w:lang w:eastAsia="en-US"/>
        </w:rPr>
        <w:t>ACMA</w:t>
      </w:r>
      <w:r w:rsidR="00845A44">
        <w:rPr>
          <w:lang w:eastAsia="en-US"/>
        </w:rPr>
        <w:t>) sought comments on a</w:t>
      </w:r>
      <w:r>
        <w:rPr>
          <w:lang w:eastAsia="en-US"/>
        </w:rPr>
        <w:t xml:space="preserve"> propos</w:t>
      </w:r>
      <w:r w:rsidR="00845A44">
        <w:rPr>
          <w:lang w:eastAsia="en-US"/>
        </w:rPr>
        <w:t>al</w:t>
      </w:r>
      <w:r>
        <w:rPr>
          <w:lang w:eastAsia="en-US"/>
        </w:rPr>
        <w:t xml:space="preserve"> to remake the space object class licence with some changes while retaining the overall effect of the instrument</w:t>
      </w:r>
      <w:r w:rsidR="000E103A">
        <w:rPr>
          <w:lang w:eastAsia="en-US"/>
        </w:rPr>
        <w:t xml:space="preserve"> </w:t>
      </w:r>
      <w:r w:rsidR="00845A44">
        <w:rPr>
          <w:lang w:eastAsia="en-US"/>
        </w:rPr>
        <w:t xml:space="preserve">(see </w:t>
      </w:r>
      <w:hyperlink r:id="rId24" w:history="1">
        <w:r w:rsidR="00845A44" w:rsidRPr="004C1D90">
          <w:rPr>
            <w:rStyle w:val="Hyperlink"/>
            <w:lang w:eastAsia="en-US"/>
          </w:rPr>
          <w:t>IFC 13/2015</w:t>
        </w:r>
      </w:hyperlink>
      <w:r w:rsidR="00845A44">
        <w:rPr>
          <w:lang w:eastAsia="en-US"/>
        </w:rPr>
        <w:t>). T</w:t>
      </w:r>
      <w:r w:rsidR="000E103A">
        <w:rPr>
          <w:lang w:eastAsia="en-US"/>
        </w:rPr>
        <w:t xml:space="preserve">he consultation </w:t>
      </w:r>
      <w:r w:rsidR="00845A44">
        <w:rPr>
          <w:lang w:eastAsia="en-US"/>
        </w:rPr>
        <w:t xml:space="preserve">period </w:t>
      </w:r>
      <w:r w:rsidR="000E103A">
        <w:rPr>
          <w:lang w:eastAsia="en-US"/>
        </w:rPr>
        <w:t>clos</w:t>
      </w:r>
      <w:r w:rsidR="00845A44">
        <w:rPr>
          <w:lang w:eastAsia="en-US"/>
        </w:rPr>
        <w:t>ed</w:t>
      </w:r>
      <w:r w:rsidR="000E103A">
        <w:rPr>
          <w:lang w:eastAsia="en-US"/>
        </w:rPr>
        <w:t xml:space="preserve"> on 29 June 2015</w:t>
      </w:r>
      <w:r>
        <w:rPr>
          <w:lang w:eastAsia="en-US"/>
        </w:rPr>
        <w:t>.</w:t>
      </w:r>
    </w:p>
    <w:p w14:paraId="7906688D" w14:textId="4D00625E" w:rsidR="000715AE" w:rsidRDefault="004C1D90" w:rsidP="004C1D90">
      <w:pPr>
        <w:rPr>
          <w:lang w:eastAsia="en-US"/>
        </w:rPr>
      </w:pPr>
      <w:r>
        <w:rPr>
          <w:lang w:eastAsia="en-US"/>
        </w:rPr>
        <w:t xml:space="preserve">This response paper identifies those areas where submissions to the consultation process in </w:t>
      </w:r>
      <w:hyperlink r:id="rId25" w:history="1">
        <w:r w:rsidRPr="004C1D90">
          <w:rPr>
            <w:rStyle w:val="Hyperlink"/>
            <w:lang w:eastAsia="en-US"/>
          </w:rPr>
          <w:t>IFC 13/2015</w:t>
        </w:r>
      </w:hyperlink>
      <w:r>
        <w:rPr>
          <w:lang w:eastAsia="en-US"/>
        </w:rPr>
        <w:t xml:space="preserve"> were focussed, including the ACMA proposal to make a new class licence, the </w:t>
      </w:r>
      <w:r>
        <w:rPr>
          <w:i/>
          <w:lang w:eastAsia="en-US"/>
        </w:rPr>
        <w:t xml:space="preserve">Radiocommunications (Radionavigation-Satellite Service) Class Licence 2015 </w:t>
      </w:r>
      <w:r>
        <w:rPr>
          <w:lang w:eastAsia="en-US"/>
        </w:rPr>
        <w:t>(the radionavigation-satellite service class licence), and as a result of further consultation (</w:t>
      </w:r>
      <w:r w:rsidR="00845A44">
        <w:rPr>
          <w:lang w:eastAsia="en-US"/>
        </w:rPr>
        <w:t xml:space="preserve">see </w:t>
      </w:r>
      <w:hyperlink r:id="rId26" w:history="1">
        <w:r w:rsidRPr="004C1D90">
          <w:rPr>
            <w:rStyle w:val="Hyperlink"/>
            <w:lang w:eastAsia="en-US"/>
          </w:rPr>
          <w:t>IFC</w:t>
        </w:r>
        <w:r>
          <w:rPr>
            <w:rStyle w:val="Hyperlink"/>
            <w:lang w:eastAsia="en-US"/>
          </w:rPr>
          <w:t> </w:t>
        </w:r>
        <w:r w:rsidRPr="004C1D90">
          <w:rPr>
            <w:rStyle w:val="Hyperlink"/>
            <w:lang w:eastAsia="en-US"/>
          </w:rPr>
          <w:t>19/2015</w:t>
        </w:r>
      </w:hyperlink>
      <w:r>
        <w:rPr>
          <w:lang w:eastAsia="en-US"/>
        </w:rPr>
        <w:t>)</w:t>
      </w:r>
      <w:r w:rsidR="00B43E75">
        <w:rPr>
          <w:lang w:eastAsia="en-US"/>
        </w:rPr>
        <w:t>,</w:t>
      </w:r>
      <w:r>
        <w:rPr>
          <w:lang w:eastAsia="en-US"/>
        </w:rPr>
        <w:t xml:space="preserve"> on consequential amendments required to other legislative instruments.</w:t>
      </w:r>
    </w:p>
    <w:p w14:paraId="248145BD" w14:textId="3065154A" w:rsidR="004C1D90" w:rsidRPr="00D83076" w:rsidRDefault="000715AE" w:rsidP="004C1D90">
      <w:pPr>
        <w:rPr>
          <w:lang w:eastAsia="en-US"/>
        </w:rPr>
      </w:pPr>
      <w:r>
        <w:rPr>
          <w:lang w:eastAsia="en-US"/>
        </w:rPr>
        <w:t xml:space="preserve">Consultation on the </w:t>
      </w:r>
      <w:r w:rsidRPr="000715AE">
        <w:rPr>
          <w:i/>
          <w:lang w:eastAsia="en-US"/>
        </w:rPr>
        <w:t>Radiocommunications (Communication with Space Object) Class Licence Consequential Amendments Instrument 2015</w:t>
      </w:r>
      <w:r w:rsidR="000E103A">
        <w:rPr>
          <w:lang w:eastAsia="en-US"/>
        </w:rPr>
        <w:t xml:space="preserve"> </w:t>
      </w:r>
      <w:r w:rsidR="005C4D1F">
        <w:rPr>
          <w:lang w:eastAsia="en-US"/>
        </w:rPr>
        <w:t>(</w:t>
      </w:r>
      <w:hyperlink r:id="rId27" w:history="1">
        <w:r w:rsidR="005C4D1F" w:rsidRPr="004C1D90">
          <w:rPr>
            <w:rStyle w:val="Hyperlink"/>
            <w:lang w:eastAsia="en-US"/>
          </w:rPr>
          <w:t>IFC</w:t>
        </w:r>
        <w:r w:rsidR="005C4D1F">
          <w:rPr>
            <w:rStyle w:val="Hyperlink"/>
            <w:lang w:eastAsia="en-US"/>
          </w:rPr>
          <w:t> </w:t>
        </w:r>
        <w:r w:rsidR="005C4D1F" w:rsidRPr="004C1D90">
          <w:rPr>
            <w:rStyle w:val="Hyperlink"/>
            <w:lang w:eastAsia="en-US"/>
          </w:rPr>
          <w:t>19/2015</w:t>
        </w:r>
      </w:hyperlink>
      <w:r w:rsidR="005C4D1F">
        <w:rPr>
          <w:lang w:eastAsia="en-US"/>
        </w:rPr>
        <w:t xml:space="preserve">) </w:t>
      </w:r>
      <w:r w:rsidR="000E103A">
        <w:rPr>
          <w:lang w:eastAsia="en-US"/>
        </w:rPr>
        <w:t xml:space="preserve">was completed on 3 September 2015. It identified amendments that were required to the </w:t>
      </w:r>
      <w:r w:rsidR="000E103A">
        <w:rPr>
          <w:i/>
          <w:lang w:eastAsia="en-US"/>
        </w:rPr>
        <w:t xml:space="preserve">Radiocommunications (Foreign Space Objects) Determination 2014 </w:t>
      </w:r>
      <w:r w:rsidR="000E103A">
        <w:rPr>
          <w:lang w:eastAsia="en-US"/>
        </w:rPr>
        <w:t xml:space="preserve">(the foreign space objects determination) and </w:t>
      </w:r>
      <w:r w:rsidR="000E103A" w:rsidRPr="009E6562">
        <w:rPr>
          <w:i/>
          <w:lang w:eastAsia="en-US"/>
        </w:rPr>
        <w:t>Radiocommunications (Prohibited Device) (RNSS Jamming Devices) Declaration 2014</w:t>
      </w:r>
      <w:r w:rsidR="000E103A">
        <w:rPr>
          <w:lang w:eastAsia="en-US"/>
        </w:rPr>
        <w:t xml:space="preserve"> (the jamming prohibition) as a result of remaking the space object class licence.</w:t>
      </w:r>
    </w:p>
    <w:p w14:paraId="32FADFC5" w14:textId="0E5D1C62" w:rsidR="00973207" w:rsidRDefault="00973207" w:rsidP="004C1D90">
      <w:pPr>
        <w:rPr>
          <w:lang w:eastAsia="en-US"/>
        </w:rPr>
      </w:pPr>
      <w:r>
        <w:br w:type="page"/>
      </w:r>
    </w:p>
    <w:p w14:paraId="3032F6B3" w14:textId="33E6A955" w:rsidR="007A67EB" w:rsidRDefault="007A67EB" w:rsidP="00E17A8A">
      <w:pPr>
        <w:pStyle w:val="Heading1"/>
      </w:pPr>
      <w:bookmarkStart w:id="2" w:name="_Toc431541419"/>
      <w:r>
        <w:lastRenderedPageBreak/>
        <w:t>Space object and radionavigation-satellite service class licences</w:t>
      </w:r>
      <w:bookmarkEnd w:id="2"/>
    </w:p>
    <w:p w14:paraId="2E2F0A0B" w14:textId="3EA16A9F" w:rsidR="002A27BD" w:rsidRPr="005143C2" w:rsidRDefault="00267916" w:rsidP="004C1ABF">
      <w:pPr>
        <w:rPr>
          <w:rFonts w:cs="Arial"/>
        </w:rPr>
      </w:pPr>
      <w:r>
        <w:rPr>
          <w:lang w:eastAsia="en-US"/>
        </w:rPr>
        <w:t xml:space="preserve">The ACMA completed the consultation phase of </w:t>
      </w:r>
      <w:r w:rsidR="00074867">
        <w:rPr>
          <w:lang w:eastAsia="en-US"/>
        </w:rPr>
        <w:t>re</w:t>
      </w:r>
      <w:r>
        <w:rPr>
          <w:lang w:eastAsia="en-US"/>
        </w:rPr>
        <w:t xml:space="preserve">making the </w:t>
      </w:r>
      <w:r w:rsidR="00074867">
        <w:rPr>
          <w:i/>
          <w:lang w:eastAsia="en-US"/>
        </w:rPr>
        <w:t xml:space="preserve">Radiocommunication (Communication with Space Object) Class Licence 1998 </w:t>
      </w:r>
      <w:r>
        <w:rPr>
          <w:lang w:eastAsia="en-US"/>
        </w:rPr>
        <w:t xml:space="preserve">and </w:t>
      </w:r>
      <w:r w:rsidR="0020226E">
        <w:rPr>
          <w:lang w:eastAsia="en-US"/>
        </w:rPr>
        <w:t xml:space="preserve">making </w:t>
      </w:r>
      <w:r w:rsidR="00074867">
        <w:rPr>
          <w:lang w:eastAsia="en-US"/>
        </w:rPr>
        <w:t xml:space="preserve">the </w:t>
      </w:r>
      <w:r w:rsidR="00074867">
        <w:rPr>
          <w:i/>
          <w:lang w:eastAsia="en-US"/>
        </w:rPr>
        <w:t xml:space="preserve">Radiocommunications (Radionavigation-satellite service) Class Licence 2015 </w:t>
      </w:r>
      <w:r>
        <w:rPr>
          <w:lang w:eastAsia="en-US"/>
        </w:rPr>
        <w:t>on 29 June 2015</w:t>
      </w:r>
      <w:r w:rsidR="00864D6D">
        <w:rPr>
          <w:lang w:eastAsia="en-US"/>
        </w:rPr>
        <w:t>.</w:t>
      </w:r>
    </w:p>
    <w:p w14:paraId="5DA119BE" w14:textId="3A453E4A" w:rsidR="00322DF0" w:rsidRPr="005143C2" w:rsidRDefault="00322DF0" w:rsidP="004C1ABF">
      <w:pPr>
        <w:rPr>
          <w:rFonts w:cs="Arial"/>
        </w:rPr>
      </w:pPr>
      <w:r w:rsidRPr="005143C2">
        <w:rPr>
          <w:rFonts w:cs="Arial"/>
        </w:rPr>
        <w:t xml:space="preserve">There were </w:t>
      </w:r>
      <w:hyperlink r:id="rId28" w:history="1">
        <w:r w:rsidR="007A67EB" w:rsidRPr="009864D4">
          <w:rPr>
            <w:rStyle w:val="Hyperlink"/>
            <w:rFonts w:cs="Arial"/>
          </w:rPr>
          <w:t>12</w:t>
        </w:r>
        <w:r w:rsidRPr="009864D4">
          <w:rPr>
            <w:rStyle w:val="Hyperlink"/>
            <w:rFonts w:cs="Arial"/>
          </w:rPr>
          <w:t xml:space="preserve"> submissions</w:t>
        </w:r>
      </w:hyperlink>
      <w:r w:rsidRPr="005143C2">
        <w:rPr>
          <w:rFonts w:cs="Arial"/>
        </w:rPr>
        <w:t xml:space="preserve"> received from:</w:t>
      </w:r>
    </w:p>
    <w:p w14:paraId="53E85CC7" w14:textId="77777777" w:rsidR="007D38B0" w:rsidRPr="005143C2" w:rsidRDefault="007D38B0" w:rsidP="00583928">
      <w:pPr>
        <w:pStyle w:val="ListBullet"/>
        <w:tabs>
          <w:tab w:val="clear" w:pos="295"/>
          <w:tab w:val="num" w:pos="863"/>
        </w:tabs>
        <w:ind w:left="863"/>
        <w:rPr>
          <w:rFonts w:cs="Arial"/>
        </w:rPr>
      </w:pPr>
      <w:r w:rsidRPr="005143C2">
        <w:rPr>
          <w:rFonts w:cs="Arial"/>
        </w:rPr>
        <w:t>Australian Department of Defence (Defence)</w:t>
      </w:r>
    </w:p>
    <w:p w14:paraId="143C300A" w14:textId="77777777" w:rsidR="007D38B0" w:rsidRPr="005143C2" w:rsidRDefault="007D38B0" w:rsidP="00583928">
      <w:pPr>
        <w:pStyle w:val="ListBullet"/>
        <w:tabs>
          <w:tab w:val="clear" w:pos="295"/>
          <w:tab w:val="num" w:pos="863"/>
        </w:tabs>
        <w:ind w:left="863"/>
        <w:rPr>
          <w:rFonts w:cs="Arial"/>
        </w:rPr>
      </w:pPr>
      <w:r w:rsidRPr="005143C2">
        <w:rPr>
          <w:rFonts w:cs="Arial"/>
        </w:rPr>
        <w:t>Australian Maritime Safety Authority (AMSA)</w:t>
      </w:r>
    </w:p>
    <w:p w14:paraId="640B98C4" w14:textId="77777777" w:rsidR="007D38B0" w:rsidRPr="005143C2" w:rsidRDefault="007D38B0" w:rsidP="00583928">
      <w:pPr>
        <w:pStyle w:val="ListBullet"/>
        <w:tabs>
          <w:tab w:val="clear" w:pos="295"/>
          <w:tab w:val="num" w:pos="863"/>
        </w:tabs>
        <w:ind w:left="863"/>
        <w:rPr>
          <w:rFonts w:cs="Arial"/>
        </w:rPr>
      </w:pPr>
      <w:r w:rsidRPr="005143C2">
        <w:rPr>
          <w:rFonts w:cs="Arial"/>
        </w:rPr>
        <w:t>Australian Subscription Television and Radio Association (ASTRA)</w:t>
      </w:r>
    </w:p>
    <w:p w14:paraId="2BF08CB1" w14:textId="77777777" w:rsidR="007D38B0" w:rsidRPr="005143C2" w:rsidRDefault="007D38B0" w:rsidP="00583928">
      <w:pPr>
        <w:pStyle w:val="ListBullet"/>
        <w:tabs>
          <w:tab w:val="clear" w:pos="295"/>
          <w:tab w:val="num" w:pos="863"/>
        </w:tabs>
        <w:ind w:left="863"/>
        <w:rPr>
          <w:rFonts w:cs="Arial"/>
        </w:rPr>
      </w:pPr>
      <w:r>
        <w:rPr>
          <w:rFonts w:cs="Arial"/>
        </w:rPr>
        <w:t>Communications Alliance</w:t>
      </w:r>
      <w:r w:rsidDel="007D38B0">
        <w:rPr>
          <w:rFonts w:cs="Arial"/>
        </w:rPr>
        <w:t>.</w:t>
      </w:r>
    </w:p>
    <w:p w14:paraId="465234F2" w14:textId="77777777" w:rsidR="007D38B0" w:rsidRPr="005143C2" w:rsidRDefault="007D38B0" w:rsidP="00583928">
      <w:pPr>
        <w:pStyle w:val="ListBullet"/>
        <w:tabs>
          <w:tab w:val="clear" w:pos="295"/>
          <w:tab w:val="num" w:pos="863"/>
        </w:tabs>
        <w:ind w:left="863"/>
        <w:rPr>
          <w:rFonts w:cs="Arial"/>
        </w:rPr>
      </w:pPr>
      <w:r w:rsidRPr="005143C2">
        <w:rPr>
          <w:rFonts w:cs="Arial"/>
        </w:rPr>
        <w:t>European Commission (EC)</w:t>
      </w:r>
    </w:p>
    <w:p w14:paraId="5AC60F2A" w14:textId="77777777" w:rsidR="007D38B0" w:rsidRDefault="007D38B0" w:rsidP="00583928">
      <w:pPr>
        <w:pStyle w:val="ListBullet"/>
        <w:tabs>
          <w:tab w:val="clear" w:pos="295"/>
          <w:tab w:val="num" w:pos="863"/>
        </w:tabs>
        <w:ind w:left="863"/>
        <w:rPr>
          <w:rFonts w:cs="Arial"/>
        </w:rPr>
      </w:pPr>
      <w:r w:rsidRPr="005143C2">
        <w:rPr>
          <w:rFonts w:cs="Arial"/>
        </w:rPr>
        <w:t>Free TV Australia</w:t>
      </w:r>
      <w:r>
        <w:rPr>
          <w:rFonts w:cs="Arial"/>
        </w:rPr>
        <w:t xml:space="preserve"> (Free TV)</w:t>
      </w:r>
    </w:p>
    <w:p w14:paraId="7B40A3A2" w14:textId="77777777" w:rsidR="007D38B0" w:rsidRDefault="007D38B0" w:rsidP="00583928">
      <w:pPr>
        <w:pStyle w:val="ListBullet"/>
        <w:tabs>
          <w:tab w:val="clear" w:pos="295"/>
          <w:tab w:val="num" w:pos="863"/>
        </w:tabs>
        <w:ind w:left="863"/>
        <w:rPr>
          <w:rFonts w:cs="Arial"/>
        </w:rPr>
      </w:pPr>
      <w:r>
        <w:rPr>
          <w:rFonts w:cs="Arial"/>
        </w:rPr>
        <w:t>Geoscience Australia (GA)</w:t>
      </w:r>
    </w:p>
    <w:p w14:paraId="79D274D6" w14:textId="77777777" w:rsidR="007D38B0" w:rsidRPr="005143C2" w:rsidRDefault="007D38B0" w:rsidP="00583928">
      <w:pPr>
        <w:pStyle w:val="ListBullet"/>
        <w:tabs>
          <w:tab w:val="clear" w:pos="295"/>
          <w:tab w:val="num" w:pos="863"/>
        </w:tabs>
        <w:ind w:left="863"/>
        <w:rPr>
          <w:rFonts w:cs="Arial"/>
        </w:rPr>
      </w:pPr>
      <w:r w:rsidRPr="005143C2">
        <w:rPr>
          <w:rFonts w:cs="Arial"/>
        </w:rPr>
        <w:t>Inmarsat</w:t>
      </w:r>
    </w:p>
    <w:p w14:paraId="19D920AB" w14:textId="77777777" w:rsidR="007D38B0" w:rsidRPr="005143C2" w:rsidRDefault="007D38B0" w:rsidP="00583928">
      <w:pPr>
        <w:pStyle w:val="ListBullet"/>
        <w:tabs>
          <w:tab w:val="clear" w:pos="295"/>
          <w:tab w:val="num" w:pos="863"/>
        </w:tabs>
        <w:ind w:left="863"/>
        <w:rPr>
          <w:rFonts w:cs="Arial"/>
        </w:rPr>
      </w:pPr>
      <w:proofErr w:type="spellStart"/>
      <w:r w:rsidRPr="005143C2">
        <w:rPr>
          <w:rFonts w:cs="Arial"/>
        </w:rPr>
        <w:t>Omnispace</w:t>
      </w:r>
      <w:proofErr w:type="spellEnd"/>
      <w:r w:rsidRPr="005143C2">
        <w:rPr>
          <w:rFonts w:cs="Arial"/>
        </w:rPr>
        <w:t xml:space="preserve"> Australia</w:t>
      </w:r>
    </w:p>
    <w:p w14:paraId="39C6FB64" w14:textId="77777777" w:rsidR="007D38B0" w:rsidRPr="005143C2" w:rsidRDefault="007D38B0" w:rsidP="00583928">
      <w:pPr>
        <w:pStyle w:val="ListBullet"/>
        <w:tabs>
          <w:tab w:val="clear" w:pos="295"/>
          <w:tab w:val="num" w:pos="863"/>
        </w:tabs>
        <w:ind w:left="863"/>
        <w:rPr>
          <w:rFonts w:cs="Arial"/>
        </w:rPr>
      </w:pPr>
      <w:r w:rsidRPr="005143C2">
        <w:rPr>
          <w:rFonts w:cs="Arial"/>
        </w:rPr>
        <w:t>SingTel Optus Pty Ltd (Optus)</w:t>
      </w:r>
    </w:p>
    <w:p w14:paraId="21A6F8CE" w14:textId="77777777" w:rsidR="007D38B0" w:rsidRPr="005143C2" w:rsidRDefault="007D38B0" w:rsidP="00583928">
      <w:pPr>
        <w:pStyle w:val="ListBullet"/>
        <w:tabs>
          <w:tab w:val="clear" w:pos="295"/>
          <w:tab w:val="num" w:pos="863"/>
        </w:tabs>
        <w:ind w:left="863"/>
        <w:rPr>
          <w:rFonts w:cs="Arial"/>
        </w:rPr>
      </w:pPr>
      <w:r w:rsidRPr="005143C2">
        <w:rPr>
          <w:rFonts w:cs="Arial"/>
        </w:rPr>
        <w:t>Telstra Pty Ltd</w:t>
      </w:r>
      <w:r>
        <w:rPr>
          <w:rFonts w:cs="Arial"/>
        </w:rPr>
        <w:t xml:space="preserve"> (Telstra)</w:t>
      </w:r>
    </w:p>
    <w:p w14:paraId="1DA3C9A2" w14:textId="77777777" w:rsidR="007D38B0" w:rsidRPr="005143C2" w:rsidRDefault="007D38B0" w:rsidP="00583928">
      <w:pPr>
        <w:pStyle w:val="ListBullet"/>
        <w:tabs>
          <w:tab w:val="clear" w:pos="295"/>
          <w:tab w:val="num" w:pos="863"/>
        </w:tabs>
        <w:ind w:left="863"/>
        <w:rPr>
          <w:rFonts w:cs="Arial"/>
        </w:rPr>
      </w:pPr>
      <w:r w:rsidRPr="005143C2">
        <w:rPr>
          <w:rFonts w:cs="Arial"/>
        </w:rPr>
        <w:t>Thuraya Telecommunications Company</w:t>
      </w:r>
      <w:r>
        <w:rPr>
          <w:rFonts w:cs="Arial"/>
        </w:rPr>
        <w:t xml:space="preserve"> (Thuraya)</w:t>
      </w:r>
    </w:p>
    <w:p w14:paraId="148AC6F3" w14:textId="77777777" w:rsidR="00FC6851" w:rsidRDefault="00FC6851" w:rsidP="004C1ABF">
      <w:pPr>
        <w:rPr>
          <w:rFonts w:cs="Arial"/>
        </w:rPr>
      </w:pPr>
    </w:p>
    <w:p w14:paraId="2AFF1C77" w14:textId="77777777" w:rsidR="00322DF0" w:rsidRPr="005143C2" w:rsidRDefault="00D458AD" w:rsidP="004C1ABF">
      <w:pPr>
        <w:rPr>
          <w:rFonts w:cs="Arial"/>
        </w:rPr>
      </w:pPr>
      <w:r w:rsidRPr="005143C2">
        <w:rPr>
          <w:rFonts w:cs="Arial"/>
        </w:rPr>
        <w:t xml:space="preserve">The following is </w:t>
      </w:r>
      <w:r w:rsidR="00624FF4" w:rsidRPr="005143C2">
        <w:rPr>
          <w:rFonts w:cs="Arial"/>
        </w:rPr>
        <w:t>a</w:t>
      </w:r>
      <w:r w:rsidRPr="005143C2">
        <w:rPr>
          <w:rFonts w:cs="Arial"/>
        </w:rPr>
        <w:t xml:space="preserve"> synopsis of the comments received</w:t>
      </w:r>
      <w:r w:rsidR="00285549" w:rsidRPr="005143C2">
        <w:rPr>
          <w:rFonts w:cs="Arial"/>
        </w:rPr>
        <w:t xml:space="preserve"> based on </w:t>
      </w:r>
      <w:r w:rsidR="009F1A37" w:rsidRPr="00210A38">
        <w:rPr>
          <w:rFonts w:cs="Arial"/>
        </w:rPr>
        <w:t>five</w:t>
      </w:r>
      <w:r w:rsidR="00285549" w:rsidRPr="005143C2">
        <w:rPr>
          <w:rFonts w:cs="Arial"/>
        </w:rPr>
        <w:t xml:space="preserve"> key areas:</w:t>
      </w:r>
    </w:p>
    <w:p w14:paraId="17F3BFF3" w14:textId="36C0408C" w:rsidR="00285549" w:rsidRDefault="00285549" w:rsidP="00583928">
      <w:pPr>
        <w:pStyle w:val="ListBullet"/>
        <w:tabs>
          <w:tab w:val="clear" w:pos="295"/>
          <w:tab w:val="num" w:pos="1431"/>
        </w:tabs>
        <w:ind w:left="863"/>
        <w:rPr>
          <w:rFonts w:cs="Arial"/>
        </w:rPr>
      </w:pPr>
      <w:r w:rsidRPr="005143C2">
        <w:rPr>
          <w:rFonts w:cs="Arial"/>
        </w:rPr>
        <w:t xml:space="preserve">frequency ranges </w:t>
      </w:r>
      <w:r w:rsidR="001C7719">
        <w:rPr>
          <w:rFonts w:cs="Arial"/>
        </w:rPr>
        <w:t>of</w:t>
      </w:r>
      <w:r w:rsidRPr="005143C2">
        <w:rPr>
          <w:rFonts w:cs="Arial"/>
        </w:rPr>
        <w:t xml:space="preserve"> the radionavigation-satellite service</w:t>
      </w:r>
    </w:p>
    <w:p w14:paraId="7D178206" w14:textId="77777777" w:rsidR="009F1A37" w:rsidRPr="005143C2" w:rsidRDefault="009F1A37" w:rsidP="00583928">
      <w:pPr>
        <w:pStyle w:val="ListBullet"/>
        <w:tabs>
          <w:tab w:val="clear" w:pos="295"/>
          <w:tab w:val="num" w:pos="1431"/>
        </w:tabs>
        <w:ind w:left="863"/>
        <w:rPr>
          <w:rFonts w:cs="Arial"/>
        </w:rPr>
      </w:pPr>
      <w:r>
        <w:rPr>
          <w:rFonts w:cs="Arial"/>
        </w:rPr>
        <w:t>potential interference and out-of-band considerations</w:t>
      </w:r>
    </w:p>
    <w:p w14:paraId="09E41B97" w14:textId="08790BA3" w:rsidR="00285549" w:rsidRPr="005143C2" w:rsidRDefault="00285549" w:rsidP="00583928">
      <w:pPr>
        <w:pStyle w:val="ListBullet"/>
        <w:tabs>
          <w:tab w:val="clear" w:pos="295"/>
          <w:tab w:val="num" w:pos="1431"/>
        </w:tabs>
        <w:ind w:left="863"/>
        <w:rPr>
          <w:rFonts w:cs="Arial"/>
        </w:rPr>
      </w:pPr>
      <w:bookmarkStart w:id="3" w:name="_Toc416425961"/>
      <w:r w:rsidRPr="005143C2">
        <w:rPr>
          <w:rFonts w:cs="Arial"/>
        </w:rPr>
        <w:t>the 1980-2010 MHz and 2170-2200 MHz frequency ranges of the mobile-satellite service</w:t>
      </w:r>
      <w:bookmarkEnd w:id="3"/>
    </w:p>
    <w:p w14:paraId="0F0329A1" w14:textId="77777777" w:rsidR="00285549" w:rsidRPr="005143C2" w:rsidRDefault="00285549" w:rsidP="00583928">
      <w:pPr>
        <w:pStyle w:val="ListBullet"/>
        <w:tabs>
          <w:tab w:val="clear" w:pos="295"/>
          <w:tab w:val="num" w:pos="863"/>
        </w:tabs>
        <w:ind w:left="863"/>
        <w:rPr>
          <w:rFonts w:cs="Arial"/>
        </w:rPr>
      </w:pPr>
      <w:r w:rsidRPr="005143C2">
        <w:rPr>
          <w:rFonts w:cs="Arial"/>
        </w:rPr>
        <w:t>stations operating on a vessel</w:t>
      </w:r>
    </w:p>
    <w:p w14:paraId="0760BAB1" w14:textId="38BD2904" w:rsidR="00C87C59" w:rsidRDefault="00C87C59" w:rsidP="00583928">
      <w:pPr>
        <w:pStyle w:val="ListBullet"/>
        <w:tabs>
          <w:tab w:val="clear" w:pos="295"/>
          <w:tab w:val="num" w:pos="863"/>
        </w:tabs>
        <w:ind w:left="863"/>
        <w:rPr>
          <w:rFonts w:cs="Arial"/>
        </w:rPr>
      </w:pPr>
      <w:r w:rsidRPr="005143C2">
        <w:rPr>
          <w:rFonts w:cs="Arial"/>
        </w:rPr>
        <w:t>use of notes in the class licences</w:t>
      </w:r>
      <w:r w:rsidR="00C96357">
        <w:rPr>
          <w:rFonts w:cs="Arial"/>
        </w:rPr>
        <w:t>.</w:t>
      </w:r>
    </w:p>
    <w:p w14:paraId="24E6CA6E" w14:textId="77777777" w:rsidR="007A67EB" w:rsidRPr="005143C2" w:rsidRDefault="007A67EB" w:rsidP="007A67EB"/>
    <w:p w14:paraId="7855F03D" w14:textId="77777777" w:rsidR="00BF4FE3" w:rsidRDefault="00BF4FE3">
      <w:pPr>
        <w:spacing w:after="0" w:line="240" w:lineRule="auto"/>
        <w:rPr>
          <w:rFonts w:cs="Arial"/>
          <w:b/>
          <w:bCs/>
          <w:iCs/>
          <w:sz w:val="28"/>
          <w:szCs w:val="28"/>
        </w:rPr>
      </w:pPr>
      <w:r>
        <w:br w:type="page"/>
      </w:r>
    </w:p>
    <w:p w14:paraId="44F0A54B" w14:textId="18AD6AC8" w:rsidR="00285549" w:rsidRPr="005143C2" w:rsidRDefault="001C5BF5" w:rsidP="00E17A8A">
      <w:pPr>
        <w:pStyle w:val="Heading2"/>
      </w:pPr>
      <w:bookmarkStart w:id="4" w:name="_Toc431541420"/>
      <w:r w:rsidRPr="005143C2">
        <w:lastRenderedPageBreak/>
        <w:t>F</w:t>
      </w:r>
      <w:r w:rsidR="00173D20" w:rsidRPr="005143C2">
        <w:t xml:space="preserve">requency ranges </w:t>
      </w:r>
      <w:r w:rsidR="001C7719">
        <w:t>of</w:t>
      </w:r>
      <w:r w:rsidR="001C7719" w:rsidRPr="005143C2">
        <w:t xml:space="preserve"> </w:t>
      </w:r>
      <w:r w:rsidR="00173D20" w:rsidRPr="005143C2">
        <w:t>the radionavigation-satellite service</w:t>
      </w:r>
      <w:bookmarkEnd w:id="4"/>
    </w:p>
    <w:p w14:paraId="5F020516" w14:textId="185ED914" w:rsidR="00173D20" w:rsidRPr="005143C2" w:rsidRDefault="00583928" w:rsidP="00BF4FE3">
      <w:pPr>
        <w:rPr>
          <w:rFonts w:cs="Arial"/>
        </w:rPr>
      </w:pPr>
      <w:r w:rsidRPr="005143C2">
        <w:rPr>
          <w:rFonts w:cs="Arial"/>
        </w:rPr>
        <w:t xml:space="preserve">There was consensus </w:t>
      </w:r>
      <w:r w:rsidR="00864D6D">
        <w:rPr>
          <w:rFonts w:cs="Arial"/>
        </w:rPr>
        <w:t>in the</w:t>
      </w:r>
      <w:r w:rsidRPr="005143C2">
        <w:rPr>
          <w:rFonts w:cs="Arial"/>
        </w:rPr>
        <w:t xml:space="preserve"> submissions to </w:t>
      </w:r>
      <w:r w:rsidR="00864D6D">
        <w:rPr>
          <w:rFonts w:cs="Arial"/>
        </w:rPr>
        <w:t xml:space="preserve">implement a new regulatory regime for the </w:t>
      </w:r>
      <w:r w:rsidR="00B43E75">
        <w:rPr>
          <w:rFonts w:cs="Arial"/>
        </w:rPr>
        <w:t xml:space="preserve">class licensing of the </w:t>
      </w:r>
      <w:r w:rsidR="00864D6D">
        <w:rPr>
          <w:rFonts w:cs="Arial"/>
        </w:rPr>
        <w:t>radionavigation-satellite service by making</w:t>
      </w:r>
      <w:r w:rsidRPr="005143C2">
        <w:rPr>
          <w:rFonts w:cs="Arial"/>
        </w:rPr>
        <w:t xml:space="preserve"> a </w:t>
      </w:r>
      <w:r w:rsidR="001C7719">
        <w:rPr>
          <w:rFonts w:cs="Arial"/>
        </w:rPr>
        <w:t>new</w:t>
      </w:r>
      <w:r w:rsidRPr="005143C2">
        <w:rPr>
          <w:rFonts w:cs="Arial"/>
        </w:rPr>
        <w:t xml:space="preserve"> class licence </w:t>
      </w:r>
      <w:r w:rsidR="001C7719">
        <w:rPr>
          <w:rFonts w:cs="Arial"/>
        </w:rPr>
        <w:t>containing</w:t>
      </w:r>
      <w:r w:rsidR="001C7719" w:rsidRPr="005143C2">
        <w:rPr>
          <w:rFonts w:cs="Arial"/>
        </w:rPr>
        <w:t xml:space="preserve"> </w:t>
      </w:r>
      <w:r w:rsidRPr="005143C2">
        <w:rPr>
          <w:rFonts w:cs="Arial"/>
        </w:rPr>
        <w:t xml:space="preserve">the frequency ranges of the radionavigation-satellite service </w:t>
      </w:r>
      <w:r w:rsidR="001C7719">
        <w:rPr>
          <w:rFonts w:cs="Arial"/>
        </w:rPr>
        <w:t>that are used to provide service to ubiquitous earth stations in Australia</w:t>
      </w:r>
      <w:r w:rsidRPr="005143C2">
        <w:rPr>
          <w:rFonts w:cs="Arial"/>
        </w:rPr>
        <w:t xml:space="preserve">. The </w:t>
      </w:r>
      <w:r w:rsidR="00864D6D">
        <w:rPr>
          <w:rFonts w:cs="Arial"/>
        </w:rPr>
        <w:t>list of frequencies</w:t>
      </w:r>
      <w:r w:rsidRPr="005143C2">
        <w:rPr>
          <w:rFonts w:cs="Arial"/>
        </w:rPr>
        <w:t xml:space="preserve"> </w:t>
      </w:r>
      <w:r w:rsidR="00034772">
        <w:rPr>
          <w:rFonts w:cs="Arial"/>
        </w:rPr>
        <w:t>in</w:t>
      </w:r>
      <w:r w:rsidRPr="005143C2">
        <w:rPr>
          <w:rFonts w:cs="Arial"/>
        </w:rPr>
        <w:t xml:space="preserve"> the radionavigation-satellite service class licence are:</w:t>
      </w:r>
    </w:p>
    <w:p w14:paraId="6B8A0AD6" w14:textId="77777777" w:rsidR="00583928" w:rsidRPr="005143C2" w:rsidRDefault="00583928">
      <w:pPr>
        <w:pStyle w:val="ListBullet"/>
        <w:keepNext/>
        <w:tabs>
          <w:tab w:val="clear" w:pos="295"/>
          <w:tab w:val="num" w:pos="885"/>
        </w:tabs>
        <w:ind w:left="885"/>
        <w:rPr>
          <w:rFonts w:cs="Arial"/>
        </w:rPr>
      </w:pPr>
      <w:r w:rsidRPr="005143C2">
        <w:rPr>
          <w:rFonts w:cs="Arial"/>
        </w:rPr>
        <w:t>1164 to 1215 MHz</w:t>
      </w:r>
    </w:p>
    <w:p w14:paraId="29CE9886" w14:textId="77777777" w:rsidR="00583928" w:rsidRPr="005143C2" w:rsidRDefault="00583928" w:rsidP="00583928">
      <w:pPr>
        <w:pStyle w:val="ListBullet"/>
        <w:keepNext/>
        <w:tabs>
          <w:tab w:val="clear" w:pos="295"/>
          <w:tab w:val="num" w:pos="1735"/>
        </w:tabs>
        <w:ind w:left="1735"/>
        <w:rPr>
          <w:rFonts w:cs="Arial"/>
        </w:rPr>
      </w:pPr>
      <w:r w:rsidRPr="005143C2">
        <w:rPr>
          <w:rFonts w:cs="Arial"/>
        </w:rPr>
        <w:t>excised from the space object class licence</w:t>
      </w:r>
    </w:p>
    <w:p w14:paraId="75BE0BFE" w14:textId="77777777" w:rsidR="00583928" w:rsidRPr="005143C2" w:rsidRDefault="00583928" w:rsidP="00583928">
      <w:pPr>
        <w:pStyle w:val="ListBullet"/>
        <w:keepNext/>
        <w:tabs>
          <w:tab w:val="clear" w:pos="295"/>
          <w:tab w:val="num" w:pos="885"/>
        </w:tabs>
        <w:ind w:left="885"/>
        <w:rPr>
          <w:rFonts w:cs="Arial"/>
        </w:rPr>
      </w:pPr>
      <w:r w:rsidRPr="005143C2">
        <w:rPr>
          <w:rFonts w:cs="Arial"/>
        </w:rPr>
        <w:t xml:space="preserve">1215 to 1240 MHz </w:t>
      </w:r>
    </w:p>
    <w:p w14:paraId="16DEFBC6" w14:textId="77777777" w:rsidR="00583928" w:rsidRPr="005143C2" w:rsidRDefault="00583928" w:rsidP="00583928">
      <w:pPr>
        <w:pStyle w:val="ListBullet"/>
        <w:keepNext/>
        <w:tabs>
          <w:tab w:val="clear" w:pos="295"/>
          <w:tab w:val="num" w:pos="1735"/>
        </w:tabs>
        <w:ind w:left="1735"/>
        <w:rPr>
          <w:rFonts w:cs="Arial"/>
        </w:rPr>
      </w:pPr>
      <w:r w:rsidRPr="005143C2">
        <w:rPr>
          <w:rFonts w:cs="Arial"/>
        </w:rPr>
        <w:t>excised from the space object class licence</w:t>
      </w:r>
    </w:p>
    <w:p w14:paraId="036D8F02" w14:textId="77777777" w:rsidR="00583928" w:rsidRPr="005143C2" w:rsidRDefault="00583928" w:rsidP="00583928">
      <w:pPr>
        <w:pStyle w:val="ListBullet"/>
        <w:keepNext/>
        <w:tabs>
          <w:tab w:val="clear" w:pos="295"/>
          <w:tab w:val="num" w:pos="885"/>
        </w:tabs>
        <w:ind w:left="885"/>
        <w:rPr>
          <w:rFonts w:cs="Arial"/>
        </w:rPr>
      </w:pPr>
      <w:r w:rsidRPr="005143C2">
        <w:rPr>
          <w:rFonts w:cs="Arial"/>
        </w:rPr>
        <w:t>1240 to 1300 MHz</w:t>
      </w:r>
    </w:p>
    <w:p w14:paraId="1D13FC6C" w14:textId="77777777" w:rsidR="00583928" w:rsidRPr="005143C2" w:rsidRDefault="00583928" w:rsidP="00583928">
      <w:pPr>
        <w:pStyle w:val="ListBullet"/>
        <w:keepNext/>
        <w:tabs>
          <w:tab w:val="clear" w:pos="295"/>
          <w:tab w:val="num" w:pos="1735"/>
        </w:tabs>
        <w:ind w:left="1735"/>
        <w:rPr>
          <w:rFonts w:cs="Arial"/>
        </w:rPr>
      </w:pPr>
      <w:r w:rsidRPr="005143C2">
        <w:rPr>
          <w:rFonts w:cs="Arial"/>
        </w:rPr>
        <w:t>1240 – 1260 MHz excised from the space object class licence</w:t>
      </w:r>
    </w:p>
    <w:p w14:paraId="22C773A8" w14:textId="36B6D5EA" w:rsidR="00583928" w:rsidRPr="005143C2" w:rsidRDefault="00583928" w:rsidP="00583928">
      <w:pPr>
        <w:pStyle w:val="ListBullet"/>
        <w:keepNext/>
        <w:tabs>
          <w:tab w:val="clear" w:pos="295"/>
          <w:tab w:val="num" w:pos="1735"/>
        </w:tabs>
        <w:ind w:left="1735"/>
        <w:rPr>
          <w:rFonts w:cs="Arial"/>
        </w:rPr>
      </w:pPr>
      <w:r w:rsidRPr="005143C2">
        <w:rPr>
          <w:rFonts w:cs="Arial"/>
        </w:rPr>
        <w:t xml:space="preserve">1260 – 1300 MHz </w:t>
      </w:r>
      <w:r w:rsidR="00034772">
        <w:rPr>
          <w:rFonts w:cs="Arial"/>
        </w:rPr>
        <w:t>added</w:t>
      </w:r>
      <w:r w:rsidR="001C7719">
        <w:rPr>
          <w:rFonts w:cs="Arial"/>
        </w:rPr>
        <w:t xml:space="preserve"> to support </w:t>
      </w:r>
      <w:r w:rsidRPr="005143C2">
        <w:rPr>
          <w:rFonts w:cs="Arial"/>
        </w:rPr>
        <w:t>current usage</w:t>
      </w:r>
    </w:p>
    <w:p w14:paraId="58ACC541" w14:textId="77777777" w:rsidR="00583928" w:rsidRPr="005143C2" w:rsidRDefault="00583928" w:rsidP="00583928">
      <w:pPr>
        <w:pStyle w:val="ListBullet"/>
        <w:keepNext/>
        <w:tabs>
          <w:tab w:val="clear" w:pos="295"/>
          <w:tab w:val="num" w:pos="885"/>
        </w:tabs>
        <w:ind w:left="885"/>
        <w:rPr>
          <w:rFonts w:cs="Arial"/>
        </w:rPr>
      </w:pPr>
      <w:r w:rsidRPr="005143C2">
        <w:rPr>
          <w:rFonts w:cs="Arial"/>
        </w:rPr>
        <w:t>1559 to 1610 MHz</w:t>
      </w:r>
    </w:p>
    <w:p w14:paraId="7718248E" w14:textId="77777777" w:rsidR="00583928" w:rsidRPr="005143C2" w:rsidRDefault="00583928" w:rsidP="00583928">
      <w:pPr>
        <w:pStyle w:val="ListBullet"/>
        <w:keepNext/>
        <w:tabs>
          <w:tab w:val="clear" w:pos="295"/>
          <w:tab w:val="num" w:pos="1735"/>
        </w:tabs>
        <w:ind w:left="1735"/>
        <w:rPr>
          <w:rFonts w:cs="Arial"/>
        </w:rPr>
      </w:pPr>
      <w:r w:rsidRPr="005143C2">
        <w:rPr>
          <w:rFonts w:cs="Arial"/>
        </w:rPr>
        <w:t>excised from the space object class licence</w:t>
      </w:r>
    </w:p>
    <w:p w14:paraId="743F4289" w14:textId="13EE5E55" w:rsidR="00583928" w:rsidRPr="005143C2" w:rsidRDefault="00583928" w:rsidP="007A67EB"/>
    <w:p w14:paraId="39E871CA" w14:textId="4006796E" w:rsidR="00583928" w:rsidRPr="005143C2" w:rsidRDefault="00583928" w:rsidP="004C1ABF">
      <w:pPr>
        <w:rPr>
          <w:rFonts w:cs="Arial"/>
        </w:rPr>
      </w:pPr>
      <w:r w:rsidRPr="005143C2">
        <w:rPr>
          <w:rFonts w:cs="Arial"/>
        </w:rPr>
        <w:t xml:space="preserve">The ACMA received </w:t>
      </w:r>
      <w:r w:rsidR="005D03AE">
        <w:rPr>
          <w:rFonts w:cs="Arial"/>
        </w:rPr>
        <w:t>a</w:t>
      </w:r>
      <w:r w:rsidR="005D03AE" w:rsidRPr="005143C2">
        <w:rPr>
          <w:rFonts w:cs="Arial"/>
        </w:rPr>
        <w:t xml:space="preserve"> </w:t>
      </w:r>
      <w:r w:rsidR="0011128D" w:rsidRPr="005143C2">
        <w:rPr>
          <w:rFonts w:cs="Arial"/>
        </w:rPr>
        <w:t>submission</w:t>
      </w:r>
      <w:r w:rsidRPr="005143C2">
        <w:rPr>
          <w:rFonts w:cs="Arial"/>
        </w:rPr>
        <w:t xml:space="preserve"> </w:t>
      </w:r>
      <w:r w:rsidR="005D03AE">
        <w:rPr>
          <w:rFonts w:cs="Arial"/>
        </w:rPr>
        <w:t xml:space="preserve">from the EC </w:t>
      </w:r>
      <w:r w:rsidR="00034772">
        <w:rPr>
          <w:rFonts w:cs="Arial"/>
        </w:rPr>
        <w:t>supporting inclusion of</w:t>
      </w:r>
      <w:r w:rsidR="00836E02">
        <w:rPr>
          <w:rFonts w:cs="Arial"/>
        </w:rPr>
        <w:t xml:space="preserve"> the </w:t>
      </w:r>
      <w:r w:rsidR="00836E02" w:rsidRPr="005143C2">
        <w:rPr>
          <w:rFonts w:cs="Arial"/>
        </w:rPr>
        <w:t>5010-5030 MHz</w:t>
      </w:r>
      <w:r w:rsidRPr="005143C2">
        <w:rPr>
          <w:rFonts w:cs="Arial"/>
        </w:rPr>
        <w:t xml:space="preserve"> frequency range in the radionavigation-satellite service class licence. </w:t>
      </w:r>
      <w:r w:rsidR="001C7719">
        <w:rPr>
          <w:rFonts w:cs="Arial"/>
        </w:rPr>
        <w:t>The submissions</w:t>
      </w:r>
      <w:r w:rsidR="001C7719" w:rsidRPr="005143C2">
        <w:rPr>
          <w:rFonts w:cs="Arial"/>
        </w:rPr>
        <w:t xml:space="preserve"> </w:t>
      </w:r>
      <w:r w:rsidRPr="005143C2">
        <w:rPr>
          <w:rFonts w:cs="Arial"/>
        </w:rPr>
        <w:t xml:space="preserve">were unable to provide any detail of current or </w:t>
      </w:r>
      <w:r w:rsidR="0020226E">
        <w:rPr>
          <w:rFonts w:cs="Arial"/>
        </w:rPr>
        <w:t>planned</w:t>
      </w:r>
      <w:r w:rsidRPr="005143C2">
        <w:rPr>
          <w:rFonts w:cs="Arial"/>
        </w:rPr>
        <w:t xml:space="preserve"> use of the band 5010</w:t>
      </w:r>
      <w:r w:rsidR="00EA009D" w:rsidRPr="005143C2">
        <w:rPr>
          <w:rFonts w:cs="Arial"/>
        </w:rPr>
        <w:t>-</w:t>
      </w:r>
      <w:r w:rsidRPr="005143C2">
        <w:rPr>
          <w:rFonts w:cs="Arial"/>
        </w:rPr>
        <w:t>5030</w:t>
      </w:r>
      <w:r w:rsidR="00061046" w:rsidRPr="005143C2">
        <w:rPr>
          <w:rFonts w:cs="Arial"/>
        </w:rPr>
        <w:t> </w:t>
      </w:r>
      <w:r w:rsidRPr="005143C2">
        <w:rPr>
          <w:rFonts w:cs="Arial"/>
        </w:rPr>
        <w:t xml:space="preserve">MHz, although the EC did state that </w:t>
      </w:r>
      <w:r w:rsidR="00AE68F5" w:rsidRPr="005143C2">
        <w:rPr>
          <w:rFonts w:cs="Arial"/>
          <w:i/>
        </w:rPr>
        <w:t>“</w:t>
      </w:r>
      <w:r w:rsidRPr="005143C2">
        <w:rPr>
          <w:rFonts w:cs="Arial"/>
          <w:i/>
        </w:rPr>
        <w:t>Galileo is also investigating using the 5010 to 5030 MHz</w:t>
      </w:r>
      <w:r w:rsidR="00AE68F5" w:rsidRPr="005143C2">
        <w:rPr>
          <w:rFonts w:cs="Arial"/>
          <w:i/>
        </w:rPr>
        <w:t xml:space="preserve"> </w:t>
      </w:r>
      <w:r w:rsidRPr="005143C2">
        <w:rPr>
          <w:rFonts w:cs="Arial"/>
          <w:i/>
        </w:rPr>
        <w:t>band for both space-to-Earth feeder and service downlinks</w:t>
      </w:r>
      <w:r w:rsidR="00AE68F5" w:rsidRPr="005143C2">
        <w:rPr>
          <w:rFonts w:cs="Arial"/>
          <w:i/>
        </w:rPr>
        <w:t>.”</w:t>
      </w:r>
    </w:p>
    <w:p w14:paraId="25621B24" w14:textId="5E8C37EC" w:rsidR="00AE68F5" w:rsidRPr="005143C2" w:rsidRDefault="00AE68F5" w:rsidP="004C1ABF">
      <w:pPr>
        <w:rPr>
          <w:rFonts w:cs="Arial"/>
          <w:i/>
        </w:rPr>
      </w:pPr>
      <w:r w:rsidRPr="005143C2">
        <w:rPr>
          <w:rFonts w:cs="Arial"/>
        </w:rPr>
        <w:t>Details of the expected Galileo signals can</w:t>
      </w:r>
      <w:r w:rsidR="00514A98">
        <w:rPr>
          <w:rFonts w:cs="Arial"/>
        </w:rPr>
        <w:t xml:space="preserve"> be found in </w:t>
      </w:r>
      <w:hyperlink r:id="rId29" w:history="1">
        <w:r w:rsidR="00514A98" w:rsidRPr="001C7719">
          <w:rPr>
            <w:rStyle w:val="Hyperlink"/>
            <w:rFonts w:cs="Arial"/>
          </w:rPr>
          <w:t>Recommendation ITU</w:t>
        </w:r>
        <w:r w:rsidR="00514A98" w:rsidRPr="001C7719">
          <w:rPr>
            <w:rStyle w:val="Hyperlink"/>
            <w:rFonts w:cs="Arial"/>
          </w:rPr>
          <w:noBreakHyphen/>
        </w:r>
        <w:r w:rsidRPr="001C7719">
          <w:rPr>
            <w:rStyle w:val="Hyperlink"/>
            <w:rFonts w:cs="Arial"/>
          </w:rPr>
          <w:t>R</w:t>
        </w:r>
        <w:r w:rsidR="00514A98" w:rsidRPr="001C7719">
          <w:rPr>
            <w:rStyle w:val="Hyperlink"/>
            <w:rFonts w:cs="Arial"/>
          </w:rPr>
          <w:t> </w:t>
        </w:r>
        <w:r w:rsidRPr="001C7719">
          <w:rPr>
            <w:rStyle w:val="Hyperlink"/>
            <w:rFonts w:cs="Arial"/>
          </w:rPr>
          <w:t>M.2031</w:t>
        </w:r>
      </w:hyperlink>
      <w:r w:rsidRPr="005143C2">
        <w:rPr>
          <w:rFonts w:cs="Arial"/>
        </w:rPr>
        <w:t xml:space="preserve">. The EC advised that the in-service use of those downlink </w:t>
      </w:r>
      <w:r w:rsidR="00BB756E">
        <w:rPr>
          <w:rFonts w:cs="Arial"/>
        </w:rPr>
        <w:t xml:space="preserve">frequencies </w:t>
      </w:r>
      <w:r w:rsidRPr="005143C2">
        <w:rPr>
          <w:rFonts w:cs="Arial"/>
        </w:rPr>
        <w:t xml:space="preserve">is </w:t>
      </w:r>
      <w:r w:rsidRPr="005143C2">
        <w:rPr>
          <w:rFonts w:cs="Arial"/>
          <w:i/>
        </w:rPr>
        <w:t>“some years off”</w:t>
      </w:r>
      <w:r w:rsidRPr="005143C2">
        <w:rPr>
          <w:rFonts w:cs="Arial"/>
        </w:rPr>
        <w:t xml:space="preserve">, though would </w:t>
      </w:r>
      <w:r w:rsidRPr="005143C2">
        <w:rPr>
          <w:rFonts w:cs="Arial"/>
          <w:i/>
        </w:rPr>
        <w:t>“nevertheless recommend that the new RNSS class licence includes the 5010 to 5030 MHz RNSS downlink band in order to enable ready authorisation of new user services when they are needed.”</w:t>
      </w:r>
    </w:p>
    <w:p w14:paraId="3FB7F5DE" w14:textId="43442005" w:rsidR="00C52C53" w:rsidRPr="005143C2" w:rsidRDefault="00C52C53" w:rsidP="004C1ABF">
      <w:pPr>
        <w:rPr>
          <w:rFonts w:cs="Arial"/>
        </w:rPr>
      </w:pPr>
      <w:r w:rsidRPr="005143C2">
        <w:rPr>
          <w:rFonts w:cs="Arial"/>
        </w:rPr>
        <w:t>The EC submission also proposed the ACMA consider the band 2483.5</w:t>
      </w:r>
      <w:r w:rsidR="00EA009D" w:rsidRPr="005143C2">
        <w:rPr>
          <w:rFonts w:cs="Arial"/>
        </w:rPr>
        <w:t>-2</w:t>
      </w:r>
      <w:r w:rsidRPr="005143C2">
        <w:rPr>
          <w:rFonts w:cs="Arial"/>
        </w:rPr>
        <w:t xml:space="preserve">500 MHz that is allocated </w:t>
      </w:r>
      <w:r w:rsidR="00B43E75">
        <w:rPr>
          <w:rFonts w:cs="Arial"/>
        </w:rPr>
        <w:t xml:space="preserve">(in the </w:t>
      </w:r>
      <w:r w:rsidR="00B43E75" w:rsidRPr="00B43E75">
        <w:rPr>
          <w:rFonts w:cs="Arial"/>
          <w:i/>
        </w:rPr>
        <w:t>Australian Radiofrequency Spectrum Plan 2013</w:t>
      </w:r>
      <w:r w:rsidR="00B43E75">
        <w:rPr>
          <w:rFonts w:cs="Arial"/>
        </w:rPr>
        <w:t xml:space="preserve">) </w:t>
      </w:r>
      <w:r w:rsidRPr="005143C2">
        <w:rPr>
          <w:rFonts w:cs="Arial"/>
        </w:rPr>
        <w:t xml:space="preserve">to the radiodetermination-satellite service (RDSS) for space-to-Earth use. The EC advised that the </w:t>
      </w:r>
      <w:r w:rsidRPr="00210A38">
        <w:rPr>
          <w:rFonts w:cs="Arial"/>
        </w:rPr>
        <w:t xml:space="preserve">IRNSS and </w:t>
      </w:r>
      <w:proofErr w:type="spellStart"/>
      <w:r w:rsidRPr="00210A38">
        <w:rPr>
          <w:rFonts w:cs="Arial"/>
        </w:rPr>
        <w:t>BeiDou</w:t>
      </w:r>
      <w:proofErr w:type="spellEnd"/>
      <w:r w:rsidRPr="005143C2">
        <w:rPr>
          <w:rFonts w:cs="Arial"/>
        </w:rPr>
        <w:t xml:space="preserve"> regional systems are </w:t>
      </w:r>
      <w:r w:rsidRPr="005143C2">
        <w:rPr>
          <w:rFonts w:cs="Arial"/>
          <w:i/>
        </w:rPr>
        <w:t>“known to use this band”</w:t>
      </w:r>
      <w:r w:rsidRPr="005143C2">
        <w:rPr>
          <w:rFonts w:cs="Arial"/>
        </w:rPr>
        <w:t xml:space="preserve"> and that </w:t>
      </w:r>
      <w:r w:rsidR="00C96357">
        <w:rPr>
          <w:rFonts w:cs="Arial"/>
        </w:rPr>
        <w:t>they are</w:t>
      </w:r>
      <w:r w:rsidRPr="005143C2">
        <w:rPr>
          <w:rFonts w:cs="Arial"/>
          <w:i/>
        </w:rPr>
        <w:t xml:space="preserve"> </w:t>
      </w:r>
      <w:r w:rsidR="00C96357">
        <w:rPr>
          <w:rFonts w:cs="Arial"/>
          <w:i/>
        </w:rPr>
        <w:t>“</w:t>
      </w:r>
      <w:r w:rsidRPr="005143C2">
        <w:rPr>
          <w:rFonts w:cs="Arial"/>
          <w:i/>
        </w:rPr>
        <w:t>also investigating use of these bands on a global basis”</w:t>
      </w:r>
      <w:r w:rsidRPr="005143C2">
        <w:rPr>
          <w:rFonts w:cs="Arial"/>
        </w:rPr>
        <w:t xml:space="preserve"> for similar reasons to the 5010-5030 </w:t>
      </w:r>
      <w:proofErr w:type="spellStart"/>
      <w:r w:rsidRPr="005143C2">
        <w:rPr>
          <w:rFonts w:cs="Arial"/>
        </w:rPr>
        <w:t>MHz.</w:t>
      </w:r>
      <w:proofErr w:type="spellEnd"/>
      <w:r w:rsidR="00061046" w:rsidRPr="005143C2">
        <w:rPr>
          <w:rFonts w:cs="Arial"/>
        </w:rPr>
        <w:t xml:space="preserve"> </w:t>
      </w:r>
    </w:p>
    <w:p w14:paraId="72A8327B" w14:textId="278D36F6" w:rsidR="005414C3" w:rsidRPr="007A67EB" w:rsidRDefault="003E356C" w:rsidP="003E356C">
      <w:pPr>
        <w:spacing w:after="120"/>
        <w:rPr>
          <w:b/>
          <w:i/>
        </w:rPr>
      </w:pPr>
      <w:r>
        <w:rPr>
          <w:b/>
          <w:i/>
        </w:rPr>
        <w:t>ACMA response</w:t>
      </w:r>
    </w:p>
    <w:p w14:paraId="39A5881A" w14:textId="13770D5A" w:rsidR="00575A2F" w:rsidRDefault="00836E02" w:rsidP="00836E02">
      <w:pPr>
        <w:rPr>
          <w:rFonts w:cs="Arial"/>
        </w:rPr>
      </w:pPr>
      <w:r>
        <w:rPr>
          <w:rFonts w:cs="Arial"/>
        </w:rPr>
        <w:t>Despite the medium-to</w:t>
      </w:r>
      <w:r w:rsidR="001C7719">
        <w:rPr>
          <w:rFonts w:cs="Arial"/>
        </w:rPr>
        <w:t>-</w:t>
      </w:r>
      <w:r>
        <w:rPr>
          <w:rFonts w:cs="Arial"/>
        </w:rPr>
        <w:t>long</w:t>
      </w:r>
      <w:r w:rsidR="001C7719">
        <w:rPr>
          <w:rFonts w:cs="Arial"/>
        </w:rPr>
        <w:t xml:space="preserve"> </w:t>
      </w:r>
      <w:r>
        <w:rPr>
          <w:rFonts w:cs="Arial"/>
        </w:rPr>
        <w:t xml:space="preserve">term </w:t>
      </w:r>
      <w:r w:rsidR="001C7719">
        <w:rPr>
          <w:rFonts w:cs="Arial"/>
        </w:rPr>
        <w:t xml:space="preserve">plans by the EC to bring </w:t>
      </w:r>
      <w:r>
        <w:rPr>
          <w:rFonts w:cs="Arial"/>
        </w:rPr>
        <w:t xml:space="preserve">the </w:t>
      </w:r>
      <w:r w:rsidRPr="005143C2">
        <w:rPr>
          <w:rFonts w:cs="Arial"/>
        </w:rPr>
        <w:t xml:space="preserve">5010-5030 MHz </w:t>
      </w:r>
      <w:r w:rsidR="001C7719">
        <w:rPr>
          <w:rFonts w:cs="Arial"/>
        </w:rPr>
        <w:t>band into service</w:t>
      </w:r>
      <w:r>
        <w:rPr>
          <w:rFonts w:cs="Arial"/>
        </w:rPr>
        <w:t xml:space="preserve">, there is little evidence to suggest that it is appropriate for the ACMA to include this band in the radionavigation-satellite service class licence </w:t>
      </w:r>
      <w:proofErr w:type="gramStart"/>
      <w:r>
        <w:rPr>
          <w:rFonts w:cs="Arial"/>
        </w:rPr>
        <w:t>at this time</w:t>
      </w:r>
      <w:proofErr w:type="gramEnd"/>
      <w:r>
        <w:rPr>
          <w:rFonts w:cs="Arial"/>
        </w:rPr>
        <w:t xml:space="preserve">. Further, and as Defence noted in its response, </w:t>
      </w:r>
      <w:r w:rsidRPr="00836E02">
        <w:rPr>
          <w:rFonts w:cs="Arial"/>
          <w:i/>
        </w:rPr>
        <w:t xml:space="preserve">“the systems described in </w:t>
      </w:r>
      <w:hyperlink r:id="rId30" w:history="1">
        <w:r w:rsidRPr="00210A38">
          <w:rPr>
            <w:rStyle w:val="Hyperlink"/>
          </w:rPr>
          <w:t>Rep</w:t>
        </w:r>
        <w:r w:rsidR="00514A98" w:rsidRPr="00210A38">
          <w:rPr>
            <w:rStyle w:val="Hyperlink"/>
          </w:rPr>
          <w:t>ort</w:t>
        </w:r>
        <w:r w:rsidRPr="00210A38">
          <w:rPr>
            <w:rStyle w:val="Hyperlink"/>
          </w:rPr>
          <w:t xml:space="preserve"> ITU</w:t>
        </w:r>
        <w:r w:rsidR="001A5AE3">
          <w:rPr>
            <w:rStyle w:val="Hyperlink"/>
            <w:rFonts w:cs="Arial"/>
            <w:i/>
          </w:rPr>
          <w:noBreakHyphen/>
        </w:r>
        <w:r w:rsidRPr="00210A38">
          <w:rPr>
            <w:rStyle w:val="Hyperlink"/>
          </w:rPr>
          <w:t>R M.2219</w:t>
        </w:r>
      </w:hyperlink>
      <w:r w:rsidRPr="00836E02">
        <w:rPr>
          <w:rFonts w:cs="Arial"/>
          <w:i/>
        </w:rPr>
        <w:t xml:space="preserve"> … would appear to be more suited to an apparatus licence regime, rather than inclusion in [the </w:t>
      </w:r>
      <w:r w:rsidR="00514A98">
        <w:rPr>
          <w:rFonts w:cs="Arial"/>
          <w:i/>
        </w:rPr>
        <w:t>radionavigation-satellite service</w:t>
      </w:r>
      <w:r w:rsidRPr="00836E02">
        <w:rPr>
          <w:rFonts w:cs="Arial"/>
          <w:i/>
        </w:rPr>
        <w:t>] class licence</w:t>
      </w:r>
      <w:r>
        <w:rPr>
          <w:rFonts w:cs="Arial"/>
          <w:i/>
        </w:rPr>
        <w:t>.</w:t>
      </w:r>
      <w:r w:rsidRPr="00836E02">
        <w:rPr>
          <w:rFonts w:cs="Arial"/>
          <w:i/>
        </w:rPr>
        <w:t>”</w:t>
      </w:r>
    </w:p>
    <w:p w14:paraId="070A3463" w14:textId="068E999C" w:rsidR="00BF4FE3" w:rsidRDefault="00D85B4B" w:rsidP="00836E02">
      <w:pPr>
        <w:rPr>
          <w:rFonts w:cs="Arial"/>
        </w:rPr>
      </w:pPr>
      <w:r>
        <w:rPr>
          <w:rFonts w:cs="Arial"/>
        </w:rPr>
        <w:t xml:space="preserve">Should a service be provided by the EC or </w:t>
      </w:r>
      <w:r w:rsidR="00034772">
        <w:rPr>
          <w:rFonts w:cs="Arial"/>
        </w:rPr>
        <w:t>an</w:t>
      </w:r>
      <w:r>
        <w:rPr>
          <w:rFonts w:cs="Arial"/>
        </w:rPr>
        <w:t>other radionavigation-satellite service operator in the future, t</w:t>
      </w:r>
      <w:r w:rsidR="00AE64E9">
        <w:rPr>
          <w:rFonts w:cs="Arial"/>
        </w:rPr>
        <w:t>he ACMA will reconsider the most appropriate licensing regime to support use of the 5010-5030 MHz range</w:t>
      </w:r>
      <w:r>
        <w:rPr>
          <w:rFonts w:cs="Arial"/>
        </w:rPr>
        <w:t xml:space="preserve"> at that time.</w:t>
      </w:r>
    </w:p>
    <w:p w14:paraId="078B231A" w14:textId="6F82385B" w:rsidR="00AE64E9" w:rsidRPr="00AE64E9" w:rsidRDefault="00BF4FE3" w:rsidP="00836E02">
      <w:pPr>
        <w:rPr>
          <w:rFonts w:cs="Arial"/>
        </w:rPr>
      </w:pPr>
      <w:r>
        <w:rPr>
          <w:rFonts w:cs="Arial"/>
        </w:rPr>
        <w:t xml:space="preserve">On the EC proposal to consider the band </w:t>
      </w:r>
      <w:r w:rsidRPr="005143C2">
        <w:rPr>
          <w:rFonts w:cs="Arial"/>
        </w:rPr>
        <w:t>2483.5-2500 MHz that is allocated to the RDSS</w:t>
      </w:r>
      <w:r>
        <w:rPr>
          <w:rFonts w:cs="Arial"/>
        </w:rPr>
        <w:t xml:space="preserve"> for regional use by IRNSS and </w:t>
      </w:r>
      <w:proofErr w:type="spellStart"/>
      <w:r>
        <w:rPr>
          <w:rFonts w:cs="Arial"/>
        </w:rPr>
        <w:t>BeiDou</w:t>
      </w:r>
      <w:proofErr w:type="spellEnd"/>
      <w:r>
        <w:rPr>
          <w:rFonts w:cs="Arial"/>
        </w:rPr>
        <w:t xml:space="preserve">, the ACMA would consider the most appropriate licensing regime to support use of the </w:t>
      </w:r>
      <w:r w:rsidRPr="005143C2">
        <w:rPr>
          <w:rFonts w:cs="Arial"/>
        </w:rPr>
        <w:t>2483.5-2500 MHz</w:t>
      </w:r>
      <w:r>
        <w:rPr>
          <w:rFonts w:cs="Arial"/>
        </w:rPr>
        <w:t xml:space="preserve"> range if a service were to be provided </w:t>
      </w:r>
      <w:r w:rsidR="00C96357">
        <w:rPr>
          <w:rFonts w:cs="Arial"/>
        </w:rPr>
        <w:t>in</w:t>
      </w:r>
      <w:r>
        <w:rPr>
          <w:rFonts w:cs="Arial"/>
        </w:rPr>
        <w:t xml:space="preserve"> Australia in the future.</w:t>
      </w:r>
    </w:p>
    <w:p w14:paraId="1E632B2F" w14:textId="77777777" w:rsidR="009F1A37" w:rsidRDefault="009F1A37" w:rsidP="00E17A8A">
      <w:pPr>
        <w:pStyle w:val="Heading2"/>
      </w:pPr>
      <w:bookmarkStart w:id="5" w:name="_Toc431541421"/>
      <w:r>
        <w:lastRenderedPageBreak/>
        <w:t>Potential interference and out-of-band considerations</w:t>
      </w:r>
      <w:bookmarkEnd w:id="5"/>
    </w:p>
    <w:p w14:paraId="5D7C6677" w14:textId="77777777" w:rsidR="009F1A37" w:rsidRDefault="005D4103" w:rsidP="009F1A37">
      <w:r>
        <w:t xml:space="preserve">There was some concern raised in </w:t>
      </w:r>
      <w:proofErr w:type="gramStart"/>
      <w:r>
        <w:t>a number of</w:t>
      </w:r>
      <w:proofErr w:type="gramEnd"/>
      <w:r>
        <w:t xml:space="preserve"> submissions about the potential for interference (caused and received), its impact on radionavigation-satellite receivers and how the ACMA intends to minimise the potential for interference from in-band and out-of-band apparatus licensed services.</w:t>
      </w:r>
    </w:p>
    <w:p w14:paraId="0873CC82" w14:textId="536D5165" w:rsidR="005D4103" w:rsidRPr="005143C2" w:rsidRDefault="005D4103" w:rsidP="005D4103">
      <w:pPr>
        <w:rPr>
          <w:rFonts w:cs="Arial"/>
        </w:rPr>
      </w:pPr>
      <w:r>
        <w:t>GA noted that the changes to the regulatory framework for the radionavigation-satellite service</w:t>
      </w:r>
      <w:r w:rsidR="00BD2CCB">
        <w:t xml:space="preserve"> may impact how the ACMA handles interference issues</w:t>
      </w:r>
      <w:r w:rsidR="00B43E75">
        <w:t xml:space="preserve"> caused by apparatus licensed transmitters in the same</w:t>
      </w:r>
      <w:r w:rsidR="00F97D67">
        <w:t xml:space="preserve"> or adjacent</w:t>
      </w:r>
      <w:r w:rsidR="00B43E75">
        <w:t xml:space="preserve"> frequency bands</w:t>
      </w:r>
      <w:r>
        <w:t xml:space="preserve">. Further, </w:t>
      </w:r>
      <w:r w:rsidR="00B43E75">
        <w:t xml:space="preserve">GA noted that </w:t>
      </w:r>
      <w:r>
        <w:t xml:space="preserve">there are international efforts </w:t>
      </w:r>
      <w:r w:rsidRPr="005D4103">
        <w:rPr>
          <w:i/>
        </w:rPr>
        <w:t>“regarding collaboration to protect GPS spectrum”</w:t>
      </w:r>
      <w:r>
        <w:t xml:space="preserve"> noting an increase in demand from adjacent bands.</w:t>
      </w:r>
      <w:r w:rsidRPr="005D4103">
        <w:rPr>
          <w:rFonts w:cs="Arial"/>
        </w:rPr>
        <w:t xml:space="preserve"> </w:t>
      </w:r>
    </w:p>
    <w:p w14:paraId="5D795291" w14:textId="71B8F5B7" w:rsidR="005D4103" w:rsidRPr="007A67EB" w:rsidRDefault="003E356C" w:rsidP="003E356C">
      <w:pPr>
        <w:spacing w:after="120"/>
        <w:rPr>
          <w:b/>
          <w:i/>
        </w:rPr>
      </w:pPr>
      <w:r>
        <w:rPr>
          <w:b/>
          <w:i/>
        </w:rPr>
        <w:t>ACMA response</w:t>
      </w:r>
    </w:p>
    <w:p w14:paraId="12617F7D" w14:textId="23D860C4" w:rsidR="005D4103" w:rsidRDefault="00EC4C8A" w:rsidP="009F1A37">
      <w:r>
        <w:t>The quantum of spectrum</w:t>
      </w:r>
      <w:r w:rsidR="00B805B8">
        <w:t xml:space="preserve"> available to the radionavigation-satellite service in the class licence is 187 </w:t>
      </w:r>
      <w:proofErr w:type="spellStart"/>
      <w:r w:rsidR="00B805B8">
        <w:t>MHz.</w:t>
      </w:r>
      <w:proofErr w:type="spellEnd"/>
      <w:r w:rsidR="00B805B8">
        <w:t xml:space="preserve"> As identified in Annex A to the consultation paper, the radionavigation-satellite service is also co-primary with </w:t>
      </w:r>
      <w:proofErr w:type="gramStart"/>
      <w:r w:rsidR="00B805B8">
        <w:t>a number of</w:t>
      </w:r>
      <w:proofErr w:type="gramEnd"/>
      <w:r w:rsidR="00B805B8">
        <w:t xml:space="preserve"> other services including E</w:t>
      </w:r>
      <w:r w:rsidR="00864A48">
        <w:t xml:space="preserve">arth </w:t>
      </w:r>
      <w:r w:rsidR="00B805B8">
        <w:t>E</w:t>
      </w:r>
      <w:r w:rsidR="00864A48">
        <w:t xml:space="preserve">xploration </w:t>
      </w:r>
      <w:r w:rsidR="00B805B8">
        <w:t>S</w:t>
      </w:r>
      <w:r w:rsidR="00864A48">
        <w:t xml:space="preserve">atellite </w:t>
      </w:r>
      <w:r w:rsidR="00B805B8">
        <w:t>S</w:t>
      </w:r>
      <w:r w:rsidR="00864A48">
        <w:t>ervice</w:t>
      </w:r>
      <w:r w:rsidR="00B805B8">
        <w:t xml:space="preserve"> (active), </w:t>
      </w:r>
      <w:r w:rsidR="0052070E">
        <w:t>radiolocation</w:t>
      </w:r>
      <w:r w:rsidR="00B805B8">
        <w:t>, A</w:t>
      </w:r>
      <w:r w:rsidR="00864A48">
        <w:t xml:space="preserve">eronautical </w:t>
      </w:r>
      <w:r w:rsidR="00B805B8">
        <w:t>R</w:t>
      </w:r>
      <w:r w:rsidR="00864A48">
        <w:t xml:space="preserve">adionavigation </w:t>
      </w:r>
      <w:r w:rsidR="00B805B8">
        <w:t>S</w:t>
      </w:r>
      <w:r w:rsidR="00864A48">
        <w:t>ervice (ARNS)</w:t>
      </w:r>
      <w:r w:rsidR="00B805B8">
        <w:t xml:space="preserve"> and </w:t>
      </w:r>
      <w:r w:rsidR="0052070E">
        <w:t xml:space="preserve">space research </w:t>
      </w:r>
      <w:r w:rsidR="00B805B8">
        <w:t xml:space="preserve">(active). </w:t>
      </w:r>
    </w:p>
    <w:p w14:paraId="5A12CD07" w14:textId="04C51285" w:rsidR="00A67C40" w:rsidRPr="00AB78A1" w:rsidRDefault="00A67C40" w:rsidP="00A67C40">
      <w:pPr>
        <w:rPr>
          <w:iCs/>
        </w:rPr>
      </w:pPr>
      <w:r w:rsidRPr="00AB78A1">
        <w:rPr>
          <w:iCs/>
        </w:rPr>
        <w:t xml:space="preserve">The ACMA has planned use of the bands included in the </w:t>
      </w:r>
      <w:r>
        <w:rPr>
          <w:iCs/>
        </w:rPr>
        <w:t>radionavigation-satellite service</w:t>
      </w:r>
      <w:r w:rsidRPr="00AB78A1">
        <w:rPr>
          <w:iCs/>
        </w:rPr>
        <w:t xml:space="preserve"> class licence to support the ubiquitous deployment of </w:t>
      </w:r>
      <w:r>
        <w:rPr>
          <w:iCs/>
        </w:rPr>
        <w:t>radionavigation-satellite service</w:t>
      </w:r>
      <w:r w:rsidRPr="00AB78A1">
        <w:rPr>
          <w:iCs/>
        </w:rPr>
        <w:t xml:space="preserve"> receivers. Such spectrum management arrangements are consistent with the domestic and international usage of the band and arrangements established internationally. </w:t>
      </w:r>
    </w:p>
    <w:p w14:paraId="10F15007" w14:textId="3EF26B73" w:rsidR="00A67C40" w:rsidRPr="00AB78A1" w:rsidRDefault="00A67C40" w:rsidP="00A67C40">
      <w:pPr>
        <w:rPr>
          <w:iCs/>
        </w:rPr>
      </w:pPr>
      <w:r w:rsidRPr="00AB78A1">
        <w:rPr>
          <w:iCs/>
        </w:rPr>
        <w:t xml:space="preserve">Given the nature of many uses of these bands, </w:t>
      </w:r>
      <w:proofErr w:type="gramStart"/>
      <w:r w:rsidRPr="00AB78A1">
        <w:rPr>
          <w:iCs/>
        </w:rPr>
        <w:t>as a general rule</w:t>
      </w:r>
      <w:proofErr w:type="gramEnd"/>
      <w:r w:rsidR="0020226E">
        <w:rPr>
          <w:iCs/>
        </w:rPr>
        <w:t>,</w:t>
      </w:r>
      <w:r w:rsidRPr="00AB78A1">
        <w:rPr>
          <w:iCs/>
        </w:rPr>
        <w:t xml:space="preserve"> the ACMA would not plan for services or applications, or authorise stations in these bands </w:t>
      </w:r>
      <w:r w:rsidR="0020226E">
        <w:rPr>
          <w:iCs/>
        </w:rPr>
        <w:t xml:space="preserve">if they were likely to </w:t>
      </w:r>
      <w:r w:rsidRPr="00AB78A1">
        <w:rPr>
          <w:iCs/>
        </w:rPr>
        <w:t>have an adverse effect on the operation of radionavigation-satellite service receivers. </w:t>
      </w:r>
      <w:r w:rsidRPr="00AB78A1">
        <w:t>The ACMA notes that there are expected to be only a limited number of legitimate exceptions to this general rule.</w:t>
      </w:r>
      <w:r>
        <w:t xml:space="preserve"> </w:t>
      </w:r>
      <w:r w:rsidRPr="00AB78A1">
        <w:t xml:space="preserve">Current examples include the established arrangements for the use of </w:t>
      </w:r>
      <w:r w:rsidR="00F16685">
        <w:rPr>
          <w:iCs/>
        </w:rPr>
        <w:t>radionavigation-satellite service</w:t>
      </w:r>
      <w:r w:rsidR="00F16685" w:rsidRPr="00AB78A1">
        <w:t xml:space="preserve"> </w:t>
      </w:r>
      <w:r w:rsidRPr="00AB78A1">
        <w:t xml:space="preserve">jammers under tightly defined circumstances (see </w:t>
      </w:r>
      <w:r w:rsidRPr="00AB78A1">
        <w:rPr>
          <w:i/>
        </w:rPr>
        <w:t>Radiocommunications (Prohibited Device) (RNSS Jamming Devices) Exemption Determination 20</w:t>
      </w:r>
      <w:r w:rsidR="00F16685" w:rsidRPr="00AB78A1">
        <w:rPr>
          <w:i/>
        </w:rPr>
        <w:t>1</w:t>
      </w:r>
      <w:r w:rsidRPr="00AB78A1">
        <w:rPr>
          <w:i/>
        </w:rPr>
        <w:t>4</w:t>
      </w:r>
      <w:r w:rsidRPr="00AB78A1">
        <w:t>), and the sharing of the 1240-1300</w:t>
      </w:r>
      <w:r w:rsidR="00F16685">
        <w:t> </w:t>
      </w:r>
      <w:r w:rsidRPr="00AB78A1">
        <w:t xml:space="preserve">MHz band with Defence radiolocation systems as per the AUS1A footnote of the </w:t>
      </w:r>
      <w:r w:rsidRPr="00AB78A1">
        <w:rPr>
          <w:i/>
        </w:rPr>
        <w:t>A</w:t>
      </w:r>
      <w:r w:rsidR="00F16685" w:rsidRPr="00AB78A1">
        <w:rPr>
          <w:i/>
        </w:rPr>
        <w:t xml:space="preserve">ustralian </w:t>
      </w:r>
      <w:r w:rsidRPr="00AB78A1">
        <w:rPr>
          <w:i/>
        </w:rPr>
        <w:t>R</w:t>
      </w:r>
      <w:r w:rsidR="00F16685" w:rsidRPr="00AB78A1">
        <w:rPr>
          <w:i/>
        </w:rPr>
        <w:t xml:space="preserve">adiofrequency </w:t>
      </w:r>
      <w:r w:rsidRPr="00AB78A1">
        <w:rPr>
          <w:i/>
        </w:rPr>
        <w:t>S</w:t>
      </w:r>
      <w:r w:rsidR="00F16685" w:rsidRPr="00AB78A1">
        <w:rPr>
          <w:i/>
        </w:rPr>
        <w:t xml:space="preserve">pectrum </w:t>
      </w:r>
      <w:r w:rsidRPr="00AB78A1">
        <w:rPr>
          <w:i/>
        </w:rPr>
        <w:t>P</w:t>
      </w:r>
      <w:r w:rsidR="00F16685" w:rsidRPr="00AB78A1">
        <w:rPr>
          <w:i/>
        </w:rPr>
        <w:t>lan 2013</w:t>
      </w:r>
      <w:r w:rsidRPr="00AB78A1">
        <w:t>.</w:t>
      </w:r>
    </w:p>
    <w:p w14:paraId="2D25980F" w14:textId="7510E388" w:rsidR="00C40745" w:rsidRPr="00AB78A1" w:rsidRDefault="00A67C40" w:rsidP="00C40745">
      <w:r w:rsidRPr="00AB78A1">
        <w:rPr>
          <w:iCs/>
        </w:rPr>
        <w:t xml:space="preserve">In establishing spectrum planning arrangements for new services or applications the ACMA considers the potential for co-existence with existing planned services/applications and stations. As part of this consideration, the ACMA </w:t>
      </w:r>
      <w:r w:rsidR="0020226E">
        <w:rPr>
          <w:iCs/>
        </w:rPr>
        <w:t>generally</w:t>
      </w:r>
      <w:r w:rsidR="0020226E" w:rsidRPr="00AB78A1">
        <w:rPr>
          <w:iCs/>
        </w:rPr>
        <w:t xml:space="preserve"> </w:t>
      </w:r>
      <w:r w:rsidRPr="00AB78A1">
        <w:rPr>
          <w:iCs/>
        </w:rPr>
        <w:t xml:space="preserve">consults publicly on any </w:t>
      </w:r>
      <w:r w:rsidR="0020226E">
        <w:rPr>
          <w:iCs/>
        </w:rPr>
        <w:t xml:space="preserve">proposed </w:t>
      </w:r>
      <w:r w:rsidRPr="00AB78A1">
        <w:rPr>
          <w:iCs/>
        </w:rPr>
        <w:t>changes to the spectrum management framework. Therefore</w:t>
      </w:r>
      <w:r w:rsidR="0020226E">
        <w:rPr>
          <w:iCs/>
        </w:rPr>
        <w:t>,</w:t>
      </w:r>
      <w:r w:rsidRPr="00AB78A1">
        <w:rPr>
          <w:iCs/>
        </w:rPr>
        <w:t xml:space="preserve"> in line with normal practice</w:t>
      </w:r>
      <w:r w:rsidR="0020226E">
        <w:rPr>
          <w:iCs/>
        </w:rPr>
        <w:t>,</w:t>
      </w:r>
      <w:r w:rsidRPr="00AB78A1">
        <w:rPr>
          <w:iCs/>
        </w:rPr>
        <w:t xml:space="preserve"> the ACMA would consult with stakeholders where changes are contemplated to the established spectrum management framework in those bands included in the radionavigation-satellite service class licence.</w:t>
      </w:r>
      <w:r>
        <w:rPr>
          <w:iCs/>
        </w:rPr>
        <w:t xml:space="preserve"> </w:t>
      </w:r>
      <w:r w:rsidR="00C40745" w:rsidRPr="00AB78A1">
        <w:t xml:space="preserve"> </w:t>
      </w:r>
    </w:p>
    <w:p w14:paraId="1464640B" w14:textId="5578F539" w:rsidR="00065D7F" w:rsidRPr="005D4103" w:rsidRDefault="00FF5066" w:rsidP="009F1A37">
      <w:r>
        <w:t>I</w:t>
      </w:r>
      <w:r w:rsidR="00B805B8">
        <w:t>nternational</w:t>
      </w:r>
      <w:r w:rsidR="00815236">
        <w:t>ly,</w:t>
      </w:r>
      <w:r w:rsidR="00B805B8">
        <w:t xml:space="preserve"> efforts are being undertaken to better understand the potential for interference from adjacent band services that are being increasingly adopted</w:t>
      </w:r>
      <w:r>
        <w:t>; however, t</w:t>
      </w:r>
      <w:r w:rsidR="00065D7F">
        <w:t>he ACMA has no intention at this time to mandate specific operating requirements on either the radionavigation-satellite service, or other in-band or adjacent-band services to protect radionavigation-satellite service receivers.</w:t>
      </w:r>
    </w:p>
    <w:p w14:paraId="6A5EC718" w14:textId="21693535" w:rsidR="00173D20" w:rsidRPr="005143C2" w:rsidRDefault="00881D4F" w:rsidP="00E17A8A">
      <w:pPr>
        <w:pStyle w:val="Heading2"/>
      </w:pPr>
      <w:bookmarkStart w:id="6" w:name="_Toc431541422"/>
      <w:r>
        <w:lastRenderedPageBreak/>
        <w:t>T</w:t>
      </w:r>
      <w:r w:rsidR="00173D20" w:rsidRPr="005143C2">
        <w:t>he 1980-2010 MHz and 2170-2200 MHz frequency ranges of the mobile-satellite service</w:t>
      </w:r>
      <w:bookmarkEnd w:id="6"/>
    </w:p>
    <w:p w14:paraId="5108E066" w14:textId="46CA390D" w:rsidR="005414C3" w:rsidRDefault="00514A98" w:rsidP="004C1ABF">
      <w:pPr>
        <w:rPr>
          <w:rFonts w:cs="Arial"/>
        </w:rPr>
      </w:pPr>
      <w:proofErr w:type="gramStart"/>
      <w:r>
        <w:rPr>
          <w:rFonts w:cs="Arial"/>
        </w:rPr>
        <w:t>A number of</w:t>
      </w:r>
      <w:proofErr w:type="gramEnd"/>
      <w:r>
        <w:rPr>
          <w:rFonts w:cs="Arial"/>
        </w:rPr>
        <w:t xml:space="preserve"> submissions to the consultation provided comment on the proposal to remove the </w:t>
      </w:r>
      <w:r w:rsidRPr="00514A98">
        <w:rPr>
          <w:rFonts w:cs="Arial"/>
        </w:rPr>
        <w:t>1980-2010 MHz and 2170-2200 MHz frequency ranges of the mobile-satellite service</w:t>
      </w:r>
      <w:r w:rsidR="00612EF1">
        <w:rPr>
          <w:rFonts w:cs="Arial"/>
        </w:rPr>
        <w:t xml:space="preserve"> (MSS)</w:t>
      </w:r>
      <w:r>
        <w:rPr>
          <w:rFonts w:cs="Arial"/>
        </w:rPr>
        <w:t xml:space="preserve"> from the space object class licence.</w:t>
      </w:r>
    </w:p>
    <w:p w14:paraId="2213F5C3" w14:textId="18A55E44" w:rsidR="00514A98" w:rsidRDefault="00612EF1" w:rsidP="004C1ABF">
      <w:pPr>
        <w:rPr>
          <w:rFonts w:cs="Arial"/>
        </w:rPr>
      </w:pPr>
      <w:r>
        <w:rPr>
          <w:rFonts w:cs="Arial"/>
        </w:rPr>
        <w:t xml:space="preserve">Those in favour of maintaining the frequency range in the space object class licence </w:t>
      </w:r>
      <w:r w:rsidR="00601A0C">
        <w:rPr>
          <w:rFonts w:cs="Arial"/>
        </w:rPr>
        <w:t>were</w:t>
      </w:r>
      <w:r>
        <w:rPr>
          <w:rFonts w:cs="Arial"/>
        </w:rPr>
        <w:t xml:space="preserve"> </w:t>
      </w:r>
      <w:r w:rsidR="00611431">
        <w:rPr>
          <w:rFonts w:cs="Arial"/>
        </w:rPr>
        <w:t>predominantly</w:t>
      </w:r>
      <w:r>
        <w:rPr>
          <w:rFonts w:cs="Arial"/>
        </w:rPr>
        <w:t xml:space="preserve"> satellite operators</w:t>
      </w:r>
      <w:r w:rsidR="00B32710">
        <w:rPr>
          <w:rFonts w:cs="Arial"/>
        </w:rPr>
        <w:t>,</w:t>
      </w:r>
      <w:r>
        <w:rPr>
          <w:rFonts w:cs="Arial"/>
        </w:rPr>
        <w:t xml:space="preserve"> noting </w:t>
      </w:r>
      <w:r w:rsidRPr="00AB78A1">
        <w:rPr>
          <w:rFonts w:cs="Arial"/>
        </w:rPr>
        <w:t xml:space="preserve">that next generation networks with service areas including Australia will be available </w:t>
      </w:r>
      <w:proofErr w:type="gramStart"/>
      <w:r w:rsidRPr="00AB78A1">
        <w:rPr>
          <w:rFonts w:cs="Arial"/>
        </w:rPr>
        <w:t>in the near future</w:t>
      </w:r>
      <w:proofErr w:type="gramEnd"/>
      <w:r w:rsidRPr="00AB78A1">
        <w:rPr>
          <w:rFonts w:cs="Arial"/>
        </w:rPr>
        <w:t>.</w:t>
      </w:r>
      <w:r>
        <w:rPr>
          <w:rFonts w:cs="Arial"/>
        </w:rPr>
        <w:t xml:space="preserve"> Inmarsat noted that it “</w:t>
      </w:r>
      <w:r w:rsidRPr="00612EF1">
        <w:rPr>
          <w:rFonts w:cs="Arial"/>
          <w:i/>
        </w:rPr>
        <w:t>is one of two MSS operators selected to provide MSS services in Europe [and] … planned for launch in 2015</w:t>
      </w:r>
      <w:r>
        <w:rPr>
          <w:rFonts w:cs="Arial"/>
          <w:i/>
        </w:rPr>
        <w:t xml:space="preserve">” </w:t>
      </w:r>
      <w:r>
        <w:rPr>
          <w:rFonts w:cs="Arial"/>
        </w:rPr>
        <w:t>although there is no plan to provide coverage of Australia.</w:t>
      </w:r>
    </w:p>
    <w:p w14:paraId="72C80F7B" w14:textId="39F6519A" w:rsidR="00612EF1" w:rsidRDefault="00612EF1" w:rsidP="004C1ABF">
      <w:pPr>
        <w:rPr>
          <w:rFonts w:cs="Arial"/>
          <w:i/>
        </w:rPr>
      </w:pPr>
      <w:proofErr w:type="spellStart"/>
      <w:r>
        <w:rPr>
          <w:rFonts w:cs="Arial"/>
        </w:rPr>
        <w:t>Omnispace</w:t>
      </w:r>
      <w:proofErr w:type="spellEnd"/>
      <w:r>
        <w:rPr>
          <w:rFonts w:cs="Arial"/>
        </w:rPr>
        <w:t xml:space="preserve"> </w:t>
      </w:r>
      <w:r w:rsidR="0024067E">
        <w:rPr>
          <w:rFonts w:cs="Arial"/>
        </w:rPr>
        <w:t xml:space="preserve">noted that </w:t>
      </w:r>
      <w:r w:rsidR="0024067E" w:rsidRPr="0024067E">
        <w:rPr>
          <w:rFonts w:cs="Arial"/>
          <w:i/>
        </w:rPr>
        <w:t>“the segments proposed to be deleted are internationally allocated for MSS S-band”</w:t>
      </w:r>
      <w:r w:rsidR="0024067E">
        <w:rPr>
          <w:rFonts w:cs="Arial"/>
        </w:rPr>
        <w:t xml:space="preserve"> and that </w:t>
      </w:r>
      <w:r w:rsidR="0024067E" w:rsidRPr="0024067E">
        <w:rPr>
          <w:rFonts w:cs="Arial"/>
          <w:i/>
        </w:rPr>
        <w:t>“there is significant international interest in the use of this band for MSS services as evidenced by the number of ITU-R S-band filings.”</w:t>
      </w:r>
      <w:r w:rsidR="0024067E">
        <w:rPr>
          <w:rFonts w:cs="Arial"/>
          <w:i/>
        </w:rPr>
        <w:t xml:space="preserve"> </w:t>
      </w:r>
      <w:proofErr w:type="spellStart"/>
      <w:r w:rsidR="0024067E">
        <w:rPr>
          <w:rFonts w:cs="Arial"/>
        </w:rPr>
        <w:t>Omnispace</w:t>
      </w:r>
      <w:proofErr w:type="spellEnd"/>
      <w:r w:rsidR="0024067E">
        <w:rPr>
          <w:rFonts w:cs="Arial"/>
        </w:rPr>
        <w:t xml:space="preserve"> noted that it </w:t>
      </w:r>
      <w:r w:rsidR="0024067E" w:rsidRPr="0024067E">
        <w:rPr>
          <w:rFonts w:cs="Arial"/>
          <w:i/>
        </w:rPr>
        <w:t xml:space="preserve">“is keen to establish an MSS S-band service for low-cost ubiquitous terminals in rural and remote Australia for M2M and other services that would benefit from the ability to </w:t>
      </w:r>
      <w:r w:rsidR="0024067E">
        <w:rPr>
          <w:rFonts w:cs="Arial"/>
          <w:i/>
        </w:rPr>
        <w:t>c</w:t>
      </w:r>
      <w:r w:rsidR="0024067E" w:rsidRPr="0024067E">
        <w:rPr>
          <w:rFonts w:cs="Arial"/>
          <w:i/>
        </w:rPr>
        <w:t xml:space="preserve">lass </w:t>
      </w:r>
      <w:r w:rsidR="0024067E">
        <w:rPr>
          <w:rFonts w:cs="Arial"/>
          <w:i/>
        </w:rPr>
        <w:t>l</w:t>
      </w:r>
      <w:r w:rsidR="0024067E" w:rsidRPr="0024067E">
        <w:rPr>
          <w:rFonts w:cs="Arial"/>
          <w:i/>
        </w:rPr>
        <w:t>icence these terminals</w:t>
      </w:r>
      <w:r w:rsidR="0024067E">
        <w:rPr>
          <w:rFonts w:cs="Arial"/>
          <w:i/>
        </w:rPr>
        <w:t>.”</w:t>
      </w:r>
    </w:p>
    <w:p w14:paraId="0006D321" w14:textId="04CB5B27" w:rsidR="0024067E" w:rsidRDefault="00AB2E0C" w:rsidP="004C1ABF">
      <w:pPr>
        <w:rPr>
          <w:rFonts w:cs="Arial"/>
          <w:i/>
        </w:rPr>
      </w:pPr>
      <w:r>
        <w:rPr>
          <w:rFonts w:cs="Arial"/>
        </w:rPr>
        <w:t>ASTRA, Defence, Free</w:t>
      </w:r>
      <w:r w:rsidR="002D104B">
        <w:rPr>
          <w:rFonts w:cs="Arial"/>
        </w:rPr>
        <w:t xml:space="preserve"> </w:t>
      </w:r>
      <w:r>
        <w:rPr>
          <w:rFonts w:cs="Arial"/>
        </w:rPr>
        <w:t xml:space="preserve">TV and Telstra were all supportive of removing the </w:t>
      </w:r>
      <w:r w:rsidRPr="00514A98">
        <w:rPr>
          <w:rFonts w:cs="Arial"/>
        </w:rPr>
        <w:t>1980-</w:t>
      </w:r>
      <w:r w:rsidR="00B32710" w:rsidRPr="00514A98">
        <w:rPr>
          <w:rFonts w:cs="Arial"/>
        </w:rPr>
        <w:t>2010</w:t>
      </w:r>
      <w:r w:rsidR="00B32710">
        <w:rPr>
          <w:rFonts w:cs="Arial"/>
        </w:rPr>
        <w:t> </w:t>
      </w:r>
      <w:r w:rsidRPr="00514A98">
        <w:rPr>
          <w:rFonts w:cs="Arial"/>
        </w:rPr>
        <w:t>MHz and 2170-2200 MHz frequency ranges</w:t>
      </w:r>
      <w:r>
        <w:rPr>
          <w:rFonts w:cs="Arial"/>
        </w:rPr>
        <w:t xml:space="preserve"> from the space object class licence</w:t>
      </w:r>
      <w:r w:rsidR="004B5A93">
        <w:rPr>
          <w:rFonts w:cs="Arial"/>
        </w:rPr>
        <w:t>, Free</w:t>
      </w:r>
      <w:r w:rsidR="002D104B">
        <w:rPr>
          <w:rFonts w:cs="Arial"/>
        </w:rPr>
        <w:t xml:space="preserve"> </w:t>
      </w:r>
      <w:r w:rsidR="004B5A93">
        <w:rPr>
          <w:rFonts w:cs="Arial"/>
        </w:rPr>
        <w:t>TV</w:t>
      </w:r>
      <w:r>
        <w:rPr>
          <w:rFonts w:cs="Arial"/>
        </w:rPr>
        <w:t xml:space="preserve"> noting </w:t>
      </w:r>
      <w:r w:rsidRPr="00AB2E0C">
        <w:rPr>
          <w:rFonts w:cs="Arial"/>
          <w:i/>
        </w:rPr>
        <w:t>“the ACMA has developed arrangements to support the introduction of television outside broadcast (TOB) … on an interim basis.”</w:t>
      </w:r>
      <w:r w:rsidR="004B5A93">
        <w:rPr>
          <w:rFonts w:cs="Arial"/>
          <w:i/>
        </w:rPr>
        <w:t xml:space="preserve"> “</w:t>
      </w:r>
      <w:r w:rsidR="004B5A93" w:rsidRPr="004B5A93">
        <w:rPr>
          <w:rFonts w:cs="Arial"/>
          <w:i/>
        </w:rPr>
        <w:t xml:space="preserve">Currently there are 4 TOB licensees within the bands 1980–2010 MHz and 2170–2200 </w:t>
      </w:r>
      <w:proofErr w:type="spellStart"/>
      <w:r w:rsidR="004B5A93" w:rsidRPr="004B5A93">
        <w:rPr>
          <w:rFonts w:cs="Arial"/>
          <w:i/>
        </w:rPr>
        <w:t>MHz.</w:t>
      </w:r>
      <w:proofErr w:type="spellEnd"/>
      <w:r w:rsidR="004B5A93">
        <w:rPr>
          <w:rFonts w:cs="Arial"/>
          <w:i/>
        </w:rPr>
        <w:t>”</w:t>
      </w:r>
    </w:p>
    <w:p w14:paraId="20DE4CC4" w14:textId="34EA5B71" w:rsidR="004B5A93" w:rsidRPr="004B5A93" w:rsidRDefault="0009250C" w:rsidP="004C1ABF">
      <w:pPr>
        <w:rPr>
          <w:rFonts w:cs="Arial"/>
        </w:rPr>
      </w:pPr>
      <w:r>
        <w:rPr>
          <w:rFonts w:cs="Arial"/>
        </w:rPr>
        <w:t>Telstra noted that “</w:t>
      </w:r>
      <w:r w:rsidRPr="00210A38">
        <w:rPr>
          <w:rFonts w:cs="Arial"/>
          <w:i/>
        </w:rPr>
        <w:t xml:space="preserve">these bands are already allocated on a co-primary basis to the Mobile Service and are identified for IMT under Radio Regulation No. </w:t>
      </w:r>
      <w:r w:rsidRPr="00210A38">
        <w:rPr>
          <w:rFonts w:cs="Arial"/>
          <w:b/>
          <w:i/>
        </w:rPr>
        <w:t>5.388</w:t>
      </w:r>
      <w:r w:rsidRPr="00210A38">
        <w:rPr>
          <w:rFonts w:cs="Arial"/>
          <w:i/>
        </w:rPr>
        <w:t>, and with equal priority for either terrestrial and/or satellite implementation of IMT</w:t>
      </w:r>
      <w:r>
        <w:rPr>
          <w:rFonts w:cs="Arial"/>
        </w:rPr>
        <w:t>.”</w:t>
      </w:r>
    </w:p>
    <w:p w14:paraId="0B33C264" w14:textId="1DC2D412" w:rsidR="00173D20" w:rsidRPr="007A67EB" w:rsidRDefault="003E356C" w:rsidP="003E356C">
      <w:pPr>
        <w:spacing w:after="120"/>
        <w:rPr>
          <w:b/>
          <w:i/>
        </w:rPr>
      </w:pPr>
      <w:r>
        <w:rPr>
          <w:b/>
          <w:i/>
        </w:rPr>
        <w:t>ACMA response</w:t>
      </w:r>
    </w:p>
    <w:p w14:paraId="350C33B4" w14:textId="7404F66E" w:rsidR="00EB3AD3" w:rsidRDefault="00297191" w:rsidP="0009250C">
      <w:proofErr w:type="gramStart"/>
      <w:r>
        <w:rPr>
          <w:rFonts w:cs="Arial"/>
        </w:rPr>
        <w:t>A number of</w:t>
      </w:r>
      <w:proofErr w:type="gramEnd"/>
      <w:r w:rsidR="0009250C">
        <w:t xml:space="preserve"> responses </w:t>
      </w:r>
      <w:r w:rsidR="00B32710">
        <w:t xml:space="preserve">to the consultation paper </w:t>
      </w:r>
      <w:r>
        <w:t xml:space="preserve">provided support for (presumably ubiquitous) MSS use of the band but </w:t>
      </w:r>
      <w:r w:rsidR="0009250C">
        <w:t xml:space="preserve">noted that </w:t>
      </w:r>
      <w:r w:rsidR="00B32710">
        <w:t xml:space="preserve">there is no firm </w:t>
      </w:r>
      <w:r w:rsidR="0009250C">
        <w:t>timing for a service to be provided to Australia</w:t>
      </w:r>
      <w:r w:rsidR="009B5C6B">
        <w:rPr>
          <w:rFonts w:cs="Arial"/>
        </w:rPr>
        <w:t xml:space="preserve">. </w:t>
      </w:r>
    </w:p>
    <w:p w14:paraId="4AE019D5" w14:textId="6528BD5C" w:rsidR="00EE72A9" w:rsidRDefault="00EE72A9" w:rsidP="0009250C">
      <w:r>
        <w:t xml:space="preserve">The ACMA acknowledges the responses regarding the commitment the ACMA first made in 2010 to support interim use of the band for TOB, pending consideration of the potential future use of the band for mobile broadband. The ACMA understands the importance, for operational certainty to TOB users, that proposals to authorise additional services (such </w:t>
      </w:r>
      <w:r w:rsidR="00C96357">
        <w:t xml:space="preserve">as </w:t>
      </w:r>
      <w:r>
        <w:t>mobile broadband or ubiquitous class licensed MSS services) are not made until a future review occurs.</w:t>
      </w:r>
    </w:p>
    <w:p w14:paraId="54CE3211" w14:textId="5E57F66A" w:rsidR="00374B33" w:rsidRDefault="00374B33" w:rsidP="0009250C">
      <w:r w:rsidRPr="00374B33">
        <w:t>Whil</w:t>
      </w:r>
      <w:r w:rsidR="00CA5E3F">
        <w:t>st it is recognised that</w:t>
      </w:r>
      <w:r w:rsidRPr="00374B33">
        <w:t xml:space="preserve"> Embargo </w:t>
      </w:r>
      <w:r w:rsidR="00CA5E3F">
        <w:t>23</w:t>
      </w:r>
      <w:r w:rsidR="00CA5E3F">
        <w:rPr>
          <w:rStyle w:val="FootnoteReference"/>
        </w:rPr>
        <w:footnoteReference w:id="1"/>
      </w:r>
      <w:r w:rsidR="00CA5E3F">
        <w:t xml:space="preserve"> </w:t>
      </w:r>
      <w:r w:rsidRPr="00374B33">
        <w:t xml:space="preserve">applies </w:t>
      </w:r>
      <w:r w:rsidR="00CA5E3F">
        <w:t xml:space="preserve">and the </w:t>
      </w:r>
      <w:r w:rsidRPr="00374B33">
        <w:t xml:space="preserve">ACMA </w:t>
      </w:r>
      <w:r w:rsidR="00CA5E3F">
        <w:t xml:space="preserve">has made it </w:t>
      </w:r>
      <w:r w:rsidRPr="00374B33">
        <w:t xml:space="preserve">clear </w:t>
      </w:r>
      <w:r w:rsidR="001569C6">
        <w:t>both in the development</w:t>
      </w:r>
      <w:r w:rsidR="00297191">
        <w:t xml:space="preserve"> of TOB arrangements and consideration of mobile broadband</w:t>
      </w:r>
      <w:r w:rsidR="00297191" w:rsidRPr="00374B33">
        <w:rPr>
          <w:vertAlign w:val="superscript"/>
        </w:rPr>
        <w:footnoteReference w:id="2"/>
      </w:r>
      <w:r w:rsidR="00297191">
        <w:t xml:space="preserve"> </w:t>
      </w:r>
      <w:r w:rsidR="00CA5E3F">
        <w:t xml:space="preserve">that </w:t>
      </w:r>
      <w:r w:rsidRPr="00374B33">
        <w:t xml:space="preserve">the band is </w:t>
      </w:r>
      <w:r w:rsidR="00297191">
        <w:t>a candidate</w:t>
      </w:r>
      <w:r w:rsidR="00297191" w:rsidRPr="00374B33">
        <w:t xml:space="preserve"> </w:t>
      </w:r>
      <w:r w:rsidRPr="00374B33">
        <w:t xml:space="preserve">to support future </w:t>
      </w:r>
      <w:r w:rsidR="00297191">
        <w:t>mobile broadband service</w:t>
      </w:r>
      <w:r w:rsidR="001569C6">
        <w:t>s</w:t>
      </w:r>
      <w:r w:rsidRPr="00374B33">
        <w:t xml:space="preserve">, </w:t>
      </w:r>
      <w:r w:rsidR="00297191">
        <w:t xml:space="preserve">any </w:t>
      </w:r>
      <w:r w:rsidRPr="00374B33">
        <w:t xml:space="preserve">decision </w:t>
      </w:r>
      <w:r w:rsidR="00297191">
        <w:t>on the use of the band for mobile broadband woul</w:t>
      </w:r>
      <w:r w:rsidRPr="00374B33">
        <w:t>d be undertaken in a future review</w:t>
      </w:r>
      <w:r w:rsidR="00EE15B1">
        <w:t xml:space="preserve"> allowing further opportunity for industry comment</w:t>
      </w:r>
      <w:r w:rsidRPr="00374B33">
        <w:t>. Th</w:t>
      </w:r>
      <w:r w:rsidR="00297191">
        <w:t>e</w:t>
      </w:r>
      <w:r w:rsidRPr="00374B33">
        <w:t xml:space="preserve"> review </w:t>
      </w:r>
      <w:r w:rsidR="00297191">
        <w:t>would consider the broad range of current and potential uses of the band including TOB and MSS</w:t>
      </w:r>
      <w:r>
        <w:t xml:space="preserve">. </w:t>
      </w:r>
    </w:p>
    <w:p w14:paraId="51CA3E65" w14:textId="3BE07196" w:rsidR="00C16BE5" w:rsidRDefault="00374B33" w:rsidP="0009250C">
      <w:pPr>
        <w:rPr>
          <w:rFonts w:cs="Arial"/>
        </w:rPr>
      </w:pPr>
      <w:r>
        <w:lastRenderedPageBreak/>
        <w:t xml:space="preserve">At this time, </w:t>
      </w:r>
      <w:r w:rsidR="00297191">
        <w:t xml:space="preserve">the ACMA is of the view that </w:t>
      </w:r>
      <w:r w:rsidR="0009250C">
        <w:rPr>
          <w:rFonts w:cs="Arial"/>
        </w:rPr>
        <w:t xml:space="preserve">there </w:t>
      </w:r>
      <w:r w:rsidR="00EB3AD3">
        <w:rPr>
          <w:rFonts w:cs="Arial"/>
        </w:rPr>
        <w:t>remains</w:t>
      </w:r>
      <w:r w:rsidR="0009250C">
        <w:rPr>
          <w:rFonts w:cs="Arial"/>
        </w:rPr>
        <w:t xml:space="preserve"> insufficient justification to maintain </w:t>
      </w:r>
      <w:r w:rsidR="00267313">
        <w:rPr>
          <w:rFonts w:cs="Arial"/>
        </w:rPr>
        <w:t xml:space="preserve">the </w:t>
      </w:r>
      <w:r w:rsidR="0009250C">
        <w:rPr>
          <w:rFonts w:cs="Arial"/>
        </w:rPr>
        <w:t>frequencies</w:t>
      </w:r>
      <w:r w:rsidR="00267313">
        <w:rPr>
          <w:rFonts w:cs="Arial"/>
        </w:rPr>
        <w:t xml:space="preserve"> in the space object class licence</w:t>
      </w:r>
      <w:r w:rsidR="00297191">
        <w:rPr>
          <w:rFonts w:cs="Arial"/>
        </w:rPr>
        <w:t xml:space="preserve"> and hence has decided to remove them. </w:t>
      </w:r>
      <w:r w:rsidR="00C16BE5">
        <w:rPr>
          <w:rFonts w:cs="Arial"/>
        </w:rPr>
        <w:t xml:space="preserve">While MSS remains a possible use, it is by no means the only possible use and at present, the ACMA does not wish to forestall other options for its use. Leaving the band planned for MSS tends to favour one possible long-term </w:t>
      </w:r>
      <w:proofErr w:type="gramStart"/>
      <w:r w:rsidR="00C16BE5">
        <w:rPr>
          <w:rFonts w:cs="Arial"/>
        </w:rPr>
        <w:t>outcome, but</w:t>
      </w:r>
      <w:proofErr w:type="gramEnd"/>
      <w:r w:rsidR="00C16BE5">
        <w:rPr>
          <w:rFonts w:cs="Arial"/>
        </w:rPr>
        <w:t xml:space="preserve"> would be inconsistent with the actual domestic status of the band. </w:t>
      </w:r>
    </w:p>
    <w:p w14:paraId="30284DA5" w14:textId="56C885FA" w:rsidR="0009250C" w:rsidRPr="0009250C" w:rsidRDefault="00297191" w:rsidP="0009250C">
      <w:r>
        <w:rPr>
          <w:rFonts w:cs="Arial"/>
        </w:rPr>
        <w:t>It is noted that the ACMA will continue to consider applications for apparatus licences for individual earth stations on a case</w:t>
      </w:r>
      <w:r w:rsidR="001569C6">
        <w:rPr>
          <w:rFonts w:cs="Arial"/>
        </w:rPr>
        <w:t>-</w:t>
      </w:r>
      <w:r>
        <w:rPr>
          <w:rFonts w:cs="Arial"/>
        </w:rPr>
        <w:t>by</w:t>
      </w:r>
      <w:r w:rsidR="001569C6">
        <w:rPr>
          <w:rFonts w:cs="Arial"/>
        </w:rPr>
        <w:t>-</w:t>
      </w:r>
      <w:r>
        <w:rPr>
          <w:rFonts w:cs="Arial"/>
        </w:rPr>
        <w:t>case basis consistent with the current planned use of the band for interim TOB.</w:t>
      </w:r>
    </w:p>
    <w:p w14:paraId="153770D6" w14:textId="77777777" w:rsidR="00173D20" w:rsidRPr="005143C2" w:rsidRDefault="00173D20" w:rsidP="00E17A8A">
      <w:pPr>
        <w:pStyle w:val="Heading2"/>
      </w:pPr>
      <w:bookmarkStart w:id="7" w:name="_Toc431541423"/>
      <w:r w:rsidRPr="005143C2">
        <w:t>Stations operating on a vessel</w:t>
      </w:r>
      <w:bookmarkEnd w:id="7"/>
    </w:p>
    <w:p w14:paraId="0AF07692" w14:textId="564E7E18" w:rsidR="0011128D" w:rsidRPr="005143C2" w:rsidRDefault="0011128D" w:rsidP="004C1ABF">
      <w:pPr>
        <w:rPr>
          <w:rFonts w:cs="Arial"/>
        </w:rPr>
      </w:pPr>
      <w:r w:rsidRPr="005143C2">
        <w:rPr>
          <w:rFonts w:cs="Arial"/>
        </w:rPr>
        <w:t xml:space="preserve">In reviewing the space object class licence, the ACMA proposed </w:t>
      </w:r>
      <w:proofErr w:type="gramStart"/>
      <w:r w:rsidRPr="005143C2">
        <w:rPr>
          <w:rFonts w:cs="Arial"/>
        </w:rPr>
        <w:t>a number of</w:t>
      </w:r>
      <w:proofErr w:type="gramEnd"/>
      <w:r w:rsidRPr="005143C2">
        <w:rPr>
          <w:rFonts w:cs="Arial"/>
        </w:rPr>
        <w:t xml:space="preserve"> changes to the way maritime ship stations would be authorised under the licence. The objective was to maintain the original intent of the </w:t>
      </w:r>
      <w:r w:rsidR="00996F5C" w:rsidRPr="005143C2">
        <w:rPr>
          <w:rFonts w:cs="Arial"/>
        </w:rPr>
        <w:t xml:space="preserve">space object </w:t>
      </w:r>
      <w:r w:rsidRPr="005143C2">
        <w:rPr>
          <w:rFonts w:cs="Arial"/>
        </w:rPr>
        <w:t xml:space="preserve">class licence </w:t>
      </w:r>
      <w:r w:rsidR="00D8617B">
        <w:rPr>
          <w:rFonts w:cs="Arial"/>
        </w:rPr>
        <w:t>but to remove</w:t>
      </w:r>
      <w:r w:rsidRPr="005143C2">
        <w:rPr>
          <w:rFonts w:cs="Arial"/>
        </w:rPr>
        <w:t xml:space="preserve"> explicit terminal and associated performance standard</w:t>
      </w:r>
      <w:r w:rsidR="00996F5C" w:rsidRPr="005143C2">
        <w:rPr>
          <w:rFonts w:cs="Arial"/>
        </w:rPr>
        <w:t>s</w:t>
      </w:r>
      <w:r w:rsidRPr="005143C2">
        <w:rPr>
          <w:rFonts w:cs="Arial"/>
        </w:rPr>
        <w:t xml:space="preserve"> because the requirement to </w:t>
      </w:r>
      <w:r w:rsidR="00996F5C" w:rsidRPr="005143C2">
        <w:rPr>
          <w:rFonts w:cs="Arial"/>
        </w:rPr>
        <w:t>maintain them placed</w:t>
      </w:r>
      <w:r w:rsidRPr="005143C2">
        <w:rPr>
          <w:rFonts w:cs="Arial"/>
        </w:rPr>
        <w:t xml:space="preserve"> a burden on the ACMA </w:t>
      </w:r>
      <w:r w:rsidR="00996F5C" w:rsidRPr="005143C2">
        <w:rPr>
          <w:rFonts w:cs="Arial"/>
        </w:rPr>
        <w:t xml:space="preserve">and industry to ensure </w:t>
      </w:r>
      <w:r w:rsidRPr="005143C2">
        <w:rPr>
          <w:rFonts w:cs="Arial"/>
        </w:rPr>
        <w:t>the space object class licence is</w:t>
      </w:r>
      <w:r w:rsidR="007D1CC4">
        <w:rPr>
          <w:rFonts w:cs="Arial"/>
        </w:rPr>
        <w:t xml:space="preserve"> kept</w:t>
      </w:r>
      <w:r w:rsidRPr="005143C2">
        <w:rPr>
          <w:rFonts w:cs="Arial"/>
        </w:rPr>
        <w:t xml:space="preserve"> </w:t>
      </w:r>
      <w:proofErr w:type="gramStart"/>
      <w:r w:rsidR="007D1CC4">
        <w:rPr>
          <w:rFonts w:cs="Arial"/>
        </w:rPr>
        <w:t>up-</w:t>
      </w:r>
      <w:r w:rsidR="009B5C6B">
        <w:rPr>
          <w:rFonts w:cs="Arial"/>
        </w:rPr>
        <w:t>to</w:t>
      </w:r>
      <w:r w:rsidR="007D1CC4">
        <w:rPr>
          <w:rFonts w:cs="Arial"/>
        </w:rPr>
        <w:t>-</w:t>
      </w:r>
      <w:r w:rsidR="009B5C6B">
        <w:rPr>
          <w:rFonts w:cs="Arial"/>
        </w:rPr>
        <w:t>date</w:t>
      </w:r>
      <w:proofErr w:type="gramEnd"/>
      <w:r w:rsidR="00996F5C" w:rsidRPr="005143C2">
        <w:rPr>
          <w:rFonts w:cs="Arial"/>
        </w:rPr>
        <w:t>.</w:t>
      </w:r>
    </w:p>
    <w:p w14:paraId="40E65FE0" w14:textId="377362C2" w:rsidR="00996F5C" w:rsidRPr="005143C2" w:rsidRDefault="00996F5C" w:rsidP="004C1ABF">
      <w:pPr>
        <w:rPr>
          <w:rFonts w:cs="Arial"/>
          <w:i/>
        </w:rPr>
      </w:pPr>
      <w:r w:rsidRPr="00611431">
        <w:rPr>
          <w:rFonts w:cs="Arial"/>
        </w:rPr>
        <w:t>Three</w:t>
      </w:r>
      <w:r w:rsidRPr="005143C2">
        <w:rPr>
          <w:rFonts w:cs="Arial"/>
        </w:rPr>
        <w:t xml:space="preserve"> submissions directly addressed the issue of maritime ship stations</w:t>
      </w:r>
      <w:r w:rsidR="00D8617B">
        <w:rPr>
          <w:rFonts w:cs="Arial"/>
        </w:rPr>
        <w:t xml:space="preserve"> and i</w:t>
      </w:r>
      <w:r w:rsidR="0016171F" w:rsidRPr="005143C2">
        <w:rPr>
          <w:rFonts w:cs="Arial"/>
        </w:rPr>
        <w:t xml:space="preserve">n general, </w:t>
      </w:r>
      <w:r w:rsidR="0016171F" w:rsidRPr="00611431">
        <w:rPr>
          <w:rFonts w:cs="Arial"/>
        </w:rPr>
        <w:t>ASTRA, AMSA and Inmarsat</w:t>
      </w:r>
      <w:r w:rsidR="0016171F" w:rsidRPr="005143C2">
        <w:rPr>
          <w:rFonts w:cs="Arial"/>
        </w:rPr>
        <w:t xml:space="preserve"> were supportive of the proposed changes, with ASTRA noting it was important </w:t>
      </w:r>
      <w:r w:rsidR="0016171F" w:rsidRPr="005143C2">
        <w:rPr>
          <w:rFonts w:cs="Arial"/>
          <w:i/>
        </w:rPr>
        <w:t>“to ensure that maritime mobile direct-to-home earth stations remain licensed under the space object class licen</w:t>
      </w:r>
      <w:r w:rsidR="005504A0">
        <w:rPr>
          <w:rFonts w:cs="Arial"/>
          <w:i/>
        </w:rPr>
        <w:t>c</w:t>
      </w:r>
      <w:r w:rsidR="0016171F" w:rsidRPr="005143C2">
        <w:rPr>
          <w:rFonts w:cs="Arial"/>
          <w:i/>
        </w:rPr>
        <w:t>e”</w:t>
      </w:r>
      <w:r w:rsidR="0016171F" w:rsidRPr="005143C2">
        <w:rPr>
          <w:rFonts w:cs="Arial"/>
        </w:rPr>
        <w:t xml:space="preserve"> and AMSA noting that </w:t>
      </w:r>
      <w:r w:rsidR="0016171F" w:rsidRPr="005143C2">
        <w:rPr>
          <w:rFonts w:cs="Arial"/>
          <w:i/>
        </w:rPr>
        <w:t>“the changes should have no material effect to existing or future maritime users”.</w:t>
      </w:r>
    </w:p>
    <w:p w14:paraId="60F8E958" w14:textId="4E06679F" w:rsidR="0016171F" w:rsidRPr="005143C2" w:rsidRDefault="00285BB1" w:rsidP="004C1ABF">
      <w:pPr>
        <w:rPr>
          <w:rFonts w:cs="Arial"/>
        </w:rPr>
      </w:pPr>
      <w:r w:rsidRPr="005143C2">
        <w:rPr>
          <w:rFonts w:cs="Arial"/>
        </w:rPr>
        <w:t>Inmarsat identified that “</w:t>
      </w:r>
      <w:r w:rsidRPr="00210A38">
        <w:rPr>
          <w:rFonts w:cs="Arial"/>
          <w:i/>
        </w:rPr>
        <w:t>the proposed new space object class licence appears to exclude the operation of maritime ship stations which are not operating as part of the GMDSS … whether intended or not</w:t>
      </w:r>
      <w:r w:rsidRPr="005143C2">
        <w:rPr>
          <w:rFonts w:cs="Arial"/>
        </w:rPr>
        <w:t>”.</w:t>
      </w:r>
    </w:p>
    <w:p w14:paraId="481CAE0F" w14:textId="60A0880A" w:rsidR="005414C3" w:rsidRPr="005143C2" w:rsidRDefault="00E60D23" w:rsidP="004C1ABF">
      <w:pPr>
        <w:rPr>
          <w:rFonts w:cs="Arial"/>
        </w:rPr>
      </w:pPr>
      <w:r w:rsidRPr="005143C2">
        <w:rPr>
          <w:rFonts w:cs="Arial"/>
        </w:rPr>
        <w:t xml:space="preserve">AMSA noted that the proposed definition of a ‘qualified operator’ had been modified to remove </w:t>
      </w:r>
      <w:r w:rsidRPr="005143C2">
        <w:rPr>
          <w:rFonts w:cs="Arial"/>
          <w:i/>
        </w:rPr>
        <w:t xml:space="preserve">“specific reference to AMSA-issued qualifications” </w:t>
      </w:r>
      <w:r w:rsidRPr="005143C2">
        <w:rPr>
          <w:rFonts w:cs="Arial"/>
        </w:rPr>
        <w:t xml:space="preserve">and that this may not be </w:t>
      </w:r>
      <w:proofErr w:type="gramStart"/>
      <w:r w:rsidRPr="005143C2">
        <w:rPr>
          <w:rFonts w:cs="Arial"/>
        </w:rPr>
        <w:t>sufficient</w:t>
      </w:r>
      <w:proofErr w:type="gramEnd"/>
      <w:r w:rsidRPr="005143C2">
        <w:rPr>
          <w:rFonts w:cs="Arial"/>
        </w:rPr>
        <w:t xml:space="preserve"> for AMSA purposes given that </w:t>
      </w:r>
      <w:r w:rsidR="00331CAB">
        <w:rPr>
          <w:rFonts w:cs="Arial"/>
        </w:rPr>
        <w:t xml:space="preserve">AMSA </w:t>
      </w:r>
      <w:r w:rsidRPr="005143C2">
        <w:rPr>
          <w:rFonts w:cs="Arial"/>
        </w:rPr>
        <w:t>issue</w:t>
      </w:r>
      <w:r w:rsidR="005504A0">
        <w:rPr>
          <w:rFonts w:cs="Arial"/>
        </w:rPr>
        <w:t>s</w:t>
      </w:r>
      <w:r w:rsidRPr="005143C2">
        <w:rPr>
          <w:rFonts w:cs="Arial"/>
        </w:rPr>
        <w:t xml:space="preserve"> qualifications</w:t>
      </w:r>
      <w:r w:rsidR="00331CAB">
        <w:rPr>
          <w:rFonts w:cs="Arial"/>
        </w:rPr>
        <w:t xml:space="preserve"> for operations in the G</w:t>
      </w:r>
      <w:r w:rsidR="0020226E">
        <w:rPr>
          <w:rFonts w:cs="Arial"/>
        </w:rPr>
        <w:t xml:space="preserve">lobal </w:t>
      </w:r>
      <w:r w:rsidR="00331CAB">
        <w:rPr>
          <w:rFonts w:cs="Arial"/>
        </w:rPr>
        <w:t>M</w:t>
      </w:r>
      <w:r w:rsidR="0020226E">
        <w:rPr>
          <w:rFonts w:cs="Arial"/>
        </w:rPr>
        <w:t xml:space="preserve">aritime </w:t>
      </w:r>
      <w:r w:rsidR="00331CAB">
        <w:rPr>
          <w:rFonts w:cs="Arial"/>
        </w:rPr>
        <w:t>D</w:t>
      </w:r>
      <w:r w:rsidR="0020226E">
        <w:rPr>
          <w:rFonts w:cs="Arial"/>
        </w:rPr>
        <w:t xml:space="preserve">istress and </w:t>
      </w:r>
      <w:r w:rsidR="00331CAB">
        <w:rPr>
          <w:rFonts w:cs="Arial"/>
        </w:rPr>
        <w:t>S</w:t>
      </w:r>
      <w:r w:rsidR="0020226E">
        <w:rPr>
          <w:rFonts w:cs="Arial"/>
        </w:rPr>
        <w:t xml:space="preserve">afety </w:t>
      </w:r>
      <w:r w:rsidR="00331CAB">
        <w:rPr>
          <w:rFonts w:cs="Arial"/>
        </w:rPr>
        <w:t>S</w:t>
      </w:r>
      <w:r w:rsidR="0020226E">
        <w:rPr>
          <w:rFonts w:cs="Arial"/>
        </w:rPr>
        <w:t>ystem (GMDSS)</w:t>
      </w:r>
      <w:r w:rsidRPr="005143C2">
        <w:rPr>
          <w:rFonts w:cs="Arial"/>
        </w:rPr>
        <w:t>. Although the details of AMSA specific qualifications are contained on the ACMA website, AMSA propose</w:t>
      </w:r>
      <w:r w:rsidR="005504A0">
        <w:rPr>
          <w:rFonts w:cs="Arial"/>
        </w:rPr>
        <w:t>s</w:t>
      </w:r>
      <w:r w:rsidRPr="005143C2">
        <w:rPr>
          <w:rFonts w:cs="Arial"/>
        </w:rPr>
        <w:t xml:space="preserve"> </w:t>
      </w:r>
      <w:r w:rsidRPr="005143C2">
        <w:rPr>
          <w:rFonts w:cs="Arial"/>
          <w:i/>
        </w:rPr>
        <w:t>“that it would be beneficial to retain the old text which references AMSA, or something similar”</w:t>
      </w:r>
      <w:r w:rsidRPr="005143C2">
        <w:rPr>
          <w:rFonts w:cs="Arial"/>
        </w:rPr>
        <w:t>.</w:t>
      </w:r>
      <w:r w:rsidR="005414C3" w:rsidRPr="005143C2">
        <w:rPr>
          <w:rFonts w:cs="Arial"/>
        </w:rPr>
        <w:t xml:space="preserve"> </w:t>
      </w:r>
    </w:p>
    <w:p w14:paraId="0F4E4E2B" w14:textId="098FC020" w:rsidR="00C87C59" w:rsidRPr="007A67EB" w:rsidRDefault="003E356C" w:rsidP="003E356C">
      <w:pPr>
        <w:spacing w:after="120"/>
        <w:rPr>
          <w:b/>
          <w:i/>
        </w:rPr>
      </w:pPr>
      <w:r>
        <w:rPr>
          <w:b/>
          <w:i/>
        </w:rPr>
        <w:t>ACMA response</w:t>
      </w:r>
    </w:p>
    <w:p w14:paraId="4A197D7F" w14:textId="4B0DBE76" w:rsidR="00C87C59" w:rsidRDefault="00611431" w:rsidP="004C1ABF">
      <w:pPr>
        <w:rPr>
          <w:rFonts w:cs="Arial"/>
        </w:rPr>
      </w:pPr>
      <w:r>
        <w:rPr>
          <w:rFonts w:cs="Arial"/>
        </w:rPr>
        <w:t>The ACMA</w:t>
      </w:r>
      <w:r w:rsidR="00FC722E">
        <w:rPr>
          <w:rFonts w:cs="Arial"/>
        </w:rPr>
        <w:t>,</w:t>
      </w:r>
      <w:r>
        <w:rPr>
          <w:rFonts w:cs="Arial"/>
        </w:rPr>
        <w:t xml:space="preserve"> in consultation with AMSA</w:t>
      </w:r>
      <w:r w:rsidR="00FC722E">
        <w:rPr>
          <w:rFonts w:cs="Arial"/>
        </w:rPr>
        <w:t>,</w:t>
      </w:r>
      <w:r>
        <w:rPr>
          <w:rFonts w:cs="Arial"/>
        </w:rPr>
        <w:t xml:space="preserve"> ha</w:t>
      </w:r>
      <w:r w:rsidR="00FC722E">
        <w:rPr>
          <w:rFonts w:cs="Arial"/>
        </w:rPr>
        <w:t>s</w:t>
      </w:r>
      <w:r>
        <w:rPr>
          <w:rFonts w:cs="Arial"/>
        </w:rPr>
        <w:t xml:space="preserve"> sought to ensure that maritime ship stations not </w:t>
      </w:r>
      <w:r w:rsidR="00FC722E">
        <w:rPr>
          <w:rFonts w:cs="Arial"/>
        </w:rPr>
        <w:t>subject to the requirements</w:t>
      </w:r>
      <w:r>
        <w:rPr>
          <w:rFonts w:cs="Arial"/>
        </w:rPr>
        <w:t xml:space="preserve"> of the GMDSS maintain regulatory continuity when the space object class licence is remade. </w:t>
      </w:r>
    </w:p>
    <w:p w14:paraId="4EF03B9D" w14:textId="36A0BF68" w:rsidR="00611431" w:rsidRPr="005143C2" w:rsidRDefault="007D1CC4" w:rsidP="004C1ABF">
      <w:pPr>
        <w:rPr>
          <w:rFonts w:cs="Arial"/>
        </w:rPr>
      </w:pPr>
      <w:r>
        <w:rPr>
          <w:rFonts w:cs="Arial"/>
        </w:rPr>
        <w:t>Further, t</w:t>
      </w:r>
      <w:r w:rsidR="00611431">
        <w:rPr>
          <w:rFonts w:cs="Arial"/>
        </w:rPr>
        <w:t xml:space="preserve">he AMSA has provided a definition for inclusion in the </w:t>
      </w:r>
      <w:r>
        <w:rPr>
          <w:rFonts w:cs="Arial"/>
        </w:rPr>
        <w:t xml:space="preserve">space object </w:t>
      </w:r>
      <w:r w:rsidR="00611431">
        <w:rPr>
          <w:rFonts w:cs="Arial"/>
        </w:rPr>
        <w:t xml:space="preserve">class licence </w:t>
      </w:r>
      <w:r w:rsidR="0079506F">
        <w:rPr>
          <w:rFonts w:cs="Arial"/>
        </w:rPr>
        <w:t>for the GMDSS and the ACMA has reworded the instrument such that being a qualified operator is only necessary for operations in the GMDSS.</w:t>
      </w:r>
      <w:r w:rsidR="00331CAB">
        <w:rPr>
          <w:rFonts w:cs="Arial"/>
        </w:rPr>
        <w:t xml:space="preserve"> This is because there are cases where earth stations on board maritime ship stations are not operating in the GMDSS (i.e. reception of television or internet services).</w:t>
      </w:r>
      <w:r w:rsidR="0079506F">
        <w:rPr>
          <w:rFonts w:cs="Arial"/>
        </w:rPr>
        <w:t xml:space="preserve"> Further, AMSA</w:t>
      </w:r>
      <w:r w:rsidR="009B5C6B">
        <w:rPr>
          <w:rFonts w:cs="Arial"/>
        </w:rPr>
        <w:t>’s</w:t>
      </w:r>
      <w:r w:rsidR="0079506F">
        <w:rPr>
          <w:rFonts w:cs="Arial"/>
        </w:rPr>
        <w:t xml:space="preserve"> request</w:t>
      </w:r>
      <w:r>
        <w:rPr>
          <w:rFonts w:cs="Arial"/>
        </w:rPr>
        <w:t xml:space="preserve"> for the instrument</w:t>
      </w:r>
      <w:r w:rsidR="0079506F">
        <w:rPr>
          <w:rFonts w:cs="Arial"/>
        </w:rPr>
        <w:t xml:space="preserve"> to</w:t>
      </w:r>
      <w:r w:rsidR="00331CAB">
        <w:rPr>
          <w:rFonts w:cs="Arial"/>
        </w:rPr>
        <w:t xml:space="preserve"> be specific about AMSA’s ability to issue qualifications for operations in the GMDSS</w:t>
      </w:r>
      <w:r w:rsidR="0079506F">
        <w:rPr>
          <w:rFonts w:cs="Arial"/>
        </w:rPr>
        <w:t xml:space="preserve"> has been addressed.</w:t>
      </w:r>
    </w:p>
    <w:p w14:paraId="712BE500" w14:textId="77777777" w:rsidR="00C87C59" w:rsidRPr="005143C2" w:rsidRDefault="00C87C59" w:rsidP="00E17A8A">
      <w:pPr>
        <w:pStyle w:val="Heading2"/>
      </w:pPr>
      <w:bookmarkStart w:id="8" w:name="_Toc431541424"/>
      <w:r w:rsidRPr="005143C2">
        <w:t>Use of notes in the class licences</w:t>
      </w:r>
      <w:bookmarkEnd w:id="8"/>
    </w:p>
    <w:p w14:paraId="3BFD3194" w14:textId="1AA2B42B" w:rsidR="00856A24" w:rsidRPr="005143C2" w:rsidRDefault="00C87C59" w:rsidP="004C1ABF">
      <w:pPr>
        <w:rPr>
          <w:rFonts w:cs="Arial"/>
        </w:rPr>
      </w:pPr>
      <w:r w:rsidRPr="005143C2">
        <w:rPr>
          <w:rFonts w:cs="Arial"/>
        </w:rPr>
        <w:t xml:space="preserve">Defence raised concerns </w:t>
      </w:r>
      <w:r w:rsidR="0057121A">
        <w:rPr>
          <w:rFonts w:cs="Arial"/>
        </w:rPr>
        <w:t>that the</w:t>
      </w:r>
      <w:r w:rsidRPr="005143C2">
        <w:rPr>
          <w:rFonts w:cs="Arial"/>
        </w:rPr>
        <w:t xml:space="preserve"> </w:t>
      </w:r>
      <w:r w:rsidR="0057121A">
        <w:rPr>
          <w:rFonts w:cs="Arial"/>
        </w:rPr>
        <w:t>n</w:t>
      </w:r>
      <w:r w:rsidRPr="005143C2">
        <w:rPr>
          <w:rFonts w:cs="Arial"/>
        </w:rPr>
        <w:t>otes in both the space object and radionavigation-satellite service class licences</w:t>
      </w:r>
      <w:r w:rsidR="0057121A">
        <w:rPr>
          <w:rFonts w:cs="Arial"/>
        </w:rPr>
        <w:t xml:space="preserve"> seem insufficient for class licensed users to understand that their receivers are not protected from interference caused by apparatus licensed </w:t>
      </w:r>
      <w:r w:rsidR="0057121A">
        <w:rPr>
          <w:rFonts w:cs="Arial"/>
        </w:rPr>
        <w:lastRenderedPageBreak/>
        <w:t>or spectrum licensed devices</w:t>
      </w:r>
      <w:r w:rsidRPr="005143C2">
        <w:rPr>
          <w:rFonts w:cs="Arial"/>
        </w:rPr>
        <w:t xml:space="preserve">; specifically, the note in </w:t>
      </w:r>
      <w:r w:rsidR="00FC722E">
        <w:rPr>
          <w:rFonts w:cs="Arial"/>
        </w:rPr>
        <w:t>s</w:t>
      </w:r>
      <w:r w:rsidRPr="005143C2">
        <w:rPr>
          <w:rFonts w:cs="Arial"/>
        </w:rPr>
        <w:t xml:space="preserve">ection 8 of the proposed space object class licence and the note in </w:t>
      </w:r>
      <w:r w:rsidR="00FC722E">
        <w:rPr>
          <w:rFonts w:cs="Arial"/>
        </w:rPr>
        <w:t>s</w:t>
      </w:r>
      <w:r w:rsidRPr="005143C2">
        <w:rPr>
          <w:rFonts w:cs="Arial"/>
        </w:rPr>
        <w:t xml:space="preserve">ection 4 of the radionavigation-satellite service class licence. </w:t>
      </w:r>
    </w:p>
    <w:p w14:paraId="7B63C8EA" w14:textId="6EE686FF" w:rsidR="00C87C59" w:rsidRPr="005143C2" w:rsidRDefault="00FC722E" w:rsidP="004C1ABF">
      <w:pPr>
        <w:rPr>
          <w:rFonts w:cs="Arial"/>
        </w:rPr>
      </w:pPr>
      <w:r>
        <w:rPr>
          <w:rFonts w:cs="Arial"/>
        </w:rPr>
        <w:t xml:space="preserve">In lieu of the note, </w:t>
      </w:r>
      <w:r w:rsidR="00C87C59" w:rsidRPr="005143C2">
        <w:rPr>
          <w:rFonts w:cs="Arial"/>
        </w:rPr>
        <w:t>Defence proposed that the radionavigation-satellite service class licence “</w:t>
      </w:r>
      <w:r w:rsidR="00C87C59" w:rsidRPr="00210A38">
        <w:rPr>
          <w:rFonts w:cs="Arial"/>
          <w:i/>
        </w:rPr>
        <w:t>include a condition with words to the effect that for the band 1240-1300 MHz, an RNSS receiver must accept any interference caused by a radiocommunications station operated by the Department of Defence in accordance with the Spectrum Plan.</w:t>
      </w:r>
      <w:r w:rsidR="00C87C59" w:rsidRPr="005143C2">
        <w:rPr>
          <w:rFonts w:cs="Arial"/>
        </w:rPr>
        <w:t>”</w:t>
      </w:r>
    </w:p>
    <w:p w14:paraId="3E1FA428" w14:textId="6ACA52F4" w:rsidR="00C87C59" w:rsidRPr="007A67EB" w:rsidRDefault="003E356C" w:rsidP="003E356C">
      <w:pPr>
        <w:spacing w:after="120"/>
        <w:rPr>
          <w:b/>
          <w:i/>
        </w:rPr>
      </w:pPr>
      <w:r>
        <w:rPr>
          <w:b/>
          <w:i/>
        </w:rPr>
        <w:t>ACMA response</w:t>
      </w:r>
    </w:p>
    <w:p w14:paraId="5EE962C7" w14:textId="11DCACCA" w:rsidR="00C87C59" w:rsidRPr="005143C2" w:rsidRDefault="00FC722E" w:rsidP="004C1ABF">
      <w:pPr>
        <w:rPr>
          <w:rFonts w:cs="Arial"/>
        </w:rPr>
      </w:pPr>
      <w:r>
        <w:rPr>
          <w:rFonts w:cs="Arial"/>
        </w:rPr>
        <w:t>Notes contained in legislative instruments can be</w:t>
      </w:r>
      <w:r w:rsidR="00201C24" w:rsidRPr="005143C2">
        <w:rPr>
          <w:rFonts w:cs="Arial"/>
        </w:rPr>
        <w:t xml:space="preserve"> a useful tool </w:t>
      </w:r>
      <w:r w:rsidR="0057121A">
        <w:rPr>
          <w:rFonts w:cs="Arial"/>
        </w:rPr>
        <w:t xml:space="preserve">as </w:t>
      </w:r>
      <w:r>
        <w:rPr>
          <w:rFonts w:cs="Arial"/>
        </w:rPr>
        <w:t>they can</w:t>
      </w:r>
      <w:r w:rsidR="0057121A">
        <w:rPr>
          <w:rFonts w:cs="Arial"/>
        </w:rPr>
        <w:t xml:space="preserve"> provide</w:t>
      </w:r>
      <w:r>
        <w:rPr>
          <w:rFonts w:cs="Arial"/>
        </w:rPr>
        <w:t xml:space="preserve"> further explanation as to the operation or application of </w:t>
      </w:r>
      <w:proofErr w:type="gramStart"/>
      <w:r>
        <w:rPr>
          <w:rFonts w:cs="Arial"/>
        </w:rPr>
        <w:t>particular provisions</w:t>
      </w:r>
      <w:proofErr w:type="gramEnd"/>
      <w:r w:rsidR="00201C24" w:rsidRPr="005143C2">
        <w:rPr>
          <w:rFonts w:cs="Arial"/>
        </w:rPr>
        <w:t>.</w:t>
      </w:r>
    </w:p>
    <w:p w14:paraId="3A7F5ABD" w14:textId="59DD8378" w:rsidR="00201C24" w:rsidRPr="005143C2" w:rsidRDefault="00201C24" w:rsidP="004C1ABF">
      <w:pPr>
        <w:rPr>
          <w:rFonts w:cs="Arial"/>
        </w:rPr>
      </w:pPr>
      <w:proofErr w:type="gramStart"/>
      <w:r w:rsidRPr="005143C2">
        <w:rPr>
          <w:rFonts w:cs="Arial"/>
        </w:rPr>
        <w:t>With regard to</w:t>
      </w:r>
      <w:proofErr w:type="gramEnd"/>
      <w:r w:rsidRPr="005143C2">
        <w:rPr>
          <w:rFonts w:cs="Arial"/>
        </w:rPr>
        <w:t xml:space="preserve"> the </w:t>
      </w:r>
      <w:r w:rsidR="0057121A">
        <w:rPr>
          <w:rFonts w:cs="Arial"/>
        </w:rPr>
        <w:t>n</w:t>
      </w:r>
      <w:r w:rsidRPr="005143C2">
        <w:rPr>
          <w:rFonts w:cs="Arial"/>
        </w:rPr>
        <w:t>ote</w:t>
      </w:r>
      <w:r w:rsidR="005504A0">
        <w:rPr>
          <w:rFonts w:cs="Arial"/>
        </w:rPr>
        <w:t>s</w:t>
      </w:r>
      <w:r w:rsidRPr="005143C2">
        <w:rPr>
          <w:rFonts w:cs="Arial"/>
        </w:rPr>
        <w:t xml:space="preserve"> in </w:t>
      </w:r>
      <w:r w:rsidR="00FC722E">
        <w:rPr>
          <w:rFonts w:cs="Arial"/>
        </w:rPr>
        <w:t>s</w:t>
      </w:r>
      <w:r w:rsidRPr="005143C2">
        <w:rPr>
          <w:rFonts w:cs="Arial"/>
        </w:rPr>
        <w:t>ection 8</w:t>
      </w:r>
      <w:r w:rsidR="00B64008" w:rsidRPr="005143C2">
        <w:rPr>
          <w:rFonts w:cs="Arial"/>
        </w:rPr>
        <w:t xml:space="preserve"> of the space object class licence and </w:t>
      </w:r>
      <w:r w:rsidR="00FC722E">
        <w:rPr>
          <w:rFonts w:cs="Arial"/>
        </w:rPr>
        <w:t>s</w:t>
      </w:r>
      <w:r w:rsidR="00B64008" w:rsidRPr="005143C2">
        <w:rPr>
          <w:rFonts w:cs="Arial"/>
        </w:rPr>
        <w:t>ection 4 of the radionavigation-satellite service class licence</w:t>
      </w:r>
      <w:r w:rsidR="00FC722E">
        <w:rPr>
          <w:rFonts w:cs="Arial"/>
        </w:rPr>
        <w:t xml:space="preserve"> (stated below)</w:t>
      </w:r>
      <w:r w:rsidR="00881D4F">
        <w:rPr>
          <w:rFonts w:cs="Arial"/>
        </w:rPr>
        <w:t>,</w:t>
      </w:r>
      <w:r w:rsidR="00881D4F" w:rsidRPr="00881D4F">
        <w:rPr>
          <w:rFonts w:cs="Arial"/>
        </w:rPr>
        <w:t xml:space="preserve"> </w:t>
      </w:r>
      <w:r w:rsidR="00881D4F">
        <w:rPr>
          <w:rFonts w:cs="Arial"/>
        </w:rPr>
        <w:t>t</w:t>
      </w:r>
      <w:r w:rsidR="00881D4F" w:rsidRPr="005143C2">
        <w:rPr>
          <w:rFonts w:cs="Arial"/>
        </w:rPr>
        <w:t>h</w:t>
      </w:r>
      <w:r w:rsidR="00FC722E">
        <w:rPr>
          <w:rFonts w:cs="Arial"/>
        </w:rPr>
        <w:t>ese</w:t>
      </w:r>
      <w:r w:rsidR="00881D4F" w:rsidRPr="005143C2">
        <w:rPr>
          <w:rFonts w:cs="Arial"/>
        </w:rPr>
        <w:t xml:space="preserve"> </w:t>
      </w:r>
      <w:r w:rsidR="00FC722E">
        <w:rPr>
          <w:rFonts w:cs="Arial"/>
        </w:rPr>
        <w:t>are</w:t>
      </w:r>
      <w:r w:rsidR="00881D4F" w:rsidRPr="005143C2">
        <w:rPr>
          <w:rFonts w:cs="Arial"/>
        </w:rPr>
        <w:t xml:space="preserve"> generic note</w:t>
      </w:r>
      <w:r w:rsidR="00FC722E">
        <w:rPr>
          <w:rFonts w:cs="Arial"/>
        </w:rPr>
        <w:t>s</w:t>
      </w:r>
      <w:r w:rsidR="00881D4F" w:rsidRPr="005143C2">
        <w:rPr>
          <w:rFonts w:cs="Arial"/>
        </w:rPr>
        <w:t>, typically included in class licences issued by the ACMA.</w:t>
      </w:r>
    </w:p>
    <w:p w14:paraId="42C8D475" w14:textId="77777777" w:rsidR="00201C24" w:rsidRPr="005143C2" w:rsidRDefault="00201C24" w:rsidP="00201C24">
      <w:pPr>
        <w:ind w:left="568"/>
        <w:rPr>
          <w:rFonts w:cs="Arial"/>
          <w:sz w:val="16"/>
        </w:rPr>
      </w:pPr>
      <w:r w:rsidRPr="005143C2">
        <w:rPr>
          <w:rFonts w:cs="Arial"/>
          <w:i/>
          <w:sz w:val="16"/>
        </w:rPr>
        <w:t>Note:</w:t>
      </w:r>
      <w:r w:rsidRPr="005143C2">
        <w:rPr>
          <w:rFonts w:cs="Arial"/>
          <w:sz w:val="16"/>
        </w:rPr>
        <w:t xml:space="preserve"> A radiocommunications device to which this class licence applies will not be afforded protection from the interference caused by other radiocommunications services.</w:t>
      </w:r>
    </w:p>
    <w:p w14:paraId="2D8B7781" w14:textId="622CCD9C" w:rsidR="00201C24" w:rsidRPr="005143C2" w:rsidRDefault="00360293" w:rsidP="00201C24">
      <w:pPr>
        <w:rPr>
          <w:rFonts w:cs="Arial"/>
        </w:rPr>
      </w:pPr>
      <w:r>
        <w:rPr>
          <w:rFonts w:cs="Arial"/>
        </w:rPr>
        <w:t>T</w:t>
      </w:r>
      <w:r w:rsidR="00201C24" w:rsidRPr="005143C2">
        <w:rPr>
          <w:rFonts w:cs="Arial"/>
        </w:rPr>
        <w:t xml:space="preserve">he ACMA does not typically afford protection to radiocommunications receivers operating under a class licence. There are planning arrangements often implemented in the licence to limit co-channel and adjacent channel interference caused by transmitters, but when an interfering radiocommunications device is operating </w:t>
      </w:r>
      <w:r w:rsidR="009B5C6B">
        <w:rPr>
          <w:rFonts w:cs="Arial"/>
        </w:rPr>
        <w:t>in accordance with</w:t>
      </w:r>
      <w:r w:rsidR="009B5C6B" w:rsidRPr="005143C2">
        <w:rPr>
          <w:rFonts w:cs="Arial"/>
        </w:rPr>
        <w:t xml:space="preserve"> </w:t>
      </w:r>
      <w:r w:rsidR="00201C24" w:rsidRPr="005143C2">
        <w:rPr>
          <w:rFonts w:cs="Arial"/>
        </w:rPr>
        <w:t>its licence, a class licensed receiver cannot claim protection.</w:t>
      </w:r>
    </w:p>
    <w:p w14:paraId="5A745206" w14:textId="7A5F1B20" w:rsidR="00B64008" w:rsidRDefault="00B64008" w:rsidP="00B64008">
      <w:pPr>
        <w:rPr>
          <w:rFonts w:cs="Arial"/>
        </w:rPr>
      </w:pPr>
      <w:r w:rsidRPr="005143C2">
        <w:rPr>
          <w:rFonts w:cs="Arial"/>
        </w:rPr>
        <w:t xml:space="preserve">The ACMA </w:t>
      </w:r>
      <w:r w:rsidR="00FC722E">
        <w:rPr>
          <w:rFonts w:cs="Arial"/>
        </w:rPr>
        <w:t>has</w:t>
      </w:r>
      <w:r w:rsidRPr="005143C2">
        <w:rPr>
          <w:rFonts w:cs="Arial"/>
        </w:rPr>
        <w:t xml:space="preserve"> maintain</w:t>
      </w:r>
      <w:r w:rsidR="00FC722E">
        <w:rPr>
          <w:rFonts w:cs="Arial"/>
        </w:rPr>
        <w:t>ed</w:t>
      </w:r>
      <w:r w:rsidRPr="005143C2">
        <w:rPr>
          <w:rFonts w:cs="Arial"/>
        </w:rPr>
        <w:t xml:space="preserve"> this </w:t>
      </w:r>
      <w:r w:rsidR="0057121A">
        <w:rPr>
          <w:rFonts w:cs="Arial"/>
        </w:rPr>
        <w:t>n</w:t>
      </w:r>
      <w:r w:rsidRPr="005143C2">
        <w:rPr>
          <w:rFonts w:cs="Arial"/>
        </w:rPr>
        <w:t xml:space="preserve">ote </w:t>
      </w:r>
      <w:r w:rsidR="00FC722E">
        <w:rPr>
          <w:rFonts w:cs="Arial"/>
        </w:rPr>
        <w:t>under s</w:t>
      </w:r>
      <w:r w:rsidRPr="005143C2">
        <w:rPr>
          <w:rFonts w:cs="Arial"/>
        </w:rPr>
        <w:t xml:space="preserve">ection 8 of the space object class licence and </w:t>
      </w:r>
      <w:r w:rsidR="00FC722E">
        <w:rPr>
          <w:rFonts w:cs="Arial"/>
        </w:rPr>
        <w:t>s</w:t>
      </w:r>
      <w:r w:rsidRPr="005143C2">
        <w:rPr>
          <w:rFonts w:cs="Arial"/>
        </w:rPr>
        <w:t>ection 4 of the radionavigation-satellite service class licence.</w:t>
      </w:r>
    </w:p>
    <w:p w14:paraId="3095986F" w14:textId="4E294743" w:rsidR="001A5AE3" w:rsidRDefault="00E40994" w:rsidP="00210A38">
      <w:proofErr w:type="gramStart"/>
      <w:r w:rsidRPr="005143C2">
        <w:t>With regard to</w:t>
      </w:r>
      <w:proofErr w:type="gramEnd"/>
      <w:r w:rsidRPr="005143C2">
        <w:t xml:space="preserve"> including a specific licence condition that addresses operations by Defence in the band 1240-1300 MHz, the ACMA </w:t>
      </w:r>
      <w:r w:rsidR="005504A0">
        <w:t xml:space="preserve">considers </w:t>
      </w:r>
      <w:r w:rsidR="009B5C6B">
        <w:t xml:space="preserve">that there is no </w:t>
      </w:r>
      <w:r w:rsidR="005504A0">
        <w:t xml:space="preserve">need for such a </w:t>
      </w:r>
      <w:r w:rsidR="009864D4">
        <w:t>condition in the radionavigation-satellite service class licence</w:t>
      </w:r>
      <w:r w:rsidR="009B5C6B">
        <w:t xml:space="preserve">. </w:t>
      </w:r>
      <w:r w:rsidR="009864D4">
        <w:t xml:space="preserve">Radionavigation-satellite receivers operating under the radionavigation-satellite service class licence are not afforded protection from </w:t>
      </w:r>
      <w:r w:rsidR="00D60F03">
        <w:t xml:space="preserve">an </w:t>
      </w:r>
      <w:r w:rsidR="009864D4">
        <w:t>apparatus licensed transmitter operating in accordance with its licence</w:t>
      </w:r>
      <w:r w:rsidR="005504A0">
        <w:t>, be it operated by Defence or by any other licensed operator</w:t>
      </w:r>
      <w:r w:rsidR="009864D4">
        <w:t>.</w:t>
      </w:r>
      <w:r w:rsidR="00A67C40">
        <w:t xml:space="preserve"> </w:t>
      </w:r>
    </w:p>
    <w:p w14:paraId="46DF6A36" w14:textId="4DCE8545" w:rsidR="003C1B1E" w:rsidRDefault="003C1B1E" w:rsidP="00E17A8A">
      <w:pPr>
        <w:pStyle w:val="Heading1"/>
        <w:rPr>
          <w:noProof/>
          <w:lang w:eastAsia="en-US"/>
        </w:rPr>
      </w:pPr>
      <w:bookmarkStart w:id="9" w:name="_Toc431541425"/>
      <w:r>
        <w:rPr>
          <w:noProof/>
          <w:lang w:eastAsia="en-US"/>
        </w:rPr>
        <w:lastRenderedPageBreak/>
        <w:t xml:space="preserve">Foreign space objects </w:t>
      </w:r>
      <w:r w:rsidR="00303284">
        <w:rPr>
          <w:noProof/>
          <w:lang w:eastAsia="en-US"/>
        </w:rPr>
        <w:t xml:space="preserve">determination </w:t>
      </w:r>
      <w:r>
        <w:rPr>
          <w:noProof/>
          <w:lang w:eastAsia="en-US"/>
        </w:rPr>
        <w:t>and jamming prohibition</w:t>
      </w:r>
      <w:bookmarkEnd w:id="9"/>
    </w:p>
    <w:p w14:paraId="67C2CFA5" w14:textId="77777777" w:rsidR="009E6562" w:rsidRDefault="009E6562" w:rsidP="009E6562">
      <w:pPr>
        <w:pStyle w:val="Heading2"/>
        <w:rPr>
          <w:noProof/>
          <w:lang w:eastAsia="en-US"/>
        </w:rPr>
      </w:pPr>
      <w:bookmarkStart w:id="10" w:name="_Toc431541426"/>
      <w:r>
        <w:rPr>
          <w:noProof/>
          <w:lang w:eastAsia="en-US"/>
        </w:rPr>
        <w:t>Consequential instrument amendments</w:t>
      </w:r>
      <w:bookmarkEnd w:id="10"/>
    </w:p>
    <w:p w14:paraId="48BDF488" w14:textId="3D2DA2C9" w:rsidR="009E6562" w:rsidRDefault="009E6562" w:rsidP="009E6562">
      <w:pPr>
        <w:rPr>
          <w:lang w:eastAsia="en-US"/>
        </w:rPr>
      </w:pPr>
      <w:r>
        <w:rPr>
          <w:lang w:eastAsia="en-US"/>
        </w:rPr>
        <w:t xml:space="preserve">The foreign space objects determination extends application of the Act </w:t>
      </w:r>
      <w:r w:rsidR="0057121A">
        <w:rPr>
          <w:lang w:eastAsia="en-US"/>
        </w:rPr>
        <w:t xml:space="preserve">outside of Australia </w:t>
      </w:r>
      <w:r>
        <w:rPr>
          <w:lang w:eastAsia="en-US"/>
        </w:rPr>
        <w:t xml:space="preserve">to the foreign space objects listed in the foreign space objects determination. In order to </w:t>
      </w:r>
      <w:r w:rsidR="0057121A">
        <w:rPr>
          <w:lang w:eastAsia="en-US"/>
        </w:rPr>
        <w:t xml:space="preserve">allow </w:t>
      </w:r>
      <w:r>
        <w:rPr>
          <w:lang w:eastAsia="en-US"/>
        </w:rPr>
        <w:t xml:space="preserve">licensed </w:t>
      </w:r>
      <w:r w:rsidR="0057121A">
        <w:rPr>
          <w:lang w:eastAsia="en-US"/>
        </w:rPr>
        <w:t xml:space="preserve">operation of </w:t>
      </w:r>
      <w:r>
        <w:rPr>
          <w:lang w:eastAsia="en-US"/>
        </w:rPr>
        <w:t xml:space="preserve">ubiquitous Earth stations </w:t>
      </w:r>
      <w:r w:rsidR="0057121A">
        <w:rPr>
          <w:lang w:eastAsia="en-US"/>
        </w:rPr>
        <w:t xml:space="preserve">receiving </w:t>
      </w:r>
      <w:r>
        <w:rPr>
          <w:lang w:eastAsia="en-US"/>
        </w:rPr>
        <w:t>radionavigation-satellite service</w:t>
      </w:r>
      <w:r w:rsidR="0057121A">
        <w:rPr>
          <w:lang w:eastAsia="en-US"/>
        </w:rPr>
        <w:t xml:space="preserve"> communications from stations on foreign space objects by</w:t>
      </w:r>
      <w:r>
        <w:rPr>
          <w:lang w:eastAsia="en-US"/>
        </w:rPr>
        <w:t xml:space="preserve">, the United States Department of </w:t>
      </w:r>
      <w:bookmarkStart w:id="11" w:name="_Ref424302856"/>
      <w:proofErr w:type="spellStart"/>
      <w:r w:rsidR="0057121A">
        <w:rPr>
          <w:lang w:eastAsia="en-US"/>
        </w:rPr>
        <w:t>Defense</w:t>
      </w:r>
      <w:proofErr w:type="spellEnd"/>
      <w:r w:rsidR="003537F6">
        <w:rPr>
          <w:rStyle w:val="FootnoteReference"/>
          <w:rFonts w:cs="Arial"/>
          <w:sz w:val="22"/>
        </w:rPr>
        <w:footnoteReference w:id="3"/>
      </w:r>
      <w:bookmarkEnd w:id="11"/>
      <w:r>
        <w:rPr>
          <w:lang w:eastAsia="en-US"/>
        </w:rPr>
        <w:t xml:space="preserve"> (on behalf of GPS) and the European Union (on behalf of Galileo)</w:t>
      </w:r>
      <w:r w:rsidR="0057121A">
        <w:rPr>
          <w:lang w:eastAsia="en-US"/>
        </w:rPr>
        <w:t>, it was necessary for these foreign space objects to be</w:t>
      </w:r>
      <w:r>
        <w:rPr>
          <w:lang w:eastAsia="en-US"/>
        </w:rPr>
        <w:t xml:space="preserve"> included in Schedule 2 of the foreign space objects determination. </w:t>
      </w:r>
    </w:p>
    <w:p w14:paraId="3A5AE338" w14:textId="1ACAD46F" w:rsidR="009E6562" w:rsidRDefault="009E6562" w:rsidP="009E6562">
      <w:pPr>
        <w:rPr>
          <w:lang w:eastAsia="en-US"/>
        </w:rPr>
      </w:pPr>
      <w:r>
        <w:rPr>
          <w:lang w:eastAsia="en-US"/>
        </w:rPr>
        <w:t>Both parties have written to the ACMA as a response to making the radionavigation-satellite service class licence and requested to be removed from Schedule</w:t>
      </w:r>
      <w:r w:rsidR="0057121A">
        <w:rPr>
          <w:lang w:eastAsia="en-US"/>
        </w:rPr>
        <w:t xml:space="preserve"> 2 as their inclusion is no longer necessary in order for the ubiquitous reception of radionavigation-satellite services to be authorised under the radionavigation-satellite service class licence</w:t>
      </w:r>
      <w:r>
        <w:rPr>
          <w:lang w:eastAsia="en-US"/>
        </w:rPr>
        <w:t>.</w:t>
      </w:r>
    </w:p>
    <w:p w14:paraId="4BCB9EB4" w14:textId="0C70DC15" w:rsidR="009E6562" w:rsidRDefault="003537F6" w:rsidP="009E6562">
      <w:pPr>
        <w:rPr>
          <w:lang w:eastAsia="en-US"/>
        </w:rPr>
      </w:pPr>
      <w:r>
        <w:rPr>
          <w:lang w:eastAsia="en-US"/>
        </w:rPr>
        <w:t>T</w:t>
      </w:r>
      <w:r w:rsidR="009E6562">
        <w:rPr>
          <w:lang w:eastAsia="en-US"/>
        </w:rPr>
        <w:t>he jamming prohibition prohibits the operation or supply, or possession for the purpose of operation or supply, of a RNSS jamming device</w:t>
      </w:r>
      <w:r>
        <w:rPr>
          <w:lang w:eastAsia="en-US"/>
        </w:rPr>
        <w:t xml:space="preserve"> under section 190 of the Act</w:t>
      </w:r>
      <w:r w:rsidR="009E6562">
        <w:rPr>
          <w:lang w:eastAsia="en-US"/>
        </w:rPr>
        <w:t>. These jamming devices can affect services over significant distances, interfering with other licensed radiocommunications, and posing a risk to public safety.</w:t>
      </w:r>
    </w:p>
    <w:p w14:paraId="5D94448B" w14:textId="724470E0" w:rsidR="009E6562" w:rsidRDefault="009E6562" w:rsidP="009E6562">
      <w:pPr>
        <w:rPr>
          <w:lang w:eastAsia="en-US"/>
        </w:rPr>
      </w:pPr>
      <w:r w:rsidRPr="005D746E">
        <w:rPr>
          <w:lang w:eastAsia="en-US"/>
        </w:rPr>
        <w:t>Consultation on the space object class licence proposed an alternat</w:t>
      </w:r>
      <w:r w:rsidR="00B95699">
        <w:rPr>
          <w:lang w:eastAsia="en-US"/>
        </w:rPr>
        <w:t>iv</w:t>
      </w:r>
      <w:r w:rsidRPr="005D746E">
        <w:rPr>
          <w:lang w:eastAsia="en-US"/>
        </w:rPr>
        <w:t xml:space="preserve">e licensing regime for the radionavigation-satellite service and excising the frequencies of the radionavigation-satellite service into a new class licence. As a result, the frequency bands applicable to the jamming prohibition would not reference </w:t>
      </w:r>
      <w:r w:rsidR="0057121A">
        <w:rPr>
          <w:lang w:eastAsia="en-US"/>
        </w:rPr>
        <w:t>the</w:t>
      </w:r>
      <w:r w:rsidR="0057121A" w:rsidRPr="005D746E">
        <w:rPr>
          <w:lang w:eastAsia="en-US"/>
        </w:rPr>
        <w:t xml:space="preserve"> </w:t>
      </w:r>
      <w:r w:rsidRPr="005D746E">
        <w:rPr>
          <w:lang w:eastAsia="en-US"/>
        </w:rPr>
        <w:t>appropriate instrument; therefore, the jamming prohibition needs to be varied</w:t>
      </w:r>
      <w:r>
        <w:rPr>
          <w:lang w:eastAsia="en-US"/>
        </w:rPr>
        <w:t xml:space="preserve"> to reference the new RNSS class licence</w:t>
      </w:r>
      <w:r w:rsidRPr="005D746E">
        <w:rPr>
          <w:lang w:eastAsia="en-US"/>
        </w:rPr>
        <w:t>.</w:t>
      </w:r>
    </w:p>
    <w:p w14:paraId="29E146A8" w14:textId="3175CE4E" w:rsidR="003537F6" w:rsidRDefault="0057121A" w:rsidP="009E6562">
      <w:pPr>
        <w:rPr>
          <w:rFonts w:cs="Arial"/>
        </w:rPr>
      </w:pPr>
      <w:r>
        <w:rPr>
          <w:rFonts w:cs="Arial"/>
        </w:rPr>
        <w:t>Consultation on t</w:t>
      </w:r>
      <w:r w:rsidR="003537F6">
        <w:rPr>
          <w:rFonts w:cs="Arial"/>
        </w:rPr>
        <w:t xml:space="preserve">he </w:t>
      </w:r>
      <w:r w:rsidR="003537F6" w:rsidRPr="003537F6">
        <w:rPr>
          <w:rFonts w:cs="Arial"/>
          <w:i/>
        </w:rPr>
        <w:t>Radiocommunications with Space Object) Class Licence Consequential Amendments Instrument 2015</w:t>
      </w:r>
      <w:r w:rsidR="003537F6" w:rsidRPr="003537F6">
        <w:rPr>
          <w:rFonts w:cs="Arial"/>
        </w:rPr>
        <w:t xml:space="preserve"> </w:t>
      </w:r>
      <w:r w:rsidR="003537F6">
        <w:rPr>
          <w:rFonts w:cs="Arial"/>
        </w:rPr>
        <w:t>was completed on 3 September 2015.</w:t>
      </w:r>
    </w:p>
    <w:p w14:paraId="1C92DEBE" w14:textId="428DE98B" w:rsidR="00D83076" w:rsidRPr="005143C2" w:rsidRDefault="009E6562" w:rsidP="00D83076">
      <w:pPr>
        <w:rPr>
          <w:rFonts w:cs="Arial"/>
        </w:rPr>
      </w:pPr>
      <w:r w:rsidRPr="00210A38">
        <w:rPr>
          <w:rFonts w:cs="Arial"/>
        </w:rPr>
        <w:t xml:space="preserve">There were </w:t>
      </w:r>
      <w:hyperlink r:id="rId31" w:history="1">
        <w:r w:rsidR="005F039C" w:rsidRPr="00950366">
          <w:rPr>
            <w:rStyle w:val="Hyperlink"/>
          </w:rPr>
          <w:t xml:space="preserve">four </w:t>
        </w:r>
        <w:r w:rsidRPr="00950366">
          <w:rPr>
            <w:rStyle w:val="Hyperlink"/>
          </w:rPr>
          <w:t>submissions</w:t>
        </w:r>
      </w:hyperlink>
      <w:r w:rsidRPr="00210A38">
        <w:rPr>
          <w:rFonts w:cs="Arial"/>
        </w:rPr>
        <w:t xml:space="preserve"> received from</w:t>
      </w:r>
      <w:r w:rsidR="00481C9B">
        <w:rPr>
          <w:rFonts w:cs="Arial"/>
        </w:rPr>
        <w:t xml:space="preserve"> the European Commission</w:t>
      </w:r>
      <w:r w:rsidR="00D71515">
        <w:rPr>
          <w:rFonts w:cs="Arial"/>
        </w:rPr>
        <w:t>, Australian Maritime Safety Authority</w:t>
      </w:r>
      <w:r w:rsidR="005F039C">
        <w:rPr>
          <w:rFonts w:cs="Arial"/>
        </w:rPr>
        <w:t>, Department of Defence</w:t>
      </w:r>
      <w:r w:rsidR="00481C9B">
        <w:rPr>
          <w:rFonts w:cs="Arial"/>
        </w:rPr>
        <w:t xml:space="preserve"> and </w:t>
      </w:r>
      <w:r w:rsidR="00771070">
        <w:rPr>
          <w:rFonts w:cs="Arial"/>
        </w:rPr>
        <w:t>Geoscience Australia</w:t>
      </w:r>
      <w:r w:rsidR="00481C9B" w:rsidRPr="00771070">
        <w:rPr>
          <w:rFonts w:cs="Arial"/>
        </w:rPr>
        <w:t>.</w:t>
      </w:r>
      <w:r w:rsidR="00481C9B">
        <w:rPr>
          <w:rFonts w:cs="Arial"/>
        </w:rPr>
        <w:t xml:space="preserve"> </w:t>
      </w:r>
      <w:r w:rsidR="00481C9B">
        <w:t>The</w:t>
      </w:r>
      <w:r w:rsidRPr="00210A38">
        <w:t xml:space="preserve"> submissions supported the consequential amendments to be made to the foreign space objects determination and the jamming prohibition as a result of remaking the space object class licence</w:t>
      </w:r>
      <w:r>
        <w:t xml:space="preserve">. </w:t>
      </w:r>
    </w:p>
    <w:p w14:paraId="4977DE1D" w14:textId="6522BE55" w:rsidR="00D83076" w:rsidRPr="007A67EB" w:rsidRDefault="00D83076" w:rsidP="007D38B0">
      <w:pPr>
        <w:keepNext/>
        <w:keepLines/>
        <w:spacing w:after="120"/>
        <w:rPr>
          <w:b/>
          <w:i/>
        </w:rPr>
      </w:pPr>
      <w:r>
        <w:rPr>
          <w:b/>
          <w:i/>
        </w:rPr>
        <w:t>ACMA response</w:t>
      </w:r>
    </w:p>
    <w:p w14:paraId="381344F7" w14:textId="108CC362" w:rsidR="009E6562" w:rsidRDefault="00D83076" w:rsidP="007D38B0">
      <w:pPr>
        <w:keepNext/>
        <w:keepLines/>
        <w:rPr>
          <w:lang w:eastAsia="en-US"/>
        </w:rPr>
      </w:pPr>
      <w:r>
        <w:rPr>
          <w:rFonts w:cs="Arial"/>
        </w:rPr>
        <w:t>Submissions received to the consultation were supportive of the proposals made by the ACMA</w:t>
      </w:r>
      <w:r w:rsidR="0001509B">
        <w:rPr>
          <w:rFonts w:cs="Arial"/>
        </w:rPr>
        <w:t>. Accordingly</w:t>
      </w:r>
      <w:r>
        <w:rPr>
          <w:rFonts w:cs="Arial"/>
        </w:rPr>
        <w:t xml:space="preserve">, </w:t>
      </w:r>
      <w:r w:rsidR="0001509B">
        <w:rPr>
          <w:rFonts w:cs="Arial"/>
        </w:rPr>
        <w:t xml:space="preserve">the proposals </w:t>
      </w:r>
      <w:r>
        <w:rPr>
          <w:rFonts w:cs="Arial"/>
        </w:rPr>
        <w:t>have been implemented.</w:t>
      </w:r>
    </w:p>
    <w:p w14:paraId="1C166A94" w14:textId="77777777" w:rsidR="009E6562" w:rsidRPr="003F77C9" w:rsidRDefault="009E6562" w:rsidP="009E6562">
      <w:pPr>
        <w:rPr>
          <w:lang w:eastAsia="en-US"/>
        </w:rPr>
      </w:pPr>
    </w:p>
    <w:p w14:paraId="783E9E38" w14:textId="77777777" w:rsidR="009E6562" w:rsidRDefault="009E6562">
      <w:pPr>
        <w:spacing w:after="0" w:line="240" w:lineRule="auto"/>
        <w:rPr>
          <w:rFonts w:ascii="Times New Roman" w:hAnsi="Times New Roman"/>
          <w:sz w:val="24"/>
        </w:rPr>
      </w:pPr>
    </w:p>
    <w:sectPr w:rsidR="009E6562" w:rsidSect="00C77380">
      <w:headerReference w:type="even" r:id="rId32"/>
      <w:headerReference w:type="default" r:id="rId33"/>
      <w:footerReference w:type="even" r:id="rId34"/>
      <w:footerReference w:type="default" r:id="rId3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385D" w14:textId="77777777" w:rsidR="00C04FB9" w:rsidRDefault="00C04FB9">
      <w:r>
        <w:separator/>
      </w:r>
    </w:p>
  </w:endnote>
  <w:endnote w:type="continuationSeparator" w:id="0">
    <w:p w14:paraId="55824242" w14:textId="77777777" w:rsidR="00C04FB9" w:rsidRDefault="00C0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BF9C" w14:textId="77777777" w:rsidR="00C053A1" w:rsidRPr="00A5474E" w:rsidRDefault="00C053A1" w:rsidP="00A5474E">
    <w:pPr>
      <w:pStyle w:val="Footer"/>
    </w:pPr>
    <w:r>
      <w:rPr>
        <w:noProof/>
      </w:rPr>
      <w:drawing>
        <wp:inline distT="0" distB="0" distL="0" distR="0" wp14:anchorId="6513A228" wp14:editId="3D40D43D">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A762"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9CA3"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04E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9EEF"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ED2B9"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C03F53">
      <w:rPr>
        <w:noProof/>
        <w:color w:val="505050"/>
      </w:rPr>
      <w:t>iii</w:t>
    </w:r>
    <w:r w:rsidRPr="002E4DDC">
      <w:rPr>
        <w:color w:val="505050"/>
      </w:rPr>
      <w:fldChar w:fldCharType="end"/>
    </w:r>
  </w:p>
  <w:p w14:paraId="6946F027"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C4BB2"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C03F53">
      <w:rPr>
        <w:noProof/>
      </w:rPr>
      <w:t>8</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07C0A2F7"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2C91"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C03F53">
      <w:rPr>
        <w:noProof/>
        <w:color w:val="505050"/>
      </w:rPr>
      <w:t>7</w:t>
    </w:r>
    <w:r w:rsidRPr="00575AC5">
      <w:rPr>
        <w:color w:val="505050"/>
      </w:rPr>
      <w:fldChar w:fldCharType="end"/>
    </w:r>
  </w:p>
  <w:p w14:paraId="7C2471A4"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5BFF5" w14:textId="77777777" w:rsidR="00C04FB9" w:rsidRDefault="00C04FB9">
      <w:r>
        <w:separator/>
      </w:r>
    </w:p>
  </w:footnote>
  <w:footnote w:type="continuationSeparator" w:id="0">
    <w:p w14:paraId="5D7EA6D8" w14:textId="77777777" w:rsidR="00C04FB9" w:rsidRDefault="00C04FB9">
      <w:r>
        <w:continuationSeparator/>
      </w:r>
    </w:p>
  </w:footnote>
  <w:footnote w:id="1">
    <w:p w14:paraId="50E86731" w14:textId="77777777" w:rsidR="00CA5E3F" w:rsidRDefault="00CA5E3F" w:rsidP="00CA5E3F">
      <w:pPr>
        <w:pStyle w:val="FootnoteText"/>
        <w:spacing w:after="0"/>
        <w:ind w:left="113" w:hanging="113"/>
      </w:pPr>
      <w:r>
        <w:rPr>
          <w:rStyle w:val="FootnoteReference"/>
        </w:rPr>
        <w:footnoteRef/>
      </w:r>
      <w:r>
        <w:t xml:space="preserve"> Embargo 23 is available from </w:t>
      </w:r>
      <w:hyperlink r:id="rId1" w:history="1">
        <w:r w:rsidRPr="005363C6">
          <w:rPr>
            <w:rStyle w:val="Hyperlink"/>
          </w:rPr>
          <w:t>www.acma.gov.au</w:t>
        </w:r>
      </w:hyperlink>
      <w:r>
        <w:t xml:space="preserve"> as in force and last revised September 2013.</w:t>
      </w:r>
    </w:p>
  </w:footnote>
  <w:footnote w:id="2">
    <w:p w14:paraId="22EB4026" w14:textId="77777777" w:rsidR="00297191" w:rsidRPr="001E40D8" w:rsidRDefault="00297191" w:rsidP="00297191">
      <w:pPr>
        <w:pStyle w:val="FootnoteText"/>
      </w:pPr>
      <w:r w:rsidRPr="00253455">
        <w:rPr>
          <w:rStyle w:val="FootnoteReference"/>
        </w:rPr>
        <w:footnoteRef/>
      </w:r>
      <w:r w:rsidRPr="00253455">
        <w:t xml:space="preserve"> </w:t>
      </w:r>
      <w:r w:rsidRPr="00297191">
        <w:t>See IFC 36/2011 Band plan for television outside broadcast response to submissions paper</w:t>
      </w:r>
      <w:r>
        <w:t xml:space="preserve"> and </w:t>
      </w:r>
      <w:r w:rsidRPr="00253455">
        <w:t>IFC 13/2011 - Towards 2020—Future spectrum requirements for mobile broadband</w:t>
      </w:r>
      <w:r>
        <w:t xml:space="preserve"> available</w:t>
      </w:r>
    </w:p>
  </w:footnote>
  <w:footnote w:id="3">
    <w:p w14:paraId="0A63063E" w14:textId="2457751D" w:rsidR="003537F6" w:rsidRDefault="003537F6" w:rsidP="003537F6">
      <w:pPr>
        <w:pStyle w:val="FootnoteText"/>
        <w:spacing w:after="0" w:line="240" w:lineRule="auto"/>
        <w:ind w:left="113" w:hanging="113"/>
      </w:pPr>
      <w:r>
        <w:rPr>
          <w:rStyle w:val="FootnoteReference"/>
        </w:rPr>
        <w:footnoteRef/>
      </w:r>
      <w:r>
        <w:t xml:space="preserve"> The United States Department of Defense</w:t>
      </w:r>
      <w:r w:rsidR="005504A0">
        <w:t>’s</w:t>
      </w:r>
      <w:r>
        <w:t xml:space="preserve"> inclusion in Schedule 2 is administered by the Australian Department of Defence.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AC1E" w14:textId="77777777" w:rsidR="00C053A1" w:rsidRPr="00A5474E" w:rsidRDefault="00C053A1" w:rsidP="00A5474E">
    <w:pPr>
      <w:pStyle w:val="Header"/>
    </w:pPr>
    <w:r>
      <w:rPr>
        <w:noProof/>
      </w:rPr>
      <w:drawing>
        <wp:inline distT="0" distB="0" distL="0" distR="0" wp14:anchorId="51CBDA61" wp14:editId="14859E39">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7A6CC"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A8D2"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5DC1"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C4D7" w14:textId="77777777" w:rsidR="00C053A1" w:rsidRPr="00A5474E" w:rsidRDefault="00C053A1" w:rsidP="00A547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32AC9"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3128"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C0FE"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1.75pt;height:32.25pt;visibility:visible" o:bullet="t">
        <v:imagedata r:id="rId1" o:title="" croptop="15915f" cropbottom="20445f" cropleft="21717f" cropright="21898f"/>
      </v:shape>
    </w:pict>
  </w:numPicBullet>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F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537ADECC"/>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A3834BA"/>
    <w:multiLevelType w:val="hybridMultilevel"/>
    <w:tmpl w:val="030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6C5F8E"/>
    <w:multiLevelType w:val="hybridMultilevel"/>
    <w:tmpl w:val="0D840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39"/>
  </w:num>
  <w:num w:numId="12">
    <w:abstractNumId w:val="22"/>
  </w:num>
  <w:num w:numId="13">
    <w:abstractNumId w:val="28"/>
  </w:num>
  <w:num w:numId="14">
    <w:abstractNumId w:val="18"/>
  </w:num>
  <w:num w:numId="15">
    <w:abstractNumId w:val="20"/>
  </w:num>
  <w:num w:numId="16">
    <w:abstractNumId w:val="46"/>
  </w:num>
  <w:num w:numId="17">
    <w:abstractNumId w:val="41"/>
  </w:num>
  <w:num w:numId="18">
    <w:abstractNumId w:val="31"/>
  </w:num>
  <w:num w:numId="19">
    <w:abstractNumId w:val="12"/>
  </w:num>
  <w:num w:numId="20">
    <w:abstractNumId w:val="0"/>
  </w:num>
  <w:num w:numId="21">
    <w:abstractNumId w:val="14"/>
  </w:num>
  <w:num w:numId="22">
    <w:abstractNumId w:val="24"/>
  </w:num>
  <w:num w:numId="23">
    <w:abstractNumId w:val="21"/>
  </w:num>
  <w:num w:numId="24">
    <w:abstractNumId w:val="35"/>
  </w:num>
  <w:num w:numId="25">
    <w:abstractNumId w:val="44"/>
  </w:num>
  <w:num w:numId="26">
    <w:abstractNumId w:val="30"/>
  </w:num>
  <w:num w:numId="27">
    <w:abstractNumId w:val="32"/>
  </w:num>
  <w:num w:numId="28">
    <w:abstractNumId w:val="29"/>
  </w:num>
  <w:num w:numId="29">
    <w:abstractNumId w:val="19"/>
  </w:num>
  <w:num w:numId="30">
    <w:abstractNumId w:val="23"/>
  </w:num>
  <w:num w:numId="31">
    <w:abstractNumId w:val="33"/>
  </w:num>
  <w:num w:numId="32">
    <w:abstractNumId w:val="45"/>
  </w:num>
  <w:num w:numId="33">
    <w:abstractNumId w:val="25"/>
  </w:num>
  <w:num w:numId="34">
    <w:abstractNumId w:val="37"/>
  </w:num>
  <w:num w:numId="35">
    <w:abstractNumId w:val="17"/>
  </w:num>
  <w:num w:numId="36">
    <w:abstractNumId w:val="13"/>
  </w:num>
  <w:num w:numId="37">
    <w:abstractNumId w:val="15"/>
  </w:num>
  <w:num w:numId="38">
    <w:abstractNumId w:val="38"/>
  </w:num>
  <w:num w:numId="39">
    <w:abstractNumId w:val="27"/>
  </w:num>
  <w:num w:numId="40">
    <w:abstractNumId w:val="34"/>
  </w:num>
  <w:num w:numId="41">
    <w:abstractNumId w:val="40"/>
  </w:num>
  <w:num w:numId="42">
    <w:abstractNumId w:val="42"/>
  </w:num>
  <w:num w:numId="43">
    <w:abstractNumId w:val="36"/>
  </w:num>
  <w:num w:numId="44">
    <w:abstractNumId w:val="16"/>
  </w:num>
  <w:num w:numId="45">
    <w:abstractNumId w:val="11"/>
  </w:num>
  <w:num w:numId="46">
    <w:abstractNumId w:val="43"/>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9A5"/>
    <w:rsid w:val="000032BC"/>
    <w:rsid w:val="00010667"/>
    <w:rsid w:val="000129D5"/>
    <w:rsid w:val="0001509B"/>
    <w:rsid w:val="00015AE7"/>
    <w:rsid w:val="00016E21"/>
    <w:rsid w:val="0001719C"/>
    <w:rsid w:val="00026F91"/>
    <w:rsid w:val="00034772"/>
    <w:rsid w:val="0005011A"/>
    <w:rsid w:val="0005045A"/>
    <w:rsid w:val="00051C1E"/>
    <w:rsid w:val="000539F9"/>
    <w:rsid w:val="00054C27"/>
    <w:rsid w:val="00055EC3"/>
    <w:rsid w:val="000563CE"/>
    <w:rsid w:val="00061046"/>
    <w:rsid w:val="000659B6"/>
    <w:rsid w:val="00065D7F"/>
    <w:rsid w:val="0006722A"/>
    <w:rsid w:val="000715AE"/>
    <w:rsid w:val="000732CF"/>
    <w:rsid w:val="00074867"/>
    <w:rsid w:val="00075B96"/>
    <w:rsid w:val="0008196A"/>
    <w:rsid w:val="000915ED"/>
    <w:rsid w:val="0009209D"/>
    <w:rsid w:val="0009250C"/>
    <w:rsid w:val="000969BD"/>
    <w:rsid w:val="000969BF"/>
    <w:rsid w:val="000A0C22"/>
    <w:rsid w:val="000A3C43"/>
    <w:rsid w:val="000A4A51"/>
    <w:rsid w:val="000A5D2B"/>
    <w:rsid w:val="000B5DE3"/>
    <w:rsid w:val="000C0A57"/>
    <w:rsid w:val="000C230C"/>
    <w:rsid w:val="000D71D9"/>
    <w:rsid w:val="000D76E0"/>
    <w:rsid w:val="000D7E8B"/>
    <w:rsid w:val="000E103A"/>
    <w:rsid w:val="000E353A"/>
    <w:rsid w:val="000E4449"/>
    <w:rsid w:val="000E6097"/>
    <w:rsid w:val="00103829"/>
    <w:rsid w:val="0011128D"/>
    <w:rsid w:val="00111FCE"/>
    <w:rsid w:val="00116F12"/>
    <w:rsid w:val="001229A5"/>
    <w:rsid w:val="0012489B"/>
    <w:rsid w:val="00130017"/>
    <w:rsid w:val="00130F91"/>
    <w:rsid w:val="00137424"/>
    <w:rsid w:val="00140318"/>
    <w:rsid w:val="00141AD9"/>
    <w:rsid w:val="00146CE6"/>
    <w:rsid w:val="00152903"/>
    <w:rsid w:val="0015614F"/>
    <w:rsid w:val="001569C6"/>
    <w:rsid w:val="001577C2"/>
    <w:rsid w:val="0016171F"/>
    <w:rsid w:val="001633C4"/>
    <w:rsid w:val="00171591"/>
    <w:rsid w:val="00173981"/>
    <w:rsid w:val="00173D20"/>
    <w:rsid w:val="0017719D"/>
    <w:rsid w:val="00185CAB"/>
    <w:rsid w:val="001875B7"/>
    <w:rsid w:val="00187CB3"/>
    <w:rsid w:val="0019050A"/>
    <w:rsid w:val="001910D4"/>
    <w:rsid w:val="001976E3"/>
    <w:rsid w:val="001A44EC"/>
    <w:rsid w:val="001A5AE3"/>
    <w:rsid w:val="001B4A18"/>
    <w:rsid w:val="001B58AA"/>
    <w:rsid w:val="001B7E48"/>
    <w:rsid w:val="001C17CE"/>
    <w:rsid w:val="001C2265"/>
    <w:rsid w:val="001C36CA"/>
    <w:rsid w:val="001C44D1"/>
    <w:rsid w:val="001C5BF5"/>
    <w:rsid w:val="001C6AEE"/>
    <w:rsid w:val="001C7630"/>
    <w:rsid w:val="001C7719"/>
    <w:rsid w:val="001D6D15"/>
    <w:rsid w:val="001F7558"/>
    <w:rsid w:val="00201C24"/>
    <w:rsid w:val="0020226E"/>
    <w:rsid w:val="00205B57"/>
    <w:rsid w:val="00210A38"/>
    <w:rsid w:val="002157E0"/>
    <w:rsid w:val="00216A57"/>
    <w:rsid w:val="0022334F"/>
    <w:rsid w:val="00226819"/>
    <w:rsid w:val="00233101"/>
    <w:rsid w:val="00233817"/>
    <w:rsid w:val="002367FF"/>
    <w:rsid w:val="0024067E"/>
    <w:rsid w:val="00240CE9"/>
    <w:rsid w:val="002434BA"/>
    <w:rsid w:val="00246089"/>
    <w:rsid w:val="00246093"/>
    <w:rsid w:val="00246702"/>
    <w:rsid w:val="00247C59"/>
    <w:rsid w:val="00247F2E"/>
    <w:rsid w:val="00250ADC"/>
    <w:rsid w:val="00250B07"/>
    <w:rsid w:val="00257553"/>
    <w:rsid w:val="00260FB2"/>
    <w:rsid w:val="00262128"/>
    <w:rsid w:val="00267313"/>
    <w:rsid w:val="00267916"/>
    <w:rsid w:val="0027165D"/>
    <w:rsid w:val="00273CEB"/>
    <w:rsid w:val="00281C89"/>
    <w:rsid w:val="0028282F"/>
    <w:rsid w:val="00285549"/>
    <w:rsid w:val="00285BB1"/>
    <w:rsid w:val="0029593B"/>
    <w:rsid w:val="00297191"/>
    <w:rsid w:val="00297FC5"/>
    <w:rsid w:val="002A0417"/>
    <w:rsid w:val="002A16D8"/>
    <w:rsid w:val="002A1BC8"/>
    <w:rsid w:val="002A27BD"/>
    <w:rsid w:val="002A31C9"/>
    <w:rsid w:val="002A3EF2"/>
    <w:rsid w:val="002B0DED"/>
    <w:rsid w:val="002B19A2"/>
    <w:rsid w:val="002B381A"/>
    <w:rsid w:val="002B4FCC"/>
    <w:rsid w:val="002B671F"/>
    <w:rsid w:val="002B7408"/>
    <w:rsid w:val="002B7CFD"/>
    <w:rsid w:val="002C210F"/>
    <w:rsid w:val="002D104B"/>
    <w:rsid w:val="002D3600"/>
    <w:rsid w:val="002E4DDC"/>
    <w:rsid w:val="00302480"/>
    <w:rsid w:val="00303284"/>
    <w:rsid w:val="00316593"/>
    <w:rsid w:val="003165E6"/>
    <w:rsid w:val="003221CF"/>
    <w:rsid w:val="00322DF0"/>
    <w:rsid w:val="003233ED"/>
    <w:rsid w:val="00324D9F"/>
    <w:rsid w:val="00327948"/>
    <w:rsid w:val="0033000F"/>
    <w:rsid w:val="00331CAB"/>
    <w:rsid w:val="00332011"/>
    <w:rsid w:val="00332518"/>
    <w:rsid w:val="00332925"/>
    <w:rsid w:val="003332ED"/>
    <w:rsid w:val="003368DC"/>
    <w:rsid w:val="00345927"/>
    <w:rsid w:val="00350584"/>
    <w:rsid w:val="00351857"/>
    <w:rsid w:val="003537F6"/>
    <w:rsid w:val="00360293"/>
    <w:rsid w:val="003610E1"/>
    <w:rsid w:val="003671BE"/>
    <w:rsid w:val="00372485"/>
    <w:rsid w:val="00373200"/>
    <w:rsid w:val="00374B33"/>
    <w:rsid w:val="00375EF5"/>
    <w:rsid w:val="003767A5"/>
    <w:rsid w:val="00385254"/>
    <w:rsid w:val="003872DB"/>
    <w:rsid w:val="003A5F5B"/>
    <w:rsid w:val="003A789A"/>
    <w:rsid w:val="003B12EC"/>
    <w:rsid w:val="003B1CAC"/>
    <w:rsid w:val="003C1B1E"/>
    <w:rsid w:val="003C21C4"/>
    <w:rsid w:val="003C77E0"/>
    <w:rsid w:val="003D17D7"/>
    <w:rsid w:val="003D2678"/>
    <w:rsid w:val="003D71A3"/>
    <w:rsid w:val="003E2B8A"/>
    <w:rsid w:val="003E356C"/>
    <w:rsid w:val="003F10EE"/>
    <w:rsid w:val="003F16F6"/>
    <w:rsid w:val="003F4DC7"/>
    <w:rsid w:val="003F5235"/>
    <w:rsid w:val="003F77C9"/>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4557"/>
    <w:rsid w:val="004460A6"/>
    <w:rsid w:val="00447037"/>
    <w:rsid w:val="0045124D"/>
    <w:rsid w:val="00454596"/>
    <w:rsid w:val="00455FB3"/>
    <w:rsid w:val="0045605D"/>
    <w:rsid w:val="0046135B"/>
    <w:rsid w:val="004718CC"/>
    <w:rsid w:val="0047686C"/>
    <w:rsid w:val="00481695"/>
    <w:rsid w:val="00481C9B"/>
    <w:rsid w:val="00495A96"/>
    <w:rsid w:val="00495BB3"/>
    <w:rsid w:val="004A56BB"/>
    <w:rsid w:val="004B1751"/>
    <w:rsid w:val="004B5A93"/>
    <w:rsid w:val="004B6D59"/>
    <w:rsid w:val="004C0253"/>
    <w:rsid w:val="004C1ABF"/>
    <w:rsid w:val="004C1D90"/>
    <w:rsid w:val="004D56FF"/>
    <w:rsid w:val="004E39D3"/>
    <w:rsid w:val="004E508A"/>
    <w:rsid w:val="004E616D"/>
    <w:rsid w:val="004F1BDE"/>
    <w:rsid w:val="004F2CEE"/>
    <w:rsid w:val="004F556E"/>
    <w:rsid w:val="004F7F44"/>
    <w:rsid w:val="005037B4"/>
    <w:rsid w:val="005079BF"/>
    <w:rsid w:val="0051262A"/>
    <w:rsid w:val="005143C2"/>
    <w:rsid w:val="00514A98"/>
    <w:rsid w:val="0052070E"/>
    <w:rsid w:val="005219E7"/>
    <w:rsid w:val="00531B9A"/>
    <w:rsid w:val="00531D15"/>
    <w:rsid w:val="00537604"/>
    <w:rsid w:val="005414C3"/>
    <w:rsid w:val="00542377"/>
    <w:rsid w:val="005476EB"/>
    <w:rsid w:val="005504A0"/>
    <w:rsid w:val="00551782"/>
    <w:rsid w:val="00563EF1"/>
    <w:rsid w:val="0056548B"/>
    <w:rsid w:val="00566AB4"/>
    <w:rsid w:val="0057121A"/>
    <w:rsid w:val="00575A2F"/>
    <w:rsid w:val="00575AC5"/>
    <w:rsid w:val="0057605D"/>
    <w:rsid w:val="00581347"/>
    <w:rsid w:val="00581AC9"/>
    <w:rsid w:val="00583928"/>
    <w:rsid w:val="005849F8"/>
    <w:rsid w:val="005938DF"/>
    <w:rsid w:val="00594E9C"/>
    <w:rsid w:val="00596596"/>
    <w:rsid w:val="005A099B"/>
    <w:rsid w:val="005A2D9C"/>
    <w:rsid w:val="005A55FE"/>
    <w:rsid w:val="005A6A11"/>
    <w:rsid w:val="005C4D1F"/>
    <w:rsid w:val="005D03AE"/>
    <w:rsid w:val="005D2502"/>
    <w:rsid w:val="005D4103"/>
    <w:rsid w:val="005D439F"/>
    <w:rsid w:val="005D47F3"/>
    <w:rsid w:val="005D49BF"/>
    <w:rsid w:val="005D6F4E"/>
    <w:rsid w:val="005D746E"/>
    <w:rsid w:val="005E3ACD"/>
    <w:rsid w:val="005E7226"/>
    <w:rsid w:val="005E7A57"/>
    <w:rsid w:val="005F039C"/>
    <w:rsid w:val="005F24B0"/>
    <w:rsid w:val="00601A0C"/>
    <w:rsid w:val="00602174"/>
    <w:rsid w:val="00604315"/>
    <w:rsid w:val="00604E26"/>
    <w:rsid w:val="006052CF"/>
    <w:rsid w:val="00605BEF"/>
    <w:rsid w:val="00607B8D"/>
    <w:rsid w:val="00611431"/>
    <w:rsid w:val="00611F5C"/>
    <w:rsid w:val="00612EF1"/>
    <w:rsid w:val="00616E09"/>
    <w:rsid w:val="00622A3B"/>
    <w:rsid w:val="00622EEA"/>
    <w:rsid w:val="0062396C"/>
    <w:rsid w:val="00623FF9"/>
    <w:rsid w:val="00624FF4"/>
    <w:rsid w:val="00627D4E"/>
    <w:rsid w:val="00634478"/>
    <w:rsid w:val="00644373"/>
    <w:rsid w:val="00645915"/>
    <w:rsid w:val="006519C3"/>
    <w:rsid w:val="00652B30"/>
    <w:rsid w:val="00656345"/>
    <w:rsid w:val="00656DC6"/>
    <w:rsid w:val="00664110"/>
    <w:rsid w:val="00664D17"/>
    <w:rsid w:val="00666520"/>
    <w:rsid w:val="00667C5B"/>
    <w:rsid w:val="00692CDE"/>
    <w:rsid w:val="00693073"/>
    <w:rsid w:val="00693F3E"/>
    <w:rsid w:val="00693F4C"/>
    <w:rsid w:val="00697266"/>
    <w:rsid w:val="006977FF"/>
    <w:rsid w:val="006A01FA"/>
    <w:rsid w:val="006A0E9E"/>
    <w:rsid w:val="006A25C7"/>
    <w:rsid w:val="006A4AAD"/>
    <w:rsid w:val="006A6DA2"/>
    <w:rsid w:val="006A7AB2"/>
    <w:rsid w:val="006B5717"/>
    <w:rsid w:val="006B582F"/>
    <w:rsid w:val="006B5C98"/>
    <w:rsid w:val="006C0CEB"/>
    <w:rsid w:val="006C3B1E"/>
    <w:rsid w:val="006C47FD"/>
    <w:rsid w:val="006C70A0"/>
    <w:rsid w:val="006C7603"/>
    <w:rsid w:val="006D27CB"/>
    <w:rsid w:val="006D2F08"/>
    <w:rsid w:val="006D576C"/>
    <w:rsid w:val="006D5865"/>
    <w:rsid w:val="006E4B1B"/>
    <w:rsid w:val="006E5445"/>
    <w:rsid w:val="006E7D93"/>
    <w:rsid w:val="007029A3"/>
    <w:rsid w:val="00706E4E"/>
    <w:rsid w:val="0070791C"/>
    <w:rsid w:val="0071383C"/>
    <w:rsid w:val="007141A7"/>
    <w:rsid w:val="00721032"/>
    <w:rsid w:val="00721B55"/>
    <w:rsid w:val="00726CE4"/>
    <w:rsid w:val="00734143"/>
    <w:rsid w:val="00737E47"/>
    <w:rsid w:val="00740EAC"/>
    <w:rsid w:val="00744956"/>
    <w:rsid w:val="00745A5C"/>
    <w:rsid w:val="0074605F"/>
    <w:rsid w:val="00747E94"/>
    <w:rsid w:val="007542A8"/>
    <w:rsid w:val="00766749"/>
    <w:rsid w:val="00767C1B"/>
    <w:rsid w:val="00771070"/>
    <w:rsid w:val="007714A9"/>
    <w:rsid w:val="00774F88"/>
    <w:rsid w:val="00774FDB"/>
    <w:rsid w:val="00777BA2"/>
    <w:rsid w:val="00781273"/>
    <w:rsid w:val="00781408"/>
    <w:rsid w:val="00784F7F"/>
    <w:rsid w:val="00787D6C"/>
    <w:rsid w:val="0079506F"/>
    <w:rsid w:val="00796F25"/>
    <w:rsid w:val="007A2E98"/>
    <w:rsid w:val="007A3BA3"/>
    <w:rsid w:val="007A67EB"/>
    <w:rsid w:val="007A6CC0"/>
    <w:rsid w:val="007A7FEC"/>
    <w:rsid w:val="007B1499"/>
    <w:rsid w:val="007B1BBF"/>
    <w:rsid w:val="007B2960"/>
    <w:rsid w:val="007B29E6"/>
    <w:rsid w:val="007B355D"/>
    <w:rsid w:val="007B7980"/>
    <w:rsid w:val="007C5D5A"/>
    <w:rsid w:val="007C607F"/>
    <w:rsid w:val="007C79DD"/>
    <w:rsid w:val="007D1A97"/>
    <w:rsid w:val="007D1CC4"/>
    <w:rsid w:val="007D2CD6"/>
    <w:rsid w:val="007D3063"/>
    <w:rsid w:val="007D38B0"/>
    <w:rsid w:val="007D3CEB"/>
    <w:rsid w:val="007E1BE9"/>
    <w:rsid w:val="007E6765"/>
    <w:rsid w:val="007E7683"/>
    <w:rsid w:val="007F49FA"/>
    <w:rsid w:val="007F54C4"/>
    <w:rsid w:val="007F628A"/>
    <w:rsid w:val="007F6E9A"/>
    <w:rsid w:val="008044D4"/>
    <w:rsid w:val="00810AB4"/>
    <w:rsid w:val="00815236"/>
    <w:rsid w:val="00817B56"/>
    <w:rsid w:val="00821A88"/>
    <w:rsid w:val="0082495D"/>
    <w:rsid w:val="00830E63"/>
    <w:rsid w:val="00831AC3"/>
    <w:rsid w:val="00833033"/>
    <w:rsid w:val="00836E02"/>
    <w:rsid w:val="008408FF"/>
    <w:rsid w:val="00845A44"/>
    <w:rsid w:val="00851F3F"/>
    <w:rsid w:val="00854776"/>
    <w:rsid w:val="00856A24"/>
    <w:rsid w:val="00856EDC"/>
    <w:rsid w:val="00860C84"/>
    <w:rsid w:val="008623B5"/>
    <w:rsid w:val="00864A48"/>
    <w:rsid w:val="00864D6D"/>
    <w:rsid w:val="00870ABA"/>
    <w:rsid w:val="008710E1"/>
    <w:rsid w:val="008716E5"/>
    <w:rsid w:val="00876857"/>
    <w:rsid w:val="00881CA9"/>
    <w:rsid w:val="00881D4F"/>
    <w:rsid w:val="00883628"/>
    <w:rsid w:val="00885544"/>
    <w:rsid w:val="0088634E"/>
    <w:rsid w:val="00893AB8"/>
    <w:rsid w:val="00894C91"/>
    <w:rsid w:val="008A04C8"/>
    <w:rsid w:val="008A6913"/>
    <w:rsid w:val="008B70F3"/>
    <w:rsid w:val="008B76DF"/>
    <w:rsid w:val="008C10F4"/>
    <w:rsid w:val="008C65F7"/>
    <w:rsid w:val="008E409A"/>
    <w:rsid w:val="008E4767"/>
    <w:rsid w:val="008E7A8C"/>
    <w:rsid w:val="008F0EB9"/>
    <w:rsid w:val="00903285"/>
    <w:rsid w:val="00903552"/>
    <w:rsid w:val="00906F40"/>
    <w:rsid w:val="0090731E"/>
    <w:rsid w:val="009074A5"/>
    <w:rsid w:val="00915B1C"/>
    <w:rsid w:val="009174F3"/>
    <w:rsid w:val="0091797D"/>
    <w:rsid w:val="00923CBA"/>
    <w:rsid w:val="00926703"/>
    <w:rsid w:val="00927691"/>
    <w:rsid w:val="00927A5F"/>
    <w:rsid w:val="009355B9"/>
    <w:rsid w:val="00935B63"/>
    <w:rsid w:val="0094078F"/>
    <w:rsid w:val="00940FA3"/>
    <w:rsid w:val="009419F8"/>
    <w:rsid w:val="00941FB0"/>
    <w:rsid w:val="009426D4"/>
    <w:rsid w:val="00947F25"/>
    <w:rsid w:val="00950159"/>
    <w:rsid w:val="00950366"/>
    <w:rsid w:val="0095490B"/>
    <w:rsid w:val="009627D2"/>
    <w:rsid w:val="00973207"/>
    <w:rsid w:val="00974363"/>
    <w:rsid w:val="00981898"/>
    <w:rsid w:val="009864D4"/>
    <w:rsid w:val="00994D7D"/>
    <w:rsid w:val="0099577C"/>
    <w:rsid w:val="00996F5C"/>
    <w:rsid w:val="009B4E9E"/>
    <w:rsid w:val="009B5C6B"/>
    <w:rsid w:val="009C1690"/>
    <w:rsid w:val="009C6132"/>
    <w:rsid w:val="009C6881"/>
    <w:rsid w:val="009C7759"/>
    <w:rsid w:val="009D043D"/>
    <w:rsid w:val="009D6C71"/>
    <w:rsid w:val="009E0631"/>
    <w:rsid w:val="009E16D0"/>
    <w:rsid w:val="009E38FD"/>
    <w:rsid w:val="009E6562"/>
    <w:rsid w:val="009F13D6"/>
    <w:rsid w:val="009F1A37"/>
    <w:rsid w:val="009F2040"/>
    <w:rsid w:val="009F4C6B"/>
    <w:rsid w:val="009F78A8"/>
    <w:rsid w:val="00A02AD6"/>
    <w:rsid w:val="00A07096"/>
    <w:rsid w:val="00A07318"/>
    <w:rsid w:val="00A11370"/>
    <w:rsid w:val="00A13CDD"/>
    <w:rsid w:val="00A224CE"/>
    <w:rsid w:val="00A22522"/>
    <w:rsid w:val="00A24AFD"/>
    <w:rsid w:val="00A24F5C"/>
    <w:rsid w:val="00A32F96"/>
    <w:rsid w:val="00A405A3"/>
    <w:rsid w:val="00A40871"/>
    <w:rsid w:val="00A40C18"/>
    <w:rsid w:val="00A412AB"/>
    <w:rsid w:val="00A4193E"/>
    <w:rsid w:val="00A440E0"/>
    <w:rsid w:val="00A442EF"/>
    <w:rsid w:val="00A51D1A"/>
    <w:rsid w:val="00A5418D"/>
    <w:rsid w:val="00A5474E"/>
    <w:rsid w:val="00A67C40"/>
    <w:rsid w:val="00A70ADF"/>
    <w:rsid w:val="00A71466"/>
    <w:rsid w:val="00A74B5E"/>
    <w:rsid w:val="00A81BED"/>
    <w:rsid w:val="00A81EC4"/>
    <w:rsid w:val="00A967FD"/>
    <w:rsid w:val="00AB156C"/>
    <w:rsid w:val="00AB2E0C"/>
    <w:rsid w:val="00AB6814"/>
    <w:rsid w:val="00AB78A1"/>
    <w:rsid w:val="00AC04BA"/>
    <w:rsid w:val="00AC0E39"/>
    <w:rsid w:val="00AD3082"/>
    <w:rsid w:val="00AD4AD0"/>
    <w:rsid w:val="00AD5436"/>
    <w:rsid w:val="00AD60CD"/>
    <w:rsid w:val="00AD6C8C"/>
    <w:rsid w:val="00AE091D"/>
    <w:rsid w:val="00AE3B60"/>
    <w:rsid w:val="00AE53A1"/>
    <w:rsid w:val="00AE64E9"/>
    <w:rsid w:val="00AE68F5"/>
    <w:rsid w:val="00AF2484"/>
    <w:rsid w:val="00AF63E7"/>
    <w:rsid w:val="00B0092D"/>
    <w:rsid w:val="00B0165D"/>
    <w:rsid w:val="00B031F3"/>
    <w:rsid w:val="00B052A4"/>
    <w:rsid w:val="00B125DE"/>
    <w:rsid w:val="00B13FDD"/>
    <w:rsid w:val="00B21712"/>
    <w:rsid w:val="00B22EB2"/>
    <w:rsid w:val="00B27442"/>
    <w:rsid w:val="00B310E3"/>
    <w:rsid w:val="00B31167"/>
    <w:rsid w:val="00B32710"/>
    <w:rsid w:val="00B329D8"/>
    <w:rsid w:val="00B32BB9"/>
    <w:rsid w:val="00B33AE1"/>
    <w:rsid w:val="00B37C38"/>
    <w:rsid w:val="00B4288C"/>
    <w:rsid w:val="00B43262"/>
    <w:rsid w:val="00B43E75"/>
    <w:rsid w:val="00B44100"/>
    <w:rsid w:val="00B44BA4"/>
    <w:rsid w:val="00B46CBA"/>
    <w:rsid w:val="00B46F94"/>
    <w:rsid w:val="00B61F03"/>
    <w:rsid w:val="00B626E4"/>
    <w:rsid w:val="00B64008"/>
    <w:rsid w:val="00B65421"/>
    <w:rsid w:val="00B72F4A"/>
    <w:rsid w:val="00B74067"/>
    <w:rsid w:val="00B805B8"/>
    <w:rsid w:val="00B83C27"/>
    <w:rsid w:val="00B84BC3"/>
    <w:rsid w:val="00B84BDD"/>
    <w:rsid w:val="00B92812"/>
    <w:rsid w:val="00B94386"/>
    <w:rsid w:val="00B95699"/>
    <w:rsid w:val="00BB45A1"/>
    <w:rsid w:val="00BB756E"/>
    <w:rsid w:val="00BB7686"/>
    <w:rsid w:val="00BC23F9"/>
    <w:rsid w:val="00BC3421"/>
    <w:rsid w:val="00BC732C"/>
    <w:rsid w:val="00BD2CCB"/>
    <w:rsid w:val="00BD2D5C"/>
    <w:rsid w:val="00BE2580"/>
    <w:rsid w:val="00BE266D"/>
    <w:rsid w:val="00BE3938"/>
    <w:rsid w:val="00BE4C11"/>
    <w:rsid w:val="00BE6476"/>
    <w:rsid w:val="00BE71C0"/>
    <w:rsid w:val="00BF4FE3"/>
    <w:rsid w:val="00BF610C"/>
    <w:rsid w:val="00C0060B"/>
    <w:rsid w:val="00C0277D"/>
    <w:rsid w:val="00C03F53"/>
    <w:rsid w:val="00C04FB9"/>
    <w:rsid w:val="00C053A1"/>
    <w:rsid w:val="00C06A06"/>
    <w:rsid w:val="00C16198"/>
    <w:rsid w:val="00C16BE5"/>
    <w:rsid w:val="00C2083D"/>
    <w:rsid w:val="00C24A53"/>
    <w:rsid w:val="00C4032F"/>
    <w:rsid w:val="00C40745"/>
    <w:rsid w:val="00C41D27"/>
    <w:rsid w:val="00C44047"/>
    <w:rsid w:val="00C45155"/>
    <w:rsid w:val="00C52C53"/>
    <w:rsid w:val="00C5498F"/>
    <w:rsid w:val="00C55235"/>
    <w:rsid w:val="00C61CDF"/>
    <w:rsid w:val="00C64CD0"/>
    <w:rsid w:val="00C6684F"/>
    <w:rsid w:val="00C70E70"/>
    <w:rsid w:val="00C75F8D"/>
    <w:rsid w:val="00C77380"/>
    <w:rsid w:val="00C87C59"/>
    <w:rsid w:val="00C96357"/>
    <w:rsid w:val="00C97736"/>
    <w:rsid w:val="00CA345A"/>
    <w:rsid w:val="00CA5E3F"/>
    <w:rsid w:val="00CB1E82"/>
    <w:rsid w:val="00CB4BA8"/>
    <w:rsid w:val="00CB52D7"/>
    <w:rsid w:val="00CB5AC9"/>
    <w:rsid w:val="00CC6732"/>
    <w:rsid w:val="00CC776B"/>
    <w:rsid w:val="00CE3C96"/>
    <w:rsid w:val="00CE51A8"/>
    <w:rsid w:val="00CF369B"/>
    <w:rsid w:val="00D00E28"/>
    <w:rsid w:val="00D0269E"/>
    <w:rsid w:val="00D15443"/>
    <w:rsid w:val="00D15810"/>
    <w:rsid w:val="00D16D4E"/>
    <w:rsid w:val="00D16FE3"/>
    <w:rsid w:val="00D279FF"/>
    <w:rsid w:val="00D27F41"/>
    <w:rsid w:val="00D36441"/>
    <w:rsid w:val="00D4064E"/>
    <w:rsid w:val="00D44E9B"/>
    <w:rsid w:val="00D4501D"/>
    <w:rsid w:val="00D458AD"/>
    <w:rsid w:val="00D47AEB"/>
    <w:rsid w:val="00D50DB9"/>
    <w:rsid w:val="00D52C43"/>
    <w:rsid w:val="00D60F03"/>
    <w:rsid w:val="00D6507F"/>
    <w:rsid w:val="00D71515"/>
    <w:rsid w:val="00D730BC"/>
    <w:rsid w:val="00D73912"/>
    <w:rsid w:val="00D83076"/>
    <w:rsid w:val="00D85226"/>
    <w:rsid w:val="00D85B4B"/>
    <w:rsid w:val="00D8617B"/>
    <w:rsid w:val="00D87B94"/>
    <w:rsid w:val="00D92D49"/>
    <w:rsid w:val="00D92EC1"/>
    <w:rsid w:val="00D9542F"/>
    <w:rsid w:val="00D96DEA"/>
    <w:rsid w:val="00DA4E41"/>
    <w:rsid w:val="00DB117A"/>
    <w:rsid w:val="00DB5173"/>
    <w:rsid w:val="00DB7873"/>
    <w:rsid w:val="00DC187B"/>
    <w:rsid w:val="00DD4E50"/>
    <w:rsid w:val="00DD73C2"/>
    <w:rsid w:val="00DE319B"/>
    <w:rsid w:val="00DF198C"/>
    <w:rsid w:val="00DF29D8"/>
    <w:rsid w:val="00DF34FE"/>
    <w:rsid w:val="00DF56AA"/>
    <w:rsid w:val="00DF78E7"/>
    <w:rsid w:val="00E110E0"/>
    <w:rsid w:val="00E15371"/>
    <w:rsid w:val="00E17A8A"/>
    <w:rsid w:val="00E24104"/>
    <w:rsid w:val="00E2696B"/>
    <w:rsid w:val="00E302D0"/>
    <w:rsid w:val="00E35707"/>
    <w:rsid w:val="00E36AA1"/>
    <w:rsid w:val="00E40994"/>
    <w:rsid w:val="00E41ECB"/>
    <w:rsid w:val="00E54FDB"/>
    <w:rsid w:val="00E5617D"/>
    <w:rsid w:val="00E563D7"/>
    <w:rsid w:val="00E60D23"/>
    <w:rsid w:val="00E663F4"/>
    <w:rsid w:val="00E666F2"/>
    <w:rsid w:val="00E66DD4"/>
    <w:rsid w:val="00E73264"/>
    <w:rsid w:val="00E748CC"/>
    <w:rsid w:val="00E75415"/>
    <w:rsid w:val="00E775B1"/>
    <w:rsid w:val="00E8152A"/>
    <w:rsid w:val="00E93629"/>
    <w:rsid w:val="00E93B5C"/>
    <w:rsid w:val="00E94CEC"/>
    <w:rsid w:val="00EA009D"/>
    <w:rsid w:val="00EA04EF"/>
    <w:rsid w:val="00EA05A3"/>
    <w:rsid w:val="00EA2BF0"/>
    <w:rsid w:val="00EA6F19"/>
    <w:rsid w:val="00EB3AD3"/>
    <w:rsid w:val="00EB7090"/>
    <w:rsid w:val="00EC1BBE"/>
    <w:rsid w:val="00EC4C8A"/>
    <w:rsid w:val="00EC5CD7"/>
    <w:rsid w:val="00ED20AF"/>
    <w:rsid w:val="00ED5C45"/>
    <w:rsid w:val="00ED6992"/>
    <w:rsid w:val="00EE15B1"/>
    <w:rsid w:val="00EE5FB3"/>
    <w:rsid w:val="00EE72A9"/>
    <w:rsid w:val="00EE7F79"/>
    <w:rsid w:val="00EF1C0D"/>
    <w:rsid w:val="00EF715A"/>
    <w:rsid w:val="00F06E14"/>
    <w:rsid w:val="00F16685"/>
    <w:rsid w:val="00F179D4"/>
    <w:rsid w:val="00F17DC5"/>
    <w:rsid w:val="00F26BF4"/>
    <w:rsid w:val="00F33C56"/>
    <w:rsid w:val="00F347C7"/>
    <w:rsid w:val="00F34848"/>
    <w:rsid w:val="00F36AFE"/>
    <w:rsid w:val="00F42D46"/>
    <w:rsid w:val="00F4496C"/>
    <w:rsid w:val="00F44F3A"/>
    <w:rsid w:val="00F51F10"/>
    <w:rsid w:val="00F529A5"/>
    <w:rsid w:val="00F60F00"/>
    <w:rsid w:val="00F614C0"/>
    <w:rsid w:val="00F65712"/>
    <w:rsid w:val="00F70107"/>
    <w:rsid w:val="00F83848"/>
    <w:rsid w:val="00F975E9"/>
    <w:rsid w:val="00F97D67"/>
    <w:rsid w:val="00FA1B7D"/>
    <w:rsid w:val="00FC07B9"/>
    <w:rsid w:val="00FC4E21"/>
    <w:rsid w:val="00FC5F6D"/>
    <w:rsid w:val="00FC6851"/>
    <w:rsid w:val="00FC722E"/>
    <w:rsid w:val="00FC76A5"/>
    <w:rsid w:val="00FD0107"/>
    <w:rsid w:val="00FD2C2F"/>
    <w:rsid w:val="00FD3B31"/>
    <w:rsid w:val="00FD59AA"/>
    <w:rsid w:val="00FE1823"/>
    <w:rsid w:val="00FE487A"/>
    <w:rsid w:val="00FF0569"/>
    <w:rsid w:val="00FF206E"/>
    <w:rsid w:val="00FF3C69"/>
    <w:rsid w:val="00FF5066"/>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014B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7">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C1ABF"/>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qFormat/>
    <w:rsid w:val="003A5F5B"/>
    <w:rPr>
      <w:color w:val="0000FF"/>
      <w:u w:val="single"/>
    </w:rPr>
  </w:style>
  <w:style w:type="character" w:styleId="FootnoteReference">
    <w:name w:val="footnote reference"/>
    <w:basedOn w:val="DefaultParagraphFont"/>
    <w:uiPriority w:val="99"/>
    <w:rsid w:val="00566AB4"/>
    <w:rPr>
      <w:rFonts w:ascii="Arial" w:hAnsi="Arial"/>
      <w:vertAlign w:val="superscript"/>
    </w:rPr>
  </w:style>
  <w:style w:type="paragraph" w:styleId="FootnoteText">
    <w:name w:val="footnote text"/>
    <w:aliases w:val="ACMA Footnote Text"/>
    <w:basedOn w:val="Normal"/>
    <w:link w:val="FootnoteTextChar"/>
    <w:uiPriority w:val="99"/>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styleId="NoSpacing">
    <w:name w:val="No Spacing"/>
    <w:rsid w:val="002A27BD"/>
    <w:rPr>
      <w:rFonts w:ascii="Arial" w:hAnsi="Arial"/>
      <w:sz w:val="20"/>
    </w:rPr>
  </w:style>
  <w:style w:type="paragraph" w:styleId="ListParagraph">
    <w:name w:val="List Paragraph"/>
    <w:basedOn w:val="Normal"/>
    <w:rsid w:val="00322DF0"/>
    <w:pPr>
      <w:ind w:left="720"/>
      <w:contextualSpacing/>
    </w:pPr>
  </w:style>
  <w:style w:type="character" w:customStyle="1" w:styleId="FootnoteTextChar">
    <w:name w:val="Footnote Text Char"/>
    <w:aliases w:val="ACMA Footnote Text Char"/>
    <w:basedOn w:val="DefaultParagraphFont"/>
    <w:link w:val="FootnoteText"/>
    <w:uiPriority w:val="99"/>
    <w:rsid w:val="0009250C"/>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 TargetMode="External"/><Relationship Id="rId18" Type="http://schemas.openxmlformats.org/officeDocument/2006/relationships/footer" Target="footer3.xml"/><Relationship Id="rId26" Type="http://schemas.openxmlformats.org/officeDocument/2006/relationships/hyperlink" Target="http://www.acma.gov.au/theACMA/Consultations/Consultations/Current/varying-the-foreign-space-objects-determination-and-rnss-jamming-prohibition"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acma.gov.au/theACMA/Consultations/Consultations/Current/remaking-the-communication-with-space-object-class-licence"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itu.int/rec/R-REC-M.203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acma.gov.au/theACMA/Consultations/Consultations/Current/remaking-the-communication-with-space-object-class-licence"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acma.gov.au/theACMA/Consultations/Consultations/Current/remaking-the-communication-with-space-object-class-licence"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cma.gov.au/theACMA/Consultations/Consultations/Current/varying-the-foreign-space-objects-determination-and-rnss-jamming-prohibi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ndinfo@acma.gov.au" TargetMode="External"/><Relationship Id="rId22" Type="http://schemas.openxmlformats.org/officeDocument/2006/relationships/footer" Target="footer5.xml"/><Relationship Id="rId27" Type="http://schemas.openxmlformats.org/officeDocument/2006/relationships/hyperlink" Target="http://www.acma.gov.au/theACMA/Consultations/Consultations/Current/varying-the-foreign-space-objects-determination-and-rnss-jamming-prohibition" TargetMode="External"/><Relationship Id="rId30" Type="http://schemas.openxmlformats.org/officeDocument/2006/relationships/hyperlink" Target="http://www.itu.int/pub/R-REP-M.2219" TargetMode="External"/><Relationship Id="rId35"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1E2B4-E6B2-4305-896B-C9E81B0E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3444</Words>
  <Characters>19636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2019-10-02T06:05:00Z</dcterms:created>
  <dcterms:modified xsi:type="dcterms:W3CDTF">2019-10-02T06:05:00Z</dcterms:modified>
  <cp:category/>
</cp:coreProperties>
</file>