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E624" w14:textId="77777777" w:rsidR="00573393" w:rsidRDefault="00573393" w:rsidP="00573393">
      <w:pPr>
        <w:pStyle w:val="EmbargoHeading"/>
      </w:pPr>
      <w:r>
        <w:t xml:space="preserve">EMBARGO </w:t>
      </w:r>
      <w:r w:rsidR="00CD75B5">
        <w:t>70</w:t>
      </w:r>
    </w:p>
    <w:p w14:paraId="00B4F1DC" w14:textId="77777777" w:rsidR="00573393" w:rsidRDefault="00573393" w:rsidP="00573393"/>
    <w:p w14:paraId="38AF4549" w14:textId="218DBDB6" w:rsidR="00CD75B5" w:rsidRDefault="00573393" w:rsidP="00573393">
      <w:pPr>
        <w:widowControl w:val="0"/>
        <w:tabs>
          <w:tab w:val="left" w:pos="3544"/>
        </w:tabs>
        <w:spacing w:before="120"/>
        <w:ind w:left="3544" w:hanging="3544"/>
        <w:rPr>
          <w:rFonts w:cstheme="minorHAnsi"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FREQUENCY RANGE(S):</w:t>
      </w:r>
      <w:r w:rsidRPr="001429FC">
        <w:rPr>
          <w:rFonts w:cstheme="minorHAnsi"/>
          <w:szCs w:val="20"/>
          <w:lang w:val="en-GB"/>
        </w:rPr>
        <w:tab/>
      </w:r>
      <w:r w:rsidR="00CD75B5">
        <w:rPr>
          <w:rFonts w:cstheme="minorHAnsi"/>
          <w:szCs w:val="20"/>
          <w:lang w:val="en-GB"/>
        </w:rPr>
        <w:t>1427-</w:t>
      </w:r>
      <w:r w:rsidR="00026AAA">
        <w:rPr>
          <w:rFonts w:cstheme="minorHAnsi"/>
          <w:szCs w:val="20"/>
          <w:lang w:val="en-GB"/>
        </w:rPr>
        <w:t>1518</w:t>
      </w:r>
      <w:r w:rsidR="00CD75B5">
        <w:rPr>
          <w:rFonts w:cstheme="minorHAnsi"/>
          <w:szCs w:val="20"/>
          <w:lang w:val="en-GB"/>
        </w:rPr>
        <w:t xml:space="preserve">MHz </w:t>
      </w:r>
    </w:p>
    <w:p w14:paraId="5D74539E" w14:textId="31AF1701" w:rsidR="00573393" w:rsidRPr="001429FC" w:rsidRDefault="00573393" w:rsidP="004C1792">
      <w:pPr>
        <w:widowControl w:val="0"/>
        <w:tabs>
          <w:tab w:val="left" w:pos="3544"/>
        </w:tabs>
        <w:spacing w:before="120"/>
        <w:ind w:left="3544" w:hanging="3544"/>
        <w:rPr>
          <w:rFonts w:cstheme="minorHAnsi"/>
          <w:b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SUBJECT:</w:t>
      </w:r>
      <w:r w:rsidRPr="001429FC">
        <w:rPr>
          <w:rFonts w:cstheme="minorHAnsi"/>
          <w:b/>
          <w:szCs w:val="20"/>
          <w:lang w:val="en-GB"/>
        </w:rPr>
        <w:tab/>
      </w:r>
      <w:r w:rsidR="003510DC">
        <w:rPr>
          <w:rFonts w:cstheme="minorHAnsi"/>
          <w:szCs w:val="20"/>
          <w:lang w:val="en-GB"/>
        </w:rPr>
        <w:t>Restriction</w:t>
      </w:r>
      <w:r w:rsidR="003510DC" w:rsidRPr="003D1119">
        <w:rPr>
          <w:rFonts w:cstheme="minorHAnsi"/>
          <w:szCs w:val="20"/>
          <w:lang w:val="en-GB"/>
        </w:rPr>
        <w:t xml:space="preserve"> </w:t>
      </w:r>
      <w:r w:rsidR="003D1119" w:rsidRPr="003D1119">
        <w:rPr>
          <w:rFonts w:cstheme="minorHAnsi"/>
          <w:szCs w:val="20"/>
          <w:lang w:val="en-GB"/>
        </w:rPr>
        <w:t xml:space="preserve">on all new frequency assignments to </w:t>
      </w:r>
      <w:r w:rsidR="00533654">
        <w:rPr>
          <w:rFonts w:cstheme="minorHAnsi"/>
          <w:szCs w:val="20"/>
          <w:lang w:val="en-GB"/>
        </w:rPr>
        <w:t>preserve</w:t>
      </w:r>
      <w:r w:rsidR="00533654" w:rsidRPr="003D1119">
        <w:rPr>
          <w:rFonts w:cstheme="minorHAnsi"/>
          <w:szCs w:val="20"/>
          <w:lang w:val="en-GB"/>
        </w:rPr>
        <w:t xml:space="preserve"> </w:t>
      </w:r>
      <w:r w:rsidR="003D1119" w:rsidRPr="003D1119">
        <w:rPr>
          <w:rFonts w:cstheme="minorHAnsi"/>
          <w:szCs w:val="20"/>
          <w:lang w:val="en-GB"/>
        </w:rPr>
        <w:t xml:space="preserve">future planning </w:t>
      </w:r>
      <w:r w:rsidR="00533654">
        <w:rPr>
          <w:rFonts w:cstheme="minorHAnsi"/>
          <w:szCs w:val="20"/>
          <w:lang w:val="en-GB"/>
        </w:rPr>
        <w:t>options</w:t>
      </w:r>
      <w:r w:rsidR="007674AE">
        <w:rPr>
          <w:rFonts w:cstheme="minorHAnsi"/>
          <w:szCs w:val="20"/>
          <w:lang w:val="en-GB"/>
        </w:rPr>
        <w:t xml:space="preserve"> in the identified frequency range</w:t>
      </w:r>
      <w:r w:rsidRPr="001429FC">
        <w:rPr>
          <w:rFonts w:cstheme="minorHAnsi"/>
          <w:szCs w:val="20"/>
          <w:lang w:val="en-GB"/>
        </w:rPr>
        <w:t>.</w:t>
      </w:r>
    </w:p>
    <w:p w14:paraId="52B8B4AE" w14:textId="04D738CB" w:rsidR="00573393" w:rsidRPr="005611C8" w:rsidRDefault="00573393" w:rsidP="00573393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b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DATE OF EFFECT:</w:t>
      </w:r>
      <w:r w:rsidRPr="001429FC">
        <w:rPr>
          <w:rFonts w:cstheme="minorHAnsi"/>
          <w:b/>
          <w:szCs w:val="20"/>
          <w:lang w:val="en-GB"/>
        </w:rPr>
        <w:tab/>
      </w:r>
      <w:r w:rsidR="00910B87">
        <w:rPr>
          <w:rFonts w:cstheme="minorHAnsi"/>
          <w:szCs w:val="20"/>
          <w:lang w:val="en-GB"/>
        </w:rPr>
        <w:t xml:space="preserve">20 </w:t>
      </w:r>
      <w:r w:rsidR="00CD75B5">
        <w:rPr>
          <w:rFonts w:cstheme="minorHAnsi"/>
          <w:szCs w:val="20"/>
          <w:lang w:val="en-GB"/>
        </w:rPr>
        <w:t>April</w:t>
      </w:r>
      <w:r w:rsidR="00A22E9B">
        <w:rPr>
          <w:rFonts w:cstheme="minorHAnsi"/>
          <w:szCs w:val="20"/>
          <w:lang w:val="en-GB"/>
        </w:rPr>
        <w:t xml:space="preserve"> 2016</w:t>
      </w:r>
    </w:p>
    <w:p w14:paraId="12F860B7" w14:textId="5B56043D" w:rsidR="00573393" w:rsidRPr="005611C8" w:rsidRDefault="00573393" w:rsidP="00573393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COVERAGE:</w:t>
      </w:r>
      <w:r w:rsidRPr="005611C8">
        <w:rPr>
          <w:rFonts w:cstheme="minorHAnsi"/>
          <w:b/>
          <w:szCs w:val="20"/>
          <w:lang w:val="en-GB"/>
        </w:rPr>
        <w:tab/>
      </w:r>
      <w:r w:rsidR="00026AAA" w:rsidRPr="004C1792">
        <w:rPr>
          <w:rFonts w:cstheme="minorHAnsi"/>
          <w:szCs w:val="20"/>
          <w:lang w:val="en-GB"/>
        </w:rPr>
        <w:t>Metro</w:t>
      </w:r>
      <w:r w:rsidR="00026AAA">
        <w:rPr>
          <w:rFonts w:cstheme="minorHAnsi"/>
          <w:szCs w:val="20"/>
          <w:lang w:val="en-GB"/>
        </w:rPr>
        <w:t>politan</w:t>
      </w:r>
      <w:r w:rsidR="00026AAA" w:rsidRPr="004C1792">
        <w:rPr>
          <w:rFonts w:cstheme="minorHAnsi"/>
          <w:szCs w:val="20"/>
          <w:lang w:val="en-GB"/>
        </w:rPr>
        <w:t xml:space="preserve"> and Regional Areas</w:t>
      </w:r>
      <w:r w:rsidR="00026AAA">
        <w:rPr>
          <w:rFonts w:cstheme="minorHAnsi"/>
          <w:b/>
          <w:szCs w:val="20"/>
          <w:lang w:val="en-GB"/>
        </w:rPr>
        <w:t xml:space="preserve"> </w:t>
      </w:r>
    </w:p>
    <w:p w14:paraId="5DA2F65D" w14:textId="77777777" w:rsidR="00573393" w:rsidRPr="005611C8" w:rsidRDefault="00573393" w:rsidP="00573393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TIME FRAME:</w:t>
      </w:r>
      <w:r w:rsidRPr="005611C8">
        <w:rPr>
          <w:rFonts w:cstheme="minorHAnsi"/>
          <w:b/>
          <w:szCs w:val="20"/>
          <w:lang w:val="en-GB"/>
        </w:rPr>
        <w:tab/>
      </w:r>
      <w:r w:rsidRPr="005611C8">
        <w:rPr>
          <w:rFonts w:cstheme="minorHAnsi"/>
          <w:szCs w:val="20"/>
          <w:lang w:val="en-GB"/>
        </w:rPr>
        <w:t>Until further notice</w:t>
      </w:r>
    </w:p>
    <w:p w14:paraId="4FD23C3B" w14:textId="77777777" w:rsidR="00573393" w:rsidRPr="005611C8" w:rsidRDefault="00573393" w:rsidP="00573393">
      <w:pPr>
        <w:widowControl w:val="0"/>
        <w:tabs>
          <w:tab w:val="left" w:pos="2269"/>
        </w:tabs>
        <w:spacing w:after="120"/>
        <w:rPr>
          <w:rFonts w:cstheme="minorHAnsi"/>
          <w:szCs w:val="20"/>
          <w:lang w:val="en-GB"/>
        </w:rPr>
      </w:pPr>
    </w:p>
    <w:p w14:paraId="4F5D733B" w14:textId="77777777" w:rsidR="00573393" w:rsidRPr="005611C8" w:rsidRDefault="00573393" w:rsidP="00573393">
      <w:pPr>
        <w:widowControl w:val="0"/>
        <w:tabs>
          <w:tab w:val="left" w:pos="2269"/>
        </w:tabs>
        <w:ind w:left="2269" w:hanging="2269"/>
        <w:rPr>
          <w:rFonts w:cstheme="minorHAnsi"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INSTRUCTIONS</w:t>
      </w:r>
    </w:p>
    <w:p w14:paraId="4F1A896E" w14:textId="711415D7" w:rsidR="00953EF2" w:rsidRPr="00652CD7" w:rsidRDefault="00CD75B5" w:rsidP="00953EF2">
      <w:pPr>
        <w:widowControl w:val="0"/>
        <w:tabs>
          <w:tab w:val="left" w:pos="2268"/>
        </w:tabs>
        <w:spacing w:after="120"/>
        <w:ind w:right="703"/>
        <w:rPr>
          <w:rFonts w:cs="Calibri"/>
        </w:rPr>
      </w:pPr>
      <w:r w:rsidRPr="00CD75B5">
        <w:rPr>
          <w:rFonts w:cs="Calibri"/>
        </w:rPr>
        <w:t xml:space="preserve">No assignments are to be made </w:t>
      </w:r>
      <w:r w:rsidR="00026AAA">
        <w:rPr>
          <w:rFonts w:cs="Calibri"/>
        </w:rPr>
        <w:t>in defined Metropolitan and Regional Areas (refer to Attachment 1 for a description)</w:t>
      </w:r>
      <w:r>
        <w:rPr>
          <w:rFonts w:cs="Calibri"/>
        </w:rPr>
        <w:t xml:space="preserve"> for </w:t>
      </w:r>
      <w:r w:rsidR="009C34EE" w:rsidRPr="00CD75B5">
        <w:rPr>
          <w:rFonts w:cs="Calibri"/>
        </w:rPr>
        <w:t>apparatus licences in the frequency range</w:t>
      </w:r>
      <w:r w:rsidRPr="00CD75B5">
        <w:rPr>
          <w:rFonts w:cs="Calibri"/>
        </w:rPr>
        <w:t xml:space="preserve"> 1427-1518 MHz</w:t>
      </w:r>
      <w:r w:rsidR="00953EF2">
        <w:rPr>
          <w:rFonts w:cs="Calibri"/>
        </w:rPr>
        <w:t>. C</w:t>
      </w:r>
      <w:r w:rsidR="00953EF2" w:rsidRPr="00652CD7">
        <w:rPr>
          <w:rFonts w:cs="Calibri"/>
        </w:rPr>
        <w:t xml:space="preserve">ase-by-case exemptions are to be referred to the Manager, Spectrum Engineering Section for consideration. </w:t>
      </w:r>
    </w:p>
    <w:p w14:paraId="4817297C" w14:textId="6C72EFE0" w:rsidR="00CD75B5" w:rsidRPr="00CD75B5" w:rsidRDefault="005C6E3C" w:rsidP="00CD75B5">
      <w:pPr>
        <w:widowControl w:val="0"/>
        <w:tabs>
          <w:tab w:val="left" w:pos="2269"/>
        </w:tabs>
        <w:spacing w:after="120"/>
        <w:ind w:right="703"/>
        <w:rPr>
          <w:rFonts w:cs="Calibri"/>
        </w:rPr>
      </w:pPr>
      <w:r>
        <w:rPr>
          <w:rFonts w:cs="Calibri"/>
        </w:rPr>
        <w:t>A</w:t>
      </w:r>
      <w:r w:rsidR="00CD75B5" w:rsidRPr="00652CD7">
        <w:rPr>
          <w:rFonts w:cs="Calibri"/>
        </w:rPr>
        <w:t xml:space="preserve">ny </w:t>
      </w:r>
      <w:r w:rsidR="00910B87">
        <w:rPr>
          <w:rFonts w:cs="Calibri"/>
        </w:rPr>
        <w:t>new/</w:t>
      </w:r>
      <w:r w:rsidR="00CD75B5" w:rsidRPr="00652CD7">
        <w:rPr>
          <w:rFonts w:cs="Calibri"/>
        </w:rPr>
        <w:t xml:space="preserve">existing licences </w:t>
      </w:r>
      <w:r>
        <w:rPr>
          <w:rFonts w:cs="Calibri"/>
        </w:rPr>
        <w:t>in the 1427-1518 MHz band</w:t>
      </w:r>
      <w:r w:rsidRPr="00652CD7">
        <w:rPr>
          <w:rFonts w:cs="Calibri"/>
        </w:rPr>
        <w:t xml:space="preserve"> </w:t>
      </w:r>
      <w:r w:rsidR="00CD75B5" w:rsidRPr="00652CD7">
        <w:rPr>
          <w:rFonts w:cs="Calibri"/>
        </w:rPr>
        <w:t xml:space="preserve">will be </w:t>
      </w:r>
      <w:r w:rsidR="00910B87">
        <w:rPr>
          <w:rFonts w:cs="Calibri"/>
        </w:rPr>
        <w:t>issued/</w:t>
      </w:r>
      <w:r w:rsidR="00CD75B5" w:rsidRPr="00652CD7">
        <w:rPr>
          <w:rFonts w:cs="Calibri"/>
        </w:rPr>
        <w:t xml:space="preserve">renewed for a maximum </w:t>
      </w:r>
      <w:r w:rsidR="00CD75B5">
        <w:rPr>
          <w:rFonts w:cs="Calibri"/>
        </w:rPr>
        <w:t xml:space="preserve">period of </w:t>
      </w:r>
      <w:r w:rsidR="00CD75B5" w:rsidRPr="00652CD7">
        <w:rPr>
          <w:rFonts w:cs="Calibri"/>
        </w:rPr>
        <w:t>one-year at a time.</w:t>
      </w:r>
      <w:r>
        <w:rPr>
          <w:rFonts w:cs="Calibri"/>
        </w:rPr>
        <w:t xml:space="preserve"> This policy applies Australia-wide (i.e. including remote areas).</w:t>
      </w:r>
    </w:p>
    <w:p w14:paraId="3B9F62CC" w14:textId="77777777" w:rsidR="00573393" w:rsidRPr="005611C8" w:rsidRDefault="00573393" w:rsidP="00573393">
      <w:pPr>
        <w:widowControl w:val="0"/>
        <w:tabs>
          <w:tab w:val="left" w:pos="2268"/>
        </w:tabs>
        <w:ind w:left="2268" w:hanging="2268"/>
        <w:rPr>
          <w:rFonts w:cstheme="minorHAnsi"/>
          <w:b/>
          <w:szCs w:val="20"/>
          <w:lang w:val="en-GB"/>
        </w:rPr>
      </w:pPr>
    </w:p>
    <w:p w14:paraId="6C9E0366" w14:textId="77777777" w:rsidR="00573393" w:rsidRPr="005611C8" w:rsidRDefault="00573393" w:rsidP="00573393">
      <w:pPr>
        <w:widowControl w:val="0"/>
        <w:tabs>
          <w:tab w:val="left" w:pos="2268"/>
        </w:tabs>
        <w:ind w:left="2268" w:hanging="2268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REASONS</w:t>
      </w:r>
    </w:p>
    <w:p w14:paraId="04F5515A" w14:textId="2D3BEFAC" w:rsidR="00573393" w:rsidRPr="005611C8" w:rsidRDefault="0046663B" w:rsidP="00573393">
      <w:pPr>
        <w:widowControl w:val="0"/>
        <w:tabs>
          <w:tab w:val="left" w:pos="2268"/>
        </w:tabs>
        <w:rPr>
          <w:rFonts w:cstheme="minorHAnsi"/>
          <w:szCs w:val="20"/>
        </w:rPr>
      </w:pPr>
      <w:r w:rsidRPr="005611C8">
        <w:rPr>
          <w:rFonts w:cstheme="minorHAnsi"/>
          <w:szCs w:val="20"/>
        </w:rPr>
        <w:t>The purpose of the embargo is</w:t>
      </w:r>
      <w:r w:rsidR="009C34EE">
        <w:rPr>
          <w:rFonts w:cstheme="minorHAnsi"/>
          <w:szCs w:val="20"/>
        </w:rPr>
        <w:t xml:space="preserve"> to</w:t>
      </w:r>
      <w:r w:rsidRPr="005611C8">
        <w:rPr>
          <w:rFonts w:cstheme="minorHAnsi"/>
          <w:szCs w:val="20"/>
        </w:rPr>
        <w:t xml:space="preserve"> preserve future planning options in the</w:t>
      </w:r>
      <w:r w:rsidR="007674AE">
        <w:rPr>
          <w:rFonts w:cstheme="minorHAnsi"/>
          <w:szCs w:val="20"/>
        </w:rPr>
        <w:t xml:space="preserve"> identified</w:t>
      </w:r>
      <w:r w:rsidRPr="005611C8">
        <w:rPr>
          <w:rFonts w:cstheme="minorHAnsi"/>
          <w:szCs w:val="20"/>
        </w:rPr>
        <w:t xml:space="preserve"> </w:t>
      </w:r>
      <w:r w:rsidR="007674AE">
        <w:rPr>
          <w:rFonts w:cstheme="minorHAnsi"/>
          <w:szCs w:val="20"/>
        </w:rPr>
        <w:t>frequency range</w:t>
      </w:r>
      <w:r w:rsidRPr="005611C8">
        <w:rPr>
          <w:rFonts w:cstheme="minorHAnsi"/>
          <w:szCs w:val="20"/>
        </w:rPr>
        <w:t xml:space="preserve"> </w:t>
      </w:r>
      <w:r w:rsidR="00AF3F3D">
        <w:rPr>
          <w:rFonts w:cstheme="minorHAnsi"/>
          <w:szCs w:val="20"/>
        </w:rPr>
        <w:t>and minimise the impact that a future possible change in highest value use of the band might cause</w:t>
      </w:r>
      <w:r w:rsidRPr="005611C8">
        <w:rPr>
          <w:rFonts w:cstheme="minorHAnsi"/>
          <w:szCs w:val="20"/>
        </w:rPr>
        <w:t>.</w:t>
      </w:r>
    </w:p>
    <w:p w14:paraId="523E8F62" w14:textId="77777777" w:rsidR="0046663B" w:rsidRPr="005611C8" w:rsidRDefault="0046663B" w:rsidP="00573393">
      <w:pPr>
        <w:widowControl w:val="0"/>
        <w:tabs>
          <w:tab w:val="left" w:pos="2268"/>
        </w:tabs>
        <w:rPr>
          <w:rFonts w:cstheme="minorHAnsi"/>
          <w:szCs w:val="20"/>
        </w:rPr>
      </w:pPr>
    </w:p>
    <w:p w14:paraId="450F8A74" w14:textId="77777777" w:rsidR="00573393" w:rsidRPr="005611C8" w:rsidRDefault="00573393" w:rsidP="00573393">
      <w:pPr>
        <w:widowControl w:val="0"/>
        <w:tabs>
          <w:tab w:val="left" w:pos="2268"/>
        </w:tabs>
        <w:rPr>
          <w:rFonts w:cstheme="minorHAnsi"/>
          <w:b/>
          <w:szCs w:val="20"/>
        </w:rPr>
      </w:pPr>
      <w:r w:rsidRPr="005611C8">
        <w:rPr>
          <w:rFonts w:cstheme="minorHAnsi"/>
          <w:b/>
          <w:szCs w:val="20"/>
        </w:rPr>
        <w:t>COMMENTS</w:t>
      </w:r>
    </w:p>
    <w:p w14:paraId="7327BE52" w14:textId="34E23A2B" w:rsidR="001F39B8" w:rsidRDefault="00063063" w:rsidP="00573393">
      <w:pPr>
        <w:widowControl w:val="0"/>
        <w:tabs>
          <w:tab w:val="left" w:pos="2268"/>
        </w:tabs>
        <w:rPr>
          <w:rFonts w:cs="Arial"/>
        </w:rPr>
      </w:pPr>
      <w:r>
        <w:rPr>
          <w:rFonts w:cs="Arial"/>
        </w:rPr>
        <w:t xml:space="preserve">The 1427-1518 MHz frequency </w:t>
      </w:r>
      <w:r w:rsidR="00BF6FC0">
        <w:rPr>
          <w:rFonts w:cs="Arial"/>
        </w:rPr>
        <w:t xml:space="preserve">range </w:t>
      </w:r>
      <w:r w:rsidR="00026AAA">
        <w:rPr>
          <w:rFonts w:cs="Arial"/>
        </w:rPr>
        <w:t>is</w:t>
      </w:r>
      <w:r>
        <w:rPr>
          <w:rFonts w:cs="Arial"/>
        </w:rPr>
        <w:t xml:space="preserve"> currently used for a mix of mobile (aeronautical) and terrestrial fixed services. </w:t>
      </w:r>
      <w:r w:rsidR="00CD75B5">
        <w:rPr>
          <w:rFonts w:cs="Arial"/>
        </w:rPr>
        <w:t>WRC-15 identified</w:t>
      </w:r>
      <w:r w:rsidR="00AB65F6">
        <w:rPr>
          <w:rFonts w:cs="Arial"/>
        </w:rPr>
        <w:t xml:space="preserve"> the</w:t>
      </w:r>
      <w:r w:rsidR="00CD75B5">
        <w:rPr>
          <w:rFonts w:cs="Arial"/>
        </w:rPr>
        <w:t xml:space="preserve"> </w:t>
      </w:r>
      <w:r w:rsidR="00026AAA">
        <w:rPr>
          <w:rFonts w:cs="Arial"/>
        </w:rPr>
        <w:t xml:space="preserve">1427-1452 MHz and 1492-1518 MHz frequency ranges </w:t>
      </w:r>
      <w:r w:rsidR="00AB65F6">
        <w:rPr>
          <w:rFonts w:cs="Arial"/>
        </w:rPr>
        <w:t xml:space="preserve">world-wide for the implementation of International Mobile Telecommunications (IMT). </w:t>
      </w:r>
      <w:r w:rsidR="00A26AF9">
        <w:rPr>
          <w:rFonts w:cs="Arial"/>
        </w:rPr>
        <w:t xml:space="preserve">The 1452-1492 MHz frequency range was also identified in Region 2 (North and South America), Region 3 (Asia-Pacific) and numerous Region 1 countries (African and Middle East Nations) for the implementation of IMT. </w:t>
      </w:r>
    </w:p>
    <w:p w14:paraId="491FFEEE" w14:textId="77777777" w:rsidR="006A170A" w:rsidRPr="005611C8" w:rsidRDefault="006A170A" w:rsidP="00573393">
      <w:pPr>
        <w:widowControl w:val="0"/>
        <w:tabs>
          <w:tab w:val="left" w:pos="2268"/>
        </w:tabs>
        <w:rPr>
          <w:rFonts w:cstheme="minorHAnsi"/>
          <w:szCs w:val="20"/>
        </w:rPr>
      </w:pPr>
    </w:p>
    <w:p w14:paraId="56BD3453" w14:textId="5E926F7F" w:rsidR="009C34EE" w:rsidRDefault="00AB65F6" w:rsidP="00573393">
      <w:pPr>
        <w:widowControl w:val="0"/>
        <w:tabs>
          <w:tab w:val="left" w:pos="2268"/>
        </w:tabs>
        <w:rPr>
          <w:rFonts w:cs="Arial"/>
        </w:rPr>
      </w:pPr>
      <w:r>
        <w:rPr>
          <w:rFonts w:cstheme="minorHAnsi"/>
          <w:szCs w:val="20"/>
        </w:rPr>
        <w:t xml:space="preserve">Given significant </w:t>
      </w:r>
      <w:r w:rsidR="00BF6FC0">
        <w:rPr>
          <w:rFonts w:cstheme="minorHAnsi"/>
          <w:szCs w:val="20"/>
        </w:rPr>
        <w:t>g</w:t>
      </w:r>
      <w:r>
        <w:rPr>
          <w:rFonts w:cstheme="minorHAnsi"/>
          <w:szCs w:val="20"/>
        </w:rPr>
        <w:t xml:space="preserve">lobal interest in the </w:t>
      </w:r>
      <w:r>
        <w:rPr>
          <w:rFonts w:cs="Arial"/>
        </w:rPr>
        <w:t xml:space="preserve">1427-1518 MHz frequency </w:t>
      </w:r>
      <w:r w:rsidR="00BF6FC0">
        <w:rPr>
          <w:rFonts w:cs="Arial"/>
        </w:rPr>
        <w:t xml:space="preserve">range </w:t>
      </w:r>
      <w:r>
        <w:rPr>
          <w:rFonts w:cs="Arial"/>
        </w:rPr>
        <w:t xml:space="preserve">for IMT, the ACMA </w:t>
      </w:r>
      <w:r w:rsidR="00063063">
        <w:rPr>
          <w:rFonts w:cs="Arial"/>
        </w:rPr>
        <w:t xml:space="preserve">intends to </w:t>
      </w:r>
      <w:r>
        <w:rPr>
          <w:rFonts w:cs="Arial"/>
        </w:rPr>
        <w:t>review arrangements in the band</w:t>
      </w:r>
      <w:r w:rsidR="00A26AF9">
        <w:rPr>
          <w:rFonts w:cs="Arial"/>
        </w:rPr>
        <w:t>s</w:t>
      </w:r>
      <w:r w:rsidR="009526CE">
        <w:rPr>
          <w:rFonts w:cs="Arial"/>
        </w:rPr>
        <w:t xml:space="preserve"> (refer to the ACMA’s </w:t>
      </w:r>
      <w:hyperlink r:id="rId4" w:history="1">
        <w:r w:rsidR="009526CE" w:rsidRPr="004C1792">
          <w:rPr>
            <w:rStyle w:val="Hyperlink"/>
            <w:rFonts w:cs="Arial"/>
            <w:i/>
          </w:rPr>
          <w:t>Mobile Broadband Work Program – February 2016 update</w:t>
        </w:r>
      </w:hyperlink>
      <w:r w:rsidR="009526CE">
        <w:rPr>
          <w:rFonts w:cs="Arial"/>
        </w:rPr>
        <w:t>)</w:t>
      </w:r>
      <w:r w:rsidR="00063063">
        <w:rPr>
          <w:rFonts w:cs="Arial"/>
        </w:rPr>
        <w:t>.</w:t>
      </w:r>
      <w:r>
        <w:rPr>
          <w:rFonts w:cs="Arial"/>
        </w:rPr>
        <w:t xml:space="preserve"> </w:t>
      </w:r>
    </w:p>
    <w:p w14:paraId="6FF51EA3" w14:textId="77777777" w:rsidR="00910B87" w:rsidRDefault="00910B87" w:rsidP="00573393">
      <w:pPr>
        <w:widowControl w:val="0"/>
        <w:tabs>
          <w:tab w:val="left" w:pos="2268"/>
        </w:tabs>
        <w:rPr>
          <w:rFonts w:cs="Arial"/>
        </w:rPr>
      </w:pPr>
    </w:p>
    <w:p w14:paraId="469AC053" w14:textId="3872EF5B" w:rsidR="00910B87" w:rsidRDefault="00910B87" w:rsidP="00573393">
      <w:pPr>
        <w:widowControl w:val="0"/>
        <w:tabs>
          <w:tab w:val="left" w:pos="2268"/>
        </w:tabs>
        <w:rPr>
          <w:rFonts w:cs="Arial"/>
        </w:rPr>
      </w:pPr>
      <w:r>
        <w:rPr>
          <w:rFonts w:cs="Arial"/>
        </w:rPr>
        <w:t xml:space="preserve">It is noted that the </w:t>
      </w:r>
      <w:r w:rsidRPr="004C1792">
        <w:rPr>
          <w:rFonts w:cs="Arial"/>
          <w:i/>
        </w:rPr>
        <w:t>Radiocommunications 1.5 GHz Frequency Band Plan 2015</w:t>
      </w:r>
      <w:r>
        <w:rPr>
          <w:rFonts w:cs="Arial"/>
        </w:rPr>
        <w:t xml:space="preserve"> already applies to the 1452-1492 MHz frequency band. This embargo restricts the issue of any new licences except point-to-multipoint services operated on specific frequencies and used for the </w:t>
      </w:r>
      <w:r>
        <w:rPr>
          <w:rStyle w:val="charpartno"/>
          <w:szCs w:val="20"/>
        </w:rPr>
        <w:t>delivery of public telecommunications services in a rural or remote area.</w:t>
      </w:r>
    </w:p>
    <w:p w14:paraId="0EBC967D" w14:textId="77777777" w:rsidR="0068162C" w:rsidRDefault="0068162C" w:rsidP="00573393">
      <w:pPr>
        <w:widowControl w:val="0"/>
        <w:tabs>
          <w:tab w:val="left" w:pos="2268"/>
        </w:tabs>
        <w:rPr>
          <w:rFonts w:cstheme="minorHAnsi"/>
          <w:szCs w:val="20"/>
        </w:rPr>
      </w:pPr>
    </w:p>
    <w:p w14:paraId="338D2CCB" w14:textId="77777777" w:rsidR="007B5FA7" w:rsidRDefault="007B5FA7" w:rsidP="00063063">
      <w:pPr>
        <w:widowControl w:val="0"/>
        <w:rPr>
          <w:rFonts w:cstheme="minorHAnsi"/>
          <w:b/>
          <w:szCs w:val="20"/>
          <w:lang w:val="en-GB"/>
        </w:rPr>
      </w:pPr>
    </w:p>
    <w:p w14:paraId="49FC3D04" w14:textId="77777777" w:rsidR="00573393" w:rsidRPr="005611C8" w:rsidRDefault="00573393" w:rsidP="00573393">
      <w:pPr>
        <w:widowControl w:val="0"/>
        <w:ind w:left="2268" w:hanging="2268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EMBARGO AUTHORISATION:</w:t>
      </w:r>
    </w:p>
    <w:p w14:paraId="6CBD910D" w14:textId="77777777" w:rsidR="00573393" w:rsidRPr="005611C8" w:rsidRDefault="00573393" w:rsidP="00573393">
      <w:pPr>
        <w:ind w:left="2268" w:hanging="2268"/>
        <w:rPr>
          <w:rFonts w:cstheme="minorHAnsi"/>
          <w:b/>
          <w:szCs w:val="20"/>
        </w:rPr>
      </w:pPr>
    </w:p>
    <w:p w14:paraId="3F728E51" w14:textId="15169952" w:rsidR="00573393" w:rsidRPr="005611C8" w:rsidRDefault="00D20D10" w:rsidP="00573393">
      <w:pPr>
        <w:rPr>
          <w:rFonts w:cstheme="minorHAnsi"/>
          <w:szCs w:val="20"/>
        </w:rPr>
      </w:pPr>
      <w:r>
        <w:t>[signed]</w:t>
      </w:r>
      <w:r>
        <w:tab/>
      </w:r>
      <w:bookmarkStart w:id="0" w:name="_GoBack"/>
      <w:bookmarkEnd w:id="0"/>
      <w:r w:rsidR="00573393" w:rsidRPr="005611C8">
        <w:rPr>
          <w:rFonts w:cstheme="minorHAnsi"/>
          <w:szCs w:val="20"/>
        </w:rPr>
        <w:tab/>
      </w:r>
      <w:r w:rsidR="00573393" w:rsidRPr="005611C8">
        <w:rPr>
          <w:rFonts w:cstheme="minorHAnsi"/>
          <w:szCs w:val="20"/>
        </w:rPr>
        <w:tab/>
      </w:r>
      <w:r w:rsidR="00910B87">
        <w:rPr>
          <w:rFonts w:cstheme="minorHAnsi"/>
          <w:szCs w:val="20"/>
        </w:rPr>
        <w:t>20</w:t>
      </w:r>
      <w:r w:rsidR="0004318A">
        <w:rPr>
          <w:rFonts w:cstheme="minorHAnsi"/>
          <w:szCs w:val="20"/>
        </w:rPr>
        <w:t>/0</w:t>
      </w:r>
      <w:r w:rsidR="00063063">
        <w:rPr>
          <w:rFonts w:cstheme="minorHAnsi"/>
          <w:szCs w:val="20"/>
        </w:rPr>
        <w:t>4</w:t>
      </w:r>
      <w:r w:rsidR="0004318A">
        <w:rPr>
          <w:rFonts w:cstheme="minorHAnsi"/>
          <w:szCs w:val="20"/>
        </w:rPr>
        <w:t>/2016</w:t>
      </w:r>
    </w:p>
    <w:p w14:paraId="28CA972A" w14:textId="77777777" w:rsidR="00573393" w:rsidRPr="005611C8" w:rsidRDefault="00573393" w:rsidP="00573393">
      <w:pPr>
        <w:ind w:left="2268" w:hanging="2268"/>
        <w:rPr>
          <w:rFonts w:cstheme="minorHAnsi"/>
          <w:b/>
          <w:szCs w:val="20"/>
        </w:rPr>
      </w:pPr>
    </w:p>
    <w:p w14:paraId="7F15E2A6" w14:textId="77777777" w:rsidR="00573393" w:rsidRPr="005611C8" w:rsidRDefault="00573393" w:rsidP="00573393">
      <w:pPr>
        <w:ind w:left="2268" w:hanging="2268"/>
        <w:rPr>
          <w:rFonts w:cstheme="minorHAnsi"/>
          <w:szCs w:val="20"/>
        </w:rPr>
      </w:pPr>
      <w:r w:rsidRPr="005611C8">
        <w:rPr>
          <w:rFonts w:cstheme="minorHAnsi"/>
          <w:szCs w:val="20"/>
        </w:rPr>
        <w:t>Mark Arkell</w:t>
      </w:r>
    </w:p>
    <w:p w14:paraId="05A4E395" w14:textId="77777777" w:rsidR="00573393" w:rsidRPr="001429FC" w:rsidRDefault="00573393" w:rsidP="00573393">
      <w:pPr>
        <w:ind w:left="2268" w:hanging="2268"/>
        <w:rPr>
          <w:rFonts w:cstheme="minorHAnsi"/>
          <w:szCs w:val="20"/>
        </w:rPr>
      </w:pPr>
      <w:r w:rsidRPr="005611C8">
        <w:rPr>
          <w:rFonts w:cstheme="minorHAnsi"/>
          <w:szCs w:val="20"/>
        </w:rPr>
        <w:t>Manager</w:t>
      </w:r>
    </w:p>
    <w:p w14:paraId="21BB868D" w14:textId="77777777" w:rsidR="00573393" w:rsidRPr="001429FC" w:rsidRDefault="00573393" w:rsidP="00573393">
      <w:pPr>
        <w:ind w:left="2268" w:hanging="2268"/>
        <w:rPr>
          <w:rFonts w:cstheme="minorHAnsi"/>
          <w:szCs w:val="20"/>
        </w:rPr>
      </w:pPr>
      <w:r>
        <w:rPr>
          <w:rFonts w:cstheme="minorHAnsi"/>
          <w:szCs w:val="20"/>
        </w:rPr>
        <w:t>Spectrum Engineering</w:t>
      </w:r>
    </w:p>
    <w:p w14:paraId="32258446" w14:textId="77777777" w:rsidR="00FB4951" w:rsidRDefault="00573393" w:rsidP="0004318A">
      <w:pPr>
        <w:ind w:left="2268" w:hanging="2268"/>
        <w:rPr>
          <w:rFonts w:cstheme="minorHAnsi"/>
          <w:szCs w:val="20"/>
        </w:rPr>
      </w:pPr>
      <w:r w:rsidRPr="001429FC">
        <w:rPr>
          <w:rFonts w:cstheme="minorHAnsi"/>
          <w:szCs w:val="20"/>
        </w:rPr>
        <w:t>Australian Communications and Media Authority</w:t>
      </w:r>
    </w:p>
    <w:p w14:paraId="64503BFB" w14:textId="74F703AA" w:rsidR="00026AAA" w:rsidRDefault="00026AAA">
      <w:pPr>
        <w:spacing w:after="200" w:line="276" w:lineRule="auto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</w:p>
    <w:p w14:paraId="1F8630E4" w14:textId="77777777" w:rsidR="00026AAA" w:rsidRPr="009906AB" w:rsidRDefault="00026AAA" w:rsidP="00026AAA">
      <w:pPr>
        <w:tabs>
          <w:tab w:val="left" w:pos="2268"/>
        </w:tabs>
        <w:ind w:left="2268" w:right="566" w:hanging="2268"/>
        <w:rPr>
          <w:rFonts w:cs="Arial"/>
          <w:b/>
        </w:rPr>
      </w:pPr>
      <w:r>
        <w:rPr>
          <w:rFonts w:cs="Arial"/>
          <w:b/>
          <w:lang w:val="en-GB"/>
        </w:rPr>
        <w:lastRenderedPageBreak/>
        <w:t>ATTACHEMENT 1:</w:t>
      </w:r>
    </w:p>
    <w:p w14:paraId="7A0E5BDD" w14:textId="77777777" w:rsidR="00026AAA" w:rsidRDefault="00026AAA" w:rsidP="00026AAA">
      <w:pPr>
        <w:rPr>
          <w:rFonts w:cs="Arial"/>
        </w:rPr>
      </w:pPr>
    </w:p>
    <w:p w14:paraId="13E7209A" w14:textId="68F335DB" w:rsidR="00026AAA" w:rsidRDefault="00026AAA" w:rsidP="00026AAA">
      <w:pPr>
        <w:rPr>
          <w:rFonts w:cs="Arial"/>
        </w:rPr>
      </w:pPr>
      <w:r>
        <w:rPr>
          <w:rFonts w:cs="Arial"/>
        </w:rPr>
        <w:t>For the purpose embargo 70, Metropolitan and Regional areas are described by the following HCIS:</w:t>
      </w:r>
    </w:p>
    <w:p w14:paraId="24DA7C67" w14:textId="77777777" w:rsidR="00026AAA" w:rsidRDefault="00026AAA" w:rsidP="00026AAA">
      <w:pPr>
        <w:rPr>
          <w:rFonts w:cs="Arial"/>
        </w:rPr>
      </w:pPr>
    </w:p>
    <w:p w14:paraId="6CE347B1" w14:textId="20171C75" w:rsidR="00026AAA" w:rsidRDefault="00026AAA" w:rsidP="00026AAA">
      <w:r>
        <w:t>BV, JW, IW, KW, LX, LY, MV, MW, NT, NU, AU2, AU3, AU6, AU9, AV9, AW3, BU1, BU2, BU4, BU5, BU7, BU8, BU9, BW1, BW2, BW3, BW5, BW6, CV4, CV7, CW1, CW4, GV1, GV2, GV3, GV6, HV1, HV2, HV4, HV5, HV6, HV8, HV9, HW3, HW6, IV4, IV5, IV6, IV7, IV8, IV9, JV4, JV5, JV7, JV8, JV9, JX1, JX2, JX3, JX5, JX6, KV7, KX1, KX2, KX3, KX4, KX5, KX6, KX8, KX9, KY2, KY3, KY6, LQ1, LQ2, LQ4, LQ5, LQ7, LQ8, LR2, LR3, LR5, LR6, LV9, LW1, LW2, LW3, LW4, LW5, LW6, LW7, LW8, LW9, LZ1, LZ2, LZ3, MR1, MR4, MR5, MR7, MR8, MR9, MS1, MS2, MS3, MS4, MS5, MS6, MS8, MS9, MT3, MT6, MT9, MU3, MU5, MU6, MU8, MU9, MX1, MX2, MX3, MX4, MX7, MY1, MY4, MY7, MZ1, NS4, NS7, NS8, NS9, NV1, NV2, NV3, NV4, NV5, NV7, NW1, GO7C, GO7D, GO7G, GO7H, GO7K, GO7L, GO8A, GO8E, GO8I</w:t>
      </w:r>
    </w:p>
    <w:p w14:paraId="66424E0E" w14:textId="77777777" w:rsidR="00026AAA" w:rsidRDefault="00026AAA" w:rsidP="00026AAA">
      <w:pPr>
        <w:rPr>
          <w:rFonts w:cs="Arial"/>
        </w:rPr>
      </w:pPr>
    </w:p>
    <w:p w14:paraId="18B95990" w14:textId="77777777" w:rsidR="00026AAA" w:rsidRDefault="00026AAA" w:rsidP="00026AAA">
      <w:pPr>
        <w:rPr>
          <w:rFonts w:cs="Arial"/>
        </w:rPr>
      </w:pPr>
      <w:r w:rsidRPr="00EC648F">
        <w:rPr>
          <w:rFonts w:cs="Arial"/>
        </w:rPr>
        <w:t>The HCIS is described in the Australian Spectrum Map Grid 2012. The Australian Spectrum Map</w:t>
      </w:r>
      <w:r>
        <w:rPr>
          <w:rFonts w:cs="Arial"/>
        </w:rPr>
        <w:t xml:space="preserve"> </w:t>
      </w:r>
      <w:r w:rsidRPr="00EC648F">
        <w:rPr>
          <w:rFonts w:cs="Arial"/>
        </w:rPr>
        <w:t xml:space="preserve">Grid 2012 is available on the ACMA website at: </w:t>
      </w:r>
      <w:hyperlink r:id="rId5" w:history="1">
        <w:r w:rsidRPr="00AD675F">
          <w:rPr>
            <w:rStyle w:val="Hyperlink"/>
            <w:rFonts w:cs="Arial"/>
            <w:i/>
          </w:rPr>
          <w:t>www.acma.gov.au</w:t>
        </w:r>
      </w:hyperlink>
      <w:r w:rsidRPr="00EC648F">
        <w:rPr>
          <w:rFonts w:cs="Arial"/>
        </w:rPr>
        <w:t>.</w:t>
      </w:r>
    </w:p>
    <w:p w14:paraId="43549934" w14:textId="77777777" w:rsidR="003C13AB" w:rsidRDefault="003C13AB">
      <w:pPr>
        <w:spacing w:after="200" w:line="276" w:lineRule="auto"/>
        <w:rPr>
          <w:rFonts w:cs="Arial"/>
          <w:b/>
          <w:lang w:val="en-GB"/>
        </w:rPr>
      </w:pPr>
    </w:p>
    <w:sectPr w:rsidR="003C13AB" w:rsidSect="00FB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3"/>
    <w:rsid w:val="00026AAA"/>
    <w:rsid w:val="0004318A"/>
    <w:rsid w:val="0004680A"/>
    <w:rsid w:val="000570C4"/>
    <w:rsid w:val="00063063"/>
    <w:rsid w:val="00081190"/>
    <w:rsid w:val="000C638E"/>
    <w:rsid w:val="000E3B97"/>
    <w:rsid w:val="0011643B"/>
    <w:rsid w:val="00192CAA"/>
    <w:rsid w:val="001C632E"/>
    <w:rsid w:val="001F39B8"/>
    <w:rsid w:val="00211AAF"/>
    <w:rsid w:val="002576B7"/>
    <w:rsid w:val="00293BC2"/>
    <w:rsid w:val="002E3062"/>
    <w:rsid w:val="003510DC"/>
    <w:rsid w:val="00386B29"/>
    <w:rsid w:val="0039223B"/>
    <w:rsid w:val="00393E78"/>
    <w:rsid w:val="003B3AC1"/>
    <w:rsid w:val="003C13AB"/>
    <w:rsid w:val="003D1119"/>
    <w:rsid w:val="003D21C5"/>
    <w:rsid w:val="003E3B0A"/>
    <w:rsid w:val="004520BC"/>
    <w:rsid w:val="0046108D"/>
    <w:rsid w:val="004610A9"/>
    <w:rsid w:val="0046663B"/>
    <w:rsid w:val="004A4FE0"/>
    <w:rsid w:val="004C1792"/>
    <w:rsid w:val="004F5AD8"/>
    <w:rsid w:val="005243B4"/>
    <w:rsid w:val="00533654"/>
    <w:rsid w:val="005611C8"/>
    <w:rsid w:val="00573393"/>
    <w:rsid w:val="00595685"/>
    <w:rsid w:val="005956B4"/>
    <w:rsid w:val="005C6E3C"/>
    <w:rsid w:val="005E05E5"/>
    <w:rsid w:val="005F3AD2"/>
    <w:rsid w:val="00600A9D"/>
    <w:rsid w:val="00620495"/>
    <w:rsid w:val="00632E40"/>
    <w:rsid w:val="0068162C"/>
    <w:rsid w:val="006819E8"/>
    <w:rsid w:val="006A170A"/>
    <w:rsid w:val="006B0C78"/>
    <w:rsid w:val="006E7E6C"/>
    <w:rsid w:val="006F5BC5"/>
    <w:rsid w:val="007674AE"/>
    <w:rsid w:val="00772F32"/>
    <w:rsid w:val="007B5FA7"/>
    <w:rsid w:val="007E314E"/>
    <w:rsid w:val="00850553"/>
    <w:rsid w:val="008910DB"/>
    <w:rsid w:val="00892CB3"/>
    <w:rsid w:val="008B54B1"/>
    <w:rsid w:val="008D5716"/>
    <w:rsid w:val="008F7DBC"/>
    <w:rsid w:val="00910B87"/>
    <w:rsid w:val="00923B22"/>
    <w:rsid w:val="009526CE"/>
    <w:rsid w:val="00953EF2"/>
    <w:rsid w:val="009900DD"/>
    <w:rsid w:val="00990787"/>
    <w:rsid w:val="009B7B58"/>
    <w:rsid w:val="009C34EE"/>
    <w:rsid w:val="009E0ABC"/>
    <w:rsid w:val="00A22E9B"/>
    <w:rsid w:val="00A2398C"/>
    <w:rsid w:val="00A26AF9"/>
    <w:rsid w:val="00A7214B"/>
    <w:rsid w:val="00AB65F6"/>
    <w:rsid w:val="00AF3F3D"/>
    <w:rsid w:val="00B04EE2"/>
    <w:rsid w:val="00B6510B"/>
    <w:rsid w:val="00B95887"/>
    <w:rsid w:val="00BC1047"/>
    <w:rsid w:val="00BF6FC0"/>
    <w:rsid w:val="00C11D71"/>
    <w:rsid w:val="00C40B1C"/>
    <w:rsid w:val="00CC7AB6"/>
    <w:rsid w:val="00CD6BA0"/>
    <w:rsid w:val="00CD75B5"/>
    <w:rsid w:val="00D20D10"/>
    <w:rsid w:val="00D47B86"/>
    <w:rsid w:val="00E60D2E"/>
    <w:rsid w:val="00EA7701"/>
    <w:rsid w:val="00EA7CE7"/>
    <w:rsid w:val="00EB674B"/>
    <w:rsid w:val="00EC1006"/>
    <w:rsid w:val="00F32BBB"/>
    <w:rsid w:val="00F41B5E"/>
    <w:rsid w:val="00F65B7F"/>
    <w:rsid w:val="00FB4951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84F5"/>
  <w15:docId w15:val="{1C428E36-B87D-40D0-ADAD-58EFA46E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93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06"/>
    <w:pPr>
      <w:spacing w:after="200" w:line="240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EmbargoHeading">
    <w:name w:val="Embargo Heading"/>
    <w:basedOn w:val="Normal"/>
    <w:qFormat/>
    <w:rsid w:val="0057339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 w:themeFill="background1" w:themeFillShade="D9"/>
      <w:jc w:val="center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7F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7F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F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rsid w:val="000570C4"/>
    <w:rPr>
      <w:color w:val="0000FF"/>
      <w:u w:val="single"/>
    </w:rPr>
  </w:style>
  <w:style w:type="table" w:styleId="TableGrid">
    <w:name w:val="Table Grid"/>
    <w:basedOn w:val="TableNormal"/>
    <w:uiPriority w:val="59"/>
    <w:rsid w:val="007E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E3062"/>
    <w:rPr>
      <w:color w:val="800080" w:themeColor="followedHyperlink"/>
      <w:u w:val="single"/>
    </w:rPr>
  </w:style>
  <w:style w:type="character" w:customStyle="1" w:styleId="charpartno">
    <w:name w:val="charpartno"/>
    <w:basedOn w:val="DefaultParagraphFont"/>
    <w:rsid w:val="009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ma.gov.au" TargetMode="External"/><Relationship Id="rId4" Type="http://schemas.openxmlformats.org/officeDocument/2006/relationships/hyperlink" Target="http://www.acma.gov.au/~/media/Spectrum%20Transformation%20and%20Government/Issue%20for%20comment/IFC%2022%202015/Mobile%20broadband%20work%20programFebruary%202016%20update%20docx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Gellatly</dc:creator>
  <cp:lastModifiedBy>David Goggin</cp:lastModifiedBy>
  <cp:revision>10</cp:revision>
  <cp:lastPrinted>2014-05-08T00:12:00Z</cp:lastPrinted>
  <dcterms:created xsi:type="dcterms:W3CDTF">2016-04-11T04:47:00Z</dcterms:created>
  <dcterms:modified xsi:type="dcterms:W3CDTF">2016-04-14T04:00:00Z</dcterms:modified>
</cp:coreProperties>
</file>