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9EB8A" w14:textId="237EC7D0" w:rsidR="00573393" w:rsidRDefault="00573393" w:rsidP="00573393">
      <w:pPr>
        <w:pStyle w:val="EmbargoHeading"/>
      </w:pPr>
      <w:r>
        <w:t xml:space="preserve">EMBARGO </w:t>
      </w:r>
      <w:r w:rsidR="00192CAA">
        <w:t>6</w:t>
      </w:r>
      <w:r w:rsidR="00BD41BE">
        <w:t>2</w:t>
      </w:r>
    </w:p>
    <w:p w14:paraId="35CDEDDE" w14:textId="77777777" w:rsidR="00573393" w:rsidRDefault="00573393" w:rsidP="00573393"/>
    <w:p w14:paraId="382B243B" w14:textId="19950C61" w:rsidR="00573393" w:rsidRPr="00715C3B" w:rsidRDefault="00573393">
      <w:pPr>
        <w:widowControl w:val="0"/>
        <w:tabs>
          <w:tab w:val="left" w:pos="3544"/>
        </w:tabs>
        <w:spacing w:before="120"/>
        <w:ind w:left="3544" w:hanging="3544"/>
        <w:rPr>
          <w:rFonts w:cstheme="minorHAnsi"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FREQUENCY RANGE(S):</w:t>
      </w:r>
      <w:r w:rsidRPr="001429FC">
        <w:rPr>
          <w:rFonts w:cstheme="minorHAnsi"/>
          <w:szCs w:val="20"/>
          <w:lang w:val="en-GB"/>
        </w:rPr>
        <w:tab/>
      </w:r>
      <w:r w:rsidR="00BD41BE">
        <w:rPr>
          <w:rFonts w:cstheme="minorHAnsi"/>
          <w:szCs w:val="20"/>
          <w:lang w:val="en-GB"/>
        </w:rPr>
        <w:t>1710–1785 MHz</w:t>
      </w:r>
      <w:r w:rsidR="00BD41BE">
        <w:rPr>
          <w:rFonts w:cstheme="minorHAnsi"/>
          <w:szCs w:val="20"/>
          <w:lang w:val="en-GB"/>
        </w:rPr>
        <w:br/>
        <w:t>1805</w:t>
      </w:r>
      <w:r w:rsidR="00BD41BE">
        <w:rPr>
          <w:rFonts w:cstheme="minorHAnsi"/>
          <w:szCs w:val="20"/>
        </w:rPr>
        <w:t>–1880 </w:t>
      </w:r>
      <w:r w:rsidRPr="001429FC">
        <w:rPr>
          <w:rFonts w:cstheme="minorHAnsi"/>
          <w:szCs w:val="20"/>
        </w:rPr>
        <w:t>MHz</w:t>
      </w:r>
    </w:p>
    <w:p w14:paraId="6A19C951" w14:textId="3956D216" w:rsidR="00573393" w:rsidRPr="00DA7605" w:rsidRDefault="00573393" w:rsidP="00DA7605">
      <w:pPr>
        <w:widowControl w:val="0"/>
        <w:spacing w:before="120"/>
        <w:ind w:left="3600" w:hanging="3600"/>
        <w:rPr>
          <w:rFonts w:cs="Calibri"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SUBJECT:</w:t>
      </w:r>
      <w:r w:rsidRPr="001429FC">
        <w:rPr>
          <w:rFonts w:cstheme="minorHAnsi"/>
          <w:b/>
          <w:szCs w:val="20"/>
          <w:lang w:val="en-GB"/>
        </w:rPr>
        <w:tab/>
      </w:r>
      <w:r w:rsidR="00DA7605" w:rsidRPr="00BE3364">
        <w:rPr>
          <w:rFonts w:cs="Calibri"/>
          <w:szCs w:val="20"/>
          <w:lang w:val="en-GB"/>
        </w:rPr>
        <w:t xml:space="preserve">Embargo on apparatus licence frequency assignments to support </w:t>
      </w:r>
      <w:r w:rsidR="00DA7605">
        <w:rPr>
          <w:rFonts w:cs="Calibri"/>
          <w:szCs w:val="20"/>
          <w:lang w:val="en-GB"/>
        </w:rPr>
        <w:t xml:space="preserve">use of the band for </w:t>
      </w:r>
      <w:r w:rsidR="0075190F">
        <w:rPr>
          <w:rFonts w:cs="Calibri"/>
          <w:szCs w:val="20"/>
          <w:lang w:val="en-GB"/>
        </w:rPr>
        <w:t>PTS</w:t>
      </w:r>
    </w:p>
    <w:p w14:paraId="7A4D191D" w14:textId="03746337" w:rsidR="00573393" w:rsidRPr="005611C8" w:rsidRDefault="00573393" w:rsidP="00DA7605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b/>
          <w:szCs w:val="20"/>
          <w:lang w:val="en-GB"/>
        </w:rPr>
      </w:pPr>
      <w:r w:rsidRPr="001429FC">
        <w:rPr>
          <w:rFonts w:cstheme="minorHAnsi"/>
          <w:b/>
          <w:szCs w:val="20"/>
          <w:lang w:val="en-GB"/>
        </w:rPr>
        <w:t>DATE OF EFFECT:</w:t>
      </w:r>
      <w:r w:rsidRPr="001429FC">
        <w:rPr>
          <w:rFonts w:cstheme="minorHAnsi"/>
          <w:b/>
          <w:szCs w:val="20"/>
          <w:lang w:val="en-GB"/>
        </w:rPr>
        <w:tab/>
      </w:r>
      <w:r w:rsidR="00DA7605" w:rsidRPr="00BE3364">
        <w:rPr>
          <w:rFonts w:cs="Calibri"/>
          <w:szCs w:val="20"/>
          <w:lang w:val="en-GB"/>
        </w:rPr>
        <w:t>21 January 2011</w:t>
      </w:r>
      <w:r w:rsidR="00DA7605">
        <w:rPr>
          <w:rFonts w:cs="Calibri"/>
          <w:szCs w:val="20"/>
          <w:lang w:val="en-GB"/>
        </w:rPr>
        <w:t xml:space="preserve"> </w:t>
      </w:r>
      <w:r w:rsidR="00DA7605">
        <w:rPr>
          <w:rFonts w:cs="Arial"/>
          <w:lang w:val="en-GB"/>
        </w:rPr>
        <w:t>(last revised January 2016)</w:t>
      </w:r>
    </w:p>
    <w:p w14:paraId="7AC974ED" w14:textId="0D3E0A47" w:rsidR="00573393" w:rsidRPr="005611C8" w:rsidRDefault="00573393" w:rsidP="00573393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COVERAGE:</w:t>
      </w:r>
      <w:r w:rsidRPr="005611C8">
        <w:rPr>
          <w:rFonts w:cstheme="minorHAnsi"/>
          <w:b/>
          <w:szCs w:val="20"/>
          <w:lang w:val="en-GB"/>
        </w:rPr>
        <w:tab/>
      </w:r>
      <w:r w:rsidR="00DA7605" w:rsidRPr="001B3BCD">
        <w:rPr>
          <w:rFonts w:cs="Calibri"/>
          <w:szCs w:val="20"/>
        </w:rPr>
        <w:t>Major m</w:t>
      </w:r>
      <w:r w:rsidR="00DA7605">
        <w:rPr>
          <w:rFonts w:cs="Calibri"/>
          <w:szCs w:val="20"/>
        </w:rPr>
        <w:t xml:space="preserve">etropolitan and regional areas for PTS apparatus licences, </w:t>
      </w:r>
      <w:r w:rsidR="00DA7605" w:rsidRPr="00BE3364">
        <w:rPr>
          <w:rFonts w:cs="Calibri"/>
          <w:szCs w:val="20"/>
        </w:rPr>
        <w:t xml:space="preserve">Australia-wide </w:t>
      </w:r>
      <w:r w:rsidR="00DA7605">
        <w:rPr>
          <w:rFonts w:cs="Calibri"/>
          <w:szCs w:val="20"/>
        </w:rPr>
        <w:t>for all other services</w:t>
      </w:r>
    </w:p>
    <w:p w14:paraId="1D97B0FE" w14:textId="77777777" w:rsidR="00573393" w:rsidRPr="005611C8" w:rsidRDefault="00573393" w:rsidP="00573393">
      <w:pPr>
        <w:widowControl w:val="0"/>
        <w:tabs>
          <w:tab w:val="left" w:pos="3544"/>
        </w:tabs>
        <w:spacing w:before="120" w:after="120"/>
        <w:ind w:left="3544" w:hanging="3544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TIME FRAME:</w:t>
      </w:r>
      <w:r w:rsidRPr="005611C8">
        <w:rPr>
          <w:rFonts w:cstheme="minorHAnsi"/>
          <w:b/>
          <w:szCs w:val="20"/>
          <w:lang w:val="en-GB"/>
        </w:rPr>
        <w:tab/>
      </w:r>
      <w:r w:rsidRPr="005611C8">
        <w:rPr>
          <w:rFonts w:cstheme="minorHAnsi"/>
          <w:szCs w:val="20"/>
          <w:lang w:val="en-GB"/>
        </w:rPr>
        <w:t>Until further notice</w:t>
      </w:r>
    </w:p>
    <w:p w14:paraId="5F6DD4B7" w14:textId="77777777" w:rsidR="00573393" w:rsidRPr="005611C8" w:rsidRDefault="00573393" w:rsidP="00573393">
      <w:pPr>
        <w:widowControl w:val="0"/>
        <w:tabs>
          <w:tab w:val="left" w:pos="2269"/>
        </w:tabs>
        <w:spacing w:after="120"/>
        <w:rPr>
          <w:rFonts w:cstheme="minorHAnsi"/>
          <w:szCs w:val="20"/>
          <w:lang w:val="en-GB"/>
        </w:rPr>
      </w:pPr>
    </w:p>
    <w:p w14:paraId="13866586" w14:textId="77777777" w:rsidR="00573393" w:rsidRPr="005611C8" w:rsidRDefault="00573393" w:rsidP="00573393">
      <w:pPr>
        <w:widowControl w:val="0"/>
        <w:tabs>
          <w:tab w:val="left" w:pos="2269"/>
        </w:tabs>
        <w:ind w:left="2269" w:hanging="2269"/>
        <w:rPr>
          <w:rFonts w:cstheme="minorHAnsi"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INSTRUCTIONS</w:t>
      </w:r>
    </w:p>
    <w:p w14:paraId="2466205D" w14:textId="1C3C9B9D" w:rsidR="00DA7605" w:rsidRPr="009906AB" w:rsidRDefault="00DA7605" w:rsidP="00DA7605">
      <w:pPr>
        <w:widowControl w:val="0"/>
        <w:tabs>
          <w:tab w:val="left" w:pos="2269"/>
        </w:tabs>
        <w:spacing w:after="120"/>
        <w:ind w:right="703"/>
        <w:rPr>
          <w:rFonts w:cs="Arial"/>
        </w:rPr>
      </w:pPr>
      <w:r w:rsidRPr="009906AB">
        <w:rPr>
          <w:rFonts w:cs="Arial"/>
        </w:rPr>
        <w:t>No assignments are to be made for Apparatus Licences Australia-wide in the frequency ranges 1710</w:t>
      </w:r>
      <w:r>
        <w:rPr>
          <w:rFonts w:cs="Arial"/>
        </w:rPr>
        <w:t>–</w:t>
      </w:r>
      <w:r w:rsidRPr="009906AB">
        <w:rPr>
          <w:rFonts w:cs="Arial"/>
        </w:rPr>
        <w:t>1785</w:t>
      </w:r>
      <w:r>
        <w:rPr>
          <w:rFonts w:cs="Arial"/>
        </w:rPr>
        <w:t> </w:t>
      </w:r>
      <w:r w:rsidRPr="009906AB">
        <w:rPr>
          <w:rFonts w:cs="Arial"/>
        </w:rPr>
        <w:t>MHz and 1805</w:t>
      </w:r>
      <w:r>
        <w:rPr>
          <w:rFonts w:cs="Arial"/>
        </w:rPr>
        <w:t>–</w:t>
      </w:r>
      <w:r w:rsidRPr="009906AB">
        <w:rPr>
          <w:rFonts w:cs="Arial"/>
        </w:rPr>
        <w:t>1880</w:t>
      </w:r>
      <w:r>
        <w:rPr>
          <w:rFonts w:cs="Arial"/>
        </w:rPr>
        <w:t xml:space="preserve"> MHz, with the exception of Apparatus Licences for </w:t>
      </w:r>
      <w:r w:rsidRPr="009906AB">
        <w:rPr>
          <w:rFonts w:cs="Arial"/>
        </w:rPr>
        <w:t>Public Telecommunication Services (PTS)</w:t>
      </w:r>
      <w:r>
        <w:rPr>
          <w:rFonts w:cs="Arial"/>
        </w:rPr>
        <w:t xml:space="preserve"> </w:t>
      </w:r>
      <w:r w:rsidR="00B266BF">
        <w:rPr>
          <w:rFonts w:cs="Arial"/>
        </w:rPr>
        <w:t xml:space="preserve">outside the area </w:t>
      </w:r>
      <w:r>
        <w:rPr>
          <w:rFonts w:cs="Arial"/>
        </w:rPr>
        <w:t>described in Attachment 1.</w:t>
      </w:r>
      <w:r w:rsidR="00065329">
        <w:rPr>
          <w:rFonts w:cs="Arial"/>
        </w:rPr>
        <w:t xml:space="preserve"> This limits PTS licences to remote areas of Australia.</w:t>
      </w:r>
    </w:p>
    <w:p w14:paraId="3A299791" w14:textId="536863AC" w:rsidR="00E37A92" w:rsidRPr="009906AB" w:rsidRDefault="00715C3B" w:rsidP="00E37A92">
      <w:pPr>
        <w:widowControl w:val="0"/>
        <w:tabs>
          <w:tab w:val="left" w:pos="2268"/>
        </w:tabs>
        <w:spacing w:after="120"/>
        <w:ind w:right="703"/>
        <w:rPr>
          <w:rFonts w:cs="Arial"/>
        </w:rPr>
      </w:pPr>
      <w:r w:rsidRPr="009906AB">
        <w:rPr>
          <w:rFonts w:cs="Arial"/>
        </w:rPr>
        <w:t>Any applications for case-by-case exemptions are to be referred to the Manager, Spectrum Engineering Section for consideration.</w:t>
      </w:r>
    </w:p>
    <w:p w14:paraId="0DFFD9F6" w14:textId="77777777" w:rsidR="00573393" w:rsidRPr="005611C8" w:rsidRDefault="00573393" w:rsidP="00573393">
      <w:pPr>
        <w:widowControl w:val="0"/>
        <w:tabs>
          <w:tab w:val="left" w:pos="2268"/>
        </w:tabs>
        <w:ind w:left="2268" w:hanging="2268"/>
        <w:rPr>
          <w:rFonts w:cstheme="minorHAnsi"/>
          <w:b/>
          <w:szCs w:val="20"/>
          <w:lang w:val="en-GB"/>
        </w:rPr>
      </w:pPr>
    </w:p>
    <w:p w14:paraId="2B596253" w14:textId="77777777" w:rsidR="00573393" w:rsidRPr="005611C8" w:rsidRDefault="00573393" w:rsidP="00573393">
      <w:pPr>
        <w:widowControl w:val="0"/>
        <w:tabs>
          <w:tab w:val="left" w:pos="2268"/>
        </w:tabs>
        <w:ind w:left="2268" w:hanging="2268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REASONS</w:t>
      </w:r>
    </w:p>
    <w:p w14:paraId="34B74855" w14:textId="77777777" w:rsidR="00715C3B" w:rsidRDefault="00715C3B" w:rsidP="00715C3B">
      <w:pPr>
        <w:widowControl w:val="0"/>
        <w:tabs>
          <w:tab w:val="left" w:pos="2268"/>
        </w:tabs>
        <w:spacing w:after="120"/>
        <w:ind w:right="703"/>
        <w:rPr>
          <w:rFonts w:cs="Arial"/>
        </w:rPr>
      </w:pPr>
      <w:r w:rsidRPr="009906AB">
        <w:rPr>
          <w:rFonts w:cs="Arial"/>
        </w:rPr>
        <w:t>The purpose of the embargo is to preserve future planning options in the defined frequency ranges for terrestrial mobile services.</w:t>
      </w:r>
    </w:p>
    <w:p w14:paraId="73DC3501" w14:textId="470B2BD0" w:rsidR="00715C3B" w:rsidRDefault="00DA7605" w:rsidP="00573393">
      <w:pPr>
        <w:widowControl w:val="0"/>
        <w:tabs>
          <w:tab w:val="left" w:pos="2268"/>
        </w:tabs>
        <w:rPr>
          <w:rFonts w:cs="Arial"/>
        </w:rPr>
      </w:pPr>
      <w:r>
        <w:rPr>
          <w:rFonts w:cs="Arial"/>
        </w:rPr>
        <w:t xml:space="preserve">The purpose of the January 2016 update is to facilitate </w:t>
      </w:r>
      <w:r w:rsidR="0075190F">
        <w:rPr>
          <w:rFonts w:cs="Arial"/>
        </w:rPr>
        <w:t>PTS</w:t>
      </w:r>
      <w:r>
        <w:rPr>
          <w:rFonts w:cs="Arial"/>
        </w:rPr>
        <w:t xml:space="preserve"> in remote Australia.</w:t>
      </w:r>
      <w:r w:rsidRPr="006D317F">
        <w:rPr>
          <w:rFonts w:cs="Arial"/>
        </w:rPr>
        <w:t xml:space="preserve"> </w:t>
      </w:r>
    </w:p>
    <w:p w14:paraId="29A6D588" w14:textId="77777777" w:rsidR="00DA7605" w:rsidRPr="005611C8" w:rsidRDefault="00DA7605" w:rsidP="00573393">
      <w:pPr>
        <w:widowControl w:val="0"/>
        <w:tabs>
          <w:tab w:val="left" w:pos="2268"/>
        </w:tabs>
        <w:rPr>
          <w:rFonts w:cstheme="minorHAnsi"/>
          <w:szCs w:val="20"/>
        </w:rPr>
      </w:pPr>
    </w:p>
    <w:p w14:paraId="6BF3955E" w14:textId="77777777" w:rsidR="00573393" w:rsidRPr="005611C8" w:rsidRDefault="00573393" w:rsidP="00573393">
      <w:pPr>
        <w:widowControl w:val="0"/>
        <w:tabs>
          <w:tab w:val="left" w:pos="2268"/>
        </w:tabs>
        <w:rPr>
          <w:rFonts w:cstheme="minorHAnsi"/>
          <w:b/>
          <w:szCs w:val="20"/>
        </w:rPr>
      </w:pPr>
      <w:r w:rsidRPr="005611C8">
        <w:rPr>
          <w:rFonts w:cstheme="minorHAnsi"/>
          <w:b/>
          <w:szCs w:val="20"/>
        </w:rPr>
        <w:t>COMMENTS</w:t>
      </w:r>
    </w:p>
    <w:p w14:paraId="4F7EDE97" w14:textId="74CDDB0F" w:rsidR="00DA7605" w:rsidRPr="009A1A11" w:rsidRDefault="00DA7605" w:rsidP="00DA7605">
      <w:pPr>
        <w:widowControl w:val="0"/>
        <w:tabs>
          <w:tab w:val="left" w:pos="2268"/>
        </w:tabs>
        <w:spacing w:after="120"/>
        <w:ind w:right="703"/>
        <w:rPr>
          <w:rFonts w:cs="Arial"/>
        </w:rPr>
      </w:pPr>
      <w:r>
        <w:rPr>
          <w:rFonts w:cs="Arial"/>
        </w:rPr>
        <w:t>C</w:t>
      </w:r>
      <w:r w:rsidRPr="009A1A11">
        <w:rPr>
          <w:rFonts w:cs="Arial"/>
        </w:rPr>
        <w:t>onsultation on the</w:t>
      </w:r>
      <w:r>
        <w:rPr>
          <w:rFonts w:cs="Arial"/>
        </w:rPr>
        <w:t xml:space="preserve"> use of the</w:t>
      </w:r>
      <w:r w:rsidRPr="009A1A11">
        <w:rPr>
          <w:rFonts w:cs="Arial"/>
        </w:rPr>
        <w:t xml:space="preserve"> band </w:t>
      </w:r>
      <w:r>
        <w:rPr>
          <w:rFonts w:cs="Arial"/>
        </w:rPr>
        <w:t>for PTS began</w:t>
      </w:r>
      <w:r w:rsidRPr="009A1A11">
        <w:rPr>
          <w:rFonts w:cs="Arial"/>
        </w:rPr>
        <w:t xml:space="preserve"> in 2012</w:t>
      </w:r>
      <w:r>
        <w:rPr>
          <w:rFonts w:cs="Arial"/>
        </w:rPr>
        <w:t xml:space="preserve"> see</w:t>
      </w:r>
      <w:r w:rsidRPr="009A1A11">
        <w:rPr>
          <w:rFonts w:cs="Arial"/>
        </w:rPr>
        <w:t xml:space="preserve">: </w:t>
      </w:r>
      <w:hyperlink r:id="rId5" w:history="1">
        <w:r w:rsidRPr="009A1A11">
          <w:rPr>
            <w:rStyle w:val="Hyperlink"/>
            <w:rFonts w:cs="Arial"/>
            <w:i/>
          </w:rPr>
          <w:t>1800 MHz: a shared strategy</w:t>
        </w:r>
      </w:hyperlink>
      <w:r w:rsidRPr="009A1A11">
        <w:rPr>
          <w:rFonts w:cs="Arial"/>
        </w:rPr>
        <w:t xml:space="preserve">. As a result of which, Apparatus Licences for </w:t>
      </w:r>
      <w:r w:rsidR="0075190F">
        <w:rPr>
          <w:rFonts w:cs="Arial"/>
        </w:rPr>
        <w:t>PTS</w:t>
      </w:r>
      <w:r w:rsidRPr="009A1A11">
        <w:rPr>
          <w:rFonts w:cs="Arial"/>
        </w:rPr>
        <w:t xml:space="preserve"> in the 18</w:t>
      </w:r>
      <w:r>
        <w:rPr>
          <w:rFonts w:cs="Arial"/>
        </w:rPr>
        <w:t>00</w:t>
      </w:r>
      <w:r w:rsidRPr="009A1A11">
        <w:rPr>
          <w:rFonts w:cs="Arial"/>
        </w:rPr>
        <w:t> </w:t>
      </w:r>
      <w:r>
        <w:rPr>
          <w:rFonts w:cs="Arial"/>
        </w:rPr>
        <w:t>M</w:t>
      </w:r>
      <w:r w:rsidRPr="009A1A11">
        <w:rPr>
          <w:rFonts w:cs="Arial"/>
        </w:rPr>
        <w:t xml:space="preserve">Hz </w:t>
      </w:r>
      <w:r>
        <w:rPr>
          <w:rFonts w:cs="Arial"/>
        </w:rPr>
        <w:t>B</w:t>
      </w:r>
      <w:r w:rsidRPr="009A1A11">
        <w:rPr>
          <w:rFonts w:cs="Arial"/>
        </w:rPr>
        <w:t>and in remote Australia are permitted.</w:t>
      </w:r>
      <w:r>
        <w:rPr>
          <w:rFonts w:cs="Arial"/>
        </w:rPr>
        <w:t xml:space="preserve"> Coordination and licensing procedures for Apparatus Licensed mobile services in the 1800 MHz Band are detailed in </w:t>
      </w:r>
      <w:hyperlink r:id="rId6" w:history="1">
        <w:r w:rsidRPr="001E338F">
          <w:rPr>
            <w:rStyle w:val="Hyperlink"/>
            <w:rFonts w:cs="Arial"/>
            <w:i/>
          </w:rPr>
          <w:t>RALI MS 34</w:t>
        </w:r>
      </w:hyperlink>
      <w:r>
        <w:rPr>
          <w:rFonts w:cs="Arial"/>
        </w:rPr>
        <w:t>.</w:t>
      </w:r>
    </w:p>
    <w:p w14:paraId="18B70EA2" w14:textId="77777777" w:rsidR="00715C3B" w:rsidRDefault="00715C3B" w:rsidP="00715C3B">
      <w:pPr>
        <w:widowControl w:val="0"/>
        <w:tabs>
          <w:tab w:val="left" w:pos="2268"/>
        </w:tabs>
        <w:spacing w:after="120"/>
        <w:ind w:right="703"/>
        <w:rPr>
          <w:rFonts w:cs="Arial"/>
        </w:rPr>
      </w:pPr>
    </w:p>
    <w:p w14:paraId="5E282469" w14:textId="77777777" w:rsidR="00573393" w:rsidRPr="005611C8" w:rsidRDefault="00573393" w:rsidP="00573393">
      <w:pPr>
        <w:widowControl w:val="0"/>
        <w:ind w:left="2268" w:hanging="2268"/>
        <w:rPr>
          <w:rFonts w:cstheme="minorHAnsi"/>
          <w:b/>
          <w:szCs w:val="20"/>
          <w:lang w:val="en-GB"/>
        </w:rPr>
      </w:pPr>
      <w:r w:rsidRPr="005611C8">
        <w:rPr>
          <w:rFonts w:cstheme="minorHAnsi"/>
          <w:b/>
          <w:szCs w:val="20"/>
          <w:lang w:val="en-GB"/>
        </w:rPr>
        <w:t>EMBARGO AUTHORISATION:</w:t>
      </w:r>
    </w:p>
    <w:p w14:paraId="4509C063" w14:textId="77777777" w:rsidR="00573393" w:rsidRPr="00AB4267" w:rsidRDefault="00573393" w:rsidP="00573393">
      <w:pPr>
        <w:ind w:left="2268" w:hanging="2268"/>
        <w:rPr>
          <w:rFonts w:cstheme="minorHAnsi"/>
          <w:szCs w:val="20"/>
        </w:rPr>
      </w:pPr>
    </w:p>
    <w:p w14:paraId="382BBD0B" w14:textId="5FC67E4C" w:rsidR="00573393" w:rsidRPr="00AB4267" w:rsidRDefault="00CD1B67" w:rsidP="00573393">
      <w:pPr>
        <w:ind w:left="2268" w:hanging="2268"/>
        <w:rPr>
          <w:rFonts w:cstheme="minorHAnsi"/>
          <w:szCs w:val="20"/>
        </w:rPr>
      </w:pPr>
      <w:r>
        <w:rPr>
          <w:rFonts w:cs="Calibri"/>
          <w:szCs w:val="20"/>
          <w:lang w:val="en-GB"/>
        </w:rPr>
        <w:t>Approved</w:t>
      </w:r>
      <w:r w:rsidR="00DA7605">
        <w:rPr>
          <w:rFonts w:cs="Calibri"/>
          <w:szCs w:val="20"/>
          <w:lang w:val="en-GB"/>
        </w:rPr>
        <w:tab/>
      </w:r>
      <w:r w:rsidR="00AB4267" w:rsidRPr="00AB4267">
        <w:rPr>
          <w:rFonts w:cstheme="minorHAnsi"/>
          <w:szCs w:val="20"/>
        </w:rPr>
        <w:t xml:space="preserve"> </w:t>
      </w:r>
      <w:r w:rsidR="00DA7605">
        <w:rPr>
          <w:rFonts w:cs="Calibri"/>
          <w:szCs w:val="20"/>
          <w:lang w:val="en-GB"/>
        </w:rPr>
        <w:t>12/01/2016</w:t>
      </w:r>
    </w:p>
    <w:p w14:paraId="793FE147" w14:textId="77777777" w:rsidR="00715C3B" w:rsidRPr="00AB4267" w:rsidRDefault="00715C3B" w:rsidP="00573393">
      <w:pPr>
        <w:ind w:left="2268" w:hanging="2268"/>
        <w:rPr>
          <w:rFonts w:cstheme="minorHAnsi"/>
          <w:szCs w:val="20"/>
        </w:rPr>
      </w:pPr>
    </w:p>
    <w:p w14:paraId="5EC2DE1C" w14:textId="74CFB9F3" w:rsidR="00AB4267" w:rsidRPr="00AB4267" w:rsidRDefault="00AB4267" w:rsidP="00573393">
      <w:pPr>
        <w:ind w:left="2268" w:hanging="2268"/>
        <w:rPr>
          <w:rFonts w:cstheme="minorHAnsi"/>
          <w:szCs w:val="20"/>
        </w:rPr>
      </w:pPr>
      <w:r w:rsidRPr="00AB4267">
        <w:rPr>
          <w:rFonts w:cstheme="minorHAnsi"/>
          <w:szCs w:val="20"/>
        </w:rPr>
        <w:t>Mark Arkell</w:t>
      </w:r>
    </w:p>
    <w:p w14:paraId="7BF804C2" w14:textId="77777777" w:rsidR="00573393" w:rsidRPr="001429FC" w:rsidRDefault="00573393" w:rsidP="00573393">
      <w:pPr>
        <w:ind w:left="2268" w:hanging="2268"/>
        <w:rPr>
          <w:rFonts w:cstheme="minorHAnsi"/>
          <w:szCs w:val="20"/>
        </w:rPr>
      </w:pPr>
      <w:r w:rsidRPr="005611C8">
        <w:rPr>
          <w:rFonts w:cstheme="minorHAnsi"/>
          <w:szCs w:val="20"/>
        </w:rPr>
        <w:t>Manager</w:t>
      </w:r>
    </w:p>
    <w:p w14:paraId="74DB8853" w14:textId="77777777" w:rsidR="00573393" w:rsidRPr="001429FC" w:rsidRDefault="00573393" w:rsidP="00573393">
      <w:pPr>
        <w:ind w:left="2268" w:hanging="2268"/>
        <w:rPr>
          <w:rFonts w:cstheme="minorHAnsi"/>
          <w:szCs w:val="20"/>
        </w:rPr>
      </w:pPr>
      <w:r>
        <w:rPr>
          <w:rFonts w:cstheme="minorHAnsi"/>
          <w:szCs w:val="20"/>
        </w:rPr>
        <w:t>Spectrum Engineering</w:t>
      </w:r>
    </w:p>
    <w:p w14:paraId="2509DBA7" w14:textId="77777777" w:rsidR="00573393" w:rsidRPr="001429FC" w:rsidRDefault="00573393" w:rsidP="00573393">
      <w:pPr>
        <w:ind w:left="2268" w:hanging="2268"/>
        <w:rPr>
          <w:rFonts w:asciiTheme="minorHAnsi" w:hAnsiTheme="minorHAnsi" w:cstheme="minorHAnsi"/>
          <w:szCs w:val="20"/>
        </w:rPr>
      </w:pPr>
      <w:r w:rsidRPr="001429FC">
        <w:rPr>
          <w:rFonts w:cstheme="minorHAnsi"/>
          <w:szCs w:val="20"/>
        </w:rPr>
        <w:t>Australian Communications and Media Authority</w:t>
      </w:r>
    </w:p>
    <w:p w14:paraId="063C671E" w14:textId="79F4974F" w:rsidR="000D36BC" w:rsidRDefault="000D36BC">
      <w:pPr>
        <w:spacing w:after="200" w:line="276" w:lineRule="auto"/>
      </w:pPr>
      <w:r>
        <w:br w:type="page"/>
      </w:r>
    </w:p>
    <w:p w14:paraId="3A9BFC12" w14:textId="77777777" w:rsidR="000D36BC" w:rsidRPr="009906AB" w:rsidRDefault="000D36BC" w:rsidP="000D36BC">
      <w:pPr>
        <w:tabs>
          <w:tab w:val="left" w:pos="2268"/>
        </w:tabs>
        <w:ind w:left="2268" w:right="566" w:hanging="2268"/>
        <w:rPr>
          <w:rFonts w:cs="Arial"/>
          <w:b/>
        </w:rPr>
      </w:pPr>
      <w:r>
        <w:rPr>
          <w:rFonts w:cs="Arial"/>
          <w:b/>
          <w:lang w:val="en-GB"/>
        </w:rPr>
        <w:lastRenderedPageBreak/>
        <w:t>ATTACHEMENT 1:</w:t>
      </w:r>
    </w:p>
    <w:p w14:paraId="0D222292" w14:textId="77777777" w:rsidR="000D36BC" w:rsidRDefault="000D36BC" w:rsidP="000D36BC">
      <w:pPr>
        <w:rPr>
          <w:rFonts w:cs="Arial"/>
        </w:rPr>
      </w:pPr>
    </w:p>
    <w:p w14:paraId="71950152" w14:textId="1F96088C" w:rsidR="000D36BC" w:rsidRDefault="000D36BC" w:rsidP="000D36BC">
      <w:pPr>
        <w:rPr>
          <w:rFonts w:cs="Arial"/>
        </w:rPr>
      </w:pPr>
      <w:r>
        <w:rPr>
          <w:rFonts w:cs="Arial"/>
        </w:rPr>
        <w:t xml:space="preserve">Apparatus Licences for </w:t>
      </w:r>
      <w:r w:rsidR="00C17A10">
        <w:rPr>
          <w:rFonts w:cs="Arial"/>
        </w:rPr>
        <w:t>PTS</w:t>
      </w:r>
      <w:r>
        <w:rPr>
          <w:rFonts w:cs="Arial"/>
        </w:rPr>
        <w:t xml:space="preserve"> are permitted</w:t>
      </w:r>
      <w:r w:rsidR="00B266BF">
        <w:rPr>
          <w:rFonts w:cs="Arial"/>
        </w:rPr>
        <w:t xml:space="preserve"> outside the area </w:t>
      </w:r>
      <w:r w:rsidR="00B266BF">
        <w:rPr>
          <w:rFonts w:cs="Arial"/>
        </w:rPr>
        <w:t>described by the following HCIS</w:t>
      </w:r>
      <w:r w:rsidR="00B266BF">
        <w:rPr>
          <w:rFonts w:cs="Arial"/>
        </w:rPr>
        <w:t>:</w:t>
      </w:r>
    </w:p>
    <w:p w14:paraId="7C608F29" w14:textId="77777777" w:rsidR="000D36BC" w:rsidRDefault="000D36BC" w:rsidP="000D36BC">
      <w:pPr>
        <w:rPr>
          <w:rFonts w:cs="Arial"/>
        </w:rPr>
      </w:pPr>
    </w:p>
    <w:p w14:paraId="6B0E8704" w14:textId="64AF7551" w:rsidR="000D36BC" w:rsidRDefault="001C48EB" w:rsidP="000D36BC">
      <w:r>
        <w:t>BV, IW, LX, LY, MW, NT, NU, AU9, AV9, AW3, BU7, BU8, BU9, BW1, BW2, BW3, BW5, BW6, CV4, CV7, CW1, CW4, GV1, GV2, GV3, GV6, HV1, HV2, HV4, HV5, HV6, HV8, HV9, HW3, HW6, IV4, IV5, IV6, IV7, IV8, IV9, JV4, JV5, JV7, JV8, JW1, JW2, JW4, JW5, JW6, JW7, JW8, JW9, JX1, JX2, JX3, JX5, JX6, KW4, KW5, KW6, KW7, KW8, KW9, KX1, KX2, KX3, KX4, KX5, KX6, KX8, KX9, KY2, KY3, KY6, LQ1, LQ2, LQ4, LQ5, LQ7, LQ8, LR2, LR3, LR5, LR6, LV9, LW2, LW3, LW4, LW5, LW6, LW7, LW8, LW9, LZ1, LZ2, LZ3, MR1, MR4, MR5, MR7, MR8, MR9, MS1, MS2, MS3, MS4, MS5, MS6, MS8, MS9, MT3, MT6, MT9, MU3, MU5, MU6, MU8, MU9, MV2, MV3, MV4, MV5, MV6, MV7, MV8, MV9, MX1, MX2, MX3, MX4, MX7, MY1, MY4, MY7, MZ1, NS4, NS7, NS8, NS9, NV1, NV2, NV3, NV4, NV5, NV7, NW1, GO7C, GO7D, GO7G, GO7H, GO7K, GO7L, GO8A, GO8E, GO8I</w:t>
      </w:r>
      <w:bookmarkStart w:id="0" w:name="_GoBack"/>
      <w:bookmarkEnd w:id="0"/>
    </w:p>
    <w:p w14:paraId="3A349FE9" w14:textId="77777777" w:rsidR="001C48EB" w:rsidRDefault="001C48EB" w:rsidP="000D36BC">
      <w:pPr>
        <w:rPr>
          <w:rFonts w:cs="Arial"/>
        </w:rPr>
      </w:pPr>
    </w:p>
    <w:p w14:paraId="275E97D8" w14:textId="77777777" w:rsidR="000D36BC" w:rsidRDefault="000D36BC" w:rsidP="000D36BC">
      <w:pPr>
        <w:rPr>
          <w:rFonts w:cs="Arial"/>
        </w:rPr>
      </w:pPr>
      <w:r w:rsidRPr="00EC648F">
        <w:rPr>
          <w:rFonts w:cs="Arial"/>
        </w:rPr>
        <w:t>The HCIS is described in the Australian Spectrum Map Grid 2012. The Australian Spectrum Map</w:t>
      </w:r>
      <w:r>
        <w:rPr>
          <w:rFonts w:cs="Arial"/>
        </w:rPr>
        <w:t xml:space="preserve"> </w:t>
      </w:r>
      <w:r w:rsidRPr="00EC648F">
        <w:rPr>
          <w:rFonts w:cs="Arial"/>
        </w:rPr>
        <w:t xml:space="preserve">Grid 2012 is available on the ACMA website at: </w:t>
      </w:r>
      <w:hyperlink r:id="rId7" w:history="1">
        <w:r w:rsidRPr="00AD675F">
          <w:rPr>
            <w:rStyle w:val="Hyperlink"/>
            <w:rFonts w:cs="Arial"/>
            <w:i/>
          </w:rPr>
          <w:t>www.acma.gov.au</w:t>
        </w:r>
      </w:hyperlink>
      <w:r w:rsidRPr="00EC648F">
        <w:rPr>
          <w:rFonts w:cs="Arial"/>
        </w:rPr>
        <w:t>.</w:t>
      </w:r>
    </w:p>
    <w:p w14:paraId="375DB9EB" w14:textId="77777777" w:rsidR="00FB4951" w:rsidRDefault="00FB4951"/>
    <w:sectPr w:rsidR="00FB4951" w:rsidSect="00FB4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93"/>
    <w:rsid w:val="0004680A"/>
    <w:rsid w:val="00065329"/>
    <w:rsid w:val="00081190"/>
    <w:rsid w:val="000C638E"/>
    <w:rsid w:val="000D36BC"/>
    <w:rsid w:val="00144EA0"/>
    <w:rsid w:val="00192CAA"/>
    <w:rsid w:val="001C48EB"/>
    <w:rsid w:val="001C632E"/>
    <w:rsid w:val="001F39B8"/>
    <w:rsid w:val="00211AAF"/>
    <w:rsid w:val="00386B29"/>
    <w:rsid w:val="0039223B"/>
    <w:rsid w:val="003D1119"/>
    <w:rsid w:val="003D21C5"/>
    <w:rsid w:val="004520BC"/>
    <w:rsid w:val="004610A9"/>
    <w:rsid w:val="0046663B"/>
    <w:rsid w:val="004A4FE0"/>
    <w:rsid w:val="004F5AD8"/>
    <w:rsid w:val="00550E6D"/>
    <w:rsid w:val="005611C8"/>
    <w:rsid w:val="00573393"/>
    <w:rsid w:val="005E05E5"/>
    <w:rsid w:val="005F3AD2"/>
    <w:rsid w:val="00600A9D"/>
    <w:rsid w:val="00620495"/>
    <w:rsid w:val="00632E40"/>
    <w:rsid w:val="006819E8"/>
    <w:rsid w:val="006E7E6C"/>
    <w:rsid w:val="006F5BC5"/>
    <w:rsid w:val="00715C3B"/>
    <w:rsid w:val="0075190F"/>
    <w:rsid w:val="00772F32"/>
    <w:rsid w:val="00850553"/>
    <w:rsid w:val="008B0A61"/>
    <w:rsid w:val="008B54B1"/>
    <w:rsid w:val="008F7DBC"/>
    <w:rsid w:val="00930CF7"/>
    <w:rsid w:val="00982460"/>
    <w:rsid w:val="009900DD"/>
    <w:rsid w:val="00990787"/>
    <w:rsid w:val="009B7B58"/>
    <w:rsid w:val="009E0ABC"/>
    <w:rsid w:val="00A2398C"/>
    <w:rsid w:val="00A43732"/>
    <w:rsid w:val="00A7214B"/>
    <w:rsid w:val="00AB4267"/>
    <w:rsid w:val="00AD675F"/>
    <w:rsid w:val="00B266BF"/>
    <w:rsid w:val="00B6510B"/>
    <w:rsid w:val="00B95887"/>
    <w:rsid w:val="00BD41BE"/>
    <w:rsid w:val="00C11D71"/>
    <w:rsid w:val="00C17A10"/>
    <w:rsid w:val="00C40B1C"/>
    <w:rsid w:val="00CC7AB6"/>
    <w:rsid w:val="00CD1B67"/>
    <w:rsid w:val="00CD6BA0"/>
    <w:rsid w:val="00D47B86"/>
    <w:rsid w:val="00DA7605"/>
    <w:rsid w:val="00E37A92"/>
    <w:rsid w:val="00EA7701"/>
    <w:rsid w:val="00EA7CE7"/>
    <w:rsid w:val="00EB674B"/>
    <w:rsid w:val="00EC1006"/>
    <w:rsid w:val="00F41B5E"/>
    <w:rsid w:val="00F65B7F"/>
    <w:rsid w:val="00FB4951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9726"/>
  <w15:docId w15:val="{A304E846-934C-4857-B29D-7E45BBA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93"/>
    <w:pPr>
      <w:spacing w:after="0" w:line="240" w:lineRule="atLeast"/>
    </w:pPr>
    <w:rPr>
      <w:rFonts w:ascii="HelveticaNeueLT Std Lt" w:eastAsia="Times New Roman" w:hAnsi="HelveticaNeueLT Std Lt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06"/>
    <w:pPr>
      <w:spacing w:after="200" w:line="240" w:lineRule="auto"/>
      <w:ind w:left="720"/>
      <w:contextualSpacing/>
    </w:pPr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EmbargoHeading">
    <w:name w:val="Embargo Heading"/>
    <w:basedOn w:val="Normal"/>
    <w:qFormat/>
    <w:rsid w:val="00573393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 w:themeFill="background1" w:themeFillShade="D9"/>
      <w:jc w:val="center"/>
    </w:pPr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5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B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B7F"/>
    <w:rPr>
      <w:rFonts w:ascii="HelveticaNeueLT Std Lt" w:eastAsia="Times New Roman" w:hAnsi="HelveticaNeueLT Std Lt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B7F"/>
    <w:rPr>
      <w:rFonts w:ascii="HelveticaNeueLT Std Lt" w:eastAsia="Times New Roman" w:hAnsi="HelveticaNeueLT Std Lt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F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rsid w:val="00E37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ma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ma.gov.au/Industry/Spectrum/Spectrum-planning/Frequency-assignment-and-coordination/frequency-assignment-requirements-spectrum-planning-acma" TargetMode="External"/><Relationship Id="rId5" Type="http://schemas.openxmlformats.org/officeDocument/2006/relationships/hyperlink" Target="http://www.acma.gov.au/Industry/Spectrum/Spectrum-projects/1800-MHz-band/1800-mhz---a-shared-strateg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46FB-7258-4564-AC71-35AD2871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Gellatly</dc:creator>
  <cp:lastModifiedBy>David Goggin</cp:lastModifiedBy>
  <cp:revision>10</cp:revision>
  <cp:lastPrinted>2014-05-08T00:12:00Z</cp:lastPrinted>
  <dcterms:created xsi:type="dcterms:W3CDTF">2014-08-28T01:31:00Z</dcterms:created>
  <dcterms:modified xsi:type="dcterms:W3CDTF">2016-01-11T04:41:00Z</dcterms:modified>
</cp:coreProperties>
</file>