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CF84B" w14:textId="179CD60D" w:rsidR="00F06E14" w:rsidRPr="00A51D1A" w:rsidRDefault="00D03DDE" w:rsidP="00A51D1A">
      <w:pPr>
        <w:pStyle w:val="ACMAReportTitle"/>
      </w:pPr>
      <w:r>
        <w:t>U</w:t>
      </w:r>
      <w:r w:rsidR="004C3A76">
        <w:t>pdat</w:t>
      </w:r>
      <w:r w:rsidR="00C248AC">
        <w:t>e</w:t>
      </w:r>
      <w:r w:rsidR="004C3A76">
        <w:t xml:space="preserve"> </w:t>
      </w:r>
      <w:r w:rsidR="00C248AC">
        <w:t xml:space="preserve">to </w:t>
      </w:r>
      <w:r w:rsidR="004C3A76">
        <w:t xml:space="preserve">the </w:t>
      </w:r>
      <w:r w:rsidR="004C3A76" w:rsidRPr="002A1150">
        <w:t>Australian Radiofrequency Spectrum Plan</w:t>
      </w:r>
    </w:p>
    <w:p w14:paraId="4A4E47D0" w14:textId="1140A1A5" w:rsidR="00F06E14" w:rsidRDefault="00D03DDE" w:rsidP="00F06E14">
      <w:pPr>
        <w:pStyle w:val="ACMAReportSubTitle"/>
      </w:pPr>
      <w:r>
        <w:t>Summary of and response to submissions</w:t>
      </w:r>
    </w:p>
    <w:p w14:paraId="3825C610" w14:textId="7C9C75D3" w:rsidR="00F06E14" w:rsidRDefault="00D03DDE" w:rsidP="00D47AEB">
      <w:pPr>
        <w:pStyle w:val="ACMAReportDate"/>
        <w:spacing w:after="720"/>
      </w:pPr>
      <w:r>
        <w:t xml:space="preserve">December </w:t>
      </w:r>
      <w:r w:rsidR="004C3A76">
        <w:t>2016</w:t>
      </w:r>
    </w:p>
    <w:p w14:paraId="1C2C22F0" w14:textId="77777777" w:rsidR="00C97736" w:rsidRPr="000D76E0" w:rsidRDefault="00C97736" w:rsidP="0041071D">
      <w:pPr>
        <w:rPr>
          <w:rFonts w:cs="Arial"/>
        </w:rPr>
      </w:pPr>
    </w:p>
    <w:p w14:paraId="644523D5" w14:textId="77777777" w:rsidR="00C97736" w:rsidRPr="000D76E0" w:rsidRDefault="00C97736" w:rsidP="0041071D">
      <w:pPr>
        <w:rPr>
          <w:rFonts w:cs="Arial"/>
        </w:rPr>
        <w:sectPr w:rsidR="00C97736" w:rsidRPr="000D76E0" w:rsidSect="004F556E">
          <w:headerReference w:type="even" r:id="rId8"/>
          <w:headerReference w:type="default" r:id="rId9"/>
          <w:footerReference w:type="even" r:id="rId10"/>
          <w:footerReference w:type="default" r:id="rId11"/>
          <w:headerReference w:type="first" r:id="rId12"/>
          <w:footerReference w:type="first" r:id="rId13"/>
          <w:pgSz w:w="11906" w:h="16838" w:code="9"/>
          <w:pgMar w:top="3924" w:right="1797" w:bottom="1440" w:left="1134" w:header="709" w:footer="454" w:gutter="0"/>
          <w:cols w:space="708"/>
          <w:docGrid w:linePitch="360"/>
        </w:sectPr>
      </w:pPr>
    </w:p>
    <w:p w14:paraId="4B7C89A1" w14:textId="77777777" w:rsidR="0005011A" w:rsidRPr="00F44F3A" w:rsidRDefault="0005011A" w:rsidP="00FC07B9">
      <w:pPr>
        <w:pStyle w:val="ACMACorporateAddressHeader"/>
      </w:pPr>
      <w:r w:rsidRPr="00F44F3A">
        <w:lastRenderedPageBreak/>
        <w:t>Canberra</w:t>
      </w:r>
    </w:p>
    <w:p w14:paraId="03B8CADF"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634B7745" w14:textId="77777777" w:rsidR="0005011A" w:rsidRPr="00FC07B9" w:rsidRDefault="0005011A" w:rsidP="00FC07B9">
      <w:pPr>
        <w:pStyle w:val="ACMACorporateAddresses"/>
      </w:pPr>
      <w:r w:rsidRPr="00FC07B9">
        <w:t>PO Box 78</w:t>
      </w:r>
      <w:r w:rsidRPr="00FC07B9">
        <w:br/>
        <w:t>Belconnen ACT 2616</w:t>
      </w:r>
    </w:p>
    <w:p w14:paraId="612B7CFD"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5C66D777" w14:textId="77777777" w:rsidR="0005011A" w:rsidRPr="00F44F3A" w:rsidRDefault="0005011A" w:rsidP="00FC07B9">
      <w:pPr>
        <w:pStyle w:val="ACMACorporateAddressHeader"/>
      </w:pPr>
      <w:r w:rsidRPr="00F44F3A">
        <w:t>Melbourne</w:t>
      </w:r>
    </w:p>
    <w:p w14:paraId="7064DD19"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6883055C"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05718F3D"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7090D174" w14:textId="77777777" w:rsidR="0005011A" w:rsidRPr="00F44F3A" w:rsidRDefault="0005011A" w:rsidP="00FC07B9">
      <w:pPr>
        <w:pStyle w:val="ACMACorporateAddressHeader"/>
      </w:pPr>
      <w:r w:rsidRPr="00F44F3A">
        <w:t>Sydney</w:t>
      </w:r>
    </w:p>
    <w:p w14:paraId="7EC0351D" w14:textId="77777777" w:rsidR="0005011A" w:rsidRPr="00F44F3A" w:rsidRDefault="0005011A" w:rsidP="00FC07B9">
      <w:pPr>
        <w:pStyle w:val="ACMACorporateAddresses"/>
      </w:pPr>
      <w:r w:rsidRPr="00F44F3A">
        <w:t xml:space="preserve">Level 5 </w:t>
      </w:r>
      <w:r w:rsidRPr="00F44F3A">
        <w:br/>
      </w:r>
      <w:proofErr w:type="gramStart"/>
      <w:r w:rsidRPr="00F44F3A">
        <w:t>The</w:t>
      </w:r>
      <w:proofErr w:type="gramEnd"/>
      <w:r w:rsidRPr="00F44F3A">
        <w:t xml:space="preserve"> Bay Centre</w:t>
      </w:r>
      <w:r w:rsidRPr="00F44F3A">
        <w:br/>
        <w:t xml:space="preserve">65 Pirrama Road </w:t>
      </w:r>
      <w:r w:rsidRPr="00F44F3A">
        <w:br/>
        <w:t>Pyrmont NSW</w:t>
      </w:r>
    </w:p>
    <w:p w14:paraId="2EC2A1FB"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7BCCEB2E"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7F672B1C" w14:textId="77777777" w:rsidR="00140318" w:rsidRPr="006D46E5" w:rsidRDefault="00140318" w:rsidP="00FC07B9">
      <w:pPr>
        <w:pStyle w:val="ACMACopyrightHeader"/>
      </w:pPr>
      <w:r w:rsidRPr="00140318">
        <w:t>Copyright notice</w:t>
      </w:r>
    </w:p>
    <w:p w14:paraId="33EDC47D" w14:textId="77777777" w:rsidR="00140318" w:rsidRPr="006D46E5" w:rsidRDefault="00623FF9" w:rsidP="00623FF9">
      <w:pPr>
        <w:pStyle w:val="ACMACClogo"/>
      </w:pPr>
      <w:r w:rsidRPr="00623FF9">
        <w:rPr>
          <w:noProof/>
        </w:rPr>
        <w:drawing>
          <wp:inline distT="0" distB="0" distL="0" distR="0" wp14:anchorId="1BA2FD30" wp14:editId="56D7CBF7">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4397B7DE" w14:textId="77777777" w:rsidR="00140318" w:rsidRPr="00431792" w:rsidRDefault="00B21416" w:rsidP="00FC07B9">
      <w:pPr>
        <w:pStyle w:val="ACMACorporateAddresses"/>
        <w:rPr>
          <w:rStyle w:val="Hyperlink"/>
        </w:rPr>
      </w:pPr>
      <w:hyperlink r:id="rId16" w:tooltip="Creative Commons Licenses" w:history="1">
        <w:r w:rsidR="00140318" w:rsidRPr="00431792">
          <w:rPr>
            <w:rStyle w:val="Hyperlink"/>
          </w:rPr>
          <w:t>http://creativecommons.org/licenses/by/3.0/au/</w:t>
        </w:r>
      </w:hyperlink>
    </w:p>
    <w:p w14:paraId="2E758BED"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6E85D97D" w14:textId="77777777" w:rsidR="00140318" w:rsidRPr="006D46E5" w:rsidRDefault="00C34A05" w:rsidP="00FC07B9">
      <w:pPr>
        <w:pStyle w:val="ACMACorporateAddresses"/>
      </w:pPr>
      <w:r>
        <w:t>We request attribution as</w:t>
      </w:r>
      <w:r w:rsidR="00140318" w:rsidRPr="006D46E5">
        <w:t xml:space="preserve"> © Commonwealth of Australia (Australian Communic</w:t>
      </w:r>
      <w:r w:rsidR="00B6003C">
        <w:t>ations and Media Authority) 2016</w:t>
      </w:r>
      <w:r w:rsidR="00140318" w:rsidRPr="006D46E5">
        <w:t>.</w:t>
      </w:r>
    </w:p>
    <w:p w14:paraId="1FF57AD0" w14:textId="77777777" w:rsidR="00140318" w:rsidRPr="006D46E5" w:rsidRDefault="00140318" w:rsidP="00FC07B9">
      <w:pPr>
        <w:pStyle w:val="ACMACorporateAddresses"/>
      </w:pPr>
      <w:r>
        <w:t>All other rights are reserved.</w:t>
      </w:r>
    </w:p>
    <w:p w14:paraId="27752E58"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57FA2F6" w14:textId="77777777" w:rsidR="00140318" w:rsidRPr="006D46E5" w:rsidRDefault="00140318" w:rsidP="00FC07B9">
      <w:pPr>
        <w:pStyle w:val="ACMACorporateAddresses"/>
      </w:pPr>
      <w:r w:rsidRPr="006D46E5">
        <w:t>Written enquiries may be sent to:</w:t>
      </w:r>
    </w:p>
    <w:p w14:paraId="1C9B8BAA"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7" w:history="1">
        <w:r w:rsidRPr="00431792">
          <w:rPr>
            <w:rStyle w:val="Hyperlink"/>
          </w:rPr>
          <w:t>candinfo@acma.gov.au</w:t>
        </w:r>
      </w:hyperlink>
    </w:p>
    <w:p w14:paraId="1649B980" w14:textId="77777777" w:rsidR="00D16FE3" w:rsidRDefault="00D16FE3" w:rsidP="00D16FE3">
      <w:pPr>
        <w:pStyle w:val="ACMACorporateAddresses"/>
        <w:rPr>
          <w:rStyle w:val="Hyperlink"/>
        </w:rPr>
      </w:pPr>
    </w:p>
    <w:p w14:paraId="255E1494" w14:textId="77777777" w:rsidR="00D16FE3" w:rsidRPr="00D16FE3" w:rsidRDefault="00D16FE3" w:rsidP="00D16FE3">
      <w:pPr>
        <w:pStyle w:val="ACMACorporateAddresses"/>
        <w:sectPr w:rsidR="00D16FE3" w:rsidRPr="00D16FE3">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bookmarkStart w:id="0" w:name="_GoBack"/>
    <w:bookmarkEnd w:id="0"/>
    <w:p w14:paraId="1E4A3A63" w14:textId="77777777" w:rsidR="00B21416" w:rsidRDefault="00D045FF">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\t "ACMA_ExecSummaryHeading,1" </w:instrText>
      </w:r>
      <w:r>
        <w:rPr>
          <w:rFonts w:cs="Arial"/>
        </w:rPr>
        <w:fldChar w:fldCharType="separate"/>
      </w:r>
      <w:hyperlink w:anchor="_Toc470162665" w:history="1">
        <w:r w:rsidR="00B21416" w:rsidRPr="005F75F5">
          <w:rPr>
            <w:rStyle w:val="Hyperlink"/>
          </w:rPr>
          <w:t>Introduction</w:t>
        </w:r>
        <w:r w:rsidR="00B21416">
          <w:rPr>
            <w:webHidden/>
          </w:rPr>
          <w:tab/>
        </w:r>
        <w:r w:rsidR="00B21416">
          <w:rPr>
            <w:webHidden/>
          </w:rPr>
          <w:fldChar w:fldCharType="begin"/>
        </w:r>
        <w:r w:rsidR="00B21416">
          <w:rPr>
            <w:webHidden/>
          </w:rPr>
          <w:instrText xml:space="preserve"> PAGEREF _Toc470162665 \h </w:instrText>
        </w:r>
        <w:r w:rsidR="00B21416">
          <w:rPr>
            <w:webHidden/>
          </w:rPr>
        </w:r>
        <w:r w:rsidR="00B21416">
          <w:rPr>
            <w:webHidden/>
          </w:rPr>
          <w:fldChar w:fldCharType="separate"/>
        </w:r>
        <w:r w:rsidR="00B21416">
          <w:rPr>
            <w:webHidden/>
          </w:rPr>
          <w:t>1</w:t>
        </w:r>
        <w:r w:rsidR="00B21416">
          <w:rPr>
            <w:webHidden/>
          </w:rPr>
          <w:fldChar w:fldCharType="end"/>
        </w:r>
      </w:hyperlink>
    </w:p>
    <w:p w14:paraId="20AEB3CB" w14:textId="77777777" w:rsidR="00B21416" w:rsidRDefault="00B21416">
      <w:pPr>
        <w:pStyle w:val="TOC1"/>
        <w:rPr>
          <w:rFonts w:asciiTheme="minorHAnsi" w:eastAsiaTheme="minorEastAsia" w:hAnsiTheme="minorHAnsi" w:cstheme="minorBidi"/>
          <w:b w:val="0"/>
          <w:spacing w:val="0"/>
          <w:sz w:val="22"/>
          <w:szCs w:val="22"/>
        </w:rPr>
      </w:pPr>
      <w:hyperlink w:anchor="_Toc470162666" w:history="1">
        <w:r w:rsidRPr="005F75F5">
          <w:rPr>
            <w:rStyle w:val="Hyperlink"/>
          </w:rPr>
          <w:t>Responses to submissions</w:t>
        </w:r>
        <w:r>
          <w:rPr>
            <w:webHidden/>
          </w:rPr>
          <w:tab/>
        </w:r>
        <w:r>
          <w:rPr>
            <w:webHidden/>
          </w:rPr>
          <w:fldChar w:fldCharType="begin"/>
        </w:r>
        <w:r>
          <w:rPr>
            <w:webHidden/>
          </w:rPr>
          <w:instrText xml:space="preserve"> PAGEREF _Toc470162666 \h </w:instrText>
        </w:r>
        <w:r>
          <w:rPr>
            <w:webHidden/>
          </w:rPr>
        </w:r>
        <w:r>
          <w:rPr>
            <w:webHidden/>
          </w:rPr>
          <w:fldChar w:fldCharType="separate"/>
        </w:r>
        <w:r>
          <w:rPr>
            <w:webHidden/>
          </w:rPr>
          <w:t>2</w:t>
        </w:r>
        <w:r>
          <w:rPr>
            <w:webHidden/>
          </w:rPr>
          <w:fldChar w:fldCharType="end"/>
        </w:r>
      </w:hyperlink>
    </w:p>
    <w:p w14:paraId="693445B1" w14:textId="77777777" w:rsidR="00B21416" w:rsidRDefault="00B21416">
      <w:pPr>
        <w:pStyle w:val="TOC2"/>
        <w:rPr>
          <w:rFonts w:asciiTheme="minorHAnsi" w:eastAsiaTheme="minorEastAsia" w:hAnsiTheme="minorHAnsi" w:cstheme="minorBidi"/>
          <w:spacing w:val="0"/>
          <w:sz w:val="22"/>
          <w:szCs w:val="22"/>
        </w:rPr>
      </w:pPr>
      <w:hyperlink w:anchor="_Toc470162667" w:history="1">
        <w:r w:rsidRPr="005F75F5">
          <w:rPr>
            <w:rStyle w:val="Hyperlink"/>
          </w:rPr>
          <w:t>General comments</w:t>
        </w:r>
        <w:r>
          <w:rPr>
            <w:webHidden/>
          </w:rPr>
          <w:tab/>
        </w:r>
        <w:r>
          <w:rPr>
            <w:webHidden/>
          </w:rPr>
          <w:fldChar w:fldCharType="begin"/>
        </w:r>
        <w:r>
          <w:rPr>
            <w:webHidden/>
          </w:rPr>
          <w:instrText xml:space="preserve"> PAGEREF _Toc470162667 \h </w:instrText>
        </w:r>
        <w:r>
          <w:rPr>
            <w:webHidden/>
          </w:rPr>
        </w:r>
        <w:r>
          <w:rPr>
            <w:webHidden/>
          </w:rPr>
          <w:fldChar w:fldCharType="separate"/>
        </w:r>
        <w:r>
          <w:rPr>
            <w:webHidden/>
          </w:rPr>
          <w:t>2</w:t>
        </w:r>
        <w:r>
          <w:rPr>
            <w:webHidden/>
          </w:rPr>
          <w:fldChar w:fldCharType="end"/>
        </w:r>
      </w:hyperlink>
    </w:p>
    <w:p w14:paraId="15627411" w14:textId="77777777" w:rsidR="00B21416" w:rsidRDefault="00B21416">
      <w:pPr>
        <w:pStyle w:val="TOC2"/>
        <w:rPr>
          <w:rFonts w:asciiTheme="minorHAnsi" w:eastAsiaTheme="minorEastAsia" w:hAnsiTheme="minorHAnsi" w:cstheme="minorBidi"/>
          <w:spacing w:val="0"/>
          <w:sz w:val="22"/>
          <w:szCs w:val="22"/>
        </w:rPr>
      </w:pPr>
      <w:hyperlink w:anchor="_Toc470162668" w:history="1">
        <w:r w:rsidRPr="005F75F5">
          <w:rPr>
            <w:rStyle w:val="Hyperlink"/>
          </w:rPr>
          <w:t>Chapter 1—General information</w:t>
        </w:r>
        <w:r>
          <w:rPr>
            <w:webHidden/>
          </w:rPr>
          <w:tab/>
        </w:r>
        <w:r>
          <w:rPr>
            <w:webHidden/>
          </w:rPr>
          <w:fldChar w:fldCharType="begin"/>
        </w:r>
        <w:r>
          <w:rPr>
            <w:webHidden/>
          </w:rPr>
          <w:instrText xml:space="preserve"> PAGEREF _Toc470162668 \h </w:instrText>
        </w:r>
        <w:r>
          <w:rPr>
            <w:webHidden/>
          </w:rPr>
        </w:r>
        <w:r>
          <w:rPr>
            <w:webHidden/>
          </w:rPr>
          <w:fldChar w:fldCharType="separate"/>
        </w:r>
        <w:r>
          <w:rPr>
            <w:webHidden/>
          </w:rPr>
          <w:t>2</w:t>
        </w:r>
        <w:r>
          <w:rPr>
            <w:webHidden/>
          </w:rPr>
          <w:fldChar w:fldCharType="end"/>
        </w:r>
      </w:hyperlink>
    </w:p>
    <w:p w14:paraId="7D0B5EB4" w14:textId="77777777" w:rsidR="00B21416" w:rsidRDefault="00B21416">
      <w:pPr>
        <w:pStyle w:val="TOC3"/>
        <w:rPr>
          <w:rFonts w:asciiTheme="minorHAnsi" w:eastAsiaTheme="minorEastAsia" w:hAnsiTheme="minorHAnsi" w:cstheme="minorBidi"/>
        </w:rPr>
      </w:pPr>
      <w:hyperlink w:anchor="_Toc470162669" w:history="1">
        <w:r w:rsidRPr="005F75F5">
          <w:rPr>
            <w:rStyle w:val="Hyperlink"/>
          </w:rPr>
          <w:t xml:space="preserve">Changes to </w:t>
        </w:r>
        <w:r w:rsidRPr="005F75F5">
          <w:rPr>
            <w:rStyle w:val="Hyperlink"/>
            <w:lang w:bidi="he-IL"/>
          </w:rPr>
          <w:t>section 11</w:t>
        </w:r>
        <w:r>
          <w:rPr>
            <w:webHidden/>
          </w:rPr>
          <w:tab/>
        </w:r>
        <w:r>
          <w:rPr>
            <w:webHidden/>
          </w:rPr>
          <w:fldChar w:fldCharType="begin"/>
        </w:r>
        <w:r>
          <w:rPr>
            <w:webHidden/>
          </w:rPr>
          <w:instrText xml:space="preserve"> PAGEREF _Toc470162669 \h </w:instrText>
        </w:r>
        <w:r>
          <w:rPr>
            <w:webHidden/>
          </w:rPr>
        </w:r>
        <w:r>
          <w:rPr>
            <w:webHidden/>
          </w:rPr>
          <w:fldChar w:fldCharType="separate"/>
        </w:r>
        <w:r>
          <w:rPr>
            <w:webHidden/>
          </w:rPr>
          <w:t>2</w:t>
        </w:r>
        <w:r>
          <w:rPr>
            <w:webHidden/>
          </w:rPr>
          <w:fldChar w:fldCharType="end"/>
        </w:r>
      </w:hyperlink>
    </w:p>
    <w:p w14:paraId="383D17E0" w14:textId="77777777" w:rsidR="00B21416" w:rsidRDefault="00B21416">
      <w:pPr>
        <w:pStyle w:val="TOC2"/>
        <w:rPr>
          <w:rFonts w:asciiTheme="minorHAnsi" w:eastAsiaTheme="minorEastAsia" w:hAnsiTheme="minorHAnsi" w:cstheme="minorBidi"/>
          <w:spacing w:val="0"/>
          <w:sz w:val="22"/>
          <w:szCs w:val="22"/>
        </w:rPr>
      </w:pPr>
      <w:hyperlink w:anchor="_Toc470162670" w:history="1">
        <w:r w:rsidRPr="005F75F5">
          <w:rPr>
            <w:rStyle w:val="Hyperlink"/>
          </w:rPr>
          <w:t>Chapter 2—Part 1: Introductory</w:t>
        </w:r>
        <w:r>
          <w:rPr>
            <w:webHidden/>
          </w:rPr>
          <w:tab/>
        </w:r>
        <w:r>
          <w:rPr>
            <w:webHidden/>
          </w:rPr>
          <w:fldChar w:fldCharType="begin"/>
        </w:r>
        <w:r>
          <w:rPr>
            <w:webHidden/>
          </w:rPr>
          <w:instrText xml:space="preserve"> PAGEREF _Toc470162670 \h </w:instrText>
        </w:r>
        <w:r>
          <w:rPr>
            <w:webHidden/>
          </w:rPr>
        </w:r>
        <w:r>
          <w:rPr>
            <w:webHidden/>
          </w:rPr>
          <w:fldChar w:fldCharType="separate"/>
        </w:r>
        <w:r>
          <w:rPr>
            <w:webHidden/>
          </w:rPr>
          <w:t>2</w:t>
        </w:r>
        <w:r>
          <w:rPr>
            <w:webHidden/>
          </w:rPr>
          <w:fldChar w:fldCharType="end"/>
        </w:r>
      </w:hyperlink>
    </w:p>
    <w:p w14:paraId="1AC9C937" w14:textId="77777777" w:rsidR="00B21416" w:rsidRDefault="00B21416">
      <w:pPr>
        <w:pStyle w:val="TOC3"/>
        <w:rPr>
          <w:rFonts w:asciiTheme="minorHAnsi" w:eastAsiaTheme="minorEastAsia" w:hAnsiTheme="minorHAnsi" w:cstheme="minorBidi"/>
        </w:rPr>
      </w:pPr>
      <w:hyperlink w:anchor="_Toc470162671" w:history="1">
        <w:r w:rsidRPr="005F75F5">
          <w:rPr>
            <w:rStyle w:val="Hyperlink"/>
            <w:lang w:bidi="he-IL"/>
          </w:rPr>
          <w:t>Proposed new subsection 10(9)</w:t>
        </w:r>
        <w:r>
          <w:rPr>
            <w:webHidden/>
          </w:rPr>
          <w:tab/>
        </w:r>
        <w:r>
          <w:rPr>
            <w:webHidden/>
          </w:rPr>
          <w:fldChar w:fldCharType="begin"/>
        </w:r>
        <w:r>
          <w:rPr>
            <w:webHidden/>
          </w:rPr>
          <w:instrText xml:space="preserve"> PAGEREF _Toc470162671 \h </w:instrText>
        </w:r>
        <w:r>
          <w:rPr>
            <w:webHidden/>
          </w:rPr>
        </w:r>
        <w:r>
          <w:rPr>
            <w:webHidden/>
          </w:rPr>
          <w:fldChar w:fldCharType="separate"/>
        </w:r>
        <w:r>
          <w:rPr>
            <w:webHidden/>
          </w:rPr>
          <w:t>2</w:t>
        </w:r>
        <w:r>
          <w:rPr>
            <w:webHidden/>
          </w:rPr>
          <w:fldChar w:fldCharType="end"/>
        </w:r>
      </w:hyperlink>
    </w:p>
    <w:p w14:paraId="4A38F87B" w14:textId="77777777" w:rsidR="00B21416" w:rsidRDefault="00B21416">
      <w:pPr>
        <w:pStyle w:val="TOC3"/>
        <w:rPr>
          <w:rFonts w:asciiTheme="minorHAnsi" w:eastAsiaTheme="minorEastAsia" w:hAnsiTheme="minorHAnsi" w:cstheme="minorBidi"/>
        </w:rPr>
      </w:pPr>
      <w:hyperlink w:anchor="_Toc470162672" w:history="1">
        <w:r w:rsidRPr="005F75F5">
          <w:rPr>
            <w:rStyle w:val="Hyperlink"/>
            <w:lang w:bidi="he-IL"/>
          </w:rPr>
          <w:t>Proposed new subsection 10(10)</w:t>
        </w:r>
        <w:r>
          <w:rPr>
            <w:webHidden/>
          </w:rPr>
          <w:tab/>
        </w:r>
        <w:r>
          <w:rPr>
            <w:webHidden/>
          </w:rPr>
          <w:fldChar w:fldCharType="begin"/>
        </w:r>
        <w:r>
          <w:rPr>
            <w:webHidden/>
          </w:rPr>
          <w:instrText xml:space="preserve"> PAGEREF _Toc470162672 \h </w:instrText>
        </w:r>
        <w:r>
          <w:rPr>
            <w:webHidden/>
          </w:rPr>
        </w:r>
        <w:r>
          <w:rPr>
            <w:webHidden/>
          </w:rPr>
          <w:fldChar w:fldCharType="separate"/>
        </w:r>
        <w:r>
          <w:rPr>
            <w:webHidden/>
          </w:rPr>
          <w:t>3</w:t>
        </w:r>
        <w:r>
          <w:rPr>
            <w:webHidden/>
          </w:rPr>
          <w:fldChar w:fldCharType="end"/>
        </w:r>
      </w:hyperlink>
    </w:p>
    <w:p w14:paraId="06A154B0" w14:textId="77777777" w:rsidR="00B21416" w:rsidRDefault="00B21416">
      <w:pPr>
        <w:pStyle w:val="TOC2"/>
        <w:rPr>
          <w:rFonts w:asciiTheme="minorHAnsi" w:eastAsiaTheme="minorEastAsia" w:hAnsiTheme="minorHAnsi" w:cstheme="minorBidi"/>
          <w:spacing w:val="0"/>
          <w:sz w:val="22"/>
          <w:szCs w:val="22"/>
        </w:rPr>
      </w:pPr>
      <w:hyperlink w:anchor="_Toc470162673" w:history="1">
        <w:r w:rsidRPr="005F75F5">
          <w:rPr>
            <w:rStyle w:val="Hyperlink"/>
          </w:rPr>
          <w:t>Chapter 2—Part 2: Table of frequency band allocations</w:t>
        </w:r>
        <w:r>
          <w:rPr>
            <w:webHidden/>
          </w:rPr>
          <w:tab/>
        </w:r>
        <w:r>
          <w:rPr>
            <w:webHidden/>
          </w:rPr>
          <w:fldChar w:fldCharType="begin"/>
        </w:r>
        <w:r>
          <w:rPr>
            <w:webHidden/>
          </w:rPr>
          <w:instrText xml:space="preserve"> PAGEREF _Toc470162673 \h </w:instrText>
        </w:r>
        <w:r>
          <w:rPr>
            <w:webHidden/>
          </w:rPr>
        </w:r>
        <w:r>
          <w:rPr>
            <w:webHidden/>
          </w:rPr>
          <w:fldChar w:fldCharType="separate"/>
        </w:r>
        <w:r>
          <w:rPr>
            <w:webHidden/>
          </w:rPr>
          <w:t>4</w:t>
        </w:r>
        <w:r>
          <w:rPr>
            <w:webHidden/>
          </w:rPr>
          <w:fldChar w:fldCharType="end"/>
        </w:r>
      </w:hyperlink>
    </w:p>
    <w:p w14:paraId="763A9AC8" w14:textId="77777777" w:rsidR="00B21416" w:rsidRDefault="00B21416">
      <w:pPr>
        <w:pStyle w:val="TOC3"/>
        <w:rPr>
          <w:rFonts w:asciiTheme="minorHAnsi" w:eastAsiaTheme="minorEastAsia" w:hAnsiTheme="minorHAnsi" w:cstheme="minorBidi"/>
        </w:rPr>
      </w:pPr>
      <w:hyperlink w:anchor="_Toc470162674" w:history="1">
        <w:r w:rsidRPr="005F75F5">
          <w:rPr>
            <w:rStyle w:val="Hyperlink"/>
          </w:rPr>
          <w:t>Column 1: ITU Radio Regulations table of allocations</w:t>
        </w:r>
        <w:r>
          <w:rPr>
            <w:webHidden/>
          </w:rPr>
          <w:tab/>
        </w:r>
        <w:r>
          <w:rPr>
            <w:webHidden/>
          </w:rPr>
          <w:fldChar w:fldCharType="begin"/>
        </w:r>
        <w:r>
          <w:rPr>
            <w:webHidden/>
          </w:rPr>
          <w:instrText xml:space="preserve"> PAGEREF _Toc470162674 \h </w:instrText>
        </w:r>
        <w:r>
          <w:rPr>
            <w:webHidden/>
          </w:rPr>
        </w:r>
        <w:r>
          <w:rPr>
            <w:webHidden/>
          </w:rPr>
          <w:fldChar w:fldCharType="separate"/>
        </w:r>
        <w:r>
          <w:rPr>
            <w:webHidden/>
          </w:rPr>
          <w:t>4</w:t>
        </w:r>
        <w:r>
          <w:rPr>
            <w:webHidden/>
          </w:rPr>
          <w:fldChar w:fldCharType="end"/>
        </w:r>
      </w:hyperlink>
    </w:p>
    <w:p w14:paraId="4150E95C" w14:textId="77777777" w:rsidR="00B21416" w:rsidRDefault="00B21416">
      <w:pPr>
        <w:pStyle w:val="TOC3"/>
        <w:rPr>
          <w:rFonts w:asciiTheme="minorHAnsi" w:eastAsiaTheme="minorEastAsia" w:hAnsiTheme="minorHAnsi" w:cstheme="minorBidi"/>
        </w:rPr>
      </w:pPr>
      <w:hyperlink w:anchor="_Toc470162675" w:history="1">
        <w:r w:rsidRPr="005F75F5">
          <w:rPr>
            <w:rStyle w:val="Hyperlink"/>
            <w:lang w:bidi="he-IL"/>
          </w:rPr>
          <w:t>Column 2: Australian table of allocations</w:t>
        </w:r>
        <w:r>
          <w:rPr>
            <w:webHidden/>
          </w:rPr>
          <w:tab/>
        </w:r>
        <w:r>
          <w:rPr>
            <w:webHidden/>
          </w:rPr>
          <w:fldChar w:fldCharType="begin"/>
        </w:r>
        <w:r>
          <w:rPr>
            <w:webHidden/>
          </w:rPr>
          <w:instrText xml:space="preserve"> PAGEREF _Toc470162675 \h </w:instrText>
        </w:r>
        <w:r>
          <w:rPr>
            <w:webHidden/>
          </w:rPr>
        </w:r>
        <w:r>
          <w:rPr>
            <w:webHidden/>
          </w:rPr>
          <w:fldChar w:fldCharType="separate"/>
        </w:r>
        <w:r>
          <w:rPr>
            <w:webHidden/>
          </w:rPr>
          <w:t>4</w:t>
        </w:r>
        <w:r>
          <w:rPr>
            <w:webHidden/>
          </w:rPr>
          <w:fldChar w:fldCharType="end"/>
        </w:r>
      </w:hyperlink>
    </w:p>
    <w:p w14:paraId="58154E41" w14:textId="77777777" w:rsidR="00B21416" w:rsidRDefault="00B21416">
      <w:pPr>
        <w:pStyle w:val="TOC2"/>
        <w:rPr>
          <w:rFonts w:asciiTheme="minorHAnsi" w:eastAsiaTheme="minorEastAsia" w:hAnsiTheme="minorHAnsi" w:cstheme="minorBidi"/>
          <w:spacing w:val="0"/>
          <w:sz w:val="22"/>
          <w:szCs w:val="22"/>
        </w:rPr>
      </w:pPr>
      <w:hyperlink w:anchor="_Toc470162676" w:history="1">
        <w:r w:rsidRPr="005F75F5">
          <w:rPr>
            <w:rStyle w:val="Hyperlink"/>
            <w:lang w:bidi="he-IL"/>
          </w:rPr>
          <w:t>Chapter 2—Part 3: Australian footnotes</w:t>
        </w:r>
        <w:r>
          <w:rPr>
            <w:webHidden/>
          </w:rPr>
          <w:tab/>
        </w:r>
        <w:r>
          <w:rPr>
            <w:webHidden/>
          </w:rPr>
          <w:fldChar w:fldCharType="begin"/>
        </w:r>
        <w:r>
          <w:rPr>
            <w:webHidden/>
          </w:rPr>
          <w:instrText xml:space="preserve"> PAGEREF _Toc470162676 \h </w:instrText>
        </w:r>
        <w:r>
          <w:rPr>
            <w:webHidden/>
          </w:rPr>
        </w:r>
        <w:r>
          <w:rPr>
            <w:webHidden/>
          </w:rPr>
          <w:fldChar w:fldCharType="separate"/>
        </w:r>
        <w:r>
          <w:rPr>
            <w:webHidden/>
          </w:rPr>
          <w:t>5</w:t>
        </w:r>
        <w:r>
          <w:rPr>
            <w:webHidden/>
          </w:rPr>
          <w:fldChar w:fldCharType="end"/>
        </w:r>
      </w:hyperlink>
    </w:p>
    <w:p w14:paraId="4467F9AA" w14:textId="77777777" w:rsidR="00B21416" w:rsidRDefault="00B21416">
      <w:pPr>
        <w:pStyle w:val="TOC3"/>
        <w:rPr>
          <w:rFonts w:asciiTheme="minorHAnsi" w:eastAsiaTheme="minorEastAsia" w:hAnsiTheme="minorHAnsi" w:cstheme="minorBidi"/>
        </w:rPr>
      </w:pPr>
      <w:hyperlink w:anchor="_Toc470162677" w:history="1">
        <w:r w:rsidRPr="005F75F5">
          <w:rPr>
            <w:rStyle w:val="Hyperlink"/>
            <w:lang w:bidi="he-IL"/>
          </w:rPr>
          <w:t>Addition of defence footnotes in some bands</w:t>
        </w:r>
        <w:r>
          <w:rPr>
            <w:webHidden/>
          </w:rPr>
          <w:tab/>
        </w:r>
        <w:r>
          <w:rPr>
            <w:webHidden/>
          </w:rPr>
          <w:fldChar w:fldCharType="begin"/>
        </w:r>
        <w:r>
          <w:rPr>
            <w:webHidden/>
          </w:rPr>
          <w:instrText xml:space="preserve"> PAGEREF _Toc470162677 \h </w:instrText>
        </w:r>
        <w:r>
          <w:rPr>
            <w:webHidden/>
          </w:rPr>
        </w:r>
        <w:r>
          <w:rPr>
            <w:webHidden/>
          </w:rPr>
          <w:fldChar w:fldCharType="separate"/>
        </w:r>
        <w:r>
          <w:rPr>
            <w:webHidden/>
          </w:rPr>
          <w:t>5</w:t>
        </w:r>
        <w:r>
          <w:rPr>
            <w:webHidden/>
          </w:rPr>
          <w:fldChar w:fldCharType="end"/>
        </w:r>
      </w:hyperlink>
    </w:p>
    <w:p w14:paraId="63E1D7BB" w14:textId="77777777" w:rsidR="00B21416" w:rsidRDefault="00B21416">
      <w:pPr>
        <w:pStyle w:val="TOC3"/>
        <w:rPr>
          <w:rFonts w:asciiTheme="minorHAnsi" w:eastAsiaTheme="minorEastAsia" w:hAnsiTheme="minorHAnsi" w:cstheme="minorBidi"/>
        </w:rPr>
      </w:pPr>
      <w:hyperlink w:anchor="_Toc470162678" w:history="1">
        <w:r w:rsidRPr="005F75F5">
          <w:rPr>
            <w:rStyle w:val="Hyperlink"/>
            <w:lang w:bidi="he-IL"/>
          </w:rPr>
          <w:t>Proposed deletion of footnote AUS105</w:t>
        </w:r>
        <w:r>
          <w:rPr>
            <w:webHidden/>
          </w:rPr>
          <w:tab/>
        </w:r>
        <w:r>
          <w:rPr>
            <w:webHidden/>
          </w:rPr>
          <w:fldChar w:fldCharType="begin"/>
        </w:r>
        <w:r>
          <w:rPr>
            <w:webHidden/>
          </w:rPr>
          <w:instrText xml:space="preserve"> PAGEREF _Toc470162678 \h </w:instrText>
        </w:r>
        <w:r>
          <w:rPr>
            <w:webHidden/>
          </w:rPr>
        </w:r>
        <w:r>
          <w:rPr>
            <w:webHidden/>
          </w:rPr>
          <w:fldChar w:fldCharType="separate"/>
        </w:r>
        <w:r>
          <w:rPr>
            <w:webHidden/>
          </w:rPr>
          <w:t>5</w:t>
        </w:r>
        <w:r>
          <w:rPr>
            <w:webHidden/>
          </w:rPr>
          <w:fldChar w:fldCharType="end"/>
        </w:r>
      </w:hyperlink>
    </w:p>
    <w:p w14:paraId="6A1E0D21" w14:textId="77777777" w:rsidR="00B21416" w:rsidRDefault="00B21416">
      <w:pPr>
        <w:pStyle w:val="TOC3"/>
        <w:rPr>
          <w:rFonts w:asciiTheme="minorHAnsi" w:eastAsiaTheme="minorEastAsia" w:hAnsiTheme="minorHAnsi" w:cstheme="minorBidi"/>
        </w:rPr>
      </w:pPr>
      <w:hyperlink w:anchor="_Toc470162679" w:history="1">
        <w:r w:rsidRPr="005F75F5">
          <w:rPr>
            <w:rStyle w:val="Hyperlink"/>
            <w:lang w:bidi="he-IL"/>
          </w:rPr>
          <w:t>Proposed new footnotes AUS106 and AUS106A</w:t>
        </w:r>
        <w:r>
          <w:rPr>
            <w:webHidden/>
          </w:rPr>
          <w:tab/>
        </w:r>
        <w:r>
          <w:rPr>
            <w:webHidden/>
          </w:rPr>
          <w:fldChar w:fldCharType="begin"/>
        </w:r>
        <w:r>
          <w:rPr>
            <w:webHidden/>
          </w:rPr>
          <w:instrText xml:space="preserve"> PAGEREF _Toc470162679 \h </w:instrText>
        </w:r>
        <w:r>
          <w:rPr>
            <w:webHidden/>
          </w:rPr>
        </w:r>
        <w:r>
          <w:rPr>
            <w:webHidden/>
          </w:rPr>
          <w:fldChar w:fldCharType="separate"/>
        </w:r>
        <w:r>
          <w:rPr>
            <w:webHidden/>
          </w:rPr>
          <w:t>6</w:t>
        </w:r>
        <w:r>
          <w:rPr>
            <w:webHidden/>
          </w:rPr>
          <w:fldChar w:fldCharType="end"/>
        </w:r>
      </w:hyperlink>
    </w:p>
    <w:p w14:paraId="1DEA8FEB" w14:textId="77777777" w:rsidR="00B21416" w:rsidRDefault="00B21416">
      <w:pPr>
        <w:pStyle w:val="TOC2"/>
        <w:rPr>
          <w:rFonts w:asciiTheme="minorHAnsi" w:eastAsiaTheme="minorEastAsia" w:hAnsiTheme="minorHAnsi" w:cstheme="minorBidi"/>
          <w:spacing w:val="0"/>
          <w:sz w:val="22"/>
          <w:szCs w:val="22"/>
        </w:rPr>
      </w:pPr>
      <w:hyperlink w:anchor="_Toc470162680" w:history="1">
        <w:r w:rsidRPr="005F75F5">
          <w:rPr>
            <w:rStyle w:val="Hyperlink"/>
          </w:rPr>
          <w:t>Chapter 2—Part 4: International footnotes</w:t>
        </w:r>
        <w:r>
          <w:rPr>
            <w:webHidden/>
          </w:rPr>
          <w:tab/>
        </w:r>
        <w:r>
          <w:rPr>
            <w:webHidden/>
          </w:rPr>
          <w:fldChar w:fldCharType="begin"/>
        </w:r>
        <w:r>
          <w:rPr>
            <w:webHidden/>
          </w:rPr>
          <w:instrText xml:space="preserve"> PAGEREF _Toc470162680 \h </w:instrText>
        </w:r>
        <w:r>
          <w:rPr>
            <w:webHidden/>
          </w:rPr>
        </w:r>
        <w:r>
          <w:rPr>
            <w:webHidden/>
          </w:rPr>
          <w:fldChar w:fldCharType="separate"/>
        </w:r>
        <w:r>
          <w:rPr>
            <w:webHidden/>
          </w:rPr>
          <w:t>7</w:t>
        </w:r>
        <w:r>
          <w:rPr>
            <w:webHidden/>
          </w:rPr>
          <w:fldChar w:fldCharType="end"/>
        </w:r>
      </w:hyperlink>
    </w:p>
    <w:p w14:paraId="4A9FF78C" w14:textId="77777777" w:rsidR="00B21416" w:rsidRDefault="00B21416">
      <w:pPr>
        <w:pStyle w:val="TOC1"/>
        <w:rPr>
          <w:rFonts w:asciiTheme="minorHAnsi" w:eastAsiaTheme="minorEastAsia" w:hAnsiTheme="minorHAnsi" w:cstheme="minorBidi"/>
          <w:b w:val="0"/>
          <w:spacing w:val="0"/>
          <w:sz w:val="22"/>
          <w:szCs w:val="22"/>
        </w:rPr>
      </w:pPr>
      <w:hyperlink w:anchor="_Toc470162681" w:history="1">
        <w:r w:rsidRPr="005F75F5">
          <w:rPr>
            <w:rStyle w:val="Hyperlink"/>
          </w:rPr>
          <w:t>Summary of changes</w:t>
        </w:r>
        <w:r>
          <w:rPr>
            <w:webHidden/>
          </w:rPr>
          <w:tab/>
        </w:r>
        <w:r>
          <w:rPr>
            <w:webHidden/>
          </w:rPr>
          <w:fldChar w:fldCharType="begin"/>
        </w:r>
        <w:r>
          <w:rPr>
            <w:webHidden/>
          </w:rPr>
          <w:instrText xml:space="preserve"> PAGEREF _Toc470162681 \h </w:instrText>
        </w:r>
        <w:r>
          <w:rPr>
            <w:webHidden/>
          </w:rPr>
        </w:r>
        <w:r>
          <w:rPr>
            <w:webHidden/>
          </w:rPr>
          <w:fldChar w:fldCharType="separate"/>
        </w:r>
        <w:r>
          <w:rPr>
            <w:webHidden/>
          </w:rPr>
          <w:t>8</w:t>
        </w:r>
        <w:r>
          <w:rPr>
            <w:webHidden/>
          </w:rPr>
          <w:fldChar w:fldCharType="end"/>
        </w:r>
      </w:hyperlink>
    </w:p>
    <w:p w14:paraId="75E89324" w14:textId="77777777" w:rsidR="00B21416" w:rsidRDefault="00B21416">
      <w:pPr>
        <w:pStyle w:val="TOC3"/>
        <w:rPr>
          <w:rFonts w:asciiTheme="minorHAnsi" w:eastAsiaTheme="minorEastAsia" w:hAnsiTheme="minorHAnsi" w:cstheme="minorBidi"/>
        </w:rPr>
      </w:pPr>
      <w:hyperlink w:anchor="_Toc470162682" w:history="1">
        <w:r w:rsidRPr="005F75F5">
          <w:rPr>
            <w:rStyle w:val="Hyperlink"/>
          </w:rPr>
          <w:t>Clause 10(9)</w:t>
        </w:r>
        <w:r>
          <w:rPr>
            <w:webHidden/>
          </w:rPr>
          <w:tab/>
        </w:r>
        <w:r>
          <w:rPr>
            <w:webHidden/>
          </w:rPr>
          <w:fldChar w:fldCharType="begin"/>
        </w:r>
        <w:r>
          <w:rPr>
            <w:webHidden/>
          </w:rPr>
          <w:instrText xml:space="preserve"> PAGEREF _Toc470162682 \h </w:instrText>
        </w:r>
        <w:r>
          <w:rPr>
            <w:webHidden/>
          </w:rPr>
        </w:r>
        <w:r>
          <w:rPr>
            <w:webHidden/>
          </w:rPr>
          <w:fldChar w:fldCharType="separate"/>
        </w:r>
        <w:r>
          <w:rPr>
            <w:webHidden/>
          </w:rPr>
          <w:t>8</w:t>
        </w:r>
        <w:r>
          <w:rPr>
            <w:webHidden/>
          </w:rPr>
          <w:fldChar w:fldCharType="end"/>
        </w:r>
      </w:hyperlink>
    </w:p>
    <w:p w14:paraId="7661D1BF" w14:textId="77777777" w:rsidR="00B21416" w:rsidRDefault="00B21416">
      <w:pPr>
        <w:pStyle w:val="TOC3"/>
        <w:rPr>
          <w:rFonts w:asciiTheme="minorHAnsi" w:eastAsiaTheme="minorEastAsia" w:hAnsiTheme="minorHAnsi" w:cstheme="minorBidi"/>
        </w:rPr>
      </w:pPr>
      <w:hyperlink w:anchor="_Toc470162683" w:history="1">
        <w:r w:rsidRPr="005F75F5">
          <w:rPr>
            <w:rStyle w:val="Hyperlink"/>
          </w:rPr>
          <w:t>AUS106 and AUS106A footnotes</w:t>
        </w:r>
        <w:r>
          <w:rPr>
            <w:webHidden/>
          </w:rPr>
          <w:tab/>
        </w:r>
        <w:r>
          <w:rPr>
            <w:webHidden/>
          </w:rPr>
          <w:fldChar w:fldCharType="begin"/>
        </w:r>
        <w:r>
          <w:rPr>
            <w:webHidden/>
          </w:rPr>
          <w:instrText xml:space="preserve"> PAGEREF _Toc470162683 \h </w:instrText>
        </w:r>
        <w:r>
          <w:rPr>
            <w:webHidden/>
          </w:rPr>
        </w:r>
        <w:r>
          <w:rPr>
            <w:webHidden/>
          </w:rPr>
          <w:fldChar w:fldCharType="separate"/>
        </w:r>
        <w:r>
          <w:rPr>
            <w:webHidden/>
          </w:rPr>
          <w:t>8</w:t>
        </w:r>
        <w:r>
          <w:rPr>
            <w:webHidden/>
          </w:rPr>
          <w:fldChar w:fldCharType="end"/>
        </w:r>
      </w:hyperlink>
    </w:p>
    <w:p w14:paraId="21B88E64" w14:textId="77777777" w:rsidR="00B21416" w:rsidRDefault="00B21416">
      <w:pPr>
        <w:pStyle w:val="TOC3"/>
        <w:rPr>
          <w:rFonts w:asciiTheme="minorHAnsi" w:eastAsiaTheme="minorEastAsia" w:hAnsiTheme="minorHAnsi" w:cstheme="minorBidi"/>
        </w:rPr>
      </w:pPr>
      <w:hyperlink w:anchor="_Toc470162684" w:history="1">
        <w:r w:rsidRPr="005F75F5">
          <w:rPr>
            <w:rStyle w:val="Hyperlink"/>
            <w:lang w:bidi="he-IL"/>
          </w:rPr>
          <w:t>694–820 MHz band</w:t>
        </w:r>
        <w:r>
          <w:rPr>
            <w:webHidden/>
          </w:rPr>
          <w:tab/>
        </w:r>
        <w:r>
          <w:rPr>
            <w:webHidden/>
          </w:rPr>
          <w:fldChar w:fldCharType="begin"/>
        </w:r>
        <w:r>
          <w:rPr>
            <w:webHidden/>
          </w:rPr>
          <w:instrText xml:space="preserve"> PAGEREF _Toc470162684 \h </w:instrText>
        </w:r>
        <w:r>
          <w:rPr>
            <w:webHidden/>
          </w:rPr>
        </w:r>
        <w:r>
          <w:rPr>
            <w:webHidden/>
          </w:rPr>
          <w:fldChar w:fldCharType="separate"/>
        </w:r>
        <w:r>
          <w:rPr>
            <w:webHidden/>
          </w:rPr>
          <w:t>10</w:t>
        </w:r>
        <w:r>
          <w:rPr>
            <w:webHidden/>
          </w:rPr>
          <w:fldChar w:fldCharType="end"/>
        </w:r>
      </w:hyperlink>
    </w:p>
    <w:p w14:paraId="403B4B80" w14:textId="77777777" w:rsidR="00B21416" w:rsidRDefault="00B21416">
      <w:pPr>
        <w:pStyle w:val="TOC3"/>
        <w:rPr>
          <w:rFonts w:asciiTheme="minorHAnsi" w:eastAsiaTheme="minorEastAsia" w:hAnsiTheme="minorHAnsi" w:cstheme="minorBidi"/>
        </w:rPr>
      </w:pPr>
      <w:hyperlink w:anchor="_Toc470162685" w:history="1">
        <w:r w:rsidRPr="005F75F5">
          <w:rPr>
            <w:rStyle w:val="Hyperlink"/>
          </w:rPr>
          <w:t>Defence-related changes</w:t>
        </w:r>
        <w:r>
          <w:rPr>
            <w:webHidden/>
          </w:rPr>
          <w:tab/>
        </w:r>
        <w:r>
          <w:rPr>
            <w:webHidden/>
          </w:rPr>
          <w:fldChar w:fldCharType="begin"/>
        </w:r>
        <w:r>
          <w:rPr>
            <w:webHidden/>
          </w:rPr>
          <w:instrText xml:space="preserve"> PAGEREF _Toc470162685 \h </w:instrText>
        </w:r>
        <w:r>
          <w:rPr>
            <w:webHidden/>
          </w:rPr>
        </w:r>
        <w:r>
          <w:rPr>
            <w:webHidden/>
          </w:rPr>
          <w:fldChar w:fldCharType="separate"/>
        </w:r>
        <w:r>
          <w:rPr>
            <w:webHidden/>
          </w:rPr>
          <w:t>11</w:t>
        </w:r>
        <w:r>
          <w:rPr>
            <w:webHidden/>
          </w:rPr>
          <w:fldChar w:fldCharType="end"/>
        </w:r>
      </w:hyperlink>
    </w:p>
    <w:p w14:paraId="0B476F26" w14:textId="5568BE1A" w:rsidR="000A4A51" w:rsidRPr="000D76E0" w:rsidRDefault="00D045FF">
      <w:pPr>
        <w:rPr>
          <w:rFonts w:cs="Arial"/>
        </w:rPr>
      </w:pPr>
      <w:r>
        <w:rPr>
          <w:rFonts w:cs="Arial"/>
          <w:noProof/>
          <w:spacing w:val="-14"/>
          <w:sz w:val="28"/>
        </w:rPr>
        <w:fldChar w:fldCharType="end"/>
      </w:r>
    </w:p>
    <w:p w14:paraId="4E7FB0F0" w14:textId="77777777" w:rsidR="004D56FF" w:rsidRPr="000D76E0" w:rsidRDefault="004D56FF">
      <w:pPr>
        <w:rPr>
          <w:rFonts w:cs="Arial"/>
        </w:rPr>
        <w:sectPr w:rsidR="004D56FF" w:rsidRPr="000D76E0"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p>
    <w:p w14:paraId="075C99AA" w14:textId="77777777" w:rsidR="00BE4C11" w:rsidRPr="000D76E0" w:rsidRDefault="004C3A76" w:rsidP="00777BA2">
      <w:pPr>
        <w:pStyle w:val="Heading1"/>
      </w:pPr>
      <w:bookmarkStart w:id="1" w:name="_Toc470162665"/>
      <w:r>
        <w:lastRenderedPageBreak/>
        <w:t>Introduction</w:t>
      </w:r>
      <w:bookmarkEnd w:id="1"/>
      <w:r w:rsidR="00C0277D" w:rsidRPr="00FF3C69">
        <w:t xml:space="preserve"> </w:t>
      </w:r>
      <w:r w:rsidR="0042762F" w:rsidRPr="00FF3C69">
        <w:t xml:space="preserve"> </w:t>
      </w:r>
    </w:p>
    <w:p w14:paraId="4ADAE1D0" w14:textId="3EC04834" w:rsidR="0098242B" w:rsidRDefault="0098242B" w:rsidP="000F277F">
      <w:pPr>
        <w:spacing w:after="80"/>
      </w:pPr>
      <w:r>
        <w:t xml:space="preserve">Following each International Telecommunication Union (ITU) World </w:t>
      </w:r>
      <w:proofErr w:type="spellStart"/>
      <w:r>
        <w:t>Radiocommunication</w:t>
      </w:r>
      <w:proofErr w:type="spellEnd"/>
      <w:r>
        <w:t xml:space="preserve"> Conference (WRC), the Australian Communications and Media Authority (the ACMA) typically updates the </w:t>
      </w:r>
      <w:r w:rsidRPr="008B3155">
        <w:rPr>
          <w:i/>
        </w:rPr>
        <w:t>Australian Radiofrequency Spectrum</w:t>
      </w:r>
      <w:r w:rsidRPr="008B3155">
        <w:t xml:space="preserve"> </w:t>
      </w:r>
      <w:r w:rsidRPr="00277E6C">
        <w:rPr>
          <w:i/>
        </w:rPr>
        <w:t>Plan</w:t>
      </w:r>
      <w:r>
        <w:t xml:space="preserve"> (the Spectrum Plan). The ACMA released the discussion paper </w:t>
      </w:r>
      <w:hyperlink r:id="rId27" w:history="1">
        <w:r w:rsidRPr="00D03DDE">
          <w:rPr>
            <w:rStyle w:val="Hyperlink"/>
          </w:rPr>
          <w:t xml:space="preserve">Proposed update to the Australian </w:t>
        </w:r>
        <w:r w:rsidR="0042007F">
          <w:rPr>
            <w:rStyle w:val="Hyperlink"/>
          </w:rPr>
          <w:t>R</w:t>
        </w:r>
        <w:r w:rsidRPr="00D03DDE">
          <w:rPr>
            <w:rStyle w:val="Hyperlink"/>
          </w:rPr>
          <w:t>adiofrequency Spectrum Plan</w:t>
        </w:r>
      </w:hyperlink>
      <w:r>
        <w:t xml:space="preserve"> on 19 September 2016 along with a m</w:t>
      </w:r>
      <w:r w:rsidRPr="00D03DDE">
        <w:t xml:space="preserve">arked-up version of the </w:t>
      </w:r>
      <w:r w:rsidRPr="000B417F">
        <w:t>Australian Radiofrequency Spectrum Plan 2013</w:t>
      </w:r>
      <w:r w:rsidRPr="00D03DDE">
        <w:t xml:space="preserve"> and a </w:t>
      </w:r>
      <w:r w:rsidRPr="000B417F">
        <w:t>Draft Unspecified Services Policy Statement</w:t>
      </w:r>
      <w:r w:rsidRPr="00D03DDE">
        <w:t xml:space="preserve"> and case studies</w:t>
      </w:r>
      <w:r>
        <w:t>. Seventeen</w:t>
      </w:r>
      <w:r>
        <w:rPr>
          <w:rStyle w:val="FootnoteReference"/>
        </w:rPr>
        <w:footnoteReference w:id="2"/>
      </w:r>
      <w:r>
        <w:t xml:space="preserve"> submissions were received to the consultation package from the following organisations:</w:t>
      </w:r>
    </w:p>
    <w:p w14:paraId="1695ED2F" w14:textId="77777777" w:rsidR="00AF6E6E" w:rsidRDefault="00AF6E6E" w:rsidP="00AF6E6E">
      <w:pPr>
        <w:pStyle w:val="ListBullet"/>
        <w:rPr>
          <w:rFonts w:cs="Arial"/>
        </w:rPr>
      </w:pPr>
      <w:r>
        <w:rPr>
          <w:rFonts w:cs="Arial"/>
        </w:rPr>
        <w:t>Alan Hughes</w:t>
      </w:r>
    </w:p>
    <w:p w14:paraId="10B8CF76" w14:textId="77777777" w:rsidR="00AF6E6E" w:rsidRPr="00777F84" w:rsidRDefault="00AF6E6E" w:rsidP="00AF6E6E">
      <w:pPr>
        <w:pStyle w:val="ListBullet"/>
        <w:rPr>
          <w:rFonts w:cs="Arial"/>
        </w:rPr>
      </w:pPr>
      <w:r>
        <w:rPr>
          <w:rFonts w:cs="Arial"/>
        </w:rPr>
        <w:t>Bureau of Meteorology (BoM)</w:t>
      </w:r>
    </w:p>
    <w:p w14:paraId="1CFB9BDD" w14:textId="77777777" w:rsidR="00AF6E6E" w:rsidRDefault="00AF6E6E" w:rsidP="00AF6E6E">
      <w:pPr>
        <w:pStyle w:val="ListBullet"/>
        <w:rPr>
          <w:rFonts w:cs="Arial"/>
        </w:rPr>
      </w:pPr>
      <w:r w:rsidRPr="00777544">
        <w:rPr>
          <w:rFonts w:cs="Arial"/>
        </w:rPr>
        <w:t>Christopher Meagher</w:t>
      </w:r>
    </w:p>
    <w:p w14:paraId="19AE4FE4" w14:textId="4F3BACE0" w:rsidR="002A1150" w:rsidRPr="00777544" w:rsidRDefault="002A1150" w:rsidP="00AF6E6E">
      <w:pPr>
        <w:pStyle w:val="ListBullet"/>
        <w:rPr>
          <w:rFonts w:cs="Arial"/>
        </w:rPr>
      </w:pPr>
      <w:r>
        <w:rPr>
          <w:rFonts w:cs="Arial"/>
        </w:rPr>
        <w:t>Department of Defence (Defence)</w:t>
      </w:r>
    </w:p>
    <w:p w14:paraId="7334C374" w14:textId="77777777" w:rsidR="00AF6E6E" w:rsidRPr="00777544" w:rsidRDefault="00AF6E6E" w:rsidP="00AF6E6E">
      <w:pPr>
        <w:pStyle w:val="ListBullet"/>
        <w:rPr>
          <w:rFonts w:cs="Arial"/>
        </w:rPr>
      </w:pPr>
      <w:r w:rsidRPr="00777544">
        <w:rPr>
          <w:rFonts w:cs="Arial"/>
        </w:rPr>
        <w:t>Free TV Australia</w:t>
      </w:r>
    </w:p>
    <w:p w14:paraId="4A3B27F6" w14:textId="77777777" w:rsidR="00AF6E6E" w:rsidRPr="00777544" w:rsidRDefault="00AF6E6E" w:rsidP="00AF6E6E">
      <w:pPr>
        <w:pStyle w:val="ListBullet"/>
        <w:rPr>
          <w:rFonts w:cs="Arial"/>
        </w:rPr>
      </w:pPr>
      <w:proofErr w:type="spellStart"/>
      <w:r w:rsidRPr="00777544">
        <w:rPr>
          <w:rFonts w:cs="Arial"/>
        </w:rPr>
        <w:t>Gogo</w:t>
      </w:r>
      <w:proofErr w:type="spellEnd"/>
    </w:p>
    <w:p w14:paraId="58B0ABF3" w14:textId="38AFE027" w:rsidR="00D03DDE" w:rsidRPr="00777544" w:rsidRDefault="00D03DDE" w:rsidP="00D03DDE">
      <w:pPr>
        <w:pStyle w:val="ListBullet"/>
        <w:rPr>
          <w:rFonts w:cs="Arial"/>
        </w:rPr>
      </w:pPr>
      <w:r w:rsidRPr="00777544">
        <w:rPr>
          <w:rFonts w:cs="Arial"/>
        </w:rPr>
        <w:t>Intelsat</w:t>
      </w:r>
    </w:p>
    <w:p w14:paraId="26032A7B" w14:textId="77777777" w:rsidR="00674F5B" w:rsidRPr="00777544" w:rsidRDefault="00674F5B" w:rsidP="00674F5B">
      <w:pPr>
        <w:pStyle w:val="ListBullet"/>
        <w:rPr>
          <w:rFonts w:cs="Arial"/>
        </w:rPr>
      </w:pPr>
      <w:r w:rsidRPr="00777544">
        <w:rPr>
          <w:rFonts w:cs="Arial"/>
        </w:rPr>
        <w:t xml:space="preserve">Julian </w:t>
      </w:r>
      <w:proofErr w:type="spellStart"/>
      <w:r w:rsidRPr="00777544">
        <w:rPr>
          <w:rFonts w:cs="Arial"/>
        </w:rPr>
        <w:t>Sortland</w:t>
      </w:r>
      <w:proofErr w:type="spellEnd"/>
    </w:p>
    <w:p w14:paraId="73CA7322" w14:textId="4AB12216" w:rsidR="00D03DDE" w:rsidRPr="00777544" w:rsidRDefault="00D03DDE" w:rsidP="00D03DDE">
      <w:pPr>
        <w:pStyle w:val="ListBullet"/>
        <w:rPr>
          <w:rFonts w:cs="Arial"/>
        </w:rPr>
      </w:pPr>
      <w:r w:rsidRPr="00777544">
        <w:rPr>
          <w:rFonts w:cs="Arial"/>
        </w:rPr>
        <w:t>Marcus Berglund</w:t>
      </w:r>
    </w:p>
    <w:p w14:paraId="7B9AB57B" w14:textId="77777777" w:rsidR="00D03DDE" w:rsidRPr="00777544" w:rsidRDefault="00D03DDE" w:rsidP="00D03DDE">
      <w:pPr>
        <w:pStyle w:val="ListBullet"/>
        <w:rPr>
          <w:rFonts w:cs="Arial"/>
        </w:rPr>
      </w:pPr>
      <w:r w:rsidRPr="00777544">
        <w:rPr>
          <w:rFonts w:cs="Arial"/>
        </w:rPr>
        <w:t>NBN Co Limited (</w:t>
      </w:r>
      <w:proofErr w:type="spellStart"/>
      <w:r w:rsidRPr="00777544">
        <w:rPr>
          <w:rFonts w:cs="Arial"/>
        </w:rPr>
        <w:t>nbn</w:t>
      </w:r>
      <w:proofErr w:type="spellEnd"/>
      <w:r w:rsidRPr="00777544">
        <w:rPr>
          <w:rFonts w:cs="Arial"/>
        </w:rPr>
        <w:t>)</w:t>
      </w:r>
    </w:p>
    <w:p w14:paraId="111E4690" w14:textId="115F51CF" w:rsidR="002A1150" w:rsidRPr="002A1150" w:rsidRDefault="002A1150" w:rsidP="002A1150">
      <w:pPr>
        <w:pStyle w:val="ListBullet"/>
        <w:rPr>
          <w:rFonts w:cs="Arial"/>
        </w:rPr>
      </w:pPr>
      <w:r>
        <w:rPr>
          <w:rFonts w:cs="Arial"/>
        </w:rPr>
        <w:t>New Skies Satellites Australia</w:t>
      </w:r>
    </w:p>
    <w:p w14:paraId="08758155" w14:textId="77777777" w:rsidR="00D03DDE" w:rsidRPr="00777544" w:rsidRDefault="00D03DDE" w:rsidP="00D03DDE">
      <w:pPr>
        <w:pStyle w:val="ListBullet"/>
        <w:rPr>
          <w:rFonts w:cs="Arial"/>
        </w:rPr>
      </w:pPr>
      <w:r w:rsidRPr="00777544">
        <w:rPr>
          <w:rFonts w:cs="Arial"/>
        </w:rPr>
        <w:t>Nigel Holmes</w:t>
      </w:r>
    </w:p>
    <w:p w14:paraId="5FE171EC" w14:textId="77777777" w:rsidR="00D03DDE" w:rsidRDefault="00D03DDE" w:rsidP="00D03DDE">
      <w:pPr>
        <w:pStyle w:val="ListBullet"/>
        <w:rPr>
          <w:rFonts w:cs="Arial"/>
        </w:rPr>
      </w:pPr>
      <w:r w:rsidRPr="00777544">
        <w:rPr>
          <w:rFonts w:cs="Arial"/>
        </w:rPr>
        <w:t>Richard Jacobsen</w:t>
      </w:r>
    </w:p>
    <w:p w14:paraId="3A719723" w14:textId="32BFE757" w:rsidR="00D03DDE" w:rsidRPr="00777544" w:rsidRDefault="00D03DDE" w:rsidP="00D03DDE">
      <w:pPr>
        <w:pStyle w:val="ListBullet"/>
        <w:rPr>
          <w:rFonts w:cs="Arial"/>
        </w:rPr>
      </w:pPr>
      <w:r w:rsidRPr="00777544">
        <w:rPr>
          <w:rFonts w:cs="Arial"/>
        </w:rPr>
        <w:t>Telstra</w:t>
      </w:r>
    </w:p>
    <w:p w14:paraId="6904D7EF" w14:textId="79DCDF96" w:rsidR="00D03DDE" w:rsidRPr="00777544" w:rsidRDefault="00D03DDE" w:rsidP="00D03DDE">
      <w:pPr>
        <w:pStyle w:val="ListBullet"/>
        <w:rPr>
          <w:rFonts w:cs="Arial"/>
        </w:rPr>
      </w:pPr>
      <w:proofErr w:type="spellStart"/>
      <w:r w:rsidRPr="00777544">
        <w:rPr>
          <w:rFonts w:cs="Arial"/>
        </w:rPr>
        <w:t>ViaSat</w:t>
      </w:r>
      <w:proofErr w:type="spellEnd"/>
    </w:p>
    <w:p w14:paraId="6C805FF1" w14:textId="13ED95F7" w:rsidR="00047617" w:rsidRPr="00777544" w:rsidRDefault="00047617" w:rsidP="00D03DDE">
      <w:pPr>
        <w:pStyle w:val="ListBullet"/>
        <w:rPr>
          <w:rFonts w:cs="Arial"/>
        </w:rPr>
      </w:pPr>
      <w:r w:rsidRPr="00777544">
        <w:rPr>
          <w:rFonts w:cs="Arial"/>
        </w:rPr>
        <w:t>Wireless Institute of Australia (WIA)</w:t>
      </w:r>
    </w:p>
    <w:p w14:paraId="0EB08F93" w14:textId="1CA2131E" w:rsidR="00D03DDE" w:rsidRPr="000F277F" w:rsidRDefault="0064014A" w:rsidP="000F277F">
      <w:pPr>
        <w:pStyle w:val="ListBulletLast"/>
      </w:pPr>
      <w:r w:rsidRPr="000F277F">
        <w:t>WICEN NSW Inc. Northern Rivers Region</w:t>
      </w:r>
      <w:r w:rsidR="00D03DDE" w:rsidRPr="000F277F">
        <w:t>.</w:t>
      </w:r>
    </w:p>
    <w:p w14:paraId="0A2C4E15" w14:textId="4D2F0D66" w:rsidR="00D03DDE" w:rsidRDefault="002D1E56" w:rsidP="00D03DDE">
      <w:r>
        <w:t>This document gives a brief summary of each issue raised by respondents and feedback from the ACMA on each of these issues. A summary of the additional changes to be made to the Spectrum Plan as a result of the feedback received is given at the end of the document.</w:t>
      </w:r>
    </w:p>
    <w:p w14:paraId="0FA5962F" w14:textId="13ABA02D" w:rsidR="004C3A76" w:rsidRPr="00562DB4" w:rsidRDefault="00183244" w:rsidP="004C3A76">
      <w:pPr>
        <w:pStyle w:val="Heading1"/>
      </w:pPr>
      <w:bookmarkStart w:id="2" w:name="_Toc470162666"/>
      <w:r>
        <w:lastRenderedPageBreak/>
        <w:t>Responses to submissions</w:t>
      </w:r>
      <w:bookmarkEnd w:id="2"/>
    </w:p>
    <w:p w14:paraId="3F255145" w14:textId="07EE5496" w:rsidR="001035E5" w:rsidRDefault="001035E5" w:rsidP="004C3A76">
      <w:pPr>
        <w:pStyle w:val="Heading2"/>
      </w:pPr>
      <w:bookmarkStart w:id="3" w:name="_Toc460759360"/>
      <w:bookmarkStart w:id="4" w:name="_Toc470162667"/>
      <w:r>
        <w:t>General comments</w:t>
      </w:r>
      <w:bookmarkEnd w:id="4"/>
    </w:p>
    <w:p w14:paraId="14EDF575" w14:textId="0C6854AE" w:rsidR="001035E5" w:rsidRPr="001035E5" w:rsidRDefault="001035E5" w:rsidP="001035E5">
      <w:r>
        <w:t xml:space="preserve">One respondent suggested that a comprehensive review of the Spectrum Plan </w:t>
      </w:r>
      <w:r w:rsidR="00187CD6">
        <w:t xml:space="preserve">should be undertaken given the </w:t>
      </w:r>
      <w:r>
        <w:t>current review of the spectrum legislative framework</w:t>
      </w:r>
      <w:r w:rsidR="00187CD6">
        <w:t xml:space="preserve">. The ACMA acknowledges that such a review may be necessary and if so will act accordingly, but such a review cannot be undertaken until any changes to the legislative framework have been finalised. </w:t>
      </w:r>
    </w:p>
    <w:p w14:paraId="5E7F543A" w14:textId="742D9AA1" w:rsidR="004C3A76" w:rsidRPr="00510473" w:rsidRDefault="004C3A76" w:rsidP="004C3A76">
      <w:pPr>
        <w:pStyle w:val="Heading2"/>
      </w:pPr>
      <w:bookmarkStart w:id="5" w:name="_Toc470162668"/>
      <w:r w:rsidRPr="00510473">
        <w:t>Chapter 1</w:t>
      </w:r>
      <w:r w:rsidR="0032667D">
        <w:t>—</w:t>
      </w:r>
      <w:r w:rsidRPr="00510473">
        <w:t xml:space="preserve">General </w:t>
      </w:r>
      <w:r w:rsidR="0032667D">
        <w:t>i</w:t>
      </w:r>
      <w:r w:rsidRPr="00510473">
        <w:t>nformation</w:t>
      </w:r>
      <w:bookmarkEnd w:id="3"/>
      <w:bookmarkEnd w:id="5"/>
      <w:r w:rsidRPr="00510473">
        <w:t xml:space="preserve"> </w:t>
      </w:r>
    </w:p>
    <w:p w14:paraId="2C61926E" w14:textId="26797BB5" w:rsidR="004C3A76" w:rsidRDefault="00777544" w:rsidP="0064014A">
      <w:r>
        <w:t xml:space="preserve">Comments were received from one respondent (Defence) in regards to </w:t>
      </w:r>
      <w:r w:rsidR="004C3A76">
        <w:t>Chapter 1</w:t>
      </w:r>
      <w:r w:rsidR="0032667D">
        <w:t>—</w:t>
      </w:r>
      <w:r w:rsidR="004C3A76">
        <w:t xml:space="preserve">General </w:t>
      </w:r>
      <w:r w:rsidR="0032667D">
        <w:t>i</w:t>
      </w:r>
      <w:r w:rsidR="004C3A76">
        <w:t>nformation</w:t>
      </w:r>
      <w:r w:rsidR="0064014A">
        <w:t xml:space="preserve">. </w:t>
      </w:r>
    </w:p>
    <w:p w14:paraId="68981D8A" w14:textId="77777777" w:rsidR="00777544" w:rsidRDefault="00777544" w:rsidP="00777544">
      <w:pPr>
        <w:pStyle w:val="Heading3"/>
        <w:rPr>
          <w:lang w:bidi="he-IL"/>
        </w:rPr>
      </w:pPr>
      <w:bookmarkStart w:id="6" w:name="_Toc470162669"/>
      <w:r>
        <w:t xml:space="preserve">Changes to </w:t>
      </w:r>
      <w:r>
        <w:rPr>
          <w:lang w:bidi="he-IL"/>
        </w:rPr>
        <w:t>section 11</w:t>
      </w:r>
      <w:bookmarkEnd w:id="6"/>
    </w:p>
    <w:p w14:paraId="2EB23829" w14:textId="705E139E" w:rsidR="00777544" w:rsidRDefault="00777544" w:rsidP="00FF7349">
      <w:pPr>
        <w:spacing w:after="80"/>
      </w:pPr>
      <w:r>
        <w:t xml:space="preserve">Section </w:t>
      </w:r>
      <w:r w:rsidR="00AF6E6E">
        <w:t xml:space="preserve">11 of the </w:t>
      </w:r>
      <w:r w:rsidR="00AF6E6E" w:rsidRPr="0017145F">
        <w:rPr>
          <w:i/>
        </w:rPr>
        <w:t>Australian Radiofrequency Spectrum Plan 2013</w:t>
      </w:r>
      <w:r w:rsidR="00AF6E6E">
        <w:t xml:space="preserve"> (‘ARSP’) </w:t>
      </w:r>
      <w:r>
        <w:t xml:space="preserve">regarding Defence use of spectrum lists a number of bands where there is Defence interest in all or a portion of the band. The following frequency ranges have been added to this list </w:t>
      </w:r>
      <w:r w:rsidRPr="00A64943">
        <w:t xml:space="preserve">to </w:t>
      </w:r>
      <w:r>
        <w:t>improve visibility of Defence use:</w:t>
      </w:r>
    </w:p>
    <w:p w14:paraId="291EBF48" w14:textId="47387E3F" w:rsidR="00FA6404" w:rsidRDefault="00777544" w:rsidP="00FF7349">
      <w:pPr>
        <w:pStyle w:val="ListBulletLast"/>
      </w:pPr>
      <w:r w:rsidRPr="00A64943">
        <w:t>1350</w:t>
      </w:r>
      <w:r w:rsidR="008B706A">
        <w:t>–</w:t>
      </w:r>
      <w:r w:rsidRPr="00A64943">
        <w:t>1400</w:t>
      </w:r>
      <w:r w:rsidR="008B706A" w:rsidRPr="00777544">
        <w:rPr>
          <w:szCs w:val="20"/>
          <w:lang w:val="en-US"/>
        </w:rPr>
        <w:t> </w:t>
      </w:r>
      <w:r w:rsidRPr="00A64943">
        <w:t>MHz, 1785</w:t>
      </w:r>
      <w:r w:rsidR="008B706A">
        <w:t>–</w:t>
      </w:r>
      <w:r w:rsidRPr="00A64943">
        <w:t>1805</w:t>
      </w:r>
      <w:r w:rsidR="008B706A" w:rsidRPr="00777544">
        <w:rPr>
          <w:szCs w:val="20"/>
          <w:lang w:val="en-US"/>
        </w:rPr>
        <w:t> </w:t>
      </w:r>
      <w:r w:rsidRPr="00A64943">
        <w:t>MHz, 3100</w:t>
      </w:r>
      <w:r w:rsidR="008B706A">
        <w:t>–</w:t>
      </w:r>
      <w:r w:rsidRPr="00A64943">
        <w:t>3400</w:t>
      </w:r>
      <w:r w:rsidR="008B706A" w:rsidRPr="00777544">
        <w:rPr>
          <w:szCs w:val="20"/>
          <w:lang w:val="en-US"/>
        </w:rPr>
        <w:t> </w:t>
      </w:r>
      <w:r>
        <w:t>MHz and 21.5</w:t>
      </w:r>
      <w:r w:rsidR="008B706A">
        <w:t>–</w:t>
      </w:r>
      <w:r>
        <w:t>22</w:t>
      </w:r>
      <w:r w:rsidR="008B706A" w:rsidRPr="00777544">
        <w:rPr>
          <w:szCs w:val="20"/>
          <w:lang w:val="en-US"/>
        </w:rPr>
        <w:t> </w:t>
      </w:r>
      <w:r>
        <w:t>GHz.</w:t>
      </w:r>
    </w:p>
    <w:p w14:paraId="62413377" w14:textId="7902ED2B" w:rsidR="00FA6404" w:rsidRDefault="00FA6404" w:rsidP="00FA6404">
      <w:pPr>
        <w:pStyle w:val="ListBullet"/>
        <w:numPr>
          <w:ilvl w:val="0"/>
          <w:numId w:val="0"/>
        </w:numPr>
      </w:pPr>
      <w:r>
        <w:t xml:space="preserve">No </w:t>
      </w:r>
      <w:r w:rsidR="007E5EA2">
        <w:t xml:space="preserve">other </w:t>
      </w:r>
      <w:r>
        <w:t xml:space="preserve">comments were received on </w:t>
      </w:r>
      <w:r w:rsidR="007E5EA2">
        <w:t xml:space="preserve">proposed </w:t>
      </w:r>
      <w:r>
        <w:t>changes to Chapter 1.</w:t>
      </w:r>
      <w:r w:rsidR="007E5EA2" w:rsidRPr="00777544">
        <w:t xml:space="preserve"> The proposed changes will be implemented as </w:t>
      </w:r>
      <w:r w:rsidR="007E5EA2">
        <w:t>per</w:t>
      </w:r>
      <w:r w:rsidR="007E5EA2" w:rsidRPr="00777544">
        <w:t xml:space="preserve"> the consultation package</w:t>
      </w:r>
      <w:r>
        <w:t>.</w:t>
      </w:r>
    </w:p>
    <w:p w14:paraId="0650B2D4" w14:textId="4CA2DD7D" w:rsidR="004C3A76" w:rsidRPr="00946116" w:rsidRDefault="004C3A76" w:rsidP="0064014A">
      <w:pPr>
        <w:pStyle w:val="Heading2"/>
      </w:pPr>
      <w:bookmarkStart w:id="7" w:name="_Toc460759362"/>
      <w:bookmarkStart w:id="8" w:name="_Toc470162670"/>
      <w:r>
        <w:t>Chapter 2</w:t>
      </w:r>
      <w:r w:rsidR="0032667D">
        <w:t>—</w:t>
      </w:r>
      <w:r>
        <w:t>Part 1</w:t>
      </w:r>
      <w:r w:rsidR="0032667D">
        <w:t xml:space="preserve">: </w:t>
      </w:r>
      <w:r>
        <w:t>Introductory</w:t>
      </w:r>
      <w:bookmarkEnd w:id="7"/>
      <w:bookmarkEnd w:id="8"/>
    </w:p>
    <w:p w14:paraId="66149854" w14:textId="3F24C4E7" w:rsidR="0064014A" w:rsidRDefault="0064014A" w:rsidP="0064014A">
      <w:pPr>
        <w:pStyle w:val="Heading3"/>
        <w:rPr>
          <w:lang w:bidi="he-IL"/>
        </w:rPr>
      </w:pPr>
      <w:bookmarkStart w:id="9" w:name="_Toc470162671"/>
      <w:r>
        <w:rPr>
          <w:lang w:bidi="he-IL"/>
        </w:rPr>
        <w:t>Proposed new subsection 10(9)</w:t>
      </w:r>
      <w:bookmarkEnd w:id="9"/>
    </w:p>
    <w:p w14:paraId="446DD57B" w14:textId="709B4ED8" w:rsidR="006D156C" w:rsidRDefault="00CF0A88" w:rsidP="006D156C">
      <w:r>
        <w:rPr>
          <w:lang w:bidi="he-IL"/>
        </w:rPr>
        <w:t>As part of the consultation i</w:t>
      </w:r>
      <w:r w:rsidR="0064014A">
        <w:rPr>
          <w:lang w:bidi="he-IL"/>
        </w:rPr>
        <w:t>t was p</w:t>
      </w:r>
      <w:r w:rsidR="004C3A76">
        <w:rPr>
          <w:lang w:bidi="he-IL"/>
        </w:rPr>
        <w:t xml:space="preserve">roposed </w:t>
      </w:r>
      <w:r w:rsidR="0064014A">
        <w:rPr>
          <w:lang w:bidi="he-IL"/>
        </w:rPr>
        <w:t xml:space="preserve">that </w:t>
      </w:r>
      <w:r w:rsidR="004C3A76">
        <w:rPr>
          <w:lang w:bidi="he-IL"/>
        </w:rPr>
        <w:t>subsection 10(9</w:t>
      </w:r>
      <w:r w:rsidR="004C3A76" w:rsidRPr="0091363E">
        <w:rPr>
          <w:lang w:bidi="he-IL"/>
        </w:rPr>
        <w:t xml:space="preserve">) </w:t>
      </w:r>
      <w:r w:rsidR="004C3A76" w:rsidRPr="0091363E">
        <w:t>be added to allow</w:t>
      </w:r>
      <w:r w:rsidR="004C3A76" w:rsidRPr="009F3EA3">
        <w:t xml:space="preserve"> the authorisation of mobile earth station receivers in bands allocated for fixed-satellite receivers (space-to-Earth). </w:t>
      </w:r>
      <w:r w:rsidR="006D156C">
        <w:t>This proposal received some support</w:t>
      </w:r>
      <w:r w:rsidR="00614B93">
        <w:t>;</w:t>
      </w:r>
      <w:r w:rsidR="006D156C">
        <w:t xml:space="preserve"> however concerns were raised that this provision would apply to all FSS bands. It was suggested that the subsection should be redrafted to apply to specific FSS bands where the change is necessary and that these bands should all be below 24.25 GHz so as not to undermine global consideration of candidate 5G bands above 24.25</w:t>
      </w:r>
      <w:r w:rsidR="008B706A" w:rsidRPr="00777544">
        <w:rPr>
          <w:rFonts w:cs="Arial"/>
          <w:szCs w:val="20"/>
          <w:lang w:val="en-US"/>
        </w:rPr>
        <w:t> </w:t>
      </w:r>
      <w:r w:rsidR="006D156C">
        <w:t xml:space="preserve">GHz. </w:t>
      </w:r>
    </w:p>
    <w:p w14:paraId="69D77936" w14:textId="5D501FDC" w:rsidR="004C3A76" w:rsidRPr="00380CF9" w:rsidRDefault="004C3A76" w:rsidP="00C248AC">
      <w:r w:rsidRPr="00777544">
        <w:t xml:space="preserve">This provision is intended to </w:t>
      </w:r>
      <w:r w:rsidR="00F569D1" w:rsidRPr="00380CF9">
        <w:t>remove a regulatory barrier (i</w:t>
      </w:r>
      <w:r w:rsidR="002E6A5B" w:rsidRPr="00380CF9">
        <w:t>.</w:t>
      </w:r>
      <w:r w:rsidR="00F569D1" w:rsidRPr="00380CF9">
        <w:t>e</w:t>
      </w:r>
      <w:r w:rsidR="002E6A5B" w:rsidRPr="00380CF9">
        <w:t>.</w:t>
      </w:r>
      <w:r w:rsidR="00F569D1" w:rsidRPr="00380CF9">
        <w:t xml:space="preserve"> </w:t>
      </w:r>
      <w:r w:rsidRPr="00777544">
        <w:t>add flexibility to the type of devices that can be used to receive satellite transmissions</w:t>
      </w:r>
      <w:r w:rsidR="003E705B" w:rsidRPr="00380CF9">
        <w:t>)</w:t>
      </w:r>
      <w:r w:rsidR="00F569D1" w:rsidRPr="00380CF9">
        <w:t xml:space="preserve"> and improve the alignment with international practices that typically have more flexibility in the licensing of earth </w:t>
      </w:r>
      <w:r w:rsidR="003E705B" w:rsidRPr="00380CF9">
        <w:t xml:space="preserve">station </w:t>
      </w:r>
      <w:r w:rsidR="00F569D1" w:rsidRPr="00380CF9">
        <w:t>receivers</w:t>
      </w:r>
      <w:r w:rsidRPr="00777544">
        <w:t xml:space="preserve">. As the proposed subsection applies only to receivers, </w:t>
      </w:r>
      <w:r w:rsidR="00EE1286" w:rsidRPr="00777544">
        <w:t xml:space="preserve">it is considered that there is no </w:t>
      </w:r>
      <w:r w:rsidR="00EE1286">
        <w:t xml:space="preserve">increased </w:t>
      </w:r>
      <w:r w:rsidR="00EE1286" w:rsidRPr="00777544">
        <w:t xml:space="preserve">risk of </w:t>
      </w:r>
      <w:r w:rsidR="00EE1286">
        <w:t>interference with other services. The</w:t>
      </w:r>
      <w:r w:rsidRPr="00777544">
        <w:t xml:space="preserve"> transmitting satellites</w:t>
      </w:r>
      <w:r w:rsidR="00C762E3">
        <w:t xml:space="preserve">, which are </w:t>
      </w:r>
      <w:r w:rsidR="00EE1286">
        <w:t>the pote</w:t>
      </w:r>
      <w:r w:rsidR="00C762E3">
        <w:t>ntial interferers in the system,</w:t>
      </w:r>
      <w:r w:rsidR="00EE1286">
        <w:t xml:space="preserve"> will </w:t>
      </w:r>
      <w:r w:rsidRPr="00777544">
        <w:t xml:space="preserve">have completed (or be in the process of completing) the ITU satellite coordination process, </w:t>
      </w:r>
      <w:r w:rsidR="00EE1286">
        <w:t xml:space="preserve">as usual. </w:t>
      </w:r>
      <w:r w:rsidR="003C11F7" w:rsidRPr="00777544">
        <w:t>It is also noted that while the clause only applies to receivers, any arrangements to allow for the use of any band for mobile earth station receivers will be the subject of planning consideration and consultation. As such, it is considered that the flexibility provided by clause 10(9) will not undermine consideration of candidate 5G bands above 24.25</w:t>
      </w:r>
      <w:r w:rsidR="008B706A" w:rsidRPr="00777544">
        <w:rPr>
          <w:rFonts w:cs="Arial"/>
          <w:szCs w:val="20"/>
          <w:lang w:val="en-US"/>
        </w:rPr>
        <w:t> </w:t>
      </w:r>
      <w:r w:rsidR="003C11F7" w:rsidRPr="00777544">
        <w:t>GHz.</w:t>
      </w:r>
    </w:p>
    <w:p w14:paraId="2439B7AA" w14:textId="37AA87A0" w:rsidR="003C11F7" w:rsidRDefault="003C11F7" w:rsidP="002A1150">
      <w:pPr>
        <w:spacing w:after="80"/>
      </w:pPr>
      <w:r w:rsidRPr="00777544">
        <w:t>In light of the comments received and the responses outlined above, the proposed clause 10(</w:t>
      </w:r>
      <w:r w:rsidRPr="00380CF9">
        <w:t>9) will be implemented as proposed in the consultation package</w:t>
      </w:r>
      <w:r w:rsidR="003E705B" w:rsidRPr="00380CF9">
        <w:t xml:space="preserve"> with </w:t>
      </w:r>
      <w:r w:rsidR="00CA5D6E" w:rsidRPr="00380CF9">
        <w:t>a slight</w:t>
      </w:r>
      <w:r w:rsidR="003E705B" w:rsidRPr="00380CF9">
        <w:t xml:space="preserve"> </w:t>
      </w:r>
      <w:r w:rsidR="00CA5D6E" w:rsidRPr="00EE6A41">
        <w:t>modification</w:t>
      </w:r>
      <w:r w:rsidRPr="00EE6A41">
        <w:t>.</w:t>
      </w:r>
      <w:r w:rsidR="003E705B" w:rsidRPr="00EE6A41">
        <w:t xml:space="preserve"> The modification has been made to avoid </w:t>
      </w:r>
      <w:r w:rsidR="00B43A74" w:rsidRPr="00EE6A41">
        <w:t>regulatory ambiguity</w:t>
      </w:r>
      <w:r w:rsidR="006F070A" w:rsidRPr="00EE6A41">
        <w:t xml:space="preserve"> with</w:t>
      </w:r>
      <w:r w:rsidR="003E705B" w:rsidRPr="00EE6A41">
        <w:t xml:space="preserve"> the</w:t>
      </w:r>
      <w:r w:rsidR="003E705B" w:rsidRPr="002E6A5B">
        <w:t xml:space="preserve"> term </w:t>
      </w:r>
      <w:r w:rsidR="003E705B" w:rsidRPr="002E6A5B">
        <w:rPr>
          <w:i/>
        </w:rPr>
        <w:t>mobile earth station</w:t>
      </w:r>
      <w:r w:rsidR="003E705B" w:rsidRPr="002E6A5B">
        <w:t xml:space="preserve"> which has a specific </w:t>
      </w:r>
      <w:r w:rsidR="00CA5D6E">
        <w:t>meaning</w:t>
      </w:r>
      <w:r w:rsidR="003E705B" w:rsidRPr="002E6A5B">
        <w:t xml:space="preserve"> in the </w:t>
      </w:r>
      <w:r w:rsidR="00B43A74" w:rsidRPr="002A1150">
        <w:t>Radiocommunications (Interpretation) Determination 2015</w:t>
      </w:r>
      <w:r w:rsidR="003E705B" w:rsidRPr="00957DE6">
        <w:t>.</w:t>
      </w:r>
      <w:r w:rsidR="003E705B" w:rsidRPr="002E6A5B">
        <w:t xml:space="preserve"> The </w:t>
      </w:r>
      <w:r w:rsidR="00CA5D6E">
        <w:t xml:space="preserve">use of the </w:t>
      </w:r>
      <w:r w:rsidR="003E705B" w:rsidRPr="002E6A5B">
        <w:t xml:space="preserve">new </w:t>
      </w:r>
      <w:r w:rsidR="00CA5D6E">
        <w:t>text ‘earth station receiver</w:t>
      </w:r>
      <w:r w:rsidR="006F070A">
        <w:t>s</w:t>
      </w:r>
      <w:r w:rsidR="00CA5D6E">
        <w:t xml:space="preserve"> in </w:t>
      </w:r>
      <w:r w:rsidR="00CA5D6E">
        <w:lastRenderedPageBreak/>
        <w:t>motion’</w:t>
      </w:r>
      <w:r w:rsidR="003E705B" w:rsidRPr="002E6A5B">
        <w:t xml:space="preserve"> </w:t>
      </w:r>
      <w:r w:rsidR="00B43A74">
        <w:t xml:space="preserve">also </w:t>
      </w:r>
      <w:r w:rsidR="003E705B" w:rsidRPr="002E6A5B">
        <w:t>better conveys the intent of the clause</w:t>
      </w:r>
      <w:r w:rsidR="00B43A74">
        <w:t xml:space="preserve"> to support the use of earth stations in motion in bands allocated to the FSS</w:t>
      </w:r>
      <w:r w:rsidR="003E705B" w:rsidRPr="002E6A5B">
        <w:t xml:space="preserve">. The </w:t>
      </w:r>
      <w:r w:rsidR="00B43A74">
        <w:t xml:space="preserve">final </w:t>
      </w:r>
      <w:r w:rsidR="006F070A">
        <w:t>form of clause</w:t>
      </w:r>
      <w:r w:rsidR="003E705B" w:rsidRPr="002E6A5B">
        <w:t xml:space="preserve"> 10(9) will be: </w:t>
      </w:r>
    </w:p>
    <w:p w14:paraId="2C1A1450" w14:textId="73A6F920" w:rsidR="006F070A" w:rsidRPr="006F070A" w:rsidRDefault="000B5F49" w:rsidP="002E6A5B">
      <w:pPr>
        <w:ind w:left="567" w:right="583"/>
        <w:rPr>
          <w:i/>
          <w:iCs/>
        </w:rPr>
      </w:pPr>
      <w:r w:rsidRPr="000B5F49">
        <w:rPr>
          <w:i/>
          <w:iCs/>
        </w:rPr>
        <w:t>A frequency band may be used by an earth receive station in a frequency band allocated for the fixed-satellite service (space-to-Earth) where that station is in motion, or in a stationary position at an unspecified point on land, on water or in the air.</w:t>
      </w:r>
    </w:p>
    <w:p w14:paraId="46A171B4" w14:textId="2E9FD2EF" w:rsidR="0064014A" w:rsidRDefault="0064014A" w:rsidP="0064014A">
      <w:pPr>
        <w:pStyle w:val="Heading3"/>
        <w:rPr>
          <w:lang w:bidi="he-IL"/>
        </w:rPr>
      </w:pPr>
      <w:bookmarkStart w:id="10" w:name="_Toc470162672"/>
      <w:r>
        <w:rPr>
          <w:lang w:bidi="he-IL"/>
        </w:rPr>
        <w:t>Proposed new subsection 10(10)</w:t>
      </w:r>
      <w:bookmarkEnd w:id="10"/>
    </w:p>
    <w:p w14:paraId="543DA320" w14:textId="233A74CC" w:rsidR="006D156C" w:rsidRDefault="00CF0A88" w:rsidP="004C3A76">
      <w:pPr>
        <w:rPr>
          <w:rFonts w:cs="Arial"/>
        </w:rPr>
      </w:pPr>
      <w:r>
        <w:rPr>
          <w:lang w:bidi="he-IL"/>
        </w:rPr>
        <w:t xml:space="preserve">As part of the consultation </w:t>
      </w:r>
      <w:r>
        <w:rPr>
          <w:rFonts w:cs="Arial"/>
        </w:rPr>
        <w:t>i</w:t>
      </w:r>
      <w:r w:rsidR="006D156C">
        <w:rPr>
          <w:rFonts w:cs="Arial"/>
        </w:rPr>
        <w:t>t was p</w:t>
      </w:r>
      <w:r w:rsidR="004C3A76">
        <w:rPr>
          <w:rFonts w:cs="Arial"/>
        </w:rPr>
        <w:t xml:space="preserve">roposed </w:t>
      </w:r>
      <w:r w:rsidR="006D156C">
        <w:rPr>
          <w:rFonts w:cs="Arial"/>
        </w:rPr>
        <w:t xml:space="preserve">that </w:t>
      </w:r>
      <w:r w:rsidR="004C3A76">
        <w:rPr>
          <w:rFonts w:cs="Arial"/>
        </w:rPr>
        <w:t>subsection 10(10</w:t>
      </w:r>
      <w:r w:rsidR="004C3A76" w:rsidRPr="00570A7F">
        <w:rPr>
          <w:rFonts w:cs="Arial"/>
        </w:rPr>
        <w:t>)</w:t>
      </w:r>
      <w:r w:rsidR="004C3A76" w:rsidRPr="009F3EA3">
        <w:rPr>
          <w:rFonts w:cs="Arial"/>
        </w:rPr>
        <w:t xml:space="preserve"> </w:t>
      </w:r>
      <w:r w:rsidR="006D156C">
        <w:rPr>
          <w:rFonts w:cs="Arial"/>
        </w:rPr>
        <w:t xml:space="preserve">be added </w:t>
      </w:r>
      <w:r w:rsidR="004C3A76" w:rsidRPr="009F3EA3">
        <w:rPr>
          <w:rFonts w:cs="Arial"/>
        </w:rPr>
        <w:t xml:space="preserve">to provide </w:t>
      </w:r>
      <w:r w:rsidR="0019215F">
        <w:rPr>
          <w:rFonts w:cs="Arial"/>
        </w:rPr>
        <w:t>greater</w:t>
      </w:r>
      <w:r w:rsidR="0019215F" w:rsidRPr="009F3EA3">
        <w:rPr>
          <w:rFonts w:cs="Arial"/>
        </w:rPr>
        <w:t xml:space="preserve"> </w:t>
      </w:r>
      <w:r w:rsidR="004C3A76" w:rsidRPr="009F3EA3">
        <w:rPr>
          <w:rFonts w:cs="Arial"/>
        </w:rPr>
        <w:t xml:space="preserve">flexibility </w:t>
      </w:r>
      <w:r w:rsidR="004C3A76">
        <w:rPr>
          <w:rFonts w:cs="Arial"/>
        </w:rPr>
        <w:t>for spectrum uses not contemplated at the time the Spectrum Plan was made</w:t>
      </w:r>
      <w:r w:rsidR="004C3A76" w:rsidRPr="009F3EA3">
        <w:rPr>
          <w:rFonts w:cs="Arial"/>
        </w:rPr>
        <w:t xml:space="preserve">. </w:t>
      </w:r>
      <w:r w:rsidR="004C3A76">
        <w:rPr>
          <w:rFonts w:cs="Arial"/>
        </w:rPr>
        <w:t>The proposed subsection would</w:t>
      </w:r>
      <w:r w:rsidR="004C3A76" w:rsidRPr="009F3EA3">
        <w:rPr>
          <w:rFonts w:cs="Arial"/>
        </w:rPr>
        <w:t xml:space="preserve"> allow</w:t>
      </w:r>
      <w:r w:rsidR="004C3A76">
        <w:rPr>
          <w:rFonts w:cs="Arial"/>
        </w:rPr>
        <w:t xml:space="preserve"> </w:t>
      </w:r>
      <w:proofErr w:type="spellStart"/>
      <w:r w:rsidR="004C3A76">
        <w:rPr>
          <w:rFonts w:cs="Arial"/>
        </w:rPr>
        <w:t>radiocommunication</w:t>
      </w:r>
      <w:proofErr w:type="spellEnd"/>
      <w:r w:rsidR="004C3A76" w:rsidRPr="009F3EA3">
        <w:rPr>
          <w:rFonts w:cs="Arial"/>
        </w:rPr>
        <w:t xml:space="preserve"> services to operate in </w:t>
      </w:r>
      <w:r w:rsidR="004C3A76">
        <w:rPr>
          <w:rFonts w:cs="Arial"/>
        </w:rPr>
        <w:t xml:space="preserve">frequency bands not </w:t>
      </w:r>
      <w:r>
        <w:rPr>
          <w:rFonts w:cs="Arial"/>
        </w:rPr>
        <w:t xml:space="preserve">allocated </w:t>
      </w:r>
      <w:r w:rsidR="004C3A76">
        <w:rPr>
          <w:rFonts w:cs="Arial"/>
        </w:rPr>
        <w:t>for those services</w:t>
      </w:r>
      <w:r w:rsidR="00FF7349">
        <w:rPr>
          <w:rFonts w:cs="Arial"/>
        </w:rPr>
        <w:t>,</w:t>
      </w:r>
      <w:r w:rsidR="004C3A76" w:rsidRPr="00570A7F">
        <w:rPr>
          <w:rFonts w:cs="Arial"/>
        </w:rPr>
        <w:t xml:space="preserve"> </w:t>
      </w:r>
      <w:r w:rsidR="004C3A76">
        <w:rPr>
          <w:rFonts w:cs="Arial"/>
        </w:rPr>
        <w:t>in</w:t>
      </w:r>
      <w:r w:rsidR="004C3A76" w:rsidRPr="009F3EA3">
        <w:rPr>
          <w:rFonts w:cs="Arial"/>
        </w:rPr>
        <w:t xml:space="preserve"> circumstances</w:t>
      </w:r>
      <w:r w:rsidR="004C3A76">
        <w:rPr>
          <w:rFonts w:cs="Arial"/>
        </w:rPr>
        <w:t xml:space="preserve"> where the ACMA is satisfied that the subject service is unlikely to cause harmful interference to another service</w:t>
      </w:r>
      <w:r w:rsidR="004C3A76" w:rsidRPr="009F3EA3">
        <w:rPr>
          <w:rFonts w:cs="Arial"/>
        </w:rPr>
        <w:t>.</w:t>
      </w:r>
      <w:r w:rsidR="006D156C">
        <w:rPr>
          <w:rFonts w:cs="Arial"/>
        </w:rPr>
        <w:t xml:space="preserve"> A draft policy document that set</w:t>
      </w:r>
      <w:r w:rsidR="0019215F">
        <w:rPr>
          <w:rFonts w:cs="Arial"/>
        </w:rPr>
        <w:t>s</w:t>
      </w:r>
      <w:r w:rsidR="006D156C">
        <w:rPr>
          <w:rFonts w:cs="Arial"/>
        </w:rPr>
        <w:t xml:space="preserve"> out how the ACMA will exercise its power under this proposed provision was also provided as part of the consultation</w:t>
      </w:r>
      <w:r w:rsidR="00957DE6">
        <w:rPr>
          <w:rFonts w:cs="Arial"/>
        </w:rPr>
        <w:t>,</w:t>
      </w:r>
      <w:r w:rsidR="006D156C">
        <w:rPr>
          <w:rFonts w:cs="Arial"/>
        </w:rPr>
        <w:t xml:space="preserve"> along with case studies illustrating situations where this new clause could potentially be used.</w:t>
      </w:r>
    </w:p>
    <w:p w14:paraId="26A20A60" w14:textId="65E3271E" w:rsidR="003C11F7" w:rsidRPr="009F3EA3" w:rsidRDefault="0019215F" w:rsidP="003C11F7">
      <w:pPr>
        <w:rPr>
          <w:rFonts w:cs="Arial"/>
        </w:rPr>
      </w:pPr>
      <w:r>
        <w:rPr>
          <w:rFonts w:cs="Arial"/>
        </w:rPr>
        <w:t>While there was a degree of support for the proposal, s</w:t>
      </w:r>
      <w:r w:rsidR="00EF6888">
        <w:rPr>
          <w:rFonts w:cs="Arial"/>
        </w:rPr>
        <w:t xml:space="preserve">ome concerns were raised with the proposed new subsection 10(10) with </w:t>
      </w:r>
      <w:r w:rsidR="001261E1">
        <w:rPr>
          <w:rFonts w:cs="Arial"/>
        </w:rPr>
        <w:t>a number of respondents</w:t>
      </w:r>
      <w:r w:rsidR="00EF6888">
        <w:rPr>
          <w:rFonts w:cs="Arial"/>
        </w:rPr>
        <w:t xml:space="preserve"> noting that use of the subsection should be subject to public consultation and should not result in any detrimental interference</w:t>
      </w:r>
      <w:r w:rsidR="00957DE6">
        <w:rPr>
          <w:rFonts w:cs="Arial"/>
        </w:rPr>
        <w:t>,</w:t>
      </w:r>
      <w:r w:rsidR="00EF6888">
        <w:rPr>
          <w:rFonts w:cs="Arial"/>
        </w:rPr>
        <w:t xml:space="preserve"> nor impact on </w:t>
      </w:r>
      <w:r w:rsidR="00EF6888" w:rsidRPr="00380CF9">
        <w:rPr>
          <w:rFonts w:cs="Arial"/>
        </w:rPr>
        <w:t xml:space="preserve">existing assignments. </w:t>
      </w:r>
      <w:r w:rsidR="003C11F7" w:rsidRPr="00380CF9">
        <w:t xml:space="preserve">The draft policy document showed that the ACMA </w:t>
      </w:r>
      <w:r w:rsidR="0098242B">
        <w:t>will</w:t>
      </w:r>
      <w:r w:rsidR="003C11F7" w:rsidRPr="00380CF9">
        <w:t xml:space="preserve"> commit to consultation with </w:t>
      </w:r>
      <w:r w:rsidR="0098242B">
        <w:t xml:space="preserve">potentially </w:t>
      </w:r>
      <w:r w:rsidR="003C11F7" w:rsidRPr="00380CF9">
        <w:t xml:space="preserve">affected parties </w:t>
      </w:r>
      <w:r w:rsidR="00CF0A88" w:rsidRPr="00380CF9">
        <w:t>to ensure any unspecified services would not cause any adverse effects to exis</w:t>
      </w:r>
      <w:r w:rsidR="007D1E0D" w:rsidRPr="00380CF9">
        <w:t>t</w:t>
      </w:r>
      <w:r w:rsidR="00CF0A88" w:rsidRPr="00380CF9">
        <w:t>ing licensees or services.</w:t>
      </w:r>
    </w:p>
    <w:p w14:paraId="0E9A4B7F" w14:textId="319ADB8F" w:rsidR="003C11F7" w:rsidRPr="002A1150" w:rsidRDefault="001261E1" w:rsidP="003C11F7">
      <w:r>
        <w:t xml:space="preserve">One respondent expressed concern that the </w:t>
      </w:r>
      <w:r>
        <w:rPr>
          <w:rFonts w:cs="Arial"/>
        </w:rPr>
        <w:t xml:space="preserve">proposed new </w:t>
      </w:r>
      <w:r w:rsidRPr="00777544">
        <w:rPr>
          <w:rFonts w:cs="Arial"/>
        </w:rPr>
        <w:t xml:space="preserve">subsection 10(10) is too broad in that it applies across all bands. </w:t>
      </w:r>
      <w:r w:rsidR="005E6BE8" w:rsidRPr="00777544">
        <w:rPr>
          <w:rFonts w:cs="Arial"/>
        </w:rPr>
        <w:t xml:space="preserve">It was requested that the agreement of the relevant licensee(s) be obtained before considering the authorisation of unspecified services in a frequency range under spectrum licensing. </w:t>
      </w:r>
      <w:r w:rsidR="003C11F7" w:rsidRPr="00777544">
        <w:t xml:space="preserve">It is noted that protection of the rights of spectrum licensees is provided for under the </w:t>
      </w:r>
      <w:r w:rsidR="003C11F7" w:rsidRPr="0098242B">
        <w:rPr>
          <w:i/>
        </w:rPr>
        <w:t xml:space="preserve">Radiocommunications Act </w:t>
      </w:r>
      <w:r w:rsidR="0098242B" w:rsidRPr="0098242B">
        <w:rPr>
          <w:i/>
        </w:rPr>
        <w:t>1992</w:t>
      </w:r>
      <w:r w:rsidR="0098242B">
        <w:t xml:space="preserve"> </w:t>
      </w:r>
      <w:r w:rsidR="003C11F7" w:rsidRPr="00777544">
        <w:t>(specifically, sections 105 and 153</w:t>
      </w:r>
      <w:r w:rsidR="00CF0A88" w:rsidRPr="00777544">
        <w:t>P</w:t>
      </w:r>
      <w:r w:rsidR="003C11F7" w:rsidRPr="00777544">
        <w:t xml:space="preserve">). </w:t>
      </w:r>
      <w:r w:rsidR="00934489" w:rsidRPr="00777544">
        <w:rPr>
          <w:rFonts w:cs="Arial"/>
        </w:rPr>
        <w:t xml:space="preserve">Additional text </w:t>
      </w:r>
      <w:r w:rsidR="00934489" w:rsidRPr="00777544">
        <w:t xml:space="preserve">will be included in the final policy document to acknowledge that there are additional obligations under the Act that would </w:t>
      </w:r>
      <w:r w:rsidR="00934489" w:rsidRPr="008B706A">
        <w:t xml:space="preserve">need to be complied with </w:t>
      </w:r>
      <w:r w:rsidR="007C59F3" w:rsidRPr="008B706A">
        <w:t xml:space="preserve">when </w:t>
      </w:r>
      <w:r w:rsidR="0019215F" w:rsidRPr="008B706A">
        <w:t>c</w:t>
      </w:r>
      <w:r w:rsidR="00244D4F" w:rsidRPr="008B706A">
        <w:t>o</w:t>
      </w:r>
      <w:r w:rsidR="0019215F" w:rsidRPr="008B706A">
        <w:t xml:space="preserve">nsidering </w:t>
      </w:r>
      <w:r w:rsidR="007C59F3" w:rsidRPr="008B706A">
        <w:t>new services under subsection 10(10)</w:t>
      </w:r>
      <w:r w:rsidR="000313F8" w:rsidRPr="008B706A">
        <w:t>.</w:t>
      </w:r>
    </w:p>
    <w:p w14:paraId="232F7D3E" w14:textId="51542831" w:rsidR="00EF6888" w:rsidRDefault="00EF6888" w:rsidP="004C3A76">
      <w:pPr>
        <w:rPr>
          <w:rFonts w:cs="Arial"/>
        </w:rPr>
      </w:pPr>
      <w:r w:rsidRPr="00777544">
        <w:rPr>
          <w:rFonts w:cs="Arial"/>
        </w:rPr>
        <w:t xml:space="preserve">One respondent noted that </w:t>
      </w:r>
      <w:r w:rsidR="00086252" w:rsidRPr="00777544">
        <w:rPr>
          <w:rFonts w:cs="Arial"/>
        </w:rPr>
        <w:t xml:space="preserve">the draft policy document states that </w:t>
      </w:r>
      <w:r w:rsidRPr="00777544">
        <w:rPr>
          <w:rFonts w:cs="Arial"/>
        </w:rPr>
        <w:t>subsection 10(10)</w:t>
      </w:r>
      <w:r w:rsidR="00086252" w:rsidRPr="00777544">
        <w:rPr>
          <w:rFonts w:cs="Arial"/>
        </w:rPr>
        <w:t xml:space="preserve"> </w:t>
      </w:r>
      <w:r w:rsidR="008B706A">
        <w:rPr>
          <w:rFonts w:cs="Arial"/>
        </w:rPr>
        <w:t>‘</w:t>
      </w:r>
      <w:r w:rsidR="00086252" w:rsidRPr="00777544">
        <w:rPr>
          <w:rFonts w:cs="Arial"/>
        </w:rPr>
        <w:t>would not normally be used if there are other mechanisms that could or should be used to accommodate a new system</w:t>
      </w:r>
      <w:r w:rsidR="008B706A">
        <w:rPr>
          <w:rFonts w:cs="Arial"/>
        </w:rPr>
        <w:t>’</w:t>
      </w:r>
      <w:r w:rsidR="008B706A" w:rsidRPr="00777544">
        <w:rPr>
          <w:rFonts w:cs="Arial"/>
        </w:rPr>
        <w:t xml:space="preserve">. </w:t>
      </w:r>
      <w:r w:rsidR="00086252" w:rsidRPr="00777544">
        <w:rPr>
          <w:rFonts w:cs="Arial"/>
        </w:rPr>
        <w:t>They submitted that the</w:t>
      </w:r>
      <w:r w:rsidR="00086252">
        <w:rPr>
          <w:rFonts w:cs="Arial"/>
        </w:rPr>
        <w:t xml:space="preserve"> practicality of these other mechanisms, including their costs relative to the costs of licensing pursuant to subsection 10(10), is a relevant mat</w:t>
      </w:r>
      <w:r w:rsidR="001261E1">
        <w:rPr>
          <w:rFonts w:cs="Arial"/>
        </w:rPr>
        <w:t>ter, and that subsection 10(10) should be used in preference to other mechanisms that could be</w:t>
      </w:r>
      <w:r w:rsidR="007C59F3">
        <w:rPr>
          <w:rFonts w:cs="Arial"/>
        </w:rPr>
        <w:t>,</w:t>
      </w:r>
      <w:r w:rsidR="001261E1">
        <w:rPr>
          <w:rFonts w:cs="Arial"/>
        </w:rPr>
        <w:t xml:space="preserve"> but should not be</w:t>
      </w:r>
      <w:r w:rsidR="007C59F3">
        <w:rPr>
          <w:rFonts w:cs="Arial"/>
        </w:rPr>
        <w:t>,</w:t>
      </w:r>
      <w:r w:rsidR="001261E1">
        <w:rPr>
          <w:rFonts w:cs="Arial"/>
        </w:rPr>
        <w:t xml:space="preserve"> used to </w:t>
      </w:r>
      <w:r w:rsidR="001261E1" w:rsidRPr="00380CF9">
        <w:rPr>
          <w:rFonts w:cs="Arial"/>
        </w:rPr>
        <w:t xml:space="preserve">accommodate a new system. </w:t>
      </w:r>
      <w:r w:rsidR="001261E1" w:rsidRPr="00777544">
        <w:rPr>
          <w:rFonts w:cs="Arial"/>
        </w:rPr>
        <w:t>The ACMA notes that the intention of the proposed new subsection 10(10) is not to lower the costs of licensing</w:t>
      </w:r>
      <w:r w:rsidR="00957DE6">
        <w:rPr>
          <w:rFonts w:cs="Arial"/>
        </w:rPr>
        <w:t>,</w:t>
      </w:r>
      <w:r w:rsidR="001261E1" w:rsidRPr="00777544">
        <w:rPr>
          <w:rFonts w:cs="Arial"/>
        </w:rPr>
        <w:t xml:space="preserve"> and that this would not</w:t>
      </w:r>
      <w:r w:rsidR="00741892">
        <w:rPr>
          <w:rFonts w:cs="Arial"/>
        </w:rPr>
        <w:t xml:space="preserve"> ordinarily</w:t>
      </w:r>
      <w:r w:rsidR="001261E1" w:rsidRPr="00777544">
        <w:rPr>
          <w:rFonts w:cs="Arial"/>
        </w:rPr>
        <w:t xml:space="preserve"> be a matter that would be taken into account in consideration of the potential use of subsection 10(10).</w:t>
      </w:r>
    </w:p>
    <w:p w14:paraId="0E6422B5" w14:textId="00D09999" w:rsidR="001261E1" w:rsidRDefault="001261E1" w:rsidP="004C3A76">
      <w:pPr>
        <w:rPr>
          <w:rFonts w:cs="Arial"/>
        </w:rPr>
      </w:pPr>
      <w:r w:rsidRPr="00380CF9">
        <w:rPr>
          <w:rFonts w:cs="Arial"/>
        </w:rPr>
        <w:t xml:space="preserve">One respondent submitted that where appropriate, an assignment made to an unspecified service could also be given protection from future assignments for unspecified services. </w:t>
      </w:r>
      <w:r w:rsidRPr="00777544">
        <w:rPr>
          <w:rFonts w:cs="Arial"/>
        </w:rPr>
        <w:t xml:space="preserve">Additional text to this affect </w:t>
      </w:r>
      <w:r w:rsidR="00934489" w:rsidRPr="00777544">
        <w:rPr>
          <w:rFonts w:cs="Arial"/>
        </w:rPr>
        <w:t xml:space="preserve">will </w:t>
      </w:r>
      <w:r w:rsidRPr="00777544">
        <w:rPr>
          <w:rFonts w:cs="Arial"/>
        </w:rPr>
        <w:t xml:space="preserve">be included in the final version of the policy </w:t>
      </w:r>
      <w:r w:rsidR="00934489" w:rsidRPr="00777544">
        <w:rPr>
          <w:rFonts w:cs="Arial"/>
        </w:rPr>
        <w:t>document</w:t>
      </w:r>
      <w:r w:rsidRPr="00777544">
        <w:rPr>
          <w:rFonts w:cs="Arial"/>
        </w:rPr>
        <w:t>.</w:t>
      </w:r>
    </w:p>
    <w:p w14:paraId="6E9588C9" w14:textId="51FCE670" w:rsidR="00EF6888" w:rsidRPr="00380CF9" w:rsidRDefault="00EF6888" w:rsidP="004C3A76">
      <w:r>
        <w:t xml:space="preserve">One respondent raised concerns about the use of </w:t>
      </w:r>
      <w:proofErr w:type="spellStart"/>
      <w:r>
        <w:t>SmallSats</w:t>
      </w:r>
      <w:proofErr w:type="spellEnd"/>
      <w:r>
        <w:t xml:space="preserve"> in Australia under </w:t>
      </w:r>
      <w:r w:rsidRPr="00380CF9">
        <w:t xml:space="preserve">subsection 10(10). </w:t>
      </w:r>
      <w:r w:rsidRPr="00777544">
        <w:t xml:space="preserve">It should be noted that the </w:t>
      </w:r>
      <w:proofErr w:type="spellStart"/>
      <w:r w:rsidRPr="00777544">
        <w:t>SmallSats</w:t>
      </w:r>
      <w:proofErr w:type="spellEnd"/>
      <w:r w:rsidRPr="00777544">
        <w:t xml:space="preserve"> case study was included as a </w:t>
      </w:r>
      <w:r w:rsidR="0042401D">
        <w:t xml:space="preserve">hypothetical </w:t>
      </w:r>
      <w:r w:rsidRPr="00777544">
        <w:t xml:space="preserve">example only and in no way implies that the ACMA has developed plans to allow </w:t>
      </w:r>
      <w:proofErr w:type="spellStart"/>
      <w:r w:rsidRPr="00777544">
        <w:t>SmallSats</w:t>
      </w:r>
      <w:proofErr w:type="spellEnd"/>
      <w:r w:rsidRPr="00777544">
        <w:t xml:space="preserve"> under subsection 10(10). If or when arrangements for </w:t>
      </w:r>
      <w:proofErr w:type="spellStart"/>
      <w:r w:rsidRPr="00777544">
        <w:t>SmallSats</w:t>
      </w:r>
      <w:proofErr w:type="spellEnd"/>
      <w:r w:rsidRPr="00777544">
        <w:t xml:space="preserve"> in </w:t>
      </w:r>
      <w:r w:rsidRPr="00777544">
        <w:lastRenderedPageBreak/>
        <w:t>Australia are considered, subsection 10(10) may be required. However, planning, coordination and licensing of specific devices would be considered in the usual way.</w:t>
      </w:r>
    </w:p>
    <w:p w14:paraId="0552E787" w14:textId="15430BF1" w:rsidR="003C11F7" w:rsidRDefault="003C11F7" w:rsidP="004C3A76">
      <w:r w:rsidRPr="00777544">
        <w:t>In light of the comments received and the responses outlined above, the proposed clause 10(10) will be implemented as proposed in the consultation package with the aforementioned changes made to the policy document.</w:t>
      </w:r>
    </w:p>
    <w:p w14:paraId="2C91D5CF" w14:textId="2612BB24" w:rsidR="004C3A76" w:rsidRPr="00777544" w:rsidRDefault="004C3A76" w:rsidP="00777544">
      <w:pPr>
        <w:rPr>
          <w:rFonts w:cs="Arial"/>
          <w:b/>
          <w:sz w:val="28"/>
          <w:szCs w:val="28"/>
          <w:lang w:bidi="he-IL"/>
        </w:rPr>
      </w:pPr>
      <w:bookmarkStart w:id="11" w:name="_Toc460759363"/>
      <w:bookmarkStart w:id="12" w:name="_Toc470162673"/>
      <w:r w:rsidRPr="00777544">
        <w:rPr>
          <w:rStyle w:val="Heading2Char"/>
        </w:rPr>
        <w:t>Chapter 2</w:t>
      </w:r>
      <w:r w:rsidR="00354377" w:rsidRPr="00777544">
        <w:rPr>
          <w:rStyle w:val="Heading2Char"/>
        </w:rPr>
        <w:t>—</w:t>
      </w:r>
      <w:r w:rsidRPr="00777544">
        <w:rPr>
          <w:rStyle w:val="Heading2Char"/>
        </w:rPr>
        <w:t>Part 2</w:t>
      </w:r>
      <w:r w:rsidR="00354377" w:rsidRPr="00777544">
        <w:rPr>
          <w:rStyle w:val="Heading2Char"/>
        </w:rPr>
        <w:t>:</w:t>
      </w:r>
      <w:r w:rsidRPr="00777544">
        <w:rPr>
          <w:rStyle w:val="Heading2Char"/>
        </w:rPr>
        <w:t xml:space="preserve"> Table of </w:t>
      </w:r>
      <w:r w:rsidR="00354377" w:rsidRPr="00777544">
        <w:rPr>
          <w:rStyle w:val="Heading2Char"/>
        </w:rPr>
        <w:t>f</w:t>
      </w:r>
      <w:r w:rsidRPr="00777544">
        <w:rPr>
          <w:rStyle w:val="Heading2Char"/>
        </w:rPr>
        <w:t xml:space="preserve">requency </w:t>
      </w:r>
      <w:r w:rsidR="00354377" w:rsidRPr="00777544">
        <w:rPr>
          <w:rStyle w:val="Heading2Char"/>
        </w:rPr>
        <w:t>b</w:t>
      </w:r>
      <w:r w:rsidRPr="00777544">
        <w:rPr>
          <w:rStyle w:val="Heading2Char"/>
        </w:rPr>
        <w:t xml:space="preserve">and </w:t>
      </w:r>
      <w:r w:rsidR="00354377" w:rsidRPr="00777544">
        <w:rPr>
          <w:rStyle w:val="Heading2Char"/>
        </w:rPr>
        <w:t>a</w:t>
      </w:r>
      <w:r w:rsidRPr="00777544">
        <w:rPr>
          <w:rStyle w:val="Heading2Char"/>
        </w:rPr>
        <w:t>llocations</w:t>
      </w:r>
      <w:bookmarkEnd w:id="11"/>
      <w:bookmarkEnd w:id="12"/>
      <w:r w:rsidRPr="00777544">
        <w:rPr>
          <w:rFonts w:cs="Arial"/>
          <w:b/>
          <w:sz w:val="28"/>
          <w:szCs w:val="28"/>
          <w:lang w:bidi="he-IL"/>
        </w:rPr>
        <w:t xml:space="preserve"> </w:t>
      </w:r>
    </w:p>
    <w:p w14:paraId="71C420DE" w14:textId="3518BDCB" w:rsidR="004C3A76" w:rsidRPr="00B04CE5" w:rsidRDefault="004C3A76" w:rsidP="00957DE6">
      <w:pPr>
        <w:pStyle w:val="Heading3"/>
      </w:pPr>
      <w:bookmarkStart w:id="13" w:name="_Toc460759364"/>
      <w:bookmarkStart w:id="14" w:name="_Toc470162674"/>
      <w:r w:rsidRPr="00957DE6">
        <w:rPr>
          <w:rStyle w:val="Heading2Char"/>
          <w:b/>
          <w:bCs/>
          <w:iCs w:val="0"/>
          <w:sz w:val="20"/>
          <w:szCs w:val="26"/>
        </w:rPr>
        <w:t xml:space="preserve">Column 1: ITU Radio Regulations </w:t>
      </w:r>
      <w:r w:rsidR="00354377" w:rsidRPr="008538C8">
        <w:rPr>
          <w:rStyle w:val="Heading2Char"/>
          <w:b/>
          <w:bCs/>
          <w:iCs w:val="0"/>
          <w:sz w:val="20"/>
          <w:szCs w:val="26"/>
        </w:rPr>
        <w:t>t</w:t>
      </w:r>
      <w:r w:rsidRPr="00B04CE5">
        <w:rPr>
          <w:rStyle w:val="Heading2Char"/>
          <w:b/>
          <w:bCs/>
          <w:iCs w:val="0"/>
          <w:sz w:val="20"/>
          <w:szCs w:val="26"/>
        </w:rPr>
        <w:t xml:space="preserve">able of </w:t>
      </w:r>
      <w:r w:rsidR="00354377" w:rsidRPr="00B04CE5">
        <w:rPr>
          <w:rStyle w:val="Heading2Char"/>
          <w:b/>
          <w:bCs/>
          <w:iCs w:val="0"/>
          <w:sz w:val="20"/>
          <w:szCs w:val="26"/>
        </w:rPr>
        <w:t>a</w:t>
      </w:r>
      <w:r w:rsidRPr="00B04CE5">
        <w:rPr>
          <w:rStyle w:val="Heading2Char"/>
          <w:b/>
          <w:bCs/>
          <w:iCs w:val="0"/>
          <w:sz w:val="20"/>
          <w:szCs w:val="26"/>
        </w:rPr>
        <w:t>llocations</w:t>
      </w:r>
      <w:bookmarkEnd w:id="13"/>
      <w:bookmarkEnd w:id="14"/>
      <w:r w:rsidRPr="00B04CE5">
        <w:t xml:space="preserve"> </w:t>
      </w:r>
    </w:p>
    <w:p w14:paraId="0C2DC71C" w14:textId="1CE5C482" w:rsidR="004C3A76" w:rsidRPr="00777544" w:rsidRDefault="004C3A76" w:rsidP="00777544">
      <w:pPr>
        <w:rPr>
          <w:rFonts w:cs="Arial"/>
          <w:szCs w:val="20"/>
        </w:rPr>
      </w:pPr>
      <w:r w:rsidRPr="00777544">
        <w:rPr>
          <w:rFonts w:cs="Arial"/>
          <w:szCs w:val="20"/>
        </w:rPr>
        <w:t xml:space="preserve">These changes, agreed to in principle by Australia at WRC-15 in November 2015, are now subject to consideration by </w:t>
      </w:r>
      <w:r w:rsidR="00741892">
        <w:rPr>
          <w:rFonts w:cs="Arial"/>
          <w:szCs w:val="20"/>
        </w:rPr>
        <w:t>P</w:t>
      </w:r>
      <w:r w:rsidRPr="00777544">
        <w:rPr>
          <w:rFonts w:cs="Arial"/>
          <w:szCs w:val="20"/>
        </w:rPr>
        <w:t xml:space="preserve">arliament as well as the Joint Standing Committee on Treaties (JSCOT) and </w:t>
      </w:r>
      <w:r w:rsidR="00354377" w:rsidRPr="00777544">
        <w:rPr>
          <w:rFonts w:cs="Arial"/>
          <w:szCs w:val="20"/>
        </w:rPr>
        <w:t xml:space="preserve">the </w:t>
      </w:r>
      <w:r w:rsidRPr="00777544">
        <w:rPr>
          <w:rFonts w:cs="Arial"/>
          <w:szCs w:val="20"/>
        </w:rPr>
        <w:t xml:space="preserve">Federal Executive Council. Stakeholder consideration of the various issues reflected in the changes occurred prior to WRC-15, as part of developing Australian </w:t>
      </w:r>
      <w:r w:rsidR="00354377" w:rsidRPr="00777544">
        <w:rPr>
          <w:rFonts w:cs="Arial"/>
          <w:szCs w:val="20"/>
        </w:rPr>
        <w:t>p</w:t>
      </w:r>
      <w:r w:rsidRPr="00777544">
        <w:rPr>
          <w:rFonts w:cs="Arial"/>
          <w:szCs w:val="20"/>
        </w:rPr>
        <w:t xml:space="preserve">ositions on WRC-15 agenda items. </w:t>
      </w:r>
    </w:p>
    <w:p w14:paraId="533C245C" w14:textId="33DE68BC" w:rsidR="004C3A76" w:rsidRPr="00957DE6" w:rsidRDefault="004C3A76" w:rsidP="00957DE6">
      <w:pPr>
        <w:pStyle w:val="Heading3"/>
      </w:pPr>
      <w:bookmarkStart w:id="15" w:name="_Toc460759365"/>
      <w:bookmarkStart w:id="16" w:name="_Toc470162675"/>
      <w:r w:rsidRPr="00777544">
        <w:rPr>
          <w:lang w:bidi="he-IL"/>
        </w:rPr>
        <w:t xml:space="preserve">Column 2: Australian </w:t>
      </w:r>
      <w:r w:rsidR="00354377" w:rsidRPr="00777544">
        <w:rPr>
          <w:lang w:bidi="he-IL"/>
        </w:rPr>
        <w:t>t</w:t>
      </w:r>
      <w:r w:rsidRPr="00777544">
        <w:rPr>
          <w:lang w:bidi="he-IL"/>
        </w:rPr>
        <w:t xml:space="preserve">able of </w:t>
      </w:r>
      <w:r w:rsidR="00354377" w:rsidRPr="00777544">
        <w:rPr>
          <w:lang w:bidi="he-IL"/>
        </w:rPr>
        <w:t>a</w:t>
      </w:r>
      <w:r w:rsidRPr="00777544">
        <w:rPr>
          <w:lang w:bidi="he-IL"/>
        </w:rPr>
        <w:t>llocations</w:t>
      </w:r>
      <w:bookmarkEnd w:id="15"/>
      <w:bookmarkEnd w:id="16"/>
    </w:p>
    <w:p w14:paraId="1984261B" w14:textId="77777777" w:rsidR="0094497F" w:rsidRPr="00777544" w:rsidRDefault="0094497F" w:rsidP="00777544">
      <w:pPr>
        <w:rPr>
          <w:lang w:bidi="he-IL"/>
        </w:rPr>
      </w:pPr>
      <w:r w:rsidRPr="00777544">
        <w:rPr>
          <w:lang w:bidi="he-IL"/>
        </w:rPr>
        <w:t xml:space="preserve">A number of comments were received in support of various specific changes proposed. </w:t>
      </w:r>
    </w:p>
    <w:p w14:paraId="06A0D1E4" w14:textId="642D2F6A" w:rsidR="00706E19" w:rsidRPr="00777544" w:rsidRDefault="00B418CD" w:rsidP="00777544">
      <w:pPr>
        <w:rPr>
          <w:rFonts w:cs="Arial"/>
          <w:szCs w:val="20"/>
          <w:lang w:val="en-US"/>
        </w:rPr>
      </w:pPr>
      <w:r w:rsidRPr="00777544">
        <w:t>Two</w:t>
      </w:r>
      <w:r w:rsidR="00706E19" w:rsidRPr="00777544">
        <w:t xml:space="preserve"> respondent</w:t>
      </w:r>
      <w:r w:rsidRPr="00777544">
        <w:t>s</w:t>
      </w:r>
      <w:r w:rsidR="00706E19" w:rsidRPr="00777544">
        <w:t xml:space="preserve"> </w:t>
      </w:r>
      <w:r w:rsidR="00706E19" w:rsidRPr="00777544">
        <w:rPr>
          <w:rFonts w:cs="Arial"/>
          <w:szCs w:val="20"/>
          <w:lang w:val="en-US"/>
        </w:rPr>
        <w:t xml:space="preserve">requested extension of the </w:t>
      </w:r>
      <w:r w:rsidR="00890E3E">
        <w:rPr>
          <w:rFonts w:cs="Arial"/>
          <w:szCs w:val="20"/>
          <w:lang w:val="en-US"/>
        </w:rPr>
        <w:t>amateur</w:t>
      </w:r>
      <w:r w:rsidR="00706E19" w:rsidRPr="00777544">
        <w:rPr>
          <w:rFonts w:cs="Arial"/>
          <w:szCs w:val="20"/>
          <w:lang w:val="en-US"/>
        </w:rPr>
        <w:t xml:space="preserve"> allocation in the band 1800</w:t>
      </w:r>
      <w:r w:rsidR="00957DE6">
        <w:rPr>
          <w:rFonts w:cs="Arial"/>
          <w:szCs w:val="20"/>
          <w:lang w:val="en-US"/>
        </w:rPr>
        <w:t>–</w:t>
      </w:r>
      <w:r w:rsidR="00706E19" w:rsidRPr="00777544">
        <w:rPr>
          <w:rFonts w:cs="Arial"/>
          <w:szCs w:val="20"/>
          <w:lang w:val="en-US"/>
        </w:rPr>
        <w:t>1875 </w:t>
      </w:r>
      <w:proofErr w:type="gramStart"/>
      <w:r w:rsidR="00706E19" w:rsidRPr="00777544">
        <w:rPr>
          <w:rFonts w:cs="Arial"/>
          <w:szCs w:val="20"/>
          <w:lang w:val="en-US"/>
        </w:rPr>
        <w:t>kHz</w:t>
      </w:r>
      <w:proofErr w:type="gramEnd"/>
      <w:r w:rsidR="00706E19" w:rsidRPr="00777544">
        <w:rPr>
          <w:rFonts w:cs="Arial"/>
          <w:szCs w:val="20"/>
          <w:lang w:val="en-US"/>
        </w:rPr>
        <w:t xml:space="preserve"> to 1900</w:t>
      </w:r>
      <w:r w:rsidR="00D527B5" w:rsidRPr="00777544">
        <w:rPr>
          <w:rFonts w:cs="Arial"/>
          <w:szCs w:val="20"/>
          <w:lang w:val="en-US"/>
        </w:rPr>
        <w:t> </w:t>
      </w:r>
      <w:r w:rsidR="00706E19" w:rsidRPr="00777544">
        <w:rPr>
          <w:rFonts w:cs="Arial"/>
          <w:szCs w:val="20"/>
          <w:lang w:val="en-US"/>
        </w:rPr>
        <w:t>kHz</w:t>
      </w:r>
      <w:r w:rsidR="00957DE6">
        <w:rPr>
          <w:rFonts w:cs="Arial"/>
          <w:szCs w:val="20"/>
          <w:lang w:val="en-US"/>
        </w:rPr>
        <w:t>,</w:t>
      </w:r>
      <w:r w:rsidR="00706E19" w:rsidRPr="00777544">
        <w:rPr>
          <w:rFonts w:cs="Arial"/>
          <w:szCs w:val="20"/>
          <w:lang w:val="en-US"/>
        </w:rPr>
        <w:t xml:space="preserve"> or even to around 1999</w:t>
      </w:r>
      <w:r w:rsidR="00D527B5" w:rsidRPr="00777544">
        <w:rPr>
          <w:rFonts w:cs="Arial"/>
          <w:szCs w:val="20"/>
          <w:lang w:val="en-US"/>
        </w:rPr>
        <w:t> </w:t>
      </w:r>
      <w:r w:rsidR="00706E19" w:rsidRPr="00777544">
        <w:rPr>
          <w:rFonts w:cs="Arial"/>
          <w:szCs w:val="20"/>
          <w:lang w:val="en-US"/>
        </w:rPr>
        <w:t>kHz</w:t>
      </w:r>
      <w:r w:rsidR="00957DE6">
        <w:rPr>
          <w:rFonts w:cs="Arial"/>
          <w:szCs w:val="20"/>
          <w:lang w:val="en-US"/>
        </w:rPr>
        <w:t>,</w:t>
      </w:r>
      <w:r w:rsidR="00706E19" w:rsidRPr="00777544">
        <w:rPr>
          <w:rFonts w:cs="Arial"/>
          <w:szCs w:val="20"/>
          <w:lang w:val="en-US"/>
        </w:rPr>
        <w:t xml:space="preserve"> to bring Australia into line with the </w:t>
      </w:r>
      <w:r w:rsidR="00A55AD5">
        <w:rPr>
          <w:rFonts w:cs="Arial"/>
          <w:szCs w:val="20"/>
          <w:lang w:val="en-US"/>
        </w:rPr>
        <w:t>i</w:t>
      </w:r>
      <w:r w:rsidR="00A55AD5" w:rsidRPr="00777544">
        <w:rPr>
          <w:rFonts w:cs="Arial"/>
          <w:szCs w:val="20"/>
          <w:lang w:val="en-US"/>
        </w:rPr>
        <w:t xml:space="preserve">nternational </w:t>
      </w:r>
      <w:r w:rsidR="00706E19" w:rsidRPr="00777544">
        <w:rPr>
          <w:rFonts w:cs="Arial"/>
          <w:szCs w:val="20"/>
          <w:lang w:val="en-US"/>
        </w:rPr>
        <w:t>allocation to 2000</w:t>
      </w:r>
      <w:r w:rsidR="00D527B5" w:rsidRPr="00777544">
        <w:rPr>
          <w:rFonts w:cs="Arial"/>
          <w:szCs w:val="20"/>
          <w:lang w:val="en-US"/>
        </w:rPr>
        <w:t> </w:t>
      </w:r>
      <w:r w:rsidR="00706E19" w:rsidRPr="00777544">
        <w:rPr>
          <w:rFonts w:cs="Arial"/>
          <w:szCs w:val="20"/>
          <w:lang w:val="en-US"/>
        </w:rPr>
        <w:t xml:space="preserve">kHz. </w:t>
      </w:r>
      <w:r w:rsidR="004232F5" w:rsidRPr="00777544">
        <w:rPr>
          <w:rFonts w:cs="Arial"/>
          <w:szCs w:val="20"/>
          <w:lang w:val="en-US"/>
        </w:rPr>
        <w:t>There is significant use of this band above 1900 </w:t>
      </w:r>
      <w:proofErr w:type="gramStart"/>
      <w:r w:rsidR="004232F5" w:rsidRPr="00777544">
        <w:rPr>
          <w:rFonts w:cs="Arial"/>
          <w:szCs w:val="20"/>
          <w:lang w:val="en-US"/>
        </w:rPr>
        <w:t>kHz</w:t>
      </w:r>
      <w:proofErr w:type="gramEnd"/>
      <w:r w:rsidR="004232F5" w:rsidRPr="00777544">
        <w:rPr>
          <w:rFonts w:cs="Arial"/>
          <w:szCs w:val="20"/>
          <w:lang w:val="en-US"/>
        </w:rPr>
        <w:t xml:space="preserve">. Therefore, any expansion of </w:t>
      </w:r>
      <w:r w:rsidR="00890E3E">
        <w:rPr>
          <w:rFonts w:cs="Arial"/>
          <w:szCs w:val="20"/>
          <w:lang w:val="en-US"/>
        </w:rPr>
        <w:t>amateur</w:t>
      </w:r>
      <w:r w:rsidR="004232F5" w:rsidRPr="00777544">
        <w:rPr>
          <w:rFonts w:cs="Arial"/>
          <w:szCs w:val="20"/>
          <w:lang w:val="en-US"/>
        </w:rPr>
        <w:t xml:space="preserve"> operations would require investigation into the </w:t>
      </w:r>
      <w:r w:rsidR="007D1E0D" w:rsidRPr="00777544">
        <w:rPr>
          <w:rFonts w:cs="Arial"/>
          <w:szCs w:val="20"/>
          <w:lang w:val="en-US"/>
        </w:rPr>
        <w:t xml:space="preserve">effect on </w:t>
      </w:r>
      <w:r w:rsidR="004232F5" w:rsidRPr="00777544">
        <w:rPr>
          <w:rFonts w:cs="Arial"/>
          <w:szCs w:val="20"/>
          <w:lang w:val="en-US"/>
        </w:rPr>
        <w:t xml:space="preserve">adjacent band services. As this analysis has not </w:t>
      </w:r>
      <w:r w:rsidRPr="00777544">
        <w:rPr>
          <w:rFonts w:cs="Arial"/>
          <w:szCs w:val="20"/>
          <w:lang w:val="en-US"/>
        </w:rPr>
        <w:t>yet</w:t>
      </w:r>
      <w:r w:rsidR="004232F5" w:rsidRPr="00777544">
        <w:rPr>
          <w:rFonts w:cs="Arial"/>
          <w:szCs w:val="20"/>
          <w:lang w:val="en-US"/>
        </w:rPr>
        <w:t xml:space="preserve"> been undertaken, the allocation to the </w:t>
      </w:r>
      <w:r w:rsidR="00890E3E">
        <w:rPr>
          <w:rFonts w:cs="Arial"/>
          <w:szCs w:val="20"/>
          <w:lang w:val="en-US"/>
        </w:rPr>
        <w:t>amateur</w:t>
      </w:r>
      <w:r w:rsidR="004232F5" w:rsidRPr="00777544">
        <w:rPr>
          <w:rFonts w:cs="Arial"/>
          <w:szCs w:val="20"/>
          <w:lang w:val="en-US"/>
        </w:rPr>
        <w:t xml:space="preserve"> service in the 1800</w:t>
      </w:r>
      <w:r w:rsidR="00957DE6">
        <w:rPr>
          <w:rFonts w:cs="Arial"/>
          <w:szCs w:val="20"/>
          <w:lang w:val="en-US"/>
        </w:rPr>
        <w:t>–</w:t>
      </w:r>
      <w:r w:rsidR="004232F5" w:rsidRPr="00777544">
        <w:rPr>
          <w:rFonts w:cs="Arial"/>
          <w:szCs w:val="20"/>
          <w:lang w:val="en-US"/>
        </w:rPr>
        <w:t>1875</w:t>
      </w:r>
      <w:r w:rsidR="00D527B5" w:rsidRPr="00777544">
        <w:rPr>
          <w:rFonts w:cs="Arial"/>
          <w:szCs w:val="20"/>
          <w:lang w:val="en-US"/>
        </w:rPr>
        <w:t> </w:t>
      </w:r>
      <w:proofErr w:type="gramStart"/>
      <w:r w:rsidR="004232F5" w:rsidRPr="00777544">
        <w:rPr>
          <w:rFonts w:cs="Arial"/>
          <w:szCs w:val="20"/>
          <w:lang w:val="en-US"/>
        </w:rPr>
        <w:t>kHz</w:t>
      </w:r>
      <w:proofErr w:type="gramEnd"/>
      <w:r w:rsidR="00741892">
        <w:rPr>
          <w:rFonts w:cs="Arial"/>
          <w:szCs w:val="20"/>
          <w:lang w:val="en-US"/>
        </w:rPr>
        <w:t xml:space="preserve"> band</w:t>
      </w:r>
      <w:r w:rsidR="004232F5" w:rsidRPr="00777544">
        <w:rPr>
          <w:rFonts w:cs="Arial"/>
          <w:szCs w:val="20"/>
          <w:lang w:val="en-US"/>
        </w:rPr>
        <w:t xml:space="preserve"> will not be expanded at this time.</w:t>
      </w:r>
    </w:p>
    <w:p w14:paraId="13EE883F" w14:textId="496E85C4" w:rsidR="0085322C" w:rsidRPr="00777544" w:rsidRDefault="0085322C" w:rsidP="00777544">
      <w:r w:rsidRPr="00777544">
        <w:t>One respondent proposed an extension of</w:t>
      </w:r>
      <w:r w:rsidR="00BF68A1" w:rsidRPr="00777544">
        <w:t xml:space="preserve"> the </w:t>
      </w:r>
      <w:r w:rsidR="00890E3E">
        <w:t>amateur</w:t>
      </w:r>
      <w:r w:rsidR="00BF68A1" w:rsidRPr="00777544">
        <w:t xml:space="preserve"> allocation in the 3776</w:t>
      </w:r>
      <w:r w:rsidR="00D527B5">
        <w:t>–</w:t>
      </w:r>
      <w:r w:rsidR="00BF68A1" w:rsidRPr="00777544">
        <w:t>3800</w:t>
      </w:r>
      <w:r w:rsidR="00D527B5" w:rsidRPr="00777544">
        <w:rPr>
          <w:rFonts w:cs="Arial"/>
          <w:szCs w:val="20"/>
          <w:lang w:val="en-US"/>
        </w:rPr>
        <w:t> </w:t>
      </w:r>
      <w:proofErr w:type="gramStart"/>
      <w:r w:rsidR="00BF68A1" w:rsidRPr="00777544">
        <w:t>kHz</w:t>
      </w:r>
      <w:proofErr w:type="gramEnd"/>
      <w:r w:rsidR="00BF68A1" w:rsidRPr="00777544">
        <w:t xml:space="preserve"> band above 3800</w:t>
      </w:r>
      <w:r w:rsidR="00D527B5" w:rsidRPr="00777544">
        <w:rPr>
          <w:rFonts w:cs="Arial"/>
          <w:szCs w:val="20"/>
          <w:lang w:val="en-US"/>
        </w:rPr>
        <w:t> </w:t>
      </w:r>
      <w:r w:rsidR="00BF68A1" w:rsidRPr="00777544">
        <w:t>kHz.</w:t>
      </w:r>
      <w:r w:rsidRPr="00777544">
        <w:t xml:space="preserve"> </w:t>
      </w:r>
      <w:r w:rsidR="00BF68A1" w:rsidRPr="00777544">
        <w:t>There</w:t>
      </w:r>
      <w:r w:rsidR="00BF68A1" w:rsidRPr="00777544">
        <w:rPr>
          <w:rFonts w:cs="Arial"/>
          <w:szCs w:val="20"/>
          <w:lang w:val="en-US"/>
        </w:rPr>
        <w:t xml:space="preserve"> is significant use of this band above 3800</w:t>
      </w:r>
      <w:r w:rsidR="00D527B5" w:rsidRPr="00777544">
        <w:rPr>
          <w:rFonts w:cs="Arial"/>
          <w:szCs w:val="20"/>
          <w:lang w:val="en-US"/>
        </w:rPr>
        <w:t> </w:t>
      </w:r>
      <w:proofErr w:type="gramStart"/>
      <w:r w:rsidR="00BF68A1" w:rsidRPr="00777544">
        <w:rPr>
          <w:rFonts w:cs="Arial"/>
          <w:szCs w:val="20"/>
          <w:lang w:val="en-US"/>
        </w:rPr>
        <w:t>kHz</w:t>
      </w:r>
      <w:proofErr w:type="gramEnd"/>
      <w:r w:rsidR="00BF68A1" w:rsidRPr="00777544">
        <w:rPr>
          <w:rFonts w:cs="Arial"/>
          <w:szCs w:val="20"/>
          <w:lang w:val="en-US"/>
        </w:rPr>
        <w:t xml:space="preserve">. Therefore, any expansion of </w:t>
      </w:r>
      <w:r w:rsidR="00890E3E">
        <w:rPr>
          <w:rFonts w:cs="Arial"/>
          <w:szCs w:val="20"/>
          <w:lang w:val="en-US"/>
        </w:rPr>
        <w:t>amateur</w:t>
      </w:r>
      <w:r w:rsidR="00BF68A1" w:rsidRPr="00777544">
        <w:rPr>
          <w:rFonts w:cs="Arial"/>
          <w:szCs w:val="20"/>
          <w:lang w:val="en-US"/>
        </w:rPr>
        <w:t xml:space="preserve"> operations would require investigation into the </w:t>
      </w:r>
      <w:r w:rsidR="00BE79CA">
        <w:rPr>
          <w:rFonts w:cs="Arial"/>
          <w:szCs w:val="20"/>
          <w:lang w:val="en-US"/>
        </w:rPr>
        <w:t>effect</w:t>
      </w:r>
      <w:r w:rsidR="00BE79CA" w:rsidRPr="00777544">
        <w:rPr>
          <w:rFonts w:cs="Arial"/>
          <w:szCs w:val="20"/>
          <w:lang w:val="en-US"/>
        </w:rPr>
        <w:t xml:space="preserve"> </w:t>
      </w:r>
      <w:r w:rsidR="00BF68A1" w:rsidRPr="00777544">
        <w:rPr>
          <w:rFonts w:cs="Arial"/>
          <w:szCs w:val="20"/>
          <w:lang w:val="en-US"/>
        </w:rPr>
        <w:t xml:space="preserve">on these services. As this analysis has not yet been undertaken, the allocation to the </w:t>
      </w:r>
      <w:r w:rsidR="00890E3E">
        <w:rPr>
          <w:rFonts w:cs="Arial"/>
          <w:szCs w:val="20"/>
          <w:lang w:val="en-US"/>
        </w:rPr>
        <w:t>amateur</w:t>
      </w:r>
      <w:r w:rsidR="00BF68A1" w:rsidRPr="00777544">
        <w:rPr>
          <w:rFonts w:cs="Arial"/>
          <w:szCs w:val="20"/>
          <w:lang w:val="en-US"/>
        </w:rPr>
        <w:t xml:space="preserve"> service in the 3776</w:t>
      </w:r>
      <w:r w:rsidR="00D527B5">
        <w:rPr>
          <w:rFonts w:cs="Arial"/>
          <w:szCs w:val="20"/>
          <w:lang w:val="en-US"/>
        </w:rPr>
        <w:t>–</w:t>
      </w:r>
      <w:r w:rsidR="00BF68A1" w:rsidRPr="00777544">
        <w:rPr>
          <w:rFonts w:cs="Arial"/>
          <w:szCs w:val="20"/>
          <w:lang w:val="en-US"/>
        </w:rPr>
        <w:t>3800</w:t>
      </w:r>
      <w:r w:rsidR="00D527B5" w:rsidRPr="00777544">
        <w:rPr>
          <w:rFonts w:cs="Arial"/>
          <w:szCs w:val="20"/>
          <w:lang w:val="en-US"/>
        </w:rPr>
        <w:t> </w:t>
      </w:r>
      <w:proofErr w:type="gramStart"/>
      <w:r w:rsidR="00BF68A1" w:rsidRPr="00777544">
        <w:rPr>
          <w:rFonts w:cs="Arial"/>
          <w:szCs w:val="20"/>
          <w:lang w:val="en-US"/>
        </w:rPr>
        <w:t>kHz</w:t>
      </w:r>
      <w:proofErr w:type="gramEnd"/>
      <w:r w:rsidR="00BF68A1" w:rsidRPr="00777544">
        <w:rPr>
          <w:rFonts w:cs="Arial"/>
          <w:szCs w:val="20"/>
          <w:lang w:val="en-US"/>
        </w:rPr>
        <w:t xml:space="preserve"> </w:t>
      </w:r>
      <w:r w:rsidR="00741892">
        <w:rPr>
          <w:rFonts w:cs="Arial"/>
          <w:szCs w:val="20"/>
          <w:lang w:val="en-US"/>
        </w:rPr>
        <w:t xml:space="preserve">band </w:t>
      </w:r>
      <w:r w:rsidR="00BF68A1" w:rsidRPr="00777544">
        <w:rPr>
          <w:rFonts w:cs="Arial"/>
          <w:szCs w:val="20"/>
          <w:lang w:val="en-US"/>
        </w:rPr>
        <w:t>will not be expanded at this time.</w:t>
      </w:r>
    </w:p>
    <w:p w14:paraId="0654EDA2" w14:textId="504D326D" w:rsidR="00706E19" w:rsidRPr="00777544" w:rsidRDefault="00706E19" w:rsidP="00777544">
      <w:pPr>
        <w:rPr>
          <w:rFonts w:cs="Arial"/>
          <w:szCs w:val="20"/>
          <w:lang w:val="en-US"/>
        </w:rPr>
      </w:pPr>
      <w:r w:rsidRPr="00777544">
        <w:t xml:space="preserve">One respondent </w:t>
      </w:r>
      <w:r w:rsidRPr="00777544">
        <w:rPr>
          <w:rFonts w:cs="Arial"/>
          <w:szCs w:val="20"/>
          <w:lang w:val="en-US"/>
        </w:rPr>
        <w:t xml:space="preserve">proposed a new </w:t>
      </w:r>
      <w:r w:rsidR="00890E3E">
        <w:rPr>
          <w:rFonts w:cs="Arial"/>
          <w:szCs w:val="20"/>
          <w:lang w:val="en-US"/>
        </w:rPr>
        <w:t>amateur</w:t>
      </w:r>
      <w:r w:rsidRPr="00777544">
        <w:rPr>
          <w:rFonts w:cs="Arial"/>
          <w:szCs w:val="20"/>
          <w:lang w:val="en-US"/>
        </w:rPr>
        <w:t xml:space="preserve"> </w:t>
      </w:r>
      <w:r w:rsidR="004232F5" w:rsidRPr="00777544">
        <w:rPr>
          <w:rFonts w:cs="Arial"/>
          <w:szCs w:val="20"/>
          <w:lang w:val="en-US"/>
        </w:rPr>
        <w:t>allocation</w:t>
      </w:r>
      <w:r w:rsidRPr="00777544">
        <w:rPr>
          <w:rFonts w:cs="Arial"/>
          <w:szCs w:val="20"/>
          <w:lang w:val="en-US"/>
        </w:rPr>
        <w:t xml:space="preserve"> in the 5167</w:t>
      </w:r>
      <w:r w:rsidR="00D527B5">
        <w:rPr>
          <w:rFonts w:cs="Arial"/>
          <w:szCs w:val="20"/>
          <w:lang w:val="en-US"/>
        </w:rPr>
        <w:t>–</w:t>
      </w:r>
      <w:r w:rsidRPr="00777544">
        <w:rPr>
          <w:rFonts w:cs="Arial"/>
          <w:szCs w:val="20"/>
          <w:lang w:val="en-US"/>
        </w:rPr>
        <w:t>5171</w:t>
      </w:r>
      <w:r w:rsidR="00D527B5" w:rsidRPr="00777544">
        <w:rPr>
          <w:rFonts w:cs="Arial"/>
          <w:szCs w:val="20"/>
          <w:lang w:val="en-US"/>
        </w:rPr>
        <w:t> </w:t>
      </w:r>
      <w:proofErr w:type="gramStart"/>
      <w:r w:rsidRPr="00777544">
        <w:rPr>
          <w:rFonts w:cs="Arial"/>
          <w:szCs w:val="20"/>
          <w:lang w:val="en-US"/>
        </w:rPr>
        <w:t>kHz</w:t>
      </w:r>
      <w:proofErr w:type="gramEnd"/>
      <w:r w:rsidR="004232F5" w:rsidRPr="00777544">
        <w:rPr>
          <w:rFonts w:cs="Arial"/>
          <w:szCs w:val="20"/>
          <w:lang w:val="en-US"/>
        </w:rPr>
        <w:t xml:space="preserve"> band</w:t>
      </w:r>
      <w:r w:rsidRPr="00777544">
        <w:rPr>
          <w:rFonts w:cs="Arial"/>
          <w:szCs w:val="20"/>
          <w:lang w:val="en-US"/>
        </w:rPr>
        <w:t xml:space="preserve">. </w:t>
      </w:r>
      <w:r w:rsidR="004232F5" w:rsidRPr="00777544">
        <w:rPr>
          <w:rFonts w:cs="Arial"/>
          <w:szCs w:val="20"/>
          <w:lang w:val="en-US"/>
        </w:rPr>
        <w:t xml:space="preserve">There is no allocation to the </w:t>
      </w:r>
      <w:r w:rsidR="00890E3E">
        <w:rPr>
          <w:rFonts w:cs="Arial"/>
          <w:szCs w:val="20"/>
          <w:lang w:val="en-US"/>
        </w:rPr>
        <w:t>amateur</w:t>
      </w:r>
      <w:r w:rsidR="004232F5" w:rsidRPr="00777544">
        <w:rPr>
          <w:rFonts w:cs="Arial"/>
          <w:szCs w:val="20"/>
          <w:lang w:val="en-US"/>
        </w:rPr>
        <w:t xml:space="preserve"> service in or around this band in Regions 1, 2 or 3. Therefore, a new </w:t>
      </w:r>
      <w:r w:rsidR="00890E3E">
        <w:rPr>
          <w:rFonts w:cs="Arial"/>
          <w:szCs w:val="20"/>
          <w:lang w:val="en-US"/>
        </w:rPr>
        <w:t>amateur</w:t>
      </w:r>
      <w:r w:rsidR="004232F5" w:rsidRPr="00777544">
        <w:rPr>
          <w:rFonts w:cs="Arial"/>
          <w:szCs w:val="20"/>
          <w:lang w:val="en-US"/>
        </w:rPr>
        <w:t xml:space="preserve"> </w:t>
      </w:r>
      <w:r w:rsidR="00D527B5">
        <w:rPr>
          <w:rFonts w:cs="Arial"/>
          <w:szCs w:val="20"/>
          <w:lang w:val="en-US"/>
        </w:rPr>
        <w:t>s</w:t>
      </w:r>
      <w:r w:rsidR="004232F5" w:rsidRPr="00777544">
        <w:rPr>
          <w:rFonts w:cs="Arial"/>
          <w:szCs w:val="20"/>
          <w:lang w:val="en-US"/>
        </w:rPr>
        <w:t>ervice allocation in this band will not be included in the final version of the ARSP.</w:t>
      </w:r>
    </w:p>
    <w:p w14:paraId="362A630C" w14:textId="58D2896C" w:rsidR="008145D1" w:rsidRPr="00BE79CA" w:rsidRDefault="008145D1" w:rsidP="00777544">
      <w:pPr>
        <w:rPr>
          <w:szCs w:val="20"/>
        </w:rPr>
      </w:pPr>
      <w:r w:rsidRPr="00BE79CA">
        <w:rPr>
          <w:szCs w:val="20"/>
          <w:lang w:bidi="he-IL"/>
        </w:rPr>
        <w:t xml:space="preserve">A number of respondents supported the </w:t>
      </w:r>
      <w:r w:rsidRPr="00BE79CA">
        <w:rPr>
          <w:szCs w:val="20"/>
        </w:rPr>
        <w:t xml:space="preserve">proposed </w:t>
      </w:r>
      <w:r w:rsidR="00890E3E">
        <w:rPr>
          <w:szCs w:val="20"/>
        </w:rPr>
        <w:t>amateur</w:t>
      </w:r>
      <w:r w:rsidRPr="00BE79CA">
        <w:rPr>
          <w:szCs w:val="20"/>
        </w:rPr>
        <w:t xml:space="preserve"> allocation in the frequency band 5351.5</w:t>
      </w:r>
      <w:r w:rsidR="00D527B5">
        <w:rPr>
          <w:szCs w:val="20"/>
        </w:rPr>
        <w:t>–</w:t>
      </w:r>
      <w:r w:rsidRPr="00BE79CA">
        <w:rPr>
          <w:szCs w:val="20"/>
        </w:rPr>
        <w:t>5366.5</w:t>
      </w:r>
      <w:r w:rsidR="00D527B5" w:rsidRPr="00777544">
        <w:rPr>
          <w:rFonts w:cs="Arial"/>
          <w:szCs w:val="20"/>
          <w:lang w:val="en-US"/>
        </w:rPr>
        <w:t> </w:t>
      </w:r>
      <w:r w:rsidR="007D1E0D" w:rsidRPr="00BE79CA">
        <w:rPr>
          <w:szCs w:val="20"/>
        </w:rPr>
        <w:t>k</w:t>
      </w:r>
      <w:r w:rsidRPr="00BE79CA">
        <w:rPr>
          <w:szCs w:val="20"/>
        </w:rPr>
        <w:t xml:space="preserve">Hz however considered that the </w:t>
      </w:r>
      <w:r w:rsidR="005363AE">
        <w:rPr>
          <w:szCs w:val="20"/>
        </w:rPr>
        <w:t xml:space="preserve">limit of </w:t>
      </w:r>
      <w:r w:rsidRPr="00BE79CA">
        <w:rPr>
          <w:szCs w:val="20"/>
        </w:rPr>
        <w:t>15</w:t>
      </w:r>
      <w:r w:rsidR="00A55AD5">
        <w:rPr>
          <w:szCs w:val="20"/>
        </w:rPr>
        <w:t xml:space="preserve"> </w:t>
      </w:r>
      <w:r w:rsidRPr="00BE79CA">
        <w:rPr>
          <w:szCs w:val="20"/>
        </w:rPr>
        <w:t xml:space="preserve">W ERP </w:t>
      </w:r>
      <w:r w:rsidR="005363AE">
        <w:rPr>
          <w:szCs w:val="20"/>
        </w:rPr>
        <w:t xml:space="preserve">proposed in the Radio Regulations </w:t>
      </w:r>
      <w:r w:rsidRPr="00BE79CA">
        <w:rPr>
          <w:szCs w:val="20"/>
        </w:rPr>
        <w:t>was too low and that a limit of 50</w:t>
      </w:r>
      <w:r w:rsidR="00A55AD5">
        <w:rPr>
          <w:szCs w:val="20"/>
        </w:rPr>
        <w:t xml:space="preserve"> </w:t>
      </w:r>
      <w:r w:rsidRPr="00BE79CA">
        <w:rPr>
          <w:szCs w:val="20"/>
        </w:rPr>
        <w:t xml:space="preserve">W ERP would be more appropriate. These and other service planning issues </w:t>
      </w:r>
      <w:r w:rsidR="00F617C3">
        <w:rPr>
          <w:szCs w:val="20"/>
        </w:rPr>
        <w:t xml:space="preserve">are not within the scope of the ARSP, but they </w:t>
      </w:r>
      <w:r w:rsidRPr="00BE79CA">
        <w:rPr>
          <w:szCs w:val="20"/>
        </w:rPr>
        <w:t xml:space="preserve">will be considered </w:t>
      </w:r>
      <w:r w:rsidR="00704FDC">
        <w:rPr>
          <w:szCs w:val="20"/>
        </w:rPr>
        <w:t xml:space="preserve">the next time arrangements for the use of this band are reviewed. </w:t>
      </w:r>
    </w:p>
    <w:p w14:paraId="0A830A0D" w14:textId="459014F8" w:rsidR="00F6442F" w:rsidRPr="00777544" w:rsidRDefault="00B418CD" w:rsidP="00777544">
      <w:r w:rsidRPr="00777544">
        <w:t>Two</w:t>
      </w:r>
      <w:r w:rsidR="00F6442F" w:rsidRPr="00777544">
        <w:t xml:space="preserve"> respondent</w:t>
      </w:r>
      <w:r w:rsidRPr="00777544">
        <w:t>s</w:t>
      </w:r>
      <w:r w:rsidR="00F6442F" w:rsidRPr="00777544">
        <w:t xml:space="preserve"> suggested removal of the allocation to the </w:t>
      </w:r>
      <w:r w:rsidR="00890E3E">
        <w:t>broadcast</w:t>
      </w:r>
      <w:r w:rsidR="00F6442F" w:rsidRPr="00777544">
        <w:t>ing service in 7100</w:t>
      </w:r>
      <w:r w:rsidR="00D527B5">
        <w:t>–</w:t>
      </w:r>
      <w:r w:rsidR="00F6442F" w:rsidRPr="00777544">
        <w:t>7200</w:t>
      </w:r>
      <w:r w:rsidR="00D527B5" w:rsidRPr="00777544">
        <w:rPr>
          <w:rFonts w:cs="Arial"/>
          <w:szCs w:val="20"/>
          <w:lang w:val="en-US"/>
        </w:rPr>
        <w:t> </w:t>
      </w:r>
      <w:proofErr w:type="gramStart"/>
      <w:r w:rsidR="00F6442F" w:rsidRPr="00777544">
        <w:t>kHz</w:t>
      </w:r>
      <w:proofErr w:type="gramEnd"/>
      <w:r w:rsidR="00F6442F" w:rsidRPr="00777544">
        <w:t xml:space="preserve">. </w:t>
      </w:r>
      <w:r w:rsidR="0029568E" w:rsidRPr="002D1E56">
        <w:t xml:space="preserve">At this stage the ACMA has not identified an adequate case to remove the allocation. </w:t>
      </w:r>
      <w:r w:rsidR="0042613B" w:rsidRPr="00777544">
        <w:t>T</w:t>
      </w:r>
      <w:r w:rsidR="00F6442F" w:rsidRPr="002D1E56">
        <w:t>he</w:t>
      </w:r>
      <w:r w:rsidR="00F6442F" w:rsidRPr="00777544">
        <w:rPr>
          <w:rFonts w:cs="Arial"/>
          <w:szCs w:val="20"/>
          <w:lang w:val="en-US"/>
        </w:rPr>
        <w:t xml:space="preserve"> </w:t>
      </w:r>
      <w:r w:rsidR="00890E3E">
        <w:rPr>
          <w:rFonts w:cs="Arial"/>
          <w:szCs w:val="20"/>
          <w:lang w:val="en-US"/>
        </w:rPr>
        <w:t>broadcast</w:t>
      </w:r>
      <w:r w:rsidR="00F6442F" w:rsidRPr="00777544">
        <w:rPr>
          <w:rFonts w:cs="Arial"/>
          <w:szCs w:val="20"/>
          <w:lang w:val="en-US"/>
        </w:rPr>
        <w:t xml:space="preserve">ing </w:t>
      </w:r>
      <w:r w:rsidR="00D527B5">
        <w:rPr>
          <w:rFonts w:cs="Arial"/>
          <w:szCs w:val="20"/>
          <w:lang w:val="en-US"/>
        </w:rPr>
        <w:t>s</w:t>
      </w:r>
      <w:r w:rsidR="00D527B5" w:rsidRPr="00777544">
        <w:rPr>
          <w:rFonts w:cs="Arial"/>
          <w:szCs w:val="20"/>
          <w:lang w:val="en-US"/>
        </w:rPr>
        <w:t xml:space="preserve">ervice </w:t>
      </w:r>
      <w:r w:rsidR="00F6442F" w:rsidRPr="00777544">
        <w:rPr>
          <w:rFonts w:cs="Arial"/>
          <w:szCs w:val="20"/>
          <w:lang w:val="en-US"/>
        </w:rPr>
        <w:t>allocation in the 7100</w:t>
      </w:r>
      <w:r w:rsidR="00D527B5">
        <w:rPr>
          <w:rFonts w:cs="Arial"/>
          <w:szCs w:val="20"/>
          <w:lang w:val="en-US"/>
        </w:rPr>
        <w:t>–</w:t>
      </w:r>
      <w:r w:rsidR="00F6442F" w:rsidRPr="00777544">
        <w:rPr>
          <w:rFonts w:cs="Arial"/>
          <w:szCs w:val="20"/>
          <w:lang w:val="en-US"/>
        </w:rPr>
        <w:t>7200</w:t>
      </w:r>
      <w:r w:rsidR="00D527B5" w:rsidRPr="00777544">
        <w:rPr>
          <w:rFonts w:cs="Arial"/>
          <w:szCs w:val="20"/>
          <w:lang w:val="en-US"/>
        </w:rPr>
        <w:t> </w:t>
      </w:r>
      <w:r w:rsidR="00F6442F" w:rsidRPr="00777544">
        <w:rPr>
          <w:rFonts w:cs="Arial"/>
          <w:szCs w:val="20"/>
          <w:lang w:val="en-US"/>
        </w:rPr>
        <w:t xml:space="preserve">kHz band will be </w:t>
      </w:r>
      <w:r w:rsidR="0029568E">
        <w:rPr>
          <w:rFonts w:cs="Arial"/>
          <w:szCs w:val="20"/>
          <w:lang w:val="en-US"/>
        </w:rPr>
        <w:t xml:space="preserve">therefore be </w:t>
      </w:r>
      <w:r w:rsidR="00F6442F" w:rsidRPr="00777544">
        <w:rPr>
          <w:rFonts w:cs="Arial"/>
          <w:szCs w:val="20"/>
          <w:lang w:val="en-US"/>
        </w:rPr>
        <w:t>retained in the final version of the ARSP</w:t>
      </w:r>
      <w:r w:rsidR="0029568E">
        <w:rPr>
          <w:rFonts w:cs="Arial"/>
          <w:szCs w:val="20"/>
          <w:lang w:val="en-US"/>
        </w:rPr>
        <w:t xml:space="preserve">, </w:t>
      </w:r>
      <w:proofErr w:type="spellStart"/>
      <w:r w:rsidR="0029568E">
        <w:rPr>
          <w:rFonts w:cs="Arial"/>
          <w:szCs w:val="20"/>
          <w:lang w:val="en-US"/>
        </w:rPr>
        <w:t>recognising</w:t>
      </w:r>
      <w:proofErr w:type="spellEnd"/>
      <w:r w:rsidR="0029568E">
        <w:rPr>
          <w:rFonts w:cs="Arial"/>
          <w:szCs w:val="20"/>
          <w:lang w:val="en-US"/>
        </w:rPr>
        <w:t xml:space="preserve"> that further investigation may identify a case for removal of this allocation, and that if so it may be</w:t>
      </w:r>
      <w:r w:rsidR="0033640C">
        <w:t xml:space="preserve"> reviewed </w:t>
      </w:r>
      <w:r w:rsidR="0029568E">
        <w:t xml:space="preserve">by the ACMA </w:t>
      </w:r>
      <w:r w:rsidR="0033640C">
        <w:t>with a view to</w:t>
      </w:r>
      <w:r w:rsidR="00A55AD5">
        <w:t xml:space="preserve"> possibl</w:t>
      </w:r>
      <w:r w:rsidR="0029568E">
        <w:t>e</w:t>
      </w:r>
      <w:r w:rsidR="0033640C">
        <w:t xml:space="preserve"> remov</w:t>
      </w:r>
      <w:r w:rsidR="0029568E">
        <w:t>al</w:t>
      </w:r>
      <w:r w:rsidR="0033640C">
        <w:t xml:space="preserve"> </w:t>
      </w:r>
      <w:r w:rsidR="0029568E">
        <w:t xml:space="preserve">of </w:t>
      </w:r>
      <w:r w:rsidR="0033640C">
        <w:t>th</w:t>
      </w:r>
      <w:r w:rsidR="0029568E">
        <w:t>e</w:t>
      </w:r>
      <w:r w:rsidR="0033640C">
        <w:t xml:space="preserve"> allocation in the next update to the ARSP.</w:t>
      </w:r>
    </w:p>
    <w:p w14:paraId="0D34C485" w14:textId="0DC32E65" w:rsidR="004232F5" w:rsidRPr="00777544" w:rsidRDefault="0094497F" w:rsidP="00777544">
      <w:pPr>
        <w:rPr>
          <w:rFonts w:cs="Arial"/>
          <w:szCs w:val="20"/>
          <w:lang w:val="en-US"/>
        </w:rPr>
      </w:pPr>
      <w:r w:rsidRPr="00777544">
        <w:rPr>
          <w:lang w:bidi="he-IL"/>
        </w:rPr>
        <w:t xml:space="preserve">One respondent proposed the use of </w:t>
      </w:r>
      <w:r w:rsidRPr="00777544">
        <w:t>the 47</w:t>
      </w:r>
      <w:r w:rsidR="00D527B5">
        <w:t>–</w:t>
      </w:r>
      <w:r w:rsidRPr="00777544">
        <w:t>50</w:t>
      </w:r>
      <w:r w:rsidR="00D527B5" w:rsidRPr="00777544">
        <w:rPr>
          <w:rFonts w:cs="Arial"/>
          <w:szCs w:val="20"/>
          <w:lang w:val="en-US"/>
        </w:rPr>
        <w:t> </w:t>
      </w:r>
      <w:r w:rsidRPr="00777544">
        <w:t>MHz and 57</w:t>
      </w:r>
      <w:r w:rsidR="00D527B5">
        <w:t>–</w:t>
      </w:r>
      <w:r w:rsidRPr="00777544">
        <w:t>68</w:t>
      </w:r>
      <w:r w:rsidR="00D527B5" w:rsidRPr="00777544">
        <w:rPr>
          <w:rFonts w:cs="Arial"/>
          <w:szCs w:val="20"/>
          <w:lang w:val="en-US"/>
        </w:rPr>
        <w:t> </w:t>
      </w:r>
      <w:r w:rsidRPr="00777544">
        <w:t xml:space="preserve">MHz bands for Digital Radio </w:t>
      </w:r>
      <w:proofErr w:type="spellStart"/>
      <w:r w:rsidRPr="00777544">
        <w:t>Mondiale</w:t>
      </w:r>
      <w:proofErr w:type="spellEnd"/>
      <w:r w:rsidRPr="00777544">
        <w:t xml:space="preserve"> Plus (DRM+).</w:t>
      </w:r>
      <w:r w:rsidR="008145D1" w:rsidRPr="00777544">
        <w:t xml:space="preserve"> </w:t>
      </w:r>
      <w:r w:rsidR="004232F5" w:rsidRPr="00777544">
        <w:rPr>
          <w:rFonts w:cs="Arial"/>
          <w:szCs w:val="20"/>
          <w:lang w:val="en-US"/>
        </w:rPr>
        <w:t xml:space="preserve">One respondent proposed removal of the broadcasting </w:t>
      </w:r>
      <w:r w:rsidR="004232F5" w:rsidRPr="00777544">
        <w:rPr>
          <w:rFonts w:cs="Arial"/>
          <w:szCs w:val="20"/>
          <w:lang w:val="en-US"/>
        </w:rPr>
        <w:lastRenderedPageBreak/>
        <w:t xml:space="preserve">allocation in the </w:t>
      </w:r>
      <w:r w:rsidR="00205E40" w:rsidRPr="00777544">
        <w:rPr>
          <w:rFonts w:cs="Arial"/>
          <w:szCs w:val="20"/>
          <w:lang w:val="en-US"/>
        </w:rPr>
        <w:t>50</w:t>
      </w:r>
      <w:r w:rsidR="00205E40">
        <w:rPr>
          <w:rFonts w:cs="Arial"/>
          <w:szCs w:val="20"/>
          <w:lang w:val="en-US"/>
        </w:rPr>
        <w:t>–</w:t>
      </w:r>
      <w:r w:rsidR="00205E40" w:rsidRPr="00777544">
        <w:rPr>
          <w:rFonts w:cs="Arial"/>
          <w:szCs w:val="20"/>
          <w:lang w:val="en-US"/>
        </w:rPr>
        <w:t xml:space="preserve">52 MHz </w:t>
      </w:r>
      <w:r w:rsidR="004232F5" w:rsidRPr="00777544">
        <w:rPr>
          <w:rFonts w:cs="Arial"/>
          <w:szCs w:val="20"/>
          <w:lang w:val="en-US"/>
        </w:rPr>
        <w:t xml:space="preserve">band </w:t>
      </w:r>
      <w:r w:rsidR="00B418CD" w:rsidRPr="00777544">
        <w:rPr>
          <w:rFonts w:cs="Arial"/>
          <w:szCs w:val="20"/>
          <w:lang w:val="en-US"/>
        </w:rPr>
        <w:t xml:space="preserve">and another proposed changing the </w:t>
      </w:r>
      <w:r w:rsidR="00890E3E">
        <w:rPr>
          <w:rFonts w:cs="Arial"/>
          <w:szCs w:val="20"/>
          <w:lang w:val="en-US"/>
        </w:rPr>
        <w:t>amateur</w:t>
      </w:r>
      <w:r w:rsidR="00B418CD" w:rsidRPr="00777544">
        <w:rPr>
          <w:rFonts w:cs="Arial"/>
          <w:szCs w:val="20"/>
          <w:lang w:val="en-US"/>
        </w:rPr>
        <w:t xml:space="preserve"> allocation</w:t>
      </w:r>
      <w:r w:rsidR="004232F5" w:rsidRPr="00777544">
        <w:rPr>
          <w:rFonts w:cs="Arial"/>
          <w:szCs w:val="20"/>
          <w:lang w:val="en-US"/>
        </w:rPr>
        <w:t xml:space="preserve"> in this band</w:t>
      </w:r>
      <w:r w:rsidR="00B418CD" w:rsidRPr="00777544">
        <w:rPr>
          <w:rFonts w:cs="Arial"/>
          <w:szCs w:val="20"/>
          <w:lang w:val="en-US"/>
        </w:rPr>
        <w:t xml:space="preserve"> from a secondary to a primary allocation</w:t>
      </w:r>
      <w:r w:rsidR="004232F5" w:rsidRPr="00777544">
        <w:rPr>
          <w:rFonts w:cs="Arial"/>
          <w:szCs w:val="20"/>
          <w:lang w:val="en-US"/>
        </w:rPr>
        <w:t xml:space="preserve">. </w:t>
      </w:r>
      <w:r w:rsidR="002476CE" w:rsidRPr="00777544">
        <w:rPr>
          <w:rFonts w:cs="Arial"/>
          <w:szCs w:val="20"/>
          <w:lang w:val="en-US"/>
        </w:rPr>
        <w:t xml:space="preserve">As noted in the ACMA’s Five-year </w:t>
      </w:r>
      <w:r w:rsidR="00205E40">
        <w:rPr>
          <w:rFonts w:cs="Arial"/>
          <w:szCs w:val="20"/>
          <w:lang w:val="en-US"/>
        </w:rPr>
        <w:t>s</w:t>
      </w:r>
      <w:r w:rsidR="002476CE" w:rsidRPr="00777544">
        <w:rPr>
          <w:rFonts w:cs="Arial"/>
          <w:szCs w:val="20"/>
          <w:lang w:val="en-US"/>
        </w:rPr>
        <w:t xml:space="preserve">pectrum </w:t>
      </w:r>
      <w:r w:rsidR="00205E40">
        <w:rPr>
          <w:rFonts w:cs="Arial"/>
          <w:szCs w:val="20"/>
          <w:lang w:val="en-US"/>
        </w:rPr>
        <w:t>o</w:t>
      </w:r>
      <w:r w:rsidR="002476CE" w:rsidRPr="00777544">
        <w:rPr>
          <w:rFonts w:cs="Arial"/>
          <w:szCs w:val="20"/>
          <w:lang w:val="en-US"/>
        </w:rPr>
        <w:t>utlook 2015</w:t>
      </w:r>
      <w:r w:rsidR="00205E40">
        <w:rPr>
          <w:rFonts w:cs="Arial"/>
          <w:szCs w:val="20"/>
          <w:lang w:val="en-US"/>
        </w:rPr>
        <w:t>–</w:t>
      </w:r>
      <w:r w:rsidR="002476CE" w:rsidRPr="00777544">
        <w:rPr>
          <w:rFonts w:cs="Arial"/>
          <w:szCs w:val="20"/>
          <w:lang w:val="en-US"/>
        </w:rPr>
        <w:t xml:space="preserve">2019, the ACMA intends to conduct a review of VHF broadcasting service bands. Therefore, it is not </w:t>
      </w:r>
      <w:r w:rsidR="0098242B">
        <w:rPr>
          <w:rFonts w:cs="Arial"/>
          <w:szCs w:val="20"/>
          <w:lang w:val="en-US"/>
        </w:rPr>
        <w:t xml:space="preserve">considered </w:t>
      </w:r>
      <w:r w:rsidR="002476CE" w:rsidRPr="00777544">
        <w:rPr>
          <w:rFonts w:cs="Arial"/>
          <w:szCs w:val="20"/>
          <w:lang w:val="en-US"/>
        </w:rPr>
        <w:t xml:space="preserve">appropriate to make any changes to the allocations in the ARSP in these bands at this time. </w:t>
      </w:r>
    </w:p>
    <w:p w14:paraId="0BEFDBBE" w14:textId="79D4ECA1" w:rsidR="00CB68CD" w:rsidRPr="00777544" w:rsidRDefault="00B418CD" w:rsidP="00777544">
      <w:pPr>
        <w:rPr>
          <w:rFonts w:cs="Arial"/>
          <w:szCs w:val="20"/>
          <w:lang w:val="en-US"/>
        </w:rPr>
      </w:pPr>
      <w:r w:rsidRPr="00777544">
        <w:rPr>
          <w:lang w:bidi="he-IL"/>
        </w:rPr>
        <w:t>A number of</w:t>
      </w:r>
      <w:r w:rsidR="00CB68CD" w:rsidRPr="00777544">
        <w:rPr>
          <w:lang w:bidi="he-IL"/>
        </w:rPr>
        <w:t xml:space="preserve"> respondent</w:t>
      </w:r>
      <w:r w:rsidR="004232F5" w:rsidRPr="00777544">
        <w:rPr>
          <w:lang w:bidi="he-IL"/>
        </w:rPr>
        <w:t>s</w:t>
      </w:r>
      <w:r w:rsidR="00CB68CD" w:rsidRPr="00777544">
        <w:rPr>
          <w:lang w:bidi="he-IL"/>
        </w:rPr>
        <w:t xml:space="preserve"> suggested an </w:t>
      </w:r>
      <w:r w:rsidR="00890E3E">
        <w:rPr>
          <w:rFonts w:cs="Arial"/>
          <w:szCs w:val="20"/>
          <w:lang w:val="en-US"/>
        </w:rPr>
        <w:t>amateur</w:t>
      </w:r>
      <w:r w:rsidR="00CB68CD" w:rsidRPr="00777544">
        <w:rPr>
          <w:rFonts w:cs="Arial"/>
          <w:szCs w:val="20"/>
          <w:lang w:val="en-US"/>
        </w:rPr>
        <w:t xml:space="preserve"> </w:t>
      </w:r>
      <w:r w:rsidR="00205E40">
        <w:rPr>
          <w:rFonts w:cs="Arial"/>
          <w:szCs w:val="20"/>
          <w:lang w:val="en-US"/>
        </w:rPr>
        <w:t>s</w:t>
      </w:r>
      <w:r w:rsidR="00205E40" w:rsidRPr="00777544">
        <w:rPr>
          <w:rFonts w:cs="Arial"/>
          <w:szCs w:val="20"/>
          <w:lang w:val="en-US"/>
        </w:rPr>
        <w:t xml:space="preserve">ervice </w:t>
      </w:r>
      <w:r w:rsidR="00CB68CD" w:rsidRPr="00777544">
        <w:rPr>
          <w:rFonts w:cs="Arial"/>
          <w:szCs w:val="20"/>
          <w:lang w:val="en-US"/>
        </w:rPr>
        <w:t>allocation be made at or near 70</w:t>
      </w:r>
      <w:r w:rsidR="00205E40" w:rsidRPr="00777544">
        <w:rPr>
          <w:rFonts w:cs="Arial"/>
          <w:szCs w:val="20"/>
          <w:lang w:val="en-US"/>
        </w:rPr>
        <w:t> </w:t>
      </w:r>
      <w:r w:rsidR="00CB68CD" w:rsidRPr="00777544">
        <w:rPr>
          <w:rFonts w:cs="Arial"/>
          <w:szCs w:val="20"/>
          <w:lang w:val="en-US"/>
        </w:rPr>
        <w:t xml:space="preserve">MHz to allow technical investigations into a band that traditionally has been available to wide area land mobile and television services. There is no allocation to the </w:t>
      </w:r>
      <w:r w:rsidR="00890E3E">
        <w:rPr>
          <w:rFonts w:cs="Arial"/>
          <w:szCs w:val="20"/>
          <w:lang w:val="en-US"/>
        </w:rPr>
        <w:t>amateur</w:t>
      </w:r>
      <w:r w:rsidR="00CB68CD" w:rsidRPr="00777544">
        <w:rPr>
          <w:rFonts w:cs="Arial"/>
          <w:szCs w:val="20"/>
          <w:lang w:val="en-US"/>
        </w:rPr>
        <w:t xml:space="preserve"> service in or around this band in Regions 1, 2</w:t>
      </w:r>
      <w:r w:rsidR="00F6442F" w:rsidRPr="00777544">
        <w:rPr>
          <w:rFonts w:cs="Arial"/>
          <w:szCs w:val="20"/>
          <w:lang w:val="en-US"/>
        </w:rPr>
        <w:t xml:space="preserve"> or 3. Therefore, a new</w:t>
      </w:r>
      <w:r w:rsidR="00CB68CD" w:rsidRPr="00777544">
        <w:rPr>
          <w:rFonts w:cs="Arial"/>
          <w:szCs w:val="20"/>
          <w:lang w:val="en-US"/>
        </w:rPr>
        <w:t xml:space="preserve"> </w:t>
      </w:r>
      <w:r w:rsidR="00890E3E">
        <w:rPr>
          <w:rFonts w:cs="Arial"/>
          <w:szCs w:val="20"/>
          <w:lang w:val="en-US"/>
        </w:rPr>
        <w:t>amateur</w:t>
      </w:r>
      <w:r w:rsidR="00CB68CD" w:rsidRPr="00777544">
        <w:rPr>
          <w:rFonts w:cs="Arial"/>
          <w:szCs w:val="20"/>
          <w:lang w:val="en-US"/>
        </w:rPr>
        <w:t xml:space="preserve"> </w:t>
      </w:r>
      <w:r w:rsidR="00205E40">
        <w:rPr>
          <w:rFonts w:cs="Arial"/>
          <w:szCs w:val="20"/>
          <w:lang w:val="en-US"/>
        </w:rPr>
        <w:t>s</w:t>
      </w:r>
      <w:r w:rsidR="00CB68CD" w:rsidRPr="00777544">
        <w:rPr>
          <w:rFonts w:cs="Arial"/>
          <w:szCs w:val="20"/>
          <w:lang w:val="en-US"/>
        </w:rPr>
        <w:t xml:space="preserve">ervice allocation </w:t>
      </w:r>
      <w:r w:rsidR="00F6442F" w:rsidRPr="00777544">
        <w:rPr>
          <w:rFonts w:cs="Arial"/>
          <w:szCs w:val="20"/>
          <w:lang w:val="en-US"/>
        </w:rPr>
        <w:t>at or near 70</w:t>
      </w:r>
      <w:r w:rsidR="00205E40" w:rsidRPr="00777544">
        <w:rPr>
          <w:rFonts w:cs="Arial"/>
          <w:szCs w:val="20"/>
          <w:lang w:val="en-US"/>
        </w:rPr>
        <w:t> </w:t>
      </w:r>
      <w:r w:rsidR="00F6442F" w:rsidRPr="00777544">
        <w:rPr>
          <w:rFonts w:cs="Arial"/>
          <w:szCs w:val="20"/>
          <w:lang w:val="en-US"/>
        </w:rPr>
        <w:t xml:space="preserve">MHz </w:t>
      </w:r>
      <w:r w:rsidR="00CB68CD" w:rsidRPr="00777544">
        <w:rPr>
          <w:rFonts w:cs="Arial"/>
          <w:szCs w:val="20"/>
          <w:lang w:val="en-US"/>
        </w:rPr>
        <w:t>will not be included in the final version of the ARSP.</w:t>
      </w:r>
    </w:p>
    <w:p w14:paraId="76A7ECD2" w14:textId="15AFB37F" w:rsidR="00D3215B" w:rsidRPr="00704FDC" w:rsidRDefault="008145D1" w:rsidP="002A1150">
      <w:pPr>
        <w:spacing w:after="80"/>
        <w:rPr>
          <w:lang w:bidi="he-IL"/>
        </w:rPr>
      </w:pPr>
      <w:r w:rsidRPr="00777544">
        <w:rPr>
          <w:lang w:bidi="he-IL"/>
        </w:rPr>
        <w:t>It was noted by one respondent that 694</w:t>
      </w:r>
      <w:r w:rsidR="00205E40">
        <w:rPr>
          <w:lang w:bidi="he-IL"/>
        </w:rPr>
        <w:t>–</w:t>
      </w:r>
      <w:r w:rsidRPr="00777544">
        <w:rPr>
          <w:lang w:bidi="he-IL"/>
        </w:rPr>
        <w:t>820</w:t>
      </w:r>
      <w:r w:rsidR="00205E40" w:rsidRPr="00777544">
        <w:rPr>
          <w:rFonts w:cs="Arial"/>
          <w:szCs w:val="20"/>
          <w:lang w:val="en-US"/>
        </w:rPr>
        <w:t> </w:t>
      </w:r>
      <w:r w:rsidRPr="00777544">
        <w:rPr>
          <w:lang w:bidi="he-IL"/>
        </w:rPr>
        <w:t xml:space="preserve">MHz was shown in Column 2 of the draft as being allocated to the </w:t>
      </w:r>
      <w:r w:rsidR="00890E3E">
        <w:rPr>
          <w:lang w:bidi="he-IL"/>
        </w:rPr>
        <w:t>broadcast</w:t>
      </w:r>
      <w:r w:rsidRPr="00777544">
        <w:rPr>
          <w:lang w:bidi="he-IL"/>
        </w:rPr>
        <w:t xml:space="preserve">ing service. </w:t>
      </w:r>
      <w:r w:rsidR="00D3215B" w:rsidRPr="00704FDC">
        <w:rPr>
          <w:lang w:bidi="he-IL"/>
        </w:rPr>
        <w:t>Footnote 31</w:t>
      </w:r>
      <w:r w:rsidR="00E51D5D">
        <w:rPr>
          <w:lang w:bidi="he-IL"/>
        </w:rPr>
        <w:t>7</w:t>
      </w:r>
      <w:r w:rsidR="00D3215B" w:rsidRPr="00704FDC">
        <w:rPr>
          <w:lang w:bidi="he-IL"/>
        </w:rPr>
        <w:t>A was also unintenti</w:t>
      </w:r>
      <w:r w:rsidR="00BE79CA">
        <w:rPr>
          <w:lang w:bidi="he-IL"/>
        </w:rPr>
        <w:t>on</w:t>
      </w:r>
      <w:r w:rsidR="00D3215B" w:rsidRPr="00704FDC">
        <w:rPr>
          <w:lang w:bidi="he-IL"/>
        </w:rPr>
        <w:t xml:space="preserve">ally omitted from the draft. The following amendments have been made in the final version of the ARSP to rectify these </w:t>
      </w:r>
      <w:r w:rsidR="007D1E0D" w:rsidRPr="00704FDC">
        <w:rPr>
          <w:lang w:bidi="he-IL"/>
        </w:rPr>
        <w:t>matters</w:t>
      </w:r>
      <w:r w:rsidR="00D3215B" w:rsidRPr="00704FDC">
        <w:rPr>
          <w:lang w:bidi="he-IL"/>
        </w:rPr>
        <w:t>:</w:t>
      </w:r>
    </w:p>
    <w:p w14:paraId="53364E02" w14:textId="5344D799" w:rsidR="00D3215B" w:rsidRPr="00704FDC" w:rsidRDefault="00D3215B" w:rsidP="00777544">
      <w:pPr>
        <w:pStyle w:val="ListBullet"/>
        <w:rPr>
          <w:lang w:bidi="he-IL"/>
        </w:rPr>
      </w:pPr>
      <w:r w:rsidRPr="00704FDC">
        <w:rPr>
          <w:lang w:bidi="he-IL"/>
        </w:rPr>
        <w:t xml:space="preserve">change the status of the </w:t>
      </w:r>
      <w:r w:rsidR="00890E3E">
        <w:rPr>
          <w:lang w:bidi="he-IL"/>
        </w:rPr>
        <w:t>f</w:t>
      </w:r>
      <w:r w:rsidRPr="00704FDC">
        <w:rPr>
          <w:lang w:bidi="he-IL"/>
        </w:rPr>
        <w:t xml:space="preserve">ixed and </w:t>
      </w:r>
      <w:r w:rsidR="00890E3E">
        <w:rPr>
          <w:lang w:bidi="he-IL"/>
        </w:rPr>
        <w:t>m</w:t>
      </w:r>
      <w:r w:rsidRPr="00704FDC">
        <w:rPr>
          <w:lang w:bidi="he-IL"/>
        </w:rPr>
        <w:t>obile services in the 694</w:t>
      </w:r>
      <w:r w:rsidR="00205E40">
        <w:rPr>
          <w:lang w:bidi="he-IL"/>
        </w:rPr>
        <w:t>–</w:t>
      </w:r>
      <w:r w:rsidRPr="00704FDC">
        <w:rPr>
          <w:lang w:bidi="he-IL"/>
        </w:rPr>
        <w:t>820</w:t>
      </w:r>
      <w:r w:rsidR="00205E40" w:rsidRPr="00777544">
        <w:rPr>
          <w:rFonts w:cs="Arial"/>
          <w:szCs w:val="20"/>
          <w:lang w:val="en-US"/>
        </w:rPr>
        <w:t> </w:t>
      </w:r>
      <w:r w:rsidRPr="00704FDC">
        <w:rPr>
          <w:lang w:bidi="he-IL"/>
        </w:rPr>
        <w:t>MHz band</w:t>
      </w:r>
    </w:p>
    <w:p w14:paraId="655B93F1" w14:textId="130FE9FE" w:rsidR="00D3215B" w:rsidRPr="00704FDC" w:rsidRDefault="00D3215B" w:rsidP="00777544">
      <w:pPr>
        <w:pStyle w:val="ListBullet"/>
        <w:rPr>
          <w:lang w:bidi="he-IL"/>
        </w:rPr>
      </w:pPr>
      <w:r w:rsidRPr="00704FDC">
        <w:rPr>
          <w:lang w:bidi="he-IL"/>
        </w:rPr>
        <w:t>add footnote 31</w:t>
      </w:r>
      <w:r w:rsidR="00E51D5D">
        <w:rPr>
          <w:lang w:bidi="he-IL"/>
        </w:rPr>
        <w:t>7</w:t>
      </w:r>
      <w:r w:rsidRPr="00704FDC">
        <w:rPr>
          <w:lang w:bidi="he-IL"/>
        </w:rPr>
        <w:t xml:space="preserve">A to the </w:t>
      </w:r>
      <w:r w:rsidR="00890E3E">
        <w:rPr>
          <w:lang w:bidi="he-IL"/>
        </w:rPr>
        <w:t>m</w:t>
      </w:r>
      <w:r w:rsidR="00890E3E" w:rsidRPr="00704FDC">
        <w:rPr>
          <w:lang w:bidi="he-IL"/>
        </w:rPr>
        <w:t xml:space="preserve">obile </w:t>
      </w:r>
      <w:r w:rsidRPr="00704FDC">
        <w:rPr>
          <w:lang w:bidi="he-IL"/>
        </w:rPr>
        <w:t>allocation</w:t>
      </w:r>
    </w:p>
    <w:p w14:paraId="05477000" w14:textId="555A9523" w:rsidR="00D3215B" w:rsidRPr="00704FDC" w:rsidRDefault="00D3215B" w:rsidP="00777544">
      <w:pPr>
        <w:pStyle w:val="ListBullet"/>
        <w:rPr>
          <w:lang w:bidi="he-IL"/>
        </w:rPr>
      </w:pPr>
      <w:r w:rsidRPr="00704FDC">
        <w:rPr>
          <w:lang w:bidi="he-IL"/>
        </w:rPr>
        <w:t xml:space="preserve">remove the </w:t>
      </w:r>
      <w:r w:rsidR="00890E3E">
        <w:rPr>
          <w:lang w:bidi="he-IL"/>
        </w:rPr>
        <w:t>broadcast</w:t>
      </w:r>
      <w:r w:rsidRPr="00704FDC">
        <w:rPr>
          <w:lang w:bidi="he-IL"/>
        </w:rPr>
        <w:t xml:space="preserve">ing allocation as the band is no longer part of the </w:t>
      </w:r>
      <w:r w:rsidR="00890E3E">
        <w:rPr>
          <w:lang w:bidi="he-IL"/>
        </w:rPr>
        <w:t>broadcast</w:t>
      </w:r>
      <w:r w:rsidRPr="00704FDC">
        <w:rPr>
          <w:lang w:bidi="he-IL"/>
        </w:rPr>
        <w:t xml:space="preserve">ing </w:t>
      </w:r>
      <w:r w:rsidR="00205E40">
        <w:rPr>
          <w:lang w:bidi="he-IL"/>
        </w:rPr>
        <w:t>s</w:t>
      </w:r>
      <w:r w:rsidRPr="00704FDC">
        <w:rPr>
          <w:lang w:bidi="he-IL"/>
        </w:rPr>
        <w:t xml:space="preserve">ervices </w:t>
      </w:r>
      <w:r w:rsidR="00205E40">
        <w:rPr>
          <w:lang w:bidi="he-IL"/>
        </w:rPr>
        <w:t>b</w:t>
      </w:r>
      <w:r w:rsidRPr="00704FDC">
        <w:rPr>
          <w:lang w:bidi="he-IL"/>
        </w:rPr>
        <w:t>and (as reflected in Section 12 of Chapter 1 of the ARSP)</w:t>
      </w:r>
    </w:p>
    <w:p w14:paraId="20A0759C" w14:textId="3A45F3ED" w:rsidR="00D3215B" w:rsidRPr="00704FDC" w:rsidRDefault="00D3215B" w:rsidP="002A1150">
      <w:pPr>
        <w:pStyle w:val="ListBulletLast"/>
        <w:rPr>
          <w:lang w:bidi="he-IL"/>
        </w:rPr>
      </w:pPr>
      <w:proofErr w:type="gramStart"/>
      <w:r w:rsidRPr="00704FDC">
        <w:rPr>
          <w:lang w:bidi="he-IL"/>
        </w:rPr>
        <w:t>remove</w:t>
      </w:r>
      <w:proofErr w:type="gramEnd"/>
      <w:r w:rsidRPr="00704FDC">
        <w:rPr>
          <w:lang w:bidi="he-IL"/>
        </w:rPr>
        <w:t xml:space="preserve"> the frequency boundary at 820</w:t>
      </w:r>
      <w:r w:rsidR="00205E40" w:rsidRPr="00777544">
        <w:rPr>
          <w:szCs w:val="20"/>
          <w:lang w:val="en-US"/>
        </w:rPr>
        <w:t> </w:t>
      </w:r>
      <w:r w:rsidRPr="00704FDC">
        <w:rPr>
          <w:lang w:bidi="he-IL"/>
        </w:rPr>
        <w:t>MHz as the 694</w:t>
      </w:r>
      <w:r w:rsidR="00205E40">
        <w:rPr>
          <w:lang w:bidi="he-IL"/>
        </w:rPr>
        <w:t>–</w:t>
      </w:r>
      <w:r w:rsidRPr="00704FDC">
        <w:rPr>
          <w:lang w:bidi="he-IL"/>
        </w:rPr>
        <w:t>820</w:t>
      </w:r>
      <w:r w:rsidR="00205E40" w:rsidRPr="00777544">
        <w:rPr>
          <w:szCs w:val="20"/>
          <w:lang w:val="en-US"/>
        </w:rPr>
        <w:t> </w:t>
      </w:r>
      <w:r w:rsidRPr="00704FDC">
        <w:rPr>
          <w:lang w:bidi="he-IL"/>
        </w:rPr>
        <w:t>MHz and 820</w:t>
      </w:r>
      <w:r w:rsidR="00205E40">
        <w:rPr>
          <w:lang w:bidi="he-IL"/>
        </w:rPr>
        <w:t>–</w:t>
      </w:r>
      <w:r w:rsidRPr="00704FDC">
        <w:rPr>
          <w:lang w:bidi="he-IL"/>
        </w:rPr>
        <w:t xml:space="preserve">850 MHz frequency segments now </w:t>
      </w:r>
      <w:r w:rsidR="00E51D5D">
        <w:rPr>
          <w:lang w:bidi="he-IL"/>
        </w:rPr>
        <w:t>have the same service allocations with the same status</w:t>
      </w:r>
      <w:r w:rsidRPr="00704FDC">
        <w:rPr>
          <w:lang w:bidi="he-IL"/>
        </w:rPr>
        <w:t>.</w:t>
      </w:r>
    </w:p>
    <w:p w14:paraId="454BB730" w14:textId="78B93FC0" w:rsidR="004C3A76" w:rsidRPr="00777544" w:rsidRDefault="0085322C" w:rsidP="00777544">
      <w:pPr>
        <w:rPr>
          <w:lang w:bidi="he-IL"/>
        </w:rPr>
      </w:pPr>
      <w:r w:rsidRPr="00777544">
        <w:rPr>
          <w:lang w:bidi="he-IL"/>
        </w:rPr>
        <w:t>A number of</w:t>
      </w:r>
      <w:r w:rsidR="00D3215B" w:rsidRPr="00777544">
        <w:rPr>
          <w:lang w:bidi="he-IL"/>
        </w:rPr>
        <w:t xml:space="preserve"> respondent</w:t>
      </w:r>
      <w:r w:rsidR="004232F5" w:rsidRPr="00777544">
        <w:rPr>
          <w:lang w:bidi="he-IL"/>
        </w:rPr>
        <w:t>s</w:t>
      </w:r>
      <w:r w:rsidR="00D3215B" w:rsidRPr="00777544">
        <w:rPr>
          <w:lang w:bidi="he-IL"/>
        </w:rPr>
        <w:t xml:space="preserve"> suggest</w:t>
      </w:r>
      <w:r w:rsidR="00CB68CD" w:rsidRPr="00777544">
        <w:rPr>
          <w:lang w:bidi="he-IL"/>
        </w:rPr>
        <w:t>ed</w:t>
      </w:r>
      <w:r w:rsidR="00D3215B" w:rsidRPr="00777544">
        <w:rPr>
          <w:lang w:bidi="he-IL"/>
        </w:rPr>
        <w:t xml:space="preserve"> an </w:t>
      </w:r>
      <w:r w:rsidR="00890E3E">
        <w:rPr>
          <w:rFonts w:cs="Arial"/>
          <w:szCs w:val="20"/>
          <w:lang w:val="en-US"/>
        </w:rPr>
        <w:t>amateur</w:t>
      </w:r>
      <w:r w:rsidR="00D3215B" w:rsidRPr="00777544">
        <w:rPr>
          <w:rFonts w:cs="Arial"/>
          <w:szCs w:val="20"/>
          <w:lang w:val="en-US"/>
        </w:rPr>
        <w:t xml:space="preserve"> </w:t>
      </w:r>
      <w:r w:rsidR="00205E40">
        <w:rPr>
          <w:rFonts w:cs="Arial"/>
          <w:szCs w:val="20"/>
          <w:lang w:val="en-US"/>
        </w:rPr>
        <w:t>s</w:t>
      </w:r>
      <w:r w:rsidR="00D3215B" w:rsidRPr="00777544">
        <w:rPr>
          <w:rFonts w:cs="Arial"/>
          <w:szCs w:val="20"/>
          <w:lang w:val="en-US"/>
        </w:rPr>
        <w:t>ervice allocation be made in the 915</w:t>
      </w:r>
      <w:r w:rsidR="00205E40">
        <w:rPr>
          <w:rFonts w:cs="Arial"/>
          <w:szCs w:val="20"/>
          <w:lang w:val="en-US"/>
        </w:rPr>
        <w:t>–</w:t>
      </w:r>
      <w:r w:rsidR="00D3215B" w:rsidRPr="00777544">
        <w:rPr>
          <w:rFonts w:cs="Arial"/>
          <w:szCs w:val="20"/>
          <w:lang w:val="en-US"/>
        </w:rPr>
        <w:t>928</w:t>
      </w:r>
      <w:r w:rsidR="00205E40" w:rsidRPr="00777544">
        <w:rPr>
          <w:rFonts w:cs="Arial"/>
          <w:szCs w:val="20"/>
          <w:lang w:val="en-US"/>
        </w:rPr>
        <w:t> </w:t>
      </w:r>
      <w:r w:rsidR="00D3215B" w:rsidRPr="00777544">
        <w:rPr>
          <w:rFonts w:cs="Arial"/>
          <w:szCs w:val="20"/>
          <w:lang w:val="en-US"/>
        </w:rPr>
        <w:t xml:space="preserve">MHz band to allow experimentation with frequencies close to the current mobile phone frequencies. </w:t>
      </w:r>
      <w:r w:rsidR="00CB68CD" w:rsidRPr="00777544">
        <w:rPr>
          <w:rFonts w:cs="Arial"/>
          <w:szCs w:val="20"/>
          <w:lang w:val="en-US"/>
        </w:rPr>
        <w:t xml:space="preserve">There is no allocation to the </w:t>
      </w:r>
      <w:r w:rsidR="00890E3E">
        <w:rPr>
          <w:rFonts w:cs="Arial"/>
          <w:szCs w:val="20"/>
          <w:lang w:val="en-US"/>
        </w:rPr>
        <w:t>amateur</w:t>
      </w:r>
      <w:r w:rsidR="00CB68CD" w:rsidRPr="00777544">
        <w:rPr>
          <w:rFonts w:cs="Arial"/>
          <w:szCs w:val="20"/>
          <w:lang w:val="en-US"/>
        </w:rPr>
        <w:t xml:space="preserve"> service in this band in Regions 1 or 3. Further, the ACMA completed a comprehensive review of the 803</w:t>
      </w:r>
      <w:r w:rsidR="00205E40">
        <w:rPr>
          <w:rFonts w:cs="Arial"/>
          <w:szCs w:val="20"/>
          <w:lang w:val="en-US"/>
        </w:rPr>
        <w:t>–</w:t>
      </w:r>
      <w:r w:rsidR="00CB68CD" w:rsidRPr="00777544">
        <w:rPr>
          <w:rFonts w:cs="Arial"/>
          <w:szCs w:val="20"/>
          <w:lang w:val="en-US"/>
        </w:rPr>
        <w:t>960</w:t>
      </w:r>
      <w:r w:rsidR="004232F5" w:rsidRPr="00777544">
        <w:rPr>
          <w:rFonts w:cs="Arial"/>
          <w:szCs w:val="20"/>
          <w:lang w:val="en-US"/>
        </w:rPr>
        <w:t> </w:t>
      </w:r>
      <w:r w:rsidR="00CB68CD" w:rsidRPr="00777544">
        <w:rPr>
          <w:rFonts w:cs="Arial"/>
          <w:szCs w:val="20"/>
          <w:lang w:val="en-US"/>
        </w:rPr>
        <w:t>MHz band in November 2015</w:t>
      </w:r>
      <w:r w:rsidR="00205E40">
        <w:rPr>
          <w:rFonts w:cs="Arial"/>
          <w:szCs w:val="20"/>
          <w:lang w:val="en-US"/>
        </w:rPr>
        <w:t>,</w:t>
      </w:r>
      <w:r w:rsidR="00CB68CD" w:rsidRPr="00777544">
        <w:rPr>
          <w:rFonts w:cs="Arial"/>
          <w:szCs w:val="20"/>
          <w:lang w:val="en-US"/>
        </w:rPr>
        <w:t xml:space="preserve"> during which no interest was expressed for amateur use of the 915</w:t>
      </w:r>
      <w:r w:rsidR="00205E40">
        <w:rPr>
          <w:rFonts w:cs="Arial"/>
          <w:szCs w:val="20"/>
          <w:lang w:val="en-US"/>
        </w:rPr>
        <w:t>–</w:t>
      </w:r>
      <w:r w:rsidR="00CB68CD" w:rsidRPr="00777544">
        <w:rPr>
          <w:rFonts w:cs="Arial"/>
          <w:szCs w:val="20"/>
          <w:lang w:val="en-US"/>
        </w:rPr>
        <w:t>928</w:t>
      </w:r>
      <w:r w:rsidR="00205E40" w:rsidRPr="00777544">
        <w:rPr>
          <w:rFonts w:cs="Arial"/>
          <w:szCs w:val="20"/>
          <w:lang w:val="en-US"/>
        </w:rPr>
        <w:t> </w:t>
      </w:r>
      <w:r w:rsidR="00CB68CD" w:rsidRPr="00777544">
        <w:rPr>
          <w:rFonts w:cs="Arial"/>
          <w:szCs w:val="20"/>
          <w:lang w:val="en-US"/>
        </w:rPr>
        <w:t xml:space="preserve">MHz band. </w:t>
      </w:r>
      <w:r w:rsidR="00244D4F">
        <w:rPr>
          <w:rFonts w:cs="Arial"/>
          <w:szCs w:val="20"/>
          <w:lang w:val="en-US"/>
        </w:rPr>
        <w:t xml:space="preserve">Additionally, </w:t>
      </w:r>
      <w:r w:rsidR="00205E40">
        <w:rPr>
          <w:rFonts w:cs="Arial"/>
          <w:szCs w:val="20"/>
          <w:lang w:val="en-US"/>
        </w:rPr>
        <w:t>a</w:t>
      </w:r>
      <w:r w:rsidR="00244D4F">
        <w:rPr>
          <w:rFonts w:cs="Arial"/>
          <w:szCs w:val="20"/>
          <w:lang w:val="en-US"/>
        </w:rPr>
        <w:t>mateur use of this band</w:t>
      </w:r>
      <w:r w:rsidR="00205E40">
        <w:rPr>
          <w:rFonts w:cs="Arial"/>
          <w:szCs w:val="20"/>
          <w:lang w:val="en-US"/>
        </w:rPr>
        <w:t>,</w:t>
      </w:r>
      <w:r w:rsidR="00244D4F">
        <w:rPr>
          <w:rFonts w:cs="Arial"/>
          <w:szCs w:val="20"/>
          <w:lang w:val="en-US"/>
        </w:rPr>
        <w:t xml:space="preserve"> consistent with the Low Interference Potential Devices Class </w:t>
      </w:r>
      <w:proofErr w:type="spellStart"/>
      <w:r w:rsidR="00244D4F">
        <w:rPr>
          <w:rFonts w:cs="Arial"/>
          <w:szCs w:val="20"/>
          <w:lang w:val="en-US"/>
        </w:rPr>
        <w:t>Licence</w:t>
      </w:r>
      <w:proofErr w:type="spellEnd"/>
      <w:r w:rsidR="00244D4F">
        <w:rPr>
          <w:rFonts w:cs="Arial"/>
          <w:szCs w:val="20"/>
          <w:lang w:val="en-US"/>
        </w:rPr>
        <w:t xml:space="preserve"> is already supported. </w:t>
      </w:r>
      <w:r w:rsidR="000F2D5B">
        <w:rPr>
          <w:rFonts w:cs="Arial"/>
          <w:szCs w:val="20"/>
          <w:lang w:val="en-US"/>
        </w:rPr>
        <w:t>For these reasons</w:t>
      </w:r>
      <w:r w:rsidR="00CB68CD" w:rsidRPr="00777544">
        <w:rPr>
          <w:rFonts w:cs="Arial"/>
          <w:szCs w:val="20"/>
          <w:lang w:val="en-US"/>
        </w:rPr>
        <w:t>, a</w:t>
      </w:r>
      <w:r w:rsidR="00F6442F" w:rsidRPr="00777544">
        <w:rPr>
          <w:rFonts w:cs="Arial"/>
          <w:szCs w:val="20"/>
          <w:lang w:val="en-US"/>
        </w:rPr>
        <w:t xml:space="preserve"> new</w:t>
      </w:r>
      <w:r w:rsidR="00CB68CD" w:rsidRPr="00777544">
        <w:rPr>
          <w:rFonts w:cs="Arial"/>
          <w:szCs w:val="20"/>
          <w:lang w:val="en-US"/>
        </w:rPr>
        <w:t xml:space="preserve"> </w:t>
      </w:r>
      <w:r w:rsidR="00890E3E">
        <w:rPr>
          <w:rFonts w:cs="Arial"/>
          <w:szCs w:val="20"/>
          <w:lang w:val="en-US"/>
        </w:rPr>
        <w:t>amateur</w:t>
      </w:r>
      <w:r w:rsidR="00CB68CD" w:rsidRPr="00777544">
        <w:rPr>
          <w:rFonts w:cs="Arial"/>
          <w:szCs w:val="20"/>
          <w:lang w:val="en-US"/>
        </w:rPr>
        <w:t xml:space="preserve"> </w:t>
      </w:r>
      <w:r w:rsidR="00890E3E">
        <w:rPr>
          <w:rFonts w:cs="Arial"/>
          <w:szCs w:val="20"/>
          <w:lang w:val="en-US"/>
        </w:rPr>
        <w:t>s</w:t>
      </w:r>
      <w:r w:rsidR="00CB68CD" w:rsidRPr="00777544">
        <w:rPr>
          <w:rFonts w:cs="Arial"/>
          <w:szCs w:val="20"/>
          <w:lang w:val="en-US"/>
        </w:rPr>
        <w:t xml:space="preserve">ervice allocation </w:t>
      </w:r>
      <w:r w:rsidR="00F6442F" w:rsidRPr="00777544">
        <w:rPr>
          <w:rFonts w:cs="Arial"/>
          <w:szCs w:val="20"/>
          <w:lang w:val="en-US"/>
        </w:rPr>
        <w:t>in the 915</w:t>
      </w:r>
      <w:r w:rsidR="00890E3E">
        <w:rPr>
          <w:rFonts w:cs="Arial"/>
          <w:szCs w:val="20"/>
          <w:lang w:val="en-US"/>
        </w:rPr>
        <w:t>–</w:t>
      </w:r>
      <w:r w:rsidR="00F6442F" w:rsidRPr="00777544">
        <w:rPr>
          <w:rFonts w:cs="Arial"/>
          <w:szCs w:val="20"/>
          <w:lang w:val="en-US"/>
        </w:rPr>
        <w:t>928</w:t>
      </w:r>
      <w:r w:rsidR="00890E3E" w:rsidRPr="00777544">
        <w:rPr>
          <w:rFonts w:cs="Arial"/>
          <w:szCs w:val="20"/>
          <w:lang w:val="en-US"/>
        </w:rPr>
        <w:t> </w:t>
      </w:r>
      <w:r w:rsidR="00F6442F" w:rsidRPr="00777544">
        <w:rPr>
          <w:rFonts w:cs="Arial"/>
          <w:szCs w:val="20"/>
          <w:lang w:val="en-US"/>
        </w:rPr>
        <w:t xml:space="preserve">MHz band </w:t>
      </w:r>
      <w:r w:rsidR="00CB68CD" w:rsidRPr="00777544">
        <w:rPr>
          <w:rFonts w:cs="Arial"/>
          <w:szCs w:val="20"/>
          <w:lang w:val="en-US"/>
        </w:rPr>
        <w:t xml:space="preserve">will not be included in the final version of the ARSP. </w:t>
      </w:r>
    </w:p>
    <w:p w14:paraId="04BF7725" w14:textId="4E5D13AE" w:rsidR="004C3A76" w:rsidRPr="00777544" w:rsidRDefault="004C3A76" w:rsidP="00777544">
      <w:pPr>
        <w:pStyle w:val="Heading2"/>
        <w:rPr>
          <w:lang w:bidi="he-IL"/>
        </w:rPr>
      </w:pPr>
      <w:bookmarkStart w:id="17" w:name="_Toc460759366"/>
      <w:bookmarkStart w:id="18" w:name="_Toc470162676"/>
      <w:r w:rsidRPr="00777544">
        <w:rPr>
          <w:lang w:bidi="he-IL"/>
        </w:rPr>
        <w:t>Chapter 2</w:t>
      </w:r>
      <w:r w:rsidR="00354377" w:rsidRPr="00777544">
        <w:rPr>
          <w:lang w:bidi="he-IL"/>
        </w:rPr>
        <w:t>—</w:t>
      </w:r>
      <w:r w:rsidRPr="00777544">
        <w:rPr>
          <w:lang w:bidi="he-IL"/>
        </w:rPr>
        <w:t>Part 3</w:t>
      </w:r>
      <w:r w:rsidR="00354377" w:rsidRPr="00777544">
        <w:rPr>
          <w:lang w:bidi="he-IL"/>
        </w:rPr>
        <w:t xml:space="preserve">: </w:t>
      </w:r>
      <w:r w:rsidRPr="00777544">
        <w:rPr>
          <w:lang w:bidi="he-IL"/>
        </w:rPr>
        <w:t xml:space="preserve">Australian </w:t>
      </w:r>
      <w:r w:rsidR="00354377" w:rsidRPr="00777544">
        <w:rPr>
          <w:lang w:bidi="he-IL"/>
        </w:rPr>
        <w:t>f</w:t>
      </w:r>
      <w:r w:rsidRPr="00777544">
        <w:rPr>
          <w:lang w:bidi="he-IL"/>
        </w:rPr>
        <w:t>ootnotes</w:t>
      </w:r>
      <w:bookmarkEnd w:id="17"/>
      <w:bookmarkEnd w:id="18"/>
    </w:p>
    <w:p w14:paraId="26FB5586" w14:textId="6CEC79B6" w:rsidR="003A7B2A" w:rsidRPr="00777544" w:rsidRDefault="003A7B2A" w:rsidP="00777544">
      <w:pPr>
        <w:pStyle w:val="Heading3"/>
        <w:rPr>
          <w:lang w:bidi="he-IL"/>
        </w:rPr>
      </w:pPr>
      <w:bookmarkStart w:id="19" w:name="_Toc470162677"/>
      <w:r w:rsidRPr="00777544">
        <w:rPr>
          <w:lang w:bidi="he-IL"/>
        </w:rPr>
        <w:t>Addition of defence footnotes in some bands</w:t>
      </w:r>
      <w:bookmarkEnd w:id="19"/>
    </w:p>
    <w:p w14:paraId="3D59858B" w14:textId="30BC2E6E" w:rsidR="003A7B2A" w:rsidRPr="000313F8" w:rsidRDefault="006529BE" w:rsidP="002A1150">
      <w:pPr>
        <w:spacing w:after="80"/>
        <w:rPr>
          <w:rFonts w:cs="Arial"/>
          <w:szCs w:val="20"/>
          <w:lang w:bidi="he-IL"/>
        </w:rPr>
      </w:pPr>
      <w:r w:rsidRPr="00777544">
        <w:rPr>
          <w:lang w:bidi="he-IL"/>
        </w:rPr>
        <w:t xml:space="preserve">In consultation with the Department of </w:t>
      </w:r>
      <w:r w:rsidR="003A7B2A" w:rsidRPr="00777544">
        <w:rPr>
          <w:lang w:bidi="he-IL"/>
        </w:rPr>
        <w:t xml:space="preserve">Defence the following changes will be </w:t>
      </w:r>
      <w:r w:rsidR="003A7B2A" w:rsidRPr="000313F8">
        <w:rPr>
          <w:rFonts w:cs="Arial"/>
          <w:szCs w:val="20"/>
          <w:lang w:bidi="he-IL"/>
        </w:rPr>
        <w:t>implemented in the final version of the ARSP:</w:t>
      </w:r>
    </w:p>
    <w:p w14:paraId="3FDDA468" w14:textId="462D2117" w:rsidR="003A7B2A" w:rsidRPr="000313F8" w:rsidRDefault="00A55AD5" w:rsidP="002A1150">
      <w:pPr>
        <w:pStyle w:val="ListBullet"/>
        <w:rPr>
          <w:lang w:bidi="he-IL"/>
        </w:rPr>
      </w:pPr>
      <w:r>
        <w:rPr>
          <w:lang w:bidi="he-IL"/>
        </w:rPr>
        <w:t xml:space="preserve">Pre-existing </w:t>
      </w:r>
      <w:r w:rsidR="003A7B2A" w:rsidRPr="000313F8">
        <w:rPr>
          <w:lang w:bidi="he-IL"/>
        </w:rPr>
        <w:t>Australian footnote</w:t>
      </w:r>
      <w:r w:rsidR="003A7B2A" w:rsidRPr="000313F8">
        <w:t xml:space="preserve"> AUS58</w:t>
      </w:r>
      <w:r w:rsidR="00244D4F">
        <w:t xml:space="preserve">, allowing fixed and mobile services to be used for the purposes of defence so long as they do not cause harmful interference to other services, </w:t>
      </w:r>
      <w:r w:rsidR="006529BE" w:rsidRPr="000313F8">
        <w:t>will</w:t>
      </w:r>
      <w:r w:rsidR="00574A28">
        <w:t xml:space="preserve"> be added to the 15.1365</w:t>
      </w:r>
      <w:r w:rsidR="00890E3E">
        <w:t>–</w:t>
      </w:r>
      <w:r w:rsidR="00574A28">
        <w:t>15.35</w:t>
      </w:r>
      <w:r w:rsidR="00890E3E" w:rsidRPr="00777544">
        <w:rPr>
          <w:rFonts w:cs="Arial"/>
          <w:szCs w:val="20"/>
          <w:lang w:val="en-US"/>
        </w:rPr>
        <w:t> </w:t>
      </w:r>
      <w:r w:rsidR="00574A28">
        <w:t>G</w:t>
      </w:r>
      <w:r w:rsidR="003A7B2A" w:rsidRPr="000313F8">
        <w:t>Hz band.</w:t>
      </w:r>
    </w:p>
    <w:p w14:paraId="629ADBF8" w14:textId="4C5B4E84" w:rsidR="003A7B2A" w:rsidRPr="000313F8" w:rsidRDefault="00A55AD5" w:rsidP="002A1150">
      <w:pPr>
        <w:pStyle w:val="ListBulletLast"/>
      </w:pPr>
      <w:r>
        <w:rPr>
          <w:lang w:bidi="he-IL"/>
        </w:rPr>
        <w:t xml:space="preserve">Pre-existing </w:t>
      </w:r>
      <w:r w:rsidR="003A7B2A" w:rsidRPr="000313F8">
        <w:rPr>
          <w:lang w:bidi="he-IL"/>
        </w:rPr>
        <w:t xml:space="preserve">Australian footnote AUS101A on the radiolocation allocation in the </w:t>
      </w:r>
      <w:r w:rsidR="003A7B2A" w:rsidRPr="000313F8">
        <w:t>3300–3400</w:t>
      </w:r>
      <w:r w:rsidR="00890E3E" w:rsidRPr="00777544">
        <w:rPr>
          <w:szCs w:val="20"/>
          <w:lang w:val="en-US"/>
        </w:rPr>
        <w:t> </w:t>
      </w:r>
      <w:r w:rsidR="003A7B2A" w:rsidRPr="000313F8">
        <w:t xml:space="preserve">MHz band </w:t>
      </w:r>
      <w:r w:rsidR="00EA6DFA" w:rsidRPr="000313F8">
        <w:t xml:space="preserve">will </w:t>
      </w:r>
      <w:r w:rsidR="003A7B2A" w:rsidRPr="000313F8">
        <w:t>be changed to AUS100A.</w:t>
      </w:r>
    </w:p>
    <w:p w14:paraId="1CF62D26" w14:textId="06E1A503" w:rsidR="0094497F" w:rsidRPr="00777544" w:rsidRDefault="0094497F" w:rsidP="00777544">
      <w:pPr>
        <w:pStyle w:val="Heading3"/>
        <w:rPr>
          <w:lang w:bidi="he-IL"/>
        </w:rPr>
      </w:pPr>
      <w:bookmarkStart w:id="20" w:name="_Toc470162678"/>
      <w:r w:rsidRPr="00777544">
        <w:rPr>
          <w:lang w:bidi="he-IL"/>
        </w:rPr>
        <w:t>Proposed deletion of footnote AUS105</w:t>
      </w:r>
      <w:bookmarkEnd w:id="20"/>
      <w:r w:rsidRPr="00777544">
        <w:rPr>
          <w:lang w:bidi="he-IL"/>
        </w:rPr>
        <w:t xml:space="preserve"> </w:t>
      </w:r>
    </w:p>
    <w:p w14:paraId="3A2A80C4" w14:textId="73C491FC" w:rsidR="003A0CA6" w:rsidRPr="00777544" w:rsidRDefault="00EF31C5" w:rsidP="00777544">
      <w:pPr>
        <w:rPr>
          <w:lang w:bidi="he-IL"/>
        </w:rPr>
      </w:pPr>
      <w:r>
        <w:rPr>
          <w:lang w:bidi="he-IL"/>
        </w:rPr>
        <w:t>One respondent</w:t>
      </w:r>
      <w:r w:rsidRPr="00777544">
        <w:rPr>
          <w:lang w:bidi="he-IL"/>
        </w:rPr>
        <w:t xml:space="preserve"> </w:t>
      </w:r>
      <w:r w:rsidR="008145D1" w:rsidRPr="00777544">
        <w:rPr>
          <w:lang w:bidi="he-IL"/>
        </w:rPr>
        <w:t>proposed the deletion of footnote AUS105 as they consider</w:t>
      </w:r>
      <w:r w:rsidR="007F6D4F">
        <w:rPr>
          <w:lang w:bidi="he-IL"/>
        </w:rPr>
        <w:t>ed</w:t>
      </w:r>
      <w:r w:rsidR="008145D1" w:rsidRPr="00777544">
        <w:rPr>
          <w:lang w:bidi="he-IL"/>
        </w:rPr>
        <w:t xml:space="preserve"> it </w:t>
      </w:r>
      <w:r w:rsidR="007F6D4F">
        <w:rPr>
          <w:lang w:bidi="he-IL"/>
        </w:rPr>
        <w:t>did</w:t>
      </w:r>
      <w:r w:rsidR="007F6D4F" w:rsidRPr="00777544">
        <w:rPr>
          <w:lang w:bidi="he-IL"/>
        </w:rPr>
        <w:t xml:space="preserve"> </w:t>
      </w:r>
      <w:r w:rsidR="008145D1" w:rsidRPr="00777544">
        <w:rPr>
          <w:lang w:bidi="he-IL"/>
        </w:rPr>
        <w:t>not meet the original intention</w:t>
      </w:r>
      <w:r w:rsidR="003A0CA6" w:rsidRPr="00777544">
        <w:rPr>
          <w:lang w:bidi="he-IL"/>
        </w:rPr>
        <w:t>.</w:t>
      </w:r>
      <w:r w:rsidR="007706EE" w:rsidRPr="00777544">
        <w:rPr>
          <w:lang w:bidi="he-IL"/>
        </w:rPr>
        <w:t xml:space="preserve"> </w:t>
      </w:r>
      <w:r>
        <w:rPr>
          <w:lang w:bidi="he-IL"/>
        </w:rPr>
        <w:t xml:space="preserve">The respondent </w:t>
      </w:r>
      <w:r w:rsidR="007F6D4F" w:rsidRPr="00777544">
        <w:rPr>
          <w:lang w:bidi="he-IL"/>
        </w:rPr>
        <w:t>consider</w:t>
      </w:r>
      <w:r w:rsidR="007F6D4F">
        <w:rPr>
          <w:lang w:bidi="he-IL"/>
        </w:rPr>
        <w:t>ed</w:t>
      </w:r>
      <w:r w:rsidR="007F6D4F" w:rsidRPr="00777544">
        <w:rPr>
          <w:lang w:bidi="he-IL"/>
        </w:rPr>
        <w:t xml:space="preserve"> </w:t>
      </w:r>
      <w:r w:rsidR="007706EE" w:rsidRPr="00777544">
        <w:rPr>
          <w:lang w:bidi="he-IL"/>
        </w:rPr>
        <w:t xml:space="preserve">that this footnote </w:t>
      </w:r>
      <w:r w:rsidR="007F6D4F" w:rsidRPr="00777544">
        <w:rPr>
          <w:lang w:bidi="he-IL"/>
        </w:rPr>
        <w:t>represent</w:t>
      </w:r>
      <w:r w:rsidR="007F6D4F">
        <w:rPr>
          <w:lang w:bidi="he-IL"/>
        </w:rPr>
        <w:t>ed</w:t>
      </w:r>
      <w:r w:rsidR="007F6D4F" w:rsidRPr="00777544">
        <w:rPr>
          <w:lang w:bidi="he-IL"/>
        </w:rPr>
        <w:t xml:space="preserve"> </w:t>
      </w:r>
      <w:r w:rsidR="007706EE" w:rsidRPr="00777544">
        <w:rPr>
          <w:lang w:bidi="he-IL"/>
        </w:rPr>
        <w:t>an unacceptable risk to the effective operation of the S-Band meteorological radars</w:t>
      </w:r>
      <w:r w:rsidR="00890E3E">
        <w:rPr>
          <w:lang w:bidi="he-IL"/>
        </w:rPr>
        <w:t>,</w:t>
      </w:r>
      <w:r w:rsidR="007706EE" w:rsidRPr="00777544">
        <w:rPr>
          <w:lang w:bidi="he-IL"/>
        </w:rPr>
        <w:t xml:space="preserve"> by stipulating that they are not protected from harmful interference from services operating under spectrum licences in adjacent bands.</w:t>
      </w:r>
    </w:p>
    <w:p w14:paraId="47A8C477" w14:textId="7729E9B7" w:rsidR="003A0CA6" w:rsidRPr="00777544" w:rsidRDefault="003A0CA6" w:rsidP="00777544">
      <w:pPr>
        <w:rPr>
          <w:lang w:bidi="he-IL"/>
        </w:rPr>
      </w:pPr>
      <w:r w:rsidRPr="00777544">
        <w:rPr>
          <w:lang w:bidi="he-IL"/>
        </w:rPr>
        <w:lastRenderedPageBreak/>
        <w:t xml:space="preserve">AUS105 was created in response to a request </w:t>
      </w:r>
      <w:r w:rsidR="00EF31C5">
        <w:rPr>
          <w:lang w:bidi="he-IL"/>
        </w:rPr>
        <w:t xml:space="preserve">to the previous update of the ARSP </w:t>
      </w:r>
      <w:r w:rsidRPr="00777544">
        <w:rPr>
          <w:lang w:bidi="he-IL"/>
        </w:rPr>
        <w:t xml:space="preserve">that the </w:t>
      </w:r>
      <w:r w:rsidR="00890E3E">
        <w:rPr>
          <w:lang w:bidi="he-IL"/>
        </w:rPr>
        <w:t>r</w:t>
      </w:r>
      <w:r w:rsidRPr="00777544">
        <w:rPr>
          <w:lang w:bidi="he-IL"/>
        </w:rPr>
        <w:t xml:space="preserve">adiolocation </w:t>
      </w:r>
      <w:r w:rsidR="00890E3E">
        <w:rPr>
          <w:lang w:bidi="he-IL"/>
        </w:rPr>
        <w:t>s</w:t>
      </w:r>
      <w:r w:rsidRPr="00777544">
        <w:rPr>
          <w:lang w:bidi="he-IL"/>
        </w:rPr>
        <w:t>ervice in the 2700</w:t>
      </w:r>
      <w:r w:rsidR="00890E3E">
        <w:rPr>
          <w:lang w:bidi="he-IL"/>
        </w:rPr>
        <w:t>–</w:t>
      </w:r>
      <w:r w:rsidRPr="00777544">
        <w:rPr>
          <w:lang w:bidi="he-IL"/>
        </w:rPr>
        <w:t>2900</w:t>
      </w:r>
      <w:r w:rsidR="00890E3E" w:rsidRPr="00777544">
        <w:rPr>
          <w:rFonts w:cs="Arial"/>
          <w:szCs w:val="20"/>
          <w:lang w:val="en-US"/>
        </w:rPr>
        <w:t> </w:t>
      </w:r>
      <w:r w:rsidRPr="00777544">
        <w:rPr>
          <w:lang w:bidi="he-IL"/>
        </w:rPr>
        <w:t>MHz band be upgraded from secondary to primary status</w:t>
      </w:r>
      <w:r w:rsidR="000F2D5B">
        <w:rPr>
          <w:lang w:bidi="he-IL"/>
        </w:rPr>
        <w:t>.</w:t>
      </w:r>
      <w:r w:rsidRPr="00777544">
        <w:rPr>
          <w:lang w:bidi="he-IL"/>
        </w:rPr>
        <w:t xml:space="preserve"> </w:t>
      </w:r>
      <w:r w:rsidR="00EF31C5">
        <w:rPr>
          <w:lang w:bidi="he-IL"/>
        </w:rPr>
        <w:t>Respondents</w:t>
      </w:r>
      <w:r w:rsidRPr="00777544">
        <w:rPr>
          <w:lang w:bidi="he-IL"/>
        </w:rPr>
        <w:t xml:space="preserve"> provided in principle support provided the change </w:t>
      </w:r>
      <w:r w:rsidR="00EF31C5">
        <w:rPr>
          <w:lang w:bidi="he-IL"/>
        </w:rPr>
        <w:t>wa</w:t>
      </w:r>
      <w:r w:rsidRPr="00777544">
        <w:rPr>
          <w:lang w:bidi="he-IL"/>
        </w:rPr>
        <w:t>s limited to ground-based radars used for meteorological purposes</w:t>
      </w:r>
      <w:r w:rsidR="00EF31C5">
        <w:rPr>
          <w:lang w:bidi="he-IL"/>
        </w:rPr>
        <w:t xml:space="preserve"> and that</w:t>
      </w:r>
      <w:r w:rsidR="00FB3CA6">
        <w:rPr>
          <w:lang w:bidi="he-IL"/>
        </w:rPr>
        <w:t xml:space="preserve"> </w:t>
      </w:r>
      <w:r w:rsidRPr="00777544">
        <w:rPr>
          <w:lang w:bidi="he-IL"/>
        </w:rPr>
        <w:t>primary status should not apply to all radiolocation services operating in the band.</w:t>
      </w:r>
    </w:p>
    <w:p w14:paraId="3085D9A1" w14:textId="4DF1192B" w:rsidR="003A0CA6" w:rsidRPr="00777544" w:rsidRDefault="003A0CA6" w:rsidP="00777544">
      <w:pPr>
        <w:rPr>
          <w:lang w:bidi="he-IL"/>
        </w:rPr>
      </w:pPr>
      <w:r w:rsidRPr="00777544">
        <w:rPr>
          <w:lang w:bidi="he-IL"/>
        </w:rPr>
        <w:t xml:space="preserve">The ACMA decided to upgrade </w:t>
      </w:r>
      <w:r w:rsidR="00890E3E">
        <w:rPr>
          <w:lang w:bidi="he-IL"/>
        </w:rPr>
        <w:t>r</w:t>
      </w:r>
      <w:r w:rsidRPr="00777544">
        <w:rPr>
          <w:lang w:bidi="he-IL"/>
        </w:rPr>
        <w:t xml:space="preserve">adiolocation to </w:t>
      </w:r>
      <w:r w:rsidR="00890E3E">
        <w:rPr>
          <w:lang w:bidi="he-IL"/>
        </w:rPr>
        <w:t>p</w:t>
      </w:r>
      <w:r w:rsidR="00890E3E" w:rsidRPr="00777544">
        <w:rPr>
          <w:lang w:bidi="he-IL"/>
        </w:rPr>
        <w:t xml:space="preserve">rimary </w:t>
      </w:r>
      <w:r w:rsidRPr="00777544">
        <w:rPr>
          <w:lang w:bidi="he-IL"/>
        </w:rPr>
        <w:t xml:space="preserve">with a footnote (AUS105) stating that it is for meteorological </w:t>
      </w:r>
      <w:r w:rsidR="00F36117">
        <w:rPr>
          <w:lang w:bidi="he-IL"/>
        </w:rPr>
        <w:t>and</w:t>
      </w:r>
      <w:r w:rsidR="00F36117" w:rsidRPr="00777544">
        <w:rPr>
          <w:lang w:bidi="he-IL"/>
        </w:rPr>
        <w:t xml:space="preserve"> </w:t>
      </w:r>
      <w:r w:rsidRPr="00777544">
        <w:rPr>
          <w:lang w:bidi="he-IL"/>
        </w:rPr>
        <w:t>aeronautical surveillance radar on condition that potential harmful interference is accepted from services operating in adjacent bands in accordance with a spectrum licence.</w:t>
      </w:r>
    </w:p>
    <w:p w14:paraId="0241D655" w14:textId="5649724D" w:rsidR="00FB3CA6" w:rsidRDefault="00EF31C5" w:rsidP="00777544">
      <w:pPr>
        <w:rPr>
          <w:lang w:bidi="he-IL"/>
        </w:rPr>
      </w:pPr>
      <w:r>
        <w:rPr>
          <w:lang w:bidi="he-IL"/>
        </w:rPr>
        <w:t>While the proposed deletion was supported by some stakeholders</w:t>
      </w:r>
      <w:r w:rsidR="00FB3CA6">
        <w:rPr>
          <w:lang w:bidi="he-IL"/>
        </w:rPr>
        <w:t>,</w:t>
      </w:r>
      <w:r>
        <w:rPr>
          <w:lang w:bidi="he-IL"/>
        </w:rPr>
        <w:t xml:space="preserve"> agreement could not be obtained from all affected parties. As such footnote AUS105 will remain</w:t>
      </w:r>
      <w:r w:rsidR="00FB3CA6">
        <w:rPr>
          <w:lang w:bidi="he-IL"/>
        </w:rPr>
        <w:t xml:space="preserve"> in its current form. The ACMA will continue to monitor the issue and </w:t>
      </w:r>
      <w:r w:rsidR="00D96D6F">
        <w:rPr>
          <w:lang w:bidi="he-IL"/>
        </w:rPr>
        <w:t xml:space="preserve">will liaise with interested parties to determine if and changes are warranted </w:t>
      </w:r>
      <w:r w:rsidR="00FB3CA6">
        <w:rPr>
          <w:lang w:bidi="he-IL"/>
        </w:rPr>
        <w:t>at a later stage.</w:t>
      </w:r>
    </w:p>
    <w:p w14:paraId="147DAB3C" w14:textId="77777777" w:rsidR="0094497F" w:rsidRPr="00777544" w:rsidRDefault="0094497F" w:rsidP="00777544">
      <w:pPr>
        <w:pStyle w:val="Heading3"/>
        <w:rPr>
          <w:lang w:bidi="he-IL"/>
        </w:rPr>
      </w:pPr>
      <w:bookmarkStart w:id="21" w:name="_Toc470162679"/>
      <w:r w:rsidRPr="00777544">
        <w:rPr>
          <w:lang w:bidi="he-IL"/>
        </w:rPr>
        <w:t>Proposed new footnotes AUS106 and AUS106A</w:t>
      </w:r>
      <w:bookmarkEnd w:id="21"/>
      <w:r w:rsidRPr="00777544">
        <w:rPr>
          <w:lang w:bidi="he-IL"/>
        </w:rPr>
        <w:t xml:space="preserve"> </w:t>
      </w:r>
    </w:p>
    <w:p w14:paraId="404A7D97" w14:textId="4C0EC80C" w:rsidR="004C3A76" w:rsidRPr="00777544" w:rsidRDefault="004C3A76" w:rsidP="00777544">
      <w:pPr>
        <w:rPr>
          <w:rFonts w:cs="Arial"/>
        </w:rPr>
      </w:pPr>
      <w:r w:rsidRPr="00777544">
        <w:rPr>
          <w:rFonts w:cs="Arial"/>
        </w:rPr>
        <w:t xml:space="preserve">Proposed new footnotes AUS106 and AUS106A </w:t>
      </w:r>
      <w:r w:rsidR="002C73AC" w:rsidRPr="00777544">
        <w:rPr>
          <w:rFonts w:cs="Arial"/>
        </w:rPr>
        <w:t>were</w:t>
      </w:r>
      <w:r w:rsidRPr="00777544">
        <w:rPr>
          <w:rFonts w:cs="Arial"/>
        </w:rPr>
        <w:t xml:space="preserve"> added to support an existing treaty between the Australian and United States governments mentioned in the footnote. Under this treaty, </w:t>
      </w:r>
      <w:r w:rsidR="002E6A5B" w:rsidRPr="00777544">
        <w:rPr>
          <w:rFonts w:cs="Arial"/>
        </w:rPr>
        <w:t>space operation, space research and</w:t>
      </w:r>
      <w:r w:rsidRPr="00777544">
        <w:rPr>
          <w:rFonts w:cs="Arial"/>
        </w:rPr>
        <w:t xml:space="preserve"> Earth exploration-satellite services in the 2 025</w:t>
      </w:r>
      <w:r w:rsidR="00890E3E">
        <w:rPr>
          <w:rFonts w:cs="Arial"/>
        </w:rPr>
        <w:t>–</w:t>
      </w:r>
      <w:r w:rsidRPr="00777544">
        <w:rPr>
          <w:rFonts w:cs="Arial"/>
        </w:rPr>
        <w:t>2 110</w:t>
      </w:r>
      <w:r w:rsidR="008538C8" w:rsidRPr="00777544">
        <w:rPr>
          <w:rFonts w:cs="Arial"/>
          <w:szCs w:val="20"/>
          <w:lang w:val="en-US"/>
        </w:rPr>
        <w:t> </w:t>
      </w:r>
      <w:r w:rsidRPr="00777544">
        <w:rPr>
          <w:rFonts w:cs="Arial"/>
        </w:rPr>
        <w:t>MHz and 2 200</w:t>
      </w:r>
      <w:r w:rsidR="00354377" w:rsidRPr="00777544">
        <w:rPr>
          <w:rFonts w:cs="Arial"/>
        </w:rPr>
        <w:t>–</w:t>
      </w:r>
      <w:r w:rsidRPr="00777544">
        <w:rPr>
          <w:rFonts w:cs="Arial"/>
        </w:rPr>
        <w:t>2 290</w:t>
      </w:r>
      <w:r w:rsidR="008538C8" w:rsidRPr="00777544">
        <w:rPr>
          <w:rFonts w:cs="Arial"/>
          <w:szCs w:val="20"/>
          <w:lang w:val="en-US"/>
        </w:rPr>
        <w:t> </w:t>
      </w:r>
      <w:r w:rsidRPr="00777544">
        <w:rPr>
          <w:rFonts w:cs="Arial"/>
        </w:rPr>
        <w:t>MHz bands are used in the reverse sense (</w:t>
      </w:r>
      <w:r w:rsidR="00E26251" w:rsidRPr="00777544">
        <w:rPr>
          <w:rFonts w:cs="Arial"/>
        </w:rPr>
        <w:t>for example</w:t>
      </w:r>
      <w:r w:rsidR="00354377" w:rsidRPr="00777544">
        <w:rPr>
          <w:rFonts w:cs="Arial"/>
        </w:rPr>
        <w:t>,</w:t>
      </w:r>
      <w:r w:rsidRPr="00777544">
        <w:rPr>
          <w:rFonts w:cs="Arial"/>
        </w:rPr>
        <w:t xml:space="preserve"> space-to-Earth rather than Earth-to-space) for the purpose of tracking space vehicles. These proposed new footnotes allow use of reverse sense services for stations operating in support of the treaty. </w:t>
      </w:r>
    </w:p>
    <w:p w14:paraId="3AD47B67" w14:textId="0D652C6B" w:rsidR="002C73AC" w:rsidRPr="00777544" w:rsidRDefault="002C73AC" w:rsidP="00777544">
      <w:r w:rsidRPr="00777544">
        <w:rPr>
          <w:rFonts w:cs="Arial"/>
        </w:rPr>
        <w:t xml:space="preserve">One respondent </w:t>
      </w:r>
      <w:r w:rsidRPr="00777544">
        <w:t xml:space="preserve">proposed that the new Australian </w:t>
      </w:r>
      <w:r w:rsidR="008538C8">
        <w:t>f</w:t>
      </w:r>
      <w:r w:rsidR="008538C8" w:rsidRPr="00777544">
        <w:t xml:space="preserve">ootnotes </w:t>
      </w:r>
      <w:r w:rsidRPr="00777544">
        <w:t>AUS106 and AUS106A be applied to the entire bands 2025</w:t>
      </w:r>
      <w:r w:rsidR="008538C8">
        <w:t>–</w:t>
      </w:r>
      <w:r w:rsidRPr="00777544">
        <w:t>2110</w:t>
      </w:r>
      <w:r w:rsidR="008538C8" w:rsidRPr="00777544">
        <w:rPr>
          <w:rFonts w:cs="Arial"/>
          <w:szCs w:val="20"/>
          <w:lang w:val="en-US"/>
        </w:rPr>
        <w:t> </w:t>
      </w:r>
      <w:r w:rsidRPr="00777544">
        <w:t>MHz and 2200</w:t>
      </w:r>
      <w:r w:rsidR="008538C8">
        <w:t>–</w:t>
      </w:r>
      <w:r w:rsidRPr="00777544">
        <w:t>2290</w:t>
      </w:r>
      <w:r w:rsidR="008538C8" w:rsidRPr="00777544">
        <w:rPr>
          <w:rFonts w:cs="Arial"/>
          <w:szCs w:val="20"/>
          <w:lang w:val="en-US"/>
        </w:rPr>
        <w:t> </w:t>
      </w:r>
      <w:r w:rsidRPr="00777544">
        <w:t>MHz respectively</w:t>
      </w:r>
      <w:r w:rsidR="008538C8">
        <w:t>,</w:t>
      </w:r>
      <w:r w:rsidRPr="00777544">
        <w:t xml:space="preserve"> rather than only to the </w:t>
      </w:r>
      <w:r w:rsidR="008538C8">
        <w:t>s</w:t>
      </w:r>
      <w:r w:rsidRPr="00777544">
        <w:t xml:space="preserve">pace </w:t>
      </w:r>
      <w:r w:rsidR="008538C8">
        <w:t>o</w:t>
      </w:r>
      <w:r w:rsidR="008538C8" w:rsidRPr="00777544">
        <w:t xml:space="preserve">peration </w:t>
      </w:r>
      <w:r w:rsidRPr="00777544">
        <w:t xml:space="preserve">service. </w:t>
      </w:r>
      <w:r w:rsidR="00D47B64" w:rsidRPr="00777544">
        <w:t xml:space="preserve">Another respondent noted that the services </w:t>
      </w:r>
      <w:r w:rsidR="002E6A5B" w:rsidRPr="00777544">
        <w:t>named in</w:t>
      </w:r>
      <w:r w:rsidR="00D47B64" w:rsidRPr="00777544">
        <w:t xml:space="preserve"> the treaty operated within a specific frequency range and </w:t>
      </w:r>
      <w:r w:rsidR="005A4D1B" w:rsidRPr="00777544">
        <w:t xml:space="preserve">suggested </w:t>
      </w:r>
      <w:r w:rsidR="00D47B64" w:rsidRPr="00777544">
        <w:t xml:space="preserve">this should be reflected in the footnote. </w:t>
      </w:r>
      <w:r w:rsidR="002E6A5B" w:rsidRPr="00777544">
        <w:t>The proposed</w:t>
      </w:r>
      <w:r w:rsidR="003D6210" w:rsidRPr="00777544">
        <w:t xml:space="preserve"> new Australian </w:t>
      </w:r>
      <w:r w:rsidR="008538C8">
        <w:t>f</w:t>
      </w:r>
      <w:r w:rsidR="008538C8" w:rsidRPr="00777544">
        <w:t xml:space="preserve">ootnotes </w:t>
      </w:r>
      <w:r w:rsidR="003D6210" w:rsidRPr="00777544">
        <w:t xml:space="preserve">apply to </w:t>
      </w:r>
      <w:r w:rsidRPr="00777544">
        <w:t>the space operation, space research and Earth exploration</w:t>
      </w:r>
      <w:r w:rsidR="008538C8">
        <w:t>-</w:t>
      </w:r>
      <w:r w:rsidRPr="00777544">
        <w:t>satellite services in the</w:t>
      </w:r>
      <w:r w:rsidR="003D6210" w:rsidRPr="00777544">
        <w:t xml:space="preserve"> reverse sense</w:t>
      </w:r>
      <w:r w:rsidR="002E6A5B" w:rsidRPr="00777544">
        <w:t xml:space="preserve">. These operations are </w:t>
      </w:r>
      <w:r w:rsidR="003D6210" w:rsidRPr="00777544">
        <w:t>outside the scope of the existing allocation</w:t>
      </w:r>
      <w:r w:rsidR="002E6A5B" w:rsidRPr="00777544">
        <w:t>s. It</w:t>
      </w:r>
      <w:r w:rsidR="003D6210" w:rsidRPr="00777544">
        <w:t xml:space="preserve"> is considered appropriate that the new Australian </w:t>
      </w:r>
      <w:r w:rsidR="008538C8">
        <w:t>f</w:t>
      </w:r>
      <w:r w:rsidR="008538C8" w:rsidRPr="00777544">
        <w:t xml:space="preserve">ootnotes </w:t>
      </w:r>
      <w:r w:rsidR="005A4D1B" w:rsidRPr="00777544">
        <w:t>be</w:t>
      </w:r>
      <w:r w:rsidR="003D6210" w:rsidRPr="00777544">
        <w:t xml:space="preserve"> appl</w:t>
      </w:r>
      <w:r w:rsidR="005A4D1B" w:rsidRPr="00777544">
        <w:t>ied as a</w:t>
      </w:r>
      <w:r w:rsidR="003D6210" w:rsidRPr="00777544">
        <w:t xml:space="preserve"> </w:t>
      </w:r>
      <w:r w:rsidR="005A4D1B" w:rsidRPr="00777544">
        <w:t xml:space="preserve">footnote </w:t>
      </w:r>
      <w:r w:rsidR="002E6A5B" w:rsidRPr="00777544">
        <w:t xml:space="preserve">to the band </w:t>
      </w:r>
      <w:r w:rsidR="003D6210" w:rsidRPr="00777544">
        <w:t>rather than to a</w:t>
      </w:r>
      <w:r w:rsidR="002E6A5B" w:rsidRPr="00777544">
        <w:t xml:space="preserve"> </w:t>
      </w:r>
      <w:r w:rsidR="005A4D1B" w:rsidRPr="00777544">
        <w:t xml:space="preserve">specific service </w:t>
      </w:r>
      <w:r w:rsidR="003D6210" w:rsidRPr="00777544">
        <w:t>allocation</w:t>
      </w:r>
      <w:r w:rsidR="005A4D1B" w:rsidRPr="00777544">
        <w:t xml:space="preserve"> in the band</w:t>
      </w:r>
      <w:r w:rsidR="007C7356" w:rsidRPr="00777544">
        <w:t xml:space="preserve">. However, it is also considered appropriate that </w:t>
      </w:r>
      <w:r w:rsidR="005A4D1B" w:rsidRPr="00777544">
        <w:t>only the frequency range used be reflected in the footnote</w:t>
      </w:r>
      <w:r w:rsidR="003D6210" w:rsidRPr="00777544">
        <w:t xml:space="preserve">. </w:t>
      </w:r>
      <w:r w:rsidR="003D6210" w:rsidRPr="00777544">
        <w:rPr>
          <w:rFonts w:cs="Arial"/>
        </w:rPr>
        <w:t xml:space="preserve">Changes to this </w:t>
      </w:r>
      <w:r w:rsidR="00F066ED" w:rsidRPr="00777544">
        <w:rPr>
          <w:rFonts w:cs="Arial"/>
        </w:rPr>
        <w:t>e</w:t>
      </w:r>
      <w:r w:rsidR="003D6210" w:rsidRPr="00777544">
        <w:rPr>
          <w:rFonts w:cs="Arial"/>
        </w:rPr>
        <w:t>ffect ha</w:t>
      </w:r>
      <w:r w:rsidR="008538C8">
        <w:rPr>
          <w:rFonts w:cs="Arial"/>
        </w:rPr>
        <w:t>ve</w:t>
      </w:r>
      <w:r w:rsidR="003D6210" w:rsidRPr="00777544">
        <w:rPr>
          <w:rFonts w:cs="Arial"/>
        </w:rPr>
        <w:t xml:space="preserve"> been included in the final version of the ARSP.</w:t>
      </w:r>
    </w:p>
    <w:p w14:paraId="6ED34A40" w14:textId="1D70114A" w:rsidR="002C73AC" w:rsidRPr="00777544" w:rsidRDefault="003D6210" w:rsidP="00777544">
      <w:r w:rsidRPr="00777544">
        <w:t>One respondent questioned why footnotes were not included to reflect other international treaties. It is noted that the stations operating under the treaty in question are operating with reverse sense (for example, Earth-to-space rather than space-to-Earth), which is outside of the allocations allowed in the ARSP. Systems which operate under other treaties operate within the ARSP allocations and as such do not require specific provisions or recognition in the ARSP.</w:t>
      </w:r>
    </w:p>
    <w:p w14:paraId="54979580" w14:textId="582270BC" w:rsidR="00D47B64" w:rsidRPr="00777544" w:rsidRDefault="005A4D1B" w:rsidP="00777544">
      <w:r w:rsidRPr="00777544">
        <w:t>The final versions of the footnotes will be</w:t>
      </w:r>
      <w:r w:rsidR="00772910" w:rsidRPr="00777544">
        <w:t>:</w:t>
      </w:r>
    </w:p>
    <w:p w14:paraId="13F17142" w14:textId="443E0A68" w:rsidR="005A4D1B" w:rsidRPr="00777544" w:rsidRDefault="005A4D1B" w:rsidP="002A1150">
      <w:pPr>
        <w:spacing w:line="240" w:lineRule="auto"/>
        <w:ind w:left="1134" w:right="583" w:hanging="1134"/>
        <w:rPr>
          <w:rFonts w:eastAsia="Calibri" w:cs="Arial"/>
          <w:szCs w:val="20"/>
          <w:lang w:eastAsia="en-US"/>
        </w:rPr>
      </w:pPr>
      <w:r w:rsidRPr="00777544">
        <w:rPr>
          <w:rFonts w:eastAsia="Calibri" w:cs="Arial"/>
          <w:szCs w:val="20"/>
          <w:lang w:eastAsia="en-US"/>
        </w:rPr>
        <w:t>AUS106</w:t>
      </w:r>
      <w:r w:rsidRPr="00777544">
        <w:rPr>
          <w:rFonts w:eastAsia="Calibri" w:cs="Arial"/>
          <w:szCs w:val="20"/>
          <w:lang w:eastAsia="en-US"/>
        </w:rPr>
        <w:tab/>
        <w:t>The band 2103.406</w:t>
      </w:r>
      <w:r w:rsidR="008538C8">
        <w:rPr>
          <w:rFonts w:eastAsia="Calibri" w:cs="Arial"/>
          <w:szCs w:val="20"/>
          <w:lang w:eastAsia="en-US"/>
        </w:rPr>
        <w:t>–</w:t>
      </w:r>
      <w:r w:rsidRPr="00777544">
        <w:rPr>
          <w:rFonts w:eastAsia="Calibri" w:cs="Arial"/>
          <w:szCs w:val="20"/>
          <w:lang w:eastAsia="en-US"/>
        </w:rPr>
        <w:t>2109.406 MHz may be used by the space operation (space-to-Earth), space research (space-to-Earth) and Earth exploration</w:t>
      </w:r>
      <w:r w:rsidR="008538C8">
        <w:rPr>
          <w:rFonts w:eastAsia="Calibri" w:cs="Arial"/>
          <w:szCs w:val="20"/>
          <w:lang w:eastAsia="en-US"/>
        </w:rPr>
        <w:t>-</w:t>
      </w:r>
      <w:r w:rsidRPr="00777544">
        <w:rPr>
          <w:rFonts w:eastAsia="Calibri" w:cs="Arial"/>
          <w:szCs w:val="20"/>
          <w:lang w:eastAsia="en-US"/>
        </w:rPr>
        <w:t xml:space="preserve">satellite (space-to-Earth) services to support the operation of the </w:t>
      </w:r>
      <w:proofErr w:type="spellStart"/>
      <w:r w:rsidRPr="00777544">
        <w:rPr>
          <w:rFonts w:eastAsia="Calibri" w:cs="Arial"/>
          <w:szCs w:val="20"/>
          <w:lang w:eastAsia="en-US"/>
        </w:rPr>
        <w:t>Bilateration</w:t>
      </w:r>
      <w:proofErr w:type="spellEnd"/>
      <w:r w:rsidRPr="00777544">
        <w:rPr>
          <w:rFonts w:eastAsia="Calibri" w:cs="Arial"/>
          <w:szCs w:val="20"/>
          <w:lang w:eastAsia="en-US"/>
        </w:rPr>
        <w:t xml:space="preserve"> Ranging Transponder System earth station facility near Alice Springs (latitude 23° 45' 25.3" S, longitude 133° 52' 58.2" E)</w:t>
      </w:r>
    </w:p>
    <w:p w14:paraId="058ABE81" w14:textId="1B221392" w:rsidR="005A4D1B" w:rsidRPr="00777544" w:rsidRDefault="005A4D1B" w:rsidP="002A1150">
      <w:pPr>
        <w:spacing w:after="0" w:line="240" w:lineRule="auto"/>
        <w:ind w:left="1134" w:right="583" w:hanging="1134"/>
        <w:rPr>
          <w:rFonts w:eastAsia="Calibri" w:cs="Arial"/>
          <w:szCs w:val="20"/>
          <w:lang w:eastAsia="en-US"/>
        </w:rPr>
      </w:pPr>
      <w:r w:rsidRPr="00777544">
        <w:rPr>
          <w:rFonts w:eastAsia="Calibri" w:cs="Arial"/>
          <w:szCs w:val="20"/>
          <w:lang w:eastAsia="en-US"/>
        </w:rPr>
        <w:t>AUS106A</w:t>
      </w:r>
      <w:r w:rsidRPr="00777544">
        <w:rPr>
          <w:rFonts w:eastAsia="Calibri" w:cs="Arial"/>
          <w:szCs w:val="20"/>
          <w:lang w:eastAsia="en-US"/>
        </w:rPr>
        <w:tab/>
        <w:t>The band 2284.5–2290.5</w:t>
      </w:r>
      <w:r w:rsidR="008538C8" w:rsidRPr="00777544">
        <w:rPr>
          <w:rFonts w:cs="Arial"/>
          <w:szCs w:val="20"/>
          <w:lang w:val="en-US"/>
        </w:rPr>
        <w:t> </w:t>
      </w:r>
      <w:r w:rsidRPr="00777544">
        <w:rPr>
          <w:rFonts w:eastAsia="Calibri" w:cs="Arial"/>
          <w:szCs w:val="20"/>
          <w:lang w:eastAsia="en-US"/>
        </w:rPr>
        <w:t>MHz may be used by the space operation (Earth-to-space), space research (Earth-to-space) and Earth exploration</w:t>
      </w:r>
      <w:r w:rsidRPr="00777544">
        <w:rPr>
          <w:rFonts w:eastAsia="Calibri" w:cs="Arial"/>
          <w:szCs w:val="20"/>
          <w:lang w:eastAsia="en-US"/>
        </w:rPr>
        <w:noBreakHyphen/>
        <w:t xml:space="preserve">satellite (Earth-to-space) services to support the </w:t>
      </w:r>
      <w:r w:rsidRPr="00777544">
        <w:rPr>
          <w:rFonts w:eastAsia="Calibri" w:cs="Arial"/>
          <w:szCs w:val="20"/>
          <w:lang w:eastAsia="en-US"/>
        </w:rPr>
        <w:lastRenderedPageBreak/>
        <w:t xml:space="preserve">operation of the </w:t>
      </w:r>
      <w:proofErr w:type="spellStart"/>
      <w:r w:rsidRPr="00777544">
        <w:rPr>
          <w:rFonts w:eastAsia="Calibri" w:cs="Arial"/>
          <w:szCs w:val="20"/>
          <w:lang w:eastAsia="en-US"/>
        </w:rPr>
        <w:t>Bilateration</w:t>
      </w:r>
      <w:proofErr w:type="spellEnd"/>
      <w:r w:rsidRPr="00777544">
        <w:rPr>
          <w:rFonts w:eastAsia="Calibri" w:cs="Arial"/>
          <w:szCs w:val="20"/>
          <w:lang w:eastAsia="en-US"/>
        </w:rPr>
        <w:t xml:space="preserve"> Ranging Transponder System earth station facility near Alice Springs (latitude 23° 45' 25.3" S, longitude 133° 52' 58.2" E)</w:t>
      </w:r>
    </w:p>
    <w:p w14:paraId="04C0D7B6" w14:textId="61CE8CD5" w:rsidR="004C3A76" w:rsidRPr="00777544" w:rsidRDefault="004C3A76" w:rsidP="00777544">
      <w:pPr>
        <w:pStyle w:val="Heading2"/>
      </w:pPr>
      <w:bookmarkStart w:id="22" w:name="OLE_LINK57"/>
      <w:bookmarkStart w:id="23" w:name="OLE_LINK56"/>
      <w:bookmarkStart w:id="24" w:name="_Toc460759367"/>
      <w:bookmarkStart w:id="25" w:name="_Toc470162680"/>
      <w:bookmarkEnd w:id="22"/>
      <w:bookmarkEnd w:id="23"/>
      <w:r w:rsidRPr="00777544">
        <w:t>Chapter 2</w:t>
      </w:r>
      <w:r w:rsidR="00354377" w:rsidRPr="00777544">
        <w:t>—</w:t>
      </w:r>
      <w:r w:rsidRPr="00777544">
        <w:t>Part 4</w:t>
      </w:r>
      <w:r w:rsidR="00354377" w:rsidRPr="00777544">
        <w:t xml:space="preserve">: </w:t>
      </w:r>
      <w:r w:rsidRPr="00777544">
        <w:t xml:space="preserve">International </w:t>
      </w:r>
      <w:r w:rsidR="00354377" w:rsidRPr="00777544">
        <w:t>f</w:t>
      </w:r>
      <w:r w:rsidRPr="00777544">
        <w:t>ootnotes</w:t>
      </w:r>
      <w:bookmarkEnd w:id="24"/>
      <w:bookmarkEnd w:id="25"/>
    </w:p>
    <w:p w14:paraId="60077A0D" w14:textId="3E5E86DF" w:rsidR="007C49BC" w:rsidRPr="00777544" w:rsidRDefault="007C49BC" w:rsidP="00777544">
      <w:pPr>
        <w:rPr>
          <w:lang w:bidi="he-IL"/>
        </w:rPr>
      </w:pPr>
      <w:r w:rsidRPr="00777544">
        <w:rPr>
          <w:rFonts w:cs="Arial"/>
          <w:szCs w:val="20"/>
          <w:lang w:val="en-US"/>
        </w:rPr>
        <w:t xml:space="preserve">One respondent proposed removal of Australia from International </w:t>
      </w:r>
      <w:r w:rsidR="008538C8">
        <w:rPr>
          <w:rFonts w:cs="Arial"/>
          <w:szCs w:val="20"/>
          <w:lang w:val="en-US"/>
        </w:rPr>
        <w:t>f</w:t>
      </w:r>
      <w:r w:rsidR="008538C8" w:rsidRPr="00777544">
        <w:rPr>
          <w:rFonts w:cs="Arial"/>
          <w:szCs w:val="20"/>
          <w:lang w:val="en-US"/>
        </w:rPr>
        <w:t xml:space="preserve">ootnotes </w:t>
      </w:r>
      <w:r w:rsidRPr="00777544">
        <w:rPr>
          <w:rFonts w:cs="Arial"/>
          <w:szCs w:val="20"/>
          <w:lang w:val="en-US"/>
        </w:rPr>
        <w:t xml:space="preserve">168 and 176. It should be noted that International </w:t>
      </w:r>
      <w:r w:rsidR="008538C8">
        <w:rPr>
          <w:rFonts w:cs="Arial"/>
          <w:szCs w:val="20"/>
          <w:lang w:val="en-US"/>
        </w:rPr>
        <w:t>f</w:t>
      </w:r>
      <w:r w:rsidR="008538C8" w:rsidRPr="00777544">
        <w:rPr>
          <w:rFonts w:cs="Arial"/>
          <w:szCs w:val="20"/>
          <w:lang w:val="en-US"/>
        </w:rPr>
        <w:t xml:space="preserve">ootnotes </w:t>
      </w:r>
      <w:r w:rsidRPr="00777544">
        <w:rPr>
          <w:rFonts w:cs="Arial"/>
          <w:szCs w:val="20"/>
          <w:lang w:val="en-US"/>
        </w:rPr>
        <w:t xml:space="preserve">are part of the ITU Radio Regulations and are reviewed at the World </w:t>
      </w:r>
      <w:proofErr w:type="spellStart"/>
      <w:r w:rsidRPr="00777544">
        <w:rPr>
          <w:rFonts w:cs="Arial"/>
          <w:szCs w:val="20"/>
          <w:lang w:val="en-US"/>
        </w:rPr>
        <w:t>Radiocommunication</w:t>
      </w:r>
      <w:proofErr w:type="spellEnd"/>
      <w:r w:rsidRPr="00777544">
        <w:rPr>
          <w:rFonts w:cs="Arial"/>
          <w:szCs w:val="20"/>
          <w:lang w:val="en-US"/>
        </w:rPr>
        <w:t xml:space="preserve"> Conference. Therefore, changes to these footnotes are unable to be made until the next World </w:t>
      </w:r>
      <w:proofErr w:type="spellStart"/>
      <w:r w:rsidRPr="00777544">
        <w:rPr>
          <w:rFonts w:cs="Arial"/>
          <w:szCs w:val="20"/>
          <w:lang w:val="en-US"/>
        </w:rPr>
        <w:t>Radiocommunication</w:t>
      </w:r>
      <w:proofErr w:type="spellEnd"/>
      <w:r w:rsidRPr="00777544">
        <w:rPr>
          <w:rFonts w:cs="Arial"/>
          <w:szCs w:val="20"/>
          <w:lang w:val="en-US"/>
        </w:rPr>
        <w:t xml:space="preserve"> Conference in 2019.</w:t>
      </w:r>
    </w:p>
    <w:p w14:paraId="04A12673" w14:textId="2BE4D14B" w:rsidR="003D6210" w:rsidRPr="00777544" w:rsidRDefault="003D6210" w:rsidP="00777544">
      <w:r w:rsidRPr="00777544">
        <w:t xml:space="preserve">No </w:t>
      </w:r>
      <w:r w:rsidR="007C49BC" w:rsidRPr="00777544">
        <w:t xml:space="preserve">other </w:t>
      </w:r>
      <w:r w:rsidRPr="00777544">
        <w:t xml:space="preserve">comments were received on proposed changes to Part 4. The proposed changes will be implemented as </w:t>
      </w:r>
      <w:r w:rsidR="007E5EA2">
        <w:t>per</w:t>
      </w:r>
      <w:r w:rsidRPr="00777544">
        <w:t xml:space="preserve"> the consultation package.</w:t>
      </w:r>
    </w:p>
    <w:p w14:paraId="34F1F535" w14:textId="409B0FFA" w:rsidR="005A4D1B" w:rsidRPr="00777544" w:rsidRDefault="005A4D1B" w:rsidP="00E36806">
      <w:pPr>
        <w:pStyle w:val="Heading1"/>
        <w:rPr>
          <w:b/>
        </w:rPr>
      </w:pPr>
      <w:bookmarkStart w:id="26" w:name="_Toc470162681"/>
      <w:r w:rsidRPr="00E36806">
        <w:lastRenderedPageBreak/>
        <w:t>Summary of changes</w:t>
      </w:r>
      <w:bookmarkEnd w:id="26"/>
    </w:p>
    <w:p w14:paraId="307F1D7C" w14:textId="77777777" w:rsidR="00772910" w:rsidRPr="00777544" w:rsidRDefault="00772910" w:rsidP="00777544">
      <w:r w:rsidRPr="00777544">
        <w:t>The following changes to the Australian Radiofrequency Spectrum Plan from the draft provided for public consultation have been made:</w:t>
      </w:r>
    </w:p>
    <w:p w14:paraId="4AA747FA" w14:textId="3613EC83" w:rsidR="00B46129" w:rsidRPr="002A1150" w:rsidRDefault="00B46129" w:rsidP="002A1150">
      <w:pPr>
        <w:pStyle w:val="Heading3"/>
      </w:pPr>
      <w:bookmarkStart w:id="27" w:name="_Toc470162682"/>
      <w:r w:rsidRPr="002A1150">
        <w:t>Clause 10(9)</w:t>
      </w:r>
      <w:bookmarkEnd w:id="27"/>
      <w:r w:rsidRPr="002A1150">
        <w:t xml:space="preserve"> </w:t>
      </w:r>
    </w:p>
    <w:p w14:paraId="6675B39A" w14:textId="476B1306" w:rsidR="00B10AB0" w:rsidRPr="00777544" w:rsidRDefault="00B10AB0" w:rsidP="00E36806">
      <w:pPr>
        <w:pStyle w:val="ListBullet"/>
        <w:numPr>
          <w:ilvl w:val="0"/>
          <w:numId w:val="0"/>
        </w:numPr>
      </w:pPr>
      <w:r w:rsidRPr="00777544">
        <w:t xml:space="preserve">The text of clause 10(9) has been modified to avoid regulatory ambiguity with the term </w:t>
      </w:r>
      <w:r w:rsidRPr="00777544">
        <w:rPr>
          <w:i/>
        </w:rPr>
        <w:t>mobile earth station</w:t>
      </w:r>
      <w:r w:rsidRPr="00777544">
        <w:t xml:space="preserve"> which has a specific meaning in the </w:t>
      </w:r>
      <w:r w:rsidRPr="002A1150">
        <w:t>Radiocommunications (Interpretation) Determination 2015</w:t>
      </w:r>
      <w:r w:rsidRPr="008538C8">
        <w:t>.</w:t>
      </w:r>
      <w:r w:rsidRPr="00777544">
        <w:t xml:space="preserve"> The use of the new text ‘earth station receivers in motion’ also better conveys the intent of the clause to support the use of earth stations in motion in bands allocated to the FSS. The final form of clause 10(9) will be: </w:t>
      </w:r>
    </w:p>
    <w:p w14:paraId="4C7817DA" w14:textId="50FC1FC4" w:rsidR="00B10AB0" w:rsidRPr="00777544" w:rsidRDefault="00AA00A9" w:rsidP="00777544">
      <w:pPr>
        <w:ind w:left="993" w:right="583"/>
        <w:rPr>
          <w:i/>
          <w:iCs/>
        </w:rPr>
      </w:pPr>
      <w:r w:rsidRPr="00AA00A9">
        <w:rPr>
          <w:i/>
          <w:iCs/>
        </w:rPr>
        <w:t>A frequency band may be used by an earth receive station in a frequency band allocated for the fixed-satellite service (space-to-Earth) where that station is in motion, or in a stationary position at an unspecified point on land, on water or in the air.</w:t>
      </w:r>
    </w:p>
    <w:p w14:paraId="4E12FC07" w14:textId="25912AA2" w:rsidR="00B46129" w:rsidRPr="00E36806" w:rsidRDefault="00B46129" w:rsidP="002A1150">
      <w:pPr>
        <w:pStyle w:val="Heading3"/>
      </w:pPr>
      <w:bookmarkStart w:id="28" w:name="_Toc470162683"/>
      <w:r w:rsidRPr="00E36806">
        <w:t>AUS106 and AUS106A footnotes</w:t>
      </w:r>
      <w:bookmarkEnd w:id="28"/>
    </w:p>
    <w:p w14:paraId="7822255D" w14:textId="43304307" w:rsidR="00C97F8E" w:rsidRPr="00777544" w:rsidRDefault="00C97F8E" w:rsidP="00777544">
      <w:r w:rsidRPr="00777544">
        <w:t>AUS106 and AUS106A have been amended to reflect actual frequencies used</w:t>
      </w:r>
      <w:r w:rsidR="00BF2C67">
        <w:t>. They</w:t>
      </w:r>
      <w:r w:rsidRPr="00777544">
        <w:t xml:space="preserve"> have </w:t>
      </w:r>
      <w:r w:rsidR="00BF2C67">
        <w:t xml:space="preserve">also </w:t>
      </w:r>
      <w:r w:rsidRPr="00777544">
        <w:t>been applied as band footnotes not as service specific footnotes</w:t>
      </w:r>
      <w:r w:rsidR="00BF2C67">
        <w:t>, and f</w:t>
      </w:r>
      <w:r w:rsidRPr="00777544">
        <w:t xml:space="preserve">ootnote AUS106A </w:t>
      </w:r>
      <w:r w:rsidR="00BF2C67">
        <w:t>has</w:t>
      </w:r>
      <w:r w:rsidRPr="00777544">
        <w:t xml:space="preserve"> be</w:t>
      </w:r>
      <w:r w:rsidR="00BF2C67">
        <w:t>en</w:t>
      </w:r>
      <w:r w:rsidRPr="00777544">
        <w:t xml:space="preserve"> applied to the band 2290-2300 </w:t>
      </w:r>
      <w:proofErr w:type="spellStart"/>
      <w:r w:rsidRPr="00777544">
        <w:t>MHz.</w:t>
      </w:r>
      <w:proofErr w:type="spellEnd"/>
      <w:r w:rsidRPr="00777544">
        <w:t xml:space="preserve"> The amended footnotes are:</w:t>
      </w:r>
    </w:p>
    <w:p w14:paraId="5100639C" w14:textId="01B0E56B" w:rsidR="00C97F8E" w:rsidRPr="00777544" w:rsidRDefault="00C97F8E" w:rsidP="002A1150">
      <w:pPr>
        <w:spacing w:line="240" w:lineRule="auto"/>
        <w:ind w:left="2127" w:right="583" w:hanging="1134"/>
        <w:rPr>
          <w:rFonts w:eastAsia="Calibri" w:cs="Arial"/>
          <w:szCs w:val="20"/>
          <w:lang w:eastAsia="en-US"/>
        </w:rPr>
      </w:pPr>
      <w:r w:rsidRPr="00777544">
        <w:rPr>
          <w:rFonts w:eastAsia="Calibri" w:cs="Arial"/>
          <w:szCs w:val="20"/>
          <w:lang w:eastAsia="en-US"/>
        </w:rPr>
        <w:t>AUS106</w:t>
      </w:r>
      <w:r w:rsidRPr="00777544">
        <w:rPr>
          <w:rFonts w:eastAsia="Calibri" w:cs="Arial"/>
          <w:szCs w:val="20"/>
          <w:lang w:eastAsia="en-US"/>
        </w:rPr>
        <w:tab/>
        <w:t>The band 2103.406-2109.406 MHz may be used by the space operation (space-to-Earth), space research (space-to-Earth) and Earth exploration</w:t>
      </w:r>
      <w:r w:rsidRPr="00777544">
        <w:rPr>
          <w:rFonts w:eastAsia="Calibri" w:cs="Arial"/>
          <w:szCs w:val="20"/>
          <w:lang w:eastAsia="en-US"/>
        </w:rPr>
        <w:noBreakHyphen/>
        <w:t xml:space="preserve">satellite (space-to-Earth) services to support the operation of the </w:t>
      </w:r>
      <w:proofErr w:type="spellStart"/>
      <w:r w:rsidRPr="00777544">
        <w:rPr>
          <w:rFonts w:eastAsia="Calibri" w:cs="Arial"/>
          <w:szCs w:val="20"/>
          <w:lang w:eastAsia="en-US"/>
        </w:rPr>
        <w:t>Bilateration</w:t>
      </w:r>
      <w:proofErr w:type="spellEnd"/>
      <w:r w:rsidRPr="00777544">
        <w:rPr>
          <w:rFonts w:eastAsia="Calibri" w:cs="Arial"/>
          <w:szCs w:val="20"/>
          <w:lang w:eastAsia="en-US"/>
        </w:rPr>
        <w:t xml:space="preserve"> Ranging Transponder System earth station facility near Alice Springs (latitude 23° 45' 25.3" S, longitude 133° 52' 58.2" E)</w:t>
      </w:r>
    </w:p>
    <w:p w14:paraId="16FA3735" w14:textId="41698E95" w:rsidR="00C97F8E" w:rsidRPr="00777544" w:rsidRDefault="00C97F8E" w:rsidP="002A1150">
      <w:pPr>
        <w:spacing w:line="240" w:lineRule="auto"/>
        <w:ind w:left="2127" w:right="583" w:hanging="1134"/>
        <w:rPr>
          <w:rFonts w:eastAsia="Calibri" w:cs="Arial"/>
          <w:szCs w:val="20"/>
          <w:lang w:eastAsia="en-US"/>
        </w:rPr>
      </w:pPr>
      <w:r w:rsidRPr="00777544">
        <w:rPr>
          <w:rFonts w:eastAsia="Calibri" w:cs="Arial"/>
          <w:szCs w:val="20"/>
          <w:lang w:eastAsia="en-US"/>
        </w:rPr>
        <w:t>AUS106A</w:t>
      </w:r>
      <w:r w:rsidRPr="00777544">
        <w:rPr>
          <w:rFonts w:eastAsia="Calibri" w:cs="Arial"/>
          <w:szCs w:val="20"/>
          <w:lang w:eastAsia="en-US"/>
        </w:rPr>
        <w:tab/>
        <w:t>The band 2284.5–2290.5 MHz may be used by the space operation (Earth-to-space), space research (Earth-to-space) and Earth exploration</w:t>
      </w:r>
      <w:r w:rsidRPr="00777544">
        <w:rPr>
          <w:rFonts w:eastAsia="Calibri" w:cs="Arial"/>
          <w:szCs w:val="20"/>
          <w:lang w:eastAsia="en-US"/>
        </w:rPr>
        <w:noBreakHyphen/>
        <w:t xml:space="preserve">satellite (Earth-to-space) services to support the operation of the </w:t>
      </w:r>
      <w:proofErr w:type="spellStart"/>
      <w:r w:rsidRPr="00777544">
        <w:rPr>
          <w:rFonts w:eastAsia="Calibri" w:cs="Arial"/>
          <w:szCs w:val="20"/>
          <w:lang w:eastAsia="en-US"/>
        </w:rPr>
        <w:t>Bilateration</w:t>
      </w:r>
      <w:proofErr w:type="spellEnd"/>
      <w:r w:rsidRPr="00777544">
        <w:rPr>
          <w:rFonts w:eastAsia="Calibri" w:cs="Arial"/>
          <w:szCs w:val="20"/>
          <w:lang w:eastAsia="en-US"/>
        </w:rPr>
        <w:t xml:space="preserve"> Ranging Transponder System earth station facility near Alice Springs (latitude 23° 45' 25.3" S, longitude 133° 52' 58.2" E)</w:t>
      </w:r>
    </w:p>
    <w:p w14:paraId="2AC70EDB" w14:textId="45E0561A" w:rsidR="008B6BFB" w:rsidRDefault="00F5362C" w:rsidP="002A1150">
      <w:pPr>
        <w:rPr>
          <w:rFonts w:eastAsia="Calibri" w:cs="Arial"/>
          <w:szCs w:val="20"/>
          <w:lang w:eastAsia="en-US"/>
        </w:rPr>
      </w:pPr>
      <w:r>
        <w:rPr>
          <w:rFonts w:cs="Arial"/>
          <w:szCs w:val="20"/>
        </w:rPr>
        <w:t>Extracts from the table of frequency band allocations are</w:t>
      </w:r>
      <w:r w:rsidR="00380CF9" w:rsidRPr="00777544">
        <w:rPr>
          <w:rFonts w:cs="Arial"/>
          <w:szCs w:val="20"/>
        </w:rPr>
        <w:t xml:space="preserve"> below</w:t>
      </w:r>
      <w:r w:rsidR="00A859CA">
        <w:rPr>
          <w:rFonts w:cs="Arial"/>
          <w:szCs w:val="20"/>
        </w:rPr>
        <w:t>,</w:t>
      </w:r>
      <w:r w:rsidR="00380CF9" w:rsidRPr="00777544">
        <w:rPr>
          <w:rFonts w:cs="Arial"/>
          <w:szCs w:val="20"/>
        </w:rPr>
        <w:t xml:space="preserve"> </w:t>
      </w:r>
      <w:r>
        <w:rPr>
          <w:rFonts w:cs="Arial"/>
          <w:szCs w:val="20"/>
        </w:rPr>
        <w:t xml:space="preserve">showing the </w:t>
      </w:r>
      <w:r w:rsidR="00380CF9" w:rsidRPr="00777544">
        <w:rPr>
          <w:rFonts w:cs="Arial"/>
          <w:szCs w:val="20"/>
        </w:rPr>
        <w:t>changes to Column 2:</w:t>
      </w:r>
      <w:r w:rsidR="008B6BFB">
        <w:rPr>
          <w:rFonts w:eastAsia="Calibri" w:cs="Arial"/>
          <w:szCs w:val="20"/>
          <w:lang w:eastAsia="en-US"/>
        </w:rPr>
        <w:br w:type="page"/>
      </w:r>
    </w:p>
    <w:tbl>
      <w:tblPr>
        <w:tblW w:w="8359" w:type="dxa"/>
        <w:shd w:val="clear" w:color="auto" w:fill="FDE9D9" w:themeFill="accent6" w:themeFillTint="33"/>
        <w:tblLayout w:type="fixed"/>
        <w:tblLook w:val="0000" w:firstRow="0" w:lastRow="0" w:firstColumn="0" w:lastColumn="0" w:noHBand="0" w:noVBand="0"/>
      </w:tblPr>
      <w:tblGrid>
        <w:gridCol w:w="5992"/>
        <w:gridCol w:w="2367"/>
      </w:tblGrid>
      <w:tr w:rsidR="00046FC0" w:rsidRPr="00777544" w14:paraId="4ACE564B" w14:textId="77777777" w:rsidTr="00DB3C3A">
        <w:trPr>
          <w:cantSplit/>
        </w:trPr>
        <w:tc>
          <w:tcPr>
            <w:tcW w:w="3584" w:type="pct"/>
            <w:tcBorders>
              <w:top w:val="single" w:sz="4" w:space="0" w:color="auto"/>
              <w:left w:val="single" w:sz="4" w:space="0" w:color="auto"/>
              <w:bottom w:val="single" w:sz="4" w:space="0" w:color="auto"/>
              <w:right w:val="single" w:sz="4" w:space="0" w:color="auto"/>
            </w:tcBorders>
            <w:shd w:val="clear" w:color="auto" w:fill="auto"/>
          </w:tcPr>
          <w:p w14:paraId="04A5EDCE" w14:textId="77777777" w:rsidR="00046FC0" w:rsidRPr="00777544" w:rsidRDefault="00046FC0" w:rsidP="00DB3C3A">
            <w:pPr>
              <w:tabs>
                <w:tab w:val="left" w:pos="2693"/>
              </w:tabs>
              <w:spacing w:after="0"/>
              <w:ind w:left="2920" w:hanging="2920"/>
              <w:rPr>
                <w:szCs w:val="20"/>
                <w:lang w:eastAsia="en-US"/>
              </w:rPr>
            </w:pPr>
            <w:r w:rsidRPr="00777544">
              <w:rPr>
                <w:b/>
                <w:szCs w:val="20"/>
                <w:lang w:eastAsia="en-US"/>
              </w:rPr>
              <w:lastRenderedPageBreak/>
              <w:t>2 025 – 2 110</w:t>
            </w:r>
            <w:r w:rsidRPr="00777544">
              <w:rPr>
                <w:b/>
                <w:szCs w:val="20"/>
                <w:lang w:eastAsia="en-US"/>
              </w:rPr>
              <w:tab/>
            </w:r>
            <w:r w:rsidRPr="00777544">
              <w:rPr>
                <w:szCs w:val="20"/>
                <w:lang w:eastAsia="en-US"/>
              </w:rPr>
              <w:t>SPACE OPERATION (Earth-to-space) (space-to-space)</w:t>
            </w:r>
          </w:p>
          <w:p w14:paraId="6CA0BC18" w14:textId="77777777" w:rsidR="00046FC0" w:rsidRPr="00777544" w:rsidRDefault="00046FC0" w:rsidP="00DB3C3A">
            <w:pPr>
              <w:tabs>
                <w:tab w:val="left" w:pos="2693"/>
              </w:tabs>
              <w:spacing w:after="0"/>
              <w:ind w:left="2920" w:hanging="2920"/>
              <w:rPr>
                <w:szCs w:val="20"/>
                <w:lang w:eastAsia="en-US"/>
              </w:rPr>
            </w:pPr>
            <w:r w:rsidRPr="00777544">
              <w:rPr>
                <w:szCs w:val="20"/>
                <w:lang w:eastAsia="en-US"/>
              </w:rPr>
              <w:tab/>
              <w:t>EARTH EXPLORATION–SATELLITE (Earth-to-space) (space-to-space)</w:t>
            </w:r>
          </w:p>
          <w:p w14:paraId="6D5CD0C3" w14:textId="77777777" w:rsidR="00046FC0" w:rsidRPr="00777544" w:rsidRDefault="00046FC0" w:rsidP="00DB3C3A">
            <w:pPr>
              <w:tabs>
                <w:tab w:val="left" w:pos="2693"/>
              </w:tabs>
              <w:spacing w:after="0"/>
              <w:ind w:left="2920" w:hanging="2920"/>
              <w:rPr>
                <w:szCs w:val="20"/>
                <w:lang w:eastAsia="en-US"/>
              </w:rPr>
            </w:pPr>
            <w:r w:rsidRPr="00777544">
              <w:rPr>
                <w:szCs w:val="20"/>
                <w:lang w:eastAsia="en-US"/>
              </w:rPr>
              <w:tab/>
              <w:t>FIXED</w:t>
            </w:r>
          </w:p>
          <w:p w14:paraId="1CC1C659" w14:textId="77777777" w:rsidR="00046FC0" w:rsidRPr="00777544" w:rsidRDefault="00046FC0" w:rsidP="00DB3C3A">
            <w:pPr>
              <w:tabs>
                <w:tab w:val="left" w:pos="2693"/>
              </w:tabs>
              <w:spacing w:after="0"/>
              <w:ind w:left="2920" w:hanging="2920"/>
              <w:rPr>
                <w:szCs w:val="20"/>
                <w:lang w:eastAsia="en-US"/>
              </w:rPr>
            </w:pPr>
            <w:r w:rsidRPr="00777544">
              <w:rPr>
                <w:szCs w:val="20"/>
                <w:lang w:eastAsia="en-US"/>
              </w:rPr>
              <w:tab/>
              <w:t>MOBILE  391</w:t>
            </w:r>
          </w:p>
          <w:p w14:paraId="50E30166" w14:textId="77777777" w:rsidR="00046FC0" w:rsidRPr="00777544" w:rsidRDefault="00046FC0" w:rsidP="00DB3C3A">
            <w:pPr>
              <w:tabs>
                <w:tab w:val="left" w:pos="2693"/>
              </w:tabs>
              <w:spacing w:after="0"/>
              <w:ind w:left="2920" w:hanging="2920"/>
              <w:rPr>
                <w:szCs w:val="20"/>
                <w:lang w:eastAsia="en-US"/>
              </w:rPr>
            </w:pPr>
            <w:r w:rsidRPr="00777544">
              <w:rPr>
                <w:szCs w:val="20"/>
                <w:lang w:eastAsia="en-US"/>
              </w:rPr>
              <w:tab/>
              <w:t>SPACE RESEARCH (Earth-to-space) (space-to-space)</w:t>
            </w:r>
          </w:p>
          <w:p w14:paraId="2FB98152" w14:textId="77777777" w:rsidR="00046FC0" w:rsidRPr="00777544" w:rsidRDefault="00046FC0" w:rsidP="00DB3C3A">
            <w:pPr>
              <w:tabs>
                <w:tab w:val="left" w:pos="2693"/>
              </w:tabs>
              <w:spacing w:after="0"/>
              <w:ind w:left="2920" w:hanging="2920"/>
              <w:rPr>
                <w:szCs w:val="20"/>
                <w:lang w:eastAsia="en-US"/>
              </w:rPr>
            </w:pPr>
            <w:r w:rsidRPr="00777544">
              <w:rPr>
                <w:szCs w:val="20"/>
                <w:lang w:eastAsia="en-US"/>
              </w:rPr>
              <w:tab/>
            </w:r>
          </w:p>
          <w:p w14:paraId="7AA2E367" w14:textId="77777777" w:rsidR="00046FC0" w:rsidRDefault="00046FC0" w:rsidP="00DB3C3A">
            <w:pPr>
              <w:tabs>
                <w:tab w:val="left" w:pos="2693"/>
              </w:tabs>
              <w:spacing w:after="0"/>
              <w:ind w:left="2920" w:hanging="2920"/>
              <w:rPr>
                <w:szCs w:val="20"/>
                <w:lang w:eastAsia="en-US"/>
              </w:rPr>
            </w:pPr>
            <w:r w:rsidRPr="00777544">
              <w:rPr>
                <w:szCs w:val="20"/>
                <w:lang w:eastAsia="en-US"/>
              </w:rPr>
              <w:tab/>
            </w:r>
          </w:p>
          <w:p w14:paraId="55FAE499" w14:textId="77777777" w:rsidR="00046FC0" w:rsidRDefault="00046FC0" w:rsidP="00DB3C3A">
            <w:pPr>
              <w:tabs>
                <w:tab w:val="left" w:pos="2693"/>
              </w:tabs>
              <w:spacing w:after="0"/>
              <w:ind w:left="2920" w:hanging="2920"/>
              <w:rPr>
                <w:szCs w:val="20"/>
                <w:lang w:eastAsia="en-US"/>
              </w:rPr>
            </w:pPr>
            <w:r>
              <w:rPr>
                <w:szCs w:val="20"/>
                <w:lang w:eastAsia="en-US"/>
              </w:rPr>
              <w:tab/>
            </w:r>
          </w:p>
          <w:p w14:paraId="152096EE" w14:textId="77777777" w:rsidR="00046FC0" w:rsidRDefault="00046FC0" w:rsidP="00DB3C3A">
            <w:pPr>
              <w:tabs>
                <w:tab w:val="left" w:pos="2693"/>
              </w:tabs>
              <w:spacing w:after="0"/>
              <w:ind w:left="2920" w:hanging="2920"/>
              <w:rPr>
                <w:szCs w:val="20"/>
                <w:lang w:eastAsia="en-US"/>
              </w:rPr>
            </w:pPr>
            <w:r>
              <w:rPr>
                <w:szCs w:val="20"/>
                <w:lang w:eastAsia="en-US"/>
              </w:rPr>
              <w:tab/>
            </w:r>
          </w:p>
          <w:p w14:paraId="1E4AD7AB" w14:textId="77777777" w:rsidR="00046FC0" w:rsidRDefault="00046FC0" w:rsidP="00DB3C3A">
            <w:pPr>
              <w:tabs>
                <w:tab w:val="left" w:pos="2693"/>
              </w:tabs>
              <w:spacing w:after="0"/>
              <w:ind w:left="2920" w:hanging="2920"/>
              <w:rPr>
                <w:szCs w:val="20"/>
                <w:lang w:eastAsia="en-US"/>
              </w:rPr>
            </w:pPr>
            <w:r>
              <w:rPr>
                <w:szCs w:val="20"/>
                <w:lang w:eastAsia="en-US"/>
              </w:rPr>
              <w:tab/>
            </w:r>
          </w:p>
          <w:p w14:paraId="38407F3B" w14:textId="77777777" w:rsidR="00046FC0" w:rsidRDefault="00046FC0" w:rsidP="00DB3C3A">
            <w:pPr>
              <w:tabs>
                <w:tab w:val="left" w:pos="2693"/>
              </w:tabs>
              <w:spacing w:after="0"/>
              <w:ind w:left="2920" w:hanging="2920"/>
              <w:rPr>
                <w:szCs w:val="20"/>
                <w:lang w:eastAsia="en-US"/>
              </w:rPr>
            </w:pPr>
            <w:r>
              <w:rPr>
                <w:szCs w:val="20"/>
                <w:lang w:eastAsia="en-US"/>
              </w:rPr>
              <w:tab/>
            </w:r>
          </w:p>
          <w:p w14:paraId="1D5DD88C" w14:textId="77777777" w:rsidR="00046FC0" w:rsidRPr="00777544" w:rsidRDefault="00046FC0" w:rsidP="00DB3C3A">
            <w:pPr>
              <w:tabs>
                <w:tab w:val="left" w:pos="2693"/>
              </w:tabs>
              <w:spacing w:after="0"/>
              <w:ind w:left="2920" w:hanging="2920"/>
              <w:rPr>
                <w:szCs w:val="20"/>
                <w:lang w:eastAsia="en-US"/>
              </w:rPr>
            </w:pPr>
            <w:r w:rsidRPr="00777544">
              <w:rPr>
                <w:szCs w:val="20"/>
                <w:lang w:eastAsia="en-US"/>
              </w:rPr>
              <w:tab/>
              <w:t>392</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34492BBB" w14:textId="77777777" w:rsidR="00046FC0" w:rsidRPr="00777544" w:rsidRDefault="00046FC0" w:rsidP="00DB3C3A">
            <w:pPr>
              <w:tabs>
                <w:tab w:val="left" w:pos="425"/>
              </w:tabs>
              <w:spacing w:after="0"/>
              <w:ind w:left="227" w:hanging="227"/>
              <w:rPr>
                <w:b/>
                <w:szCs w:val="20"/>
                <w:lang w:eastAsia="en-US"/>
              </w:rPr>
            </w:pPr>
            <w:r w:rsidRPr="00777544">
              <w:rPr>
                <w:b/>
                <w:szCs w:val="20"/>
                <w:lang w:eastAsia="en-US"/>
              </w:rPr>
              <w:t>2 025 – 2 110</w:t>
            </w:r>
          </w:p>
          <w:p w14:paraId="761F7999" w14:textId="0F8E5763" w:rsidR="00046FC0" w:rsidRDefault="00046FC0" w:rsidP="00DB3C3A">
            <w:pPr>
              <w:tabs>
                <w:tab w:val="left" w:pos="425"/>
              </w:tabs>
              <w:spacing w:after="0"/>
              <w:ind w:left="227" w:hanging="227"/>
              <w:rPr>
                <w:szCs w:val="20"/>
                <w:lang w:eastAsia="en-US"/>
              </w:rPr>
            </w:pPr>
            <w:r w:rsidRPr="00777544">
              <w:rPr>
                <w:szCs w:val="20"/>
                <w:lang w:eastAsia="en-US"/>
              </w:rPr>
              <w:t>SPACE OPERATION (Earth-to-space) (space-to-space)</w:t>
            </w:r>
            <w:r w:rsidR="00E124B7">
              <w:rPr>
                <w:szCs w:val="20"/>
                <w:lang w:eastAsia="en-US"/>
              </w:rPr>
              <w:t xml:space="preserve">  </w:t>
            </w:r>
            <w:r w:rsidRPr="00046FC0">
              <w:rPr>
                <w:strike/>
                <w:color w:val="C00000"/>
                <w:szCs w:val="20"/>
                <w:lang w:eastAsia="en-US"/>
              </w:rPr>
              <w:t>AUS106</w:t>
            </w:r>
          </w:p>
          <w:p w14:paraId="3088EC87" w14:textId="77777777" w:rsidR="00046FC0" w:rsidRPr="00777544" w:rsidRDefault="00046FC0" w:rsidP="00DB3C3A">
            <w:pPr>
              <w:tabs>
                <w:tab w:val="left" w:pos="425"/>
              </w:tabs>
              <w:spacing w:after="0"/>
              <w:ind w:left="227" w:hanging="227"/>
              <w:rPr>
                <w:szCs w:val="20"/>
                <w:lang w:eastAsia="en-US"/>
              </w:rPr>
            </w:pPr>
            <w:r w:rsidRPr="00777544">
              <w:rPr>
                <w:szCs w:val="20"/>
                <w:lang w:eastAsia="en-US"/>
              </w:rPr>
              <w:t>EARTH EXPLORATION–SATELLITE (Earth-to-space) (space-to-space)</w:t>
            </w:r>
          </w:p>
          <w:p w14:paraId="0FE6B9F5" w14:textId="77777777" w:rsidR="00046FC0" w:rsidRPr="00777544" w:rsidRDefault="00046FC0" w:rsidP="00DB3C3A">
            <w:pPr>
              <w:tabs>
                <w:tab w:val="left" w:pos="425"/>
              </w:tabs>
              <w:spacing w:after="0"/>
              <w:ind w:left="227" w:hanging="227"/>
              <w:rPr>
                <w:szCs w:val="20"/>
                <w:lang w:eastAsia="en-US"/>
              </w:rPr>
            </w:pPr>
            <w:r w:rsidRPr="00777544">
              <w:rPr>
                <w:szCs w:val="20"/>
                <w:lang w:eastAsia="en-US"/>
              </w:rPr>
              <w:t>FIXED</w:t>
            </w:r>
          </w:p>
          <w:p w14:paraId="2178A759" w14:textId="77777777" w:rsidR="00046FC0" w:rsidRPr="00777544" w:rsidRDefault="00046FC0" w:rsidP="00DB3C3A">
            <w:pPr>
              <w:tabs>
                <w:tab w:val="left" w:pos="425"/>
              </w:tabs>
              <w:spacing w:after="0"/>
              <w:ind w:left="227" w:hanging="227"/>
              <w:rPr>
                <w:szCs w:val="20"/>
                <w:lang w:eastAsia="en-US"/>
              </w:rPr>
            </w:pPr>
            <w:r w:rsidRPr="00777544">
              <w:rPr>
                <w:szCs w:val="20"/>
                <w:lang w:eastAsia="en-US"/>
              </w:rPr>
              <w:t>MOBILE  391</w:t>
            </w:r>
          </w:p>
          <w:p w14:paraId="2CB8D5C7" w14:textId="77777777" w:rsidR="00046FC0" w:rsidRPr="00777544" w:rsidRDefault="00046FC0" w:rsidP="00DB3C3A">
            <w:pPr>
              <w:tabs>
                <w:tab w:val="left" w:pos="425"/>
              </w:tabs>
              <w:spacing w:after="0"/>
              <w:ind w:left="227" w:hanging="227"/>
              <w:rPr>
                <w:szCs w:val="20"/>
                <w:lang w:eastAsia="en-US"/>
              </w:rPr>
            </w:pPr>
            <w:r w:rsidRPr="00777544">
              <w:rPr>
                <w:szCs w:val="20"/>
                <w:lang w:eastAsia="en-US"/>
              </w:rPr>
              <w:t>SPACE RESEARCH (Earth-to-space) (space-to-space)</w:t>
            </w:r>
          </w:p>
          <w:p w14:paraId="49EE01F8" w14:textId="0230F1B2" w:rsidR="00046FC0" w:rsidRPr="00777544" w:rsidRDefault="00046FC0" w:rsidP="00046FC0">
            <w:pPr>
              <w:tabs>
                <w:tab w:val="left" w:pos="425"/>
              </w:tabs>
              <w:spacing w:after="0"/>
              <w:ind w:left="227" w:hanging="227"/>
              <w:rPr>
                <w:b/>
                <w:szCs w:val="20"/>
                <w:lang w:eastAsia="en-US"/>
              </w:rPr>
            </w:pPr>
            <w:r>
              <w:rPr>
                <w:szCs w:val="20"/>
                <w:lang w:eastAsia="en-US"/>
              </w:rPr>
              <w:t>392</w:t>
            </w:r>
            <w:r w:rsidRPr="00046FC0">
              <w:rPr>
                <w:color w:val="C00000"/>
                <w:szCs w:val="20"/>
                <w:lang w:eastAsia="en-US"/>
              </w:rPr>
              <w:t xml:space="preserve">  AUS106</w:t>
            </w:r>
          </w:p>
        </w:tc>
      </w:tr>
    </w:tbl>
    <w:p w14:paraId="62FFAE6F" w14:textId="1D6E4F9B" w:rsidR="00B46129" w:rsidRDefault="00B46129" w:rsidP="00777544"/>
    <w:tbl>
      <w:tblPr>
        <w:tblW w:w="8359" w:type="dxa"/>
        <w:shd w:val="clear" w:color="auto" w:fill="FDE9D9" w:themeFill="accent6" w:themeFillTint="33"/>
        <w:tblLayout w:type="fixed"/>
        <w:tblLook w:val="0000" w:firstRow="0" w:lastRow="0" w:firstColumn="0" w:lastColumn="0" w:noHBand="0" w:noVBand="0"/>
      </w:tblPr>
      <w:tblGrid>
        <w:gridCol w:w="5992"/>
        <w:gridCol w:w="2367"/>
      </w:tblGrid>
      <w:tr w:rsidR="00046FC0" w:rsidRPr="00777544" w14:paraId="3E48AAD4" w14:textId="77777777" w:rsidTr="00DB3C3A">
        <w:trPr>
          <w:cantSplit/>
        </w:trPr>
        <w:tc>
          <w:tcPr>
            <w:tcW w:w="3584" w:type="pct"/>
            <w:tcBorders>
              <w:top w:val="single" w:sz="4" w:space="0" w:color="auto"/>
              <w:left w:val="single" w:sz="4" w:space="0" w:color="auto"/>
              <w:bottom w:val="single" w:sz="4" w:space="0" w:color="auto"/>
              <w:right w:val="single" w:sz="4" w:space="0" w:color="auto"/>
            </w:tcBorders>
            <w:shd w:val="clear" w:color="auto" w:fill="auto"/>
          </w:tcPr>
          <w:p w14:paraId="19CECCD7" w14:textId="77777777" w:rsidR="00046FC0" w:rsidRPr="00777544" w:rsidRDefault="00046FC0" w:rsidP="00DB3C3A">
            <w:pPr>
              <w:tabs>
                <w:tab w:val="left" w:pos="2693"/>
              </w:tabs>
              <w:spacing w:after="0"/>
              <w:ind w:left="2920" w:hanging="2920"/>
              <w:rPr>
                <w:szCs w:val="20"/>
                <w:lang w:eastAsia="en-US"/>
              </w:rPr>
            </w:pPr>
            <w:r w:rsidRPr="00777544">
              <w:rPr>
                <w:b/>
                <w:szCs w:val="20"/>
                <w:lang w:eastAsia="en-US"/>
              </w:rPr>
              <w:t>2 200 – 2 290</w:t>
            </w:r>
            <w:r w:rsidRPr="00777544">
              <w:rPr>
                <w:b/>
                <w:szCs w:val="20"/>
                <w:lang w:eastAsia="en-US"/>
              </w:rPr>
              <w:tab/>
            </w:r>
            <w:r w:rsidRPr="00777544">
              <w:rPr>
                <w:szCs w:val="20"/>
                <w:lang w:eastAsia="en-US"/>
              </w:rPr>
              <w:t>SPACE OPERATION (space-to-Earth) (space-to-space)</w:t>
            </w:r>
          </w:p>
          <w:p w14:paraId="2D95227B" w14:textId="77777777" w:rsidR="00046FC0" w:rsidRPr="00777544" w:rsidRDefault="00046FC0" w:rsidP="00DB3C3A">
            <w:pPr>
              <w:keepLines/>
              <w:tabs>
                <w:tab w:val="left" w:pos="2693"/>
              </w:tabs>
              <w:spacing w:after="0"/>
              <w:ind w:left="2920" w:hanging="2920"/>
              <w:rPr>
                <w:szCs w:val="20"/>
                <w:lang w:eastAsia="en-US"/>
              </w:rPr>
            </w:pPr>
            <w:r w:rsidRPr="00777544">
              <w:rPr>
                <w:szCs w:val="20"/>
                <w:lang w:eastAsia="en-US"/>
              </w:rPr>
              <w:tab/>
              <w:t>EARTH EXPLORATION–SATELLITE (space-to-Earth) (space-to-space)</w:t>
            </w:r>
          </w:p>
          <w:p w14:paraId="4D58A25F" w14:textId="77777777" w:rsidR="00046FC0" w:rsidRPr="00777544" w:rsidRDefault="00046FC0" w:rsidP="00DB3C3A">
            <w:pPr>
              <w:keepLines/>
              <w:tabs>
                <w:tab w:val="left" w:pos="2693"/>
              </w:tabs>
              <w:spacing w:after="0"/>
              <w:ind w:left="2920" w:hanging="2920"/>
              <w:rPr>
                <w:szCs w:val="20"/>
                <w:lang w:eastAsia="en-US"/>
              </w:rPr>
            </w:pPr>
            <w:r w:rsidRPr="00777544">
              <w:rPr>
                <w:szCs w:val="20"/>
                <w:lang w:eastAsia="en-US"/>
              </w:rPr>
              <w:tab/>
              <w:t>FIXED</w:t>
            </w:r>
          </w:p>
          <w:p w14:paraId="5C5A009C" w14:textId="77777777" w:rsidR="00046FC0" w:rsidRPr="00777544" w:rsidRDefault="00046FC0" w:rsidP="00DB3C3A">
            <w:pPr>
              <w:keepLines/>
              <w:tabs>
                <w:tab w:val="left" w:pos="2693"/>
              </w:tabs>
              <w:spacing w:after="0"/>
              <w:ind w:left="2920" w:hanging="2920"/>
              <w:rPr>
                <w:szCs w:val="20"/>
                <w:lang w:eastAsia="en-US"/>
              </w:rPr>
            </w:pPr>
            <w:r w:rsidRPr="00777544">
              <w:rPr>
                <w:szCs w:val="20"/>
                <w:lang w:eastAsia="en-US"/>
              </w:rPr>
              <w:tab/>
              <w:t>MOBILE  391</w:t>
            </w:r>
          </w:p>
          <w:p w14:paraId="03D6424F" w14:textId="77777777" w:rsidR="00046FC0" w:rsidRPr="00777544" w:rsidRDefault="00046FC0" w:rsidP="00DB3C3A">
            <w:pPr>
              <w:keepLines/>
              <w:tabs>
                <w:tab w:val="left" w:pos="2693"/>
              </w:tabs>
              <w:spacing w:after="0"/>
              <w:ind w:left="2920" w:hanging="2920"/>
              <w:rPr>
                <w:szCs w:val="20"/>
                <w:lang w:eastAsia="en-US"/>
              </w:rPr>
            </w:pPr>
            <w:r w:rsidRPr="00777544">
              <w:rPr>
                <w:szCs w:val="20"/>
                <w:lang w:eastAsia="en-US"/>
              </w:rPr>
              <w:tab/>
              <w:t>SPACE RESEARCH (space-to-Earth) (space-to-space)</w:t>
            </w:r>
          </w:p>
          <w:p w14:paraId="4DBA77D0" w14:textId="77777777" w:rsidR="00046FC0" w:rsidRPr="00777544" w:rsidRDefault="00046FC0" w:rsidP="00DB3C3A">
            <w:pPr>
              <w:keepLines/>
              <w:tabs>
                <w:tab w:val="left" w:pos="2693"/>
              </w:tabs>
              <w:spacing w:after="0"/>
              <w:ind w:left="2920" w:hanging="2920"/>
              <w:rPr>
                <w:szCs w:val="20"/>
                <w:lang w:eastAsia="en-US"/>
              </w:rPr>
            </w:pPr>
            <w:r w:rsidRPr="00777544">
              <w:rPr>
                <w:szCs w:val="20"/>
                <w:lang w:eastAsia="en-US"/>
              </w:rPr>
              <w:tab/>
            </w:r>
          </w:p>
          <w:p w14:paraId="0593395D" w14:textId="77777777" w:rsidR="00046FC0" w:rsidRDefault="00046FC0" w:rsidP="00DB3C3A">
            <w:pPr>
              <w:keepLines/>
              <w:tabs>
                <w:tab w:val="left" w:pos="2693"/>
              </w:tabs>
              <w:spacing w:after="0"/>
              <w:ind w:left="2920" w:hanging="2920"/>
              <w:rPr>
                <w:szCs w:val="20"/>
                <w:lang w:eastAsia="en-US"/>
              </w:rPr>
            </w:pPr>
            <w:r w:rsidRPr="00777544">
              <w:rPr>
                <w:szCs w:val="20"/>
                <w:lang w:eastAsia="en-US"/>
              </w:rPr>
              <w:tab/>
            </w:r>
          </w:p>
          <w:p w14:paraId="7C0C4D3E" w14:textId="77777777" w:rsidR="00046FC0" w:rsidRDefault="00046FC0" w:rsidP="00DB3C3A">
            <w:pPr>
              <w:tabs>
                <w:tab w:val="left" w:pos="2693"/>
              </w:tabs>
              <w:spacing w:after="0"/>
              <w:ind w:left="2920" w:hanging="2920"/>
              <w:rPr>
                <w:szCs w:val="20"/>
                <w:lang w:eastAsia="en-US"/>
              </w:rPr>
            </w:pPr>
            <w:r>
              <w:rPr>
                <w:szCs w:val="20"/>
                <w:lang w:eastAsia="en-US"/>
              </w:rPr>
              <w:tab/>
            </w:r>
          </w:p>
          <w:p w14:paraId="7EFC4705" w14:textId="77777777" w:rsidR="00046FC0" w:rsidRDefault="00046FC0" w:rsidP="00DB3C3A">
            <w:pPr>
              <w:tabs>
                <w:tab w:val="left" w:pos="2693"/>
              </w:tabs>
              <w:spacing w:after="0"/>
              <w:ind w:left="2920" w:hanging="2920"/>
              <w:rPr>
                <w:szCs w:val="20"/>
                <w:lang w:eastAsia="en-US"/>
              </w:rPr>
            </w:pPr>
            <w:r>
              <w:rPr>
                <w:szCs w:val="20"/>
                <w:lang w:eastAsia="en-US"/>
              </w:rPr>
              <w:tab/>
            </w:r>
          </w:p>
          <w:p w14:paraId="2F3D82A1" w14:textId="77777777" w:rsidR="00046FC0" w:rsidRDefault="00046FC0" w:rsidP="00DB3C3A">
            <w:pPr>
              <w:tabs>
                <w:tab w:val="left" w:pos="2693"/>
              </w:tabs>
              <w:spacing w:after="0"/>
              <w:ind w:left="2920" w:hanging="2920"/>
              <w:rPr>
                <w:szCs w:val="20"/>
                <w:lang w:eastAsia="en-US"/>
              </w:rPr>
            </w:pPr>
            <w:r>
              <w:rPr>
                <w:szCs w:val="20"/>
                <w:lang w:eastAsia="en-US"/>
              </w:rPr>
              <w:tab/>
            </w:r>
          </w:p>
          <w:p w14:paraId="65C91F0C" w14:textId="77777777" w:rsidR="00046FC0" w:rsidRDefault="00046FC0" w:rsidP="00DB3C3A">
            <w:pPr>
              <w:tabs>
                <w:tab w:val="left" w:pos="2693"/>
              </w:tabs>
              <w:spacing w:after="0"/>
              <w:ind w:left="2920" w:hanging="2920"/>
              <w:rPr>
                <w:szCs w:val="20"/>
                <w:lang w:eastAsia="en-US"/>
              </w:rPr>
            </w:pPr>
            <w:r>
              <w:rPr>
                <w:szCs w:val="20"/>
                <w:lang w:eastAsia="en-US"/>
              </w:rPr>
              <w:tab/>
            </w:r>
          </w:p>
          <w:p w14:paraId="6FB8F0EA" w14:textId="77777777" w:rsidR="00046FC0" w:rsidRPr="00777544" w:rsidRDefault="00046FC0" w:rsidP="00DB3C3A">
            <w:pPr>
              <w:tabs>
                <w:tab w:val="left" w:pos="2693"/>
              </w:tabs>
              <w:spacing w:after="0"/>
              <w:ind w:left="2920" w:hanging="2920"/>
              <w:rPr>
                <w:szCs w:val="20"/>
                <w:lang w:eastAsia="en-US"/>
              </w:rPr>
            </w:pPr>
            <w:r w:rsidRPr="00777544">
              <w:rPr>
                <w:szCs w:val="20"/>
                <w:lang w:eastAsia="en-US"/>
              </w:rPr>
              <w:tab/>
              <w:t>392</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24FF2DE1" w14:textId="77777777" w:rsidR="00046FC0" w:rsidRPr="00777544" w:rsidRDefault="00046FC0" w:rsidP="00DB3C3A">
            <w:pPr>
              <w:keepLines/>
              <w:tabs>
                <w:tab w:val="left" w:pos="425"/>
              </w:tabs>
              <w:spacing w:after="0"/>
              <w:ind w:left="227" w:hanging="227"/>
              <w:rPr>
                <w:b/>
                <w:szCs w:val="20"/>
                <w:lang w:eastAsia="en-US"/>
              </w:rPr>
            </w:pPr>
            <w:r w:rsidRPr="00777544">
              <w:rPr>
                <w:b/>
                <w:szCs w:val="20"/>
                <w:lang w:eastAsia="en-US"/>
              </w:rPr>
              <w:t>2 200 – 2 290</w:t>
            </w:r>
          </w:p>
          <w:p w14:paraId="6C8FE7BA" w14:textId="77777777" w:rsidR="00046FC0" w:rsidRDefault="00046FC0" w:rsidP="00DB3C3A">
            <w:pPr>
              <w:keepLines/>
              <w:tabs>
                <w:tab w:val="left" w:pos="425"/>
              </w:tabs>
              <w:spacing w:after="0"/>
              <w:ind w:left="227" w:hanging="227"/>
              <w:rPr>
                <w:szCs w:val="20"/>
                <w:lang w:eastAsia="en-US"/>
              </w:rPr>
            </w:pPr>
            <w:r w:rsidRPr="00777544">
              <w:rPr>
                <w:szCs w:val="20"/>
                <w:lang w:eastAsia="en-US"/>
              </w:rPr>
              <w:t>SPACE OPERATION (space-to-Earth) (space-to-space)</w:t>
            </w:r>
            <w:r>
              <w:rPr>
                <w:szCs w:val="20"/>
                <w:lang w:eastAsia="en-US"/>
              </w:rPr>
              <w:t xml:space="preserve">  </w:t>
            </w:r>
            <w:r w:rsidRPr="00046FC0">
              <w:rPr>
                <w:strike/>
                <w:color w:val="C00000"/>
                <w:szCs w:val="20"/>
                <w:lang w:eastAsia="en-US"/>
              </w:rPr>
              <w:t>AUS106A</w:t>
            </w:r>
          </w:p>
          <w:p w14:paraId="67B9C65A" w14:textId="77777777" w:rsidR="00046FC0" w:rsidRPr="00777544" w:rsidRDefault="00046FC0" w:rsidP="00DB3C3A">
            <w:pPr>
              <w:keepLines/>
              <w:tabs>
                <w:tab w:val="left" w:pos="425"/>
              </w:tabs>
              <w:spacing w:after="0"/>
              <w:ind w:left="227" w:hanging="227"/>
              <w:rPr>
                <w:szCs w:val="20"/>
                <w:lang w:eastAsia="en-US"/>
              </w:rPr>
            </w:pPr>
            <w:r w:rsidRPr="00777544">
              <w:rPr>
                <w:szCs w:val="20"/>
                <w:lang w:eastAsia="en-US"/>
              </w:rPr>
              <w:t>EARTH EXPLORATION–SATELLITE (space-to-Earth) (space-to-space)</w:t>
            </w:r>
          </w:p>
          <w:p w14:paraId="5CFB473B" w14:textId="77777777" w:rsidR="00046FC0" w:rsidRPr="00777544" w:rsidRDefault="00046FC0" w:rsidP="00DB3C3A">
            <w:pPr>
              <w:keepLines/>
              <w:tabs>
                <w:tab w:val="left" w:pos="425"/>
              </w:tabs>
              <w:spacing w:after="0"/>
              <w:ind w:left="227" w:hanging="227"/>
              <w:rPr>
                <w:szCs w:val="20"/>
                <w:lang w:eastAsia="en-US"/>
              </w:rPr>
            </w:pPr>
            <w:r w:rsidRPr="00777544">
              <w:rPr>
                <w:szCs w:val="20"/>
                <w:lang w:eastAsia="en-US"/>
              </w:rPr>
              <w:t>FIXED</w:t>
            </w:r>
          </w:p>
          <w:p w14:paraId="2EE888C9" w14:textId="77777777" w:rsidR="00046FC0" w:rsidRPr="00777544" w:rsidRDefault="00046FC0" w:rsidP="00DB3C3A">
            <w:pPr>
              <w:keepLines/>
              <w:tabs>
                <w:tab w:val="left" w:pos="425"/>
              </w:tabs>
              <w:spacing w:after="0"/>
              <w:ind w:left="227" w:hanging="227"/>
              <w:rPr>
                <w:szCs w:val="20"/>
                <w:lang w:eastAsia="en-US"/>
              </w:rPr>
            </w:pPr>
            <w:r w:rsidRPr="00777544">
              <w:rPr>
                <w:szCs w:val="20"/>
                <w:lang w:eastAsia="en-US"/>
              </w:rPr>
              <w:t>MOBILE  391</w:t>
            </w:r>
          </w:p>
          <w:p w14:paraId="29D46581" w14:textId="77777777" w:rsidR="00046FC0" w:rsidRPr="00777544" w:rsidRDefault="00046FC0" w:rsidP="00DB3C3A">
            <w:pPr>
              <w:keepLines/>
              <w:tabs>
                <w:tab w:val="left" w:pos="425"/>
              </w:tabs>
              <w:spacing w:after="0"/>
              <w:ind w:left="227" w:hanging="227"/>
              <w:rPr>
                <w:szCs w:val="20"/>
                <w:lang w:eastAsia="en-US"/>
              </w:rPr>
            </w:pPr>
            <w:r w:rsidRPr="00777544">
              <w:rPr>
                <w:szCs w:val="20"/>
                <w:lang w:eastAsia="en-US"/>
              </w:rPr>
              <w:t>SPACE RESEARCH (space-to-Earth) (space-to-space)</w:t>
            </w:r>
          </w:p>
          <w:p w14:paraId="5446E193" w14:textId="77777777" w:rsidR="00046FC0" w:rsidRPr="00777544" w:rsidRDefault="00046FC0" w:rsidP="00DB3C3A">
            <w:pPr>
              <w:tabs>
                <w:tab w:val="left" w:pos="425"/>
              </w:tabs>
              <w:spacing w:after="0"/>
              <w:ind w:left="227" w:hanging="227"/>
              <w:rPr>
                <w:szCs w:val="20"/>
                <w:lang w:eastAsia="en-US"/>
              </w:rPr>
            </w:pPr>
            <w:r>
              <w:rPr>
                <w:szCs w:val="20"/>
                <w:lang w:eastAsia="en-US"/>
              </w:rPr>
              <w:t>392  AUS87</w:t>
            </w:r>
            <w:r w:rsidRPr="00046FC0">
              <w:rPr>
                <w:color w:val="C00000"/>
                <w:szCs w:val="20"/>
                <w:lang w:eastAsia="en-US"/>
              </w:rPr>
              <w:t xml:space="preserve">  AUS106A</w:t>
            </w:r>
          </w:p>
        </w:tc>
      </w:tr>
      <w:tr w:rsidR="00046FC0" w:rsidRPr="00777544" w14:paraId="06F098D2" w14:textId="77777777" w:rsidTr="00DB3C3A">
        <w:trPr>
          <w:cantSplit/>
        </w:trPr>
        <w:tc>
          <w:tcPr>
            <w:tcW w:w="3584" w:type="pct"/>
            <w:tcBorders>
              <w:top w:val="single" w:sz="4" w:space="0" w:color="auto"/>
              <w:left w:val="single" w:sz="4" w:space="0" w:color="auto"/>
              <w:bottom w:val="single" w:sz="4" w:space="0" w:color="auto"/>
              <w:right w:val="single" w:sz="4" w:space="0" w:color="auto"/>
            </w:tcBorders>
            <w:shd w:val="clear" w:color="auto" w:fill="auto"/>
          </w:tcPr>
          <w:p w14:paraId="04CE6C79" w14:textId="77777777" w:rsidR="00046FC0" w:rsidRPr="00897C20" w:rsidRDefault="00046FC0" w:rsidP="00DB3C3A">
            <w:pPr>
              <w:tabs>
                <w:tab w:val="left" w:pos="2693"/>
              </w:tabs>
              <w:spacing w:after="0"/>
              <w:ind w:left="2920" w:hanging="2920"/>
              <w:rPr>
                <w:szCs w:val="20"/>
                <w:lang w:eastAsia="en-US"/>
              </w:rPr>
            </w:pPr>
            <w:r w:rsidRPr="00777544">
              <w:rPr>
                <w:b/>
                <w:szCs w:val="20"/>
                <w:lang w:eastAsia="en-US"/>
              </w:rPr>
              <w:t>2 290 – 2 300</w:t>
            </w:r>
            <w:r w:rsidRPr="00777544">
              <w:rPr>
                <w:b/>
                <w:szCs w:val="20"/>
                <w:lang w:eastAsia="en-US"/>
              </w:rPr>
              <w:tab/>
            </w:r>
            <w:r w:rsidRPr="00897C20">
              <w:rPr>
                <w:szCs w:val="20"/>
                <w:lang w:eastAsia="en-US"/>
              </w:rPr>
              <w:t>FIXED</w:t>
            </w:r>
          </w:p>
          <w:p w14:paraId="7E240F2E" w14:textId="77777777" w:rsidR="00046FC0" w:rsidRPr="00897C20" w:rsidRDefault="00046FC0" w:rsidP="00DB3C3A">
            <w:pPr>
              <w:tabs>
                <w:tab w:val="left" w:pos="2693"/>
              </w:tabs>
              <w:spacing w:after="0"/>
              <w:ind w:left="2920" w:hanging="2920"/>
              <w:rPr>
                <w:szCs w:val="20"/>
                <w:lang w:eastAsia="en-US"/>
              </w:rPr>
            </w:pPr>
            <w:r w:rsidRPr="00897C20">
              <w:rPr>
                <w:szCs w:val="20"/>
                <w:lang w:eastAsia="en-US"/>
              </w:rPr>
              <w:tab/>
              <w:t>MOBILE except aeronautical mobile</w:t>
            </w:r>
          </w:p>
          <w:p w14:paraId="486764E0" w14:textId="77777777" w:rsidR="00046FC0" w:rsidRPr="00777544" w:rsidRDefault="00046FC0" w:rsidP="00DB3C3A">
            <w:pPr>
              <w:tabs>
                <w:tab w:val="left" w:pos="2693"/>
              </w:tabs>
              <w:spacing w:after="0"/>
              <w:ind w:left="2920" w:hanging="2920"/>
              <w:rPr>
                <w:b/>
                <w:szCs w:val="20"/>
                <w:lang w:eastAsia="en-US"/>
              </w:rPr>
            </w:pPr>
            <w:r w:rsidRPr="00897C20">
              <w:rPr>
                <w:szCs w:val="20"/>
                <w:lang w:eastAsia="en-US"/>
              </w:rPr>
              <w:tab/>
              <w:t>SPACE RESEARCH (deep space) (space-to-Earth)</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4195C74E" w14:textId="77777777" w:rsidR="00046FC0" w:rsidRPr="00777544" w:rsidRDefault="00046FC0" w:rsidP="00DB3C3A">
            <w:pPr>
              <w:keepLines/>
              <w:tabs>
                <w:tab w:val="left" w:pos="425"/>
              </w:tabs>
              <w:spacing w:after="0"/>
              <w:ind w:left="227" w:hanging="227"/>
              <w:rPr>
                <w:b/>
                <w:szCs w:val="20"/>
                <w:lang w:eastAsia="en-US"/>
              </w:rPr>
            </w:pPr>
            <w:r w:rsidRPr="00777544">
              <w:rPr>
                <w:b/>
                <w:szCs w:val="20"/>
                <w:lang w:eastAsia="en-US"/>
              </w:rPr>
              <w:t>2 290 – 2 300</w:t>
            </w:r>
          </w:p>
          <w:p w14:paraId="2A0BE4B0" w14:textId="77777777" w:rsidR="00046FC0" w:rsidRPr="00897C20" w:rsidRDefault="00046FC0" w:rsidP="00DB3C3A">
            <w:pPr>
              <w:keepLines/>
              <w:tabs>
                <w:tab w:val="left" w:pos="425"/>
              </w:tabs>
              <w:spacing w:after="0"/>
              <w:ind w:left="227" w:hanging="227"/>
              <w:rPr>
                <w:szCs w:val="20"/>
                <w:lang w:eastAsia="en-US"/>
              </w:rPr>
            </w:pPr>
            <w:r w:rsidRPr="00897C20">
              <w:rPr>
                <w:szCs w:val="20"/>
                <w:lang w:eastAsia="en-US"/>
              </w:rPr>
              <w:t>FIXED</w:t>
            </w:r>
          </w:p>
          <w:p w14:paraId="2550F640" w14:textId="77777777" w:rsidR="00046FC0" w:rsidRPr="00897C20" w:rsidRDefault="00046FC0" w:rsidP="00DB3C3A">
            <w:pPr>
              <w:keepLines/>
              <w:tabs>
                <w:tab w:val="left" w:pos="425"/>
              </w:tabs>
              <w:spacing w:after="0"/>
              <w:ind w:left="227" w:hanging="227"/>
              <w:rPr>
                <w:szCs w:val="20"/>
                <w:lang w:eastAsia="en-US"/>
              </w:rPr>
            </w:pPr>
            <w:r w:rsidRPr="00897C20">
              <w:rPr>
                <w:szCs w:val="20"/>
                <w:lang w:eastAsia="en-US"/>
              </w:rPr>
              <w:t>MOBILE except aeronautical mobile</w:t>
            </w:r>
          </w:p>
          <w:p w14:paraId="2E03C593" w14:textId="77777777" w:rsidR="00046FC0" w:rsidRPr="00897C20" w:rsidRDefault="00046FC0" w:rsidP="00DB3C3A">
            <w:pPr>
              <w:keepLines/>
              <w:tabs>
                <w:tab w:val="left" w:pos="425"/>
              </w:tabs>
              <w:spacing w:after="0"/>
              <w:ind w:left="227" w:hanging="227"/>
              <w:rPr>
                <w:szCs w:val="20"/>
                <w:lang w:eastAsia="en-US"/>
              </w:rPr>
            </w:pPr>
            <w:r w:rsidRPr="00897C20">
              <w:rPr>
                <w:szCs w:val="20"/>
                <w:lang w:eastAsia="en-US"/>
              </w:rPr>
              <w:t>SPACE RESEARCH (deep space) (space-to-Earth)</w:t>
            </w:r>
          </w:p>
          <w:p w14:paraId="61BF6773" w14:textId="62BB2F3A" w:rsidR="00046FC0" w:rsidRPr="00777544" w:rsidRDefault="00046FC0" w:rsidP="00DB3C3A">
            <w:pPr>
              <w:keepLines/>
              <w:tabs>
                <w:tab w:val="left" w:pos="425"/>
              </w:tabs>
              <w:spacing w:after="0"/>
              <w:ind w:left="227" w:hanging="227"/>
              <w:rPr>
                <w:b/>
                <w:szCs w:val="20"/>
                <w:lang w:eastAsia="en-US"/>
              </w:rPr>
            </w:pPr>
            <w:r w:rsidRPr="00897C20">
              <w:rPr>
                <w:szCs w:val="20"/>
                <w:lang w:eastAsia="en-US"/>
              </w:rPr>
              <w:t>AUS87  AUS93</w:t>
            </w:r>
            <w:r>
              <w:rPr>
                <w:szCs w:val="20"/>
                <w:lang w:eastAsia="en-US"/>
              </w:rPr>
              <w:t xml:space="preserve">  </w:t>
            </w:r>
            <w:r w:rsidRPr="00046FC0">
              <w:rPr>
                <w:color w:val="C00000"/>
                <w:szCs w:val="20"/>
                <w:lang w:eastAsia="en-US"/>
              </w:rPr>
              <w:t>AUS106A</w:t>
            </w:r>
          </w:p>
        </w:tc>
      </w:tr>
    </w:tbl>
    <w:p w14:paraId="6001F8ED" w14:textId="77777777" w:rsidR="00046FC0" w:rsidRPr="00777544" w:rsidRDefault="00046FC0" w:rsidP="00777544"/>
    <w:p w14:paraId="1CEA4CE3" w14:textId="3BF2FD15" w:rsidR="008B6BFB" w:rsidRDefault="008B6BFB">
      <w:pPr>
        <w:spacing w:after="0" w:line="240" w:lineRule="auto"/>
        <w:rPr>
          <w:rFonts w:eastAsia="Calibri" w:cs="Arial"/>
          <w:szCs w:val="20"/>
          <w:lang w:eastAsia="en-US"/>
        </w:rPr>
      </w:pPr>
      <w:r>
        <w:rPr>
          <w:rFonts w:eastAsia="Calibri" w:cs="Arial"/>
          <w:szCs w:val="20"/>
          <w:lang w:eastAsia="en-US"/>
        </w:rPr>
        <w:br w:type="page"/>
      </w:r>
    </w:p>
    <w:p w14:paraId="0ADE7A8D" w14:textId="5FDFB794" w:rsidR="00F066ED" w:rsidRPr="00E36806" w:rsidRDefault="00A859CA" w:rsidP="002A1150">
      <w:pPr>
        <w:pStyle w:val="Heading3"/>
        <w:rPr>
          <w:rFonts w:eastAsia="Calibri"/>
          <w:szCs w:val="20"/>
          <w:lang w:eastAsia="en-US"/>
        </w:rPr>
      </w:pPr>
      <w:bookmarkStart w:id="29" w:name="_Toc470162684"/>
      <w:r>
        <w:rPr>
          <w:lang w:bidi="he-IL"/>
        </w:rPr>
        <w:lastRenderedPageBreak/>
        <w:t>694–</w:t>
      </w:r>
      <w:r w:rsidR="00F066ED" w:rsidRPr="00E36806">
        <w:rPr>
          <w:lang w:bidi="he-IL"/>
        </w:rPr>
        <w:t>820 MHz band</w:t>
      </w:r>
      <w:bookmarkEnd w:id="29"/>
    </w:p>
    <w:p w14:paraId="6D3BAEC8" w14:textId="515BB29F" w:rsidR="00B10AB0" w:rsidRPr="00E36806" w:rsidRDefault="00B10AB0" w:rsidP="00E36806">
      <w:pPr>
        <w:pStyle w:val="ListBullet"/>
        <w:numPr>
          <w:ilvl w:val="0"/>
          <w:numId w:val="0"/>
        </w:numPr>
        <w:ind w:left="295" w:hanging="295"/>
        <w:rPr>
          <w:lang w:bidi="he-IL"/>
        </w:rPr>
      </w:pPr>
      <w:r w:rsidRPr="00777544">
        <w:rPr>
          <w:lang w:bidi="he-IL"/>
        </w:rPr>
        <w:t xml:space="preserve">The </w:t>
      </w:r>
      <w:r w:rsidR="00772910" w:rsidRPr="00777544">
        <w:rPr>
          <w:lang w:bidi="he-IL"/>
        </w:rPr>
        <w:t xml:space="preserve">following amendments have been made to the </w:t>
      </w:r>
      <w:r w:rsidR="00A859CA">
        <w:rPr>
          <w:lang w:bidi="he-IL"/>
        </w:rPr>
        <w:t>694–</w:t>
      </w:r>
      <w:r w:rsidRPr="00777544">
        <w:rPr>
          <w:lang w:bidi="he-IL"/>
        </w:rPr>
        <w:t xml:space="preserve">820 MHz </w:t>
      </w:r>
      <w:r w:rsidR="00772910" w:rsidRPr="00777544">
        <w:rPr>
          <w:lang w:bidi="he-IL"/>
        </w:rPr>
        <w:t>band</w:t>
      </w:r>
      <w:r w:rsidRPr="00E36806">
        <w:rPr>
          <w:lang w:bidi="he-IL"/>
        </w:rPr>
        <w:t>:</w:t>
      </w:r>
    </w:p>
    <w:p w14:paraId="25AD15FC" w14:textId="13F18A1A" w:rsidR="00B10AB0" w:rsidRPr="00E36806" w:rsidRDefault="00B10AB0" w:rsidP="002A1150">
      <w:pPr>
        <w:pStyle w:val="ListBullet"/>
        <w:rPr>
          <w:lang w:bidi="he-IL"/>
        </w:rPr>
      </w:pPr>
      <w:r w:rsidRPr="00E36806">
        <w:rPr>
          <w:lang w:bidi="he-IL"/>
        </w:rPr>
        <w:t>change</w:t>
      </w:r>
      <w:r w:rsidR="00897C20">
        <w:rPr>
          <w:lang w:bidi="he-IL"/>
        </w:rPr>
        <w:t>d</w:t>
      </w:r>
      <w:r w:rsidRPr="00E36806">
        <w:rPr>
          <w:lang w:bidi="he-IL"/>
        </w:rPr>
        <w:t xml:space="preserve"> the status of the </w:t>
      </w:r>
      <w:r w:rsidR="00B04CE5">
        <w:rPr>
          <w:lang w:bidi="he-IL"/>
        </w:rPr>
        <w:t>f</w:t>
      </w:r>
      <w:r w:rsidRPr="00E36806">
        <w:rPr>
          <w:lang w:bidi="he-IL"/>
        </w:rPr>
        <w:t xml:space="preserve">ixed and </w:t>
      </w:r>
      <w:r w:rsidR="00B04CE5">
        <w:rPr>
          <w:lang w:bidi="he-IL"/>
        </w:rPr>
        <w:t>m</w:t>
      </w:r>
      <w:r w:rsidRPr="00E36806">
        <w:rPr>
          <w:lang w:bidi="he-IL"/>
        </w:rPr>
        <w:t xml:space="preserve">obile services </w:t>
      </w:r>
      <w:r w:rsidR="00897C20">
        <w:rPr>
          <w:lang w:bidi="he-IL"/>
        </w:rPr>
        <w:t>to primary</w:t>
      </w:r>
    </w:p>
    <w:p w14:paraId="7C312A9A" w14:textId="344BD4C6" w:rsidR="00B10AB0" w:rsidRPr="00E36806" w:rsidRDefault="00B10AB0" w:rsidP="002A1150">
      <w:pPr>
        <w:pStyle w:val="ListBullet"/>
        <w:rPr>
          <w:lang w:bidi="he-IL"/>
        </w:rPr>
      </w:pPr>
      <w:r w:rsidRPr="00E36806">
        <w:rPr>
          <w:lang w:bidi="he-IL"/>
        </w:rPr>
        <w:t>add</w:t>
      </w:r>
      <w:r w:rsidR="00897C20">
        <w:rPr>
          <w:lang w:bidi="he-IL"/>
        </w:rPr>
        <w:t>ed</w:t>
      </w:r>
      <w:r w:rsidRPr="00E36806">
        <w:rPr>
          <w:lang w:bidi="he-IL"/>
        </w:rPr>
        <w:t xml:space="preserve"> footnote 31</w:t>
      </w:r>
      <w:r w:rsidR="00896917">
        <w:rPr>
          <w:lang w:bidi="he-IL"/>
        </w:rPr>
        <w:t>7</w:t>
      </w:r>
      <w:r w:rsidRPr="00E36806">
        <w:rPr>
          <w:lang w:bidi="he-IL"/>
        </w:rPr>
        <w:t xml:space="preserve">A to the </w:t>
      </w:r>
      <w:r w:rsidR="00B04CE5">
        <w:rPr>
          <w:lang w:bidi="he-IL"/>
        </w:rPr>
        <w:t>m</w:t>
      </w:r>
      <w:r w:rsidR="00B04CE5" w:rsidRPr="00E36806">
        <w:rPr>
          <w:lang w:bidi="he-IL"/>
        </w:rPr>
        <w:t xml:space="preserve">obile </w:t>
      </w:r>
      <w:r w:rsidRPr="00E36806">
        <w:rPr>
          <w:lang w:bidi="he-IL"/>
        </w:rPr>
        <w:t>allocation</w:t>
      </w:r>
    </w:p>
    <w:p w14:paraId="053C4FC8" w14:textId="2C9F1BC0" w:rsidR="00B10AB0" w:rsidRPr="00E36806" w:rsidRDefault="00B10AB0" w:rsidP="002A1150">
      <w:pPr>
        <w:pStyle w:val="ListBullet"/>
        <w:rPr>
          <w:lang w:bidi="he-IL"/>
        </w:rPr>
      </w:pPr>
      <w:r w:rsidRPr="00E36806">
        <w:rPr>
          <w:lang w:bidi="he-IL"/>
        </w:rPr>
        <w:t>remove</w:t>
      </w:r>
      <w:r w:rsidR="00897C20">
        <w:rPr>
          <w:lang w:bidi="he-IL"/>
        </w:rPr>
        <w:t>d</w:t>
      </w:r>
      <w:r w:rsidRPr="00E36806">
        <w:rPr>
          <w:lang w:bidi="he-IL"/>
        </w:rPr>
        <w:t xml:space="preserve"> the </w:t>
      </w:r>
      <w:r w:rsidR="00890E3E">
        <w:rPr>
          <w:lang w:bidi="he-IL"/>
        </w:rPr>
        <w:t>broadcast</w:t>
      </w:r>
      <w:r w:rsidRPr="00E36806">
        <w:rPr>
          <w:lang w:bidi="he-IL"/>
        </w:rPr>
        <w:t>ing allocation</w:t>
      </w:r>
      <w:r w:rsidR="00B04CE5">
        <w:rPr>
          <w:lang w:bidi="he-IL"/>
        </w:rPr>
        <w:t>,</w:t>
      </w:r>
      <w:r w:rsidRPr="00E36806">
        <w:rPr>
          <w:lang w:bidi="he-IL"/>
        </w:rPr>
        <w:t xml:space="preserve"> as the band is no longer part of the </w:t>
      </w:r>
      <w:r w:rsidR="00890E3E">
        <w:rPr>
          <w:lang w:bidi="he-IL"/>
        </w:rPr>
        <w:t>broadcast</w:t>
      </w:r>
      <w:r w:rsidRPr="00E36806">
        <w:rPr>
          <w:lang w:bidi="he-IL"/>
        </w:rPr>
        <w:t xml:space="preserve">ing </w:t>
      </w:r>
      <w:r w:rsidR="00B04CE5">
        <w:rPr>
          <w:lang w:bidi="he-IL"/>
        </w:rPr>
        <w:t>s</w:t>
      </w:r>
      <w:r w:rsidR="00B04CE5" w:rsidRPr="00E36806">
        <w:rPr>
          <w:lang w:bidi="he-IL"/>
        </w:rPr>
        <w:t xml:space="preserve">ervices </w:t>
      </w:r>
      <w:r w:rsidR="00B04CE5">
        <w:rPr>
          <w:lang w:bidi="he-IL"/>
        </w:rPr>
        <w:t>b</w:t>
      </w:r>
      <w:r w:rsidR="00B04CE5" w:rsidRPr="00E36806">
        <w:rPr>
          <w:lang w:bidi="he-IL"/>
        </w:rPr>
        <w:t xml:space="preserve">and </w:t>
      </w:r>
      <w:r w:rsidRPr="00E36806">
        <w:rPr>
          <w:lang w:bidi="he-IL"/>
        </w:rPr>
        <w:t>(as reflected in Section 12 of Chapter 1 of the ARSP)</w:t>
      </w:r>
    </w:p>
    <w:p w14:paraId="5530D8DF" w14:textId="2343DA57" w:rsidR="00B10AB0" w:rsidRPr="00777544" w:rsidRDefault="00772910" w:rsidP="002A1150">
      <w:pPr>
        <w:pStyle w:val="ListBulletLast"/>
        <w:rPr>
          <w:lang w:bidi="he-IL"/>
        </w:rPr>
      </w:pPr>
      <w:proofErr w:type="gramStart"/>
      <w:r w:rsidRPr="00777544">
        <w:rPr>
          <w:lang w:bidi="he-IL"/>
        </w:rPr>
        <w:t>r</w:t>
      </w:r>
      <w:r w:rsidR="00B10AB0" w:rsidRPr="00E36806">
        <w:rPr>
          <w:lang w:bidi="he-IL"/>
        </w:rPr>
        <w:t>emove</w:t>
      </w:r>
      <w:r w:rsidR="00897C20">
        <w:rPr>
          <w:lang w:bidi="he-IL"/>
        </w:rPr>
        <w:t>d</w:t>
      </w:r>
      <w:proofErr w:type="gramEnd"/>
      <w:r w:rsidR="00B10AB0" w:rsidRPr="00E36806">
        <w:rPr>
          <w:lang w:bidi="he-IL"/>
        </w:rPr>
        <w:t xml:space="preserve"> the frequency boundary at 820</w:t>
      </w:r>
      <w:r w:rsidR="00B04CE5" w:rsidRPr="00777544">
        <w:rPr>
          <w:szCs w:val="20"/>
          <w:lang w:val="en-US"/>
        </w:rPr>
        <w:t> </w:t>
      </w:r>
      <w:r w:rsidR="00B10AB0" w:rsidRPr="00E36806">
        <w:rPr>
          <w:lang w:bidi="he-IL"/>
        </w:rPr>
        <w:t>MHz as the 694</w:t>
      </w:r>
      <w:r w:rsidR="00B04CE5">
        <w:rPr>
          <w:lang w:bidi="he-IL"/>
        </w:rPr>
        <w:t>–</w:t>
      </w:r>
      <w:r w:rsidR="00B10AB0" w:rsidRPr="00E36806">
        <w:rPr>
          <w:lang w:bidi="he-IL"/>
        </w:rPr>
        <w:t>820</w:t>
      </w:r>
      <w:r w:rsidR="00B04CE5" w:rsidRPr="00777544">
        <w:rPr>
          <w:szCs w:val="20"/>
          <w:lang w:val="en-US"/>
        </w:rPr>
        <w:t> </w:t>
      </w:r>
      <w:r w:rsidR="00B10AB0" w:rsidRPr="00E36806">
        <w:rPr>
          <w:lang w:bidi="he-IL"/>
        </w:rPr>
        <w:t>MHz and 820</w:t>
      </w:r>
      <w:r w:rsidR="00B04CE5">
        <w:rPr>
          <w:lang w:bidi="he-IL"/>
        </w:rPr>
        <w:t>–</w:t>
      </w:r>
      <w:r w:rsidR="00B10AB0" w:rsidRPr="00E36806">
        <w:rPr>
          <w:lang w:bidi="he-IL"/>
        </w:rPr>
        <w:t>850 MHz frequency segments are now exactly the same.</w:t>
      </w:r>
    </w:p>
    <w:p w14:paraId="0CCFDD69" w14:textId="74B2CD6E" w:rsidR="00B10AB0" w:rsidRDefault="00C856C5" w:rsidP="00777544">
      <w:pPr>
        <w:rPr>
          <w:rFonts w:cs="Arial"/>
          <w:szCs w:val="20"/>
        </w:rPr>
      </w:pPr>
      <w:r w:rsidRPr="00E36806">
        <w:rPr>
          <w:rFonts w:cs="Arial"/>
          <w:szCs w:val="20"/>
        </w:rPr>
        <w:t xml:space="preserve">See </w:t>
      </w:r>
      <w:r w:rsidR="00897C20">
        <w:rPr>
          <w:rFonts w:cs="Arial"/>
          <w:szCs w:val="20"/>
        </w:rPr>
        <w:t>the extract of the table</w:t>
      </w:r>
      <w:r w:rsidRPr="00E36806">
        <w:rPr>
          <w:rFonts w:cs="Arial"/>
          <w:szCs w:val="20"/>
        </w:rPr>
        <w:t xml:space="preserve"> below</w:t>
      </w:r>
      <w:r w:rsidR="00380CF9" w:rsidRPr="00E36806">
        <w:rPr>
          <w:rFonts w:cs="Arial"/>
          <w:szCs w:val="20"/>
        </w:rPr>
        <w:t xml:space="preserve"> for </w:t>
      </w:r>
      <w:r w:rsidR="00380CF9" w:rsidRPr="00777544">
        <w:rPr>
          <w:rFonts w:cs="Arial"/>
          <w:szCs w:val="20"/>
        </w:rPr>
        <w:t xml:space="preserve">corresponding </w:t>
      </w:r>
      <w:r w:rsidR="00380CF9" w:rsidRPr="00E36806">
        <w:rPr>
          <w:rFonts w:cs="Arial"/>
          <w:szCs w:val="20"/>
        </w:rPr>
        <w:t>changes to Column 2</w:t>
      </w:r>
      <w:r w:rsidRPr="00E36806">
        <w:rPr>
          <w:rFonts w:cs="Arial"/>
          <w:szCs w:val="20"/>
        </w:rPr>
        <w:t>:</w:t>
      </w:r>
    </w:p>
    <w:tbl>
      <w:tblPr>
        <w:tblW w:w="835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6"/>
        <w:gridCol w:w="2551"/>
        <w:gridCol w:w="1984"/>
        <w:gridCol w:w="1988"/>
      </w:tblGrid>
      <w:tr w:rsidR="00046FC0" w:rsidRPr="000313F8" w14:paraId="1C417ABE" w14:textId="77777777" w:rsidTr="00DB3C3A">
        <w:trPr>
          <w:cantSplit/>
          <w:trHeight w:val="240"/>
        </w:trPr>
        <w:tc>
          <w:tcPr>
            <w:tcW w:w="1098" w:type="pct"/>
            <w:vMerge w:val="restart"/>
            <w:shd w:val="clear" w:color="auto" w:fill="auto"/>
            <w:tcMar>
              <w:top w:w="0" w:type="dxa"/>
              <w:left w:w="107" w:type="dxa"/>
              <w:bottom w:w="0" w:type="dxa"/>
              <w:right w:w="107" w:type="dxa"/>
            </w:tcMar>
          </w:tcPr>
          <w:p w14:paraId="5653FA40" w14:textId="77777777" w:rsidR="00046FC0" w:rsidRPr="000313F8" w:rsidRDefault="00046FC0" w:rsidP="00DB3C3A">
            <w:pPr>
              <w:spacing w:after="0"/>
              <w:ind w:left="227" w:hanging="227"/>
              <w:rPr>
                <w:rFonts w:cs="Arial"/>
                <w:b/>
                <w:bCs/>
                <w:sz w:val="18"/>
                <w:szCs w:val="18"/>
              </w:rPr>
            </w:pPr>
            <w:r w:rsidRPr="000313F8">
              <w:rPr>
                <w:rFonts w:cs="Arial"/>
                <w:b/>
                <w:bCs/>
                <w:sz w:val="18"/>
                <w:szCs w:val="18"/>
              </w:rPr>
              <w:t>470 – 694</w:t>
            </w:r>
          </w:p>
          <w:p w14:paraId="6EB43EAA" w14:textId="77777777" w:rsidR="00046FC0" w:rsidRPr="000313F8" w:rsidRDefault="00046FC0" w:rsidP="00DB3C3A">
            <w:pPr>
              <w:spacing w:after="0"/>
              <w:ind w:left="227" w:hanging="227"/>
              <w:rPr>
                <w:rFonts w:cs="Arial"/>
                <w:sz w:val="18"/>
                <w:szCs w:val="18"/>
              </w:rPr>
            </w:pPr>
            <w:r w:rsidRPr="000313F8">
              <w:rPr>
                <w:rFonts w:cs="Arial"/>
                <w:sz w:val="18"/>
                <w:szCs w:val="18"/>
              </w:rPr>
              <w:t>BROADCASTING</w:t>
            </w:r>
          </w:p>
          <w:p w14:paraId="13D502A9" w14:textId="77777777" w:rsidR="00046FC0" w:rsidRPr="000313F8" w:rsidRDefault="00046FC0" w:rsidP="00DB3C3A">
            <w:pPr>
              <w:spacing w:after="0"/>
              <w:ind w:left="227" w:hanging="227"/>
              <w:rPr>
                <w:rFonts w:cs="Arial"/>
                <w:sz w:val="18"/>
                <w:szCs w:val="18"/>
              </w:rPr>
            </w:pPr>
          </w:p>
          <w:p w14:paraId="6DD3CD75" w14:textId="77777777" w:rsidR="00046FC0" w:rsidRPr="000313F8" w:rsidRDefault="00046FC0" w:rsidP="00DB3C3A">
            <w:pPr>
              <w:spacing w:after="0"/>
              <w:ind w:left="227" w:hanging="227"/>
              <w:rPr>
                <w:rFonts w:cs="Arial"/>
                <w:sz w:val="18"/>
                <w:szCs w:val="18"/>
              </w:rPr>
            </w:pPr>
          </w:p>
          <w:p w14:paraId="717DE6F4" w14:textId="77777777" w:rsidR="00046FC0" w:rsidRPr="000313F8" w:rsidRDefault="00046FC0" w:rsidP="00DB3C3A">
            <w:pPr>
              <w:spacing w:after="0"/>
              <w:ind w:left="227" w:hanging="227"/>
              <w:rPr>
                <w:rFonts w:cs="Arial"/>
                <w:sz w:val="18"/>
                <w:szCs w:val="18"/>
              </w:rPr>
            </w:pPr>
          </w:p>
          <w:p w14:paraId="06121CC0" w14:textId="77777777" w:rsidR="00046FC0" w:rsidRPr="000313F8" w:rsidRDefault="00046FC0" w:rsidP="00DB3C3A">
            <w:pPr>
              <w:spacing w:after="0"/>
              <w:ind w:left="227" w:hanging="227"/>
              <w:rPr>
                <w:rFonts w:cs="Arial"/>
                <w:sz w:val="18"/>
                <w:szCs w:val="18"/>
              </w:rPr>
            </w:pPr>
          </w:p>
          <w:p w14:paraId="7FE599D5" w14:textId="77777777" w:rsidR="00046FC0" w:rsidRPr="000313F8" w:rsidRDefault="00046FC0" w:rsidP="00DB3C3A">
            <w:pPr>
              <w:spacing w:after="0"/>
              <w:ind w:left="227" w:hanging="227"/>
              <w:rPr>
                <w:rFonts w:cs="Arial"/>
                <w:sz w:val="18"/>
                <w:szCs w:val="18"/>
              </w:rPr>
            </w:pPr>
          </w:p>
          <w:p w14:paraId="264B8767" w14:textId="77777777" w:rsidR="00046FC0" w:rsidRPr="000313F8" w:rsidRDefault="00046FC0" w:rsidP="00DB3C3A">
            <w:pPr>
              <w:spacing w:after="0"/>
              <w:ind w:left="227" w:hanging="227"/>
              <w:rPr>
                <w:rFonts w:cs="Arial"/>
                <w:sz w:val="18"/>
                <w:szCs w:val="18"/>
              </w:rPr>
            </w:pPr>
          </w:p>
          <w:p w14:paraId="3A963A2F" w14:textId="77777777" w:rsidR="00046FC0" w:rsidRPr="000313F8" w:rsidRDefault="00046FC0" w:rsidP="00DB3C3A">
            <w:pPr>
              <w:spacing w:after="0"/>
              <w:ind w:left="227" w:hanging="227"/>
              <w:rPr>
                <w:rFonts w:cs="Arial"/>
                <w:sz w:val="18"/>
                <w:szCs w:val="18"/>
              </w:rPr>
            </w:pPr>
          </w:p>
          <w:p w14:paraId="3042E6A8" w14:textId="77777777" w:rsidR="00046FC0" w:rsidRPr="000313F8" w:rsidRDefault="00046FC0" w:rsidP="00DB3C3A">
            <w:pPr>
              <w:spacing w:after="0"/>
              <w:ind w:left="227" w:hanging="227"/>
              <w:rPr>
                <w:rFonts w:cs="Arial"/>
                <w:b/>
                <w:bCs/>
                <w:sz w:val="18"/>
                <w:szCs w:val="18"/>
              </w:rPr>
            </w:pPr>
            <w:r w:rsidRPr="000313F8">
              <w:rPr>
                <w:rFonts w:cs="Arial"/>
                <w:sz w:val="18"/>
                <w:szCs w:val="18"/>
              </w:rPr>
              <w:t>149   291A  294  296  300  304  306  311A  312</w:t>
            </w:r>
          </w:p>
        </w:tc>
        <w:tc>
          <w:tcPr>
            <w:tcW w:w="1526" w:type="pct"/>
            <w:vMerge w:val="restart"/>
            <w:shd w:val="clear" w:color="auto" w:fill="auto"/>
            <w:tcMar>
              <w:top w:w="0" w:type="dxa"/>
              <w:left w:w="107" w:type="dxa"/>
              <w:bottom w:w="0" w:type="dxa"/>
              <w:right w:w="107" w:type="dxa"/>
            </w:tcMar>
          </w:tcPr>
          <w:p w14:paraId="11977CBF" w14:textId="77777777" w:rsidR="00046FC0" w:rsidRPr="000313F8" w:rsidRDefault="00046FC0" w:rsidP="00DB3C3A">
            <w:pPr>
              <w:spacing w:after="0"/>
              <w:ind w:left="227" w:hanging="227"/>
              <w:rPr>
                <w:rFonts w:cs="Arial"/>
                <w:b/>
                <w:bCs/>
                <w:sz w:val="18"/>
                <w:szCs w:val="18"/>
              </w:rPr>
            </w:pPr>
          </w:p>
        </w:tc>
        <w:tc>
          <w:tcPr>
            <w:tcW w:w="1187" w:type="pct"/>
            <w:vMerge w:val="restart"/>
            <w:shd w:val="clear" w:color="auto" w:fill="auto"/>
            <w:tcMar>
              <w:top w:w="0" w:type="dxa"/>
              <w:left w:w="107" w:type="dxa"/>
              <w:bottom w:w="0" w:type="dxa"/>
              <w:right w:w="107" w:type="dxa"/>
            </w:tcMar>
          </w:tcPr>
          <w:p w14:paraId="7B996A53" w14:textId="77777777" w:rsidR="00046FC0" w:rsidRPr="000313F8" w:rsidRDefault="00046FC0" w:rsidP="00DB3C3A">
            <w:pPr>
              <w:spacing w:after="0"/>
              <w:ind w:left="227" w:hanging="227"/>
              <w:rPr>
                <w:rFonts w:cs="Arial"/>
                <w:b/>
                <w:bCs/>
                <w:sz w:val="18"/>
                <w:szCs w:val="18"/>
              </w:rPr>
            </w:pPr>
          </w:p>
        </w:tc>
        <w:tc>
          <w:tcPr>
            <w:tcW w:w="1189" w:type="pct"/>
            <w:vMerge w:val="restart"/>
            <w:shd w:val="clear" w:color="auto" w:fill="auto"/>
            <w:tcMar>
              <w:top w:w="0" w:type="dxa"/>
              <w:left w:w="107" w:type="dxa"/>
              <w:bottom w:w="0" w:type="dxa"/>
              <w:right w:w="107" w:type="dxa"/>
            </w:tcMar>
            <w:hideMark/>
          </w:tcPr>
          <w:p w14:paraId="4790E22C" w14:textId="77777777" w:rsidR="00046FC0" w:rsidRPr="000313F8" w:rsidRDefault="00046FC0" w:rsidP="00DB3C3A">
            <w:pPr>
              <w:spacing w:after="0"/>
              <w:ind w:left="227" w:hanging="227"/>
              <w:rPr>
                <w:rFonts w:cs="Arial"/>
                <w:sz w:val="18"/>
                <w:szCs w:val="18"/>
              </w:rPr>
            </w:pPr>
          </w:p>
        </w:tc>
      </w:tr>
      <w:tr w:rsidR="00046FC0" w:rsidRPr="000313F8" w14:paraId="4A0FC4AD" w14:textId="77777777" w:rsidTr="00DB3C3A">
        <w:trPr>
          <w:cantSplit/>
          <w:trHeight w:val="240"/>
        </w:trPr>
        <w:tc>
          <w:tcPr>
            <w:tcW w:w="1098" w:type="pct"/>
            <w:vMerge/>
            <w:shd w:val="clear" w:color="auto" w:fill="auto"/>
            <w:vAlign w:val="center"/>
            <w:hideMark/>
          </w:tcPr>
          <w:p w14:paraId="170E8CD0" w14:textId="77777777" w:rsidR="00046FC0" w:rsidRPr="000313F8" w:rsidRDefault="00046FC0" w:rsidP="00DB3C3A">
            <w:pPr>
              <w:spacing w:after="0"/>
              <w:rPr>
                <w:rFonts w:cs="Arial"/>
                <w:b/>
                <w:bCs/>
                <w:sz w:val="18"/>
                <w:szCs w:val="18"/>
              </w:rPr>
            </w:pPr>
          </w:p>
        </w:tc>
        <w:tc>
          <w:tcPr>
            <w:tcW w:w="1526" w:type="pct"/>
            <w:vMerge/>
            <w:shd w:val="clear" w:color="auto" w:fill="auto"/>
            <w:tcMar>
              <w:top w:w="0" w:type="dxa"/>
              <w:left w:w="107" w:type="dxa"/>
              <w:bottom w:w="0" w:type="dxa"/>
              <w:right w:w="107" w:type="dxa"/>
            </w:tcMar>
          </w:tcPr>
          <w:p w14:paraId="243CCD79" w14:textId="77777777" w:rsidR="00046FC0" w:rsidRPr="000313F8" w:rsidRDefault="00046FC0" w:rsidP="00DB3C3A">
            <w:pPr>
              <w:spacing w:after="0"/>
              <w:ind w:left="227" w:hanging="227"/>
              <w:rPr>
                <w:rFonts w:cs="Arial"/>
                <w:b/>
                <w:bCs/>
                <w:sz w:val="18"/>
                <w:szCs w:val="18"/>
              </w:rPr>
            </w:pPr>
          </w:p>
        </w:tc>
        <w:tc>
          <w:tcPr>
            <w:tcW w:w="1187" w:type="pct"/>
            <w:vMerge/>
            <w:shd w:val="clear" w:color="auto" w:fill="auto"/>
            <w:vAlign w:val="center"/>
            <w:hideMark/>
          </w:tcPr>
          <w:p w14:paraId="4BA3607D" w14:textId="77777777" w:rsidR="00046FC0" w:rsidRPr="000313F8" w:rsidRDefault="00046FC0" w:rsidP="00DB3C3A">
            <w:pPr>
              <w:spacing w:after="0"/>
              <w:rPr>
                <w:rFonts w:cs="Arial"/>
                <w:b/>
                <w:bCs/>
                <w:sz w:val="18"/>
                <w:szCs w:val="18"/>
              </w:rPr>
            </w:pPr>
          </w:p>
        </w:tc>
        <w:tc>
          <w:tcPr>
            <w:tcW w:w="1189" w:type="pct"/>
            <w:vMerge/>
            <w:shd w:val="clear" w:color="auto" w:fill="auto"/>
            <w:vAlign w:val="center"/>
            <w:hideMark/>
          </w:tcPr>
          <w:p w14:paraId="55B98AD4" w14:textId="77777777" w:rsidR="00046FC0" w:rsidRPr="000313F8" w:rsidRDefault="00046FC0" w:rsidP="00DB3C3A">
            <w:pPr>
              <w:spacing w:after="0"/>
              <w:rPr>
                <w:rFonts w:cs="Arial"/>
                <w:sz w:val="18"/>
                <w:szCs w:val="18"/>
              </w:rPr>
            </w:pPr>
          </w:p>
        </w:tc>
      </w:tr>
      <w:tr w:rsidR="00046FC0" w:rsidRPr="000313F8" w14:paraId="01B1123F" w14:textId="77777777" w:rsidTr="00DB3C3A">
        <w:trPr>
          <w:cantSplit/>
          <w:trHeight w:val="240"/>
        </w:trPr>
        <w:tc>
          <w:tcPr>
            <w:tcW w:w="1098" w:type="pct"/>
            <w:vMerge/>
            <w:shd w:val="clear" w:color="auto" w:fill="auto"/>
            <w:vAlign w:val="center"/>
            <w:hideMark/>
          </w:tcPr>
          <w:p w14:paraId="59F8FCA2" w14:textId="77777777" w:rsidR="00046FC0" w:rsidRPr="000313F8" w:rsidRDefault="00046FC0" w:rsidP="00DB3C3A">
            <w:pPr>
              <w:spacing w:after="0"/>
              <w:rPr>
                <w:rFonts w:cs="Arial"/>
                <w:b/>
                <w:bCs/>
                <w:sz w:val="18"/>
                <w:szCs w:val="18"/>
              </w:rPr>
            </w:pPr>
          </w:p>
        </w:tc>
        <w:tc>
          <w:tcPr>
            <w:tcW w:w="1526" w:type="pct"/>
            <w:vMerge/>
            <w:shd w:val="clear" w:color="auto" w:fill="auto"/>
            <w:vAlign w:val="center"/>
          </w:tcPr>
          <w:p w14:paraId="4000C03F" w14:textId="77777777" w:rsidR="00046FC0" w:rsidRPr="000313F8" w:rsidRDefault="00046FC0" w:rsidP="00DB3C3A">
            <w:pPr>
              <w:spacing w:after="0"/>
              <w:rPr>
                <w:rFonts w:cs="Arial"/>
                <w:b/>
                <w:bCs/>
                <w:sz w:val="18"/>
                <w:szCs w:val="18"/>
              </w:rPr>
            </w:pPr>
          </w:p>
        </w:tc>
        <w:tc>
          <w:tcPr>
            <w:tcW w:w="1187" w:type="pct"/>
            <w:vMerge/>
            <w:shd w:val="clear" w:color="auto" w:fill="auto"/>
            <w:vAlign w:val="center"/>
            <w:hideMark/>
          </w:tcPr>
          <w:p w14:paraId="77DC1237" w14:textId="77777777" w:rsidR="00046FC0" w:rsidRPr="000313F8" w:rsidRDefault="00046FC0" w:rsidP="00DB3C3A">
            <w:pPr>
              <w:spacing w:after="0"/>
              <w:rPr>
                <w:rFonts w:cs="Arial"/>
                <w:b/>
                <w:bCs/>
                <w:sz w:val="18"/>
                <w:szCs w:val="18"/>
              </w:rPr>
            </w:pPr>
          </w:p>
        </w:tc>
        <w:tc>
          <w:tcPr>
            <w:tcW w:w="1189" w:type="pct"/>
            <w:vMerge w:val="restart"/>
            <w:shd w:val="clear" w:color="auto" w:fill="auto"/>
            <w:tcMar>
              <w:top w:w="0" w:type="dxa"/>
              <w:left w:w="107" w:type="dxa"/>
              <w:bottom w:w="0" w:type="dxa"/>
              <w:right w:w="107" w:type="dxa"/>
            </w:tcMar>
          </w:tcPr>
          <w:p w14:paraId="50B3C64F" w14:textId="77777777" w:rsidR="00046FC0" w:rsidRPr="000313F8" w:rsidRDefault="00046FC0" w:rsidP="00DB3C3A">
            <w:pPr>
              <w:spacing w:after="0"/>
              <w:ind w:left="227" w:hanging="227"/>
              <w:rPr>
                <w:rFonts w:cs="Arial"/>
                <w:b/>
                <w:bCs/>
                <w:sz w:val="18"/>
                <w:szCs w:val="18"/>
              </w:rPr>
            </w:pPr>
            <w:r w:rsidRPr="000313F8">
              <w:rPr>
                <w:rFonts w:cs="Arial"/>
                <w:b/>
                <w:bCs/>
                <w:sz w:val="18"/>
                <w:szCs w:val="18"/>
              </w:rPr>
              <w:t>520 – 694</w:t>
            </w:r>
          </w:p>
          <w:p w14:paraId="1BCBA822" w14:textId="77777777" w:rsidR="00046FC0" w:rsidRPr="000313F8" w:rsidRDefault="00046FC0" w:rsidP="00DB3C3A">
            <w:pPr>
              <w:spacing w:after="0"/>
              <w:ind w:left="227" w:hanging="227"/>
              <w:rPr>
                <w:rFonts w:cs="Arial"/>
                <w:b/>
                <w:bCs/>
                <w:sz w:val="18"/>
                <w:szCs w:val="18"/>
              </w:rPr>
            </w:pPr>
            <w:r w:rsidRPr="000313F8">
              <w:rPr>
                <w:rFonts w:cs="Arial"/>
                <w:sz w:val="18"/>
                <w:szCs w:val="18"/>
              </w:rPr>
              <w:t>BROADCASTING</w:t>
            </w:r>
          </w:p>
          <w:p w14:paraId="6EFDD540" w14:textId="77777777" w:rsidR="00046FC0" w:rsidRPr="000313F8" w:rsidRDefault="00046FC0" w:rsidP="00DB3C3A">
            <w:pPr>
              <w:spacing w:after="0"/>
              <w:ind w:left="227" w:hanging="227"/>
              <w:rPr>
                <w:rFonts w:cs="Arial"/>
                <w:sz w:val="18"/>
                <w:szCs w:val="18"/>
              </w:rPr>
            </w:pPr>
            <w:r w:rsidRPr="000313F8">
              <w:rPr>
                <w:rFonts w:cs="Arial"/>
                <w:sz w:val="18"/>
                <w:szCs w:val="18"/>
              </w:rPr>
              <w:t>Fixed</w:t>
            </w:r>
          </w:p>
          <w:p w14:paraId="1AEADB3C" w14:textId="77777777" w:rsidR="00046FC0" w:rsidRPr="000313F8" w:rsidRDefault="00046FC0" w:rsidP="00DB3C3A">
            <w:pPr>
              <w:spacing w:after="0"/>
              <w:ind w:left="227" w:hanging="227"/>
              <w:rPr>
                <w:rFonts w:cs="Arial"/>
                <w:sz w:val="18"/>
                <w:szCs w:val="18"/>
              </w:rPr>
            </w:pPr>
            <w:r w:rsidRPr="000313F8">
              <w:rPr>
                <w:rFonts w:cs="Arial"/>
                <w:sz w:val="18"/>
                <w:szCs w:val="18"/>
              </w:rPr>
              <w:t>Mobile</w:t>
            </w:r>
          </w:p>
          <w:p w14:paraId="3EE93E53" w14:textId="77777777" w:rsidR="00046FC0" w:rsidRPr="000313F8" w:rsidRDefault="00046FC0" w:rsidP="00DB3C3A">
            <w:pPr>
              <w:spacing w:after="0"/>
              <w:ind w:left="227" w:hanging="227"/>
              <w:rPr>
                <w:rFonts w:cs="Arial"/>
                <w:sz w:val="18"/>
                <w:szCs w:val="18"/>
              </w:rPr>
            </w:pPr>
          </w:p>
          <w:p w14:paraId="1508D278" w14:textId="77777777" w:rsidR="00046FC0" w:rsidRPr="000313F8" w:rsidRDefault="00046FC0" w:rsidP="00DB3C3A">
            <w:pPr>
              <w:spacing w:after="0"/>
              <w:ind w:left="227" w:hanging="227"/>
              <w:rPr>
                <w:rFonts w:cs="Arial"/>
                <w:sz w:val="18"/>
                <w:szCs w:val="18"/>
              </w:rPr>
            </w:pPr>
          </w:p>
          <w:p w14:paraId="0E7EF0AE" w14:textId="77777777" w:rsidR="00046FC0" w:rsidRPr="000313F8" w:rsidRDefault="00046FC0" w:rsidP="00DB3C3A">
            <w:pPr>
              <w:spacing w:after="0"/>
              <w:ind w:left="227" w:hanging="227"/>
              <w:rPr>
                <w:rFonts w:cs="Arial"/>
                <w:sz w:val="18"/>
                <w:szCs w:val="18"/>
              </w:rPr>
            </w:pPr>
          </w:p>
          <w:p w14:paraId="36E407B2" w14:textId="77777777" w:rsidR="00046FC0" w:rsidRPr="000313F8" w:rsidRDefault="00046FC0" w:rsidP="00DB3C3A">
            <w:pPr>
              <w:spacing w:after="0"/>
              <w:ind w:left="227" w:hanging="227"/>
              <w:rPr>
                <w:rFonts w:cs="Arial"/>
                <w:sz w:val="18"/>
                <w:szCs w:val="18"/>
              </w:rPr>
            </w:pPr>
          </w:p>
          <w:p w14:paraId="65081240" w14:textId="77777777" w:rsidR="00046FC0" w:rsidRPr="000313F8" w:rsidRDefault="00046FC0" w:rsidP="00DB3C3A">
            <w:pPr>
              <w:spacing w:after="0"/>
              <w:ind w:left="227" w:hanging="227"/>
              <w:rPr>
                <w:rFonts w:cs="Arial"/>
                <w:b/>
                <w:bCs/>
                <w:sz w:val="18"/>
                <w:szCs w:val="18"/>
              </w:rPr>
            </w:pPr>
            <w:r w:rsidRPr="000313F8">
              <w:rPr>
                <w:rFonts w:cs="Arial"/>
                <w:sz w:val="18"/>
                <w:szCs w:val="18"/>
              </w:rPr>
              <w:t>149  306  311A  AUS103  AUS104</w:t>
            </w:r>
          </w:p>
        </w:tc>
      </w:tr>
      <w:tr w:rsidR="00046FC0" w:rsidRPr="000313F8" w14:paraId="440CBDCF" w14:textId="77777777" w:rsidTr="00DB3C3A">
        <w:trPr>
          <w:cantSplit/>
          <w:trHeight w:val="276"/>
        </w:trPr>
        <w:tc>
          <w:tcPr>
            <w:tcW w:w="1098" w:type="pct"/>
            <w:vMerge/>
            <w:shd w:val="clear" w:color="auto" w:fill="auto"/>
            <w:vAlign w:val="center"/>
            <w:hideMark/>
          </w:tcPr>
          <w:p w14:paraId="0115AB12" w14:textId="77777777" w:rsidR="00046FC0" w:rsidRPr="000313F8" w:rsidRDefault="00046FC0" w:rsidP="00DB3C3A">
            <w:pPr>
              <w:spacing w:after="0"/>
              <w:rPr>
                <w:rFonts w:cs="Arial"/>
                <w:b/>
                <w:bCs/>
                <w:sz w:val="18"/>
                <w:szCs w:val="18"/>
              </w:rPr>
            </w:pPr>
          </w:p>
        </w:tc>
        <w:tc>
          <w:tcPr>
            <w:tcW w:w="1526" w:type="pct"/>
            <w:vMerge/>
            <w:shd w:val="clear" w:color="auto" w:fill="auto"/>
            <w:vAlign w:val="center"/>
          </w:tcPr>
          <w:p w14:paraId="37507D27" w14:textId="77777777" w:rsidR="00046FC0" w:rsidRPr="000313F8" w:rsidRDefault="00046FC0" w:rsidP="00DB3C3A">
            <w:pPr>
              <w:spacing w:after="0"/>
              <w:rPr>
                <w:rFonts w:cs="Arial"/>
                <w:b/>
                <w:bCs/>
                <w:sz w:val="18"/>
                <w:szCs w:val="18"/>
              </w:rPr>
            </w:pPr>
          </w:p>
        </w:tc>
        <w:tc>
          <w:tcPr>
            <w:tcW w:w="1187" w:type="pct"/>
            <w:vMerge w:val="restart"/>
            <w:shd w:val="clear" w:color="auto" w:fill="auto"/>
            <w:tcMar>
              <w:top w:w="0" w:type="dxa"/>
              <w:left w:w="107" w:type="dxa"/>
              <w:bottom w:w="0" w:type="dxa"/>
              <w:right w:w="107" w:type="dxa"/>
            </w:tcMar>
            <w:hideMark/>
          </w:tcPr>
          <w:p w14:paraId="25DE00B4" w14:textId="77777777" w:rsidR="00046FC0" w:rsidRPr="000313F8" w:rsidRDefault="00046FC0" w:rsidP="00DB3C3A">
            <w:pPr>
              <w:spacing w:after="0"/>
              <w:ind w:left="227" w:hanging="227"/>
              <w:rPr>
                <w:rFonts w:cs="Arial"/>
                <w:sz w:val="18"/>
                <w:szCs w:val="18"/>
              </w:rPr>
            </w:pPr>
            <w:r w:rsidRPr="000313F8">
              <w:rPr>
                <w:rFonts w:cs="Arial"/>
                <w:b/>
                <w:bCs/>
                <w:sz w:val="18"/>
                <w:szCs w:val="18"/>
              </w:rPr>
              <w:t>585 – 610</w:t>
            </w:r>
          </w:p>
          <w:p w14:paraId="50CDC152" w14:textId="77777777" w:rsidR="00046FC0" w:rsidRPr="000313F8" w:rsidRDefault="00046FC0" w:rsidP="00DB3C3A">
            <w:pPr>
              <w:spacing w:after="0"/>
              <w:ind w:left="227" w:hanging="227"/>
              <w:rPr>
                <w:rFonts w:cs="Arial"/>
                <w:sz w:val="18"/>
                <w:szCs w:val="18"/>
              </w:rPr>
            </w:pPr>
            <w:r w:rsidRPr="000313F8">
              <w:rPr>
                <w:rFonts w:cs="Arial"/>
                <w:sz w:val="18"/>
                <w:szCs w:val="18"/>
              </w:rPr>
              <w:t>FIXED</w:t>
            </w:r>
          </w:p>
          <w:p w14:paraId="007E4F05" w14:textId="77777777" w:rsidR="00046FC0" w:rsidRPr="000313F8" w:rsidRDefault="00046FC0" w:rsidP="00DB3C3A">
            <w:pPr>
              <w:spacing w:after="0"/>
              <w:ind w:left="227" w:hanging="227"/>
              <w:rPr>
                <w:rFonts w:cs="Arial"/>
                <w:sz w:val="18"/>
                <w:szCs w:val="18"/>
              </w:rPr>
            </w:pPr>
            <w:r w:rsidRPr="000313F8">
              <w:rPr>
                <w:rFonts w:cs="Arial"/>
                <w:sz w:val="18"/>
                <w:szCs w:val="18"/>
              </w:rPr>
              <w:t>MOBILE  296A</w:t>
            </w:r>
          </w:p>
          <w:p w14:paraId="08AA1955" w14:textId="77777777" w:rsidR="00046FC0" w:rsidRPr="000313F8" w:rsidRDefault="00046FC0" w:rsidP="00DB3C3A">
            <w:pPr>
              <w:spacing w:after="0"/>
              <w:ind w:left="227" w:hanging="227"/>
              <w:rPr>
                <w:rFonts w:cs="Arial"/>
                <w:sz w:val="18"/>
                <w:szCs w:val="18"/>
              </w:rPr>
            </w:pPr>
            <w:r w:rsidRPr="000313F8">
              <w:rPr>
                <w:rFonts w:cs="Arial"/>
                <w:sz w:val="18"/>
                <w:szCs w:val="18"/>
              </w:rPr>
              <w:t>BROADCASTING</w:t>
            </w:r>
          </w:p>
          <w:p w14:paraId="009A934C" w14:textId="77777777" w:rsidR="00046FC0" w:rsidRPr="000313F8" w:rsidRDefault="00046FC0" w:rsidP="00DB3C3A">
            <w:pPr>
              <w:spacing w:after="0"/>
              <w:ind w:left="227" w:hanging="227"/>
              <w:rPr>
                <w:rFonts w:cs="Arial"/>
                <w:sz w:val="18"/>
                <w:szCs w:val="18"/>
              </w:rPr>
            </w:pPr>
            <w:r w:rsidRPr="000313F8">
              <w:rPr>
                <w:rFonts w:cs="Arial"/>
                <w:sz w:val="18"/>
                <w:szCs w:val="18"/>
              </w:rPr>
              <w:t>RADIONAVIGATION</w:t>
            </w:r>
          </w:p>
          <w:p w14:paraId="4511792D" w14:textId="77777777" w:rsidR="00046FC0" w:rsidRPr="000313F8" w:rsidRDefault="00046FC0" w:rsidP="00DB3C3A">
            <w:pPr>
              <w:spacing w:after="0"/>
              <w:ind w:left="227" w:hanging="227"/>
              <w:rPr>
                <w:rFonts w:cs="Arial"/>
                <w:sz w:val="18"/>
                <w:szCs w:val="18"/>
              </w:rPr>
            </w:pPr>
            <w:r w:rsidRPr="000313F8">
              <w:rPr>
                <w:rFonts w:cs="Arial"/>
                <w:sz w:val="18"/>
                <w:szCs w:val="18"/>
              </w:rPr>
              <w:t>149  305  306  307</w:t>
            </w:r>
          </w:p>
        </w:tc>
        <w:tc>
          <w:tcPr>
            <w:tcW w:w="1189" w:type="pct"/>
            <w:vMerge/>
            <w:shd w:val="clear" w:color="auto" w:fill="auto"/>
            <w:vAlign w:val="center"/>
            <w:hideMark/>
          </w:tcPr>
          <w:p w14:paraId="4A629C23" w14:textId="77777777" w:rsidR="00046FC0" w:rsidRPr="000313F8" w:rsidRDefault="00046FC0" w:rsidP="00DB3C3A">
            <w:pPr>
              <w:spacing w:after="0"/>
              <w:rPr>
                <w:rFonts w:cs="Arial"/>
                <w:b/>
                <w:bCs/>
                <w:sz w:val="18"/>
                <w:szCs w:val="18"/>
              </w:rPr>
            </w:pPr>
          </w:p>
        </w:tc>
      </w:tr>
      <w:tr w:rsidR="00046FC0" w:rsidRPr="000313F8" w14:paraId="0121540E" w14:textId="77777777" w:rsidTr="00DB3C3A">
        <w:trPr>
          <w:cantSplit/>
          <w:trHeight w:val="1109"/>
        </w:trPr>
        <w:tc>
          <w:tcPr>
            <w:tcW w:w="1098" w:type="pct"/>
            <w:vMerge/>
            <w:shd w:val="clear" w:color="auto" w:fill="auto"/>
            <w:vAlign w:val="center"/>
            <w:hideMark/>
          </w:tcPr>
          <w:p w14:paraId="37DA98E6" w14:textId="77777777" w:rsidR="00046FC0" w:rsidRPr="000313F8" w:rsidRDefault="00046FC0" w:rsidP="00DB3C3A">
            <w:pPr>
              <w:spacing w:after="0"/>
              <w:rPr>
                <w:rFonts w:cs="Arial"/>
                <w:b/>
                <w:bCs/>
                <w:sz w:val="18"/>
                <w:szCs w:val="18"/>
              </w:rPr>
            </w:pPr>
          </w:p>
        </w:tc>
        <w:tc>
          <w:tcPr>
            <w:tcW w:w="1526" w:type="pct"/>
            <w:vMerge w:val="restart"/>
            <w:shd w:val="clear" w:color="auto" w:fill="auto"/>
            <w:tcMar>
              <w:top w:w="0" w:type="dxa"/>
              <w:left w:w="107" w:type="dxa"/>
              <w:bottom w:w="0" w:type="dxa"/>
              <w:right w:w="107" w:type="dxa"/>
            </w:tcMar>
            <w:hideMark/>
          </w:tcPr>
          <w:p w14:paraId="58287C35" w14:textId="77777777" w:rsidR="00046FC0" w:rsidRPr="000313F8" w:rsidRDefault="00046FC0" w:rsidP="00DB3C3A">
            <w:pPr>
              <w:spacing w:after="0"/>
              <w:ind w:left="227" w:hanging="227"/>
              <w:rPr>
                <w:rFonts w:cs="Arial"/>
                <w:sz w:val="18"/>
                <w:szCs w:val="18"/>
              </w:rPr>
            </w:pPr>
            <w:r w:rsidRPr="000313F8">
              <w:rPr>
                <w:rFonts w:cs="Arial"/>
                <w:b/>
                <w:bCs/>
                <w:sz w:val="18"/>
                <w:szCs w:val="18"/>
              </w:rPr>
              <w:t>608 – 614</w:t>
            </w:r>
          </w:p>
          <w:p w14:paraId="2431D020" w14:textId="77777777" w:rsidR="00046FC0" w:rsidRPr="000313F8" w:rsidRDefault="00046FC0" w:rsidP="00DB3C3A">
            <w:pPr>
              <w:spacing w:after="0"/>
              <w:ind w:left="227" w:hanging="227"/>
              <w:rPr>
                <w:rFonts w:cs="Arial"/>
                <w:sz w:val="18"/>
                <w:szCs w:val="18"/>
              </w:rPr>
            </w:pPr>
            <w:r w:rsidRPr="000313F8">
              <w:rPr>
                <w:rFonts w:cs="Arial"/>
                <w:sz w:val="18"/>
                <w:szCs w:val="18"/>
              </w:rPr>
              <w:t>RADIO ASTRONOMY</w:t>
            </w:r>
          </w:p>
          <w:p w14:paraId="260A316B" w14:textId="77777777" w:rsidR="00046FC0" w:rsidRPr="000313F8" w:rsidRDefault="00046FC0" w:rsidP="00DB3C3A">
            <w:pPr>
              <w:spacing w:after="0"/>
              <w:ind w:left="227" w:right="-107" w:hanging="227"/>
              <w:rPr>
                <w:rFonts w:cs="Arial"/>
                <w:b/>
                <w:bCs/>
                <w:sz w:val="18"/>
                <w:szCs w:val="18"/>
              </w:rPr>
            </w:pPr>
            <w:r w:rsidRPr="000313F8">
              <w:rPr>
                <w:rFonts w:cs="Arial"/>
                <w:sz w:val="18"/>
                <w:szCs w:val="18"/>
              </w:rPr>
              <w:t>Mobile–satellite except aeronautical mobile–satellite (Earth-to-space)</w:t>
            </w:r>
          </w:p>
        </w:tc>
        <w:tc>
          <w:tcPr>
            <w:tcW w:w="1187" w:type="pct"/>
            <w:vMerge/>
            <w:shd w:val="clear" w:color="auto" w:fill="auto"/>
            <w:vAlign w:val="center"/>
            <w:hideMark/>
          </w:tcPr>
          <w:p w14:paraId="7016AEE2" w14:textId="77777777" w:rsidR="00046FC0" w:rsidRPr="000313F8" w:rsidRDefault="00046FC0" w:rsidP="00DB3C3A">
            <w:pPr>
              <w:spacing w:after="0"/>
              <w:rPr>
                <w:rFonts w:cs="Arial"/>
                <w:sz w:val="18"/>
                <w:szCs w:val="18"/>
              </w:rPr>
            </w:pPr>
          </w:p>
        </w:tc>
        <w:tc>
          <w:tcPr>
            <w:tcW w:w="1189" w:type="pct"/>
            <w:vMerge/>
            <w:shd w:val="clear" w:color="auto" w:fill="auto"/>
            <w:vAlign w:val="center"/>
            <w:hideMark/>
          </w:tcPr>
          <w:p w14:paraId="31400C36" w14:textId="77777777" w:rsidR="00046FC0" w:rsidRPr="000313F8" w:rsidRDefault="00046FC0" w:rsidP="00DB3C3A">
            <w:pPr>
              <w:spacing w:after="0"/>
              <w:rPr>
                <w:rFonts w:cs="Arial"/>
                <w:b/>
                <w:bCs/>
                <w:sz w:val="18"/>
                <w:szCs w:val="18"/>
              </w:rPr>
            </w:pPr>
          </w:p>
        </w:tc>
      </w:tr>
      <w:tr w:rsidR="00046FC0" w:rsidRPr="000313F8" w14:paraId="5B625770" w14:textId="77777777" w:rsidTr="00DB3C3A">
        <w:trPr>
          <w:cantSplit/>
          <w:trHeight w:val="240"/>
        </w:trPr>
        <w:tc>
          <w:tcPr>
            <w:tcW w:w="1098" w:type="pct"/>
            <w:vMerge/>
            <w:shd w:val="clear" w:color="auto" w:fill="auto"/>
            <w:vAlign w:val="center"/>
            <w:hideMark/>
          </w:tcPr>
          <w:p w14:paraId="76A247CB" w14:textId="77777777" w:rsidR="00046FC0" w:rsidRPr="000313F8" w:rsidRDefault="00046FC0" w:rsidP="00DB3C3A">
            <w:pPr>
              <w:spacing w:after="0"/>
              <w:rPr>
                <w:rFonts w:cs="Arial"/>
                <w:b/>
                <w:bCs/>
                <w:sz w:val="18"/>
                <w:szCs w:val="18"/>
              </w:rPr>
            </w:pPr>
          </w:p>
        </w:tc>
        <w:tc>
          <w:tcPr>
            <w:tcW w:w="1526" w:type="pct"/>
            <w:vMerge/>
            <w:shd w:val="clear" w:color="auto" w:fill="auto"/>
            <w:vAlign w:val="center"/>
            <w:hideMark/>
          </w:tcPr>
          <w:p w14:paraId="4AA9251E" w14:textId="77777777" w:rsidR="00046FC0" w:rsidRPr="000313F8" w:rsidRDefault="00046FC0" w:rsidP="00DB3C3A">
            <w:pPr>
              <w:spacing w:after="0"/>
              <w:rPr>
                <w:rFonts w:cs="Arial"/>
                <w:b/>
                <w:bCs/>
                <w:sz w:val="18"/>
                <w:szCs w:val="18"/>
              </w:rPr>
            </w:pPr>
          </w:p>
        </w:tc>
        <w:tc>
          <w:tcPr>
            <w:tcW w:w="1187" w:type="pct"/>
            <w:vMerge w:val="restart"/>
            <w:shd w:val="clear" w:color="auto" w:fill="auto"/>
            <w:tcMar>
              <w:top w:w="0" w:type="dxa"/>
              <w:left w:w="107" w:type="dxa"/>
              <w:bottom w:w="0" w:type="dxa"/>
              <w:right w:w="107" w:type="dxa"/>
            </w:tcMar>
          </w:tcPr>
          <w:p w14:paraId="5601C457" w14:textId="77777777" w:rsidR="00046FC0" w:rsidRPr="000313F8" w:rsidRDefault="00046FC0" w:rsidP="00DB3C3A">
            <w:pPr>
              <w:spacing w:after="0"/>
              <w:ind w:left="227" w:hanging="227"/>
              <w:rPr>
                <w:rFonts w:cs="Arial"/>
                <w:sz w:val="18"/>
                <w:szCs w:val="18"/>
              </w:rPr>
            </w:pPr>
            <w:r w:rsidRPr="000313F8">
              <w:rPr>
                <w:rFonts w:cs="Arial"/>
                <w:b/>
                <w:bCs/>
                <w:sz w:val="18"/>
                <w:szCs w:val="18"/>
              </w:rPr>
              <w:t>610 – 890</w:t>
            </w:r>
          </w:p>
          <w:p w14:paraId="1CD632A5" w14:textId="77777777" w:rsidR="00046FC0" w:rsidRPr="000313F8" w:rsidRDefault="00046FC0" w:rsidP="00DB3C3A">
            <w:pPr>
              <w:spacing w:after="0"/>
              <w:ind w:left="227" w:hanging="227"/>
              <w:rPr>
                <w:rFonts w:cs="Arial"/>
                <w:sz w:val="18"/>
                <w:szCs w:val="18"/>
              </w:rPr>
            </w:pPr>
            <w:r w:rsidRPr="000313F8">
              <w:rPr>
                <w:rFonts w:cs="Arial"/>
                <w:sz w:val="18"/>
                <w:szCs w:val="18"/>
              </w:rPr>
              <w:t>FIXED</w:t>
            </w:r>
          </w:p>
          <w:p w14:paraId="6061B324" w14:textId="77777777" w:rsidR="00046FC0" w:rsidRPr="000313F8" w:rsidRDefault="00046FC0" w:rsidP="00DB3C3A">
            <w:pPr>
              <w:spacing w:after="0"/>
              <w:ind w:left="227" w:hanging="227"/>
              <w:rPr>
                <w:rFonts w:cs="Arial"/>
                <w:sz w:val="18"/>
                <w:szCs w:val="18"/>
              </w:rPr>
            </w:pPr>
            <w:r w:rsidRPr="000313F8">
              <w:rPr>
                <w:rFonts w:cs="Arial"/>
                <w:sz w:val="18"/>
                <w:szCs w:val="18"/>
              </w:rPr>
              <w:t>MOBILE  296A  313A  317A</w:t>
            </w:r>
          </w:p>
          <w:p w14:paraId="1F2245B2" w14:textId="77777777" w:rsidR="00046FC0" w:rsidRPr="000313F8" w:rsidRDefault="00046FC0" w:rsidP="00DB3C3A">
            <w:pPr>
              <w:spacing w:after="0"/>
              <w:ind w:left="227" w:hanging="227"/>
              <w:rPr>
                <w:rFonts w:cs="Arial"/>
                <w:sz w:val="18"/>
                <w:szCs w:val="18"/>
              </w:rPr>
            </w:pPr>
            <w:r w:rsidRPr="000313F8">
              <w:rPr>
                <w:rFonts w:cs="Arial"/>
                <w:sz w:val="18"/>
                <w:szCs w:val="18"/>
              </w:rPr>
              <w:t>BROADCASTING</w:t>
            </w:r>
          </w:p>
          <w:p w14:paraId="00D87A6F" w14:textId="77777777" w:rsidR="00046FC0" w:rsidRPr="000313F8" w:rsidRDefault="00046FC0" w:rsidP="00DB3C3A">
            <w:pPr>
              <w:spacing w:after="0"/>
              <w:ind w:left="227" w:hanging="227"/>
              <w:rPr>
                <w:rFonts w:cs="Arial"/>
                <w:sz w:val="18"/>
                <w:szCs w:val="18"/>
              </w:rPr>
            </w:pPr>
          </w:p>
          <w:p w14:paraId="0BDDB3B8" w14:textId="77777777" w:rsidR="00046FC0" w:rsidRPr="000313F8" w:rsidRDefault="00046FC0" w:rsidP="00DB3C3A">
            <w:pPr>
              <w:spacing w:after="0"/>
              <w:ind w:left="227" w:hanging="227"/>
              <w:rPr>
                <w:rFonts w:cs="Arial"/>
                <w:sz w:val="18"/>
                <w:szCs w:val="18"/>
              </w:rPr>
            </w:pPr>
          </w:p>
          <w:p w14:paraId="53444095" w14:textId="77777777" w:rsidR="00046FC0" w:rsidRPr="000313F8" w:rsidRDefault="00046FC0" w:rsidP="00DB3C3A">
            <w:pPr>
              <w:spacing w:after="0"/>
              <w:ind w:left="227" w:hanging="227"/>
              <w:rPr>
                <w:rFonts w:cs="Arial"/>
                <w:sz w:val="18"/>
                <w:szCs w:val="18"/>
              </w:rPr>
            </w:pPr>
          </w:p>
          <w:p w14:paraId="7C6E75F2" w14:textId="77777777" w:rsidR="00046FC0" w:rsidRPr="000313F8" w:rsidRDefault="00046FC0" w:rsidP="00DB3C3A">
            <w:pPr>
              <w:spacing w:after="0"/>
              <w:ind w:left="227" w:hanging="227"/>
              <w:rPr>
                <w:rFonts w:cs="Arial"/>
                <w:sz w:val="18"/>
                <w:szCs w:val="18"/>
              </w:rPr>
            </w:pPr>
          </w:p>
          <w:p w14:paraId="34AFB6F5" w14:textId="77777777" w:rsidR="00046FC0" w:rsidRPr="000313F8" w:rsidRDefault="00046FC0" w:rsidP="00DB3C3A">
            <w:pPr>
              <w:spacing w:after="0"/>
              <w:ind w:left="227" w:hanging="227"/>
              <w:rPr>
                <w:rFonts w:cs="Arial"/>
                <w:sz w:val="18"/>
                <w:szCs w:val="18"/>
              </w:rPr>
            </w:pPr>
          </w:p>
          <w:p w14:paraId="540A9A29" w14:textId="77777777" w:rsidR="00046FC0" w:rsidRPr="000313F8" w:rsidRDefault="00046FC0" w:rsidP="00DB3C3A">
            <w:pPr>
              <w:spacing w:after="0"/>
              <w:ind w:left="227" w:hanging="227"/>
              <w:rPr>
                <w:rFonts w:cs="Arial"/>
                <w:sz w:val="18"/>
                <w:szCs w:val="18"/>
              </w:rPr>
            </w:pPr>
          </w:p>
          <w:p w14:paraId="35C909D6" w14:textId="77777777" w:rsidR="00046FC0" w:rsidRPr="000313F8" w:rsidRDefault="00046FC0" w:rsidP="00DB3C3A">
            <w:pPr>
              <w:spacing w:after="0"/>
              <w:ind w:left="227" w:hanging="227"/>
              <w:rPr>
                <w:rFonts w:cs="Arial"/>
                <w:sz w:val="18"/>
                <w:szCs w:val="18"/>
              </w:rPr>
            </w:pPr>
          </w:p>
          <w:p w14:paraId="7C8B22A4" w14:textId="77777777" w:rsidR="00046FC0" w:rsidRPr="000313F8" w:rsidRDefault="00046FC0" w:rsidP="00DB3C3A">
            <w:pPr>
              <w:spacing w:after="0"/>
              <w:ind w:left="227" w:hanging="227"/>
              <w:rPr>
                <w:rFonts w:cs="Arial"/>
                <w:sz w:val="18"/>
                <w:szCs w:val="18"/>
              </w:rPr>
            </w:pPr>
          </w:p>
          <w:p w14:paraId="00BCEDDC" w14:textId="77777777" w:rsidR="00046FC0" w:rsidRPr="000313F8" w:rsidRDefault="00046FC0" w:rsidP="00DB3C3A">
            <w:pPr>
              <w:spacing w:after="0"/>
              <w:ind w:left="227" w:hanging="227"/>
              <w:rPr>
                <w:rFonts w:cs="Arial"/>
                <w:sz w:val="18"/>
                <w:szCs w:val="18"/>
              </w:rPr>
            </w:pPr>
          </w:p>
          <w:p w14:paraId="6AFDC332" w14:textId="77777777" w:rsidR="00046FC0" w:rsidRPr="000313F8" w:rsidRDefault="00046FC0" w:rsidP="00DB3C3A">
            <w:pPr>
              <w:spacing w:after="0"/>
              <w:ind w:left="227" w:hanging="227"/>
              <w:rPr>
                <w:rFonts w:cs="Arial"/>
                <w:sz w:val="18"/>
                <w:szCs w:val="18"/>
              </w:rPr>
            </w:pPr>
          </w:p>
          <w:p w14:paraId="243650CD" w14:textId="77777777" w:rsidR="00046FC0" w:rsidRPr="000313F8" w:rsidRDefault="00046FC0" w:rsidP="00DB3C3A">
            <w:pPr>
              <w:spacing w:after="0"/>
              <w:ind w:left="227" w:hanging="227"/>
              <w:rPr>
                <w:rFonts w:cs="Arial"/>
                <w:sz w:val="18"/>
                <w:szCs w:val="18"/>
              </w:rPr>
            </w:pPr>
          </w:p>
          <w:p w14:paraId="52C67C3F" w14:textId="77777777" w:rsidR="00046FC0" w:rsidRPr="000313F8" w:rsidRDefault="00046FC0" w:rsidP="00DB3C3A">
            <w:pPr>
              <w:spacing w:after="0"/>
              <w:ind w:left="227" w:hanging="227"/>
              <w:rPr>
                <w:rFonts w:cs="Arial"/>
                <w:sz w:val="18"/>
                <w:szCs w:val="18"/>
              </w:rPr>
            </w:pPr>
          </w:p>
          <w:p w14:paraId="23996A6F" w14:textId="77777777" w:rsidR="00046FC0" w:rsidRPr="000313F8" w:rsidRDefault="00046FC0" w:rsidP="00DB3C3A">
            <w:pPr>
              <w:spacing w:after="0"/>
              <w:ind w:left="227" w:hanging="227"/>
              <w:rPr>
                <w:rFonts w:cs="Arial"/>
                <w:sz w:val="18"/>
                <w:szCs w:val="18"/>
              </w:rPr>
            </w:pPr>
          </w:p>
          <w:p w14:paraId="4F94ED3B" w14:textId="77777777" w:rsidR="00046FC0" w:rsidRPr="000313F8" w:rsidRDefault="00046FC0" w:rsidP="00DB3C3A">
            <w:pPr>
              <w:spacing w:after="0"/>
              <w:ind w:left="227" w:hanging="227"/>
              <w:rPr>
                <w:rFonts w:cs="Arial"/>
                <w:sz w:val="18"/>
                <w:szCs w:val="18"/>
              </w:rPr>
            </w:pPr>
          </w:p>
          <w:p w14:paraId="1F5DC029" w14:textId="77777777" w:rsidR="00046FC0" w:rsidRPr="000313F8" w:rsidRDefault="00046FC0" w:rsidP="00DB3C3A">
            <w:pPr>
              <w:spacing w:after="0"/>
              <w:ind w:left="227" w:hanging="227"/>
              <w:rPr>
                <w:rFonts w:cs="Arial"/>
                <w:sz w:val="18"/>
                <w:szCs w:val="18"/>
              </w:rPr>
            </w:pPr>
          </w:p>
          <w:p w14:paraId="6AA1A28F" w14:textId="77777777" w:rsidR="00046FC0" w:rsidRPr="000313F8" w:rsidRDefault="00046FC0" w:rsidP="00DB3C3A">
            <w:pPr>
              <w:spacing w:after="0"/>
              <w:ind w:left="227" w:hanging="227"/>
              <w:rPr>
                <w:rFonts w:cs="Arial"/>
                <w:sz w:val="18"/>
                <w:szCs w:val="18"/>
              </w:rPr>
            </w:pPr>
          </w:p>
          <w:p w14:paraId="55E63498" w14:textId="77777777" w:rsidR="00046FC0" w:rsidRPr="000313F8" w:rsidRDefault="00046FC0" w:rsidP="00DB3C3A">
            <w:pPr>
              <w:spacing w:after="0"/>
              <w:ind w:left="227" w:hanging="227"/>
              <w:rPr>
                <w:rFonts w:cs="Arial"/>
                <w:sz w:val="18"/>
                <w:szCs w:val="18"/>
              </w:rPr>
            </w:pPr>
          </w:p>
          <w:p w14:paraId="7B7C9397" w14:textId="77777777" w:rsidR="00046FC0" w:rsidRPr="000313F8" w:rsidRDefault="00046FC0" w:rsidP="00DB3C3A">
            <w:pPr>
              <w:spacing w:after="0"/>
              <w:ind w:left="227" w:right="-107" w:hanging="227"/>
              <w:rPr>
                <w:rFonts w:cs="Arial"/>
                <w:b/>
                <w:bCs/>
                <w:sz w:val="18"/>
                <w:szCs w:val="18"/>
              </w:rPr>
            </w:pPr>
            <w:r w:rsidRPr="000313F8">
              <w:rPr>
                <w:rFonts w:cs="Arial"/>
                <w:sz w:val="18"/>
                <w:szCs w:val="18"/>
              </w:rPr>
              <w:t>149  305  306  307  311A  320</w:t>
            </w:r>
          </w:p>
        </w:tc>
        <w:tc>
          <w:tcPr>
            <w:tcW w:w="1189" w:type="pct"/>
            <w:vMerge/>
            <w:shd w:val="clear" w:color="auto" w:fill="auto"/>
            <w:vAlign w:val="center"/>
            <w:hideMark/>
          </w:tcPr>
          <w:p w14:paraId="75370907" w14:textId="77777777" w:rsidR="00046FC0" w:rsidRPr="000313F8" w:rsidRDefault="00046FC0" w:rsidP="00DB3C3A">
            <w:pPr>
              <w:spacing w:after="0"/>
              <w:rPr>
                <w:rFonts w:cs="Arial"/>
                <w:b/>
                <w:bCs/>
                <w:sz w:val="18"/>
                <w:szCs w:val="18"/>
              </w:rPr>
            </w:pPr>
          </w:p>
        </w:tc>
      </w:tr>
      <w:tr w:rsidR="00046FC0" w:rsidRPr="000313F8" w14:paraId="44BF20BD" w14:textId="77777777" w:rsidTr="00DB3C3A">
        <w:trPr>
          <w:cantSplit/>
          <w:trHeight w:val="468"/>
        </w:trPr>
        <w:tc>
          <w:tcPr>
            <w:tcW w:w="1098" w:type="pct"/>
            <w:vMerge/>
            <w:shd w:val="clear" w:color="auto" w:fill="auto"/>
            <w:vAlign w:val="center"/>
            <w:hideMark/>
          </w:tcPr>
          <w:p w14:paraId="66C1544D" w14:textId="77777777" w:rsidR="00046FC0" w:rsidRPr="000313F8" w:rsidRDefault="00046FC0" w:rsidP="00DB3C3A">
            <w:pPr>
              <w:spacing w:after="0"/>
              <w:rPr>
                <w:rFonts w:cs="Arial"/>
                <w:b/>
                <w:bCs/>
                <w:sz w:val="18"/>
                <w:szCs w:val="18"/>
              </w:rPr>
            </w:pPr>
          </w:p>
        </w:tc>
        <w:tc>
          <w:tcPr>
            <w:tcW w:w="1526" w:type="pct"/>
            <w:vMerge w:val="restart"/>
            <w:shd w:val="clear" w:color="auto" w:fill="auto"/>
            <w:tcMar>
              <w:top w:w="0" w:type="dxa"/>
              <w:left w:w="107" w:type="dxa"/>
              <w:bottom w:w="0" w:type="dxa"/>
              <w:right w:w="107" w:type="dxa"/>
            </w:tcMar>
            <w:hideMark/>
          </w:tcPr>
          <w:p w14:paraId="21CC0E67" w14:textId="77777777" w:rsidR="00046FC0" w:rsidRPr="000313F8" w:rsidRDefault="00046FC0" w:rsidP="00DB3C3A">
            <w:pPr>
              <w:spacing w:after="0"/>
              <w:ind w:left="227" w:hanging="227"/>
              <w:rPr>
                <w:rFonts w:cs="Arial"/>
                <w:sz w:val="18"/>
                <w:szCs w:val="18"/>
              </w:rPr>
            </w:pPr>
            <w:r w:rsidRPr="000313F8">
              <w:rPr>
                <w:rFonts w:cs="Arial"/>
                <w:b/>
                <w:bCs/>
                <w:sz w:val="18"/>
                <w:szCs w:val="18"/>
              </w:rPr>
              <w:t>614 – 698</w:t>
            </w:r>
          </w:p>
          <w:p w14:paraId="2C5145A2" w14:textId="77777777" w:rsidR="00046FC0" w:rsidRPr="000313F8" w:rsidRDefault="00046FC0" w:rsidP="00DB3C3A">
            <w:pPr>
              <w:spacing w:after="0"/>
              <w:ind w:left="227" w:hanging="227"/>
              <w:rPr>
                <w:rFonts w:cs="Arial"/>
                <w:b/>
                <w:bCs/>
                <w:sz w:val="18"/>
                <w:szCs w:val="18"/>
              </w:rPr>
            </w:pPr>
            <w:r w:rsidRPr="000313F8">
              <w:rPr>
                <w:rFonts w:cs="Arial"/>
                <w:sz w:val="18"/>
                <w:szCs w:val="18"/>
              </w:rPr>
              <w:t>BROADCASTING</w:t>
            </w:r>
          </w:p>
          <w:p w14:paraId="44E924E1" w14:textId="77777777" w:rsidR="00046FC0" w:rsidRPr="000313F8" w:rsidRDefault="00046FC0" w:rsidP="00DB3C3A">
            <w:pPr>
              <w:spacing w:after="0"/>
              <w:ind w:left="227" w:hanging="227"/>
              <w:rPr>
                <w:rFonts w:cs="Arial"/>
                <w:sz w:val="18"/>
                <w:szCs w:val="18"/>
              </w:rPr>
            </w:pPr>
            <w:r w:rsidRPr="000313F8">
              <w:rPr>
                <w:rFonts w:cs="Arial"/>
                <w:sz w:val="18"/>
                <w:szCs w:val="18"/>
              </w:rPr>
              <w:t>Fixed</w:t>
            </w:r>
          </w:p>
          <w:p w14:paraId="3F389B16" w14:textId="77777777" w:rsidR="00046FC0" w:rsidRPr="000313F8" w:rsidRDefault="00046FC0" w:rsidP="00DB3C3A">
            <w:pPr>
              <w:spacing w:after="0"/>
              <w:ind w:left="227" w:hanging="227"/>
              <w:rPr>
                <w:rFonts w:cs="Arial"/>
                <w:sz w:val="18"/>
                <w:szCs w:val="18"/>
              </w:rPr>
            </w:pPr>
            <w:r w:rsidRPr="000313F8">
              <w:rPr>
                <w:rFonts w:cs="Arial"/>
                <w:sz w:val="18"/>
                <w:szCs w:val="18"/>
              </w:rPr>
              <w:t>Mobile</w:t>
            </w:r>
          </w:p>
          <w:p w14:paraId="79A2828A" w14:textId="77777777" w:rsidR="00046FC0" w:rsidRPr="000313F8" w:rsidRDefault="00046FC0" w:rsidP="00DB3C3A">
            <w:pPr>
              <w:spacing w:after="0"/>
              <w:ind w:left="227" w:hanging="227"/>
              <w:rPr>
                <w:rFonts w:cs="Arial"/>
                <w:sz w:val="18"/>
                <w:szCs w:val="18"/>
              </w:rPr>
            </w:pPr>
            <w:r w:rsidRPr="000313F8">
              <w:rPr>
                <w:rFonts w:cs="Arial"/>
                <w:sz w:val="18"/>
                <w:szCs w:val="18"/>
              </w:rPr>
              <w:t>293  308  308A  309  311A</w:t>
            </w:r>
          </w:p>
        </w:tc>
        <w:tc>
          <w:tcPr>
            <w:tcW w:w="1187" w:type="pct"/>
            <w:vMerge/>
            <w:shd w:val="clear" w:color="auto" w:fill="auto"/>
            <w:vAlign w:val="center"/>
            <w:hideMark/>
          </w:tcPr>
          <w:p w14:paraId="6A76E962" w14:textId="77777777" w:rsidR="00046FC0" w:rsidRPr="000313F8" w:rsidRDefault="00046FC0" w:rsidP="00DB3C3A">
            <w:pPr>
              <w:spacing w:after="0"/>
              <w:rPr>
                <w:rFonts w:cs="Arial"/>
                <w:b/>
                <w:bCs/>
                <w:sz w:val="18"/>
                <w:szCs w:val="18"/>
              </w:rPr>
            </w:pPr>
          </w:p>
        </w:tc>
        <w:tc>
          <w:tcPr>
            <w:tcW w:w="1189" w:type="pct"/>
            <w:vMerge/>
            <w:shd w:val="clear" w:color="auto" w:fill="auto"/>
            <w:vAlign w:val="center"/>
            <w:hideMark/>
          </w:tcPr>
          <w:p w14:paraId="6EE43B2D" w14:textId="77777777" w:rsidR="00046FC0" w:rsidRPr="000313F8" w:rsidRDefault="00046FC0" w:rsidP="00DB3C3A">
            <w:pPr>
              <w:spacing w:after="0"/>
              <w:rPr>
                <w:rFonts w:cs="Arial"/>
                <w:b/>
                <w:bCs/>
                <w:sz w:val="18"/>
                <w:szCs w:val="18"/>
              </w:rPr>
            </w:pPr>
          </w:p>
        </w:tc>
      </w:tr>
      <w:tr w:rsidR="00046FC0" w:rsidRPr="000313F8" w14:paraId="321019E2" w14:textId="77777777" w:rsidTr="00DB3C3A">
        <w:trPr>
          <w:cantSplit/>
          <w:trHeight w:val="240"/>
        </w:trPr>
        <w:tc>
          <w:tcPr>
            <w:tcW w:w="1098" w:type="pct"/>
            <w:vMerge w:val="restart"/>
            <w:shd w:val="clear" w:color="auto" w:fill="auto"/>
            <w:tcMar>
              <w:top w:w="0" w:type="dxa"/>
              <w:left w:w="107" w:type="dxa"/>
              <w:bottom w:w="0" w:type="dxa"/>
              <w:right w:w="107" w:type="dxa"/>
            </w:tcMar>
          </w:tcPr>
          <w:p w14:paraId="7357C202" w14:textId="77777777" w:rsidR="00046FC0" w:rsidRPr="000313F8" w:rsidRDefault="00046FC0" w:rsidP="00DB3C3A">
            <w:pPr>
              <w:spacing w:after="0"/>
              <w:ind w:left="227" w:hanging="227"/>
              <w:rPr>
                <w:rFonts w:cs="Arial"/>
                <w:b/>
                <w:bCs/>
                <w:sz w:val="18"/>
                <w:szCs w:val="18"/>
              </w:rPr>
            </w:pPr>
            <w:r w:rsidRPr="000313F8">
              <w:rPr>
                <w:rFonts w:cs="Arial"/>
                <w:b/>
                <w:bCs/>
                <w:sz w:val="18"/>
                <w:szCs w:val="18"/>
              </w:rPr>
              <w:t>694 – 790</w:t>
            </w:r>
          </w:p>
          <w:p w14:paraId="08BAAE48" w14:textId="77777777" w:rsidR="00046FC0" w:rsidRPr="000313F8" w:rsidRDefault="00046FC0" w:rsidP="00DB3C3A">
            <w:pPr>
              <w:spacing w:after="0"/>
              <w:ind w:left="227" w:hanging="227"/>
              <w:rPr>
                <w:rFonts w:cs="Arial"/>
                <w:sz w:val="18"/>
                <w:szCs w:val="18"/>
              </w:rPr>
            </w:pPr>
            <w:r w:rsidRPr="000313F8">
              <w:rPr>
                <w:rFonts w:cs="Arial"/>
                <w:sz w:val="18"/>
                <w:szCs w:val="18"/>
              </w:rPr>
              <w:t>MOBILE except aeronautical mobile  312A  317A</w:t>
            </w:r>
          </w:p>
          <w:p w14:paraId="7CBCB4D4" w14:textId="77777777" w:rsidR="00046FC0" w:rsidRPr="000313F8" w:rsidRDefault="00046FC0" w:rsidP="00DB3C3A">
            <w:pPr>
              <w:spacing w:after="0"/>
              <w:ind w:left="227" w:hanging="227"/>
              <w:rPr>
                <w:rFonts w:cs="Arial"/>
                <w:sz w:val="18"/>
                <w:szCs w:val="18"/>
              </w:rPr>
            </w:pPr>
            <w:r w:rsidRPr="000313F8">
              <w:rPr>
                <w:rFonts w:cs="Arial"/>
                <w:sz w:val="18"/>
                <w:szCs w:val="18"/>
              </w:rPr>
              <w:t>BROADCASTING</w:t>
            </w:r>
          </w:p>
          <w:p w14:paraId="6E721D74" w14:textId="77777777" w:rsidR="00046FC0" w:rsidRPr="000313F8" w:rsidRDefault="00046FC0" w:rsidP="00DB3C3A">
            <w:pPr>
              <w:spacing w:after="0"/>
              <w:ind w:left="227" w:hanging="227"/>
              <w:rPr>
                <w:rFonts w:cs="Arial"/>
                <w:sz w:val="18"/>
                <w:szCs w:val="18"/>
              </w:rPr>
            </w:pPr>
            <w:r w:rsidRPr="000313F8">
              <w:rPr>
                <w:rFonts w:cs="Arial"/>
                <w:sz w:val="18"/>
                <w:szCs w:val="18"/>
              </w:rPr>
              <w:t>300  311A  312</w:t>
            </w:r>
          </w:p>
        </w:tc>
        <w:tc>
          <w:tcPr>
            <w:tcW w:w="1526" w:type="pct"/>
            <w:vMerge/>
            <w:shd w:val="clear" w:color="auto" w:fill="auto"/>
            <w:vAlign w:val="center"/>
            <w:hideMark/>
          </w:tcPr>
          <w:p w14:paraId="2AE0CF79" w14:textId="77777777" w:rsidR="00046FC0" w:rsidRPr="000313F8" w:rsidRDefault="00046FC0" w:rsidP="00DB3C3A">
            <w:pPr>
              <w:spacing w:after="0"/>
              <w:rPr>
                <w:rFonts w:cs="Arial"/>
                <w:sz w:val="18"/>
                <w:szCs w:val="18"/>
              </w:rPr>
            </w:pPr>
          </w:p>
        </w:tc>
        <w:tc>
          <w:tcPr>
            <w:tcW w:w="1187" w:type="pct"/>
            <w:vMerge/>
            <w:shd w:val="clear" w:color="auto" w:fill="auto"/>
            <w:vAlign w:val="center"/>
            <w:hideMark/>
          </w:tcPr>
          <w:p w14:paraId="0D8410D4" w14:textId="77777777" w:rsidR="00046FC0" w:rsidRPr="000313F8" w:rsidRDefault="00046FC0" w:rsidP="00DB3C3A">
            <w:pPr>
              <w:spacing w:after="0"/>
              <w:rPr>
                <w:rFonts w:cs="Arial"/>
                <w:b/>
                <w:bCs/>
                <w:sz w:val="18"/>
                <w:szCs w:val="18"/>
              </w:rPr>
            </w:pPr>
          </w:p>
        </w:tc>
        <w:tc>
          <w:tcPr>
            <w:tcW w:w="1189" w:type="pct"/>
            <w:vMerge w:val="restart"/>
            <w:shd w:val="clear" w:color="auto" w:fill="auto"/>
            <w:tcMar>
              <w:top w:w="0" w:type="dxa"/>
              <w:left w:w="107" w:type="dxa"/>
              <w:bottom w:w="0" w:type="dxa"/>
              <w:right w:w="107" w:type="dxa"/>
            </w:tcMar>
          </w:tcPr>
          <w:p w14:paraId="1E864D84" w14:textId="77777777" w:rsidR="00046FC0" w:rsidRPr="000313F8" w:rsidRDefault="00046FC0" w:rsidP="00DB3C3A">
            <w:pPr>
              <w:spacing w:after="0"/>
              <w:ind w:left="227" w:hanging="227"/>
              <w:rPr>
                <w:rFonts w:cs="Arial"/>
                <w:b/>
                <w:bCs/>
                <w:sz w:val="18"/>
                <w:szCs w:val="18"/>
              </w:rPr>
            </w:pPr>
            <w:r>
              <w:rPr>
                <w:rFonts w:cs="Arial"/>
                <w:b/>
                <w:bCs/>
                <w:sz w:val="18"/>
                <w:szCs w:val="18"/>
              </w:rPr>
              <w:t xml:space="preserve">694 – </w:t>
            </w:r>
            <w:r w:rsidRPr="00046FC0">
              <w:rPr>
                <w:rFonts w:cs="Arial"/>
                <w:b/>
                <w:bCs/>
                <w:sz w:val="18"/>
                <w:szCs w:val="18"/>
              </w:rPr>
              <w:t>8</w:t>
            </w:r>
            <w:r w:rsidRPr="00046FC0">
              <w:rPr>
                <w:rFonts w:cs="Arial"/>
                <w:b/>
                <w:bCs/>
                <w:color w:val="C00000"/>
                <w:sz w:val="18"/>
                <w:szCs w:val="18"/>
              </w:rPr>
              <w:t>50</w:t>
            </w:r>
            <w:r w:rsidRPr="00046FC0">
              <w:rPr>
                <w:rFonts w:cs="Arial"/>
                <w:b/>
                <w:bCs/>
                <w:strike/>
                <w:color w:val="C00000"/>
                <w:sz w:val="18"/>
                <w:szCs w:val="18"/>
              </w:rPr>
              <w:t>20</w:t>
            </w:r>
          </w:p>
          <w:p w14:paraId="215872C8" w14:textId="77777777" w:rsidR="00046FC0" w:rsidRDefault="00046FC0" w:rsidP="00DB3C3A">
            <w:pPr>
              <w:spacing w:after="0"/>
              <w:ind w:left="227" w:hanging="227"/>
              <w:rPr>
                <w:rFonts w:cs="Arial"/>
                <w:sz w:val="18"/>
                <w:szCs w:val="18"/>
              </w:rPr>
            </w:pPr>
            <w:r>
              <w:rPr>
                <w:rFonts w:cs="Arial"/>
                <w:sz w:val="18"/>
                <w:szCs w:val="18"/>
              </w:rPr>
              <w:t>BROADCASTING</w:t>
            </w:r>
          </w:p>
          <w:p w14:paraId="5938347A" w14:textId="77777777" w:rsidR="00046FC0" w:rsidRPr="00046FC0" w:rsidRDefault="00046FC0" w:rsidP="00DB3C3A">
            <w:pPr>
              <w:spacing w:after="0"/>
              <w:ind w:left="227" w:hanging="227"/>
              <w:rPr>
                <w:rFonts w:cs="Arial"/>
                <w:color w:val="C00000"/>
                <w:sz w:val="18"/>
                <w:szCs w:val="18"/>
              </w:rPr>
            </w:pPr>
            <w:proofErr w:type="spellStart"/>
            <w:r w:rsidRPr="00046FC0">
              <w:rPr>
                <w:rFonts w:cs="Arial"/>
                <w:strike/>
                <w:color w:val="C00000"/>
                <w:sz w:val="18"/>
                <w:szCs w:val="18"/>
              </w:rPr>
              <w:t>Fixed</w:t>
            </w:r>
            <w:r w:rsidRPr="00046FC0">
              <w:rPr>
                <w:rFonts w:cs="Arial"/>
                <w:color w:val="C00000"/>
                <w:sz w:val="18"/>
                <w:szCs w:val="18"/>
              </w:rPr>
              <w:t>FIXED</w:t>
            </w:r>
            <w:proofErr w:type="spellEnd"/>
          </w:p>
          <w:p w14:paraId="5C4213A5" w14:textId="77777777" w:rsidR="00046FC0" w:rsidRPr="000313F8" w:rsidRDefault="00046FC0" w:rsidP="00DB3C3A">
            <w:pPr>
              <w:spacing w:after="0"/>
              <w:ind w:left="227" w:hanging="227"/>
              <w:rPr>
                <w:rFonts w:cs="Arial"/>
                <w:sz w:val="18"/>
                <w:szCs w:val="18"/>
              </w:rPr>
            </w:pPr>
            <w:proofErr w:type="spellStart"/>
            <w:r w:rsidRPr="00046FC0">
              <w:rPr>
                <w:rFonts w:cs="Arial"/>
                <w:strike/>
                <w:color w:val="C00000"/>
                <w:sz w:val="18"/>
                <w:szCs w:val="18"/>
              </w:rPr>
              <w:t>Mobile</w:t>
            </w:r>
            <w:r w:rsidRPr="00046FC0">
              <w:rPr>
                <w:rFonts w:cs="Arial"/>
                <w:color w:val="C00000"/>
                <w:sz w:val="18"/>
                <w:szCs w:val="18"/>
              </w:rPr>
              <w:t>MOBILE</w:t>
            </w:r>
            <w:proofErr w:type="spellEnd"/>
            <w:r w:rsidRPr="000313F8">
              <w:rPr>
                <w:rFonts w:cs="Arial"/>
                <w:sz w:val="18"/>
                <w:szCs w:val="18"/>
              </w:rPr>
              <w:t xml:space="preserve">  313A</w:t>
            </w:r>
            <w:r>
              <w:rPr>
                <w:rFonts w:cs="Arial"/>
                <w:sz w:val="18"/>
                <w:szCs w:val="18"/>
              </w:rPr>
              <w:t xml:space="preserve">  </w:t>
            </w:r>
            <w:r w:rsidRPr="00046FC0">
              <w:rPr>
                <w:rFonts w:cs="Arial"/>
                <w:color w:val="C00000"/>
                <w:sz w:val="18"/>
                <w:szCs w:val="18"/>
              </w:rPr>
              <w:t>317A</w:t>
            </w:r>
          </w:p>
          <w:p w14:paraId="6DF88D49" w14:textId="77777777" w:rsidR="00046FC0" w:rsidRPr="000313F8" w:rsidRDefault="00046FC0" w:rsidP="00DB3C3A">
            <w:pPr>
              <w:spacing w:after="0"/>
              <w:ind w:left="227" w:hanging="227"/>
              <w:rPr>
                <w:rFonts w:cs="Arial"/>
                <w:sz w:val="18"/>
                <w:szCs w:val="18"/>
              </w:rPr>
            </w:pPr>
          </w:p>
          <w:p w14:paraId="73511C62" w14:textId="77777777" w:rsidR="00046FC0" w:rsidRPr="000313F8" w:rsidRDefault="00046FC0" w:rsidP="00DB3C3A">
            <w:pPr>
              <w:spacing w:after="0"/>
              <w:ind w:left="227" w:hanging="227"/>
              <w:rPr>
                <w:rFonts w:cs="Arial"/>
                <w:sz w:val="18"/>
                <w:szCs w:val="18"/>
              </w:rPr>
            </w:pPr>
          </w:p>
          <w:p w14:paraId="09BAC6FA" w14:textId="77777777" w:rsidR="00046FC0" w:rsidRPr="000313F8" w:rsidRDefault="00046FC0" w:rsidP="00DB3C3A">
            <w:pPr>
              <w:spacing w:after="0"/>
              <w:ind w:left="227" w:hanging="227"/>
              <w:rPr>
                <w:rFonts w:cs="Arial"/>
                <w:sz w:val="18"/>
                <w:szCs w:val="18"/>
              </w:rPr>
            </w:pPr>
          </w:p>
          <w:p w14:paraId="5D702389" w14:textId="77777777" w:rsidR="00046FC0" w:rsidRPr="000313F8" w:rsidRDefault="00046FC0" w:rsidP="00DB3C3A">
            <w:pPr>
              <w:spacing w:after="0"/>
              <w:ind w:left="227" w:hanging="227"/>
              <w:rPr>
                <w:rFonts w:cs="Arial"/>
                <w:sz w:val="18"/>
                <w:szCs w:val="18"/>
              </w:rPr>
            </w:pPr>
            <w:r w:rsidRPr="000313F8">
              <w:rPr>
                <w:rFonts w:cs="Arial"/>
                <w:sz w:val="18"/>
                <w:szCs w:val="18"/>
              </w:rPr>
              <w:t>311A  320  AUS103</w:t>
            </w:r>
          </w:p>
        </w:tc>
      </w:tr>
      <w:tr w:rsidR="00046FC0" w:rsidRPr="000313F8" w14:paraId="23AD1F33" w14:textId="77777777" w:rsidTr="00DB3C3A">
        <w:trPr>
          <w:cantSplit/>
          <w:trHeight w:val="580"/>
        </w:trPr>
        <w:tc>
          <w:tcPr>
            <w:tcW w:w="1098" w:type="pct"/>
            <w:vMerge/>
            <w:shd w:val="clear" w:color="auto" w:fill="auto"/>
            <w:vAlign w:val="center"/>
            <w:hideMark/>
          </w:tcPr>
          <w:p w14:paraId="2EBDC826" w14:textId="77777777" w:rsidR="00046FC0" w:rsidRPr="000313F8" w:rsidRDefault="00046FC0" w:rsidP="00DB3C3A">
            <w:pPr>
              <w:spacing w:after="0"/>
              <w:rPr>
                <w:rFonts w:cs="Arial"/>
                <w:sz w:val="18"/>
                <w:szCs w:val="18"/>
              </w:rPr>
            </w:pPr>
          </w:p>
        </w:tc>
        <w:tc>
          <w:tcPr>
            <w:tcW w:w="1526" w:type="pct"/>
            <w:vMerge w:val="restart"/>
            <w:shd w:val="clear" w:color="auto" w:fill="auto"/>
            <w:tcMar>
              <w:top w:w="0" w:type="dxa"/>
              <w:left w:w="107" w:type="dxa"/>
              <w:bottom w:w="0" w:type="dxa"/>
              <w:right w:w="107" w:type="dxa"/>
            </w:tcMar>
            <w:hideMark/>
          </w:tcPr>
          <w:p w14:paraId="41B41380" w14:textId="77777777" w:rsidR="00046FC0" w:rsidRPr="000313F8" w:rsidRDefault="00046FC0" w:rsidP="00DB3C3A">
            <w:pPr>
              <w:spacing w:after="0"/>
              <w:ind w:left="227" w:hanging="227"/>
              <w:rPr>
                <w:rFonts w:cs="Arial"/>
                <w:b/>
                <w:bCs/>
                <w:sz w:val="18"/>
                <w:szCs w:val="18"/>
              </w:rPr>
            </w:pPr>
            <w:r w:rsidRPr="000313F8">
              <w:rPr>
                <w:rFonts w:cs="Arial"/>
                <w:b/>
                <w:bCs/>
                <w:sz w:val="18"/>
                <w:szCs w:val="18"/>
              </w:rPr>
              <w:t>698 – 806</w:t>
            </w:r>
          </w:p>
          <w:p w14:paraId="345CEA18" w14:textId="77777777" w:rsidR="00046FC0" w:rsidRPr="000313F8" w:rsidRDefault="00046FC0" w:rsidP="00DB3C3A">
            <w:pPr>
              <w:spacing w:after="0"/>
              <w:ind w:left="227" w:hanging="227"/>
              <w:rPr>
                <w:rFonts w:cs="Arial"/>
                <w:sz w:val="18"/>
                <w:szCs w:val="18"/>
              </w:rPr>
            </w:pPr>
            <w:r w:rsidRPr="000313F8">
              <w:rPr>
                <w:rFonts w:cs="Arial"/>
                <w:sz w:val="18"/>
                <w:szCs w:val="18"/>
              </w:rPr>
              <w:t>MOBILE  317A</w:t>
            </w:r>
          </w:p>
          <w:p w14:paraId="6B8D7754" w14:textId="77777777" w:rsidR="00046FC0" w:rsidRPr="000313F8" w:rsidRDefault="00046FC0" w:rsidP="00DB3C3A">
            <w:pPr>
              <w:spacing w:after="0"/>
              <w:ind w:left="227" w:hanging="227"/>
              <w:rPr>
                <w:rFonts w:cs="Arial"/>
                <w:b/>
                <w:bCs/>
                <w:sz w:val="18"/>
                <w:szCs w:val="18"/>
              </w:rPr>
            </w:pPr>
            <w:r w:rsidRPr="000313F8">
              <w:rPr>
                <w:rFonts w:cs="Arial"/>
                <w:sz w:val="18"/>
                <w:szCs w:val="18"/>
              </w:rPr>
              <w:t>BROADCASTING</w:t>
            </w:r>
          </w:p>
          <w:p w14:paraId="2D27BED6" w14:textId="77777777" w:rsidR="00046FC0" w:rsidRPr="000313F8" w:rsidRDefault="00046FC0" w:rsidP="00DB3C3A">
            <w:pPr>
              <w:spacing w:after="0"/>
              <w:ind w:left="227" w:hanging="227"/>
              <w:rPr>
                <w:rFonts w:cs="Arial"/>
                <w:sz w:val="18"/>
                <w:szCs w:val="18"/>
              </w:rPr>
            </w:pPr>
            <w:r w:rsidRPr="000313F8">
              <w:rPr>
                <w:rFonts w:cs="Arial"/>
                <w:sz w:val="18"/>
                <w:szCs w:val="18"/>
              </w:rPr>
              <w:t>Fixed</w:t>
            </w:r>
          </w:p>
          <w:p w14:paraId="68D0F22E" w14:textId="77777777" w:rsidR="00046FC0" w:rsidRPr="000313F8" w:rsidRDefault="00046FC0" w:rsidP="00DB3C3A">
            <w:pPr>
              <w:spacing w:after="0"/>
              <w:ind w:left="227" w:hanging="227"/>
              <w:rPr>
                <w:rFonts w:cs="Arial"/>
                <w:sz w:val="18"/>
                <w:szCs w:val="18"/>
              </w:rPr>
            </w:pPr>
          </w:p>
          <w:p w14:paraId="32E7B1C4" w14:textId="77777777" w:rsidR="00046FC0" w:rsidRPr="000313F8" w:rsidRDefault="00046FC0" w:rsidP="00DB3C3A">
            <w:pPr>
              <w:spacing w:after="0"/>
              <w:ind w:left="227" w:hanging="227"/>
              <w:rPr>
                <w:rFonts w:cs="Arial"/>
                <w:sz w:val="18"/>
                <w:szCs w:val="18"/>
              </w:rPr>
            </w:pPr>
          </w:p>
          <w:p w14:paraId="7D9B8AFC" w14:textId="77777777" w:rsidR="00046FC0" w:rsidRPr="000313F8" w:rsidRDefault="00046FC0" w:rsidP="00DB3C3A">
            <w:pPr>
              <w:spacing w:after="0"/>
              <w:ind w:left="227" w:hanging="227"/>
              <w:rPr>
                <w:rFonts w:cs="Arial"/>
                <w:b/>
                <w:bCs/>
                <w:sz w:val="18"/>
                <w:szCs w:val="18"/>
              </w:rPr>
            </w:pPr>
            <w:r w:rsidRPr="000313F8">
              <w:rPr>
                <w:rFonts w:cs="Arial"/>
                <w:sz w:val="18"/>
                <w:szCs w:val="18"/>
              </w:rPr>
              <w:t>293  309  311A</w:t>
            </w:r>
          </w:p>
        </w:tc>
        <w:tc>
          <w:tcPr>
            <w:tcW w:w="1187" w:type="pct"/>
            <w:vMerge/>
            <w:shd w:val="clear" w:color="auto" w:fill="auto"/>
            <w:vAlign w:val="center"/>
            <w:hideMark/>
          </w:tcPr>
          <w:p w14:paraId="532FDD22" w14:textId="77777777" w:rsidR="00046FC0" w:rsidRPr="000313F8" w:rsidRDefault="00046FC0" w:rsidP="00DB3C3A">
            <w:pPr>
              <w:spacing w:after="0"/>
              <w:rPr>
                <w:rFonts w:cs="Arial"/>
                <w:b/>
                <w:bCs/>
                <w:sz w:val="18"/>
                <w:szCs w:val="18"/>
              </w:rPr>
            </w:pPr>
          </w:p>
        </w:tc>
        <w:tc>
          <w:tcPr>
            <w:tcW w:w="1189" w:type="pct"/>
            <w:vMerge/>
            <w:shd w:val="clear" w:color="auto" w:fill="auto"/>
            <w:vAlign w:val="center"/>
            <w:hideMark/>
          </w:tcPr>
          <w:p w14:paraId="6E43374B" w14:textId="77777777" w:rsidR="00046FC0" w:rsidRPr="000313F8" w:rsidRDefault="00046FC0" w:rsidP="00DB3C3A">
            <w:pPr>
              <w:spacing w:after="0"/>
              <w:rPr>
                <w:rFonts w:cs="Arial"/>
                <w:sz w:val="18"/>
                <w:szCs w:val="18"/>
              </w:rPr>
            </w:pPr>
          </w:p>
        </w:tc>
      </w:tr>
      <w:tr w:rsidR="00046FC0" w:rsidRPr="000313F8" w14:paraId="16300F1F" w14:textId="77777777" w:rsidTr="00DB3C3A">
        <w:trPr>
          <w:cantSplit/>
          <w:trHeight w:val="344"/>
        </w:trPr>
        <w:tc>
          <w:tcPr>
            <w:tcW w:w="1098" w:type="pct"/>
            <w:vMerge w:val="restart"/>
            <w:shd w:val="clear" w:color="auto" w:fill="auto"/>
            <w:tcMar>
              <w:top w:w="0" w:type="dxa"/>
              <w:left w:w="107" w:type="dxa"/>
              <w:bottom w:w="0" w:type="dxa"/>
              <w:right w:w="107" w:type="dxa"/>
            </w:tcMar>
          </w:tcPr>
          <w:p w14:paraId="4392B12F" w14:textId="77777777" w:rsidR="00046FC0" w:rsidRPr="000313F8" w:rsidRDefault="00046FC0" w:rsidP="00DB3C3A">
            <w:pPr>
              <w:spacing w:after="0"/>
              <w:ind w:left="227" w:hanging="227"/>
              <w:rPr>
                <w:rFonts w:cs="Arial"/>
                <w:b/>
                <w:bCs/>
                <w:sz w:val="18"/>
                <w:szCs w:val="18"/>
              </w:rPr>
            </w:pPr>
            <w:r w:rsidRPr="000313F8">
              <w:rPr>
                <w:rFonts w:cs="Arial"/>
                <w:b/>
                <w:bCs/>
                <w:sz w:val="18"/>
                <w:szCs w:val="18"/>
              </w:rPr>
              <w:t>790 – 862</w:t>
            </w:r>
          </w:p>
          <w:p w14:paraId="6DA420C1" w14:textId="77777777" w:rsidR="00046FC0" w:rsidRPr="000313F8" w:rsidRDefault="00046FC0" w:rsidP="00DB3C3A">
            <w:pPr>
              <w:spacing w:after="0"/>
              <w:ind w:left="227" w:hanging="227"/>
              <w:rPr>
                <w:rFonts w:cs="Arial"/>
                <w:sz w:val="18"/>
                <w:szCs w:val="18"/>
              </w:rPr>
            </w:pPr>
            <w:r w:rsidRPr="000313F8">
              <w:rPr>
                <w:rFonts w:cs="Arial"/>
                <w:sz w:val="18"/>
                <w:szCs w:val="18"/>
              </w:rPr>
              <w:t>FIXED</w:t>
            </w:r>
          </w:p>
          <w:p w14:paraId="4C896D4B" w14:textId="77777777" w:rsidR="00046FC0" w:rsidRPr="000313F8" w:rsidRDefault="00046FC0" w:rsidP="00DB3C3A">
            <w:pPr>
              <w:spacing w:after="0"/>
              <w:ind w:left="227" w:hanging="227"/>
              <w:rPr>
                <w:rFonts w:cs="Arial"/>
                <w:sz w:val="18"/>
                <w:szCs w:val="18"/>
              </w:rPr>
            </w:pPr>
            <w:r w:rsidRPr="000313F8">
              <w:rPr>
                <w:rFonts w:cs="Arial"/>
                <w:sz w:val="18"/>
                <w:szCs w:val="18"/>
              </w:rPr>
              <w:t>MOBILE except aeronautical mobile  316B  317A</w:t>
            </w:r>
          </w:p>
          <w:p w14:paraId="4F32C6B6" w14:textId="77777777" w:rsidR="00046FC0" w:rsidRPr="000313F8" w:rsidRDefault="00046FC0" w:rsidP="00DB3C3A">
            <w:pPr>
              <w:spacing w:after="0"/>
              <w:ind w:left="227" w:hanging="227"/>
              <w:rPr>
                <w:rFonts w:cs="Arial"/>
                <w:sz w:val="18"/>
                <w:szCs w:val="18"/>
              </w:rPr>
            </w:pPr>
            <w:r w:rsidRPr="000313F8">
              <w:rPr>
                <w:rFonts w:cs="Arial"/>
                <w:sz w:val="18"/>
                <w:szCs w:val="18"/>
              </w:rPr>
              <w:t>BROADCASTING</w:t>
            </w:r>
          </w:p>
          <w:p w14:paraId="69FE269B" w14:textId="77777777" w:rsidR="00046FC0" w:rsidRPr="000313F8" w:rsidRDefault="00046FC0" w:rsidP="00DB3C3A">
            <w:pPr>
              <w:spacing w:after="0"/>
              <w:ind w:left="227" w:hanging="227"/>
              <w:rPr>
                <w:rFonts w:cs="Arial"/>
                <w:sz w:val="18"/>
                <w:szCs w:val="18"/>
              </w:rPr>
            </w:pPr>
            <w:r w:rsidRPr="000313F8">
              <w:rPr>
                <w:rFonts w:cs="Arial"/>
                <w:sz w:val="18"/>
                <w:szCs w:val="18"/>
              </w:rPr>
              <w:t>312  319</w:t>
            </w:r>
          </w:p>
        </w:tc>
        <w:tc>
          <w:tcPr>
            <w:tcW w:w="1526" w:type="pct"/>
            <w:vMerge/>
            <w:shd w:val="clear" w:color="auto" w:fill="auto"/>
            <w:vAlign w:val="center"/>
            <w:hideMark/>
          </w:tcPr>
          <w:p w14:paraId="561BF720" w14:textId="77777777" w:rsidR="00046FC0" w:rsidRPr="000313F8" w:rsidRDefault="00046FC0" w:rsidP="00DB3C3A">
            <w:pPr>
              <w:spacing w:after="0"/>
              <w:rPr>
                <w:rFonts w:cs="Arial"/>
                <w:b/>
                <w:bCs/>
                <w:sz w:val="18"/>
                <w:szCs w:val="18"/>
              </w:rPr>
            </w:pPr>
          </w:p>
        </w:tc>
        <w:tc>
          <w:tcPr>
            <w:tcW w:w="1187" w:type="pct"/>
            <w:vMerge/>
            <w:shd w:val="clear" w:color="auto" w:fill="auto"/>
            <w:vAlign w:val="center"/>
            <w:hideMark/>
          </w:tcPr>
          <w:p w14:paraId="09E47945" w14:textId="77777777" w:rsidR="00046FC0" w:rsidRPr="000313F8" w:rsidRDefault="00046FC0" w:rsidP="00DB3C3A">
            <w:pPr>
              <w:spacing w:after="0"/>
              <w:rPr>
                <w:rFonts w:cs="Arial"/>
                <w:b/>
                <w:bCs/>
                <w:sz w:val="18"/>
                <w:szCs w:val="18"/>
              </w:rPr>
            </w:pPr>
          </w:p>
        </w:tc>
        <w:tc>
          <w:tcPr>
            <w:tcW w:w="1189" w:type="pct"/>
            <w:vMerge/>
            <w:shd w:val="clear" w:color="auto" w:fill="auto"/>
            <w:vAlign w:val="center"/>
            <w:hideMark/>
          </w:tcPr>
          <w:p w14:paraId="1D0CFC19" w14:textId="77777777" w:rsidR="00046FC0" w:rsidRPr="000313F8" w:rsidRDefault="00046FC0" w:rsidP="00DB3C3A">
            <w:pPr>
              <w:spacing w:after="0"/>
              <w:rPr>
                <w:rFonts w:cs="Arial"/>
                <w:sz w:val="18"/>
                <w:szCs w:val="18"/>
              </w:rPr>
            </w:pPr>
          </w:p>
        </w:tc>
      </w:tr>
      <w:tr w:rsidR="00046FC0" w:rsidRPr="000313F8" w14:paraId="52E940A7" w14:textId="77777777" w:rsidTr="00DB3C3A">
        <w:trPr>
          <w:cantSplit/>
          <w:trHeight w:val="343"/>
        </w:trPr>
        <w:tc>
          <w:tcPr>
            <w:tcW w:w="1098" w:type="pct"/>
            <w:vMerge/>
            <w:shd w:val="clear" w:color="auto" w:fill="auto"/>
            <w:tcMar>
              <w:top w:w="0" w:type="dxa"/>
              <w:left w:w="107" w:type="dxa"/>
              <w:bottom w:w="0" w:type="dxa"/>
              <w:right w:w="107" w:type="dxa"/>
            </w:tcMar>
          </w:tcPr>
          <w:p w14:paraId="4CC0C90A" w14:textId="77777777" w:rsidR="00046FC0" w:rsidRPr="000313F8" w:rsidRDefault="00046FC0" w:rsidP="00DB3C3A">
            <w:pPr>
              <w:spacing w:after="0"/>
              <w:ind w:left="227" w:hanging="227"/>
              <w:rPr>
                <w:rFonts w:cs="Arial"/>
                <w:b/>
                <w:bCs/>
                <w:sz w:val="18"/>
                <w:szCs w:val="18"/>
              </w:rPr>
            </w:pPr>
          </w:p>
        </w:tc>
        <w:tc>
          <w:tcPr>
            <w:tcW w:w="1526" w:type="pct"/>
            <w:vMerge/>
            <w:shd w:val="clear" w:color="auto" w:fill="auto"/>
            <w:vAlign w:val="center"/>
          </w:tcPr>
          <w:p w14:paraId="1AED67FE" w14:textId="77777777" w:rsidR="00046FC0" w:rsidRPr="000313F8" w:rsidRDefault="00046FC0" w:rsidP="00DB3C3A">
            <w:pPr>
              <w:spacing w:after="0"/>
              <w:rPr>
                <w:rFonts w:cs="Arial"/>
                <w:b/>
                <w:bCs/>
                <w:sz w:val="18"/>
                <w:szCs w:val="18"/>
              </w:rPr>
            </w:pPr>
          </w:p>
        </w:tc>
        <w:tc>
          <w:tcPr>
            <w:tcW w:w="1187" w:type="pct"/>
            <w:vMerge/>
            <w:shd w:val="clear" w:color="auto" w:fill="auto"/>
            <w:vAlign w:val="center"/>
          </w:tcPr>
          <w:p w14:paraId="20BB2935" w14:textId="77777777" w:rsidR="00046FC0" w:rsidRPr="000313F8" w:rsidRDefault="00046FC0" w:rsidP="00DB3C3A">
            <w:pPr>
              <w:spacing w:after="0"/>
              <w:rPr>
                <w:rFonts w:cs="Arial"/>
                <w:b/>
                <w:bCs/>
                <w:sz w:val="18"/>
                <w:szCs w:val="18"/>
              </w:rPr>
            </w:pPr>
          </w:p>
        </w:tc>
        <w:tc>
          <w:tcPr>
            <w:tcW w:w="1189" w:type="pct"/>
            <w:vMerge w:val="restart"/>
            <w:shd w:val="clear" w:color="auto" w:fill="auto"/>
            <w:vAlign w:val="center"/>
          </w:tcPr>
          <w:p w14:paraId="472896FE" w14:textId="77777777" w:rsidR="00046FC0" w:rsidRPr="00046FC0" w:rsidRDefault="00046FC0" w:rsidP="00DB3C3A">
            <w:pPr>
              <w:spacing w:after="0"/>
              <w:ind w:left="227" w:hanging="227"/>
              <w:rPr>
                <w:rFonts w:cs="Arial"/>
                <w:b/>
                <w:bCs/>
                <w:strike/>
                <w:color w:val="C00000"/>
                <w:sz w:val="18"/>
                <w:szCs w:val="18"/>
              </w:rPr>
            </w:pPr>
            <w:r w:rsidRPr="00046FC0">
              <w:rPr>
                <w:rFonts w:cs="Arial"/>
                <w:b/>
                <w:bCs/>
                <w:strike/>
                <w:color w:val="C00000"/>
                <w:sz w:val="18"/>
                <w:szCs w:val="18"/>
              </w:rPr>
              <w:t>820 – 850</w:t>
            </w:r>
          </w:p>
          <w:p w14:paraId="7B3565B6" w14:textId="77777777" w:rsidR="00046FC0" w:rsidRPr="00046FC0" w:rsidRDefault="00046FC0" w:rsidP="00DB3C3A">
            <w:pPr>
              <w:spacing w:after="0"/>
              <w:ind w:left="227" w:hanging="227"/>
              <w:rPr>
                <w:rFonts w:cs="Arial"/>
                <w:strike/>
                <w:color w:val="C00000"/>
                <w:sz w:val="18"/>
                <w:szCs w:val="18"/>
              </w:rPr>
            </w:pPr>
            <w:r w:rsidRPr="00046FC0">
              <w:rPr>
                <w:rFonts w:cs="Arial"/>
                <w:strike/>
                <w:color w:val="C00000"/>
                <w:sz w:val="18"/>
                <w:szCs w:val="18"/>
              </w:rPr>
              <w:t>FIXED</w:t>
            </w:r>
          </w:p>
          <w:p w14:paraId="4A8BF658" w14:textId="77777777" w:rsidR="00046FC0" w:rsidRPr="00046FC0" w:rsidRDefault="00046FC0" w:rsidP="00DB3C3A">
            <w:pPr>
              <w:spacing w:after="0"/>
              <w:ind w:left="227" w:hanging="227"/>
              <w:rPr>
                <w:rFonts w:cs="Arial"/>
                <w:strike/>
                <w:color w:val="C00000"/>
                <w:sz w:val="18"/>
                <w:szCs w:val="18"/>
              </w:rPr>
            </w:pPr>
            <w:r w:rsidRPr="00046FC0">
              <w:rPr>
                <w:rFonts w:cs="Arial"/>
                <w:strike/>
                <w:color w:val="C00000"/>
                <w:sz w:val="18"/>
                <w:szCs w:val="18"/>
              </w:rPr>
              <w:t>MOBILE  317A</w:t>
            </w:r>
          </w:p>
          <w:p w14:paraId="7676784A" w14:textId="77777777" w:rsidR="00046FC0" w:rsidRPr="00046FC0" w:rsidRDefault="00046FC0" w:rsidP="00DB3C3A">
            <w:pPr>
              <w:spacing w:after="0"/>
              <w:ind w:left="227" w:hanging="227"/>
              <w:rPr>
                <w:rFonts w:cs="Arial"/>
                <w:strike/>
                <w:color w:val="C00000"/>
                <w:sz w:val="18"/>
                <w:szCs w:val="18"/>
              </w:rPr>
            </w:pPr>
          </w:p>
          <w:p w14:paraId="39F1A56C" w14:textId="77777777" w:rsidR="00046FC0" w:rsidRPr="00046FC0" w:rsidRDefault="00046FC0" w:rsidP="00DB3C3A">
            <w:pPr>
              <w:spacing w:after="0"/>
              <w:ind w:left="227" w:hanging="227"/>
              <w:rPr>
                <w:rFonts w:cs="Arial"/>
                <w:strike/>
                <w:color w:val="C00000"/>
                <w:sz w:val="18"/>
                <w:szCs w:val="18"/>
              </w:rPr>
            </w:pPr>
          </w:p>
          <w:p w14:paraId="0663E180" w14:textId="77777777" w:rsidR="00046FC0" w:rsidRPr="00046FC0" w:rsidRDefault="00046FC0" w:rsidP="00DB3C3A">
            <w:pPr>
              <w:spacing w:after="0"/>
              <w:ind w:left="227" w:hanging="227"/>
              <w:rPr>
                <w:rFonts w:cs="Arial"/>
                <w:strike/>
                <w:color w:val="C00000"/>
                <w:sz w:val="18"/>
                <w:szCs w:val="18"/>
              </w:rPr>
            </w:pPr>
          </w:p>
          <w:p w14:paraId="40CEA6FE" w14:textId="77777777" w:rsidR="00046FC0" w:rsidRPr="000313F8" w:rsidRDefault="00046FC0" w:rsidP="00DB3C3A">
            <w:pPr>
              <w:spacing w:after="0"/>
              <w:rPr>
                <w:rFonts w:cs="Arial"/>
                <w:sz w:val="18"/>
                <w:szCs w:val="18"/>
              </w:rPr>
            </w:pPr>
            <w:r w:rsidRPr="00046FC0">
              <w:rPr>
                <w:rFonts w:cs="Arial"/>
                <w:strike/>
                <w:color w:val="C00000"/>
                <w:sz w:val="18"/>
                <w:szCs w:val="18"/>
              </w:rPr>
              <w:t>320  AUS103</w:t>
            </w:r>
          </w:p>
        </w:tc>
      </w:tr>
      <w:tr w:rsidR="00046FC0" w:rsidRPr="000313F8" w14:paraId="4E9F60F4" w14:textId="77777777" w:rsidTr="00DB3C3A">
        <w:trPr>
          <w:cantSplit/>
          <w:trHeight w:val="966"/>
        </w:trPr>
        <w:tc>
          <w:tcPr>
            <w:tcW w:w="1098" w:type="pct"/>
            <w:vMerge/>
            <w:shd w:val="clear" w:color="auto" w:fill="auto"/>
            <w:vAlign w:val="center"/>
            <w:hideMark/>
          </w:tcPr>
          <w:p w14:paraId="59623376" w14:textId="77777777" w:rsidR="00046FC0" w:rsidRPr="000313F8" w:rsidRDefault="00046FC0" w:rsidP="00DB3C3A">
            <w:pPr>
              <w:spacing w:after="0"/>
              <w:rPr>
                <w:rFonts w:cs="Arial"/>
                <w:sz w:val="18"/>
                <w:szCs w:val="18"/>
              </w:rPr>
            </w:pPr>
          </w:p>
        </w:tc>
        <w:tc>
          <w:tcPr>
            <w:tcW w:w="1526" w:type="pct"/>
            <w:vMerge w:val="restart"/>
            <w:shd w:val="clear" w:color="auto" w:fill="auto"/>
            <w:tcMar>
              <w:top w:w="0" w:type="dxa"/>
              <w:left w:w="107" w:type="dxa"/>
              <w:bottom w:w="0" w:type="dxa"/>
              <w:right w:w="107" w:type="dxa"/>
            </w:tcMar>
          </w:tcPr>
          <w:p w14:paraId="275D2C2E" w14:textId="77777777" w:rsidR="00046FC0" w:rsidRPr="000313F8" w:rsidRDefault="00046FC0" w:rsidP="00DB3C3A">
            <w:pPr>
              <w:spacing w:after="0"/>
              <w:ind w:left="227" w:hanging="227"/>
              <w:rPr>
                <w:rFonts w:cs="Arial"/>
                <w:b/>
                <w:bCs/>
                <w:sz w:val="18"/>
                <w:szCs w:val="18"/>
              </w:rPr>
            </w:pPr>
            <w:r w:rsidRPr="000313F8">
              <w:rPr>
                <w:rFonts w:cs="Arial"/>
                <w:b/>
                <w:bCs/>
                <w:sz w:val="18"/>
                <w:szCs w:val="18"/>
              </w:rPr>
              <w:t>806 – 890</w:t>
            </w:r>
          </w:p>
          <w:p w14:paraId="3C74B348" w14:textId="77777777" w:rsidR="00046FC0" w:rsidRPr="000313F8" w:rsidRDefault="00046FC0" w:rsidP="00DB3C3A">
            <w:pPr>
              <w:spacing w:after="0"/>
              <w:ind w:left="227" w:hanging="227"/>
              <w:rPr>
                <w:rFonts w:cs="Arial"/>
                <w:sz w:val="18"/>
                <w:szCs w:val="18"/>
              </w:rPr>
            </w:pPr>
            <w:r w:rsidRPr="000313F8">
              <w:rPr>
                <w:rFonts w:cs="Arial"/>
                <w:sz w:val="18"/>
                <w:szCs w:val="18"/>
              </w:rPr>
              <w:t>FIXED</w:t>
            </w:r>
          </w:p>
          <w:p w14:paraId="640EB170" w14:textId="77777777" w:rsidR="00046FC0" w:rsidRPr="000313F8" w:rsidRDefault="00046FC0" w:rsidP="00DB3C3A">
            <w:pPr>
              <w:spacing w:after="0"/>
              <w:ind w:left="227" w:hanging="227"/>
              <w:rPr>
                <w:rFonts w:cs="Arial"/>
                <w:sz w:val="18"/>
                <w:szCs w:val="18"/>
              </w:rPr>
            </w:pPr>
            <w:r w:rsidRPr="000313F8">
              <w:rPr>
                <w:rFonts w:cs="Arial"/>
                <w:sz w:val="18"/>
                <w:szCs w:val="18"/>
              </w:rPr>
              <w:t>MOBILE  317A</w:t>
            </w:r>
          </w:p>
          <w:p w14:paraId="22B9FF30" w14:textId="77777777" w:rsidR="00046FC0" w:rsidRPr="000313F8" w:rsidRDefault="00046FC0" w:rsidP="00DB3C3A">
            <w:pPr>
              <w:spacing w:after="0"/>
              <w:ind w:left="227" w:hanging="227"/>
              <w:rPr>
                <w:rFonts w:cs="Arial"/>
                <w:sz w:val="18"/>
                <w:szCs w:val="18"/>
              </w:rPr>
            </w:pPr>
            <w:r w:rsidRPr="000313F8">
              <w:rPr>
                <w:rFonts w:cs="Arial"/>
                <w:sz w:val="18"/>
                <w:szCs w:val="18"/>
              </w:rPr>
              <w:t>BROADCASTING</w:t>
            </w:r>
          </w:p>
          <w:p w14:paraId="547FA4AF" w14:textId="77777777" w:rsidR="00046FC0" w:rsidRPr="000313F8" w:rsidRDefault="00046FC0" w:rsidP="00DB3C3A">
            <w:pPr>
              <w:spacing w:after="0"/>
              <w:ind w:left="227" w:hanging="227"/>
              <w:rPr>
                <w:rFonts w:cs="Arial"/>
                <w:sz w:val="18"/>
                <w:szCs w:val="18"/>
              </w:rPr>
            </w:pPr>
          </w:p>
          <w:p w14:paraId="3FDDBC05" w14:textId="77777777" w:rsidR="00046FC0" w:rsidRPr="000313F8" w:rsidRDefault="00046FC0" w:rsidP="00DB3C3A">
            <w:pPr>
              <w:spacing w:after="0"/>
              <w:ind w:left="227" w:hanging="227"/>
              <w:rPr>
                <w:rFonts w:cs="Arial"/>
                <w:sz w:val="18"/>
                <w:szCs w:val="18"/>
              </w:rPr>
            </w:pPr>
          </w:p>
          <w:p w14:paraId="3882DB9E" w14:textId="77777777" w:rsidR="00046FC0" w:rsidRPr="000313F8" w:rsidRDefault="00046FC0" w:rsidP="00DB3C3A">
            <w:pPr>
              <w:spacing w:after="0"/>
              <w:ind w:left="227" w:hanging="227"/>
              <w:rPr>
                <w:rFonts w:cs="Arial"/>
                <w:sz w:val="18"/>
                <w:szCs w:val="18"/>
              </w:rPr>
            </w:pPr>
          </w:p>
          <w:p w14:paraId="0F300109" w14:textId="77777777" w:rsidR="00046FC0" w:rsidRPr="000313F8" w:rsidRDefault="00046FC0" w:rsidP="00DB3C3A">
            <w:pPr>
              <w:spacing w:after="0"/>
              <w:ind w:left="227" w:hanging="227"/>
              <w:rPr>
                <w:rFonts w:cs="Arial"/>
                <w:sz w:val="18"/>
                <w:szCs w:val="18"/>
              </w:rPr>
            </w:pPr>
          </w:p>
          <w:p w14:paraId="3FA4786E" w14:textId="77777777" w:rsidR="00046FC0" w:rsidRPr="000313F8" w:rsidRDefault="00046FC0" w:rsidP="00DB3C3A">
            <w:pPr>
              <w:spacing w:after="0"/>
              <w:ind w:left="227" w:hanging="227"/>
              <w:rPr>
                <w:rFonts w:cs="Arial"/>
                <w:b/>
                <w:bCs/>
                <w:sz w:val="18"/>
                <w:szCs w:val="18"/>
              </w:rPr>
            </w:pPr>
          </w:p>
          <w:p w14:paraId="23ACFCB6" w14:textId="77777777" w:rsidR="00046FC0" w:rsidRPr="000313F8" w:rsidRDefault="00046FC0" w:rsidP="00DB3C3A">
            <w:pPr>
              <w:spacing w:after="0"/>
              <w:ind w:left="227" w:hanging="227"/>
              <w:rPr>
                <w:rFonts w:cs="Arial"/>
                <w:b/>
                <w:bCs/>
                <w:sz w:val="18"/>
                <w:szCs w:val="18"/>
              </w:rPr>
            </w:pPr>
            <w:r w:rsidRPr="000313F8">
              <w:rPr>
                <w:rFonts w:cs="Arial"/>
                <w:sz w:val="18"/>
                <w:szCs w:val="18"/>
              </w:rPr>
              <w:t>317  318</w:t>
            </w:r>
          </w:p>
        </w:tc>
        <w:tc>
          <w:tcPr>
            <w:tcW w:w="1187" w:type="pct"/>
            <w:vMerge/>
            <w:shd w:val="clear" w:color="auto" w:fill="auto"/>
            <w:vAlign w:val="center"/>
            <w:hideMark/>
          </w:tcPr>
          <w:p w14:paraId="3E67A969" w14:textId="77777777" w:rsidR="00046FC0" w:rsidRPr="000313F8" w:rsidRDefault="00046FC0" w:rsidP="00DB3C3A">
            <w:pPr>
              <w:spacing w:after="0"/>
              <w:rPr>
                <w:rFonts w:cs="Arial"/>
                <w:b/>
                <w:bCs/>
                <w:sz w:val="18"/>
                <w:szCs w:val="18"/>
              </w:rPr>
            </w:pPr>
          </w:p>
        </w:tc>
        <w:tc>
          <w:tcPr>
            <w:tcW w:w="1189" w:type="pct"/>
            <w:vMerge/>
            <w:shd w:val="clear" w:color="auto" w:fill="auto"/>
            <w:vAlign w:val="center"/>
            <w:hideMark/>
          </w:tcPr>
          <w:p w14:paraId="29DAEC13" w14:textId="77777777" w:rsidR="00046FC0" w:rsidRPr="000313F8" w:rsidRDefault="00046FC0" w:rsidP="00DB3C3A">
            <w:pPr>
              <w:spacing w:after="0"/>
              <w:rPr>
                <w:rFonts w:cs="Arial"/>
                <w:sz w:val="18"/>
                <w:szCs w:val="18"/>
              </w:rPr>
            </w:pPr>
          </w:p>
        </w:tc>
      </w:tr>
      <w:tr w:rsidR="00046FC0" w:rsidRPr="000313F8" w14:paraId="14673FFA" w14:textId="77777777" w:rsidTr="00DB3C3A">
        <w:trPr>
          <w:cantSplit/>
          <w:trHeight w:val="240"/>
        </w:trPr>
        <w:tc>
          <w:tcPr>
            <w:tcW w:w="1098" w:type="pct"/>
            <w:vMerge/>
            <w:shd w:val="clear" w:color="auto" w:fill="auto"/>
            <w:vAlign w:val="center"/>
            <w:hideMark/>
          </w:tcPr>
          <w:p w14:paraId="5357587E" w14:textId="77777777" w:rsidR="00046FC0" w:rsidRPr="000313F8" w:rsidRDefault="00046FC0" w:rsidP="00DB3C3A">
            <w:pPr>
              <w:spacing w:after="0"/>
              <w:rPr>
                <w:rFonts w:cs="Arial"/>
                <w:sz w:val="18"/>
                <w:szCs w:val="18"/>
              </w:rPr>
            </w:pPr>
          </w:p>
        </w:tc>
        <w:tc>
          <w:tcPr>
            <w:tcW w:w="1526" w:type="pct"/>
            <w:vMerge/>
            <w:shd w:val="clear" w:color="auto" w:fill="auto"/>
            <w:vAlign w:val="center"/>
            <w:hideMark/>
          </w:tcPr>
          <w:p w14:paraId="58EAAA2C" w14:textId="77777777" w:rsidR="00046FC0" w:rsidRPr="000313F8" w:rsidRDefault="00046FC0" w:rsidP="00DB3C3A">
            <w:pPr>
              <w:spacing w:after="0"/>
              <w:rPr>
                <w:rFonts w:cs="Arial"/>
                <w:b/>
                <w:bCs/>
                <w:sz w:val="18"/>
                <w:szCs w:val="18"/>
              </w:rPr>
            </w:pPr>
          </w:p>
        </w:tc>
        <w:tc>
          <w:tcPr>
            <w:tcW w:w="1187" w:type="pct"/>
            <w:vMerge/>
            <w:shd w:val="clear" w:color="auto" w:fill="auto"/>
            <w:vAlign w:val="center"/>
            <w:hideMark/>
          </w:tcPr>
          <w:p w14:paraId="3D8F3001" w14:textId="77777777" w:rsidR="00046FC0" w:rsidRPr="000313F8" w:rsidRDefault="00046FC0" w:rsidP="00DB3C3A">
            <w:pPr>
              <w:spacing w:after="0"/>
              <w:rPr>
                <w:rFonts w:cs="Arial"/>
                <w:b/>
                <w:bCs/>
                <w:sz w:val="18"/>
                <w:szCs w:val="18"/>
              </w:rPr>
            </w:pPr>
          </w:p>
        </w:tc>
        <w:tc>
          <w:tcPr>
            <w:tcW w:w="1189" w:type="pct"/>
            <w:vMerge w:val="restart"/>
            <w:shd w:val="clear" w:color="auto" w:fill="auto"/>
            <w:tcMar>
              <w:top w:w="0" w:type="dxa"/>
              <w:left w:w="107" w:type="dxa"/>
              <w:bottom w:w="0" w:type="dxa"/>
              <w:right w:w="107" w:type="dxa"/>
            </w:tcMar>
          </w:tcPr>
          <w:p w14:paraId="39315DEC" w14:textId="77777777" w:rsidR="00046FC0" w:rsidRPr="000313F8" w:rsidRDefault="00046FC0" w:rsidP="00DB3C3A">
            <w:pPr>
              <w:spacing w:after="0"/>
              <w:ind w:left="227" w:hanging="227"/>
              <w:rPr>
                <w:rFonts w:cs="Arial"/>
                <w:b/>
                <w:bCs/>
                <w:sz w:val="18"/>
                <w:szCs w:val="18"/>
              </w:rPr>
            </w:pPr>
            <w:r w:rsidRPr="000313F8">
              <w:rPr>
                <w:rFonts w:cs="Arial"/>
                <w:b/>
                <w:bCs/>
                <w:sz w:val="18"/>
                <w:szCs w:val="18"/>
              </w:rPr>
              <w:t>850 – 890</w:t>
            </w:r>
          </w:p>
          <w:p w14:paraId="35ECEC1E" w14:textId="77777777" w:rsidR="00046FC0" w:rsidRPr="000313F8" w:rsidRDefault="00046FC0" w:rsidP="00DB3C3A">
            <w:pPr>
              <w:spacing w:after="0"/>
              <w:ind w:left="227" w:hanging="227"/>
              <w:rPr>
                <w:rFonts w:cs="Arial"/>
                <w:sz w:val="18"/>
                <w:szCs w:val="18"/>
              </w:rPr>
            </w:pPr>
            <w:r w:rsidRPr="000313F8">
              <w:rPr>
                <w:rFonts w:cs="Arial"/>
                <w:sz w:val="18"/>
                <w:szCs w:val="18"/>
              </w:rPr>
              <w:t>FIXED</w:t>
            </w:r>
          </w:p>
          <w:p w14:paraId="5D2B1C61" w14:textId="77777777" w:rsidR="00046FC0" w:rsidRPr="000313F8" w:rsidRDefault="00046FC0" w:rsidP="00DB3C3A">
            <w:pPr>
              <w:spacing w:after="0"/>
              <w:ind w:left="227" w:hanging="227"/>
              <w:rPr>
                <w:rFonts w:cs="Arial"/>
                <w:sz w:val="18"/>
                <w:szCs w:val="18"/>
              </w:rPr>
            </w:pPr>
            <w:r w:rsidRPr="000313F8">
              <w:rPr>
                <w:rFonts w:cs="Arial"/>
                <w:sz w:val="18"/>
                <w:szCs w:val="18"/>
              </w:rPr>
              <w:t>MOBILE  317A</w:t>
            </w:r>
          </w:p>
          <w:p w14:paraId="59EC9B24" w14:textId="77777777" w:rsidR="00046FC0" w:rsidRPr="000313F8" w:rsidRDefault="00046FC0" w:rsidP="00DB3C3A">
            <w:pPr>
              <w:spacing w:after="0"/>
              <w:ind w:left="227" w:hanging="227"/>
              <w:rPr>
                <w:rFonts w:cs="Arial"/>
                <w:sz w:val="18"/>
                <w:szCs w:val="18"/>
              </w:rPr>
            </w:pPr>
            <w:r w:rsidRPr="000313F8">
              <w:rPr>
                <w:rFonts w:cs="Arial"/>
                <w:sz w:val="18"/>
                <w:szCs w:val="18"/>
              </w:rPr>
              <w:t>Radiolocation  AUS29  AUS101A</w:t>
            </w:r>
          </w:p>
          <w:p w14:paraId="65088F1D" w14:textId="77777777" w:rsidR="00046FC0" w:rsidRPr="000313F8" w:rsidRDefault="00046FC0" w:rsidP="00DB3C3A">
            <w:pPr>
              <w:spacing w:after="0"/>
              <w:ind w:left="227" w:hanging="227"/>
              <w:rPr>
                <w:rFonts w:cs="Arial"/>
                <w:sz w:val="18"/>
                <w:szCs w:val="18"/>
              </w:rPr>
            </w:pPr>
            <w:r w:rsidRPr="000313F8">
              <w:rPr>
                <w:rFonts w:cs="Arial"/>
                <w:sz w:val="18"/>
                <w:szCs w:val="18"/>
              </w:rPr>
              <w:t>320  AUS103</w:t>
            </w:r>
          </w:p>
        </w:tc>
      </w:tr>
      <w:tr w:rsidR="00046FC0" w:rsidRPr="000313F8" w14:paraId="2D5AD6AB" w14:textId="77777777" w:rsidTr="00DB3C3A">
        <w:trPr>
          <w:cantSplit/>
          <w:trHeight w:val="803"/>
        </w:trPr>
        <w:tc>
          <w:tcPr>
            <w:tcW w:w="1098" w:type="pct"/>
            <w:shd w:val="clear" w:color="auto" w:fill="auto"/>
            <w:vAlign w:val="center"/>
          </w:tcPr>
          <w:p w14:paraId="580E17A3" w14:textId="77777777" w:rsidR="00046FC0" w:rsidRPr="000313F8" w:rsidRDefault="00046FC0" w:rsidP="00DB3C3A">
            <w:pPr>
              <w:spacing w:after="0"/>
              <w:rPr>
                <w:rFonts w:cs="Arial"/>
                <w:sz w:val="18"/>
                <w:szCs w:val="18"/>
              </w:rPr>
            </w:pPr>
          </w:p>
        </w:tc>
        <w:tc>
          <w:tcPr>
            <w:tcW w:w="1526" w:type="pct"/>
            <w:vMerge/>
            <w:shd w:val="clear" w:color="auto" w:fill="auto"/>
            <w:vAlign w:val="center"/>
          </w:tcPr>
          <w:p w14:paraId="2FAD9C70" w14:textId="77777777" w:rsidR="00046FC0" w:rsidRPr="000313F8" w:rsidRDefault="00046FC0" w:rsidP="00DB3C3A">
            <w:pPr>
              <w:spacing w:after="0"/>
              <w:rPr>
                <w:rFonts w:cs="Arial"/>
                <w:b/>
                <w:bCs/>
                <w:sz w:val="18"/>
                <w:szCs w:val="18"/>
              </w:rPr>
            </w:pPr>
          </w:p>
        </w:tc>
        <w:tc>
          <w:tcPr>
            <w:tcW w:w="1187" w:type="pct"/>
            <w:vMerge/>
            <w:shd w:val="clear" w:color="auto" w:fill="auto"/>
            <w:vAlign w:val="center"/>
          </w:tcPr>
          <w:p w14:paraId="32572E75" w14:textId="77777777" w:rsidR="00046FC0" w:rsidRPr="000313F8" w:rsidRDefault="00046FC0" w:rsidP="00DB3C3A">
            <w:pPr>
              <w:spacing w:after="0"/>
              <w:rPr>
                <w:rFonts w:cs="Arial"/>
                <w:b/>
                <w:bCs/>
                <w:sz w:val="18"/>
                <w:szCs w:val="18"/>
              </w:rPr>
            </w:pPr>
          </w:p>
        </w:tc>
        <w:tc>
          <w:tcPr>
            <w:tcW w:w="1189" w:type="pct"/>
            <w:vMerge/>
            <w:shd w:val="clear" w:color="auto" w:fill="auto"/>
            <w:tcMar>
              <w:top w:w="0" w:type="dxa"/>
              <w:left w:w="107" w:type="dxa"/>
              <w:bottom w:w="0" w:type="dxa"/>
              <w:right w:w="107" w:type="dxa"/>
            </w:tcMar>
          </w:tcPr>
          <w:p w14:paraId="559E1A11" w14:textId="77777777" w:rsidR="00046FC0" w:rsidRPr="000313F8" w:rsidRDefault="00046FC0" w:rsidP="00DB3C3A">
            <w:pPr>
              <w:spacing w:after="0"/>
              <w:ind w:left="227" w:hanging="227"/>
              <w:rPr>
                <w:rFonts w:cs="Arial"/>
                <w:b/>
                <w:bCs/>
                <w:sz w:val="18"/>
                <w:szCs w:val="18"/>
              </w:rPr>
            </w:pPr>
          </w:p>
        </w:tc>
      </w:tr>
    </w:tbl>
    <w:p w14:paraId="0786B82B" w14:textId="77777777" w:rsidR="00046FC0" w:rsidRPr="00E36806" w:rsidRDefault="00046FC0" w:rsidP="00777544">
      <w:pPr>
        <w:rPr>
          <w:rFonts w:cs="Arial"/>
          <w:szCs w:val="20"/>
        </w:rPr>
      </w:pPr>
    </w:p>
    <w:p w14:paraId="78A470E3" w14:textId="77777777" w:rsidR="00241EB0" w:rsidRDefault="00241EB0">
      <w:pPr>
        <w:spacing w:after="0" w:line="240" w:lineRule="auto"/>
      </w:pPr>
      <w:r>
        <w:br w:type="page"/>
      </w:r>
    </w:p>
    <w:p w14:paraId="6FE3E3F2" w14:textId="09BAFDD4" w:rsidR="00897C20" w:rsidRPr="00897C20" w:rsidRDefault="00897C20" w:rsidP="002A1150">
      <w:pPr>
        <w:pStyle w:val="Heading3"/>
      </w:pPr>
      <w:bookmarkStart w:id="30" w:name="_Toc470162685"/>
      <w:r w:rsidRPr="00897C20">
        <w:lastRenderedPageBreak/>
        <w:t>Defence-</w:t>
      </w:r>
      <w:r w:rsidRPr="002A1150">
        <w:t>related</w:t>
      </w:r>
      <w:r w:rsidRPr="00897C20">
        <w:t xml:space="preserve"> changes</w:t>
      </w:r>
      <w:bookmarkEnd w:id="30"/>
    </w:p>
    <w:p w14:paraId="06F32722" w14:textId="4A38AB65" w:rsidR="00EA6DFA" w:rsidRPr="00C762E3" w:rsidRDefault="00EA6DFA" w:rsidP="002A1150">
      <w:pPr>
        <w:spacing w:after="80"/>
        <w:rPr>
          <w:rFonts w:cs="Arial"/>
          <w:szCs w:val="20"/>
        </w:rPr>
      </w:pPr>
      <w:r w:rsidRPr="00897C20">
        <w:t xml:space="preserve">In </w:t>
      </w:r>
      <w:r w:rsidRPr="00C762E3">
        <w:rPr>
          <w:rFonts w:cs="Arial"/>
          <w:szCs w:val="20"/>
        </w:rPr>
        <w:t>consultation with the Department of Defence</w:t>
      </w:r>
      <w:r w:rsidR="00763E90">
        <w:rPr>
          <w:rFonts w:cs="Arial"/>
          <w:szCs w:val="20"/>
        </w:rPr>
        <w:t>,</w:t>
      </w:r>
      <w:r w:rsidRPr="00C762E3">
        <w:rPr>
          <w:rFonts w:cs="Arial"/>
          <w:szCs w:val="20"/>
        </w:rPr>
        <w:t xml:space="preserve"> the following changes will be implemented in the final version of the ARSP:</w:t>
      </w:r>
    </w:p>
    <w:p w14:paraId="3930F089" w14:textId="34DABCDA" w:rsidR="00EA6DFA" w:rsidRPr="00C762E3" w:rsidRDefault="00EA6DFA" w:rsidP="002A1150">
      <w:pPr>
        <w:pStyle w:val="ListBullet"/>
      </w:pPr>
      <w:r w:rsidRPr="00C762E3">
        <w:t>Australian footnote AUS58 will be added to the 15.15</w:t>
      </w:r>
      <w:r w:rsidR="00B04CE5">
        <w:t>–</w:t>
      </w:r>
      <w:r w:rsidRPr="00C762E3">
        <w:t>15.341</w:t>
      </w:r>
      <w:r w:rsidR="00B04CE5" w:rsidRPr="00777544">
        <w:rPr>
          <w:rFonts w:cs="Arial"/>
          <w:szCs w:val="20"/>
          <w:lang w:val="en-US"/>
        </w:rPr>
        <w:t> </w:t>
      </w:r>
      <w:r w:rsidRPr="00C762E3">
        <w:t>MHz band</w:t>
      </w:r>
    </w:p>
    <w:p w14:paraId="5C55140B" w14:textId="468BCA24" w:rsidR="00EC089D" w:rsidRDefault="00EA6DFA" w:rsidP="002A1150">
      <w:pPr>
        <w:pStyle w:val="ListBulletLast"/>
      </w:pPr>
      <w:r w:rsidRPr="00C762E3">
        <w:t>Australian footnote AUS101A on the radiolocation allocation in the 3300–3400</w:t>
      </w:r>
      <w:r w:rsidR="00B04CE5" w:rsidRPr="00777544">
        <w:rPr>
          <w:szCs w:val="20"/>
          <w:lang w:val="en-US"/>
        </w:rPr>
        <w:t> </w:t>
      </w:r>
      <w:r w:rsidRPr="00C762E3">
        <w:t>MHz band will be changed to AUS100A</w:t>
      </w:r>
      <w:r w:rsidR="00B04CE5">
        <w:t>.</w:t>
      </w:r>
    </w:p>
    <w:p w14:paraId="62AECBD7" w14:textId="7BD6A3D6" w:rsidR="00F0393A" w:rsidRPr="00C762E3" w:rsidRDefault="00B04CE5" w:rsidP="002A1150">
      <w:pPr>
        <w:spacing w:after="80"/>
      </w:pPr>
      <w:r>
        <w:t>T</w:t>
      </w:r>
      <w:r w:rsidR="00F0393A" w:rsidRPr="00C762E3">
        <w:t xml:space="preserve">he following frequency ranges have been added to </w:t>
      </w:r>
      <w:r w:rsidR="001C2812" w:rsidRPr="00C762E3">
        <w:t xml:space="preserve">the list in Section 11 of Chapter 1 </w:t>
      </w:r>
      <w:r w:rsidR="00F0393A" w:rsidRPr="00C762E3">
        <w:t>to improve visibility of Defence use:</w:t>
      </w:r>
    </w:p>
    <w:p w14:paraId="727C3CB6" w14:textId="2BBF1E04" w:rsidR="00B10AB0" w:rsidRPr="002A1150" w:rsidRDefault="00F0393A" w:rsidP="002A1150">
      <w:pPr>
        <w:pStyle w:val="ListBullet"/>
        <w:tabs>
          <w:tab w:val="clear" w:pos="295"/>
          <w:tab w:val="num" w:pos="863"/>
        </w:tabs>
        <w:ind w:left="863"/>
        <w:rPr>
          <w:rFonts w:cs="Arial"/>
          <w:b/>
          <w:sz w:val="28"/>
          <w:szCs w:val="28"/>
        </w:rPr>
      </w:pPr>
      <w:r w:rsidRPr="00C762E3">
        <w:rPr>
          <w:rFonts w:cs="Arial"/>
          <w:szCs w:val="20"/>
        </w:rPr>
        <w:t>1350</w:t>
      </w:r>
      <w:r w:rsidR="00B04CE5">
        <w:rPr>
          <w:rFonts w:cs="Arial"/>
          <w:szCs w:val="20"/>
        </w:rPr>
        <w:t>–</w:t>
      </w:r>
      <w:r w:rsidRPr="00C762E3">
        <w:rPr>
          <w:rFonts w:cs="Arial"/>
          <w:szCs w:val="20"/>
        </w:rPr>
        <w:t>1400</w:t>
      </w:r>
      <w:r w:rsidR="00B04CE5" w:rsidRPr="00777544">
        <w:rPr>
          <w:rFonts w:cs="Arial"/>
          <w:szCs w:val="20"/>
          <w:lang w:val="en-US"/>
        </w:rPr>
        <w:t> </w:t>
      </w:r>
      <w:r w:rsidRPr="00C762E3">
        <w:rPr>
          <w:rFonts w:cs="Arial"/>
          <w:szCs w:val="20"/>
        </w:rPr>
        <w:t>MHz, 1785</w:t>
      </w:r>
      <w:r w:rsidR="00B04CE5">
        <w:rPr>
          <w:rFonts w:cs="Arial"/>
          <w:szCs w:val="20"/>
        </w:rPr>
        <w:t>–</w:t>
      </w:r>
      <w:r w:rsidRPr="00C762E3">
        <w:rPr>
          <w:rFonts w:cs="Arial"/>
          <w:szCs w:val="20"/>
        </w:rPr>
        <w:t>1805</w:t>
      </w:r>
      <w:r w:rsidR="00B04CE5" w:rsidRPr="00777544">
        <w:rPr>
          <w:rFonts w:cs="Arial"/>
          <w:szCs w:val="20"/>
          <w:lang w:val="en-US"/>
        </w:rPr>
        <w:t> </w:t>
      </w:r>
      <w:r w:rsidRPr="00C762E3">
        <w:rPr>
          <w:rFonts w:cs="Arial"/>
          <w:szCs w:val="20"/>
        </w:rPr>
        <w:t>MHz, 3100</w:t>
      </w:r>
      <w:r w:rsidR="00B04CE5">
        <w:rPr>
          <w:rFonts w:cs="Arial"/>
          <w:szCs w:val="20"/>
        </w:rPr>
        <w:t>–</w:t>
      </w:r>
      <w:r w:rsidRPr="00C762E3">
        <w:rPr>
          <w:rFonts w:cs="Arial"/>
          <w:szCs w:val="20"/>
        </w:rPr>
        <w:t>3400</w:t>
      </w:r>
      <w:r w:rsidR="00B04CE5" w:rsidRPr="00777544">
        <w:rPr>
          <w:rFonts w:cs="Arial"/>
          <w:szCs w:val="20"/>
          <w:lang w:val="en-US"/>
        </w:rPr>
        <w:t> </w:t>
      </w:r>
      <w:r w:rsidRPr="00C762E3">
        <w:rPr>
          <w:rFonts w:cs="Arial"/>
          <w:szCs w:val="20"/>
        </w:rPr>
        <w:t>MHz (by way of expanding the existing 2700</w:t>
      </w:r>
      <w:r w:rsidR="00B04CE5">
        <w:rPr>
          <w:rFonts w:cs="Arial"/>
          <w:szCs w:val="20"/>
        </w:rPr>
        <w:t>–</w:t>
      </w:r>
      <w:r w:rsidRPr="00C762E3">
        <w:rPr>
          <w:rFonts w:cs="Arial"/>
          <w:szCs w:val="20"/>
        </w:rPr>
        <w:t>3100</w:t>
      </w:r>
      <w:r w:rsidR="00B04CE5" w:rsidRPr="00777544">
        <w:rPr>
          <w:rFonts w:cs="Arial"/>
          <w:szCs w:val="20"/>
          <w:lang w:val="en-US"/>
        </w:rPr>
        <w:t> </w:t>
      </w:r>
      <w:r w:rsidRPr="00C762E3">
        <w:rPr>
          <w:rFonts w:cs="Arial"/>
          <w:szCs w:val="20"/>
        </w:rPr>
        <w:t>MHz range in the list) and 21.5</w:t>
      </w:r>
      <w:r w:rsidR="00B04CE5">
        <w:rPr>
          <w:rFonts w:cs="Arial"/>
          <w:szCs w:val="20"/>
        </w:rPr>
        <w:t>–</w:t>
      </w:r>
      <w:r w:rsidRPr="00C762E3">
        <w:rPr>
          <w:rFonts w:cs="Arial"/>
          <w:szCs w:val="20"/>
        </w:rPr>
        <w:t>22</w:t>
      </w:r>
      <w:r w:rsidR="00B04CE5" w:rsidRPr="00777544">
        <w:rPr>
          <w:rFonts w:cs="Arial"/>
          <w:szCs w:val="20"/>
          <w:lang w:val="en-US"/>
        </w:rPr>
        <w:t> </w:t>
      </w:r>
      <w:r w:rsidRPr="00C762E3">
        <w:rPr>
          <w:rFonts w:cs="Arial"/>
          <w:szCs w:val="20"/>
        </w:rPr>
        <w:t>GHz (an expansion of the existing 21.2</w:t>
      </w:r>
      <w:r w:rsidR="00B04CE5">
        <w:rPr>
          <w:rFonts w:cs="Arial"/>
          <w:szCs w:val="20"/>
        </w:rPr>
        <w:t>–</w:t>
      </w:r>
      <w:r w:rsidRPr="00C762E3">
        <w:rPr>
          <w:rFonts w:cs="Arial"/>
          <w:szCs w:val="20"/>
        </w:rPr>
        <w:t>21.5</w:t>
      </w:r>
      <w:r w:rsidR="00B04CE5" w:rsidRPr="00777544">
        <w:rPr>
          <w:rFonts w:cs="Arial"/>
          <w:szCs w:val="20"/>
          <w:lang w:val="en-US"/>
        </w:rPr>
        <w:t> </w:t>
      </w:r>
      <w:r w:rsidRPr="00C762E3">
        <w:rPr>
          <w:rFonts w:cs="Arial"/>
          <w:szCs w:val="20"/>
        </w:rPr>
        <w:t>GHz)</w:t>
      </w:r>
      <w:r w:rsidR="00B04CE5">
        <w:rPr>
          <w:rFonts w:cs="Arial"/>
          <w:szCs w:val="20"/>
        </w:rPr>
        <w:t>.</w:t>
      </w:r>
    </w:p>
    <w:sectPr w:rsidR="00B10AB0" w:rsidRPr="002A1150" w:rsidSect="00C77380">
      <w:headerReference w:type="even" r:id="rId28"/>
      <w:headerReference w:type="default" r:id="rId29"/>
      <w:footerReference w:type="even" r:id="rId30"/>
      <w:footerReference w:type="default" r:id="rId3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2A66E" w14:textId="77777777" w:rsidR="00AE7B42" w:rsidRDefault="00AE7B42">
      <w:r>
        <w:separator/>
      </w:r>
    </w:p>
  </w:endnote>
  <w:endnote w:type="continuationSeparator" w:id="0">
    <w:p w14:paraId="671AC01C" w14:textId="77777777" w:rsidR="00AE7B42" w:rsidRDefault="00AE7B42">
      <w:r>
        <w:continuationSeparator/>
      </w:r>
    </w:p>
  </w:endnote>
  <w:endnote w:type="continuationNotice" w:id="1">
    <w:p w14:paraId="6C851839" w14:textId="77777777" w:rsidR="00AE7B42" w:rsidRDefault="00AE7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3E711" w14:textId="77777777" w:rsidR="00DB2176" w:rsidRDefault="00DB217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1CD2" w14:textId="77777777" w:rsidR="00890E3E" w:rsidRPr="00622A3B" w:rsidRDefault="00890E3E"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B21416">
      <w:rPr>
        <w:noProof/>
        <w:color w:val="505050"/>
      </w:rPr>
      <w:t>1</w:t>
    </w:r>
    <w:r w:rsidRPr="00575AC5">
      <w:rPr>
        <w:color w:val="505050"/>
      </w:rPr>
      <w:fldChar w:fldCharType="end"/>
    </w:r>
  </w:p>
  <w:p w14:paraId="038DACF6" w14:textId="77777777" w:rsidR="00890E3E" w:rsidRPr="00A5474E" w:rsidRDefault="00890E3E" w:rsidP="00A54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2677C" w14:textId="77777777" w:rsidR="00890E3E" w:rsidRPr="00A5474E" w:rsidRDefault="00890E3E" w:rsidP="00A5474E">
    <w:pPr>
      <w:pStyle w:val="Footer"/>
    </w:pPr>
    <w:r>
      <w:rPr>
        <w:noProof/>
      </w:rPr>
      <w:drawing>
        <wp:inline distT="0" distB="0" distL="0" distR="0" wp14:anchorId="499E21DD" wp14:editId="5285F5E9">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C473E" w14:textId="77777777" w:rsidR="00DB2176" w:rsidRDefault="00DB21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E6939" w14:textId="77777777" w:rsidR="00890E3E" w:rsidRDefault="00890E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41B4D" w14:textId="77777777" w:rsidR="00890E3E" w:rsidRDefault="00890E3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29949" w14:textId="77777777" w:rsidR="00890E3E" w:rsidRPr="00622A3B" w:rsidRDefault="00890E3E"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43CF6FD8" w14:textId="77777777" w:rsidR="00890E3E" w:rsidRPr="00A5474E" w:rsidRDefault="00890E3E"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4580D" w14:textId="77777777" w:rsidR="00890E3E" w:rsidRPr="00622A3B" w:rsidRDefault="00890E3E"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6A22E501" w14:textId="77777777" w:rsidR="00890E3E" w:rsidRPr="00A5474E" w:rsidRDefault="00890E3E"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4C98" w14:textId="77777777" w:rsidR="00890E3E" w:rsidRPr="00622A3B" w:rsidRDefault="00890E3E"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B21416">
      <w:rPr>
        <w:noProof/>
        <w:color w:val="505050"/>
      </w:rPr>
      <w:t>iii</w:t>
    </w:r>
    <w:r w:rsidRPr="002E4DDC">
      <w:rPr>
        <w:color w:val="505050"/>
      </w:rPr>
      <w:fldChar w:fldCharType="end"/>
    </w:r>
  </w:p>
  <w:p w14:paraId="692F3A35" w14:textId="77777777" w:rsidR="00890E3E" w:rsidRPr="00A5474E" w:rsidRDefault="00890E3E" w:rsidP="00A547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A8D7" w14:textId="77777777" w:rsidR="00890E3E" w:rsidRPr="00622A3B" w:rsidRDefault="00890E3E"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B21416">
      <w:rPr>
        <w:noProof/>
      </w:rPr>
      <w:t>10</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8D425A2" w14:textId="77777777" w:rsidR="00890E3E" w:rsidRPr="00A5474E" w:rsidRDefault="00890E3E"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6A89B" w14:textId="77777777" w:rsidR="00AE7B42" w:rsidRDefault="00AE7B42">
      <w:r>
        <w:separator/>
      </w:r>
    </w:p>
  </w:footnote>
  <w:footnote w:type="continuationSeparator" w:id="0">
    <w:p w14:paraId="4CA2B294" w14:textId="77777777" w:rsidR="00AE7B42" w:rsidRDefault="00AE7B42">
      <w:r>
        <w:continuationSeparator/>
      </w:r>
    </w:p>
  </w:footnote>
  <w:footnote w:type="continuationNotice" w:id="1">
    <w:p w14:paraId="4450F37A" w14:textId="77777777" w:rsidR="00AE7B42" w:rsidRDefault="00AE7B42">
      <w:pPr>
        <w:spacing w:after="0" w:line="240" w:lineRule="auto"/>
      </w:pPr>
    </w:p>
  </w:footnote>
  <w:footnote w:id="2">
    <w:p w14:paraId="4A15B9EF" w14:textId="0CF35FDD" w:rsidR="00890E3E" w:rsidRDefault="00890E3E" w:rsidP="002A1150">
      <w:pPr>
        <w:pStyle w:val="FootnoteText"/>
        <w:spacing w:after="0"/>
      </w:pPr>
      <w:r>
        <w:rPr>
          <w:rStyle w:val="FootnoteReference"/>
        </w:rPr>
        <w:footnoteRef/>
      </w:r>
      <w:r>
        <w:t xml:space="preserve"> Two </w:t>
      </w:r>
      <w:r w:rsidR="00F119D5">
        <w:t xml:space="preserve">of these </w:t>
      </w:r>
      <w:r>
        <w:t xml:space="preserve">submissions were provided confidentially.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75EDF" w14:textId="77777777" w:rsidR="00DB2176" w:rsidRDefault="00DB2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9E666" w14:textId="77777777" w:rsidR="00890E3E" w:rsidRPr="00A5474E" w:rsidRDefault="00890E3E" w:rsidP="00A5474E">
    <w:pPr>
      <w:pStyle w:val="Header"/>
    </w:pPr>
    <w:r>
      <w:rPr>
        <w:noProof/>
      </w:rPr>
      <w:drawing>
        <wp:inline distT="0" distB="0" distL="0" distR="0" wp14:anchorId="00FD4921" wp14:editId="0FEB1C02">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C1E5" w14:textId="77777777" w:rsidR="00890E3E" w:rsidRPr="00A5474E" w:rsidRDefault="00890E3E" w:rsidP="00594E9C">
    <w:pPr>
      <w:pStyle w:val="TOCHeading"/>
    </w:pPr>
    <w:r w:rsidRPr="0029593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E4ADE" w14:textId="77777777" w:rsidR="00890E3E" w:rsidRDefault="00890E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05C79" w14:textId="77777777" w:rsidR="00890E3E" w:rsidRDefault="00890E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890E3E" w14:paraId="3278F1A0" w14:textId="77777777" w:rsidTr="00354377">
      <w:trPr>
        <w:trHeight w:hRule="exact" w:val="988"/>
      </w:trPr>
      <w:tc>
        <w:tcPr>
          <w:tcW w:w="7678" w:type="dxa"/>
          <w:shd w:val="clear" w:color="auto" w:fill="auto"/>
        </w:tcPr>
        <w:p w14:paraId="3B3319FE" w14:textId="77777777" w:rsidR="00890E3E" w:rsidRDefault="00890E3E" w:rsidP="00971914">
          <w:pPr>
            <w:pStyle w:val="Header"/>
          </w:pPr>
        </w:p>
      </w:tc>
    </w:tr>
    <w:tr w:rsidR="00890E3E" w14:paraId="294DCF53" w14:textId="77777777" w:rsidTr="00354377">
      <w:tc>
        <w:tcPr>
          <w:tcW w:w="7678" w:type="dxa"/>
          <w:shd w:val="clear" w:color="auto" w:fill="auto"/>
        </w:tcPr>
        <w:p w14:paraId="64DA647C" w14:textId="77777777" w:rsidR="00890E3E" w:rsidRDefault="00890E3E" w:rsidP="00971914">
          <w:pPr>
            <w:pStyle w:val="GridTable31"/>
          </w:pPr>
          <w:r>
            <w:t xml:space="preserve">Contents </w:t>
          </w:r>
          <w:r w:rsidRPr="00915B1C">
            <w:rPr>
              <w:b w:val="0"/>
              <w:spacing w:val="0"/>
              <w:sz w:val="28"/>
              <w:szCs w:val="28"/>
            </w:rPr>
            <w:t>(Continued)</w:t>
          </w:r>
        </w:p>
      </w:tc>
    </w:tr>
    <w:tr w:rsidR="00890E3E" w14:paraId="04C9D1F5" w14:textId="77777777" w:rsidTr="00354377">
      <w:trPr>
        <w:trHeight w:val="1220"/>
      </w:trPr>
      <w:tc>
        <w:tcPr>
          <w:tcW w:w="7678" w:type="dxa"/>
          <w:shd w:val="clear" w:color="auto" w:fill="auto"/>
        </w:tcPr>
        <w:p w14:paraId="29177AAC" w14:textId="77777777" w:rsidR="00890E3E" w:rsidRDefault="00890E3E" w:rsidP="00971914"/>
      </w:tc>
    </w:tr>
  </w:tbl>
  <w:p w14:paraId="4D8863B1" w14:textId="77777777" w:rsidR="00890E3E" w:rsidRDefault="00890E3E" w:rsidP="009719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890E3E" w14:paraId="56271A0D" w14:textId="77777777" w:rsidTr="00354377">
      <w:trPr>
        <w:trHeight w:hRule="exact" w:val="988"/>
      </w:trPr>
      <w:tc>
        <w:tcPr>
          <w:tcW w:w="7678" w:type="dxa"/>
          <w:shd w:val="clear" w:color="auto" w:fill="auto"/>
        </w:tcPr>
        <w:p w14:paraId="411177A0" w14:textId="77777777" w:rsidR="00890E3E" w:rsidRDefault="00890E3E" w:rsidP="00971914">
          <w:pPr>
            <w:pStyle w:val="Header"/>
          </w:pPr>
        </w:p>
      </w:tc>
    </w:tr>
    <w:tr w:rsidR="00890E3E" w14:paraId="0E89DFA1" w14:textId="77777777" w:rsidTr="00354377">
      <w:tc>
        <w:tcPr>
          <w:tcW w:w="7678" w:type="dxa"/>
          <w:shd w:val="clear" w:color="auto" w:fill="auto"/>
        </w:tcPr>
        <w:p w14:paraId="351F5843" w14:textId="77777777" w:rsidR="00890E3E" w:rsidRDefault="00890E3E" w:rsidP="00971914">
          <w:pPr>
            <w:pStyle w:val="GridTable31"/>
          </w:pPr>
          <w:r>
            <w:t xml:space="preserve">Contents </w:t>
          </w:r>
          <w:r w:rsidRPr="00915B1C">
            <w:rPr>
              <w:b w:val="0"/>
              <w:spacing w:val="0"/>
              <w:sz w:val="28"/>
              <w:szCs w:val="28"/>
            </w:rPr>
            <w:t>(Continued)</w:t>
          </w:r>
        </w:p>
      </w:tc>
    </w:tr>
    <w:tr w:rsidR="00890E3E" w14:paraId="049969F7" w14:textId="77777777" w:rsidTr="00354377">
      <w:trPr>
        <w:trHeight w:val="1220"/>
      </w:trPr>
      <w:tc>
        <w:tcPr>
          <w:tcW w:w="7678" w:type="dxa"/>
          <w:shd w:val="clear" w:color="auto" w:fill="auto"/>
        </w:tcPr>
        <w:p w14:paraId="5A54DC6F" w14:textId="77777777" w:rsidR="00890E3E" w:rsidRDefault="00890E3E" w:rsidP="00971914"/>
      </w:tc>
    </w:tr>
  </w:tbl>
  <w:p w14:paraId="0C82E1D4" w14:textId="77777777" w:rsidR="00890E3E" w:rsidRPr="00A5474E" w:rsidRDefault="00890E3E" w:rsidP="00A547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CD8CE" w14:textId="77777777" w:rsidR="00890E3E" w:rsidRDefault="00890E3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38ED" w14:textId="77777777" w:rsidR="00890E3E" w:rsidRDefault="00890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7BC8C2A"/>
    <w:lvl w:ilvl="0">
      <w:start w:val="1"/>
      <w:numFmt w:val="decimal"/>
      <w:lvlText w:val="%1."/>
      <w:lvlJc w:val="left"/>
      <w:pPr>
        <w:tabs>
          <w:tab w:val="num" w:pos="1492"/>
        </w:tabs>
        <w:ind w:left="1492" w:hanging="360"/>
      </w:pPr>
    </w:lvl>
  </w:abstractNum>
  <w:abstractNum w:abstractNumId="1">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nsid w:val="FFFFFF89"/>
    <w:multiLevelType w:val="singleLevel"/>
    <w:tmpl w:val="2CE8078C"/>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nsid w:val="02150FF3"/>
    <w:multiLevelType w:val="hybridMultilevel"/>
    <w:tmpl w:val="2C1CAF84"/>
    <w:lvl w:ilvl="0" w:tplc="2620E704">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8014568"/>
    <w:multiLevelType w:val="hybridMultilevel"/>
    <w:tmpl w:val="BEEE5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187D19"/>
    <w:multiLevelType w:val="hybridMultilevel"/>
    <w:tmpl w:val="DF80B91A"/>
    <w:lvl w:ilvl="0" w:tplc="2620E7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E46E28"/>
    <w:multiLevelType w:val="hybridMultilevel"/>
    <w:tmpl w:val="92B49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3EE495C"/>
    <w:multiLevelType w:val="hybridMultilevel"/>
    <w:tmpl w:val="1D8498B0"/>
    <w:lvl w:ilvl="0" w:tplc="A332420E">
      <w:start w:val="1"/>
      <w:numFmt w:val="lowerLetter"/>
      <w:pStyle w:val="ACMAlettered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BB47FA"/>
    <w:multiLevelType w:val="hybridMultilevel"/>
    <w:tmpl w:val="1594522C"/>
    <w:lvl w:ilvl="0" w:tplc="2620E7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CD4955"/>
    <w:multiLevelType w:val="hybridMultilevel"/>
    <w:tmpl w:val="E9169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7453AB"/>
    <w:multiLevelType w:val="multilevel"/>
    <w:tmpl w:val="34867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05017E6"/>
    <w:multiLevelType w:val="hybridMultilevel"/>
    <w:tmpl w:val="28B28A7E"/>
    <w:lvl w:ilvl="0" w:tplc="F836D3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60092A"/>
    <w:multiLevelType w:val="hybridMultilevel"/>
    <w:tmpl w:val="9E6C0208"/>
    <w:lvl w:ilvl="0" w:tplc="2620E7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14"/>
  </w:num>
  <w:num w:numId="6">
    <w:abstractNumId w:val="19"/>
  </w:num>
  <w:num w:numId="7">
    <w:abstractNumId w:val="16"/>
  </w:num>
  <w:num w:numId="8">
    <w:abstractNumId w:val="18"/>
  </w:num>
  <w:num w:numId="9">
    <w:abstractNumId w:val="20"/>
  </w:num>
  <w:num w:numId="10">
    <w:abstractNumId w:val="6"/>
  </w:num>
  <w:num w:numId="11">
    <w:abstractNumId w:val="11"/>
  </w:num>
  <w:num w:numId="12">
    <w:abstractNumId w:val="8"/>
  </w:num>
  <w:num w:numId="13">
    <w:abstractNumId w:val="5"/>
  </w:num>
  <w:num w:numId="14">
    <w:abstractNumId w:val="10"/>
  </w:num>
  <w:num w:numId="15">
    <w:abstractNumId w:val="17"/>
  </w:num>
  <w:num w:numId="16">
    <w:abstractNumId w:val="3"/>
    <w:lvlOverride w:ilvl="0">
      <w:startOverride w:val="1"/>
    </w:lvlOverride>
  </w:num>
  <w:num w:numId="17">
    <w:abstractNumId w:val="0"/>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2"/>
  </w:num>
  <w:num w:numId="25">
    <w:abstractNumId w:val="7"/>
  </w:num>
  <w:num w:numId="2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10241">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76"/>
    <w:rsid w:val="000031D7"/>
    <w:rsid w:val="00010667"/>
    <w:rsid w:val="000129D5"/>
    <w:rsid w:val="00015AE7"/>
    <w:rsid w:val="00016E21"/>
    <w:rsid w:val="0001719C"/>
    <w:rsid w:val="0002224E"/>
    <w:rsid w:val="00026343"/>
    <w:rsid w:val="00026F91"/>
    <w:rsid w:val="000313F8"/>
    <w:rsid w:val="00035845"/>
    <w:rsid w:val="000426D5"/>
    <w:rsid w:val="00046FC0"/>
    <w:rsid w:val="00047617"/>
    <w:rsid w:val="0004764C"/>
    <w:rsid w:val="0005011A"/>
    <w:rsid w:val="0005045A"/>
    <w:rsid w:val="00051C1E"/>
    <w:rsid w:val="000539F9"/>
    <w:rsid w:val="00054C27"/>
    <w:rsid w:val="00055EC3"/>
    <w:rsid w:val="000563CE"/>
    <w:rsid w:val="00061263"/>
    <w:rsid w:val="000615EF"/>
    <w:rsid w:val="000659B6"/>
    <w:rsid w:val="0006686F"/>
    <w:rsid w:val="0006722A"/>
    <w:rsid w:val="000732CF"/>
    <w:rsid w:val="00075B96"/>
    <w:rsid w:val="00076916"/>
    <w:rsid w:val="0008196A"/>
    <w:rsid w:val="00086252"/>
    <w:rsid w:val="0009144D"/>
    <w:rsid w:val="000915ED"/>
    <w:rsid w:val="0009209D"/>
    <w:rsid w:val="000969BD"/>
    <w:rsid w:val="000969BF"/>
    <w:rsid w:val="000A0C22"/>
    <w:rsid w:val="000A3C43"/>
    <w:rsid w:val="000A4A51"/>
    <w:rsid w:val="000A5D2B"/>
    <w:rsid w:val="000B5DE3"/>
    <w:rsid w:val="000B5F49"/>
    <w:rsid w:val="000C0A57"/>
    <w:rsid w:val="000C230C"/>
    <w:rsid w:val="000C3A95"/>
    <w:rsid w:val="000C6AB4"/>
    <w:rsid w:val="000D6ED8"/>
    <w:rsid w:val="000D71D9"/>
    <w:rsid w:val="000D76E0"/>
    <w:rsid w:val="000D7E8B"/>
    <w:rsid w:val="000E4449"/>
    <w:rsid w:val="000E6097"/>
    <w:rsid w:val="000F277F"/>
    <w:rsid w:val="000F2D5B"/>
    <w:rsid w:val="000F7F72"/>
    <w:rsid w:val="001035E5"/>
    <w:rsid w:val="00103829"/>
    <w:rsid w:val="00111FCE"/>
    <w:rsid w:val="00112978"/>
    <w:rsid w:val="001229A5"/>
    <w:rsid w:val="0012489B"/>
    <w:rsid w:val="001261E1"/>
    <w:rsid w:val="00130017"/>
    <w:rsid w:val="00130F91"/>
    <w:rsid w:val="001349ED"/>
    <w:rsid w:val="00137424"/>
    <w:rsid w:val="00140318"/>
    <w:rsid w:val="00141AD9"/>
    <w:rsid w:val="00146CE6"/>
    <w:rsid w:val="00150688"/>
    <w:rsid w:val="00152903"/>
    <w:rsid w:val="00153535"/>
    <w:rsid w:val="00153FD5"/>
    <w:rsid w:val="0015614F"/>
    <w:rsid w:val="001577C2"/>
    <w:rsid w:val="001633C4"/>
    <w:rsid w:val="00171591"/>
    <w:rsid w:val="00173981"/>
    <w:rsid w:val="00175EDB"/>
    <w:rsid w:val="0017719D"/>
    <w:rsid w:val="001808A9"/>
    <w:rsid w:val="00183244"/>
    <w:rsid w:val="00183FD7"/>
    <w:rsid w:val="00184D7C"/>
    <w:rsid w:val="00185CAB"/>
    <w:rsid w:val="001875B7"/>
    <w:rsid w:val="00187CB3"/>
    <w:rsid w:val="00187CD6"/>
    <w:rsid w:val="0019050A"/>
    <w:rsid w:val="001910D4"/>
    <w:rsid w:val="0019215F"/>
    <w:rsid w:val="00193E3F"/>
    <w:rsid w:val="001967C6"/>
    <w:rsid w:val="001976E3"/>
    <w:rsid w:val="001A2663"/>
    <w:rsid w:val="001A44EC"/>
    <w:rsid w:val="001B58AA"/>
    <w:rsid w:val="001B7E48"/>
    <w:rsid w:val="001C17CE"/>
    <w:rsid w:val="001C2812"/>
    <w:rsid w:val="001C36CA"/>
    <w:rsid w:val="001C44D1"/>
    <w:rsid w:val="001C5CC0"/>
    <w:rsid w:val="001C6AEE"/>
    <w:rsid w:val="001C7630"/>
    <w:rsid w:val="001D6D15"/>
    <w:rsid w:val="001E464A"/>
    <w:rsid w:val="001F7558"/>
    <w:rsid w:val="00205B57"/>
    <w:rsid w:val="00205E40"/>
    <w:rsid w:val="002157E0"/>
    <w:rsid w:val="00216A57"/>
    <w:rsid w:val="00221884"/>
    <w:rsid w:val="00221DA3"/>
    <w:rsid w:val="0022334F"/>
    <w:rsid w:val="00226819"/>
    <w:rsid w:val="00227749"/>
    <w:rsid w:val="00233101"/>
    <w:rsid w:val="00233817"/>
    <w:rsid w:val="002367FF"/>
    <w:rsid w:val="00240CE9"/>
    <w:rsid w:val="00241EB0"/>
    <w:rsid w:val="002434BA"/>
    <w:rsid w:val="00244D4F"/>
    <w:rsid w:val="00246089"/>
    <w:rsid w:val="00246093"/>
    <w:rsid w:val="00246702"/>
    <w:rsid w:val="002476CE"/>
    <w:rsid w:val="00247C59"/>
    <w:rsid w:val="00247F2E"/>
    <w:rsid w:val="00250ADC"/>
    <w:rsid w:val="00250B07"/>
    <w:rsid w:val="00257553"/>
    <w:rsid w:val="00260FB2"/>
    <w:rsid w:val="00262128"/>
    <w:rsid w:val="00262AEA"/>
    <w:rsid w:val="0027165D"/>
    <w:rsid w:val="00273B21"/>
    <w:rsid w:val="00273CEB"/>
    <w:rsid w:val="00281C89"/>
    <w:rsid w:val="0028282F"/>
    <w:rsid w:val="0029568E"/>
    <w:rsid w:val="0029593B"/>
    <w:rsid w:val="00297C3E"/>
    <w:rsid w:val="00297FC5"/>
    <w:rsid w:val="002A0417"/>
    <w:rsid w:val="002A1150"/>
    <w:rsid w:val="002A16D8"/>
    <w:rsid w:val="002A1BC8"/>
    <w:rsid w:val="002A3EF2"/>
    <w:rsid w:val="002B0DED"/>
    <w:rsid w:val="002B19A2"/>
    <w:rsid w:val="002B381A"/>
    <w:rsid w:val="002B4FCC"/>
    <w:rsid w:val="002B54B9"/>
    <w:rsid w:val="002B7408"/>
    <w:rsid w:val="002B7CFD"/>
    <w:rsid w:val="002C210F"/>
    <w:rsid w:val="002C73AC"/>
    <w:rsid w:val="002D1E56"/>
    <w:rsid w:val="002D3600"/>
    <w:rsid w:val="002E4DDC"/>
    <w:rsid w:val="002E6A5B"/>
    <w:rsid w:val="00302480"/>
    <w:rsid w:val="003038A7"/>
    <w:rsid w:val="00305A5E"/>
    <w:rsid w:val="00314E48"/>
    <w:rsid w:val="003165E6"/>
    <w:rsid w:val="003221CF"/>
    <w:rsid w:val="003233ED"/>
    <w:rsid w:val="00324D9F"/>
    <w:rsid w:val="0032667D"/>
    <w:rsid w:val="00327948"/>
    <w:rsid w:val="0033000F"/>
    <w:rsid w:val="00332011"/>
    <w:rsid w:val="00332518"/>
    <w:rsid w:val="00332925"/>
    <w:rsid w:val="003332ED"/>
    <w:rsid w:val="0033640C"/>
    <w:rsid w:val="003368DC"/>
    <w:rsid w:val="00343BA5"/>
    <w:rsid w:val="00345927"/>
    <w:rsid w:val="00350536"/>
    <w:rsid w:val="00350584"/>
    <w:rsid w:val="00351857"/>
    <w:rsid w:val="00354377"/>
    <w:rsid w:val="003545E8"/>
    <w:rsid w:val="003610E1"/>
    <w:rsid w:val="003671BE"/>
    <w:rsid w:val="00372485"/>
    <w:rsid w:val="00373200"/>
    <w:rsid w:val="00375EF5"/>
    <w:rsid w:val="003767A5"/>
    <w:rsid w:val="00377D9B"/>
    <w:rsid w:val="00380CF9"/>
    <w:rsid w:val="00382456"/>
    <w:rsid w:val="00385254"/>
    <w:rsid w:val="003A04DB"/>
    <w:rsid w:val="003A0CA6"/>
    <w:rsid w:val="003A17B2"/>
    <w:rsid w:val="003A2482"/>
    <w:rsid w:val="003A5F5B"/>
    <w:rsid w:val="003A789A"/>
    <w:rsid w:val="003A7B2A"/>
    <w:rsid w:val="003B12EC"/>
    <w:rsid w:val="003B72AC"/>
    <w:rsid w:val="003C11F7"/>
    <w:rsid w:val="003C77E0"/>
    <w:rsid w:val="003D17D7"/>
    <w:rsid w:val="003D2678"/>
    <w:rsid w:val="003D6210"/>
    <w:rsid w:val="003D71A3"/>
    <w:rsid w:val="003E2B8A"/>
    <w:rsid w:val="003E705B"/>
    <w:rsid w:val="003F10EE"/>
    <w:rsid w:val="003F16F6"/>
    <w:rsid w:val="003F4DC7"/>
    <w:rsid w:val="003F5235"/>
    <w:rsid w:val="004027E4"/>
    <w:rsid w:val="0041071D"/>
    <w:rsid w:val="004141E4"/>
    <w:rsid w:val="00414AFC"/>
    <w:rsid w:val="004151A7"/>
    <w:rsid w:val="00415310"/>
    <w:rsid w:val="004172F3"/>
    <w:rsid w:val="0042007F"/>
    <w:rsid w:val="00421709"/>
    <w:rsid w:val="004232F5"/>
    <w:rsid w:val="00423763"/>
    <w:rsid w:val="0042401D"/>
    <w:rsid w:val="0042613B"/>
    <w:rsid w:val="0042762F"/>
    <w:rsid w:val="00427DC7"/>
    <w:rsid w:val="00430E12"/>
    <w:rsid w:val="00431613"/>
    <w:rsid w:val="00431792"/>
    <w:rsid w:val="0043297A"/>
    <w:rsid w:val="00432EB2"/>
    <w:rsid w:val="0043714F"/>
    <w:rsid w:val="004438B5"/>
    <w:rsid w:val="00447037"/>
    <w:rsid w:val="0045124D"/>
    <w:rsid w:val="00451435"/>
    <w:rsid w:val="00453442"/>
    <w:rsid w:val="00454596"/>
    <w:rsid w:val="0045605D"/>
    <w:rsid w:val="0046135B"/>
    <w:rsid w:val="00461D47"/>
    <w:rsid w:val="00462006"/>
    <w:rsid w:val="004718CC"/>
    <w:rsid w:val="0048043D"/>
    <w:rsid w:val="00481695"/>
    <w:rsid w:val="004832B3"/>
    <w:rsid w:val="0048361A"/>
    <w:rsid w:val="00495A96"/>
    <w:rsid w:val="00495BB3"/>
    <w:rsid w:val="004A2046"/>
    <w:rsid w:val="004A56BB"/>
    <w:rsid w:val="004B065B"/>
    <w:rsid w:val="004B1751"/>
    <w:rsid w:val="004C0253"/>
    <w:rsid w:val="004C3A76"/>
    <w:rsid w:val="004D56FF"/>
    <w:rsid w:val="004E0754"/>
    <w:rsid w:val="004E39D3"/>
    <w:rsid w:val="004E508A"/>
    <w:rsid w:val="004E6113"/>
    <w:rsid w:val="004E616D"/>
    <w:rsid w:val="004F1BDE"/>
    <w:rsid w:val="004F2CEE"/>
    <w:rsid w:val="004F556E"/>
    <w:rsid w:val="004F7F44"/>
    <w:rsid w:val="00500158"/>
    <w:rsid w:val="005008FD"/>
    <w:rsid w:val="005037B4"/>
    <w:rsid w:val="005079BF"/>
    <w:rsid w:val="0051269A"/>
    <w:rsid w:val="005217F8"/>
    <w:rsid w:val="005219E7"/>
    <w:rsid w:val="00531B9A"/>
    <w:rsid w:val="00531D15"/>
    <w:rsid w:val="005363AE"/>
    <w:rsid w:val="00537604"/>
    <w:rsid w:val="00542377"/>
    <w:rsid w:val="005476EB"/>
    <w:rsid w:val="00551782"/>
    <w:rsid w:val="00563EF1"/>
    <w:rsid w:val="00566AB4"/>
    <w:rsid w:val="00574824"/>
    <w:rsid w:val="00574A28"/>
    <w:rsid w:val="00575AC5"/>
    <w:rsid w:val="0057605D"/>
    <w:rsid w:val="00581347"/>
    <w:rsid w:val="00581AC9"/>
    <w:rsid w:val="005824A5"/>
    <w:rsid w:val="005849F8"/>
    <w:rsid w:val="00590B22"/>
    <w:rsid w:val="005938DF"/>
    <w:rsid w:val="00594E9C"/>
    <w:rsid w:val="00597F89"/>
    <w:rsid w:val="005A099B"/>
    <w:rsid w:val="005A245E"/>
    <w:rsid w:val="005A2D9C"/>
    <w:rsid w:val="005A4D1B"/>
    <w:rsid w:val="005A55FE"/>
    <w:rsid w:val="005A6A11"/>
    <w:rsid w:val="005B140C"/>
    <w:rsid w:val="005C639A"/>
    <w:rsid w:val="005D1FDF"/>
    <w:rsid w:val="005D2502"/>
    <w:rsid w:val="005D40BB"/>
    <w:rsid w:val="005D47F3"/>
    <w:rsid w:val="005D49BF"/>
    <w:rsid w:val="005D6F4E"/>
    <w:rsid w:val="005D7C73"/>
    <w:rsid w:val="005E1B87"/>
    <w:rsid w:val="005E3ACD"/>
    <w:rsid w:val="005E5ECE"/>
    <w:rsid w:val="005E6BE8"/>
    <w:rsid w:val="005E7226"/>
    <w:rsid w:val="005E7A57"/>
    <w:rsid w:val="005F24B0"/>
    <w:rsid w:val="0060022F"/>
    <w:rsid w:val="00604315"/>
    <w:rsid w:val="00604E26"/>
    <w:rsid w:val="006052CF"/>
    <w:rsid w:val="00607843"/>
    <w:rsid w:val="00607B8D"/>
    <w:rsid w:val="00611F5C"/>
    <w:rsid w:val="00614B93"/>
    <w:rsid w:val="00616E09"/>
    <w:rsid w:val="00622A3B"/>
    <w:rsid w:val="00622EEA"/>
    <w:rsid w:val="0062396C"/>
    <w:rsid w:val="00623FF9"/>
    <w:rsid w:val="00627D4E"/>
    <w:rsid w:val="00634478"/>
    <w:rsid w:val="0064014A"/>
    <w:rsid w:val="00644373"/>
    <w:rsid w:val="00645915"/>
    <w:rsid w:val="006519C3"/>
    <w:rsid w:val="006529BE"/>
    <w:rsid w:val="00652B30"/>
    <w:rsid w:val="00656345"/>
    <w:rsid w:val="00656DC6"/>
    <w:rsid w:val="00660EC6"/>
    <w:rsid w:val="00664110"/>
    <w:rsid w:val="00664D17"/>
    <w:rsid w:val="00666520"/>
    <w:rsid w:val="00667C5B"/>
    <w:rsid w:val="00674F5B"/>
    <w:rsid w:val="00692CDE"/>
    <w:rsid w:val="00693073"/>
    <w:rsid w:val="006977FF"/>
    <w:rsid w:val="006A01FA"/>
    <w:rsid w:val="006A0E9E"/>
    <w:rsid w:val="006A25C7"/>
    <w:rsid w:val="006A4AAD"/>
    <w:rsid w:val="006A6DA2"/>
    <w:rsid w:val="006A7AB2"/>
    <w:rsid w:val="006B5717"/>
    <w:rsid w:val="006B582F"/>
    <w:rsid w:val="006C0CEB"/>
    <w:rsid w:val="006C3B1E"/>
    <w:rsid w:val="006C47FD"/>
    <w:rsid w:val="006C5C19"/>
    <w:rsid w:val="006C70A0"/>
    <w:rsid w:val="006D156C"/>
    <w:rsid w:val="006D27CB"/>
    <w:rsid w:val="006D2F08"/>
    <w:rsid w:val="006D576C"/>
    <w:rsid w:val="006D5865"/>
    <w:rsid w:val="006E4B1B"/>
    <w:rsid w:val="006E5445"/>
    <w:rsid w:val="006E7D85"/>
    <w:rsid w:val="006E7D93"/>
    <w:rsid w:val="006F070A"/>
    <w:rsid w:val="006F5095"/>
    <w:rsid w:val="006F5488"/>
    <w:rsid w:val="007007DB"/>
    <w:rsid w:val="007029A3"/>
    <w:rsid w:val="00702DB0"/>
    <w:rsid w:val="00704FDC"/>
    <w:rsid w:val="00706E19"/>
    <w:rsid w:val="00706E4E"/>
    <w:rsid w:val="0070791C"/>
    <w:rsid w:val="0071383C"/>
    <w:rsid w:val="007141A7"/>
    <w:rsid w:val="00715722"/>
    <w:rsid w:val="00721032"/>
    <w:rsid w:val="00721B55"/>
    <w:rsid w:val="00726CE4"/>
    <w:rsid w:val="00731413"/>
    <w:rsid w:val="00734143"/>
    <w:rsid w:val="00737E47"/>
    <w:rsid w:val="00740EAC"/>
    <w:rsid w:val="00741892"/>
    <w:rsid w:val="00744956"/>
    <w:rsid w:val="00745A5C"/>
    <w:rsid w:val="0074605F"/>
    <w:rsid w:val="0074613F"/>
    <w:rsid w:val="00747E94"/>
    <w:rsid w:val="00754C83"/>
    <w:rsid w:val="00763E90"/>
    <w:rsid w:val="00765DF8"/>
    <w:rsid w:val="00766749"/>
    <w:rsid w:val="00767C1B"/>
    <w:rsid w:val="007706EE"/>
    <w:rsid w:val="007714A9"/>
    <w:rsid w:val="00771866"/>
    <w:rsid w:val="00772910"/>
    <w:rsid w:val="00774F88"/>
    <w:rsid w:val="00774FDB"/>
    <w:rsid w:val="00777544"/>
    <w:rsid w:val="00777BA2"/>
    <w:rsid w:val="00781408"/>
    <w:rsid w:val="00784F7F"/>
    <w:rsid w:val="007878BD"/>
    <w:rsid w:val="007955E9"/>
    <w:rsid w:val="00795C00"/>
    <w:rsid w:val="00796F25"/>
    <w:rsid w:val="007A2E64"/>
    <w:rsid w:val="007A2E98"/>
    <w:rsid w:val="007A3BA3"/>
    <w:rsid w:val="007A3BDF"/>
    <w:rsid w:val="007A6CC0"/>
    <w:rsid w:val="007A7FEC"/>
    <w:rsid w:val="007B1499"/>
    <w:rsid w:val="007B1BBF"/>
    <w:rsid w:val="007B2960"/>
    <w:rsid w:val="007B355D"/>
    <w:rsid w:val="007B7980"/>
    <w:rsid w:val="007C0DEF"/>
    <w:rsid w:val="007C49BC"/>
    <w:rsid w:val="007C56EB"/>
    <w:rsid w:val="007C59F3"/>
    <w:rsid w:val="007C5D5A"/>
    <w:rsid w:val="007C607F"/>
    <w:rsid w:val="007C7356"/>
    <w:rsid w:val="007C79DD"/>
    <w:rsid w:val="007D1A97"/>
    <w:rsid w:val="007D1E0D"/>
    <w:rsid w:val="007D2CD6"/>
    <w:rsid w:val="007D3063"/>
    <w:rsid w:val="007D3CEB"/>
    <w:rsid w:val="007E0024"/>
    <w:rsid w:val="007E5EA2"/>
    <w:rsid w:val="007E7683"/>
    <w:rsid w:val="007F2AB7"/>
    <w:rsid w:val="007F2CDB"/>
    <w:rsid w:val="007F49FA"/>
    <w:rsid w:val="007F54C4"/>
    <w:rsid w:val="007F6D4F"/>
    <w:rsid w:val="007F6E9A"/>
    <w:rsid w:val="007F753F"/>
    <w:rsid w:val="008044D4"/>
    <w:rsid w:val="00806F85"/>
    <w:rsid w:val="00810AB4"/>
    <w:rsid w:val="008145D1"/>
    <w:rsid w:val="00817B56"/>
    <w:rsid w:val="00821A88"/>
    <w:rsid w:val="00823BB0"/>
    <w:rsid w:val="00823F82"/>
    <w:rsid w:val="0082495D"/>
    <w:rsid w:val="00831AC3"/>
    <w:rsid w:val="008365B0"/>
    <w:rsid w:val="008408FF"/>
    <w:rsid w:val="00851F3F"/>
    <w:rsid w:val="0085322C"/>
    <w:rsid w:val="008538C8"/>
    <w:rsid w:val="00856EDC"/>
    <w:rsid w:val="008623B5"/>
    <w:rsid w:val="0086407A"/>
    <w:rsid w:val="008659AF"/>
    <w:rsid w:val="00870ABA"/>
    <w:rsid w:val="008710E1"/>
    <w:rsid w:val="008716E5"/>
    <w:rsid w:val="00881CA9"/>
    <w:rsid w:val="00883628"/>
    <w:rsid w:val="00885544"/>
    <w:rsid w:val="0088634E"/>
    <w:rsid w:val="00890E3E"/>
    <w:rsid w:val="00893AB8"/>
    <w:rsid w:val="008949F4"/>
    <w:rsid w:val="00896917"/>
    <w:rsid w:val="00897C20"/>
    <w:rsid w:val="008A04C8"/>
    <w:rsid w:val="008A6913"/>
    <w:rsid w:val="008B6989"/>
    <w:rsid w:val="008B6BFB"/>
    <w:rsid w:val="008B706A"/>
    <w:rsid w:val="008B70F3"/>
    <w:rsid w:val="008B76DF"/>
    <w:rsid w:val="008C10F4"/>
    <w:rsid w:val="008C418A"/>
    <w:rsid w:val="008C65F7"/>
    <w:rsid w:val="008E2602"/>
    <w:rsid w:val="008E4767"/>
    <w:rsid w:val="008E7A8C"/>
    <w:rsid w:val="00903285"/>
    <w:rsid w:val="00906F40"/>
    <w:rsid w:val="0090731E"/>
    <w:rsid w:val="00915B1C"/>
    <w:rsid w:val="009174F3"/>
    <w:rsid w:val="0091797D"/>
    <w:rsid w:val="00923CBA"/>
    <w:rsid w:val="00926703"/>
    <w:rsid w:val="00927691"/>
    <w:rsid w:val="00927940"/>
    <w:rsid w:val="00927A5F"/>
    <w:rsid w:val="009303A7"/>
    <w:rsid w:val="00934489"/>
    <w:rsid w:val="00935B63"/>
    <w:rsid w:val="00935D6A"/>
    <w:rsid w:val="0094078F"/>
    <w:rsid w:val="00940FA3"/>
    <w:rsid w:val="00941FB0"/>
    <w:rsid w:val="009426D4"/>
    <w:rsid w:val="0094497F"/>
    <w:rsid w:val="00947F25"/>
    <w:rsid w:val="00950159"/>
    <w:rsid w:val="0095490B"/>
    <w:rsid w:val="00957DE6"/>
    <w:rsid w:val="00960A33"/>
    <w:rsid w:val="00971914"/>
    <w:rsid w:val="00974363"/>
    <w:rsid w:val="00981898"/>
    <w:rsid w:val="0098242B"/>
    <w:rsid w:val="0099577C"/>
    <w:rsid w:val="00995E36"/>
    <w:rsid w:val="009B2601"/>
    <w:rsid w:val="009B4E9E"/>
    <w:rsid w:val="009C1690"/>
    <w:rsid w:val="009C6881"/>
    <w:rsid w:val="009C7759"/>
    <w:rsid w:val="009D043D"/>
    <w:rsid w:val="009D07C8"/>
    <w:rsid w:val="009D3C40"/>
    <w:rsid w:val="009D6C71"/>
    <w:rsid w:val="009E0631"/>
    <w:rsid w:val="009E16D0"/>
    <w:rsid w:val="009E38FD"/>
    <w:rsid w:val="009E6E0F"/>
    <w:rsid w:val="009F13D6"/>
    <w:rsid w:val="009F4C6B"/>
    <w:rsid w:val="009F78A8"/>
    <w:rsid w:val="00A02AD6"/>
    <w:rsid w:val="00A07096"/>
    <w:rsid w:val="00A07318"/>
    <w:rsid w:val="00A11370"/>
    <w:rsid w:val="00A224CE"/>
    <w:rsid w:val="00A22522"/>
    <w:rsid w:val="00A24AFD"/>
    <w:rsid w:val="00A24F5C"/>
    <w:rsid w:val="00A32F96"/>
    <w:rsid w:val="00A40871"/>
    <w:rsid w:val="00A412AB"/>
    <w:rsid w:val="00A4193E"/>
    <w:rsid w:val="00A440E0"/>
    <w:rsid w:val="00A442EF"/>
    <w:rsid w:val="00A51D1A"/>
    <w:rsid w:val="00A5418D"/>
    <w:rsid w:val="00A5474E"/>
    <w:rsid w:val="00A55AD5"/>
    <w:rsid w:val="00A63595"/>
    <w:rsid w:val="00A70ADF"/>
    <w:rsid w:val="00A71466"/>
    <w:rsid w:val="00A74B5E"/>
    <w:rsid w:val="00A81BED"/>
    <w:rsid w:val="00A81EC4"/>
    <w:rsid w:val="00A859CA"/>
    <w:rsid w:val="00A967FD"/>
    <w:rsid w:val="00AA00A9"/>
    <w:rsid w:val="00AB156C"/>
    <w:rsid w:val="00AB6814"/>
    <w:rsid w:val="00AC04BA"/>
    <w:rsid w:val="00AC0E39"/>
    <w:rsid w:val="00AD3082"/>
    <w:rsid w:val="00AD4AD0"/>
    <w:rsid w:val="00AD5436"/>
    <w:rsid w:val="00AD60CD"/>
    <w:rsid w:val="00AD6C8C"/>
    <w:rsid w:val="00AE091D"/>
    <w:rsid w:val="00AE3B60"/>
    <w:rsid w:val="00AE53A1"/>
    <w:rsid w:val="00AE7B42"/>
    <w:rsid w:val="00AF2484"/>
    <w:rsid w:val="00AF63E7"/>
    <w:rsid w:val="00AF6E17"/>
    <w:rsid w:val="00AF6E6E"/>
    <w:rsid w:val="00B0165D"/>
    <w:rsid w:val="00B01B60"/>
    <w:rsid w:val="00B031F3"/>
    <w:rsid w:val="00B04CE5"/>
    <w:rsid w:val="00B052A4"/>
    <w:rsid w:val="00B10AB0"/>
    <w:rsid w:val="00B11F35"/>
    <w:rsid w:val="00B12252"/>
    <w:rsid w:val="00B125DE"/>
    <w:rsid w:val="00B13FDD"/>
    <w:rsid w:val="00B21416"/>
    <w:rsid w:val="00B22EB2"/>
    <w:rsid w:val="00B27442"/>
    <w:rsid w:val="00B31167"/>
    <w:rsid w:val="00B329D8"/>
    <w:rsid w:val="00B32BB9"/>
    <w:rsid w:val="00B33AE1"/>
    <w:rsid w:val="00B36B63"/>
    <w:rsid w:val="00B37C38"/>
    <w:rsid w:val="00B418CD"/>
    <w:rsid w:val="00B4288C"/>
    <w:rsid w:val="00B43262"/>
    <w:rsid w:val="00B43A74"/>
    <w:rsid w:val="00B44100"/>
    <w:rsid w:val="00B46129"/>
    <w:rsid w:val="00B46CBA"/>
    <w:rsid w:val="00B46F94"/>
    <w:rsid w:val="00B55824"/>
    <w:rsid w:val="00B6003C"/>
    <w:rsid w:val="00B61F03"/>
    <w:rsid w:val="00B626E4"/>
    <w:rsid w:val="00B633A2"/>
    <w:rsid w:val="00B72261"/>
    <w:rsid w:val="00B72F4A"/>
    <w:rsid w:val="00B7530C"/>
    <w:rsid w:val="00B77091"/>
    <w:rsid w:val="00B83C27"/>
    <w:rsid w:val="00B83DE4"/>
    <w:rsid w:val="00B84BC3"/>
    <w:rsid w:val="00B84BDD"/>
    <w:rsid w:val="00B92812"/>
    <w:rsid w:val="00BB45A1"/>
    <w:rsid w:val="00BB7686"/>
    <w:rsid w:val="00BC23F9"/>
    <w:rsid w:val="00BC3421"/>
    <w:rsid w:val="00BC732C"/>
    <w:rsid w:val="00BD7F69"/>
    <w:rsid w:val="00BE2580"/>
    <w:rsid w:val="00BE266D"/>
    <w:rsid w:val="00BE3938"/>
    <w:rsid w:val="00BE4C11"/>
    <w:rsid w:val="00BE67D0"/>
    <w:rsid w:val="00BE71C0"/>
    <w:rsid w:val="00BE79CA"/>
    <w:rsid w:val="00BF2C67"/>
    <w:rsid w:val="00BF610C"/>
    <w:rsid w:val="00BF68A1"/>
    <w:rsid w:val="00C0060B"/>
    <w:rsid w:val="00C0277D"/>
    <w:rsid w:val="00C03FFB"/>
    <w:rsid w:val="00C053A1"/>
    <w:rsid w:val="00C1210A"/>
    <w:rsid w:val="00C16198"/>
    <w:rsid w:val="00C2083D"/>
    <w:rsid w:val="00C248AC"/>
    <w:rsid w:val="00C24A53"/>
    <w:rsid w:val="00C32BD5"/>
    <w:rsid w:val="00C34A05"/>
    <w:rsid w:val="00C35AF2"/>
    <w:rsid w:val="00C4032F"/>
    <w:rsid w:val="00C44047"/>
    <w:rsid w:val="00C45155"/>
    <w:rsid w:val="00C5498F"/>
    <w:rsid w:val="00C55235"/>
    <w:rsid w:val="00C64CD0"/>
    <w:rsid w:val="00C6684F"/>
    <w:rsid w:val="00C70E70"/>
    <w:rsid w:val="00C75F8D"/>
    <w:rsid w:val="00C762E3"/>
    <w:rsid w:val="00C77380"/>
    <w:rsid w:val="00C854D7"/>
    <w:rsid w:val="00C856C5"/>
    <w:rsid w:val="00C92D71"/>
    <w:rsid w:val="00C97736"/>
    <w:rsid w:val="00C97F8E"/>
    <w:rsid w:val="00CA345A"/>
    <w:rsid w:val="00CA5D6E"/>
    <w:rsid w:val="00CB066B"/>
    <w:rsid w:val="00CB1E82"/>
    <w:rsid w:val="00CB4BA8"/>
    <w:rsid w:val="00CB52D7"/>
    <w:rsid w:val="00CB68CD"/>
    <w:rsid w:val="00CC11EF"/>
    <w:rsid w:val="00CC3736"/>
    <w:rsid w:val="00CC6732"/>
    <w:rsid w:val="00CC7676"/>
    <w:rsid w:val="00CE0BE8"/>
    <w:rsid w:val="00CE3C96"/>
    <w:rsid w:val="00CE51A8"/>
    <w:rsid w:val="00CF0A88"/>
    <w:rsid w:val="00CF369B"/>
    <w:rsid w:val="00CF5F3F"/>
    <w:rsid w:val="00CF6D07"/>
    <w:rsid w:val="00D0002C"/>
    <w:rsid w:val="00D00E28"/>
    <w:rsid w:val="00D0269E"/>
    <w:rsid w:val="00D03DDE"/>
    <w:rsid w:val="00D045FF"/>
    <w:rsid w:val="00D15810"/>
    <w:rsid w:val="00D16D4E"/>
    <w:rsid w:val="00D16FE3"/>
    <w:rsid w:val="00D17468"/>
    <w:rsid w:val="00D27F41"/>
    <w:rsid w:val="00D3215B"/>
    <w:rsid w:val="00D36441"/>
    <w:rsid w:val="00D37BB1"/>
    <w:rsid w:val="00D4064E"/>
    <w:rsid w:val="00D44466"/>
    <w:rsid w:val="00D44E9B"/>
    <w:rsid w:val="00D47AEB"/>
    <w:rsid w:val="00D47B64"/>
    <w:rsid w:val="00D50DB9"/>
    <w:rsid w:val="00D51302"/>
    <w:rsid w:val="00D527B5"/>
    <w:rsid w:val="00D52C43"/>
    <w:rsid w:val="00D64449"/>
    <w:rsid w:val="00D6507F"/>
    <w:rsid w:val="00D730BC"/>
    <w:rsid w:val="00D73912"/>
    <w:rsid w:val="00D806CF"/>
    <w:rsid w:val="00D85226"/>
    <w:rsid w:val="00D87B94"/>
    <w:rsid w:val="00D92D49"/>
    <w:rsid w:val="00D92EC1"/>
    <w:rsid w:val="00D96D6F"/>
    <w:rsid w:val="00D96DEA"/>
    <w:rsid w:val="00DA0B64"/>
    <w:rsid w:val="00DA1504"/>
    <w:rsid w:val="00DA4E41"/>
    <w:rsid w:val="00DA73CE"/>
    <w:rsid w:val="00DB117A"/>
    <w:rsid w:val="00DB2176"/>
    <w:rsid w:val="00DB5173"/>
    <w:rsid w:val="00DB7873"/>
    <w:rsid w:val="00DC187B"/>
    <w:rsid w:val="00DD73C2"/>
    <w:rsid w:val="00DE319B"/>
    <w:rsid w:val="00DE6F6E"/>
    <w:rsid w:val="00DF34AB"/>
    <w:rsid w:val="00DF34FE"/>
    <w:rsid w:val="00DF56AA"/>
    <w:rsid w:val="00DF56AF"/>
    <w:rsid w:val="00DF78E7"/>
    <w:rsid w:val="00E110E0"/>
    <w:rsid w:val="00E124B7"/>
    <w:rsid w:val="00E15371"/>
    <w:rsid w:val="00E166F8"/>
    <w:rsid w:val="00E22D6A"/>
    <w:rsid w:val="00E24104"/>
    <w:rsid w:val="00E26251"/>
    <w:rsid w:val="00E302D0"/>
    <w:rsid w:val="00E35707"/>
    <w:rsid w:val="00E36806"/>
    <w:rsid w:val="00E36AA1"/>
    <w:rsid w:val="00E41ECB"/>
    <w:rsid w:val="00E51D5D"/>
    <w:rsid w:val="00E52B47"/>
    <w:rsid w:val="00E54FDB"/>
    <w:rsid w:val="00E5617D"/>
    <w:rsid w:val="00E563D7"/>
    <w:rsid w:val="00E663F4"/>
    <w:rsid w:val="00E666F2"/>
    <w:rsid w:val="00E66DD4"/>
    <w:rsid w:val="00E748CC"/>
    <w:rsid w:val="00E75415"/>
    <w:rsid w:val="00E775B1"/>
    <w:rsid w:val="00E8152A"/>
    <w:rsid w:val="00E84E52"/>
    <w:rsid w:val="00E93629"/>
    <w:rsid w:val="00E93B5C"/>
    <w:rsid w:val="00E94CEC"/>
    <w:rsid w:val="00EA04EF"/>
    <w:rsid w:val="00EA43A0"/>
    <w:rsid w:val="00EA5664"/>
    <w:rsid w:val="00EA6DFA"/>
    <w:rsid w:val="00EA6F19"/>
    <w:rsid w:val="00EB7090"/>
    <w:rsid w:val="00EC089D"/>
    <w:rsid w:val="00EC1BBE"/>
    <w:rsid w:val="00EC5CD7"/>
    <w:rsid w:val="00ED7139"/>
    <w:rsid w:val="00EE1286"/>
    <w:rsid w:val="00EE5FB3"/>
    <w:rsid w:val="00EE6A41"/>
    <w:rsid w:val="00EE7F79"/>
    <w:rsid w:val="00EF31C5"/>
    <w:rsid w:val="00EF6888"/>
    <w:rsid w:val="00EF715A"/>
    <w:rsid w:val="00F0393A"/>
    <w:rsid w:val="00F066ED"/>
    <w:rsid w:val="00F06E14"/>
    <w:rsid w:val="00F119D5"/>
    <w:rsid w:val="00F179D4"/>
    <w:rsid w:val="00F212AB"/>
    <w:rsid w:val="00F33C56"/>
    <w:rsid w:val="00F347C7"/>
    <w:rsid w:val="00F34848"/>
    <w:rsid w:val="00F36117"/>
    <w:rsid w:val="00F42D46"/>
    <w:rsid w:val="00F4496C"/>
    <w:rsid w:val="00F44F3A"/>
    <w:rsid w:val="00F47A60"/>
    <w:rsid w:val="00F51F10"/>
    <w:rsid w:val="00F529A5"/>
    <w:rsid w:val="00F5362C"/>
    <w:rsid w:val="00F53F1F"/>
    <w:rsid w:val="00F569D1"/>
    <w:rsid w:val="00F60F00"/>
    <w:rsid w:val="00F614C0"/>
    <w:rsid w:val="00F617C3"/>
    <w:rsid w:val="00F61C6B"/>
    <w:rsid w:val="00F6442F"/>
    <w:rsid w:val="00F7582F"/>
    <w:rsid w:val="00F76848"/>
    <w:rsid w:val="00F8186F"/>
    <w:rsid w:val="00F83848"/>
    <w:rsid w:val="00F918F7"/>
    <w:rsid w:val="00F9655D"/>
    <w:rsid w:val="00F975E9"/>
    <w:rsid w:val="00FA1B7D"/>
    <w:rsid w:val="00FA6404"/>
    <w:rsid w:val="00FB3CA6"/>
    <w:rsid w:val="00FC07B9"/>
    <w:rsid w:val="00FC4E21"/>
    <w:rsid w:val="00FC5F6D"/>
    <w:rsid w:val="00FD0107"/>
    <w:rsid w:val="00FD1FE6"/>
    <w:rsid w:val="00FD2C2F"/>
    <w:rsid w:val="00FD3B31"/>
    <w:rsid w:val="00FE1823"/>
    <w:rsid w:val="00FE3549"/>
    <w:rsid w:val="00FE487A"/>
    <w:rsid w:val="00FE6B99"/>
    <w:rsid w:val="00FF0569"/>
    <w:rsid w:val="00FF206E"/>
    <w:rsid w:val="00FF3C69"/>
    <w:rsid w:val="00FF6E0A"/>
    <w:rsid w:val="00FF734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red,#4d4d4f"/>
    </o:shapedefaults>
    <o:shapelayout v:ext="edit">
      <o:idmap v:ext="edit" data="1"/>
    </o:shapelayout>
  </w:shapeDefaults>
  <w:decimalSymbol w:val="."/>
  <w:listSeparator w:val=","/>
  <w14:docId w14:val="7322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ListParagraph">
    <w:name w:val="List Paragraph"/>
    <w:basedOn w:val="Normal"/>
    <w:uiPriority w:val="34"/>
    <w:qFormat/>
    <w:rsid w:val="004C3A7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basedOn w:val="DefaultParagraphFont"/>
    <w:link w:val="FootnoteText"/>
    <w:locked/>
    <w:rsid w:val="004C3A76"/>
    <w:rPr>
      <w:rFonts w:ascii="Arial" w:hAnsi="Arial"/>
      <w:sz w:val="16"/>
      <w:szCs w:val="16"/>
    </w:rPr>
  </w:style>
  <w:style w:type="character" w:customStyle="1" w:styleId="Heading2Char">
    <w:name w:val="Heading 2 Char"/>
    <w:basedOn w:val="DefaultParagraphFont"/>
    <w:link w:val="Heading2"/>
    <w:rsid w:val="004C3A76"/>
    <w:rPr>
      <w:rFonts w:ascii="Arial" w:hAnsi="Arial" w:cs="Arial"/>
      <w:b/>
      <w:bCs/>
      <w:iCs/>
      <w:sz w:val="28"/>
      <w:szCs w:val="28"/>
    </w:rPr>
  </w:style>
  <w:style w:type="paragraph" w:customStyle="1" w:styleId="ACMAletteredlist">
    <w:name w:val="ACMA lettered list"/>
    <w:rsid w:val="004C3A76"/>
    <w:pPr>
      <w:numPr>
        <w:numId w:val="14"/>
      </w:numPr>
      <w:spacing w:before="20" w:after="20"/>
    </w:pPr>
    <w:rPr>
      <w:szCs w:val="20"/>
      <w:lang w:eastAsia="en-US"/>
    </w:rPr>
  </w:style>
  <w:style w:type="paragraph" w:styleId="Revision">
    <w:name w:val="Revision"/>
    <w:hidden/>
    <w:semiHidden/>
    <w:rsid w:val="001967C6"/>
    <w:rPr>
      <w:rFonts w:ascii="Arial" w:hAnsi="Arial"/>
      <w:sz w:val="20"/>
    </w:rPr>
  </w:style>
  <w:style w:type="paragraph" w:customStyle="1" w:styleId="Default">
    <w:name w:val="Default"/>
    <w:rsid w:val="009303A7"/>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5085">
      <w:bodyDiv w:val="1"/>
      <w:marLeft w:val="0"/>
      <w:marRight w:val="0"/>
      <w:marTop w:val="0"/>
      <w:marBottom w:val="0"/>
      <w:divBdr>
        <w:top w:val="none" w:sz="0" w:space="0" w:color="auto"/>
        <w:left w:val="none" w:sz="0" w:space="0" w:color="auto"/>
        <w:bottom w:val="none" w:sz="0" w:space="0" w:color="auto"/>
        <w:right w:val="none" w:sz="0" w:space="0" w:color="auto"/>
      </w:divBdr>
    </w:div>
    <w:div w:id="198472526">
      <w:bodyDiv w:val="1"/>
      <w:marLeft w:val="0"/>
      <w:marRight w:val="0"/>
      <w:marTop w:val="0"/>
      <w:marBottom w:val="0"/>
      <w:divBdr>
        <w:top w:val="none" w:sz="0" w:space="0" w:color="auto"/>
        <w:left w:val="none" w:sz="0" w:space="0" w:color="auto"/>
        <w:bottom w:val="none" w:sz="0" w:space="0" w:color="auto"/>
        <w:right w:val="none" w:sz="0" w:space="0" w:color="auto"/>
      </w:divBdr>
    </w:div>
    <w:div w:id="806899381">
      <w:bodyDiv w:val="1"/>
      <w:marLeft w:val="0"/>
      <w:marRight w:val="0"/>
      <w:marTop w:val="0"/>
      <w:marBottom w:val="0"/>
      <w:divBdr>
        <w:top w:val="none" w:sz="0" w:space="0" w:color="auto"/>
        <w:left w:val="none" w:sz="0" w:space="0" w:color="auto"/>
        <w:bottom w:val="none" w:sz="0" w:space="0" w:color="auto"/>
        <w:right w:val="none" w:sz="0" w:space="0" w:color="auto"/>
      </w:divBdr>
    </w:div>
    <w:div w:id="1545213433">
      <w:bodyDiv w:val="1"/>
      <w:marLeft w:val="0"/>
      <w:marRight w:val="0"/>
      <w:marTop w:val="0"/>
      <w:marBottom w:val="0"/>
      <w:divBdr>
        <w:top w:val="none" w:sz="0" w:space="0" w:color="auto"/>
        <w:left w:val="none" w:sz="0" w:space="0" w:color="auto"/>
        <w:bottom w:val="none" w:sz="0" w:space="0" w:color="auto"/>
        <w:right w:val="none" w:sz="0" w:space="0" w:color="auto"/>
      </w:divBdr>
    </w:div>
    <w:div w:id="1677877787">
      <w:bodyDiv w:val="1"/>
      <w:marLeft w:val="0"/>
      <w:marRight w:val="0"/>
      <w:marTop w:val="0"/>
      <w:marBottom w:val="0"/>
      <w:divBdr>
        <w:top w:val="none" w:sz="0" w:space="0" w:color="auto"/>
        <w:left w:val="none" w:sz="0" w:space="0" w:color="auto"/>
        <w:bottom w:val="none" w:sz="0" w:space="0" w:color="auto"/>
        <w:right w:val="none" w:sz="0" w:space="0" w:color="auto"/>
      </w:divBdr>
    </w:div>
    <w:div w:id="1944419080">
      <w:bodyDiv w:val="1"/>
      <w:marLeft w:val="0"/>
      <w:marRight w:val="0"/>
      <w:marTop w:val="0"/>
      <w:marBottom w:val="0"/>
      <w:divBdr>
        <w:top w:val="none" w:sz="0" w:space="0" w:color="auto"/>
        <w:left w:val="none" w:sz="0" w:space="0" w:color="auto"/>
        <w:bottom w:val="none" w:sz="0" w:space="0" w:color="auto"/>
        <w:right w:val="none" w:sz="0" w:space="0" w:color="auto"/>
      </w:divBdr>
    </w:div>
    <w:div w:id="19727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ndinfo@acma.gov.au"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creativecommons.org/l/by/3.0/88x31.png" TargetMode="External"/><Relationship Id="rId22" Type="http://schemas.openxmlformats.org/officeDocument/2006/relationships/header" Target="header6.xml"/><Relationship Id="rId27" Type="http://schemas.openxmlformats.org/officeDocument/2006/relationships/hyperlink" Target="http://www.acma.gov.au/theACMA/proposed-update-to-the-australian-radiofrequency-spectrum-plan" TargetMode="External"/><Relationship Id="rId30"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B4D8-24FC-4F70-80AD-71BAB7E0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4151</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2016-12-21T22:35:00Z</dcterms:created>
  <dcterms:modified xsi:type="dcterms:W3CDTF">2016-12-21T22:35:00Z</dcterms:modified>
  <cp:category/>
</cp:coreProperties>
</file>