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91C2C" w14:textId="5B72248D" w:rsidR="00BE459D" w:rsidRDefault="00B30A6C" w:rsidP="0033104B">
      <w:pPr>
        <w:pStyle w:val="ACMAHeading1"/>
        <w:spacing w:before="960" w:after="240"/>
      </w:pPr>
      <w:r w:rsidRPr="002B0831">
        <w:t>Investigation</w:t>
      </w:r>
      <w:r>
        <w:t xml:space="preserve"> </w:t>
      </w:r>
      <w:r w:rsidR="0079419E">
        <w:t>r</w:t>
      </w:r>
      <w:r>
        <w:t xml:space="preserve">eport </w:t>
      </w:r>
      <w:r w:rsidR="0079419E">
        <w:t>n</w:t>
      </w:r>
      <w:r>
        <w:t xml:space="preserve">o. </w:t>
      </w:r>
      <w:r w:rsidR="00D370F3">
        <w:t>BI-453</w:t>
      </w:r>
    </w:p>
    <w:tbl>
      <w:tblPr>
        <w:tblStyle w:val="TableGrid"/>
        <w:tblW w:w="8336" w:type="dxa"/>
        <w:tblLook w:val="0420" w:firstRow="1" w:lastRow="0" w:firstColumn="0" w:lastColumn="0" w:noHBand="0" w:noVBand="1"/>
        <w:tblCaption w:val="Summary"/>
        <w:tblDescription w:val="Provides a summary of the File number, broadcaster licensee, station, type of service, name of program, date(s) of braodcast and relevant legislation, standard or code."/>
      </w:tblPr>
      <w:tblGrid>
        <w:gridCol w:w="2612"/>
        <w:gridCol w:w="5724"/>
      </w:tblGrid>
      <w:tr w:rsidR="005E47E5" w14:paraId="518214DE"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Pr>
          <w:p w14:paraId="7EDA8924" w14:textId="77777777" w:rsidR="005E47E5" w:rsidRPr="0033104B" w:rsidRDefault="003E08A5" w:rsidP="0033104B">
            <w:pPr>
              <w:pStyle w:val="ACMATableHeading"/>
            </w:pPr>
            <w:bookmarkStart w:id="0" w:name="ColumnTitle"/>
            <w:r w:rsidRPr="0033104B">
              <w:t>Summary</w:t>
            </w:r>
          </w:p>
        </w:tc>
        <w:tc>
          <w:tcPr>
            <w:tcW w:w="5724" w:type="dxa"/>
          </w:tcPr>
          <w:p w14:paraId="20CC1D05" w14:textId="77777777" w:rsidR="005E47E5" w:rsidRPr="00B261EE" w:rsidRDefault="005E47E5" w:rsidP="00611ADF">
            <w:pPr>
              <w:pStyle w:val="ACMATableHeading"/>
            </w:pPr>
          </w:p>
        </w:tc>
      </w:tr>
      <w:bookmarkEnd w:id="0"/>
      <w:tr w:rsidR="005E47E5" w14:paraId="2A698393"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06677081" w14:textId="2597CD0B" w:rsidR="005E47E5" w:rsidRPr="00D370F3" w:rsidRDefault="00B30A6C" w:rsidP="0033104B">
            <w:pPr>
              <w:pStyle w:val="ACMATableBody"/>
              <w:rPr>
                <w:b/>
              </w:rPr>
            </w:pPr>
            <w:r w:rsidRPr="00D370F3">
              <w:rPr>
                <w:b/>
              </w:rPr>
              <w:t>Licensee</w:t>
            </w:r>
          </w:p>
        </w:tc>
        <w:tc>
          <w:tcPr>
            <w:tcW w:w="5724" w:type="dxa"/>
            <w:tcBorders>
              <w:top w:val="single" w:sz="4" w:space="0" w:color="auto"/>
              <w:left w:val="single" w:sz="4" w:space="0" w:color="auto"/>
              <w:bottom w:val="single" w:sz="4" w:space="0" w:color="auto"/>
            </w:tcBorders>
            <w:shd w:val="clear" w:color="auto" w:fill="auto"/>
          </w:tcPr>
          <w:p w14:paraId="4953AEE6" w14:textId="041B8290" w:rsidR="005E47E5" w:rsidRPr="00D370F3" w:rsidRDefault="00D370F3" w:rsidP="0033104B">
            <w:pPr>
              <w:pStyle w:val="ACMATableBody"/>
            </w:pPr>
            <w:r w:rsidRPr="00D370F3">
              <w:t xml:space="preserve">Peedac Pty </w:t>
            </w:r>
            <w:r>
              <w:t>Ltd</w:t>
            </w:r>
          </w:p>
        </w:tc>
      </w:tr>
      <w:tr w:rsidR="005E47E5" w14:paraId="480ECE3B"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2CE965F6" w14:textId="77777777" w:rsidR="005E47E5" w:rsidRPr="00D370F3" w:rsidRDefault="005E47E5" w:rsidP="0033104B">
            <w:pPr>
              <w:pStyle w:val="ACMATableBody"/>
              <w:rPr>
                <w:b/>
              </w:rPr>
            </w:pPr>
            <w:r w:rsidRPr="00D370F3">
              <w:rPr>
                <w:b/>
              </w:rPr>
              <w:t>Station</w:t>
            </w:r>
          </w:p>
        </w:tc>
        <w:tc>
          <w:tcPr>
            <w:tcW w:w="5724" w:type="dxa"/>
            <w:tcBorders>
              <w:top w:val="single" w:sz="4" w:space="0" w:color="auto"/>
              <w:left w:val="single" w:sz="4" w:space="0" w:color="auto"/>
              <w:bottom w:val="single" w:sz="4" w:space="0" w:color="auto"/>
            </w:tcBorders>
            <w:shd w:val="clear" w:color="auto" w:fill="auto"/>
          </w:tcPr>
          <w:p w14:paraId="10F953C1" w14:textId="7C83FE59" w:rsidR="005E47E5" w:rsidRPr="00D370F3" w:rsidRDefault="00D370F3" w:rsidP="0033104B">
            <w:pPr>
              <w:pStyle w:val="ACMATableBody"/>
            </w:pPr>
            <w:r w:rsidRPr="00D370F3">
              <w:t>6MNE</w:t>
            </w:r>
          </w:p>
        </w:tc>
      </w:tr>
      <w:tr w:rsidR="005E47E5" w14:paraId="5C7A094E"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7B0A9355" w14:textId="77777777" w:rsidR="005E47E5" w:rsidRPr="00D370F3" w:rsidRDefault="00A04A54" w:rsidP="0033104B">
            <w:pPr>
              <w:pStyle w:val="ACMATableBody"/>
              <w:rPr>
                <w:b/>
              </w:rPr>
            </w:pPr>
            <w:r w:rsidRPr="00D370F3">
              <w:rPr>
                <w:b/>
              </w:rPr>
              <w:t>Type of s</w:t>
            </w:r>
            <w:r w:rsidR="005E47E5" w:rsidRPr="00D370F3">
              <w:rPr>
                <w:b/>
              </w:rPr>
              <w:t>ervice</w:t>
            </w:r>
          </w:p>
        </w:tc>
        <w:tc>
          <w:tcPr>
            <w:tcW w:w="5724" w:type="dxa"/>
            <w:tcBorders>
              <w:top w:val="single" w:sz="4" w:space="0" w:color="auto"/>
              <w:left w:val="single" w:sz="4" w:space="0" w:color="auto"/>
              <w:bottom w:val="single" w:sz="4" w:space="0" w:color="auto"/>
            </w:tcBorders>
            <w:shd w:val="clear" w:color="auto" w:fill="auto"/>
          </w:tcPr>
          <w:p w14:paraId="5FC32547" w14:textId="5C9C5346" w:rsidR="005E47E5" w:rsidRPr="00D370F3" w:rsidRDefault="00D370F3" w:rsidP="000F12E8">
            <w:pPr>
              <w:pStyle w:val="ACMATableBody"/>
            </w:pPr>
            <w:r w:rsidRPr="00D370F3">
              <w:t>Community Broadcasting – radio</w:t>
            </w:r>
          </w:p>
        </w:tc>
      </w:tr>
      <w:tr w:rsidR="005E47E5" w14:paraId="65766E86"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35613752" w14:textId="75B16BD1" w:rsidR="005E47E5" w:rsidRPr="00D370F3" w:rsidRDefault="00B30A6C" w:rsidP="0033104B">
            <w:pPr>
              <w:pStyle w:val="ACMATableBody"/>
              <w:rPr>
                <w:b/>
              </w:rPr>
            </w:pPr>
            <w:r w:rsidRPr="00D370F3">
              <w:rPr>
                <w:b/>
              </w:rPr>
              <w:t>Relevant legislation</w:t>
            </w:r>
          </w:p>
        </w:tc>
        <w:tc>
          <w:tcPr>
            <w:tcW w:w="5724" w:type="dxa"/>
            <w:tcBorders>
              <w:top w:val="single" w:sz="4" w:space="0" w:color="auto"/>
              <w:left w:val="single" w:sz="4" w:space="0" w:color="auto"/>
              <w:bottom w:val="single" w:sz="4" w:space="0" w:color="auto"/>
            </w:tcBorders>
            <w:shd w:val="clear" w:color="auto" w:fill="auto"/>
          </w:tcPr>
          <w:p w14:paraId="6D941855" w14:textId="2C631AF3" w:rsidR="005E47E5" w:rsidRPr="00D370F3" w:rsidRDefault="00D370F3" w:rsidP="00747CC0">
            <w:pPr>
              <w:pStyle w:val="ACMATableBody"/>
            </w:pPr>
            <w:r w:rsidRPr="00D370F3">
              <w:rPr>
                <w:rFonts w:cs="Arial"/>
              </w:rPr>
              <w:t>Sub-p</w:t>
            </w:r>
            <w:r w:rsidR="005C5EB3" w:rsidRPr="00D370F3">
              <w:rPr>
                <w:rFonts w:cs="Arial"/>
              </w:rPr>
              <w:t>aragraph</w:t>
            </w:r>
            <w:r w:rsidRPr="00D370F3">
              <w:rPr>
                <w:rFonts w:cs="Arial"/>
              </w:rPr>
              <w:t xml:space="preserve"> 9(2)(c)(i) of Schedule 2 to the </w:t>
            </w:r>
            <w:r w:rsidRPr="00D370F3">
              <w:rPr>
                <w:rFonts w:cs="Arial"/>
                <w:i/>
              </w:rPr>
              <w:t>Broadcasting Services Act 1992</w:t>
            </w:r>
          </w:p>
        </w:tc>
      </w:tr>
      <w:tr w:rsidR="0006380C" w14:paraId="30C36ABC" w14:textId="77777777" w:rsidTr="0006380C">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11620427" w14:textId="1E52C3DF" w:rsidR="0006380C" w:rsidRPr="00F00145" w:rsidRDefault="0006380C" w:rsidP="00754C70">
            <w:pPr>
              <w:pStyle w:val="ACMATableBody"/>
              <w:rPr>
                <w:b/>
              </w:rPr>
            </w:pPr>
            <w:r>
              <w:rPr>
                <w:b/>
              </w:rPr>
              <w:t>Date Finalised</w:t>
            </w:r>
          </w:p>
        </w:tc>
        <w:tc>
          <w:tcPr>
            <w:tcW w:w="5724" w:type="dxa"/>
            <w:tcBorders>
              <w:top w:val="single" w:sz="4" w:space="0" w:color="auto"/>
              <w:left w:val="single" w:sz="4" w:space="0" w:color="auto"/>
              <w:bottom w:val="single" w:sz="4" w:space="0" w:color="auto"/>
            </w:tcBorders>
            <w:shd w:val="clear" w:color="auto" w:fill="auto"/>
          </w:tcPr>
          <w:p w14:paraId="784601E3" w14:textId="3301888F" w:rsidR="0006380C" w:rsidRPr="00F00145" w:rsidRDefault="0006380C" w:rsidP="0088427E">
            <w:pPr>
              <w:pStyle w:val="ACMATableBody"/>
              <w:rPr>
                <w:rFonts w:cs="Arial"/>
              </w:rPr>
            </w:pPr>
            <w:r>
              <w:rPr>
                <w:rFonts w:cs="Arial"/>
              </w:rPr>
              <w:t>28 March 2019</w:t>
            </w:r>
          </w:p>
        </w:tc>
      </w:tr>
      <w:tr w:rsidR="00684B32" w14:paraId="41F1E328"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0B7AF3A8" w14:textId="49FE7123" w:rsidR="00684B32" w:rsidRPr="0033104B" w:rsidRDefault="0088427E" w:rsidP="00754C70">
            <w:pPr>
              <w:pStyle w:val="ACMATableBody"/>
              <w:rPr>
                <w:b/>
              </w:rPr>
            </w:pPr>
            <w:bookmarkStart w:id="1" w:name="_GoBack"/>
            <w:bookmarkEnd w:id="1"/>
            <w:r>
              <w:rPr>
                <w:b/>
              </w:rPr>
              <w:t>Decision</w:t>
            </w:r>
          </w:p>
        </w:tc>
        <w:tc>
          <w:tcPr>
            <w:tcW w:w="5724" w:type="dxa"/>
            <w:tcBorders>
              <w:top w:val="single" w:sz="4" w:space="0" w:color="auto"/>
              <w:left w:val="single" w:sz="4" w:space="0" w:color="auto"/>
              <w:bottom w:val="single" w:sz="4" w:space="0" w:color="auto"/>
            </w:tcBorders>
            <w:shd w:val="clear" w:color="auto" w:fill="auto"/>
          </w:tcPr>
          <w:p w14:paraId="2FD2B837" w14:textId="090C5229" w:rsidR="00684B32" w:rsidRPr="00D370F3" w:rsidRDefault="0088427E" w:rsidP="0088427E">
            <w:pPr>
              <w:pStyle w:val="ACMATableBody"/>
              <w:rPr>
                <w:rFonts w:cs="Arial"/>
                <w:highlight w:val="yellow"/>
              </w:rPr>
            </w:pPr>
            <w:r w:rsidRPr="00F00145">
              <w:rPr>
                <w:rFonts w:cs="Arial"/>
              </w:rPr>
              <w:t>Breach</w:t>
            </w:r>
            <w:r w:rsidRPr="004132DE">
              <w:rPr>
                <w:rFonts w:cs="Arial"/>
              </w:rPr>
              <w:t xml:space="preserve"> of </w:t>
            </w:r>
            <w:r w:rsidR="00F00145">
              <w:rPr>
                <w:rFonts w:cs="Arial"/>
              </w:rPr>
              <w:t>s</w:t>
            </w:r>
            <w:r w:rsidR="00D370F3" w:rsidRPr="00D370F3">
              <w:rPr>
                <w:rFonts w:cs="Arial"/>
              </w:rPr>
              <w:t xml:space="preserve">ub-paragraph 9(2)(c)(i) of Schedule 2 to the </w:t>
            </w:r>
            <w:r w:rsidR="00D370F3" w:rsidRPr="00D370F3">
              <w:rPr>
                <w:rFonts w:cs="Arial"/>
                <w:i/>
              </w:rPr>
              <w:t>Broadcasting Services Act 1992</w:t>
            </w:r>
            <w:r w:rsidR="00D370F3">
              <w:rPr>
                <w:rFonts w:cs="Arial"/>
              </w:rPr>
              <w:t xml:space="preserve"> [encouraging community participation in the operations of the service]</w:t>
            </w:r>
          </w:p>
        </w:tc>
      </w:tr>
    </w:tbl>
    <w:p w14:paraId="77A452D0" w14:textId="77777777" w:rsidR="001C6546" w:rsidRPr="00972DB3" w:rsidRDefault="00D668E3" w:rsidP="00972DB3">
      <w:pPr>
        <w:pStyle w:val="ACMABodyText"/>
        <w:rPr>
          <w:rFonts w:eastAsiaTheme="minorHAnsi"/>
          <w:i/>
        </w:rPr>
      </w:pPr>
      <w:r>
        <w:br w:type="page"/>
      </w:r>
    </w:p>
    <w:p w14:paraId="7609FB3B" w14:textId="77777777" w:rsidR="001C6546" w:rsidRPr="007A7C97" w:rsidRDefault="007B047A" w:rsidP="001C6546">
      <w:pPr>
        <w:pStyle w:val="ACMAHeading2"/>
      </w:pPr>
      <w:r>
        <w:lastRenderedPageBreak/>
        <w:t>Background</w:t>
      </w:r>
    </w:p>
    <w:p w14:paraId="4822A989" w14:textId="39930189" w:rsidR="008B56DB" w:rsidRDefault="008B56DB" w:rsidP="001C6546">
      <w:pPr>
        <w:pStyle w:val="ACMABodyText"/>
      </w:pPr>
      <w:r>
        <w:t>On 13</w:t>
      </w:r>
      <w:r w:rsidR="001C6546">
        <w:t xml:space="preserve"> </w:t>
      </w:r>
      <w:r w:rsidR="00833A47">
        <w:t>December 2018</w:t>
      </w:r>
      <w:r w:rsidR="001C6546">
        <w:t xml:space="preserve">, the Australian Communications and Media Authority (the ACMA) </w:t>
      </w:r>
      <w:r>
        <w:t xml:space="preserve">received correspondence raising concerns </w:t>
      </w:r>
      <w:r w:rsidR="00B50AD0">
        <w:t>that the licensee of 6NME, Peedac Pty Ltd (the licensee), is not encouraging community participation in the operations of the service.</w:t>
      </w:r>
    </w:p>
    <w:p w14:paraId="0DB340C4" w14:textId="07FCA75A" w:rsidR="00786840" w:rsidRPr="0067631F" w:rsidRDefault="00786840" w:rsidP="00786840">
      <w:pPr>
        <w:pStyle w:val="ACMABodyText"/>
      </w:pPr>
      <w:r>
        <w:t>O</w:t>
      </w:r>
      <w:r w:rsidRPr="0039243D">
        <w:t>n 1</w:t>
      </w:r>
      <w:r w:rsidR="00592FE3">
        <w:t>6</w:t>
      </w:r>
      <w:r w:rsidRPr="0039243D">
        <w:t xml:space="preserve"> </w:t>
      </w:r>
      <w:r>
        <w:t>January 2019</w:t>
      </w:r>
      <w:r w:rsidRPr="0039243D">
        <w:t xml:space="preserve">, the ACMA commenced an investigation under section 170 of the </w:t>
      </w:r>
      <w:r w:rsidRPr="0039243D">
        <w:rPr>
          <w:i/>
        </w:rPr>
        <w:t xml:space="preserve">Broadcasting Services Act 1992 </w:t>
      </w:r>
      <w:r w:rsidRPr="0039243D">
        <w:t xml:space="preserve">(the BSA) into the licensee’s compliance with </w:t>
      </w:r>
      <w:r>
        <w:t xml:space="preserve">the licence condition at </w:t>
      </w:r>
      <w:r w:rsidRPr="0039243D">
        <w:rPr>
          <w:rFonts w:cs="Arial"/>
        </w:rPr>
        <w:t xml:space="preserve">sub-paragraph 9(2)(c)(i) (encouraging </w:t>
      </w:r>
      <w:r>
        <w:rPr>
          <w:rFonts w:cs="Arial"/>
        </w:rPr>
        <w:t xml:space="preserve">community </w:t>
      </w:r>
      <w:r w:rsidRPr="0039243D">
        <w:rPr>
          <w:rFonts w:cs="Arial"/>
        </w:rPr>
        <w:t xml:space="preserve">participation in </w:t>
      </w:r>
      <w:r>
        <w:rPr>
          <w:rFonts w:cs="Arial"/>
        </w:rPr>
        <w:t>operations of the licensee in providing the service or services</w:t>
      </w:r>
      <w:r w:rsidRPr="0039243D">
        <w:rPr>
          <w:rFonts w:cs="Arial"/>
        </w:rPr>
        <w:t xml:space="preserve">) of Schedule 2 to </w:t>
      </w:r>
      <w:r w:rsidRPr="0067631F">
        <w:rPr>
          <w:rFonts w:cs="Arial"/>
        </w:rPr>
        <w:t xml:space="preserve">the </w:t>
      </w:r>
      <w:r w:rsidRPr="00D832E3">
        <w:rPr>
          <w:rFonts w:cs="Arial"/>
        </w:rPr>
        <w:t>BSA</w:t>
      </w:r>
      <w:r w:rsidRPr="00D832E3">
        <w:t>.</w:t>
      </w:r>
    </w:p>
    <w:p w14:paraId="42942BA2" w14:textId="3E899273" w:rsidR="008971BB" w:rsidRDefault="008971BB" w:rsidP="0024000F">
      <w:pPr>
        <w:pStyle w:val="ACMAHeading2"/>
      </w:pPr>
      <w:r>
        <w:t>The licensee</w:t>
      </w:r>
    </w:p>
    <w:p w14:paraId="76357B25" w14:textId="17477F10" w:rsidR="008971BB" w:rsidRDefault="008971BB" w:rsidP="006D5389">
      <w:pPr>
        <w:pStyle w:val="ABABodyText"/>
        <w:spacing w:before="0" w:after="240" w:line="240" w:lineRule="auto"/>
        <w:rPr>
          <w:rFonts w:ascii="Arial" w:hAnsi="Arial" w:cs="Arial"/>
          <w:sz w:val="20"/>
          <w:szCs w:val="24"/>
        </w:rPr>
      </w:pPr>
      <w:r>
        <w:rPr>
          <w:rFonts w:ascii="Arial" w:hAnsi="Arial" w:cs="Arial"/>
          <w:sz w:val="20"/>
        </w:rPr>
        <w:t>The licensee</w:t>
      </w:r>
      <w:r w:rsidRPr="00372733">
        <w:rPr>
          <w:rFonts w:ascii="Arial" w:hAnsi="Arial" w:cs="Arial"/>
          <w:sz w:val="20"/>
        </w:rPr>
        <w:t xml:space="preserve"> has held</w:t>
      </w:r>
      <w:r w:rsidRPr="00372733">
        <w:rPr>
          <w:rFonts w:ascii="Arial" w:hAnsi="Arial" w:cs="Arial"/>
          <w:sz w:val="20"/>
          <w:szCs w:val="24"/>
        </w:rPr>
        <w:t xml:space="preserve"> a long-term community radio broadcasting licence to represent the </w:t>
      </w:r>
      <w:r>
        <w:rPr>
          <w:rFonts w:ascii="Arial" w:hAnsi="Arial" w:cs="Arial"/>
          <w:sz w:val="20"/>
          <w:szCs w:val="24"/>
        </w:rPr>
        <w:t>I</w:t>
      </w:r>
      <w:r w:rsidRPr="00372733">
        <w:rPr>
          <w:rFonts w:ascii="Arial" w:hAnsi="Arial" w:cs="Arial"/>
          <w:sz w:val="20"/>
          <w:szCs w:val="24"/>
        </w:rPr>
        <w:t xml:space="preserve">ndigenous community interest in the Perth RA1 licence </w:t>
      </w:r>
      <w:r w:rsidRPr="00245ABA">
        <w:rPr>
          <w:rFonts w:ascii="Arial" w:hAnsi="Arial" w:cs="Arial"/>
          <w:sz w:val="20"/>
        </w:rPr>
        <w:t>area since 22 January 2008. The</w:t>
      </w:r>
      <w:r w:rsidRPr="00372733">
        <w:rPr>
          <w:rFonts w:ascii="Arial" w:hAnsi="Arial" w:cs="Arial"/>
          <w:sz w:val="20"/>
          <w:szCs w:val="24"/>
        </w:rPr>
        <w:t xml:space="preserve"> expiry date of the current licence is 21 January 2023.</w:t>
      </w:r>
    </w:p>
    <w:p w14:paraId="0B6430D5" w14:textId="465E5251" w:rsidR="000579AD" w:rsidRDefault="006D5389" w:rsidP="000579AD">
      <w:pPr>
        <w:pStyle w:val="ABABodyText"/>
        <w:spacing w:before="0" w:after="240" w:line="240" w:lineRule="auto"/>
        <w:rPr>
          <w:rFonts w:ascii="Arial" w:hAnsi="Arial" w:cs="Arial"/>
          <w:sz w:val="20"/>
        </w:rPr>
      </w:pPr>
      <w:r>
        <w:rPr>
          <w:rFonts w:ascii="Arial" w:hAnsi="Arial" w:cs="Arial"/>
          <w:sz w:val="20"/>
          <w:szCs w:val="24"/>
        </w:rPr>
        <w:t xml:space="preserve">The licensee is an Indigenous </w:t>
      </w:r>
      <w:r w:rsidR="0033336E">
        <w:rPr>
          <w:rFonts w:ascii="Arial" w:hAnsi="Arial" w:cs="Arial"/>
          <w:sz w:val="20"/>
          <w:szCs w:val="24"/>
        </w:rPr>
        <w:t xml:space="preserve">organisation </w:t>
      </w:r>
      <w:r>
        <w:rPr>
          <w:rFonts w:ascii="Arial" w:hAnsi="Arial" w:cs="Arial"/>
          <w:sz w:val="20"/>
          <w:szCs w:val="24"/>
        </w:rPr>
        <w:t xml:space="preserve">that </w:t>
      </w:r>
      <w:r w:rsidR="000579AD">
        <w:rPr>
          <w:rFonts w:ascii="Arial" w:hAnsi="Arial" w:cs="Arial"/>
          <w:sz w:val="20"/>
          <w:szCs w:val="24"/>
        </w:rPr>
        <w:t>oversees a</w:t>
      </w:r>
      <w:r w:rsidR="00BD77AA">
        <w:rPr>
          <w:rFonts w:ascii="Arial" w:hAnsi="Arial" w:cs="Arial"/>
          <w:sz w:val="20"/>
          <w:szCs w:val="24"/>
        </w:rPr>
        <w:t xml:space="preserve"> diverse portfolio</w:t>
      </w:r>
      <w:r w:rsidR="00592FE3">
        <w:rPr>
          <w:rFonts w:ascii="Arial" w:hAnsi="Arial" w:cs="Arial"/>
          <w:sz w:val="20"/>
          <w:szCs w:val="24"/>
        </w:rPr>
        <w:t>. The licensee stated this encompasses:</w:t>
      </w:r>
    </w:p>
    <w:p w14:paraId="1DB20BB6" w14:textId="134AF966" w:rsidR="000579AD" w:rsidRPr="003403CE" w:rsidRDefault="000579AD" w:rsidP="000579AD">
      <w:pPr>
        <w:pStyle w:val="ABABodyText"/>
        <w:spacing w:before="0" w:after="240" w:line="240" w:lineRule="auto"/>
        <w:ind w:left="720"/>
        <w:rPr>
          <w:rFonts w:ascii="Arial" w:hAnsi="Arial" w:cs="Arial"/>
          <w:sz w:val="18"/>
        </w:rPr>
      </w:pPr>
      <w:r>
        <w:rPr>
          <w:rFonts w:ascii="Arial" w:hAnsi="Arial" w:cs="Arial"/>
          <w:sz w:val="18"/>
        </w:rPr>
        <w:t xml:space="preserve">providing </w:t>
      </w:r>
      <w:r>
        <w:rPr>
          <w:rFonts w:ascii="Arial" w:hAnsi="Arial" w:cs="Arial"/>
          <w:i/>
          <w:sz w:val="18"/>
        </w:rPr>
        <w:t>Disability Employment Services</w:t>
      </w:r>
      <w:r>
        <w:rPr>
          <w:rFonts w:ascii="Arial" w:hAnsi="Arial" w:cs="Arial"/>
          <w:sz w:val="18"/>
        </w:rPr>
        <w:t xml:space="preserve">, employment and training services through </w:t>
      </w:r>
      <w:r>
        <w:rPr>
          <w:rFonts w:ascii="Arial" w:hAnsi="Arial" w:cs="Arial"/>
          <w:i/>
          <w:sz w:val="18"/>
        </w:rPr>
        <w:t xml:space="preserve">Parents Next </w:t>
      </w:r>
      <w:r w:rsidRPr="003403CE">
        <w:rPr>
          <w:rFonts w:ascii="Arial" w:hAnsi="Arial" w:cs="Arial"/>
          <w:sz w:val="18"/>
        </w:rPr>
        <w:t>and</w:t>
      </w:r>
      <w:r>
        <w:rPr>
          <w:rFonts w:ascii="Arial" w:hAnsi="Arial" w:cs="Arial"/>
          <w:i/>
          <w:sz w:val="18"/>
        </w:rPr>
        <w:t xml:space="preserve"> Youth JobsPath </w:t>
      </w:r>
      <w:r>
        <w:rPr>
          <w:rFonts w:ascii="Arial" w:hAnsi="Arial" w:cs="Arial"/>
          <w:sz w:val="18"/>
        </w:rPr>
        <w:t xml:space="preserve">training, accredited training through </w:t>
      </w:r>
      <w:r>
        <w:rPr>
          <w:rFonts w:ascii="Arial" w:hAnsi="Arial" w:cs="Arial"/>
          <w:i/>
          <w:sz w:val="18"/>
        </w:rPr>
        <w:t xml:space="preserve">JobTrainWA, </w:t>
      </w:r>
      <w:r w:rsidRPr="003403CE">
        <w:rPr>
          <w:rFonts w:ascii="Arial" w:hAnsi="Arial" w:cs="Arial"/>
          <w:sz w:val="18"/>
        </w:rPr>
        <w:t>corporate catering and training through</w:t>
      </w:r>
      <w:r>
        <w:rPr>
          <w:rFonts w:ascii="Arial" w:hAnsi="Arial" w:cs="Arial"/>
          <w:i/>
          <w:sz w:val="18"/>
        </w:rPr>
        <w:t xml:space="preserve"> </w:t>
      </w:r>
      <w:r w:rsidRPr="003403CE">
        <w:rPr>
          <w:rFonts w:ascii="Arial" w:hAnsi="Arial" w:cs="Arial"/>
          <w:i/>
          <w:sz w:val="18"/>
        </w:rPr>
        <w:t>Kuditj</w:t>
      </w:r>
      <w:r>
        <w:rPr>
          <w:rFonts w:ascii="Arial" w:hAnsi="Arial" w:cs="Arial"/>
          <w:i/>
          <w:sz w:val="18"/>
        </w:rPr>
        <w:t xml:space="preserve">, </w:t>
      </w:r>
      <w:r w:rsidRPr="003403CE">
        <w:rPr>
          <w:rFonts w:ascii="Arial" w:hAnsi="Arial" w:cs="Arial"/>
          <w:i/>
          <w:sz w:val="18"/>
        </w:rPr>
        <w:t>Indigenous truancy program</w:t>
      </w:r>
      <w:r>
        <w:rPr>
          <w:rFonts w:ascii="Arial" w:hAnsi="Arial" w:cs="Arial"/>
          <w:sz w:val="18"/>
        </w:rPr>
        <w:t xml:space="preserve"> and Indigenous community broadcasting through Noongar Media Enterprises.</w:t>
      </w:r>
      <w:r w:rsidR="0006380C">
        <w:rPr>
          <w:rStyle w:val="FootnoteReference"/>
          <w:rFonts w:ascii="Arial" w:hAnsi="Arial" w:cs="Arial"/>
          <w:sz w:val="18"/>
        </w:rPr>
        <w:footnoteReference w:id="1"/>
      </w:r>
    </w:p>
    <w:p w14:paraId="78FECBC0" w14:textId="2C5CFFCD" w:rsidR="006D5389" w:rsidRDefault="00BD77AA" w:rsidP="006D5389">
      <w:pPr>
        <w:pStyle w:val="ABABodyText"/>
        <w:spacing w:before="0" w:after="240" w:line="240" w:lineRule="auto"/>
        <w:rPr>
          <w:rFonts w:ascii="Arial" w:hAnsi="Arial" w:cs="Arial"/>
          <w:sz w:val="20"/>
          <w:szCs w:val="24"/>
        </w:rPr>
      </w:pPr>
      <w:r>
        <w:rPr>
          <w:rFonts w:ascii="Arial" w:hAnsi="Arial" w:cs="Arial"/>
          <w:sz w:val="20"/>
          <w:szCs w:val="24"/>
        </w:rPr>
        <w:t xml:space="preserve">The licensee </w:t>
      </w:r>
      <w:r w:rsidR="006D5389" w:rsidRPr="0091372D">
        <w:rPr>
          <w:rFonts w:ascii="Arial" w:hAnsi="Arial" w:cs="Arial"/>
          <w:sz w:val="20"/>
          <w:szCs w:val="24"/>
        </w:rPr>
        <w:t xml:space="preserve">is </w:t>
      </w:r>
      <w:r w:rsidR="006D5389">
        <w:rPr>
          <w:rFonts w:ascii="Arial" w:hAnsi="Arial" w:cs="Arial"/>
          <w:sz w:val="20"/>
          <w:szCs w:val="24"/>
        </w:rPr>
        <w:t xml:space="preserve">a </w:t>
      </w:r>
      <w:r w:rsidR="006D5389" w:rsidRPr="0091372D">
        <w:rPr>
          <w:rFonts w:ascii="Arial" w:hAnsi="Arial" w:cs="Arial"/>
          <w:sz w:val="20"/>
          <w:szCs w:val="24"/>
        </w:rPr>
        <w:t>not-for-profit company limited by shares</w:t>
      </w:r>
      <w:r w:rsidR="006D5389">
        <w:rPr>
          <w:rFonts w:ascii="Arial" w:hAnsi="Arial" w:cs="Arial"/>
          <w:sz w:val="20"/>
          <w:szCs w:val="24"/>
        </w:rPr>
        <w:t xml:space="preserve"> and</w:t>
      </w:r>
      <w:r w:rsidR="006D5389" w:rsidRPr="0091372D">
        <w:rPr>
          <w:rFonts w:ascii="Arial" w:hAnsi="Arial" w:cs="Arial"/>
          <w:sz w:val="20"/>
          <w:szCs w:val="24"/>
        </w:rPr>
        <w:t xml:space="preserve"> a </w:t>
      </w:r>
      <w:r w:rsidR="0006380C">
        <w:rPr>
          <w:rFonts w:ascii="Arial" w:hAnsi="Arial" w:cs="Arial"/>
          <w:sz w:val="20"/>
          <w:szCs w:val="24"/>
        </w:rPr>
        <w:t xml:space="preserve">wholly-owned </w:t>
      </w:r>
      <w:r w:rsidR="006D5389" w:rsidRPr="0091372D">
        <w:rPr>
          <w:rFonts w:ascii="Arial" w:hAnsi="Arial" w:cs="Arial"/>
          <w:sz w:val="20"/>
          <w:szCs w:val="24"/>
        </w:rPr>
        <w:t>subsidiary of Kaarta-Moorda Aboriginal Corporation</w:t>
      </w:r>
      <w:r w:rsidR="0033336E">
        <w:rPr>
          <w:rFonts w:ascii="Arial" w:hAnsi="Arial" w:cs="Arial"/>
          <w:sz w:val="20"/>
          <w:szCs w:val="24"/>
        </w:rPr>
        <w:t xml:space="preserve"> (KMAC)</w:t>
      </w:r>
      <w:r w:rsidR="006D5389" w:rsidRPr="0091372D">
        <w:rPr>
          <w:rFonts w:ascii="Arial" w:hAnsi="Arial" w:cs="Arial"/>
          <w:sz w:val="20"/>
          <w:szCs w:val="24"/>
        </w:rPr>
        <w:t xml:space="preserve">, a </w:t>
      </w:r>
      <w:bookmarkStart w:id="2" w:name="_Hlk347953"/>
      <w:r w:rsidR="006D5389" w:rsidRPr="0091372D">
        <w:rPr>
          <w:rFonts w:ascii="Arial" w:hAnsi="Arial" w:cs="Arial"/>
          <w:sz w:val="20"/>
          <w:szCs w:val="24"/>
        </w:rPr>
        <w:t>registered Indigenous corporation</w:t>
      </w:r>
      <w:bookmarkEnd w:id="2"/>
      <w:r w:rsidR="006D5389" w:rsidRPr="0091372D">
        <w:rPr>
          <w:rFonts w:ascii="Arial" w:hAnsi="Arial" w:cs="Arial"/>
          <w:sz w:val="20"/>
          <w:szCs w:val="24"/>
        </w:rPr>
        <w:t>.</w:t>
      </w:r>
    </w:p>
    <w:p w14:paraId="2CE23BB1" w14:textId="2B8D9AC7" w:rsidR="006D5389" w:rsidRPr="006D5389" w:rsidRDefault="006D5389" w:rsidP="006D5389">
      <w:pPr>
        <w:pStyle w:val="ABABodyText"/>
        <w:spacing w:before="0" w:after="240" w:line="240" w:lineRule="auto"/>
        <w:rPr>
          <w:rFonts w:ascii="Arial" w:hAnsi="Arial" w:cs="Arial"/>
          <w:sz w:val="20"/>
        </w:rPr>
      </w:pPr>
      <w:r w:rsidRPr="0091372D">
        <w:rPr>
          <w:rFonts w:ascii="Arial" w:hAnsi="Arial" w:cs="Arial"/>
          <w:sz w:val="20"/>
          <w:szCs w:val="24"/>
        </w:rPr>
        <w:t xml:space="preserve">The broadcasting service </w:t>
      </w:r>
      <w:r w:rsidR="0033336E">
        <w:rPr>
          <w:rFonts w:ascii="Arial" w:hAnsi="Arial" w:cs="Arial"/>
          <w:sz w:val="20"/>
          <w:szCs w:val="24"/>
        </w:rPr>
        <w:t xml:space="preserve">itself </w:t>
      </w:r>
      <w:r w:rsidRPr="0091372D">
        <w:rPr>
          <w:rFonts w:ascii="Arial" w:hAnsi="Arial" w:cs="Arial"/>
          <w:sz w:val="20"/>
          <w:szCs w:val="24"/>
        </w:rPr>
        <w:t xml:space="preserve">is operated by a </w:t>
      </w:r>
      <w:r w:rsidR="0006380C">
        <w:rPr>
          <w:rFonts w:ascii="Arial" w:hAnsi="Arial" w:cs="Arial"/>
          <w:sz w:val="20"/>
          <w:szCs w:val="24"/>
        </w:rPr>
        <w:t xml:space="preserve">wholly-owned </w:t>
      </w:r>
      <w:r w:rsidRPr="0091372D">
        <w:rPr>
          <w:rFonts w:ascii="Arial" w:hAnsi="Arial" w:cs="Arial"/>
          <w:sz w:val="20"/>
          <w:szCs w:val="24"/>
        </w:rPr>
        <w:t xml:space="preserve">subsidiary of </w:t>
      </w:r>
      <w:r>
        <w:rPr>
          <w:rFonts w:ascii="Arial" w:hAnsi="Arial" w:cs="Arial"/>
          <w:sz w:val="20"/>
          <w:szCs w:val="24"/>
        </w:rPr>
        <w:t>the licensee</w:t>
      </w:r>
      <w:r w:rsidRPr="0091372D">
        <w:rPr>
          <w:rFonts w:ascii="Arial" w:hAnsi="Arial" w:cs="Arial"/>
          <w:sz w:val="20"/>
          <w:szCs w:val="24"/>
        </w:rPr>
        <w:t>, Noongar Media Enterprises PTY Ltd (Noongar), a</w:t>
      </w:r>
      <w:r>
        <w:rPr>
          <w:rFonts w:ascii="Arial" w:hAnsi="Arial" w:cs="Arial"/>
          <w:sz w:val="20"/>
          <w:szCs w:val="24"/>
        </w:rPr>
        <w:t>lso a</w:t>
      </w:r>
      <w:r w:rsidRPr="0091372D">
        <w:rPr>
          <w:rFonts w:ascii="Arial" w:hAnsi="Arial" w:cs="Arial"/>
          <w:sz w:val="20"/>
          <w:szCs w:val="24"/>
        </w:rPr>
        <w:t xml:space="preserve"> not-for-profit company limited by shares.</w:t>
      </w:r>
    </w:p>
    <w:p w14:paraId="4114A238" w14:textId="075E2A94" w:rsidR="00733663" w:rsidRDefault="00AE4993" w:rsidP="0024000F">
      <w:pPr>
        <w:pStyle w:val="ACMAHeading2"/>
      </w:pPr>
      <w:r>
        <w:t>S</w:t>
      </w:r>
      <w:r w:rsidR="00733663">
        <w:t>ubmissions</w:t>
      </w:r>
    </w:p>
    <w:p w14:paraId="060D34A2" w14:textId="77777777" w:rsidR="00AE4993" w:rsidRDefault="0024000F" w:rsidP="00BE6B6C">
      <w:pPr>
        <w:pStyle w:val="ACMABodyText"/>
        <w:spacing w:after="120"/>
      </w:pPr>
      <w:r>
        <w:t>Th</w:t>
      </w:r>
      <w:r w:rsidR="00845F36">
        <w:t>is</w:t>
      </w:r>
      <w:r>
        <w:t xml:space="preserve"> investigation </w:t>
      </w:r>
      <w:r w:rsidR="00C0320D">
        <w:t xml:space="preserve">has taken </w:t>
      </w:r>
      <w:r>
        <w:t>into account</w:t>
      </w:r>
      <w:r w:rsidR="00AE4993">
        <w:t>:</w:t>
      </w:r>
    </w:p>
    <w:p w14:paraId="767FEC14" w14:textId="0850ABCA" w:rsidR="00AE4993" w:rsidRDefault="00AE4993" w:rsidP="00BE6B6C">
      <w:pPr>
        <w:pStyle w:val="ACMABodyText"/>
        <w:numPr>
          <w:ilvl w:val="0"/>
          <w:numId w:val="17"/>
        </w:numPr>
        <w:spacing w:after="120"/>
      </w:pPr>
      <w:r>
        <w:t xml:space="preserve">correspondence </w:t>
      </w:r>
      <w:r w:rsidR="00C425A0">
        <w:t xml:space="preserve">received by the ACMA on </w:t>
      </w:r>
      <w:r w:rsidR="002E299D">
        <w:t>13 December 2018</w:t>
      </w:r>
    </w:p>
    <w:p w14:paraId="53631749" w14:textId="41C5E7F9" w:rsidR="002E299D" w:rsidRDefault="00C71560" w:rsidP="00AE4993">
      <w:pPr>
        <w:pStyle w:val="ACMABodyText"/>
        <w:numPr>
          <w:ilvl w:val="0"/>
          <w:numId w:val="17"/>
        </w:numPr>
      </w:pPr>
      <w:r>
        <w:t xml:space="preserve">written submissions </w:t>
      </w:r>
      <w:r w:rsidR="00474A10">
        <w:t>and documents provided by the licensee to the ACMA on 31 January 201</w:t>
      </w:r>
      <w:r w:rsidR="009B5A41">
        <w:t>9</w:t>
      </w:r>
      <w:r w:rsidR="00D1538B">
        <w:t xml:space="preserve">, </w:t>
      </w:r>
      <w:r w:rsidR="009B5A41">
        <w:t>5 February 2019</w:t>
      </w:r>
      <w:r w:rsidR="00D1538B">
        <w:t xml:space="preserve"> and 7 March 2019.</w:t>
      </w:r>
    </w:p>
    <w:p w14:paraId="5CFDD1EB" w14:textId="440A960F" w:rsidR="00D80CCA" w:rsidRPr="00D80CCA" w:rsidRDefault="0024000F" w:rsidP="00D80CCA">
      <w:pPr>
        <w:pStyle w:val="ACMABodyText"/>
        <w:rPr>
          <w:highlight w:val="magenta"/>
        </w:rPr>
      </w:pPr>
      <w:r>
        <w:t xml:space="preserve">Other sources are identified </w:t>
      </w:r>
      <w:r w:rsidR="00094589">
        <w:t>in this report where</w:t>
      </w:r>
      <w:r w:rsidR="006162E4">
        <w:t xml:space="preserve"> relevant.</w:t>
      </w:r>
    </w:p>
    <w:p w14:paraId="106B167D" w14:textId="14008998" w:rsidR="001C6546" w:rsidRDefault="001C6546" w:rsidP="0072120E">
      <w:pPr>
        <w:pStyle w:val="ACMAHeading2"/>
      </w:pPr>
      <w:r w:rsidRPr="00D370F3">
        <w:t xml:space="preserve">Issue: </w:t>
      </w:r>
      <w:r w:rsidR="00D370F3" w:rsidRPr="00D370F3">
        <w:t>Is the licensee encouraging participation in the</w:t>
      </w:r>
      <w:r w:rsidR="00D370F3">
        <w:t xml:space="preserve"> operations of the service?</w:t>
      </w:r>
    </w:p>
    <w:p w14:paraId="790B5E95" w14:textId="77777777" w:rsidR="00D370F3" w:rsidRPr="009376DE" w:rsidRDefault="00D370F3" w:rsidP="00D370F3">
      <w:pPr>
        <w:pStyle w:val="ACMAHeading3"/>
        <w:spacing w:after="120"/>
        <w:rPr>
          <w:i/>
          <w:sz w:val="28"/>
          <w:szCs w:val="28"/>
        </w:rPr>
      </w:pPr>
      <w:r>
        <w:rPr>
          <w:sz w:val="28"/>
          <w:szCs w:val="28"/>
        </w:rPr>
        <w:t>Relevant</w:t>
      </w:r>
      <w:r w:rsidRPr="00951990">
        <w:rPr>
          <w:sz w:val="28"/>
          <w:szCs w:val="28"/>
        </w:rPr>
        <w:t xml:space="preserve"> </w:t>
      </w:r>
      <w:r>
        <w:rPr>
          <w:sz w:val="28"/>
          <w:szCs w:val="28"/>
        </w:rPr>
        <w:t>licence condition</w:t>
      </w:r>
    </w:p>
    <w:p w14:paraId="443880C6" w14:textId="77777777" w:rsidR="00D370F3" w:rsidRPr="00E4486F" w:rsidRDefault="00D370F3" w:rsidP="00D370F3">
      <w:pPr>
        <w:pStyle w:val="ACMAQuoteindented"/>
        <w:rPr>
          <w:b/>
          <w:szCs w:val="18"/>
        </w:rPr>
      </w:pPr>
      <w:r w:rsidRPr="00E4486F">
        <w:rPr>
          <w:b/>
          <w:szCs w:val="18"/>
        </w:rPr>
        <w:t>9 Conditions applicable to services provided under community broadcasting licences</w:t>
      </w:r>
    </w:p>
    <w:p w14:paraId="46B11581" w14:textId="77777777" w:rsidR="00D370F3" w:rsidRPr="00321CD9" w:rsidRDefault="00D370F3" w:rsidP="00D370F3">
      <w:pPr>
        <w:pStyle w:val="ACMAQuoteindented"/>
        <w:spacing w:after="120"/>
        <w:rPr>
          <w:szCs w:val="18"/>
        </w:rPr>
      </w:pPr>
      <w:r w:rsidRPr="00321CD9">
        <w:rPr>
          <w:szCs w:val="18"/>
        </w:rPr>
        <w:t>(2) Each community broadcasting licence is also subject to the following conditions:</w:t>
      </w:r>
    </w:p>
    <w:p w14:paraId="1292CD15" w14:textId="77777777" w:rsidR="00D370F3" w:rsidRPr="00321CD9" w:rsidRDefault="00D370F3" w:rsidP="00D370F3">
      <w:pPr>
        <w:pStyle w:val="ACMAQuoteindented"/>
        <w:spacing w:after="120"/>
        <w:ind w:left="851"/>
        <w:rPr>
          <w:szCs w:val="18"/>
        </w:rPr>
      </w:pPr>
      <w:r w:rsidRPr="00321CD9">
        <w:rPr>
          <w:szCs w:val="18"/>
        </w:rPr>
        <w:t>[...]</w:t>
      </w:r>
    </w:p>
    <w:p w14:paraId="24D26297" w14:textId="77777777" w:rsidR="00D370F3" w:rsidRPr="00321CD9" w:rsidRDefault="00D370F3" w:rsidP="00D370F3">
      <w:pPr>
        <w:pStyle w:val="ACMAQuoteindented"/>
        <w:spacing w:after="120"/>
        <w:ind w:left="851"/>
        <w:rPr>
          <w:szCs w:val="18"/>
        </w:rPr>
      </w:pPr>
      <w:r w:rsidRPr="00321CD9">
        <w:rPr>
          <w:szCs w:val="18"/>
        </w:rPr>
        <w:lastRenderedPageBreak/>
        <w:t>(c) the licensee will encourage members of the community that it serves to participate in:</w:t>
      </w:r>
    </w:p>
    <w:p w14:paraId="133CF306" w14:textId="22413E87" w:rsidR="00D370F3" w:rsidRPr="00321CD9" w:rsidRDefault="00D370F3" w:rsidP="00D370F3">
      <w:pPr>
        <w:pStyle w:val="ACMAQuoteindented"/>
        <w:spacing w:after="120"/>
        <w:ind w:left="1418" w:hanging="284"/>
        <w:rPr>
          <w:szCs w:val="18"/>
        </w:rPr>
      </w:pPr>
      <w:r w:rsidRPr="00321CD9">
        <w:rPr>
          <w:szCs w:val="18"/>
        </w:rPr>
        <w:t>(i)</w:t>
      </w:r>
      <w:r w:rsidRPr="00321CD9">
        <w:rPr>
          <w:szCs w:val="18"/>
        </w:rPr>
        <w:tab/>
        <w:t xml:space="preserve">the </w:t>
      </w:r>
      <w:r>
        <w:rPr>
          <w:szCs w:val="18"/>
        </w:rPr>
        <w:t xml:space="preserve">operations of the </w:t>
      </w:r>
      <w:r w:rsidR="00833A47">
        <w:rPr>
          <w:szCs w:val="18"/>
        </w:rPr>
        <w:t>licensee in providing the service or services […]</w:t>
      </w:r>
    </w:p>
    <w:p w14:paraId="2E239E0F" w14:textId="418C7575" w:rsidR="001C6546" w:rsidRPr="00F00145" w:rsidRDefault="00D9593A" w:rsidP="0072120E">
      <w:pPr>
        <w:pStyle w:val="ACMAHeading2"/>
      </w:pPr>
      <w:r w:rsidRPr="00F00145">
        <w:t>Finding</w:t>
      </w:r>
    </w:p>
    <w:p w14:paraId="2773637E" w14:textId="5840A2F7" w:rsidR="001C6546" w:rsidRPr="007A282E" w:rsidRDefault="001C6546" w:rsidP="0072120E">
      <w:pPr>
        <w:pStyle w:val="ACMABodyText"/>
      </w:pPr>
      <w:r w:rsidRPr="00F00145">
        <w:t>The licensee</w:t>
      </w:r>
      <w:r w:rsidR="00BD77AA">
        <w:t xml:space="preserve"> is</w:t>
      </w:r>
      <w:r w:rsidR="00F00145" w:rsidRPr="00F00145">
        <w:t xml:space="preserve"> </w:t>
      </w:r>
      <w:r w:rsidR="00723DC6" w:rsidRPr="00F00145">
        <w:t>in b</w:t>
      </w:r>
      <w:r w:rsidR="00E0203C" w:rsidRPr="00F00145">
        <w:rPr>
          <w:rFonts w:cs="Arial"/>
        </w:rPr>
        <w:t>reach</w:t>
      </w:r>
      <w:r w:rsidR="00723DC6" w:rsidRPr="00F00145">
        <w:rPr>
          <w:rFonts w:cs="Arial"/>
        </w:rPr>
        <w:t xml:space="preserve"> </w:t>
      </w:r>
      <w:r w:rsidR="00BD77AA">
        <w:rPr>
          <w:rFonts w:cs="Arial"/>
        </w:rPr>
        <w:t xml:space="preserve">of </w:t>
      </w:r>
      <w:r w:rsidR="00723DC6" w:rsidRPr="00F00145">
        <w:rPr>
          <w:rFonts w:cs="Arial"/>
        </w:rPr>
        <w:t>s</w:t>
      </w:r>
      <w:r w:rsidR="00E0203C" w:rsidRPr="00F00145">
        <w:rPr>
          <w:rFonts w:cs="Arial"/>
        </w:rPr>
        <w:t>ub-paragraph</w:t>
      </w:r>
      <w:r w:rsidR="00E0203C" w:rsidRPr="00D370F3">
        <w:rPr>
          <w:rFonts w:cs="Arial"/>
        </w:rPr>
        <w:t xml:space="preserve"> 9(2)(c)(i) of Schedule 2 to the </w:t>
      </w:r>
      <w:r w:rsidR="00723DC6" w:rsidRPr="00723DC6">
        <w:rPr>
          <w:rFonts w:cs="Arial"/>
        </w:rPr>
        <w:t>BSA</w:t>
      </w:r>
      <w:r w:rsidR="00723DC6">
        <w:rPr>
          <w:rFonts w:cs="Arial"/>
          <w:i/>
        </w:rPr>
        <w:t>.</w:t>
      </w:r>
    </w:p>
    <w:p w14:paraId="10BC9B8A" w14:textId="77777777" w:rsidR="001C6546" w:rsidRDefault="001C6546" w:rsidP="0072120E">
      <w:pPr>
        <w:pStyle w:val="ACMAHeading2"/>
      </w:pPr>
      <w:r>
        <w:t>Reasons</w:t>
      </w:r>
    </w:p>
    <w:p w14:paraId="26D2194D" w14:textId="0702B9DA" w:rsidR="0001397C" w:rsidRPr="000D2B03" w:rsidRDefault="00723DC6" w:rsidP="0001397C">
      <w:pPr>
        <w:pStyle w:val="ACMABodyText"/>
      </w:pPr>
      <w:r>
        <w:t xml:space="preserve">It </w:t>
      </w:r>
      <w:r w:rsidR="0001397C" w:rsidRPr="000D2B03">
        <w:t xml:space="preserve">is a condition of all community broadcasting licences that the licensee must encourage members of the community that it serves to participate in the </w:t>
      </w:r>
      <w:r w:rsidR="0001397C">
        <w:t xml:space="preserve">operations of the </w:t>
      </w:r>
      <w:r w:rsidR="00833A47">
        <w:t>licensee in providing the service or services</w:t>
      </w:r>
      <w:r w:rsidR="0001397C" w:rsidRPr="000D2B03">
        <w:t>.</w:t>
      </w:r>
    </w:p>
    <w:p w14:paraId="40794B92" w14:textId="704B845B" w:rsidR="006912F2" w:rsidRPr="006774FC" w:rsidRDefault="0001397C" w:rsidP="0001397C">
      <w:pPr>
        <w:pStyle w:val="ACMABodyText"/>
      </w:pPr>
      <w:r w:rsidRPr="000D2B03">
        <w:t xml:space="preserve">The ACMA’s </w:t>
      </w:r>
      <w:r w:rsidRPr="003C6D3F">
        <w:rPr>
          <w:i/>
        </w:rPr>
        <w:t>Community Broadcasting Participation Guidelines 2010</w:t>
      </w:r>
      <w:r w:rsidRPr="00BF51C0">
        <w:t xml:space="preserve"> (the Guidelines) </w:t>
      </w:r>
      <w:r w:rsidRPr="000D2B03">
        <w:t xml:space="preserve">provide the following guidance on how a licensee might encourage </w:t>
      </w:r>
      <w:r>
        <w:t xml:space="preserve">community </w:t>
      </w:r>
      <w:r w:rsidRPr="000D2B03">
        <w:t xml:space="preserve">participation in </w:t>
      </w:r>
      <w:r w:rsidR="00C609A4">
        <w:t>the operations of the service</w:t>
      </w:r>
      <w:r w:rsidRPr="000D2B03">
        <w:t>:</w:t>
      </w:r>
    </w:p>
    <w:p w14:paraId="2625618B" w14:textId="49DD6A81" w:rsidR="001C6546" w:rsidRDefault="006774FC" w:rsidP="00D57F5D">
      <w:pPr>
        <w:pStyle w:val="ACMABodyText"/>
        <w:spacing w:after="80"/>
        <w:ind w:left="720"/>
        <w:rPr>
          <w:sz w:val="18"/>
        </w:rPr>
      </w:pPr>
      <w:r>
        <w:rPr>
          <w:sz w:val="18"/>
        </w:rPr>
        <w:t xml:space="preserve">Sound corporate governance </w:t>
      </w:r>
      <w:r w:rsidR="002030BA">
        <w:rPr>
          <w:sz w:val="18"/>
        </w:rPr>
        <w:t>practices […] enable communities to have adequate input into the decision-making that affects their services</w:t>
      </w:r>
      <w:r w:rsidR="00BE4682">
        <w:rPr>
          <w:sz w:val="18"/>
        </w:rPr>
        <w:t>.</w:t>
      </w:r>
    </w:p>
    <w:p w14:paraId="2B3C189B" w14:textId="5957B69C" w:rsidR="00BE4682" w:rsidRDefault="00BE4682" w:rsidP="00D57F5D">
      <w:pPr>
        <w:pStyle w:val="ACMABodyText"/>
        <w:spacing w:after="80"/>
        <w:ind w:left="720"/>
        <w:rPr>
          <w:sz w:val="18"/>
        </w:rPr>
      </w:pPr>
      <w:r>
        <w:rPr>
          <w:sz w:val="18"/>
        </w:rPr>
        <w:t>Examples of sound corporate governance practices include:</w:t>
      </w:r>
    </w:p>
    <w:p w14:paraId="15056BD8" w14:textId="6D35F369" w:rsidR="00BE4682" w:rsidRDefault="00BE4682" w:rsidP="00D57F5D">
      <w:pPr>
        <w:pStyle w:val="ACMABodyText"/>
        <w:spacing w:after="80"/>
        <w:ind w:left="720"/>
        <w:rPr>
          <w:sz w:val="18"/>
        </w:rPr>
      </w:pPr>
      <w:r>
        <w:rPr>
          <w:sz w:val="18"/>
        </w:rPr>
        <w:t>[…]</w:t>
      </w:r>
    </w:p>
    <w:p w14:paraId="49C7F63C" w14:textId="6AC97CB0" w:rsidR="00BE4682" w:rsidRDefault="00BE4682" w:rsidP="00D57F5D">
      <w:pPr>
        <w:pStyle w:val="ACMABodyText"/>
        <w:numPr>
          <w:ilvl w:val="0"/>
          <w:numId w:val="18"/>
        </w:numPr>
        <w:spacing w:after="80"/>
        <w:rPr>
          <w:sz w:val="18"/>
        </w:rPr>
      </w:pPr>
      <w:r>
        <w:rPr>
          <w:sz w:val="18"/>
        </w:rPr>
        <w:t xml:space="preserve">measures </w:t>
      </w:r>
      <w:r w:rsidR="0047560F">
        <w:rPr>
          <w:sz w:val="18"/>
        </w:rPr>
        <w:t xml:space="preserve">to prevent </w:t>
      </w:r>
      <w:r w:rsidR="0078175A">
        <w:rPr>
          <w:sz w:val="18"/>
        </w:rPr>
        <w:t xml:space="preserve">the concentration of control in the hands of a few individuals (for example, using a range of committees, limiting the number of proxy votes that a member </w:t>
      </w:r>
      <w:r w:rsidR="008E1923">
        <w:rPr>
          <w:sz w:val="18"/>
        </w:rPr>
        <w:t>c</w:t>
      </w:r>
      <w:r w:rsidR="0078175A">
        <w:rPr>
          <w:sz w:val="18"/>
        </w:rPr>
        <w:t xml:space="preserve">an exercise and having </w:t>
      </w:r>
      <w:r w:rsidR="00D40B2E">
        <w:rPr>
          <w:sz w:val="18"/>
        </w:rPr>
        <w:t>a limited renewable term for individuals holding positions on committees or the boa</w:t>
      </w:r>
      <w:r w:rsidR="00BA71D4">
        <w:rPr>
          <w:sz w:val="18"/>
        </w:rPr>
        <w:t>rd).</w:t>
      </w:r>
    </w:p>
    <w:p w14:paraId="6149AC98" w14:textId="3ABAB4E4" w:rsidR="00C10F64" w:rsidRDefault="00DD2DFE" w:rsidP="00D57F5D">
      <w:pPr>
        <w:pStyle w:val="ACMABodyText"/>
        <w:spacing w:after="80"/>
        <w:ind w:left="720"/>
        <w:rPr>
          <w:sz w:val="18"/>
        </w:rPr>
      </w:pPr>
      <w:r>
        <w:rPr>
          <w:sz w:val="18"/>
        </w:rPr>
        <w:t>[…]</w:t>
      </w:r>
    </w:p>
    <w:p w14:paraId="478EA5F7" w14:textId="2958FB73" w:rsidR="003D3702" w:rsidRDefault="003D3702" w:rsidP="00D57F5D">
      <w:pPr>
        <w:pStyle w:val="ACMABodyText"/>
        <w:spacing w:after="80"/>
        <w:ind w:left="720"/>
        <w:rPr>
          <w:sz w:val="18"/>
        </w:rPr>
      </w:pPr>
      <w:r>
        <w:rPr>
          <w:sz w:val="18"/>
        </w:rPr>
        <w:t>The community participation requirement means that participation in a service should be open to all within the licensee’s defined community interest.</w:t>
      </w:r>
    </w:p>
    <w:p w14:paraId="55B3327C" w14:textId="179FE535" w:rsidR="003D3702" w:rsidRDefault="003D3702" w:rsidP="00D57F5D">
      <w:pPr>
        <w:pStyle w:val="ACMABodyText"/>
        <w:spacing w:after="80"/>
        <w:ind w:left="720"/>
        <w:rPr>
          <w:sz w:val="18"/>
        </w:rPr>
      </w:pPr>
      <w:r>
        <w:rPr>
          <w:sz w:val="18"/>
        </w:rPr>
        <w:t>I</w:t>
      </w:r>
      <w:r w:rsidR="00E21ABD">
        <w:rPr>
          <w:sz w:val="18"/>
        </w:rPr>
        <w:t>f</w:t>
      </w:r>
      <w:r>
        <w:rPr>
          <w:sz w:val="18"/>
        </w:rPr>
        <w:t xml:space="preserve"> restrictions on membership are unreasonable, the licensee may not comply with the community participation requirement.</w:t>
      </w:r>
    </w:p>
    <w:p w14:paraId="537E0A5C" w14:textId="3CEF26EC" w:rsidR="003D3702" w:rsidRDefault="003D3702" w:rsidP="00D57F5D">
      <w:pPr>
        <w:pStyle w:val="ACMABodyText"/>
        <w:spacing w:after="80"/>
        <w:ind w:left="720"/>
        <w:rPr>
          <w:sz w:val="18"/>
        </w:rPr>
      </w:pPr>
      <w:r>
        <w:rPr>
          <w:sz w:val="18"/>
        </w:rPr>
        <w:t>[…]</w:t>
      </w:r>
    </w:p>
    <w:p w14:paraId="3DB4F6BD" w14:textId="0316D4B8" w:rsidR="003D3702" w:rsidRDefault="008E1923" w:rsidP="00D57F5D">
      <w:pPr>
        <w:pStyle w:val="ACMABodyText"/>
        <w:spacing w:after="80"/>
        <w:ind w:left="720"/>
        <w:rPr>
          <w:sz w:val="18"/>
        </w:rPr>
      </w:pPr>
      <w:r>
        <w:rPr>
          <w:sz w:val="18"/>
        </w:rPr>
        <w:t>L</w:t>
      </w:r>
      <w:r w:rsidR="003D3702">
        <w:rPr>
          <w:sz w:val="18"/>
        </w:rPr>
        <w:t>icensees should ensure there are other opportunities for involvement b</w:t>
      </w:r>
      <w:r>
        <w:rPr>
          <w:sz w:val="18"/>
        </w:rPr>
        <w:t>y</w:t>
      </w:r>
      <w:r w:rsidR="003D3702">
        <w:rPr>
          <w:sz w:val="18"/>
        </w:rPr>
        <w:t xml:space="preserve"> non-members from the broader community. Some other ways that licensees with membership restrictions can involve their communities include:</w:t>
      </w:r>
    </w:p>
    <w:p w14:paraId="7C14824E" w14:textId="05F48A11" w:rsidR="003D3702" w:rsidRDefault="003D3702" w:rsidP="00D57F5D">
      <w:pPr>
        <w:pStyle w:val="ACMABodyText"/>
        <w:numPr>
          <w:ilvl w:val="0"/>
          <w:numId w:val="20"/>
        </w:numPr>
        <w:spacing w:after="0"/>
        <w:rPr>
          <w:sz w:val="18"/>
        </w:rPr>
      </w:pPr>
      <w:r>
        <w:rPr>
          <w:sz w:val="18"/>
        </w:rPr>
        <w:t>holding station meetings and planning days with a broad range of station participants including members, producers and staff;</w:t>
      </w:r>
    </w:p>
    <w:p w14:paraId="1161579D" w14:textId="7CE36D49" w:rsidR="003D3702" w:rsidRPr="00307379" w:rsidRDefault="003D3702" w:rsidP="00D57F5D">
      <w:pPr>
        <w:pStyle w:val="ACMABodyText"/>
        <w:numPr>
          <w:ilvl w:val="0"/>
          <w:numId w:val="20"/>
        </w:numPr>
        <w:spacing w:after="0"/>
        <w:rPr>
          <w:sz w:val="18"/>
        </w:rPr>
      </w:pPr>
      <w:r w:rsidRPr="00307379">
        <w:rPr>
          <w:sz w:val="18"/>
        </w:rPr>
        <w:t>seeking comprehensive feedback and suggestions from the community;</w:t>
      </w:r>
    </w:p>
    <w:p w14:paraId="3BE477AA" w14:textId="1118CD5C" w:rsidR="003D3702" w:rsidRPr="00307379" w:rsidRDefault="003D3702" w:rsidP="00D57F5D">
      <w:pPr>
        <w:pStyle w:val="ACMABodyText"/>
        <w:numPr>
          <w:ilvl w:val="0"/>
          <w:numId w:val="20"/>
        </w:numPr>
        <w:spacing w:after="0"/>
        <w:rPr>
          <w:sz w:val="18"/>
        </w:rPr>
      </w:pPr>
      <w:r w:rsidRPr="00307379">
        <w:rPr>
          <w:sz w:val="18"/>
        </w:rPr>
        <w:t>recruiting non-member volunteers from the wider community;</w:t>
      </w:r>
    </w:p>
    <w:p w14:paraId="7F8AFCB6" w14:textId="5105B48C" w:rsidR="003D3702" w:rsidRPr="00307379" w:rsidRDefault="003D3702" w:rsidP="00D57F5D">
      <w:pPr>
        <w:pStyle w:val="ACMABodyText"/>
        <w:numPr>
          <w:ilvl w:val="0"/>
          <w:numId w:val="20"/>
        </w:numPr>
        <w:spacing w:after="0"/>
        <w:rPr>
          <w:sz w:val="18"/>
        </w:rPr>
      </w:pPr>
      <w:r w:rsidRPr="00307379">
        <w:rPr>
          <w:sz w:val="18"/>
        </w:rPr>
        <w:t>having community representatives on committees;</w:t>
      </w:r>
    </w:p>
    <w:p w14:paraId="62EC45CF" w14:textId="01E98F20" w:rsidR="003D3702" w:rsidRPr="00307379" w:rsidRDefault="003D3702" w:rsidP="00D57F5D">
      <w:pPr>
        <w:pStyle w:val="ACMABodyText"/>
        <w:numPr>
          <w:ilvl w:val="0"/>
          <w:numId w:val="20"/>
        </w:numPr>
        <w:spacing w:after="0"/>
        <w:rPr>
          <w:sz w:val="18"/>
        </w:rPr>
      </w:pPr>
      <w:r w:rsidRPr="00307379">
        <w:rPr>
          <w:sz w:val="18"/>
        </w:rPr>
        <w:t>including volunteers and staff representatives as ex-officio members on the board;</w:t>
      </w:r>
    </w:p>
    <w:p w14:paraId="7824723F" w14:textId="186ED669" w:rsidR="003D3702" w:rsidRPr="00307379" w:rsidRDefault="003D3702" w:rsidP="00D57F5D">
      <w:pPr>
        <w:pStyle w:val="ACMABodyText"/>
        <w:numPr>
          <w:ilvl w:val="0"/>
          <w:numId w:val="20"/>
        </w:numPr>
        <w:spacing w:after="0"/>
        <w:rPr>
          <w:sz w:val="18"/>
        </w:rPr>
      </w:pPr>
      <w:r w:rsidRPr="00307379">
        <w:rPr>
          <w:sz w:val="18"/>
        </w:rPr>
        <w:t>engaging with community groups;</w:t>
      </w:r>
    </w:p>
    <w:p w14:paraId="6F24452F" w14:textId="6E45BF7A" w:rsidR="003D3702" w:rsidRPr="00307379" w:rsidRDefault="003D3702" w:rsidP="00D57F5D">
      <w:pPr>
        <w:pStyle w:val="ACMABodyText"/>
        <w:numPr>
          <w:ilvl w:val="0"/>
          <w:numId w:val="20"/>
        </w:numPr>
        <w:spacing w:after="0"/>
        <w:rPr>
          <w:sz w:val="18"/>
        </w:rPr>
      </w:pPr>
      <w:r w:rsidRPr="00307379">
        <w:rPr>
          <w:sz w:val="18"/>
        </w:rPr>
        <w:t>providing training;</w:t>
      </w:r>
    </w:p>
    <w:p w14:paraId="04CF96FF" w14:textId="6009E40B" w:rsidR="003D3702" w:rsidRPr="00307379" w:rsidRDefault="003D3702" w:rsidP="00D57F5D">
      <w:pPr>
        <w:pStyle w:val="ACMABodyText"/>
        <w:numPr>
          <w:ilvl w:val="0"/>
          <w:numId w:val="20"/>
        </w:numPr>
        <w:spacing w:after="0"/>
        <w:rPr>
          <w:sz w:val="18"/>
        </w:rPr>
      </w:pPr>
      <w:r w:rsidRPr="00307379">
        <w:rPr>
          <w:sz w:val="18"/>
        </w:rPr>
        <w:t>informing the community of the licensee’s activities through noticeboards, newsletters, meetings, on-air announcements and the station’s website; and</w:t>
      </w:r>
    </w:p>
    <w:p w14:paraId="30FA8371" w14:textId="2CDAB687" w:rsidR="003D3702" w:rsidRDefault="003D3702" w:rsidP="00D57F5D">
      <w:pPr>
        <w:pStyle w:val="ACMABodyText"/>
        <w:numPr>
          <w:ilvl w:val="0"/>
          <w:numId w:val="20"/>
        </w:numPr>
        <w:spacing w:after="80"/>
        <w:rPr>
          <w:sz w:val="18"/>
        </w:rPr>
      </w:pPr>
      <w:r w:rsidRPr="00307379">
        <w:rPr>
          <w:sz w:val="18"/>
        </w:rPr>
        <w:t>participating in community events.</w:t>
      </w:r>
    </w:p>
    <w:p w14:paraId="5D993535" w14:textId="026027E5" w:rsidR="00B05154" w:rsidRPr="00307379" w:rsidRDefault="00B05154" w:rsidP="00B05154">
      <w:pPr>
        <w:pStyle w:val="ACMABodyText"/>
        <w:spacing w:after="80"/>
        <w:ind w:left="720"/>
        <w:rPr>
          <w:sz w:val="18"/>
        </w:rPr>
      </w:pPr>
      <w:r>
        <w:rPr>
          <w:sz w:val="18"/>
        </w:rPr>
        <w:t>[…]</w:t>
      </w:r>
    </w:p>
    <w:p w14:paraId="7498C9B8" w14:textId="10E3F115" w:rsidR="003D3702" w:rsidRDefault="008C4AE4" w:rsidP="00D57F5D">
      <w:pPr>
        <w:pStyle w:val="ACMABodyText"/>
        <w:spacing w:after="80"/>
        <w:ind w:left="720"/>
        <w:rPr>
          <w:sz w:val="18"/>
        </w:rPr>
      </w:pPr>
      <w:r>
        <w:rPr>
          <w:sz w:val="18"/>
        </w:rPr>
        <w:t>Committees are an important way in which members and other people in the community serviced by the licensee’s service can have a say in the running of the service.</w:t>
      </w:r>
    </w:p>
    <w:p w14:paraId="13A47970" w14:textId="3710F191" w:rsidR="008C4AE4" w:rsidRDefault="008C4AE4" w:rsidP="00235095">
      <w:pPr>
        <w:pStyle w:val="ACMABodyText"/>
        <w:ind w:left="720"/>
        <w:rPr>
          <w:sz w:val="18"/>
        </w:rPr>
      </w:pPr>
      <w:r>
        <w:rPr>
          <w:sz w:val="18"/>
        </w:rPr>
        <w:t>Licensees should aim to have a range of committees, make their members aware of how to nominate for committee positions, and have their committees meet regularly and keep appropriate records.</w:t>
      </w:r>
    </w:p>
    <w:p w14:paraId="7C5C7C19" w14:textId="2166318A" w:rsidR="006D5389" w:rsidRDefault="00515848" w:rsidP="0028768E">
      <w:pPr>
        <w:pStyle w:val="ABABodyText"/>
        <w:spacing w:before="0" w:after="240" w:line="240" w:lineRule="auto"/>
        <w:rPr>
          <w:rFonts w:ascii="Arial" w:hAnsi="Arial" w:cs="Arial"/>
          <w:sz w:val="20"/>
          <w:szCs w:val="24"/>
        </w:rPr>
      </w:pPr>
      <w:r>
        <w:rPr>
          <w:rFonts w:ascii="Arial" w:hAnsi="Arial" w:cs="Arial"/>
          <w:sz w:val="20"/>
          <w:szCs w:val="24"/>
        </w:rPr>
        <w:lastRenderedPageBreak/>
        <w:t xml:space="preserve">Correspondence received by the ACMA </w:t>
      </w:r>
      <w:r w:rsidR="00592FE3">
        <w:rPr>
          <w:rFonts w:ascii="Arial" w:hAnsi="Arial" w:cs="Arial"/>
          <w:sz w:val="20"/>
          <w:szCs w:val="24"/>
        </w:rPr>
        <w:t>alleges</w:t>
      </w:r>
      <w:r>
        <w:rPr>
          <w:rFonts w:ascii="Arial" w:hAnsi="Arial" w:cs="Arial"/>
          <w:sz w:val="20"/>
          <w:szCs w:val="24"/>
        </w:rPr>
        <w:t xml:space="preserve"> that the </w:t>
      </w:r>
      <w:r w:rsidR="00861E02">
        <w:rPr>
          <w:rFonts w:ascii="Arial" w:hAnsi="Arial" w:cs="Arial"/>
          <w:sz w:val="20"/>
          <w:szCs w:val="24"/>
        </w:rPr>
        <w:t>corporate group</w:t>
      </w:r>
      <w:r>
        <w:rPr>
          <w:rFonts w:ascii="Arial" w:hAnsi="Arial" w:cs="Arial"/>
          <w:sz w:val="20"/>
          <w:szCs w:val="24"/>
        </w:rPr>
        <w:t xml:space="preserve"> ha</w:t>
      </w:r>
      <w:r w:rsidR="00D57F5D">
        <w:rPr>
          <w:rFonts w:ascii="Arial" w:hAnsi="Arial" w:cs="Arial"/>
          <w:sz w:val="20"/>
          <w:szCs w:val="24"/>
        </w:rPr>
        <w:t>s</w:t>
      </w:r>
      <w:r>
        <w:rPr>
          <w:rFonts w:ascii="Arial" w:hAnsi="Arial" w:cs="Arial"/>
          <w:sz w:val="20"/>
          <w:szCs w:val="24"/>
        </w:rPr>
        <w:t xml:space="preserve"> changed significantly since its licence was first allocated and that these changes may </w:t>
      </w:r>
      <w:r w:rsidR="00B05154">
        <w:rPr>
          <w:rFonts w:ascii="Arial" w:hAnsi="Arial" w:cs="Arial"/>
          <w:sz w:val="20"/>
          <w:szCs w:val="24"/>
        </w:rPr>
        <w:t xml:space="preserve">be </w:t>
      </w:r>
      <w:r>
        <w:rPr>
          <w:rFonts w:ascii="Arial" w:hAnsi="Arial" w:cs="Arial"/>
          <w:sz w:val="20"/>
          <w:szCs w:val="24"/>
        </w:rPr>
        <w:t>prevent</w:t>
      </w:r>
      <w:r w:rsidR="00B05154">
        <w:rPr>
          <w:rFonts w:ascii="Arial" w:hAnsi="Arial" w:cs="Arial"/>
          <w:sz w:val="20"/>
          <w:szCs w:val="24"/>
        </w:rPr>
        <w:t>ing</w:t>
      </w:r>
      <w:r>
        <w:rPr>
          <w:rFonts w:ascii="Arial" w:hAnsi="Arial" w:cs="Arial"/>
          <w:sz w:val="20"/>
          <w:szCs w:val="24"/>
        </w:rPr>
        <w:t xml:space="preserve"> community participation in the operations of the licensee in providing the service. </w:t>
      </w:r>
      <w:r w:rsidR="0028768E">
        <w:rPr>
          <w:rFonts w:ascii="Arial" w:hAnsi="Arial" w:cs="Arial"/>
          <w:sz w:val="20"/>
          <w:szCs w:val="24"/>
        </w:rPr>
        <w:t>Specifically, concerns were raised regarding the corporate structure</w:t>
      </w:r>
      <w:r w:rsidR="00AD74C4">
        <w:rPr>
          <w:rFonts w:ascii="Arial" w:hAnsi="Arial" w:cs="Arial"/>
          <w:sz w:val="20"/>
          <w:szCs w:val="24"/>
        </w:rPr>
        <w:t xml:space="preserve"> of the licensee and its subsidiary Noongar</w:t>
      </w:r>
      <w:r w:rsidR="006D5389">
        <w:rPr>
          <w:rFonts w:ascii="Arial" w:hAnsi="Arial" w:cs="Arial"/>
          <w:sz w:val="20"/>
          <w:szCs w:val="24"/>
        </w:rPr>
        <w:t xml:space="preserve">, </w:t>
      </w:r>
      <w:r w:rsidR="00CC6E35">
        <w:rPr>
          <w:rFonts w:ascii="Arial" w:hAnsi="Arial" w:cs="Arial"/>
          <w:sz w:val="20"/>
          <w:szCs w:val="24"/>
        </w:rPr>
        <w:t>Noongar’s</w:t>
      </w:r>
      <w:r w:rsidR="0028768E">
        <w:rPr>
          <w:rFonts w:ascii="Arial" w:hAnsi="Arial" w:cs="Arial"/>
          <w:sz w:val="20"/>
          <w:szCs w:val="24"/>
        </w:rPr>
        <w:t xml:space="preserve"> </w:t>
      </w:r>
      <w:r w:rsidR="006D5389">
        <w:rPr>
          <w:rFonts w:ascii="Arial" w:hAnsi="Arial" w:cs="Arial"/>
          <w:sz w:val="20"/>
          <w:szCs w:val="24"/>
        </w:rPr>
        <w:t xml:space="preserve">independence, and that </w:t>
      </w:r>
      <w:r w:rsidR="00CC6E35">
        <w:rPr>
          <w:rFonts w:ascii="Arial" w:hAnsi="Arial" w:cs="Arial"/>
          <w:sz w:val="20"/>
          <w:szCs w:val="24"/>
        </w:rPr>
        <w:t>some</w:t>
      </w:r>
      <w:r w:rsidR="00BD77AA">
        <w:rPr>
          <w:rFonts w:ascii="Arial" w:hAnsi="Arial" w:cs="Arial"/>
          <w:sz w:val="20"/>
          <w:szCs w:val="24"/>
        </w:rPr>
        <w:t xml:space="preserve"> of</w:t>
      </w:r>
      <w:r w:rsidR="00CC6E35">
        <w:rPr>
          <w:rFonts w:ascii="Arial" w:hAnsi="Arial" w:cs="Arial"/>
          <w:sz w:val="20"/>
          <w:szCs w:val="24"/>
        </w:rPr>
        <w:t xml:space="preserve"> </w:t>
      </w:r>
      <w:r w:rsidR="006D5389">
        <w:rPr>
          <w:rFonts w:ascii="Arial" w:hAnsi="Arial" w:cs="Arial"/>
          <w:sz w:val="20"/>
          <w:szCs w:val="24"/>
        </w:rPr>
        <w:t>Noongar’s polic</w:t>
      </w:r>
      <w:r w:rsidR="00CC6E35">
        <w:rPr>
          <w:rFonts w:ascii="Arial" w:hAnsi="Arial" w:cs="Arial"/>
          <w:sz w:val="20"/>
          <w:szCs w:val="24"/>
        </w:rPr>
        <w:t xml:space="preserve">ies—required by the </w:t>
      </w:r>
      <w:r w:rsidR="00CC6E35">
        <w:rPr>
          <w:rFonts w:ascii="Arial" w:hAnsi="Arial" w:cs="Arial"/>
          <w:i/>
          <w:sz w:val="20"/>
          <w:szCs w:val="24"/>
        </w:rPr>
        <w:t>Community Broadcasting Codes of Practice 2008</w:t>
      </w:r>
      <w:r w:rsidR="00BD77AA">
        <w:rPr>
          <w:rFonts w:ascii="Arial" w:hAnsi="Arial" w:cs="Arial"/>
          <w:sz w:val="20"/>
          <w:szCs w:val="24"/>
        </w:rPr>
        <w:t xml:space="preserve"> (the Codes)</w:t>
      </w:r>
      <w:r w:rsidR="00CC6E35">
        <w:rPr>
          <w:rFonts w:ascii="Arial" w:hAnsi="Arial" w:cs="Arial"/>
          <w:i/>
          <w:sz w:val="20"/>
          <w:szCs w:val="24"/>
        </w:rPr>
        <w:t>—</w:t>
      </w:r>
      <w:r w:rsidR="00B05154">
        <w:rPr>
          <w:rFonts w:ascii="Arial" w:hAnsi="Arial" w:cs="Arial"/>
          <w:sz w:val="20"/>
          <w:szCs w:val="24"/>
        </w:rPr>
        <w:t xml:space="preserve">may </w:t>
      </w:r>
      <w:r w:rsidR="00CC6E35">
        <w:rPr>
          <w:rFonts w:ascii="Arial" w:hAnsi="Arial" w:cs="Arial"/>
          <w:sz w:val="20"/>
          <w:szCs w:val="24"/>
        </w:rPr>
        <w:t>have been revoked</w:t>
      </w:r>
      <w:r w:rsidR="006D5389">
        <w:rPr>
          <w:rFonts w:ascii="Arial" w:hAnsi="Arial" w:cs="Arial"/>
          <w:sz w:val="20"/>
          <w:szCs w:val="24"/>
        </w:rPr>
        <w:t>.</w:t>
      </w:r>
    </w:p>
    <w:p w14:paraId="373DDE21" w14:textId="77777777" w:rsidR="00B76B74" w:rsidRDefault="00B76B74" w:rsidP="00B76B74">
      <w:pPr>
        <w:pStyle w:val="ABABodyText"/>
        <w:spacing w:before="0" w:after="240" w:line="240" w:lineRule="auto"/>
        <w:rPr>
          <w:rFonts w:ascii="Arial" w:hAnsi="Arial" w:cs="Arial"/>
          <w:sz w:val="20"/>
        </w:rPr>
      </w:pPr>
      <w:r>
        <w:rPr>
          <w:rFonts w:ascii="Arial" w:hAnsi="Arial" w:cs="Arial"/>
          <w:sz w:val="20"/>
          <w:szCs w:val="24"/>
        </w:rPr>
        <w:t xml:space="preserve">In response to the ACMA’s preliminary view, </w:t>
      </w:r>
      <w:r>
        <w:rPr>
          <w:rFonts w:ascii="Arial" w:hAnsi="Arial" w:cs="Arial"/>
          <w:sz w:val="20"/>
        </w:rPr>
        <w:t>t</w:t>
      </w:r>
      <w:r w:rsidRPr="00B76B74">
        <w:rPr>
          <w:rFonts w:ascii="Arial" w:hAnsi="Arial" w:cs="Arial"/>
          <w:sz w:val="20"/>
        </w:rPr>
        <w:t>he licensee</w:t>
      </w:r>
      <w:r>
        <w:rPr>
          <w:rFonts w:ascii="Arial" w:hAnsi="Arial" w:cs="Arial"/>
          <w:sz w:val="20"/>
        </w:rPr>
        <w:t xml:space="preserve"> stated</w:t>
      </w:r>
      <w:r w:rsidRPr="00B76B74">
        <w:rPr>
          <w:rFonts w:ascii="Arial" w:hAnsi="Arial" w:cs="Arial"/>
          <w:sz w:val="20"/>
        </w:rPr>
        <w:t xml:space="preserve"> that ‘Indigenous broadcasting is a specialist category and we do possess substantial experience in the indigenous sector’.</w:t>
      </w:r>
      <w:r>
        <w:rPr>
          <w:rFonts w:ascii="Arial" w:hAnsi="Arial" w:cs="Arial"/>
          <w:sz w:val="20"/>
        </w:rPr>
        <w:t xml:space="preserve"> When the ACMA examines compliance with community participation requirements, it considers the individual circumstances of each service. The </w:t>
      </w:r>
      <w:r w:rsidRPr="00B76B74">
        <w:rPr>
          <w:rFonts w:ascii="Arial" w:hAnsi="Arial" w:cs="Arial"/>
          <w:sz w:val="20"/>
        </w:rPr>
        <w:t>community participation requirement</w:t>
      </w:r>
      <w:r>
        <w:rPr>
          <w:rFonts w:ascii="Arial" w:hAnsi="Arial" w:cs="Arial"/>
          <w:sz w:val="20"/>
        </w:rPr>
        <w:t>, nonetheless,</w:t>
      </w:r>
      <w:r w:rsidRPr="00B76B74">
        <w:rPr>
          <w:rFonts w:ascii="Arial" w:hAnsi="Arial" w:cs="Arial"/>
          <w:sz w:val="20"/>
        </w:rPr>
        <w:t xml:space="preserve"> applies to all services, regardless of their location, the community they serve or the size of that community.</w:t>
      </w:r>
    </w:p>
    <w:p w14:paraId="35DEDD35" w14:textId="06BC6A89" w:rsidR="00CD6CEB" w:rsidRDefault="008F72CE" w:rsidP="00CD6CEB">
      <w:pPr>
        <w:pStyle w:val="ABABodyText"/>
        <w:spacing w:before="0" w:after="240" w:line="240" w:lineRule="auto"/>
        <w:rPr>
          <w:rFonts w:ascii="Arial" w:hAnsi="Arial" w:cs="Arial"/>
          <w:sz w:val="20"/>
          <w:szCs w:val="24"/>
        </w:rPr>
      </w:pPr>
      <w:r>
        <w:rPr>
          <w:rFonts w:ascii="Arial" w:hAnsi="Arial" w:cs="Arial"/>
          <w:sz w:val="20"/>
          <w:szCs w:val="24"/>
        </w:rPr>
        <w:t>In the ACMA’s experience, licensees encourage community participation in their operations when they have sound corporate governance practices, value and promote membership and volunteering, and have an effective and transparent committee structure.</w:t>
      </w:r>
      <w:r w:rsidR="004C16B4">
        <w:rPr>
          <w:rFonts w:ascii="Arial" w:hAnsi="Arial" w:cs="Arial"/>
          <w:sz w:val="20"/>
          <w:szCs w:val="24"/>
        </w:rPr>
        <w:t xml:space="preserve"> These practices enable communities to have adequate input into the decision-making that affects their service.</w:t>
      </w:r>
    </w:p>
    <w:p w14:paraId="738ADFED" w14:textId="1FD33E15" w:rsidR="008E1923" w:rsidRPr="00FD0E32" w:rsidRDefault="00235095" w:rsidP="00CD6CEB">
      <w:pPr>
        <w:pStyle w:val="ABABodyText"/>
        <w:spacing w:before="0" w:line="240" w:lineRule="auto"/>
        <w:rPr>
          <w:rFonts w:ascii="Arial" w:hAnsi="Arial" w:cs="Arial"/>
          <w:b/>
          <w:sz w:val="20"/>
        </w:rPr>
      </w:pPr>
      <w:r w:rsidRPr="00FD0E32">
        <w:rPr>
          <w:rFonts w:ascii="Arial" w:hAnsi="Arial" w:cs="Arial"/>
          <w:b/>
          <w:i/>
          <w:sz w:val="20"/>
        </w:rPr>
        <w:t>Is membership restricted</w:t>
      </w:r>
      <w:r w:rsidR="00FD367C" w:rsidRPr="00FD0E32">
        <w:rPr>
          <w:rFonts w:ascii="Arial" w:hAnsi="Arial" w:cs="Arial"/>
          <w:b/>
          <w:i/>
          <w:sz w:val="20"/>
        </w:rPr>
        <w:t>?</w:t>
      </w:r>
    </w:p>
    <w:p w14:paraId="0FB8C4E0" w14:textId="4623DA99" w:rsidR="00CD6CEB" w:rsidRPr="00CD6CEB" w:rsidRDefault="00BC3D4A" w:rsidP="00CD6CEB">
      <w:pPr>
        <w:pStyle w:val="ABABodyText"/>
        <w:spacing w:before="0" w:line="240" w:lineRule="auto"/>
        <w:rPr>
          <w:rFonts w:ascii="Arial" w:hAnsi="Arial" w:cs="Arial"/>
          <w:sz w:val="20"/>
        </w:rPr>
      </w:pPr>
      <w:r w:rsidRPr="00CD6CEB">
        <w:rPr>
          <w:rFonts w:ascii="Arial" w:hAnsi="Arial" w:cs="Arial"/>
          <w:sz w:val="20"/>
        </w:rPr>
        <w:t>A</w:t>
      </w:r>
      <w:r w:rsidR="00AD74C4">
        <w:rPr>
          <w:rFonts w:ascii="Arial" w:hAnsi="Arial" w:cs="Arial"/>
          <w:sz w:val="20"/>
        </w:rPr>
        <w:t>s</w:t>
      </w:r>
      <w:r w:rsidRPr="00CD6CEB">
        <w:rPr>
          <w:rFonts w:ascii="Arial" w:hAnsi="Arial" w:cs="Arial"/>
          <w:sz w:val="20"/>
        </w:rPr>
        <w:t xml:space="preserve"> is outlined in the Guidelines, the ACMA considers membership </w:t>
      </w:r>
      <w:r w:rsidR="00BD77AA">
        <w:rPr>
          <w:rFonts w:ascii="Arial" w:hAnsi="Arial" w:cs="Arial"/>
          <w:sz w:val="20"/>
        </w:rPr>
        <w:t>to be</w:t>
      </w:r>
      <w:r w:rsidRPr="00CD6CEB">
        <w:rPr>
          <w:rFonts w:ascii="Arial" w:hAnsi="Arial" w:cs="Arial"/>
          <w:sz w:val="20"/>
        </w:rPr>
        <w:t xml:space="preserve"> one of the primary ways of encouraging community participation in the operations of the service. </w:t>
      </w:r>
      <w:r w:rsidR="00CD6CEB" w:rsidRPr="00CD6CEB">
        <w:rPr>
          <w:rFonts w:ascii="Arial" w:hAnsi="Arial" w:cs="Arial"/>
          <w:sz w:val="20"/>
        </w:rPr>
        <w:t xml:space="preserve">This is because </w:t>
      </w:r>
      <w:r w:rsidR="0006380C">
        <w:rPr>
          <w:rFonts w:ascii="Arial" w:hAnsi="Arial" w:cs="Arial"/>
          <w:sz w:val="20"/>
        </w:rPr>
        <w:t>m</w:t>
      </w:r>
      <w:r w:rsidR="00CD6CEB" w:rsidRPr="00CD6CEB">
        <w:rPr>
          <w:rFonts w:ascii="Arial" w:hAnsi="Arial" w:cs="Arial"/>
          <w:sz w:val="20"/>
        </w:rPr>
        <w:t>embers can have a say in decision-making by:</w:t>
      </w:r>
    </w:p>
    <w:p w14:paraId="3E657DB9" w14:textId="77777777" w:rsidR="00CD6CEB" w:rsidRPr="00CD6CEB" w:rsidRDefault="00CD6CEB" w:rsidP="00CD6CEB">
      <w:pPr>
        <w:pStyle w:val="ACMABodyText"/>
        <w:numPr>
          <w:ilvl w:val="0"/>
          <w:numId w:val="23"/>
        </w:numPr>
        <w:spacing w:after="0"/>
        <w:rPr>
          <w:rFonts w:cs="Arial"/>
        </w:rPr>
      </w:pPr>
      <w:r w:rsidRPr="00CD6CEB">
        <w:rPr>
          <w:rFonts w:cs="Arial"/>
        </w:rPr>
        <w:t>attending and voting at meetings;</w:t>
      </w:r>
    </w:p>
    <w:p w14:paraId="5694EC76" w14:textId="77777777" w:rsidR="00CD6CEB" w:rsidRPr="00CD6CEB" w:rsidRDefault="00CD6CEB" w:rsidP="00CD6CEB">
      <w:pPr>
        <w:pStyle w:val="ACMABodyText"/>
        <w:numPr>
          <w:ilvl w:val="0"/>
          <w:numId w:val="23"/>
        </w:numPr>
        <w:spacing w:after="0"/>
        <w:rPr>
          <w:rFonts w:cs="Arial"/>
        </w:rPr>
      </w:pPr>
      <w:r w:rsidRPr="00CD6CEB">
        <w:rPr>
          <w:rFonts w:cs="Arial"/>
        </w:rPr>
        <w:t>nominating for membership of boards and committees;</w:t>
      </w:r>
    </w:p>
    <w:p w14:paraId="2A4044EF" w14:textId="77777777" w:rsidR="00CD6CEB" w:rsidRPr="00CD6CEB" w:rsidRDefault="00CD6CEB" w:rsidP="00CD6CEB">
      <w:pPr>
        <w:pStyle w:val="ACMABodyText"/>
        <w:numPr>
          <w:ilvl w:val="0"/>
          <w:numId w:val="23"/>
        </w:numPr>
        <w:spacing w:after="0"/>
        <w:rPr>
          <w:rFonts w:cs="Arial"/>
        </w:rPr>
      </w:pPr>
      <w:r w:rsidRPr="00CD6CEB">
        <w:rPr>
          <w:rFonts w:cs="Arial"/>
        </w:rPr>
        <w:t>participating in boards and committees; and</w:t>
      </w:r>
    </w:p>
    <w:p w14:paraId="7EA14509" w14:textId="77777777" w:rsidR="00CD6CEB" w:rsidRPr="00CD6CEB" w:rsidRDefault="00CD6CEB" w:rsidP="00CD6CEB">
      <w:pPr>
        <w:pStyle w:val="ACMABodyText"/>
        <w:numPr>
          <w:ilvl w:val="0"/>
          <w:numId w:val="23"/>
        </w:numPr>
        <w:rPr>
          <w:rFonts w:cs="Arial"/>
        </w:rPr>
      </w:pPr>
      <w:r w:rsidRPr="00CD6CEB">
        <w:rPr>
          <w:rFonts w:cs="Arial"/>
        </w:rPr>
        <w:t>proposing items of business for general meetings.</w:t>
      </w:r>
    </w:p>
    <w:p w14:paraId="3A6D3CD1" w14:textId="69F389B0" w:rsidR="00BE2F9A" w:rsidRDefault="00BE2F9A" w:rsidP="00CD6CEB">
      <w:pPr>
        <w:pStyle w:val="ACMABodyText"/>
      </w:pPr>
      <w:r>
        <w:t xml:space="preserve">The ACMA’s strong preference is for community radio broadcasting services to have open membership policies. Membership is open if it is automatic on application or if a </w:t>
      </w:r>
      <w:r w:rsidR="00D449B2">
        <w:t>licensee</w:t>
      </w:r>
      <w:r>
        <w:t xml:space="preserve"> may only refuse membership on the basis of specific and transparent </w:t>
      </w:r>
      <w:r w:rsidR="00D449B2">
        <w:t>criteria</w:t>
      </w:r>
      <w:r>
        <w:t>.</w:t>
      </w:r>
    </w:p>
    <w:p w14:paraId="24BBB1FE" w14:textId="31F556CB" w:rsidR="00A65969" w:rsidRPr="00CD6CEB" w:rsidRDefault="00BC3D4A" w:rsidP="00CD6CEB">
      <w:pPr>
        <w:pStyle w:val="ACMABodyText"/>
        <w:rPr>
          <w:rFonts w:cs="Arial"/>
        </w:rPr>
      </w:pPr>
      <w:r w:rsidRPr="00BC3D4A">
        <w:t>W</w:t>
      </w:r>
      <w:r w:rsidR="006D5389" w:rsidRPr="00BC3D4A">
        <w:t xml:space="preserve">hen the licence </w:t>
      </w:r>
      <w:r w:rsidR="00A65969" w:rsidRPr="00BC3D4A">
        <w:rPr>
          <w:rFonts w:cs="Arial"/>
        </w:rPr>
        <w:t>was allocated in 2008 and subsequently renewed in 201</w:t>
      </w:r>
      <w:r w:rsidR="008F72CE" w:rsidRPr="00BC3D4A">
        <w:rPr>
          <w:rFonts w:cs="Arial"/>
        </w:rPr>
        <w:t xml:space="preserve">2 and 2017, </w:t>
      </w:r>
      <w:r w:rsidRPr="00BC3D4A">
        <w:rPr>
          <w:rFonts w:cs="Arial"/>
        </w:rPr>
        <w:t>it was noted that</w:t>
      </w:r>
      <w:r w:rsidR="00AD74C4">
        <w:rPr>
          <w:rFonts w:cs="Arial"/>
        </w:rPr>
        <w:t>,</w:t>
      </w:r>
      <w:r w:rsidR="00D57F5D" w:rsidRPr="00BC3D4A">
        <w:rPr>
          <w:rFonts w:cs="Arial"/>
        </w:rPr>
        <w:t xml:space="preserve"> </w:t>
      </w:r>
      <w:r w:rsidR="008F72CE" w:rsidRPr="00BC3D4A">
        <w:rPr>
          <w:rFonts w:cs="Arial"/>
        </w:rPr>
        <w:t>although the licensee did not have open membershi</w:t>
      </w:r>
      <w:r w:rsidR="00CD6CEB">
        <w:rPr>
          <w:rFonts w:cs="Arial"/>
        </w:rPr>
        <w:t>p</w:t>
      </w:r>
      <w:r w:rsidR="00AD74C4">
        <w:rPr>
          <w:rFonts w:cs="Arial"/>
        </w:rPr>
        <w:t>,</w:t>
      </w:r>
      <w:r w:rsidR="008F72CE" w:rsidRPr="00BC3D4A">
        <w:rPr>
          <w:rFonts w:cs="Arial"/>
        </w:rPr>
        <w:t xml:space="preserve"> </w:t>
      </w:r>
      <w:r w:rsidR="0033336E">
        <w:rPr>
          <w:rFonts w:cs="Arial"/>
        </w:rPr>
        <w:t>KMAC</w:t>
      </w:r>
      <w:r w:rsidR="00AD74C4">
        <w:rPr>
          <w:rFonts w:cs="Arial"/>
        </w:rPr>
        <w:t xml:space="preserve"> (the parent company)</w:t>
      </w:r>
      <w:r w:rsidR="008F72CE">
        <w:rPr>
          <w:rFonts w:cs="Arial"/>
          <w:szCs w:val="24"/>
        </w:rPr>
        <w:t xml:space="preserve"> did have open membership to all Aboriginal and </w:t>
      </w:r>
      <w:r w:rsidR="008F72CE" w:rsidRPr="00CD6CEB">
        <w:rPr>
          <w:rFonts w:cs="Arial"/>
        </w:rPr>
        <w:t>Torres Strait Islander people over the age of 18 that reside in the area</w:t>
      </w:r>
      <w:r w:rsidR="00D449B2">
        <w:rPr>
          <w:rFonts w:cs="Arial"/>
        </w:rPr>
        <w:t>; no restriction was placed on the maximum number of members</w:t>
      </w:r>
      <w:r w:rsidR="008F72CE" w:rsidRPr="00CD6CEB">
        <w:rPr>
          <w:rFonts w:cs="Arial"/>
        </w:rPr>
        <w:t>.</w:t>
      </w:r>
    </w:p>
    <w:p w14:paraId="46D93445" w14:textId="4248FB3E" w:rsidR="00CD6CEB" w:rsidRDefault="00CD6CEB" w:rsidP="00CD6CEB">
      <w:pPr>
        <w:pStyle w:val="ACMABodyText"/>
      </w:pPr>
      <w:r>
        <w:t xml:space="preserve">As such, although members were unable to vote directly at AGMs and </w:t>
      </w:r>
      <w:r w:rsidR="00592FE3">
        <w:t>special general meetings (SGMs)</w:t>
      </w:r>
      <w:r>
        <w:t xml:space="preserve"> held by either the licensee or Noongar, members of the community could have participated in decision-making processes which impacted the parent company’s decisions in respect of its subsidiaries.</w:t>
      </w:r>
    </w:p>
    <w:p w14:paraId="5F826DA0" w14:textId="3AF3D51C" w:rsidR="00BD77AA" w:rsidRDefault="00CC6E35" w:rsidP="00BD77AA">
      <w:pPr>
        <w:pStyle w:val="ACMABodyText"/>
      </w:pPr>
      <w:r>
        <w:t xml:space="preserve">It is noted that the membership policy supplied to the ACMA following the 2017 renewal </w:t>
      </w:r>
      <w:r w:rsidRPr="00BD77AA">
        <w:t>states that</w:t>
      </w:r>
      <w:r w:rsidR="00BD77AA" w:rsidRPr="00BD77AA">
        <w:t xml:space="preserve"> ‘</w:t>
      </w:r>
      <w:r w:rsidRPr="00BD77AA">
        <w:t>Members of KMAC will be considered to be members of Noongar Radio</w:t>
      </w:r>
      <w:r w:rsidR="00BD77AA" w:rsidRPr="00BD77AA">
        <w:t>’</w:t>
      </w:r>
      <w:r w:rsidRPr="00BD77AA">
        <w:t>.</w:t>
      </w:r>
      <w:r w:rsidR="00BD77AA">
        <w:t xml:space="preserve"> The community participation policy supplied at this time states that Noongar:</w:t>
      </w:r>
    </w:p>
    <w:p w14:paraId="13A79255" w14:textId="2EFE9DC6" w:rsidR="00CC6E35" w:rsidRPr="00BD77AA" w:rsidRDefault="00BD77AA" w:rsidP="00BD77AA">
      <w:pPr>
        <w:pStyle w:val="ACMABodyText"/>
        <w:ind w:left="720"/>
        <w:rPr>
          <w:sz w:val="18"/>
        </w:rPr>
      </w:pPr>
      <w:r w:rsidRPr="00BD77AA">
        <w:rPr>
          <w:sz w:val="18"/>
        </w:rPr>
        <w:t>must encourage members of the community to participate in the management, programming and operations of the service. […]</w:t>
      </w:r>
      <w:r>
        <w:rPr>
          <w:sz w:val="18"/>
        </w:rPr>
        <w:t xml:space="preserve"> </w:t>
      </w:r>
      <w:r w:rsidRPr="00BD77AA">
        <w:rPr>
          <w:sz w:val="18"/>
        </w:rPr>
        <w:t>Through its endorsed representatives on the NME board, KMAC (the sole shareholder of Peedac and its subsidiaries) receives reports and is able to give direct feedback from its members.</w:t>
      </w:r>
    </w:p>
    <w:p w14:paraId="240CB1FB" w14:textId="1E657CB1" w:rsidR="008E1E2F" w:rsidRDefault="00BC3D4A" w:rsidP="00490E6E">
      <w:pPr>
        <w:pStyle w:val="ABABodyText"/>
        <w:spacing w:before="0" w:after="240" w:line="240" w:lineRule="auto"/>
        <w:rPr>
          <w:rFonts w:ascii="Arial" w:hAnsi="Arial" w:cs="Arial"/>
          <w:sz w:val="20"/>
        </w:rPr>
      </w:pPr>
      <w:r w:rsidRPr="00CD6CEB">
        <w:rPr>
          <w:rFonts w:ascii="Arial" w:hAnsi="Arial" w:cs="Arial"/>
          <w:sz w:val="20"/>
        </w:rPr>
        <w:t>In its submission</w:t>
      </w:r>
      <w:r w:rsidR="00D449B2">
        <w:rPr>
          <w:rFonts w:ascii="Arial" w:hAnsi="Arial" w:cs="Arial"/>
          <w:sz w:val="20"/>
        </w:rPr>
        <w:t>s</w:t>
      </w:r>
      <w:r w:rsidRPr="00CD6CEB">
        <w:rPr>
          <w:rFonts w:ascii="Arial" w:hAnsi="Arial" w:cs="Arial"/>
          <w:sz w:val="20"/>
        </w:rPr>
        <w:t>, the licensee provided copies of minutes for t</w:t>
      </w:r>
      <w:r w:rsidR="00515848" w:rsidRPr="00CD6CEB">
        <w:rPr>
          <w:rFonts w:ascii="Arial" w:hAnsi="Arial" w:cs="Arial"/>
          <w:sz w:val="20"/>
        </w:rPr>
        <w:t xml:space="preserve">he 20 November 2018 AGM </w:t>
      </w:r>
      <w:r w:rsidRPr="00CD6CEB">
        <w:rPr>
          <w:rFonts w:ascii="Arial" w:hAnsi="Arial" w:cs="Arial"/>
          <w:sz w:val="20"/>
        </w:rPr>
        <w:t>and</w:t>
      </w:r>
      <w:r w:rsidR="00515848" w:rsidRPr="00CD6CEB">
        <w:rPr>
          <w:rFonts w:ascii="Arial" w:hAnsi="Arial" w:cs="Arial"/>
          <w:sz w:val="20"/>
        </w:rPr>
        <w:t xml:space="preserve"> SGM for </w:t>
      </w:r>
      <w:r w:rsidR="0033336E">
        <w:rPr>
          <w:rFonts w:ascii="Arial" w:hAnsi="Arial" w:cs="Arial"/>
          <w:sz w:val="20"/>
        </w:rPr>
        <w:t>KMAC</w:t>
      </w:r>
      <w:r w:rsidRPr="00CD6CEB">
        <w:rPr>
          <w:rFonts w:ascii="Arial" w:hAnsi="Arial" w:cs="Arial"/>
          <w:sz w:val="20"/>
        </w:rPr>
        <w:t>. These minutes</w:t>
      </w:r>
      <w:r w:rsidR="00515848" w:rsidRPr="00CD6CEB">
        <w:rPr>
          <w:rFonts w:ascii="Arial" w:hAnsi="Arial" w:cs="Arial"/>
          <w:sz w:val="20"/>
        </w:rPr>
        <w:t xml:space="preserve"> indicate that </w:t>
      </w:r>
      <w:r w:rsidR="0033336E">
        <w:rPr>
          <w:rFonts w:ascii="Arial" w:hAnsi="Arial" w:cs="Arial"/>
          <w:sz w:val="20"/>
        </w:rPr>
        <w:t>KMAC</w:t>
      </w:r>
      <w:r w:rsidRPr="00CD6CEB">
        <w:rPr>
          <w:rFonts w:ascii="Arial" w:hAnsi="Arial" w:cs="Arial"/>
          <w:sz w:val="20"/>
        </w:rPr>
        <w:t xml:space="preserve"> </w:t>
      </w:r>
      <w:r w:rsidR="00515848" w:rsidRPr="00CD6CEB">
        <w:rPr>
          <w:rFonts w:ascii="Arial" w:hAnsi="Arial" w:cs="Arial"/>
          <w:sz w:val="20"/>
        </w:rPr>
        <w:t xml:space="preserve">has adopted changes to its constitution which </w:t>
      </w:r>
      <w:r w:rsidR="008E1923">
        <w:rPr>
          <w:rFonts w:ascii="Arial" w:hAnsi="Arial" w:cs="Arial"/>
          <w:sz w:val="20"/>
        </w:rPr>
        <w:t>restrict</w:t>
      </w:r>
      <w:r w:rsidR="008E1923" w:rsidRPr="00CD6CEB">
        <w:rPr>
          <w:rFonts w:ascii="Arial" w:hAnsi="Arial" w:cs="Arial"/>
          <w:sz w:val="20"/>
        </w:rPr>
        <w:t xml:space="preserve"> the </w:t>
      </w:r>
      <w:r w:rsidR="008E1923">
        <w:rPr>
          <w:rFonts w:ascii="Arial" w:hAnsi="Arial" w:cs="Arial"/>
          <w:sz w:val="20"/>
        </w:rPr>
        <w:t xml:space="preserve">maximum </w:t>
      </w:r>
      <w:r w:rsidR="008E1923" w:rsidRPr="00CD6CEB">
        <w:rPr>
          <w:rFonts w:ascii="Arial" w:hAnsi="Arial" w:cs="Arial"/>
          <w:sz w:val="20"/>
        </w:rPr>
        <w:t xml:space="preserve">number of members </w:t>
      </w:r>
      <w:r w:rsidR="008E1923">
        <w:rPr>
          <w:rFonts w:ascii="Arial" w:hAnsi="Arial" w:cs="Arial"/>
          <w:sz w:val="20"/>
        </w:rPr>
        <w:t xml:space="preserve">of the company </w:t>
      </w:r>
      <w:r w:rsidR="008E1923" w:rsidRPr="00CD6CEB">
        <w:rPr>
          <w:rFonts w:ascii="Arial" w:hAnsi="Arial" w:cs="Arial"/>
          <w:sz w:val="20"/>
        </w:rPr>
        <w:t xml:space="preserve">to </w:t>
      </w:r>
      <w:r w:rsidR="008E1923">
        <w:rPr>
          <w:rFonts w:ascii="Arial" w:hAnsi="Arial" w:cs="Arial"/>
          <w:sz w:val="20"/>
        </w:rPr>
        <w:t>five</w:t>
      </w:r>
      <w:r w:rsidR="00592FE3">
        <w:rPr>
          <w:rFonts w:ascii="Arial" w:hAnsi="Arial" w:cs="Arial"/>
          <w:sz w:val="20"/>
        </w:rPr>
        <w:t>.</w:t>
      </w:r>
    </w:p>
    <w:p w14:paraId="483B7F4E" w14:textId="57C9BF63" w:rsidR="008E1E2F" w:rsidRDefault="008E1E2F" w:rsidP="00490E6E">
      <w:pPr>
        <w:pStyle w:val="ABABodyText"/>
        <w:spacing w:before="0" w:after="240" w:line="240" w:lineRule="auto"/>
        <w:rPr>
          <w:rFonts w:ascii="Arial" w:hAnsi="Arial" w:cs="Arial"/>
          <w:sz w:val="20"/>
        </w:rPr>
      </w:pPr>
      <w:r>
        <w:rPr>
          <w:rFonts w:ascii="Arial" w:hAnsi="Arial" w:cs="Arial"/>
          <w:sz w:val="20"/>
        </w:rPr>
        <w:lastRenderedPageBreak/>
        <w:t xml:space="preserve">In a licence area with an Indigenous population of more than 30,000, KMAC’s decision to reduce its membership to only five people means that members of the broader </w:t>
      </w:r>
      <w:r w:rsidRPr="008E1E2F">
        <w:rPr>
          <w:rFonts w:ascii="Arial" w:hAnsi="Arial" w:cs="Arial"/>
          <w:sz w:val="20"/>
        </w:rPr>
        <w:t>Aboriginal and Torres Strait Islander community</w:t>
      </w:r>
      <w:r>
        <w:rPr>
          <w:rFonts w:ascii="Arial" w:hAnsi="Arial" w:cs="Arial"/>
          <w:sz w:val="20"/>
        </w:rPr>
        <w:t xml:space="preserve"> </w:t>
      </w:r>
      <w:r w:rsidR="00FC38D3">
        <w:rPr>
          <w:rFonts w:ascii="Arial" w:hAnsi="Arial" w:cs="Arial"/>
          <w:sz w:val="20"/>
        </w:rPr>
        <w:t xml:space="preserve">are </w:t>
      </w:r>
      <w:r w:rsidR="001917EF">
        <w:rPr>
          <w:rFonts w:ascii="Arial" w:hAnsi="Arial" w:cs="Arial"/>
          <w:sz w:val="20"/>
        </w:rPr>
        <w:t>effectively no-longer able to vote at meetings or propose items of business for general meetings</w:t>
      </w:r>
      <w:r w:rsidR="00FC38D3">
        <w:rPr>
          <w:rFonts w:ascii="Arial" w:hAnsi="Arial" w:cs="Arial"/>
          <w:sz w:val="20"/>
        </w:rPr>
        <w:t>.</w:t>
      </w:r>
    </w:p>
    <w:p w14:paraId="4CFE94AC" w14:textId="094AAB0A" w:rsidR="008E1923" w:rsidRPr="00FD0E32" w:rsidRDefault="00FD367C" w:rsidP="00490E6E">
      <w:pPr>
        <w:pStyle w:val="ABABodyText"/>
        <w:spacing w:before="0" w:after="240" w:line="240" w:lineRule="auto"/>
        <w:rPr>
          <w:rFonts w:ascii="Arial" w:hAnsi="Arial" w:cs="Arial"/>
          <w:b/>
          <w:i/>
          <w:sz w:val="20"/>
        </w:rPr>
      </w:pPr>
      <w:r w:rsidRPr="00FD0E32">
        <w:rPr>
          <w:rFonts w:ascii="Arial" w:hAnsi="Arial" w:cs="Arial"/>
          <w:b/>
          <w:i/>
          <w:sz w:val="20"/>
        </w:rPr>
        <w:t xml:space="preserve">Can community members participate on </w:t>
      </w:r>
      <w:r w:rsidR="00EB5387" w:rsidRPr="00FD0E32">
        <w:rPr>
          <w:rFonts w:ascii="Arial" w:hAnsi="Arial" w:cs="Arial"/>
          <w:b/>
          <w:i/>
          <w:sz w:val="20"/>
        </w:rPr>
        <w:t>b</w:t>
      </w:r>
      <w:r w:rsidRPr="00FD0E32">
        <w:rPr>
          <w:rFonts w:ascii="Arial" w:hAnsi="Arial" w:cs="Arial"/>
          <w:b/>
          <w:i/>
          <w:sz w:val="20"/>
        </w:rPr>
        <w:t>oards</w:t>
      </w:r>
      <w:r w:rsidR="001917EF" w:rsidRPr="00FD0E32">
        <w:rPr>
          <w:rFonts w:ascii="Arial" w:hAnsi="Arial" w:cs="Arial"/>
          <w:b/>
          <w:i/>
          <w:sz w:val="20"/>
        </w:rPr>
        <w:t xml:space="preserve"> and committees</w:t>
      </w:r>
      <w:r w:rsidRPr="00FD0E32">
        <w:rPr>
          <w:rFonts w:ascii="Arial" w:hAnsi="Arial" w:cs="Arial"/>
          <w:b/>
          <w:i/>
          <w:sz w:val="20"/>
        </w:rPr>
        <w:t>?</w:t>
      </w:r>
    </w:p>
    <w:p w14:paraId="5990BFCB" w14:textId="77777777" w:rsidR="008473EF" w:rsidRDefault="008473EF" w:rsidP="008473EF">
      <w:pPr>
        <w:pStyle w:val="ABABodyText"/>
        <w:spacing w:before="0" w:after="240" w:line="240" w:lineRule="auto"/>
        <w:rPr>
          <w:rFonts w:ascii="Arial" w:hAnsi="Arial" w:cs="Arial"/>
          <w:sz w:val="20"/>
        </w:rPr>
      </w:pPr>
      <w:r>
        <w:rPr>
          <w:rFonts w:ascii="Arial" w:hAnsi="Arial" w:cs="Arial"/>
          <w:sz w:val="20"/>
        </w:rPr>
        <w:t xml:space="preserve">The licensee has indicated that, </w:t>
      </w:r>
      <w:r w:rsidRPr="003403CE">
        <w:rPr>
          <w:rFonts w:ascii="Arial" w:hAnsi="Arial" w:cs="Arial"/>
          <w:sz w:val="20"/>
        </w:rPr>
        <w:t>over the last 12 months</w:t>
      </w:r>
      <w:r>
        <w:rPr>
          <w:rFonts w:ascii="Arial" w:hAnsi="Arial" w:cs="Arial"/>
          <w:sz w:val="20"/>
        </w:rPr>
        <w:t xml:space="preserve">, it has </w:t>
      </w:r>
      <w:r w:rsidRPr="003403CE">
        <w:rPr>
          <w:rFonts w:ascii="Arial" w:hAnsi="Arial" w:cs="Arial"/>
          <w:sz w:val="20"/>
        </w:rPr>
        <w:t xml:space="preserve">undergone </w:t>
      </w:r>
      <w:r>
        <w:rPr>
          <w:rFonts w:ascii="Arial" w:hAnsi="Arial" w:cs="Arial"/>
          <w:sz w:val="20"/>
        </w:rPr>
        <w:t>a</w:t>
      </w:r>
      <w:r w:rsidRPr="003403CE">
        <w:rPr>
          <w:rFonts w:ascii="Arial" w:hAnsi="Arial" w:cs="Arial"/>
          <w:sz w:val="20"/>
        </w:rPr>
        <w:t xml:space="preserve"> </w:t>
      </w:r>
      <w:r>
        <w:rPr>
          <w:rFonts w:ascii="Arial" w:hAnsi="Arial" w:cs="Arial"/>
          <w:sz w:val="20"/>
        </w:rPr>
        <w:t xml:space="preserve">significant </w:t>
      </w:r>
      <w:r w:rsidRPr="003403CE">
        <w:rPr>
          <w:rFonts w:ascii="Arial" w:hAnsi="Arial" w:cs="Arial"/>
          <w:sz w:val="20"/>
        </w:rPr>
        <w:t>restructure</w:t>
      </w:r>
      <w:r>
        <w:rPr>
          <w:rFonts w:ascii="Arial" w:hAnsi="Arial" w:cs="Arial"/>
          <w:sz w:val="20"/>
        </w:rPr>
        <w:t xml:space="preserve">, causing </w:t>
      </w:r>
      <w:r w:rsidRPr="003403CE">
        <w:rPr>
          <w:rFonts w:ascii="Arial" w:hAnsi="Arial" w:cs="Arial"/>
          <w:sz w:val="20"/>
        </w:rPr>
        <w:t>some upheavals</w:t>
      </w:r>
      <w:r>
        <w:rPr>
          <w:rFonts w:ascii="Arial" w:hAnsi="Arial" w:cs="Arial"/>
          <w:sz w:val="20"/>
        </w:rPr>
        <w:t>, including:</w:t>
      </w:r>
    </w:p>
    <w:p w14:paraId="211AB09B" w14:textId="77777777" w:rsidR="008473EF" w:rsidRPr="003403CE" w:rsidRDefault="008473EF" w:rsidP="008473EF">
      <w:pPr>
        <w:pStyle w:val="ABABodyText"/>
        <w:spacing w:before="0" w:after="240" w:line="240" w:lineRule="auto"/>
        <w:ind w:left="720"/>
        <w:rPr>
          <w:rFonts w:ascii="Arial" w:hAnsi="Arial" w:cs="Arial"/>
          <w:sz w:val="18"/>
        </w:rPr>
      </w:pPr>
      <w:r w:rsidRPr="003403CE">
        <w:rPr>
          <w:rFonts w:ascii="Arial" w:hAnsi="Arial" w:cs="Arial"/>
          <w:sz w:val="18"/>
        </w:rPr>
        <w:t xml:space="preserve">the restructuring of staff across all divisions, the registration and/or redundancy of three Noongar staff members </w:t>
      </w:r>
      <w:r>
        <w:rPr>
          <w:rFonts w:ascii="Arial" w:hAnsi="Arial" w:cs="Arial"/>
          <w:sz w:val="18"/>
        </w:rPr>
        <w:t xml:space="preserve">(and consequent understaffing) </w:t>
      </w:r>
      <w:r w:rsidRPr="003403CE">
        <w:rPr>
          <w:rFonts w:ascii="Arial" w:hAnsi="Arial" w:cs="Arial"/>
          <w:sz w:val="18"/>
        </w:rPr>
        <w:t>and significant changes on the Noongar board.</w:t>
      </w:r>
    </w:p>
    <w:p w14:paraId="17F5E654" w14:textId="77777777" w:rsidR="008473EF" w:rsidRPr="00B76B74" w:rsidRDefault="008473EF" w:rsidP="008473EF">
      <w:pPr>
        <w:pStyle w:val="ABABodyText"/>
        <w:spacing w:before="0" w:after="240" w:line="240" w:lineRule="auto"/>
        <w:rPr>
          <w:rFonts w:ascii="Arial" w:hAnsi="Arial" w:cs="Arial"/>
          <w:sz w:val="20"/>
        </w:rPr>
      </w:pPr>
      <w:r w:rsidRPr="00B76B74">
        <w:rPr>
          <w:rFonts w:ascii="Arial" w:hAnsi="Arial" w:cs="Arial"/>
          <w:sz w:val="20"/>
        </w:rPr>
        <w:t>The licensee has further indicated that these changes were implemented in part to reduce discord and increase operational effectiveness ‘with political and philosophical agreement across the spectrum’.</w:t>
      </w:r>
    </w:p>
    <w:p w14:paraId="63ED3CDF" w14:textId="54E5F6E3" w:rsidR="00AB1722" w:rsidRDefault="008473EF" w:rsidP="00490E6E">
      <w:pPr>
        <w:pStyle w:val="ABABodyText"/>
        <w:spacing w:before="0" w:after="240" w:line="240" w:lineRule="auto"/>
        <w:rPr>
          <w:rFonts w:ascii="Arial" w:hAnsi="Arial" w:cs="Arial"/>
          <w:sz w:val="20"/>
        </w:rPr>
      </w:pPr>
      <w:r>
        <w:rPr>
          <w:rFonts w:ascii="Arial" w:hAnsi="Arial" w:cs="Arial"/>
          <w:sz w:val="20"/>
        </w:rPr>
        <w:t>The ACMA notes that a</w:t>
      </w:r>
      <w:r w:rsidR="00FC38D3">
        <w:rPr>
          <w:rFonts w:ascii="Arial" w:hAnsi="Arial" w:cs="Arial"/>
          <w:sz w:val="20"/>
        </w:rPr>
        <w:t xml:space="preserve">t its </w:t>
      </w:r>
      <w:r w:rsidR="00FC38D3" w:rsidRPr="00CD6CEB">
        <w:rPr>
          <w:rFonts w:ascii="Arial" w:hAnsi="Arial" w:cs="Arial"/>
          <w:sz w:val="20"/>
        </w:rPr>
        <w:t>20 November 2018 AGM and SGM</w:t>
      </w:r>
      <w:r w:rsidR="00FC38D3">
        <w:rPr>
          <w:rFonts w:ascii="Arial" w:hAnsi="Arial" w:cs="Arial"/>
          <w:sz w:val="20"/>
        </w:rPr>
        <w:t xml:space="preserve">, </w:t>
      </w:r>
      <w:r>
        <w:rPr>
          <w:rFonts w:ascii="Arial" w:hAnsi="Arial" w:cs="Arial"/>
          <w:sz w:val="20"/>
        </w:rPr>
        <w:t xml:space="preserve">in addition to restricting membership numbers, </w:t>
      </w:r>
      <w:r w:rsidR="00FC38D3">
        <w:rPr>
          <w:rFonts w:ascii="Arial" w:hAnsi="Arial" w:cs="Arial"/>
          <w:sz w:val="20"/>
        </w:rPr>
        <w:t xml:space="preserve">KMAC also amended its constitution to </w:t>
      </w:r>
      <w:r w:rsidR="00515848" w:rsidRPr="00CD6CEB">
        <w:rPr>
          <w:rFonts w:ascii="Arial" w:hAnsi="Arial" w:cs="Arial"/>
          <w:sz w:val="20"/>
        </w:rPr>
        <w:t xml:space="preserve">change the number of directors to be a minimum of </w:t>
      </w:r>
      <w:r w:rsidR="0033336E">
        <w:rPr>
          <w:rFonts w:ascii="Arial" w:hAnsi="Arial" w:cs="Arial"/>
          <w:sz w:val="20"/>
        </w:rPr>
        <w:t>three</w:t>
      </w:r>
      <w:r w:rsidR="00515848" w:rsidRPr="00CD6CEB">
        <w:rPr>
          <w:rFonts w:ascii="Arial" w:hAnsi="Arial" w:cs="Arial"/>
          <w:sz w:val="20"/>
        </w:rPr>
        <w:t xml:space="preserve"> and maximum of </w:t>
      </w:r>
      <w:r w:rsidR="0033336E">
        <w:rPr>
          <w:rFonts w:ascii="Arial" w:hAnsi="Arial" w:cs="Arial"/>
          <w:sz w:val="20"/>
        </w:rPr>
        <w:t>five</w:t>
      </w:r>
      <w:r w:rsidR="00515848" w:rsidRPr="00CD6CEB">
        <w:rPr>
          <w:rFonts w:ascii="Arial" w:hAnsi="Arial" w:cs="Arial"/>
          <w:sz w:val="20"/>
        </w:rPr>
        <w:t xml:space="preserve"> (reduced from a minimum of </w:t>
      </w:r>
      <w:r w:rsidR="0033336E">
        <w:rPr>
          <w:rFonts w:ascii="Arial" w:hAnsi="Arial" w:cs="Arial"/>
          <w:sz w:val="20"/>
        </w:rPr>
        <w:t>five</w:t>
      </w:r>
      <w:r w:rsidR="00515848" w:rsidRPr="00CD6CEB">
        <w:rPr>
          <w:rFonts w:ascii="Arial" w:hAnsi="Arial" w:cs="Arial"/>
          <w:sz w:val="20"/>
        </w:rPr>
        <w:t xml:space="preserve"> and a maximum of 10)</w:t>
      </w:r>
      <w:r w:rsidR="00FC38D3">
        <w:rPr>
          <w:rFonts w:ascii="Arial" w:hAnsi="Arial" w:cs="Arial"/>
          <w:sz w:val="20"/>
        </w:rPr>
        <w:t xml:space="preserve">. </w:t>
      </w:r>
      <w:r w:rsidR="0033336E">
        <w:rPr>
          <w:rFonts w:ascii="Arial" w:hAnsi="Arial" w:cs="Arial"/>
          <w:sz w:val="20"/>
        </w:rPr>
        <w:t xml:space="preserve">KMAC currently has three directors </w:t>
      </w:r>
      <w:r w:rsidR="00AB1722">
        <w:rPr>
          <w:rFonts w:ascii="Arial" w:hAnsi="Arial" w:cs="Arial"/>
          <w:sz w:val="20"/>
        </w:rPr>
        <w:t xml:space="preserve">and five members </w:t>
      </w:r>
      <w:r w:rsidR="0033336E">
        <w:rPr>
          <w:rFonts w:ascii="Arial" w:hAnsi="Arial" w:cs="Arial"/>
          <w:sz w:val="20"/>
        </w:rPr>
        <w:t>registered with the Office of the Register of Indigenous Corporations.</w:t>
      </w:r>
      <w:r w:rsidR="0033336E">
        <w:rPr>
          <w:rStyle w:val="FootnoteReference"/>
          <w:rFonts w:ascii="Arial" w:hAnsi="Arial" w:cs="Arial"/>
          <w:sz w:val="20"/>
        </w:rPr>
        <w:footnoteReference w:id="2"/>
      </w:r>
    </w:p>
    <w:p w14:paraId="5F0E963C" w14:textId="77BFBAF2" w:rsidR="00490E6E" w:rsidRDefault="00AB1722" w:rsidP="00490E6E">
      <w:pPr>
        <w:pStyle w:val="ABABodyText"/>
        <w:spacing w:before="0" w:after="240" w:line="240" w:lineRule="auto"/>
        <w:rPr>
          <w:rFonts w:ascii="Arial" w:hAnsi="Arial" w:cs="Arial"/>
          <w:sz w:val="20"/>
        </w:rPr>
      </w:pPr>
      <w:r>
        <w:rPr>
          <w:rFonts w:ascii="Arial" w:hAnsi="Arial" w:cs="Arial"/>
          <w:sz w:val="20"/>
        </w:rPr>
        <w:t xml:space="preserve">The licensee’s constitution allows for the company (the licensee) to appoint directors by general resolution in a general meeting. </w:t>
      </w:r>
      <w:r w:rsidR="00490E6E">
        <w:rPr>
          <w:rFonts w:ascii="Arial" w:hAnsi="Arial" w:cs="Arial"/>
          <w:sz w:val="20"/>
        </w:rPr>
        <w:t>Noongar’s constitution provides for two directors to be nominated by its only shareholder (the licensee), with the remainder to be nominated by the Manager of Noongar and appointed by the shareholder.</w:t>
      </w:r>
      <w:r w:rsidR="00FC38D3">
        <w:rPr>
          <w:rFonts w:ascii="Arial" w:hAnsi="Arial" w:cs="Arial"/>
          <w:sz w:val="20"/>
        </w:rPr>
        <w:t xml:space="preserve"> As such, all members of Noongar’s board are appointed by the licensee’s board</w:t>
      </w:r>
      <w:r w:rsidR="001917EF">
        <w:rPr>
          <w:rFonts w:ascii="Arial" w:hAnsi="Arial" w:cs="Arial"/>
          <w:sz w:val="20"/>
        </w:rPr>
        <w:t xml:space="preserve">. Noting that KMAC’s membership has been reduced to 5, this means that a small group is now responsible for appointing </w:t>
      </w:r>
      <w:r w:rsidR="0006380C">
        <w:rPr>
          <w:rFonts w:ascii="Arial" w:hAnsi="Arial" w:cs="Arial"/>
          <w:sz w:val="20"/>
        </w:rPr>
        <w:t>d</w:t>
      </w:r>
      <w:r w:rsidR="001917EF">
        <w:rPr>
          <w:rFonts w:ascii="Arial" w:hAnsi="Arial" w:cs="Arial"/>
          <w:sz w:val="20"/>
        </w:rPr>
        <w:t>irectors</w:t>
      </w:r>
      <w:r w:rsidR="0006380C">
        <w:rPr>
          <w:rFonts w:ascii="Arial" w:hAnsi="Arial" w:cs="Arial"/>
          <w:sz w:val="20"/>
        </w:rPr>
        <w:t xml:space="preserve"> to Noongar’s board</w:t>
      </w:r>
      <w:r w:rsidR="001917EF">
        <w:rPr>
          <w:rFonts w:ascii="Arial" w:hAnsi="Arial" w:cs="Arial"/>
          <w:sz w:val="20"/>
        </w:rPr>
        <w:t>.</w:t>
      </w:r>
    </w:p>
    <w:p w14:paraId="13689F1E" w14:textId="28B36A3F" w:rsidR="00D57F5D" w:rsidRDefault="0033336E" w:rsidP="0028768E">
      <w:pPr>
        <w:pStyle w:val="ABABodyText"/>
        <w:spacing w:before="0" w:after="240" w:line="240" w:lineRule="auto"/>
        <w:rPr>
          <w:rFonts w:ascii="Arial" w:hAnsi="Arial" w:cs="Arial"/>
          <w:sz w:val="20"/>
        </w:rPr>
      </w:pPr>
      <w:r>
        <w:rPr>
          <w:rFonts w:ascii="Arial" w:hAnsi="Arial" w:cs="Arial"/>
          <w:sz w:val="20"/>
        </w:rPr>
        <w:t xml:space="preserve">In its submission of 31 </w:t>
      </w:r>
      <w:r w:rsidR="00D449B2">
        <w:rPr>
          <w:rFonts w:ascii="Arial" w:hAnsi="Arial" w:cs="Arial"/>
          <w:sz w:val="20"/>
        </w:rPr>
        <w:t>January 2019</w:t>
      </w:r>
      <w:r>
        <w:rPr>
          <w:rFonts w:ascii="Arial" w:hAnsi="Arial" w:cs="Arial"/>
          <w:sz w:val="20"/>
        </w:rPr>
        <w:t xml:space="preserve">, the licensee indicated that its current </w:t>
      </w:r>
      <w:r w:rsidR="000579AD">
        <w:rPr>
          <w:rFonts w:ascii="Arial" w:hAnsi="Arial" w:cs="Arial"/>
          <w:sz w:val="20"/>
        </w:rPr>
        <w:t>board</w:t>
      </w:r>
      <w:r>
        <w:rPr>
          <w:rFonts w:ascii="Arial" w:hAnsi="Arial" w:cs="Arial"/>
          <w:sz w:val="20"/>
        </w:rPr>
        <w:t xml:space="preserve"> </w:t>
      </w:r>
      <w:r w:rsidR="00A83CE7">
        <w:rPr>
          <w:rFonts w:ascii="Arial" w:hAnsi="Arial" w:cs="Arial"/>
          <w:sz w:val="20"/>
        </w:rPr>
        <w:t>consisted</w:t>
      </w:r>
      <w:r>
        <w:rPr>
          <w:rFonts w:ascii="Arial" w:hAnsi="Arial" w:cs="Arial"/>
          <w:sz w:val="20"/>
        </w:rPr>
        <w:t xml:space="preserve"> of five directors, </w:t>
      </w:r>
      <w:r w:rsidR="00CC6E35">
        <w:rPr>
          <w:rFonts w:ascii="Arial" w:hAnsi="Arial" w:cs="Arial"/>
          <w:sz w:val="20"/>
        </w:rPr>
        <w:t>including</w:t>
      </w:r>
      <w:r>
        <w:rPr>
          <w:rFonts w:ascii="Arial" w:hAnsi="Arial" w:cs="Arial"/>
          <w:sz w:val="20"/>
        </w:rPr>
        <w:t xml:space="preserve"> the three directors of KMAC and the registered </w:t>
      </w:r>
      <w:r w:rsidR="008473EF">
        <w:rPr>
          <w:rFonts w:ascii="Arial" w:hAnsi="Arial" w:cs="Arial"/>
          <w:sz w:val="20"/>
        </w:rPr>
        <w:t>contact person</w:t>
      </w:r>
      <w:r>
        <w:rPr>
          <w:rFonts w:ascii="Arial" w:hAnsi="Arial" w:cs="Arial"/>
          <w:sz w:val="20"/>
        </w:rPr>
        <w:t xml:space="preserve"> for</w:t>
      </w:r>
      <w:r w:rsidR="008E0AB4">
        <w:rPr>
          <w:rFonts w:ascii="Arial" w:hAnsi="Arial" w:cs="Arial"/>
          <w:sz w:val="20"/>
        </w:rPr>
        <w:t xml:space="preserve"> KMAC</w:t>
      </w:r>
      <w:r>
        <w:rPr>
          <w:rFonts w:ascii="Arial" w:hAnsi="Arial" w:cs="Arial"/>
          <w:sz w:val="20"/>
        </w:rPr>
        <w:t xml:space="preserve">. The licensee indicated that the current </w:t>
      </w:r>
      <w:r w:rsidR="000579AD">
        <w:rPr>
          <w:rFonts w:ascii="Arial" w:hAnsi="Arial" w:cs="Arial"/>
          <w:sz w:val="20"/>
        </w:rPr>
        <w:t>board</w:t>
      </w:r>
      <w:r>
        <w:rPr>
          <w:rFonts w:ascii="Arial" w:hAnsi="Arial" w:cs="Arial"/>
          <w:sz w:val="20"/>
        </w:rPr>
        <w:t xml:space="preserve"> for Noongar </w:t>
      </w:r>
      <w:r w:rsidR="008E0AB4">
        <w:rPr>
          <w:rFonts w:ascii="Arial" w:hAnsi="Arial" w:cs="Arial"/>
          <w:sz w:val="20"/>
        </w:rPr>
        <w:t xml:space="preserve">also </w:t>
      </w:r>
      <w:r>
        <w:rPr>
          <w:rFonts w:ascii="Arial" w:hAnsi="Arial" w:cs="Arial"/>
          <w:sz w:val="20"/>
        </w:rPr>
        <w:t xml:space="preserve">consists of </w:t>
      </w:r>
      <w:r w:rsidR="008473EF">
        <w:rPr>
          <w:rFonts w:ascii="Arial" w:hAnsi="Arial" w:cs="Arial"/>
          <w:sz w:val="20"/>
        </w:rPr>
        <w:t xml:space="preserve">two </w:t>
      </w:r>
      <w:r w:rsidR="008E0AB4">
        <w:rPr>
          <w:rFonts w:ascii="Arial" w:hAnsi="Arial" w:cs="Arial"/>
          <w:sz w:val="20"/>
        </w:rPr>
        <w:t xml:space="preserve">KMAC </w:t>
      </w:r>
      <w:r>
        <w:rPr>
          <w:rFonts w:ascii="Arial" w:hAnsi="Arial" w:cs="Arial"/>
          <w:sz w:val="20"/>
        </w:rPr>
        <w:t>directors</w:t>
      </w:r>
      <w:r w:rsidR="00CC6E35">
        <w:rPr>
          <w:rFonts w:ascii="Arial" w:hAnsi="Arial" w:cs="Arial"/>
          <w:sz w:val="20"/>
        </w:rPr>
        <w:t xml:space="preserve"> and</w:t>
      </w:r>
      <w:r w:rsidR="008E0AB4">
        <w:rPr>
          <w:rFonts w:ascii="Arial" w:hAnsi="Arial" w:cs="Arial"/>
          <w:sz w:val="20"/>
        </w:rPr>
        <w:t xml:space="preserve"> </w:t>
      </w:r>
      <w:r w:rsidR="008473EF">
        <w:rPr>
          <w:rFonts w:ascii="Arial" w:hAnsi="Arial" w:cs="Arial"/>
          <w:sz w:val="20"/>
        </w:rPr>
        <w:t xml:space="preserve">the KMAC registered contact person </w:t>
      </w:r>
      <w:r w:rsidR="008E0AB4">
        <w:rPr>
          <w:rFonts w:ascii="Arial" w:hAnsi="Arial" w:cs="Arial"/>
          <w:sz w:val="20"/>
        </w:rPr>
        <w:t xml:space="preserve">and </w:t>
      </w:r>
      <w:r w:rsidR="00076484">
        <w:rPr>
          <w:rFonts w:ascii="Arial" w:hAnsi="Arial" w:cs="Arial"/>
          <w:sz w:val="20"/>
        </w:rPr>
        <w:t>two</w:t>
      </w:r>
      <w:r w:rsidR="008E0AB4">
        <w:rPr>
          <w:rFonts w:ascii="Arial" w:hAnsi="Arial" w:cs="Arial"/>
          <w:sz w:val="20"/>
        </w:rPr>
        <w:t xml:space="preserve"> other director</w:t>
      </w:r>
      <w:r w:rsidR="00076484">
        <w:rPr>
          <w:rFonts w:ascii="Arial" w:hAnsi="Arial" w:cs="Arial"/>
          <w:sz w:val="20"/>
        </w:rPr>
        <w:t>s</w:t>
      </w:r>
      <w:r w:rsidR="008E0AB4">
        <w:rPr>
          <w:rFonts w:ascii="Arial" w:hAnsi="Arial" w:cs="Arial"/>
          <w:sz w:val="20"/>
        </w:rPr>
        <w:t xml:space="preserve"> </w:t>
      </w:r>
      <w:r>
        <w:rPr>
          <w:rFonts w:ascii="Arial" w:hAnsi="Arial" w:cs="Arial"/>
          <w:sz w:val="20"/>
        </w:rPr>
        <w:t xml:space="preserve">to be confirmed at the next </w:t>
      </w:r>
      <w:r w:rsidR="000579AD">
        <w:rPr>
          <w:rFonts w:ascii="Arial" w:hAnsi="Arial" w:cs="Arial"/>
          <w:sz w:val="20"/>
        </w:rPr>
        <w:t>board</w:t>
      </w:r>
      <w:r>
        <w:rPr>
          <w:rFonts w:ascii="Arial" w:hAnsi="Arial" w:cs="Arial"/>
          <w:sz w:val="20"/>
        </w:rPr>
        <w:t xml:space="preserve"> meeting</w:t>
      </w:r>
      <w:r w:rsidR="00076484">
        <w:rPr>
          <w:rFonts w:ascii="Arial" w:hAnsi="Arial" w:cs="Arial"/>
          <w:sz w:val="20"/>
        </w:rPr>
        <w:t xml:space="preserve">, one of </w:t>
      </w:r>
      <w:r w:rsidR="00D449B2">
        <w:rPr>
          <w:rFonts w:ascii="Arial" w:hAnsi="Arial" w:cs="Arial"/>
          <w:sz w:val="20"/>
        </w:rPr>
        <w:t>whom</w:t>
      </w:r>
      <w:r w:rsidR="00076484">
        <w:rPr>
          <w:rFonts w:ascii="Arial" w:hAnsi="Arial" w:cs="Arial"/>
          <w:sz w:val="20"/>
        </w:rPr>
        <w:t xml:space="preserve"> is a community elder </w:t>
      </w:r>
      <w:r w:rsidR="000579AD">
        <w:rPr>
          <w:rFonts w:ascii="Arial" w:hAnsi="Arial" w:cs="Arial"/>
          <w:sz w:val="20"/>
        </w:rPr>
        <w:t xml:space="preserve">(also a director on the licensee’s board) </w:t>
      </w:r>
      <w:r w:rsidR="00076484">
        <w:rPr>
          <w:rFonts w:ascii="Arial" w:hAnsi="Arial" w:cs="Arial"/>
          <w:sz w:val="20"/>
        </w:rPr>
        <w:t xml:space="preserve">and </w:t>
      </w:r>
      <w:r w:rsidR="0006380C">
        <w:rPr>
          <w:rFonts w:ascii="Arial" w:hAnsi="Arial" w:cs="Arial"/>
          <w:sz w:val="20"/>
        </w:rPr>
        <w:t xml:space="preserve">one of whom is </w:t>
      </w:r>
      <w:r w:rsidR="000579AD">
        <w:rPr>
          <w:rFonts w:ascii="Arial" w:hAnsi="Arial" w:cs="Arial"/>
          <w:sz w:val="20"/>
        </w:rPr>
        <w:t>a</w:t>
      </w:r>
      <w:r w:rsidR="00076484">
        <w:rPr>
          <w:rFonts w:ascii="Arial" w:hAnsi="Arial" w:cs="Arial"/>
          <w:sz w:val="20"/>
        </w:rPr>
        <w:t xml:space="preserve"> </w:t>
      </w:r>
      <w:r w:rsidR="008E0AB4">
        <w:rPr>
          <w:rFonts w:ascii="Arial" w:hAnsi="Arial" w:cs="Arial"/>
          <w:sz w:val="20"/>
        </w:rPr>
        <w:t xml:space="preserve">non-Indigenous </w:t>
      </w:r>
      <w:r w:rsidR="00CC6E35">
        <w:rPr>
          <w:rFonts w:ascii="Arial" w:hAnsi="Arial" w:cs="Arial"/>
          <w:sz w:val="20"/>
        </w:rPr>
        <w:t>director</w:t>
      </w:r>
      <w:r w:rsidR="002F0442">
        <w:rPr>
          <w:rFonts w:ascii="Arial" w:hAnsi="Arial" w:cs="Arial"/>
          <w:sz w:val="20"/>
        </w:rPr>
        <w:t xml:space="preserve"> (with a background working for Indigenous organisations)</w:t>
      </w:r>
      <w:r w:rsidR="008E0AB4">
        <w:rPr>
          <w:rFonts w:ascii="Arial" w:hAnsi="Arial" w:cs="Arial"/>
          <w:sz w:val="20"/>
        </w:rPr>
        <w:t>.</w:t>
      </w:r>
      <w:r w:rsidR="001917EF">
        <w:rPr>
          <w:rFonts w:ascii="Arial" w:hAnsi="Arial" w:cs="Arial"/>
          <w:sz w:val="20"/>
        </w:rPr>
        <w:t xml:space="preserve"> Therefore, only one </w:t>
      </w:r>
      <w:r w:rsidR="008473EF">
        <w:rPr>
          <w:rFonts w:ascii="Arial" w:hAnsi="Arial" w:cs="Arial"/>
          <w:sz w:val="20"/>
        </w:rPr>
        <w:t>d</w:t>
      </w:r>
      <w:r w:rsidR="001917EF">
        <w:rPr>
          <w:rFonts w:ascii="Arial" w:hAnsi="Arial" w:cs="Arial"/>
          <w:sz w:val="20"/>
        </w:rPr>
        <w:t>irector on Noongar’s board is currently not also on the board of the licensee.</w:t>
      </w:r>
    </w:p>
    <w:p w14:paraId="5426E68D" w14:textId="21896499" w:rsidR="00FD367C" w:rsidRDefault="00490E6E" w:rsidP="00AB1722">
      <w:pPr>
        <w:pStyle w:val="ABABodyText"/>
        <w:spacing w:before="0" w:after="240" w:line="240" w:lineRule="auto"/>
        <w:rPr>
          <w:rFonts w:ascii="Arial" w:hAnsi="Arial" w:cs="Arial"/>
          <w:sz w:val="20"/>
        </w:rPr>
      </w:pPr>
      <w:r>
        <w:rPr>
          <w:rFonts w:ascii="Arial" w:hAnsi="Arial" w:cs="Arial"/>
          <w:sz w:val="20"/>
        </w:rPr>
        <w:t xml:space="preserve">In its submission of 5 February 2019, the licensee indicated that the current Managing </w:t>
      </w:r>
      <w:r w:rsidR="008473EF">
        <w:rPr>
          <w:rFonts w:ascii="Arial" w:hAnsi="Arial" w:cs="Arial"/>
          <w:sz w:val="20"/>
        </w:rPr>
        <w:t>d</w:t>
      </w:r>
      <w:r>
        <w:rPr>
          <w:rFonts w:ascii="Arial" w:hAnsi="Arial" w:cs="Arial"/>
          <w:sz w:val="20"/>
        </w:rPr>
        <w:t>irector of the licensee may step down from the Noongar’s board and that the Station Manager has already put forward names of community members who have expressed interest as potential candidates.</w:t>
      </w:r>
    </w:p>
    <w:p w14:paraId="1834211B" w14:textId="727E86F4" w:rsidR="004F14EF" w:rsidRDefault="00AB1722" w:rsidP="00AB1722">
      <w:pPr>
        <w:pStyle w:val="ABABodyText"/>
        <w:spacing w:before="0" w:after="240" w:line="240" w:lineRule="auto"/>
        <w:rPr>
          <w:rFonts w:ascii="Arial" w:hAnsi="Arial" w:cs="Arial"/>
          <w:sz w:val="20"/>
        </w:rPr>
      </w:pPr>
      <w:r>
        <w:rPr>
          <w:rFonts w:ascii="Arial" w:hAnsi="Arial" w:cs="Arial"/>
          <w:sz w:val="20"/>
        </w:rPr>
        <w:t xml:space="preserve">This would leave </w:t>
      </w:r>
      <w:r w:rsidR="00FD367C">
        <w:rPr>
          <w:rFonts w:ascii="Arial" w:hAnsi="Arial" w:cs="Arial"/>
          <w:sz w:val="20"/>
        </w:rPr>
        <w:t>four</w:t>
      </w:r>
      <w:r w:rsidR="00FC38D3">
        <w:rPr>
          <w:rFonts w:ascii="Arial" w:hAnsi="Arial" w:cs="Arial"/>
          <w:sz w:val="20"/>
        </w:rPr>
        <w:t xml:space="preserve"> </w:t>
      </w:r>
      <w:r w:rsidR="008473EF">
        <w:rPr>
          <w:rFonts w:ascii="Arial" w:hAnsi="Arial" w:cs="Arial"/>
          <w:sz w:val="20"/>
        </w:rPr>
        <w:t>d</w:t>
      </w:r>
      <w:r w:rsidR="000579AD">
        <w:rPr>
          <w:rFonts w:ascii="Arial" w:hAnsi="Arial" w:cs="Arial"/>
          <w:sz w:val="20"/>
        </w:rPr>
        <w:t xml:space="preserve">irectors </w:t>
      </w:r>
      <w:r w:rsidR="00FC38D3">
        <w:rPr>
          <w:rFonts w:ascii="Arial" w:hAnsi="Arial" w:cs="Arial"/>
          <w:sz w:val="20"/>
        </w:rPr>
        <w:t xml:space="preserve">on Noongar’s board </w:t>
      </w:r>
      <w:r>
        <w:rPr>
          <w:rFonts w:ascii="Arial" w:hAnsi="Arial" w:cs="Arial"/>
          <w:sz w:val="20"/>
        </w:rPr>
        <w:t xml:space="preserve">who </w:t>
      </w:r>
      <w:r w:rsidR="00FC38D3">
        <w:rPr>
          <w:rFonts w:ascii="Arial" w:hAnsi="Arial" w:cs="Arial"/>
          <w:sz w:val="20"/>
        </w:rPr>
        <w:t>are</w:t>
      </w:r>
      <w:r>
        <w:rPr>
          <w:rFonts w:ascii="Arial" w:hAnsi="Arial" w:cs="Arial"/>
          <w:sz w:val="20"/>
        </w:rPr>
        <w:t xml:space="preserve"> also </w:t>
      </w:r>
      <w:r w:rsidR="008473EF">
        <w:rPr>
          <w:rFonts w:ascii="Arial" w:hAnsi="Arial" w:cs="Arial"/>
          <w:sz w:val="20"/>
        </w:rPr>
        <w:t>d</w:t>
      </w:r>
      <w:r w:rsidR="00FD367C">
        <w:rPr>
          <w:rFonts w:ascii="Arial" w:hAnsi="Arial" w:cs="Arial"/>
          <w:sz w:val="20"/>
        </w:rPr>
        <w:t xml:space="preserve">irectors </w:t>
      </w:r>
      <w:r w:rsidR="000579AD">
        <w:rPr>
          <w:rFonts w:ascii="Arial" w:hAnsi="Arial" w:cs="Arial"/>
          <w:sz w:val="20"/>
        </w:rPr>
        <w:t>on the board of the licensee</w:t>
      </w:r>
      <w:r w:rsidR="00FC38D3">
        <w:rPr>
          <w:rFonts w:ascii="Arial" w:hAnsi="Arial" w:cs="Arial"/>
          <w:sz w:val="20"/>
        </w:rPr>
        <w:t xml:space="preserve">, </w:t>
      </w:r>
      <w:r w:rsidR="00FD367C">
        <w:rPr>
          <w:rFonts w:ascii="Arial" w:hAnsi="Arial" w:cs="Arial"/>
          <w:sz w:val="20"/>
        </w:rPr>
        <w:t xml:space="preserve">one member from the broader </w:t>
      </w:r>
      <w:r w:rsidR="008473EF">
        <w:rPr>
          <w:rFonts w:ascii="Arial" w:hAnsi="Arial" w:cs="Arial"/>
          <w:sz w:val="20"/>
        </w:rPr>
        <w:t xml:space="preserve">Indigenous </w:t>
      </w:r>
      <w:r w:rsidR="00FD367C">
        <w:rPr>
          <w:rFonts w:ascii="Arial" w:hAnsi="Arial" w:cs="Arial"/>
          <w:sz w:val="20"/>
        </w:rPr>
        <w:t xml:space="preserve">community and one non-Indigenous </w:t>
      </w:r>
      <w:r w:rsidR="008473EF">
        <w:rPr>
          <w:rFonts w:ascii="Arial" w:hAnsi="Arial" w:cs="Arial"/>
          <w:sz w:val="20"/>
        </w:rPr>
        <w:t>d</w:t>
      </w:r>
      <w:r w:rsidR="00FD367C">
        <w:rPr>
          <w:rFonts w:ascii="Arial" w:hAnsi="Arial" w:cs="Arial"/>
          <w:sz w:val="20"/>
        </w:rPr>
        <w:t>irector.</w:t>
      </w:r>
    </w:p>
    <w:p w14:paraId="4C4DC4D0" w14:textId="77777777" w:rsidR="008C1D43" w:rsidRDefault="008C1D43" w:rsidP="008C1D43">
      <w:pPr>
        <w:pStyle w:val="ABABodyText"/>
        <w:spacing w:before="0" w:after="240" w:line="240" w:lineRule="auto"/>
        <w:rPr>
          <w:rFonts w:ascii="Arial" w:hAnsi="Arial" w:cs="Arial"/>
          <w:sz w:val="20"/>
        </w:rPr>
      </w:pPr>
      <w:r>
        <w:rPr>
          <w:rFonts w:ascii="Arial" w:hAnsi="Arial" w:cs="Arial"/>
          <w:sz w:val="20"/>
        </w:rPr>
        <w:t>In response to the ACMA’s preliminary view, the licensee has stated that it:</w:t>
      </w:r>
    </w:p>
    <w:p w14:paraId="5E844B3C" w14:textId="77777777" w:rsidR="008C1D43" w:rsidRDefault="008C1D43" w:rsidP="008C1D43">
      <w:pPr>
        <w:pStyle w:val="ABABodyText"/>
        <w:spacing w:before="0" w:line="240" w:lineRule="auto"/>
        <w:ind w:left="720"/>
        <w:rPr>
          <w:rFonts w:ascii="Arial" w:hAnsi="Arial" w:cs="Arial"/>
          <w:sz w:val="18"/>
        </w:rPr>
      </w:pPr>
      <w:r>
        <w:rPr>
          <w:rFonts w:ascii="Arial" w:hAnsi="Arial" w:cs="Arial"/>
          <w:sz w:val="18"/>
        </w:rPr>
        <w:t>Acknowledges the lack of transparency in the board and its selection process and subsequent purported conflicts of interest arising from appointing the same directors to Kaarta-Moorda, Peedac and Noongar Media boards.</w:t>
      </w:r>
    </w:p>
    <w:p w14:paraId="14471750" w14:textId="77777777" w:rsidR="008C1D43" w:rsidRDefault="008C1D43" w:rsidP="008C1D43">
      <w:pPr>
        <w:pStyle w:val="ABABodyText"/>
        <w:spacing w:before="0" w:line="240" w:lineRule="auto"/>
        <w:ind w:left="720"/>
        <w:rPr>
          <w:rFonts w:ascii="Arial" w:hAnsi="Arial" w:cs="Arial"/>
          <w:sz w:val="18"/>
        </w:rPr>
      </w:pPr>
      <w:r>
        <w:rPr>
          <w:rFonts w:ascii="Arial" w:hAnsi="Arial" w:cs="Arial"/>
          <w:sz w:val="18"/>
        </w:rPr>
        <w:lastRenderedPageBreak/>
        <w:t>[…]</w:t>
      </w:r>
    </w:p>
    <w:p w14:paraId="06561BBA" w14:textId="77777777" w:rsidR="008C1D43" w:rsidRDefault="008C1D43" w:rsidP="008C1D43">
      <w:pPr>
        <w:pStyle w:val="ABABodyText"/>
        <w:spacing w:before="0" w:line="240" w:lineRule="auto"/>
        <w:ind w:left="720"/>
        <w:rPr>
          <w:rFonts w:ascii="Arial" w:hAnsi="Arial" w:cs="Arial"/>
          <w:sz w:val="18"/>
        </w:rPr>
      </w:pPr>
      <w:r>
        <w:rPr>
          <w:rFonts w:ascii="Arial" w:hAnsi="Arial" w:cs="Arial"/>
          <w:sz w:val="18"/>
        </w:rPr>
        <w:t>Acknowledges the apparent lack of general community representation across all boards. We recognise the requirements of the Acts and our obligations toward the implementation of principles of diversity and independence. Peedac is committed to acting in endorsing an independent NME Board prior to the end of the financial year.</w:t>
      </w:r>
    </w:p>
    <w:p w14:paraId="307262DF" w14:textId="77777777" w:rsidR="008C1D43" w:rsidRDefault="008C1D43" w:rsidP="008C1D43">
      <w:pPr>
        <w:pStyle w:val="ABABodyText"/>
        <w:spacing w:before="0" w:line="240" w:lineRule="auto"/>
        <w:ind w:left="720"/>
        <w:rPr>
          <w:rFonts w:ascii="Arial" w:hAnsi="Arial" w:cs="Arial"/>
          <w:sz w:val="18"/>
        </w:rPr>
      </w:pPr>
      <w:r>
        <w:rPr>
          <w:rFonts w:ascii="Arial" w:hAnsi="Arial" w:cs="Arial"/>
          <w:sz w:val="18"/>
        </w:rPr>
        <w:t>[…]</w:t>
      </w:r>
    </w:p>
    <w:p w14:paraId="2F47D69C" w14:textId="77777777" w:rsidR="008C1D43" w:rsidRDefault="008C1D43" w:rsidP="008C1D43">
      <w:pPr>
        <w:pStyle w:val="ABABodyText"/>
        <w:spacing w:before="0" w:after="240" w:line="240" w:lineRule="auto"/>
        <w:ind w:left="720"/>
        <w:rPr>
          <w:rFonts w:ascii="Arial" w:hAnsi="Arial" w:cs="Arial"/>
          <w:sz w:val="18"/>
        </w:rPr>
      </w:pPr>
      <w:r>
        <w:rPr>
          <w:rFonts w:ascii="Arial" w:hAnsi="Arial" w:cs="Arial"/>
          <w:sz w:val="18"/>
        </w:rPr>
        <w:t>Agrees to amend […] the NME Constitution [and …] encourage members independent of Peedac to nominate and elect members of the NME Board.</w:t>
      </w:r>
    </w:p>
    <w:p w14:paraId="4BA18582" w14:textId="3115A4A7" w:rsidR="008C1D43" w:rsidRDefault="001917EF" w:rsidP="001917EF">
      <w:pPr>
        <w:pStyle w:val="ABABodyText"/>
        <w:spacing w:before="0" w:after="240" w:line="240" w:lineRule="auto"/>
        <w:rPr>
          <w:rFonts w:ascii="Arial" w:hAnsi="Arial" w:cs="Arial"/>
          <w:sz w:val="20"/>
        </w:rPr>
      </w:pPr>
      <w:r>
        <w:rPr>
          <w:rFonts w:ascii="Arial" w:hAnsi="Arial" w:cs="Arial"/>
          <w:sz w:val="20"/>
        </w:rPr>
        <w:t>The</w:t>
      </w:r>
      <w:r w:rsidRPr="00C448FA">
        <w:rPr>
          <w:rFonts w:ascii="Arial" w:hAnsi="Arial" w:cs="Arial"/>
          <w:sz w:val="20"/>
        </w:rPr>
        <w:t xml:space="preserve"> licensee </w:t>
      </w:r>
      <w:r>
        <w:rPr>
          <w:rFonts w:ascii="Arial" w:hAnsi="Arial" w:cs="Arial"/>
          <w:sz w:val="20"/>
        </w:rPr>
        <w:t xml:space="preserve">has also </w:t>
      </w:r>
      <w:r w:rsidRPr="00C448FA">
        <w:rPr>
          <w:rFonts w:ascii="Arial" w:hAnsi="Arial" w:cs="Arial"/>
          <w:sz w:val="20"/>
        </w:rPr>
        <w:t xml:space="preserve">advised that it does not have any active sub-committees. The licensee has stated that Noongar’s current Station Manager meets regularly with the Managing </w:t>
      </w:r>
      <w:r w:rsidR="008473EF">
        <w:rPr>
          <w:rFonts w:ascii="Arial" w:hAnsi="Arial" w:cs="Arial"/>
          <w:sz w:val="20"/>
        </w:rPr>
        <w:t>d</w:t>
      </w:r>
      <w:r w:rsidRPr="00C448FA">
        <w:rPr>
          <w:rFonts w:ascii="Arial" w:hAnsi="Arial" w:cs="Arial"/>
          <w:sz w:val="20"/>
        </w:rPr>
        <w:t xml:space="preserve">irector of </w:t>
      </w:r>
      <w:r>
        <w:rPr>
          <w:rFonts w:ascii="Arial" w:hAnsi="Arial" w:cs="Arial"/>
          <w:sz w:val="20"/>
        </w:rPr>
        <w:t>the licensee</w:t>
      </w:r>
      <w:r w:rsidRPr="00C448FA">
        <w:rPr>
          <w:rFonts w:ascii="Arial" w:hAnsi="Arial" w:cs="Arial"/>
          <w:sz w:val="20"/>
        </w:rPr>
        <w:t xml:space="preserve"> to discuss station concerns and recommendations for improving governance, broadcasting and engaging with the community</w:t>
      </w:r>
      <w:r>
        <w:rPr>
          <w:rFonts w:ascii="Arial" w:hAnsi="Arial" w:cs="Arial"/>
          <w:sz w:val="20"/>
        </w:rPr>
        <w:t>.</w:t>
      </w:r>
      <w:r w:rsidR="0006380C">
        <w:rPr>
          <w:rFonts w:ascii="Arial" w:hAnsi="Arial" w:cs="Arial"/>
          <w:sz w:val="20"/>
        </w:rPr>
        <w:t xml:space="preserve"> The ACMA notes that the licensee </w:t>
      </w:r>
      <w:r w:rsidR="008C1D43">
        <w:rPr>
          <w:rFonts w:ascii="Arial" w:hAnsi="Arial" w:cs="Arial"/>
          <w:sz w:val="20"/>
        </w:rPr>
        <w:t>has indicated a willingness to consider implementing sub-committees.</w:t>
      </w:r>
    </w:p>
    <w:p w14:paraId="4F701239" w14:textId="264FCC2F" w:rsidR="004F14EF" w:rsidRPr="004F14EF" w:rsidRDefault="004F14EF" w:rsidP="00F52E71">
      <w:pPr>
        <w:pStyle w:val="ABABodyText"/>
        <w:spacing w:before="0" w:after="240" w:line="240" w:lineRule="auto"/>
        <w:rPr>
          <w:rFonts w:ascii="Arial" w:hAnsi="Arial" w:cs="Arial"/>
          <w:b/>
          <w:i/>
          <w:sz w:val="20"/>
        </w:rPr>
      </w:pPr>
      <w:r w:rsidRPr="004F14EF">
        <w:rPr>
          <w:rFonts w:ascii="Arial" w:hAnsi="Arial" w:cs="Arial"/>
          <w:b/>
          <w:i/>
          <w:sz w:val="20"/>
        </w:rPr>
        <w:t>Does the licensee have governance documents to support community participation?</w:t>
      </w:r>
    </w:p>
    <w:p w14:paraId="5FC803C3" w14:textId="3A30FC4F" w:rsidR="004F14EF" w:rsidRDefault="004F14EF" w:rsidP="004F14EF">
      <w:pPr>
        <w:pStyle w:val="ABABodyText"/>
        <w:spacing w:before="0" w:line="240" w:lineRule="auto"/>
        <w:rPr>
          <w:rFonts w:ascii="Arial" w:hAnsi="Arial" w:cs="Arial"/>
          <w:sz w:val="20"/>
        </w:rPr>
      </w:pPr>
      <w:r>
        <w:rPr>
          <w:rFonts w:ascii="Arial" w:hAnsi="Arial" w:cs="Arial"/>
          <w:sz w:val="20"/>
        </w:rPr>
        <w:t>In response to the ACMA’s preliminary view, the licensee provided a copy of Noongar’s community participation policy (endorsed by Noongar’s board on 20 April 2018) as evidence of its commitment to regulatory compliance across all areas, stating that the policies provide:</w:t>
      </w:r>
    </w:p>
    <w:p w14:paraId="1745373E" w14:textId="77777777" w:rsidR="004F14EF" w:rsidRDefault="004F14EF" w:rsidP="004F14EF">
      <w:pPr>
        <w:pStyle w:val="ABABodyText"/>
        <w:numPr>
          <w:ilvl w:val="0"/>
          <w:numId w:val="29"/>
        </w:numPr>
        <w:spacing w:before="0" w:line="240" w:lineRule="auto"/>
        <w:rPr>
          <w:rFonts w:ascii="Arial" w:hAnsi="Arial" w:cs="Arial"/>
          <w:sz w:val="20"/>
        </w:rPr>
      </w:pPr>
      <w:r>
        <w:rPr>
          <w:rFonts w:ascii="Arial" w:hAnsi="Arial" w:cs="Arial"/>
          <w:sz w:val="20"/>
        </w:rPr>
        <w:t>encouragement of the community to participate in the management, programming and operations of the Noongar Radio service;</w:t>
      </w:r>
    </w:p>
    <w:p w14:paraId="55651279" w14:textId="77777777" w:rsidR="004F14EF" w:rsidRDefault="004F14EF" w:rsidP="004F14EF">
      <w:pPr>
        <w:pStyle w:val="ABABodyText"/>
        <w:numPr>
          <w:ilvl w:val="0"/>
          <w:numId w:val="29"/>
        </w:numPr>
        <w:spacing w:before="0" w:line="240" w:lineRule="auto"/>
        <w:rPr>
          <w:rFonts w:ascii="Arial" w:hAnsi="Arial" w:cs="Arial"/>
          <w:sz w:val="20"/>
        </w:rPr>
      </w:pPr>
      <w:r>
        <w:rPr>
          <w:rFonts w:ascii="Arial" w:hAnsi="Arial" w:cs="Arial"/>
          <w:sz w:val="20"/>
        </w:rPr>
        <w:t>reasonable access to membership; and</w:t>
      </w:r>
    </w:p>
    <w:p w14:paraId="21829AB4" w14:textId="77777777" w:rsidR="004F14EF" w:rsidRDefault="004F14EF" w:rsidP="004F14EF">
      <w:pPr>
        <w:pStyle w:val="ABABodyText"/>
        <w:numPr>
          <w:ilvl w:val="0"/>
          <w:numId w:val="29"/>
        </w:numPr>
        <w:spacing w:before="0" w:after="240" w:line="240" w:lineRule="auto"/>
        <w:rPr>
          <w:rFonts w:ascii="Arial" w:hAnsi="Arial" w:cs="Arial"/>
          <w:sz w:val="20"/>
        </w:rPr>
      </w:pPr>
      <w:r>
        <w:rPr>
          <w:rFonts w:ascii="Arial" w:hAnsi="Arial" w:cs="Arial"/>
          <w:sz w:val="20"/>
        </w:rPr>
        <w:t>an appropriate organisational structure.</w:t>
      </w:r>
    </w:p>
    <w:p w14:paraId="2A75B0B3" w14:textId="2C3253E8" w:rsidR="004F14EF" w:rsidRDefault="004F14EF" w:rsidP="004F14EF">
      <w:pPr>
        <w:pStyle w:val="ABABodyText"/>
        <w:spacing w:before="0" w:line="240" w:lineRule="auto"/>
        <w:rPr>
          <w:rFonts w:ascii="Arial" w:hAnsi="Arial" w:cs="Arial"/>
          <w:sz w:val="20"/>
        </w:rPr>
      </w:pPr>
      <w:r>
        <w:rPr>
          <w:rFonts w:ascii="Arial" w:hAnsi="Arial" w:cs="Arial"/>
          <w:sz w:val="20"/>
        </w:rPr>
        <w:t>The ACMA also observes that this policy states:</w:t>
      </w:r>
    </w:p>
    <w:p w14:paraId="00089D8C" w14:textId="77777777" w:rsidR="004F14EF" w:rsidRDefault="004F14EF" w:rsidP="004F14EF">
      <w:pPr>
        <w:pStyle w:val="ABABodyText"/>
        <w:numPr>
          <w:ilvl w:val="0"/>
          <w:numId w:val="29"/>
        </w:numPr>
        <w:spacing w:before="0" w:line="240" w:lineRule="auto"/>
        <w:rPr>
          <w:rFonts w:ascii="Arial" w:hAnsi="Arial" w:cs="Arial"/>
          <w:sz w:val="20"/>
        </w:rPr>
      </w:pPr>
      <w:r>
        <w:rPr>
          <w:rFonts w:ascii="Arial" w:hAnsi="Arial" w:cs="Arial"/>
          <w:sz w:val="20"/>
        </w:rPr>
        <w:t>the board will be drawn from a number of sources, including the community, volunteers and industry experts;</w:t>
      </w:r>
    </w:p>
    <w:p w14:paraId="6590A128" w14:textId="77777777" w:rsidR="004F14EF" w:rsidRDefault="004F14EF" w:rsidP="004F14EF">
      <w:pPr>
        <w:pStyle w:val="ABABodyText"/>
        <w:numPr>
          <w:ilvl w:val="0"/>
          <w:numId w:val="29"/>
        </w:numPr>
        <w:spacing w:before="0" w:line="240" w:lineRule="auto"/>
        <w:rPr>
          <w:rFonts w:ascii="Arial" w:hAnsi="Arial" w:cs="Arial"/>
          <w:sz w:val="20"/>
        </w:rPr>
      </w:pPr>
      <w:r>
        <w:rPr>
          <w:rFonts w:ascii="Arial" w:hAnsi="Arial" w:cs="Arial"/>
          <w:sz w:val="20"/>
        </w:rPr>
        <w:t>through endorsed representatives on Noongar’s board, KMAC will give direct feedback from its membership; and</w:t>
      </w:r>
    </w:p>
    <w:p w14:paraId="78835631" w14:textId="77777777" w:rsidR="004F14EF" w:rsidRDefault="004F14EF" w:rsidP="004F14EF">
      <w:pPr>
        <w:pStyle w:val="ABABodyText"/>
        <w:numPr>
          <w:ilvl w:val="0"/>
          <w:numId w:val="29"/>
        </w:numPr>
        <w:spacing w:before="0" w:after="240" w:line="240" w:lineRule="auto"/>
        <w:rPr>
          <w:rFonts w:ascii="Arial" w:hAnsi="Arial" w:cs="Arial"/>
          <w:sz w:val="20"/>
        </w:rPr>
      </w:pPr>
      <w:r>
        <w:rPr>
          <w:rFonts w:ascii="Arial" w:hAnsi="Arial" w:cs="Arial"/>
          <w:sz w:val="20"/>
        </w:rPr>
        <w:t>members of the community will be able to join KMAC.</w:t>
      </w:r>
    </w:p>
    <w:p w14:paraId="1B62224D" w14:textId="039B3E17" w:rsidR="00C241D4" w:rsidRDefault="00E627C2" w:rsidP="009D2BB4">
      <w:pPr>
        <w:pStyle w:val="ABABodyText"/>
        <w:spacing w:before="0" w:line="240" w:lineRule="auto"/>
        <w:rPr>
          <w:rFonts w:ascii="Arial" w:hAnsi="Arial" w:cs="Arial"/>
          <w:sz w:val="20"/>
        </w:rPr>
      </w:pPr>
      <w:r>
        <w:rPr>
          <w:rFonts w:ascii="Arial" w:hAnsi="Arial" w:cs="Arial"/>
          <w:sz w:val="20"/>
        </w:rPr>
        <w:t>In light of</w:t>
      </w:r>
      <w:r w:rsidR="00E243C4">
        <w:rPr>
          <w:rFonts w:ascii="Arial" w:hAnsi="Arial" w:cs="Arial"/>
          <w:sz w:val="20"/>
        </w:rPr>
        <w:t xml:space="preserve"> the organisational changes discussed above, it is not evident that this policy remains an applicable governance document </w:t>
      </w:r>
      <w:r w:rsidR="008473EF">
        <w:rPr>
          <w:rFonts w:ascii="Arial" w:hAnsi="Arial" w:cs="Arial"/>
          <w:sz w:val="20"/>
        </w:rPr>
        <w:t>for the</w:t>
      </w:r>
      <w:r w:rsidR="00E243C4">
        <w:rPr>
          <w:rFonts w:ascii="Arial" w:hAnsi="Arial" w:cs="Arial"/>
          <w:sz w:val="20"/>
        </w:rPr>
        <w:t xml:space="preserve"> service.</w:t>
      </w:r>
      <w:r w:rsidR="00C241D4">
        <w:rPr>
          <w:rFonts w:ascii="Arial" w:hAnsi="Arial" w:cs="Arial"/>
          <w:sz w:val="20"/>
        </w:rPr>
        <w:t xml:space="preserve"> Given that community members are effectively no-longer able to join KMAC, no sub-committees are currently operational and broader community representation on the Noongar board is limited, this policy does not provide relevant mechanisms by which members of the community may participate in the operations of the licensee in providing the service.</w:t>
      </w:r>
    </w:p>
    <w:p w14:paraId="045F9C48" w14:textId="69E1B7A8" w:rsidR="00E243C4" w:rsidRDefault="00E243C4" w:rsidP="0006380C">
      <w:pPr>
        <w:pStyle w:val="ABABodyText"/>
        <w:spacing w:before="0" w:after="240" w:line="240" w:lineRule="auto"/>
        <w:rPr>
          <w:rFonts w:ascii="Arial" w:hAnsi="Arial" w:cs="Arial"/>
          <w:sz w:val="20"/>
        </w:rPr>
      </w:pPr>
      <w:r>
        <w:rPr>
          <w:rFonts w:ascii="Arial" w:hAnsi="Arial" w:cs="Arial"/>
          <w:sz w:val="20"/>
        </w:rPr>
        <w:t xml:space="preserve">The ACMA </w:t>
      </w:r>
      <w:r w:rsidR="00C022CA">
        <w:rPr>
          <w:rFonts w:ascii="Arial" w:hAnsi="Arial" w:cs="Arial"/>
          <w:sz w:val="20"/>
        </w:rPr>
        <w:t xml:space="preserve">does </w:t>
      </w:r>
      <w:r>
        <w:rPr>
          <w:rFonts w:ascii="Arial" w:hAnsi="Arial" w:cs="Arial"/>
          <w:sz w:val="20"/>
        </w:rPr>
        <w:t>note that the licensee has policies that outline the principles of volunteering; the rights and responsibilities of volunteers within the organisation; the rights and responsibilities of the organisation to volunteers; and dispute resolution</w:t>
      </w:r>
      <w:r w:rsidR="00C022CA">
        <w:rPr>
          <w:rFonts w:ascii="Arial" w:hAnsi="Arial" w:cs="Arial"/>
          <w:sz w:val="20"/>
        </w:rPr>
        <w:t xml:space="preserve"> practices.</w:t>
      </w:r>
    </w:p>
    <w:p w14:paraId="2BB0F9F9" w14:textId="77777777" w:rsidR="00C241D4" w:rsidRPr="00FD0E32" w:rsidRDefault="00C241D4" w:rsidP="00C241D4">
      <w:pPr>
        <w:pStyle w:val="ABABodyText"/>
        <w:spacing w:before="0" w:after="240" w:line="240" w:lineRule="auto"/>
        <w:rPr>
          <w:rFonts w:ascii="Arial" w:hAnsi="Arial" w:cs="Arial"/>
          <w:b/>
          <w:i/>
          <w:sz w:val="20"/>
        </w:rPr>
      </w:pPr>
      <w:r w:rsidRPr="00FD0E32">
        <w:rPr>
          <w:rFonts w:ascii="Arial" w:hAnsi="Arial" w:cs="Arial"/>
          <w:b/>
          <w:i/>
          <w:sz w:val="20"/>
        </w:rPr>
        <w:t>Does the licensee provide other opportunities for volunteering?</w:t>
      </w:r>
    </w:p>
    <w:p w14:paraId="653ACECC" w14:textId="77777777" w:rsidR="00155544" w:rsidRDefault="00155544" w:rsidP="00155544">
      <w:pPr>
        <w:pStyle w:val="ABABodyText"/>
        <w:spacing w:before="0" w:after="240" w:line="240" w:lineRule="auto"/>
        <w:rPr>
          <w:rFonts w:ascii="Arial" w:hAnsi="Arial" w:cs="Arial"/>
          <w:sz w:val="20"/>
        </w:rPr>
      </w:pPr>
      <w:r>
        <w:rPr>
          <w:rFonts w:ascii="Arial" w:hAnsi="Arial" w:cs="Arial"/>
          <w:sz w:val="20"/>
        </w:rPr>
        <w:t>As of 1 December 2018, the licensee has hosted 32 volunteers (four participated in administration work, 24 engaged in broadcasting, production and programming roles, one in a technical role and one in an advisory/managerial capacity).</w:t>
      </w:r>
      <w:r w:rsidRPr="0078001B">
        <w:rPr>
          <w:rFonts w:ascii="Arial" w:hAnsi="Arial" w:cs="Arial"/>
          <w:sz w:val="20"/>
        </w:rPr>
        <w:t xml:space="preserve"> </w:t>
      </w:r>
      <w:r>
        <w:rPr>
          <w:rFonts w:ascii="Arial" w:hAnsi="Arial" w:cs="Arial"/>
          <w:sz w:val="20"/>
        </w:rPr>
        <w:t>This represents a significant drop since the licence was renewed in 2017, when the licensee reported having 60 volunteers.</w:t>
      </w:r>
      <w:r w:rsidRPr="00F52E71">
        <w:rPr>
          <w:rFonts w:ascii="Arial" w:hAnsi="Arial" w:cs="Arial"/>
          <w:sz w:val="20"/>
        </w:rPr>
        <w:t xml:space="preserve"> </w:t>
      </w:r>
      <w:r>
        <w:rPr>
          <w:rFonts w:ascii="Arial" w:hAnsi="Arial" w:cs="Arial"/>
          <w:sz w:val="20"/>
        </w:rPr>
        <w:t xml:space="preserve">While this figure is above the national average for an Indigenous community broadcaster, in a metropolitan licence area with an Indigenous population of more than 30,000 (approximately 2% of the Perth RA1 population), the ACMA would expect the service to maintain a larger number of volunteers than Indigenous services in regional and remote areas. In this regard, the ACMA does note the licensee’s comments that it is ‘unable to offer training for volunteers and members of the community on a regular basis’ due to funding restrictions and that it is </w:t>
      </w:r>
      <w:r>
        <w:rPr>
          <w:rFonts w:ascii="Arial" w:hAnsi="Arial" w:cs="Arial"/>
          <w:sz w:val="20"/>
        </w:rPr>
        <w:lastRenderedPageBreak/>
        <w:t>‘unlikely to be keen to increase volunteer numbers as there is little to no infrastructure in place to support them’.</w:t>
      </w:r>
    </w:p>
    <w:p w14:paraId="3F729A80" w14:textId="3A4DECDA" w:rsidR="00C241D4" w:rsidRDefault="00C241D4" w:rsidP="00C241D4">
      <w:pPr>
        <w:pStyle w:val="ABABodyText"/>
        <w:spacing w:before="0" w:after="240" w:line="240" w:lineRule="auto"/>
        <w:rPr>
          <w:rFonts w:ascii="Arial" w:hAnsi="Arial" w:cs="Arial"/>
          <w:sz w:val="20"/>
        </w:rPr>
      </w:pPr>
      <w:r>
        <w:rPr>
          <w:rFonts w:ascii="Arial" w:hAnsi="Arial" w:cs="Arial"/>
          <w:sz w:val="20"/>
        </w:rPr>
        <w:t xml:space="preserve">In response to the ACMA’s invitation to comment on its compliance with the licence condition, the licensee </w:t>
      </w:r>
      <w:r w:rsidR="003B17BC">
        <w:rPr>
          <w:rFonts w:ascii="Arial" w:hAnsi="Arial" w:cs="Arial"/>
          <w:sz w:val="20"/>
        </w:rPr>
        <w:t xml:space="preserve">advised that both its board and Noongar’s board include elders who engage with the community and advise of issues and protocols as and when appropriate. The licensee also </w:t>
      </w:r>
      <w:r>
        <w:rPr>
          <w:rFonts w:ascii="Arial" w:hAnsi="Arial" w:cs="Arial"/>
          <w:sz w:val="20"/>
        </w:rPr>
        <w:t xml:space="preserve">provided a number of examples of activities that it </w:t>
      </w:r>
      <w:r w:rsidR="00155544">
        <w:rPr>
          <w:rFonts w:ascii="Arial" w:hAnsi="Arial" w:cs="Arial"/>
          <w:sz w:val="20"/>
        </w:rPr>
        <w:t>has undertaken</w:t>
      </w:r>
      <w:r>
        <w:rPr>
          <w:rFonts w:ascii="Arial" w:hAnsi="Arial" w:cs="Arial"/>
          <w:sz w:val="20"/>
        </w:rPr>
        <w:t xml:space="preserve"> to engage with its community of interest, including:</w:t>
      </w:r>
    </w:p>
    <w:p w14:paraId="2A9E008F" w14:textId="77777777" w:rsidR="00C241D4" w:rsidRDefault="00C241D4" w:rsidP="00C241D4">
      <w:pPr>
        <w:pStyle w:val="ABABodyText"/>
        <w:numPr>
          <w:ilvl w:val="0"/>
          <w:numId w:val="24"/>
        </w:numPr>
        <w:spacing w:before="0" w:after="0" w:line="240" w:lineRule="auto"/>
        <w:rPr>
          <w:rFonts w:ascii="Arial" w:hAnsi="Arial" w:cs="Arial"/>
          <w:sz w:val="20"/>
        </w:rPr>
      </w:pPr>
      <w:r>
        <w:rPr>
          <w:rFonts w:ascii="Arial" w:hAnsi="Arial" w:cs="Arial"/>
          <w:sz w:val="20"/>
        </w:rPr>
        <w:t>providing training to volunteers;</w:t>
      </w:r>
    </w:p>
    <w:p w14:paraId="0A88428C" w14:textId="77777777" w:rsidR="00C241D4" w:rsidRDefault="00C241D4" w:rsidP="00C241D4">
      <w:pPr>
        <w:pStyle w:val="ABABodyText"/>
        <w:numPr>
          <w:ilvl w:val="0"/>
          <w:numId w:val="24"/>
        </w:numPr>
        <w:spacing w:before="0" w:after="0" w:line="240" w:lineRule="auto"/>
        <w:rPr>
          <w:rFonts w:ascii="Arial" w:hAnsi="Arial" w:cs="Arial"/>
          <w:sz w:val="20"/>
        </w:rPr>
      </w:pPr>
      <w:r>
        <w:rPr>
          <w:rFonts w:ascii="Arial" w:hAnsi="Arial" w:cs="Arial"/>
          <w:sz w:val="20"/>
        </w:rPr>
        <w:t>maintaining relationships with educational institutions (including Curtin University’s School of Indigenous Studies, School of Media, and School of Creative Arts &amp; Social Inquiry);</w:t>
      </w:r>
    </w:p>
    <w:p w14:paraId="286DAB1C" w14:textId="77777777" w:rsidR="00C241D4" w:rsidRDefault="00C241D4" w:rsidP="00C241D4">
      <w:pPr>
        <w:pStyle w:val="ABABodyText"/>
        <w:numPr>
          <w:ilvl w:val="0"/>
          <w:numId w:val="24"/>
        </w:numPr>
        <w:spacing w:before="0" w:after="0" w:line="240" w:lineRule="auto"/>
        <w:rPr>
          <w:rFonts w:ascii="Arial" w:hAnsi="Arial" w:cs="Arial"/>
          <w:sz w:val="20"/>
        </w:rPr>
      </w:pPr>
      <w:r>
        <w:rPr>
          <w:rFonts w:ascii="Arial" w:hAnsi="Arial" w:cs="Arial"/>
          <w:sz w:val="20"/>
        </w:rPr>
        <w:t>providing outside broadcasts (six in the last 12 months, including the live memorial for two young boys lost to Perth’s Swan River, the commemoration of the Pinjarra Massacre, Survival Day/Invasion Day concerts, and a mix of high-profile and local community NAIDOC week events); and</w:t>
      </w:r>
    </w:p>
    <w:p w14:paraId="124A1822" w14:textId="77777777" w:rsidR="00C241D4" w:rsidRDefault="00C241D4" w:rsidP="00C241D4">
      <w:pPr>
        <w:pStyle w:val="ABABodyText"/>
        <w:numPr>
          <w:ilvl w:val="0"/>
          <w:numId w:val="24"/>
        </w:numPr>
        <w:spacing w:before="0" w:after="240" w:line="240" w:lineRule="auto"/>
        <w:rPr>
          <w:rFonts w:ascii="Arial" w:hAnsi="Arial" w:cs="Arial"/>
          <w:sz w:val="20"/>
        </w:rPr>
      </w:pPr>
      <w:r>
        <w:rPr>
          <w:rFonts w:ascii="Arial" w:hAnsi="Arial" w:cs="Arial"/>
          <w:sz w:val="20"/>
        </w:rPr>
        <w:t>regularly participating in the CBAA’s Community Engagement Surveys through McNair Ingenuity.</w:t>
      </w:r>
    </w:p>
    <w:p w14:paraId="109F4CBE" w14:textId="1C04C29A" w:rsidR="00155544" w:rsidRDefault="00E627C2" w:rsidP="003B17BC">
      <w:pPr>
        <w:pStyle w:val="ABABodyText"/>
        <w:spacing w:before="0" w:after="240" w:line="240" w:lineRule="auto"/>
        <w:rPr>
          <w:rFonts w:ascii="Arial" w:hAnsi="Arial" w:cs="Arial"/>
          <w:sz w:val="20"/>
        </w:rPr>
      </w:pPr>
      <w:r>
        <w:rPr>
          <w:rFonts w:ascii="Arial" w:hAnsi="Arial" w:cs="Arial"/>
          <w:sz w:val="20"/>
        </w:rPr>
        <w:t>T</w:t>
      </w:r>
      <w:r w:rsidR="00C022CA">
        <w:rPr>
          <w:rFonts w:ascii="Arial" w:hAnsi="Arial" w:cs="Arial"/>
          <w:sz w:val="20"/>
        </w:rPr>
        <w:t>he ACMA acknowledges that activities which foster community engagement and encourage community participation in the selection and provision of programs can</w:t>
      </w:r>
      <w:r w:rsidR="00C16610">
        <w:rPr>
          <w:rFonts w:ascii="Arial" w:hAnsi="Arial" w:cs="Arial"/>
          <w:sz w:val="20"/>
        </w:rPr>
        <w:t xml:space="preserve"> form part of an overall strategy to encourage community participation in the operations of the licensee in providing the service</w:t>
      </w:r>
      <w:r w:rsidR="00155544">
        <w:rPr>
          <w:rFonts w:ascii="Arial" w:hAnsi="Arial" w:cs="Arial"/>
          <w:sz w:val="20"/>
        </w:rPr>
        <w:t xml:space="preserve">. The </w:t>
      </w:r>
      <w:r w:rsidR="00155544" w:rsidRPr="00020C21">
        <w:rPr>
          <w:rFonts w:ascii="Arial" w:hAnsi="Arial" w:cs="Arial"/>
          <w:sz w:val="20"/>
        </w:rPr>
        <w:t xml:space="preserve">ACMA </w:t>
      </w:r>
      <w:r w:rsidR="00155544">
        <w:rPr>
          <w:rFonts w:ascii="Arial" w:hAnsi="Arial" w:cs="Arial"/>
          <w:sz w:val="20"/>
        </w:rPr>
        <w:t xml:space="preserve">also </w:t>
      </w:r>
      <w:r w:rsidR="00155544" w:rsidRPr="00020C21">
        <w:rPr>
          <w:rFonts w:ascii="Arial" w:hAnsi="Arial" w:cs="Arial"/>
          <w:sz w:val="20"/>
        </w:rPr>
        <w:t xml:space="preserve">notes that the licensee was awarded the Community Broadcasting Association of Australia’s national award for </w:t>
      </w:r>
      <w:r w:rsidR="00155544" w:rsidRPr="00020C21">
        <w:rPr>
          <w:rFonts w:ascii="Arial" w:hAnsi="Arial" w:cs="Arial"/>
          <w:i/>
          <w:sz w:val="20"/>
        </w:rPr>
        <w:t>Indigenous Engagement</w:t>
      </w:r>
      <w:r w:rsidR="00155544" w:rsidRPr="00020C21">
        <w:rPr>
          <w:rFonts w:ascii="Arial" w:hAnsi="Arial" w:cs="Arial"/>
          <w:sz w:val="20"/>
        </w:rPr>
        <w:t xml:space="preserve"> in 2017 and was a finalist in 2018.</w:t>
      </w:r>
    </w:p>
    <w:p w14:paraId="1F99092F" w14:textId="03DE6750" w:rsidR="00017D61" w:rsidRDefault="00155544" w:rsidP="00017D61">
      <w:pPr>
        <w:pStyle w:val="ABABodyText"/>
        <w:spacing w:before="0" w:after="240" w:line="240" w:lineRule="auto"/>
        <w:rPr>
          <w:rFonts w:ascii="Arial" w:hAnsi="Arial" w:cs="Arial"/>
          <w:sz w:val="20"/>
        </w:rPr>
      </w:pPr>
      <w:r>
        <w:rPr>
          <w:rFonts w:ascii="Arial" w:hAnsi="Arial" w:cs="Arial"/>
          <w:sz w:val="20"/>
        </w:rPr>
        <w:t xml:space="preserve">However, such activities are unlikely to </w:t>
      </w:r>
      <w:r w:rsidRPr="00B507B8">
        <w:rPr>
          <w:rFonts w:ascii="Arial" w:hAnsi="Arial" w:cs="Arial"/>
          <w:sz w:val="20"/>
        </w:rPr>
        <w:t>result in compliance</w:t>
      </w:r>
      <w:r>
        <w:rPr>
          <w:rFonts w:ascii="Arial" w:hAnsi="Arial" w:cs="Arial"/>
          <w:sz w:val="20"/>
        </w:rPr>
        <w:t xml:space="preserve"> in cases where restrictions on community participation in decision-making processes are unreasonable. </w:t>
      </w:r>
      <w:r w:rsidR="00017D61">
        <w:rPr>
          <w:rFonts w:ascii="Arial" w:hAnsi="Arial" w:cs="Arial"/>
          <w:sz w:val="20"/>
        </w:rPr>
        <w:t xml:space="preserve">While the ACMA recognises the licensee’s previous successes and community engagement activities, in order to assess the licensee’s compliance with the relevant licence condition, these activities have been considered in light of those restrictions placed on community participation discussed above, some of which have occurred as recently as the KMAC </w:t>
      </w:r>
      <w:r w:rsidR="00017D61" w:rsidRPr="00CD6CEB">
        <w:rPr>
          <w:rFonts w:ascii="Arial" w:hAnsi="Arial" w:cs="Arial"/>
          <w:sz w:val="20"/>
        </w:rPr>
        <w:t>20 November 2018 AGM</w:t>
      </w:r>
      <w:r w:rsidR="00017D61">
        <w:rPr>
          <w:rFonts w:ascii="Arial" w:hAnsi="Arial" w:cs="Arial"/>
          <w:sz w:val="20"/>
        </w:rPr>
        <w:t>.</w:t>
      </w:r>
    </w:p>
    <w:p w14:paraId="0EDB929A" w14:textId="77866FF0" w:rsidR="00496C55" w:rsidRPr="00FD0E32" w:rsidRDefault="00B507B8" w:rsidP="00496C55">
      <w:pPr>
        <w:pStyle w:val="ABABodyText"/>
        <w:spacing w:before="0" w:after="240" w:line="240" w:lineRule="auto"/>
        <w:rPr>
          <w:rFonts w:ascii="Arial" w:hAnsi="Arial" w:cs="Arial"/>
          <w:b/>
          <w:sz w:val="20"/>
        </w:rPr>
      </w:pPr>
      <w:r>
        <w:rPr>
          <w:rFonts w:ascii="Arial" w:hAnsi="Arial" w:cs="Arial"/>
          <w:b/>
          <w:i/>
          <w:sz w:val="20"/>
        </w:rPr>
        <w:t>Conclusion</w:t>
      </w:r>
    </w:p>
    <w:p w14:paraId="2E0E2356" w14:textId="09E81B41" w:rsidR="00C16610" w:rsidRDefault="00C16610" w:rsidP="00C16610">
      <w:pPr>
        <w:pStyle w:val="ACMABodyText"/>
      </w:pPr>
      <w:r>
        <w:t>T</w:t>
      </w:r>
      <w:r w:rsidRPr="00E24427">
        <w:t xml:space="preserve">he </w:t>
      </w:r>
      <w:r>
        <w:t xml:space="preserve">ACMA considers the </w:t>
      </w:r>
      <w:r w:rsidRPr="00E24427">
        <w:t xml:space="preserve">requirement to encourage community participation in the </w:t>
      </w:r>
      <w:r>
        <w:t>provision of the service to relate</w:t>
      </w:r>
      <w:r w:rsidR="001D4199">
        <w:t>s</w:t>
      </w:r>
      <w:r>
        <w:t xml:space="preserve"> to the ability of the community of interest to have input into the decision-making that affects their service. Restrictions on this input should be reasonable, such that participation remains open to the community.</w:t>
      </w:r>
    </w:p>
    <w:p w14:paraId="27C62361" w14:textId="7573DACA" w:rsidR="003403CE" w:rsidRDefault="00131558" w:rsidP="0028768E">
      <w:pPr>
        <w:pStyle w:val="ABABodyText"/>
        <w:spacing w:before="0" w:after="240" w:line="240" w:lineRule="auto"/>
        <w:rPr>
          <w:rFonts w:ascii="Arial" w:hAnsi="Arial" w:cs="Arial"/>
          <w:sz w:val="20"/>
        </w:rPr>
      </w:pPr>
      <w:r>
        <w:rPr>
          <w:rFonts w:ascii="Arial" w:hAnsi="Arial" w:cs="Arial"/>
          <w:sz w:val="20"/>
        </w:rPr>
        <w:t>Based on the information provided, the ACMA makes the following observations:</w:t>
      </w:r>
    </w:p>
    <w:p w14:paraId="2379754A" w14:textId="01526285" w:rsidR="00A60CD4" w:rsidRDefault="00583E0B" w:rsidP="00131558">
      <w:pPr>
        <w:pStyle w:val="ABABodyText"/>
        <w:numPr>
          <w:ilvl w:val="0"/>
          <w:numId w:val="25"/>
        </w:numPr>
        <w:spacing w:before="0" w:after="240" w:line="240" w:lineRule="auto"/>
        <w:rPr>
          <w:rFonts w:ascii="Arial" w:hAnsi="Arial" w:cs="Arial"/>
          <w:sz w:val="20"/>
        </w:rPr>
      </w:pPr>
      <w:r>
        <w:rPr>
          <w:rFonts w:ascii="Arial" w:hAnsi="Arial" w:cs="Arial"/>
          <w:sz w:val="20"/>
        </w:rPr>
        <w:t>KMA</w:t>
      </w:r>
      <w:r w:rsidR="005253CA">
        <w:rPr>
          <w:rFonts w:ascii="Arial" w:hAnsi="Arial" w:cs="Arial"/>
          <w:sz w:val="20"/>
        </w:rPr>
        <w:t>C</w:t>
      </w:r>
      <w:r>
        <w:rPr>
          <w:rFonts w:ascii="Arial" w:hAnsi="Arial" w:cs="Arial"/>
          <w:sz w:val="20"/>
        </w:rPr>
        <w:t xml:space="preserve">’s membership has been restricted and </w:t>
      </w:r>
      <w:r w:rsidR="00A60CD4">
        <w:rPr>
          <w:rFonts w:ascii="Arial" w:hAnsi="Arial" w:cs="Arial"/>
          <w:sz w:val="20"/>
        </w:rPr>
        <w:t xml:space="preserve">members of the </w:t>
      </w:r>
      <w:r w:rsidR="00450D0F">
        <w:rPr>
          <w:rFonts w:ascii="Arial" w:hAnsi="Arial" w:cs="Arial"/>
          <w:sz w:val="20"/>
        </w:rPr>
        <w:t xml:space="preserve">broader </w:t>
      </w:r>
      <w:r w:rsidR="00017D61">
        <w:rPr>
          <w:rFonts w:ascii="Arial" w:hAnsi="Arial" w:cs="Arial"/>
          <w:sz w:val="20"/>
        </w:rPr>
        <w:t xml:space="preserve">Indigenous </w:t>
      </w:r>
      <w:r w:rsidR="00A60CD4">
        <w:rPr>
          <w:rFonts w:ascii="Arial" w:hAnsi="Arial" w:cs="Arial"/>
          <w:sz w:val="20"/>
        </w:rPr>
        <w:t xml:space="preserve">community </w:t>
      </w:r>
      <w:r w:rsidR="00AB1722">
        <w:rPr>
          <w:rFonts w:ascii="Arial" w:hAnsi="Arial" w:cs="Arial"/>
          <w:sz w:val="20"/>
        </w:rPr>
        <w:t xml:space="preserve">are </w:t>
      </w:r>
      <w:r>
        <w:rPr>
          <w:rFonts w:ascii="Arial" w:hAnsi="Arial" w:cs="Arial"/>
          <w:sz w:val="20"/>
        </w:rPr>
        <w:t>no longer</w:t>
      </w:r>
      <w:r w:rsidR="00AB1722">
        <w:rPr>
          <w:rFonts w:ascii="Arial" w:hAnsi="Arial" w:cs="Arial"/>
          <w:sz w:val="20"/>
        </w:rPr>
        <w:t xml:space="preserve"> able </w:t>
      </w:r>
      <w:r w:rsidR="00A60CD4">
        <w:rPr>
          <w:rFonts w:ascii="Arial" w:hAnsi="Arial" w:cs="Arial"/>
          <w:sz w:val="20"/>
        </w:rPr>
        <w:t xml:space="preserve">to become members of KMAC and participate </w:t>
      </w:r>
      <w:r w:rsidR="00450D0F">
        <w:rPr>
          <w:rFonts w:ascii="Arial" w:hAnsi="Arial" w:cs="Arial"/>
          <w:sz w:val="20"/>
        </w:rPr>
        <w:t xml:space="preserve">in </w:t>
      </w:r>
      <w:r w:rsidR="00A60CD4">
        <w:rPr>
          <w:rFonts w:ascii="Arial" w:hAnsi="Arial" w:cs="Arial"/>
          <w:sz w:val="20"/>
        </w:rPr>
        <w:t>decision-making in respect of KMAC’s subsidiaries at AGMs and SGMs</w:t>
      </w:r>
      <w:r w:rsidR="00861E02">
        <w:rPr>
          <w:rFonts w:ascii="Arial" w:hAnsi="Arial" w:cs="Arial"/>
          <w:sz w:val="20"/>
        </w:rPr>
        <w:t>, nor is there a mechanism in place to enable community members to join either the licensee or Noongar</w:t>
      </w:r>
      <w:r>
        <w:rPr>
          <w:rFonts w:ascii="Arial" w:hAnsi="Arial" w:cs="Arial"/>
          <w:sz w:val="20"/>
        </w:rPr>
        <w:t>;</w:t>
      </w:r>
    </w:p>
    <w:p w14:paraId="2D62590E" w14:textId="70C663B9" w:rsidR="00131558" w:rsidRDefault="00583E0B" w:rsidP="00131558">
      <w:pPr>
        <w:pStyle w:val="ABABodyText"/>
        <w:numPr>
          <w:ilvl w:val="0"/>
          <w:numId w:val="25"/>
        </w:numPr>
        <w:spacing w:before="0" w:after="240" w:line="240" w:lineRule="auto"/>
        <w:rPr>
          <w:rFonts w:ascii="Arial" w:hAnsi="Arial" w:cs="Arial"/>
          <w:sz w:val="20"/>
        </w:rPr>
      </w:pPr>
      <w:r>
        <w:rPr>
          <w:rFonts w:ascii="Arial" w:hAnsi="Arial" w:cs="Arial"/>
          <w:sz w:val="20"/>
        </w:rPr>
        <w:t>d</w:t>
      </w:r>
      <w:r w:rsidR="00131558">
        <w:rPr>
          <w:rFonts w:ascii="Arial" w:hAnsi="Arial" w:cs="Arial"/>
          <w:sz w:val="20"/>
        </w:rPr>
        <w:t xml:space="preserve">ecision-making </w:t>
      </w:r>
      <w:r w:rsidR="00A60CD4">
        <w:rPr>
          <w:rFonts w:ascii="Arial" w:hAnsi="Arial" w:cs="Arial"/>
          <w:sz w:val="20"/>
        </w:rPr>
        <w:t xml:space="preserve">by the licensee in providing the service </w:t>
      </w:r>
      <w:r w:rsidR="00131558">
        <w:rPr>
          <w:rFonts w:ascii="Arial" w:hAnsi="Arial" w:cs="Arial"/>
          <w:sz w:val="20"/>
        </w:rPr>
        <w:t>is currently limited to a small group</w:t>
      </w:r>
      <w:r w:rsidR="00A60CD4">
        <w:rPr>
          <w:rFonts w:ascii="Arial" w:hAnsi="Arial" w:cs="Arial"/>
          <w:sz w:val="20"/>
        </w:rPr>
        <w:t xml:space="preserve">, that is </w:t>
      </w:r>
      <w:r w:rsidR="008473EF">
        <w:rPr>
          <w:rFonts w:ascii="Arial" w:hAnsi="Arial" w:cs="Arial"/>
          <w:sz w:val="20"/>
        </w:rPr>
        <w:t>the licensee’s board</w:t>
      </w:r>
      <w:r w:rsidR="00A60CD4">
        <w:rPr>
          <w:rFonts w:ascii="Arial" w:hAnsi="Arial" w:cs="Arial"/>
          <w:sz w:val="20"/>
        </w:rPr>
        <w:t>, with no current opportunities for members of the community to join sub-committees</w:t>
      </w:r>
      <w:r w:rsidR="001D45C9">
        <w:rPr>
          <w:rFonts w:ascii="Arial" w:hAnsi="Arial" w:cs="Arial"/>
          <w:sz w:val="20"/>
        </w:rPr>
        <w:t xml:space="preserve"> or attend general meetings for the service</w:t>
      </w:r>
      <w:r w:rsidR="00131558">
        <w:rPr>
          <w:rFonts w:ascii="Arial" w:hAnsi="Arial" w:cs="Arial"/>
          <w:sz w:val="20"/>
        </w:rPr>
        <w:t>;</w:t>
      </w:r>
    </w:p>
    <w:p w14:paraId="0D097160" w14:textId="4CF1AA84" w:rsidR="001D45C9" w:rsidRPr="001D45C9" w:rsidRDefault="00450D0F" w:rsidP="001D45C9">
      <w:pPr>
        <w:pStyle w:val="ABABodyText"/>
        <w:numPr>
          <w:ilvl w:val="0"/>
          <w:numId w:val="25"/>
        </w:numPr>
        <w:spacing w:before="0" w:after="240" w:line="240" w:lineRule="auto"/>
        <w:rPr>
          <w:rFonts w:ascii="Arial" w:hAnsi="Arial" w:cs="Arial"/>
          <w:sz w:val="20"/>
        </w:rPr>
      </w:pPr>
      <w:r>
        <w:rPr>
          <w:rFonts w:ascii="Arial" w:hAnsi="Arial" w:cs="Arial"/>
          <w:sz w:val="20"/>
        </w:rPr>
        <w:t>there is currently little differentiation between the licensee’s board and that of Noonga</w:t>
      </w:r>
      <w:r w:rsidR="00583E0B">
        <w:rPr>
          <w:rFonts w:ascii="Arial" w:hAnsi="Arial" w:cs="Arial"/>
          <w:sz w:val="20"/>
        </w:rPr>
        <w:t>r which, n</w:t>
      </w:r>
      <w:r>
        <w:rPr>
          <w:rFonts w:ascii="Arial" w:hAnsi="Arial" w:cs="Arial"/>
          <w:sz w:val="20"/>
        </w:rPr>
        <w:t>oting the licensee’s diverse portfolio, limit</w:t>
      </w:r>
      <w:r w:rsidR="00583E0B">
        <w:rPr>
          <w:rFonts w:ascii="Arial" w:hAnsi="Arial" w:cs="Arial"/>
          <w:sz w:val="20"/>
        </w:rPr>
        <w:t>s</w:t>
      </w:r>
      <w:r>
        <w:rPr>
          <w:rFonts w:ascii="Arial" w:hAnsi="Arial" w:cs="Arial"/>
          <w:sz w:val="20"/>
        </w:rPr>
        <w:t xml:space="preserve"> the potential for community participation in decision-making </w:t>
      </w:r>
      <w:r w:rsidR="00583E0B">
        <w:rPr>
          <w:rFonts w:ascii="Arial" w:hAnsi="Arial" w:cs="Arial"/>
          <w:sz w:val="20"/>
        </w:rPr>
        <w:t>concerning</w:t>
      </w:r>
      <w:r>
        <w:rPr>
          <w:rFonts w:ascii="Arial" w:hAnsi="Arial" w:cs="Arial"/>
          <w:sz w:val="20"/>
        </w:rPr>
        <w:t xml:space="preserve"> the service;</w:t>
      </w:r>
    </w:p>
    <w:p w14:paraId="42393E89" w14:textId="294A8A3C" w:rsidR="00131558" w:rsidRDefault="00A60CD4" w:rsidP="00131558">
      <w:pPr>
        <w:pStyle w:val="ABABodyText"/>
        <w:numPr>
          <w:ilvl w:val="0"/>
          <w:numId w:val="25"/>
        </w:numPr>
        <w:spacing w:before="0" w:after="240" w:line="240" w:lineRule="auto"/>
        <w:rPr>
          <w:rFonts w:ascii="Arial" w:hAnsi="Arial" w:cs="Arial"/>
          <w:sz w:val="20"/>
        </w:rPr>
      </w:pPr>
      <w:r>
        <w:rPr>
          <w:rFonts w:ascii="Arial" w:hAnsi="Arial" w:cs="Arial"/>
          <w:sz w:val="20"/>
        </w:rPr>
        <w:lastRenderedPageBreak/>
        <w:t xml:space="preserve">while the licensee has indicated it is recruiting another member of the community to join Noongar’s board, </w:t>
      </w:r>
      <w:r w:rsidR="001D45C9">
        <w:rPr>
          <w:rFonts w:ascii="Arial" w:hAnsi="Arial" w:cs="Arial"/>
          <w:sz w:val="20"/>
        </w:rPr>
        <w:t xml:space="preserve">the </w:t>
      </w:r>
      <w:r>
        <w:rPr>
          <w:rFonts w:ascii="Arial" w:hAnsi="Arial" w:cs="Arial"/>
          <w:sz w:val="20"/>
        </w:rPr>
        <w:t xml:space="preserve">process surrounding this </w:t>
      </w:r>
      <w:r w:rsidR="001D45C9">
        <w:rPr>
          <w:rFonts w:ascii="Arial" w:hAnsi="Arial" w:cs="Arial"/>
          <w:sz w:val="20"/>
        </w:rPr>
        <w:t>lack</w:t>
      </w:r>
      <w:r w:rsidR="00A45E3C">
        <w:rPr>
          <w:rFonts w:ascii="Arial" w:hAnsi="Arial" w:cs="Arial"/>
          <w:sz w:val="20"/>
        </w:rPr>
        <w:t>s</w:t>
      </w:r>
      <w:r w:rsidR="001D45C9">
        <w:rPr>
          <w:rFonts w:ascii="Arial" w:hAnsi="Arial" w:cs="Arial"/>
          <w:sz w:val="20"/>
        </w:rPr>
        <w:t xml:space="preserve"> transparency</w:t>
      </w:r>
      <w:r w:rsidR="00583E0B">
        <w:rPr>
          <w:rFonts w:ascii="Arial" w:hAnsi="Arial" w:cs="Arial"/>
          <w:sz w:val="20"/>
        </w:rPr>
        <w:t xml:space="preserve"> given KMACs restricted membership</w:t>
      </w:r>
      <w:r w:rsidR="00C241D4">
        <w:rPr>
          <w:rFonts w:ascii="Arial" w:hAnsi="Arial" w:cs="Arial"/>
          <w:sz w:val="20"/>
        </w:rPr>
        <w:t xml:space="preserve"> and the apparent absence of governance policies outlining this process</w:t>
      </w:r>
      <w:r>
        <w:rPr>
          <w:rFonts w:ascii="Arial" w:hAnsi="Arial" w:cs="Arial"/>
          <w:sz w:val="20"/>
        </w:rPr>
        <w:t>;</w:t>
      </w:r>
    </w:p>
    <w:p w14:paraId="6CC15F5C" w14:textId="7C526C32" w:rsidR="00B507B8" w:rsidRPr="00646837" w:rsidRDefault="00B507B8" w:rsidP="00B507B8">
      <w:pPr>
        <w:pStyle w:val="ABABodyText"/>
        <w:numPr>
          <w:ilvl w:val="0"/>
          <w:numId w:val="25"/>
        </w:numPr>
        <w:spacing w:before="0" w:after="240" w:line="240" w:lineRule="auto"/>
        <w:rPr>
          <w:rFonts w:ascii="Arial" w:hAnsi="Arial" w:cs="Arial"/>
          <w:sz w:val="20"/>
        </w:rPr>
      </w:pPr>
      <w:r w:rsidRPr="00646837">
        <w:rPr>
          <w:rFonts w:ascii="Arial" w:hAnsi="Arial" w:cs="Arial"/>
          <w:sz w:val="20"/>
        </w:rPr>
        <w:t xml:space="preserve">Noongar’s community participation policy is not appropriate to the current organisation structure, </w:t>
      </w:r>
      <w:r>
        <w:rPr>
          <w:rFonts w:ascii="Arial" w:hAnsi="Arial" w:cs="Arial"/>
          <w:sz w:val="20"/>
        </w:rPr>
        <w:t>such that</w:t>
      </w:r>
      <w:r w:rsidRPr="00646837">
        <w:rPr>
          <w:rFonts w:ascii="Arial" w:hAnsi="Arial" w:cs="Arial"/>
          <w:sz w:val="20"/>
        </w:rPr>
        <w:t xml:space="preserve"> mechanisms used to encourage community participation are </w:t>
      </w:r>
      <w:r>
        <w:rPr>
          <w:rFonts w:ascii="Arial" w:hAnsi="Arial" w:cs="Arial"/>
          <w:sz w:val="20"/>
        </w:rPr>
        <w:t>unlikely to be</w:t>
      </w:r>
      <w:r w:rsidRPr="00646837">
        <w:rPr>
          <w:rFonts w:ascii="Arial" w:hAnsi="Arial" w:cs="Arial"/>
          <w:sz w:val="20"/>
        </w:rPr>
        <w:t xml:space="preserve"> accessible to the community of interest</w:t>
      </w:r>
      <w:r>
        <w:rPr>
          <w:rFonts w:ascii="Arial" w:hAnsi="Arial" w:cs="Arial"/>
          <w:sz w:val="20"/>
        </w:rPr>
        <w:t>; and</w:t>
      </w:r>
    </w:p>
    <w:p w14:paraId="56444EE3" w14:textId="6E1EA41F" w:rsidR="00A60CD4" w:rsidRDefault="00785B87" w:rsidP="00131558">
      <w:pPr>
        <w:pStyle w:val="ABABodyText"/>
        <w:numPr>
          <w:ilvl w:val="0"/>
          <w:numId w:val="25"/>
        </w:numPr>
        <w:spacing w:before="0" w:after="240" w:line="240" w:lineRule="auto"/>
        <w:rPr>
          <w:rFonts w:ascii="Arial" w:hAnsi="Arial" w:cs="Arial"/>
          <w:sz w:val="20"/>
        </w:rPr>
      </w:pPr>
      <w:r>
        <w:rPr>
          <w:rFonts w:ascii="Arial" w:hAnsi="Arial" w:cs="Arial"/>
          <w:sz w:val="20"/>
        </w:rPr>
        <w:t>while the licensee appears to be engaged with its community of interest and provide opportunities for community participation,</w:t>
      </w:r>
      <w:r w:rsidR="00496C55">
        <w:rPr>
          <w:rFonts w:ascii="Arial" w:hAnsi="Arial" w:cs="Arial"/>
          <w:sz w:val="20"/>
        </w:rPr>
        <w:t xml:space="preserve"> </w:t>
      </w:r>
      <w:r w:rsidR="003D4BFA">
        <w:rPr>
          <w:rFonts w:ascii="Arial" w:hAnsi="Arial" w:cs="Arial"/>
          <w:sz w:val="20"/>
        </w:rPr>
        <w:t>volunteer opportunities have reduced significantly over the last 12 months</w:t>
      </w:r>
      <w:r w:rsidR="00B507B8">
        <w:rPr>
          <w:rFonts w:ascii="Arial" w:hAnsi="Arial" w:cs="Arial"/>
          <w:sz w:val="20"/>
        </w:rPr>
        <w:t>.</w:t>
      </w:r>
    </w:p>
    <w:p w14:paraId="031BE233" w14:textId="12F02EFD" w:rsidR="00F86374" w:rsidRDefault="00E627C2" w:rsidP="008C1D43">
      <w:pPr>
        <w:pStyle w:val="ACMABodyText"/>
        <w:rPr>
          <w:rFonts w:cs="Arial"/>
        </w:rPr>
      </w:pPr>
      <w:r>
        <w:t xml:space="preserve">For these reasons the </w:t>
      </w:r>
      <w:r w:rsidR="000234C8">
        <w:t>ACMA considers that</w:t>
      </w:r>
      <w:r w:rsidR="00F75F4C">
        <w:t xml:space="preserve"> </w:t>
      </w:r>
      <w:r w:rsidR="000234C8">
        <w:t xml:space="preserve">current governance structures </w:t>
      </w:r>
      <w:r w:rsidR="00A45E3C">
        <w:t xml:space="preserve">limit community participation in </w:t>
      </w:r>
      <w:r w:rsidR="00EE476E">
        <w:t>the licensee</w:t>
      </w:r>
      <w:r w:rsidR="00F75F4C">
        <w:t>’</w:t>
      </w:r>
      <w:r w:rsidR="00EE476E">
        <w:t xml:space="preserve">s </w:t>
      </w:r>
      <w:r w:rsidR="00A45E3C">
        <w:t>decision-making functions to only a few individuals</w:t>
      </w:r>
      <w:r w:rsidR="00F75F4C">
        <w:t xml:space="preserve"> and restrictions on community input are unreasonable for a community broadcaster.</w:t>
      </w:r>
      <w:r w:rsidR="00B46447">
        <w:t xml:space="preserve"> </w:t>
      </w:r>
      <w:r w:rsidR="008C1D43">
        <w:t xml:space="preserve">The ACMA is reassured by the licensee’s willingness to implement mechanisms to address the ACMA’s concerns, however, until such mechanisms are in place, </w:t>
      </w:r>
      <w:r w:rsidR="00551BAC">
        <w:t>ACMA finds that the</w:t>
      </w:r>
      <w:r w:rsidR="00551BAC" w:rsidRPr="009077A6">
        <w:t xml:space="preserve"> licensee </w:t>
      </w:r>
      <w:r w:rsidR="00EE476E">
        <w:t>is not encouraging</w:t>
      </w:r>
      <w:r w:rsidR="00C2369E">
        <w:t xml:space="preserve"> community participation</w:t>
      </w:r>
      <w:r w:rsidR="00551BAC">
        <w:t xml:space="preserve"> in the operations of the licensee in providing the service, in breach of </w:t>
      </w:r>
      <w:r w:rsidR="00551BAC" w:rsidRPr="00C63879">
        <w:rPr>
          <w:rFonts w:cs="Arial"/>
        </w:rPr>
        <w:t>sub</w:t>
      </w:r>
      <w:r w:rsidR="00551BAC" w:rsidRPr="00F64395">
        <w:rPr>
          <w:rFonts w:cs="Arial"/>
        </w:rPr>
        <w:t xml:space="preserve">-paragraph 9(2)(c)(i) of Schedule 2 to the </w:t>
      </w:r>
      <w:r w:rsidR="00551BAC" w:rsidRPr="00D832E3">
        <w:rPr>
          <w:rFonts w:cs="Arial"/>
        </w:rPr>
        <w:t>BSA</w:t>
      </w:r>
      <w:r w:rsidR="00551BAC">
        <w:rPr>
          <w:rFonts w:cs="Arial"/>
        </w:rPr>
        <w:t>.</w:t>
      </w:r>
    </w:p>
    <w:p w14:paraId="23474A19" w14:textId="6B621474" w:rsidR="00F86374" w:rsidRDefault="00F86374" w:rsidP="00F86374">
      <w:pPr>
        <w:pStyle w:val="ACMABodyText"/>
      </w:pPr>
    </w:p>
    <w:sectPr w:rsidR="00F86374" w:rsidSect="0033104B">
      <w:headerReference w:type="even" r:id="rId11"/>
      <w:footerReference w:type="even" r:id="rId12"/>
      <w:footerReference w:type="default" r:id="rId13"/>
      <w:headerReference w:type="first" r:id="rId14"/>
      <w:footerReference w:type="first" r:id="rId15"/>
      <w:pgSz w:w="11909" w:h="16834" w:code="9"/>
      <w:pgMar w:top="1741" w:right="1797" w:bottom="1440" w:left="1797" w:header="567" w:footer="45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B8D71" w14:textId="77777777" w:rsidR="0098200F" w:rsidRDefault="0098200F">
      <w:r>
        <w:separator/>
      </w:r>
    </w:p>
  </w:endnote>
  <w:endnote w:type="continuationSeparator" w:id="0">
    <w:p w14:paraId="220B8B2A" w14:textId="77777777" w:rsidR="0098200F" w:rsidRDefault="00982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DEA73" w14:textId="77777777" w:rsidR="0098200F" w:rsidRDefault="0098200F">
    <w:pPr>
      <w:framePr w:wrap="around" w:vAnchor="text" w:hAnchor="margin" w:xAlign="right" w:y="1"/>
    </w:pPr>
    <w:r>
      <w:fldChar w:fldCharType="begin"/>
    </w:r>
    <w:r>
      <w:instrText xml:space="preserve">PAGE  </w:instrText>
    </w:r>
    <w:r>
      <w:fldChar w:fldCharType="end"/>
    </w:r>
  </w:p>
  <w:p w14:paraId="1EB7FAFF" w14:textId="77777777" w:rsidR="0098200F" w:rsidRDefault="0098200F">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EBBB3" w14:textId="5CD26A6E" w:rsidR="0098200F" w:rsidRPr="00816ADF" w:rsidRDefault="0098200F" w:rsidP="00EF7A2A">
    <w:pPr>
      <w:pStyle w:val="ACMAFooter"/>
      <w:rPr>
        <w:sz w:val="16"/>
        <w:szCs w:val="16"/>
      </w:rPr>
    </w:pPr>
    <w:r w:rsidRPr="00816ADF">
      <w:rPr>
        <w:sz w:val="16"/>
        <w:szCs w:val="16"/>
      </w:rPr>
      <w:t xml:space="preserve">ACMA Investigation </w:t>
    </w:r>
    <w:r>
      <w:rPr>
        <w:sz w:val="16"/>
        <w:szCs w:val="16"/>
      </w:rPr>
      <w:t>r</w:t>
    </w:r>
    <w:r w:rsidRPr="00816ADF">
      <w:rPr>
        <w:sz w:val="16"/>
        <w:szCs w:val="16"/>
      </w:rPr>
      <w:t>eport—</w:t>
    </w:r>
    <w:r>
      <w:rPr>
        <w:sz w:val="16"/>
        <w:szCs w:val="16"/>
      </w:rPr>
      <w:t>Peedac Pty Ltd – licence condition</w:t>
    </w:r>
    <w:r w:rsidRPr="00816ADF">
      <w:rPr>
        <w:sz w:val="16"/>
        <w:szCs w:val="16"/>
      </w:rPr>
      <w:tab/>
    </w:r>
    <w:r w:rsidRPr="00997E79">
      <w:rPr>
        <w:sz w:val="16"/>
        <w:szCs w:val="16"/>
      </w:rPr>
      <w:fldChar w:fldCharType="begin"/>
    </w:r>
    <w:r w:rsidRPr="00997E79">
      <w:rPr>
        <w:sz w:val="16"/>
        <w:szCs w:val="16"/>
      </w:rPr>
      <w:instrText xml:space="preserve"> PAGE </w:instrText>
    </w:r>
    <w:r w:rsidRPr="00997E79">
      <w:rPr>
        <w:sz w:val="16"/>
        <w:szCs w:val="16"/>
      </w:rPr>
      <w:fldChar w:fldCharType="separate"/>
    </w:r>
    <w:r>
      <w:rPr>
        <w:noProof/>
        <w:sz w:val="16"/>
        <w:szCs w:val="16"/>
      </w:rPr>
      <w:t>8</w:t>
    </w:r>
    <w:r w:rsidRPr="00997E79">
      <w:rPr>
        <w:noProof/>
        <w:sz w:val="16"/>
        <w:szCs w:val="16"/>
      </w:rPr>
      <w:fldChar w:fldCharType="end"/>
    </w:r>
    <w:r w:rsidRPr="00997E79">
      <w:rPr>
        <w:noProof/>
        <w:sz w:val="16"/>
        <w:szCs w:val="16"/>
      </w:rPr>
      <w:t xml:space="preserve"> of </w:t>
    </w:r>
    <w:r w:rsidRPr="00997E79">
      <w:rPr>
        <w:noProof/>
        <w:sz w:val="16"/>
        <w:szCs w:val="16"/>
      </w:rPr>
      <w:fldChar w:fldCharType="begin"/>
    </w:r>
    <w:r w:rsidRPr="00997E79">
      <w:rPr>
        <w:noProof/>
        <w:sz w:val="16"/>
        <w:szCs w:val="16"/>
      </w:rPr>
      <w:instrText xml:space="preserve"> SECTIONPAGES  \* Arabic  \* MERGEFORMAT </w:instrText>
    </w:r>
    <w:r w:rsidRPr="00997E79">
      <w:rPr>
        <w:noProof/>
        <w:sz w:val="16"/>
        <w:szCs w:val="16"/>
      </w:rPr>
      <w:fldChar w:fldCharType="separate"/>
    </w:r>
    <w:r w:rsidR="00EF17E4">
      <w:rPr>
        <w:noProof/>
        <w:sz w:val="16"/>
        <w:szCs w:val="16"/>
      </w:rPr>
      <w:t>8</w:t>
    </w:r>
    <w:r w:rsidRPr="00997E79">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68F37" w14:textId="77777777" w:rsidR="0098200F" w:rsidRPr="00211185" w:rsidRDefault="0098200F" w:rsidP="009B461B">
    <w:pPr>
      <w:pStyle w:val="Footer"/>
    </w:pPr>
    <w:r>
      <w:rPr>
        <w:noProof/>
        <w:lang w:eastAsia="en-AU"/>
      </w:rPr>
      <w:drawing>
        <wp:inline distT="0" distB="0" distL="0" distR="0" wp14:anchorId="51920D9C" wp14:editId="6B20EB44">
          <wp:extent cx="3483864" cy="249613"/>
          <wp:effectExtent l="0" t="0" r="0" b="0"/>
          <wp:docPr id="5" name="Picture 5"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EC8D9" w14:textId="77777777" w:rsidR="0098200F" w:rsidRDefault="0098200F">
      <w:r>
        <w:separator/>
      </w:r>
    </w:p>
  </w:footnote>
  <w:footnote w:type="continuationSeparator" w:id="0">
    <w:p w14:paraId="17B165C5" w14:textId="77777777" w:rsidR="0098200F" w:rsidRDefault="0098200F">
      <w:r>
        <w:continuationSeparator/>
      </w:r>
    </w:p>
  </w:footnote>
  <w:footnote w:id="1">
    <w:p w14:paraId="3E4E6A43" w14:textId="4FA665F4" w:rsidR="0006380C" w:rsidRDefault="0006380C">
      <w:pPr>
        <w:pStyle w:val="FootnoteText"/>
      </w:pPr>
      <w:r>
        <w:rPr>
          <w:rStyle w:val="FootnoteReference"/>
        </w:rPr>
        <w:footnoteRef/>
      </w:r>
      <w:r>
        <w:t xml:space="preserve"> Licensee’s submission of 31 January 2019.</w:t>
      </w:r>
    </w:p>
  </w:footnote>
  <w:footnote w:id="2">
    <w:p w14:paraId="0E85A01A" w14:textId="6938A269" w:rsidR="0098200F" w:rsidRDefault="0098200F">
      <w:pPr>
        <w:pStyle w:val="FootnoteText"/>
      </w:pPr>
      <w:r>
        <w:rPr>
          <w:rStyle w:val="FootnoteReference"/>
        </w:rPr>
        <w:footnoteRef/>
      </w:r>
      <w:r>
        <w:t xml:space="preserve"> </w:t>
      </w:r>
      <w:hyperlink r:id="rId1" w:history="1">
        <w:r w:rsidRPr="00E21D4E">
          <w:rPr>
            <w:rStyle w:val="Hyperlink"/>
          </w:rPr>
          <w:t>http://register.oric.gov.au/document.aspx?concernID=102719</w:t>
        </w:r>
      </w:hyperlink>
      <w:r>
        <w:t xml:space="preserve"> [checked 4 February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11731" w14:textId="6673E904" w:rsidR="0098200F" w:rsidRDefault="0098200F">
    <w:r>
      <w:fldChar w:fldCharType="begin"/>
    </w:r>
    <w:r>
      <w:instrText xml:space="preserve"> REF ReportTitle \h </w:instrText>
    </w:r>
    <w:r>
      <w:fldChar w:fldCharType="separate"/>
    </w:r>
    <w:r w:rsidR="00CF55A5">
      <w:rPr>
        <w:b/>
        <w:bCs/>
        <w:lang w:val="en-US"/>
      </w:rPr>
      <w:t>Error! Reference source not found.</w:t>
    </w:r>
    <w:r>
      <w:fldChar w:fldCharType="end"/>
    </w:r>
  </w:p>
  <w:p w14:paraId="25738825" w14:textId="77777777" w:rsidR="0098200F" w:rsidRDefault="009820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CFBAC" w14:textId="77777777" w:rsidR="0098200F" w:rsidRDefault="0098200F" w:rsidP="00521BCF">
    <w:pPr>
      <w:pStyle w:val="ACMAInConfidence"/>
    </w:pPr>
  </w:p>
  <w:p w14:paraId="49EFD6BE" w14:textId="77777777" w:rsidR="0098200F" w:rsidRPr="005F22AA" w:rsidRDefault="0098200F" w:rsidP="005F22AA">
    <w:pPr>
      <w:pStyle w:val="ACMAHeaderGraphicSpace"/>
    </w:pPr>
    <w:r>
      <w:rPr>
        <w:noProof/>
        <w:snapToGrid/>
        <w:lang w:eastAsia="en-AU"/>
      </w:rPr>
      <w:drawing>
        <wp:inline distT="0" distB="0" distL="0" distR="0" wp14:anchorId="2FD706A5" wp14:editId="6726AB99">
          <wp:extent cx="5308600" cy="520700"/>
          <wp:effectExtent l="0" t="0" r="0" b="12700"/>
          <wp:docPr id="1" name="Picture 1"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v2.pdf"/>
                  <pic:cNvPicPr/>
                </pic:nvPicPr>
                <pic:blipFill>
                  <a:blip r:embed="rId1">
                    <a:extLst>
                      <a:ext uri="{28A0092B-C50C-407E-A947-70E740481C1C}">
                        <a14:useLocalDpi xmlns:a14="http://schemas.microsoft.com/office/drawing/2010/main" val="0"/>
                      </a:ext>
                    </a:extLst>
                  </a:blip>
                  <a:stretch>
                    <a:fillRect/>
                  </a:stretch>
                </pic:blipFill>
                <pic:spPr>
                  <a:xfrm>
                    <a:off x="0" y="0"/>
                    <a:ext cx="5308600" cy="520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41BC"/>
    <w:multiLevelType w:val="hybridMultilevel"/>
    <w:tmpl w:val="19CAC038"/>
    <w:lvl w:ilvl="0" w:tplc="4E5237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8655FF"/>
    <w:multiLevelType w:val="hybridMultilevel"/>
    <w:tmpl w:val="9FA85E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FF006E"/>
    <w:multiLevelType w:val="hybridMultilevel"/>
    <w:tmpl w:val="ED0CAB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4461E65"/>
    <w:multiLevelType w:val="hybridMultilevel"/>
    <w:tmpl w:val="38E0578C"/>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D21C52"/>
    <w:multiLevelType w:val="hybridMultilevel"/>
    <w:tmpl w:val="54188EE0"/>
    <w:lvl w:ilvl="0" w:tplc="4E5237F2">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5" w15:restartNumberingAfterBreak="0">
    <w:nsid w:val="09D15763"/>
    <w:multiLevelType w:val="hybridMultilevel"/>
    <w:tmpl w:val="97841D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0AC428CA"/>
    <w:multiLevelType w:val="hybridMultilevel"/>
    <w:tmpl w:val="087271EC"/>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FD4391"/>
    <w:multiLevelType w:val="hybridMultilevel"/>
    <w:tmpl w:val="AAB43B0E"/>
    <w:lvl w:ilvl="0" w:tplc="4E5237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337708"/>
    <w:multiLevelType w:val="hybridMultilevel"/>
    <w:tmpl w:val="64DE3604"/>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0A5A03"/>
    <w:multiLevelType w:val="hybridMultilevel"/>
    <w:tmpl w:val="CF300D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3645BD"/>
    <w:multiLevelType w:val="hybridMultilevel"/>
    <w:tmpl w:val="72640786"/>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F5A5080"/>
    <w:multiLevelType w:val="hybridMultilevel"/>
    <w:tmpl w:val="58B0F0D6"/>
    <w:lvl w:ilvl="0" w:tplc="EFE81832">
      <w:start w:val="1"/>
      <w:numFmt w:val="bullet"/>
      <w:pStyle w:val="ACMABulletLevel1"/>
      <w:lvlText w:val="&gt;"/>
      <w:lvlJc w:val="left"/>
      <w:pPr>
        <w:ind w:left="360" w:hanging="360"/>
      </w:pPr>
      <w:rPr>
        <w:rFonts w:ascii="HelveticaNeueLT Std" w:hAnsi="HelveticaNeueLT Std"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2" w15:restartNumberingAfterBreak="0">
    <w:nsid w:val="37FA1F2B"/>
    <w:multiLevelType w:val="hybridMultilevel"/>
    <w:tmpl w:val="DD102AE8"/>
    <w:lvl w:ilvl="0" w:tplc="CBA077E8">
      <w:start w:val="1"/>
      <w:numFmt w:val="bullet"/>
      <w:lvlText w:val=""/>
      <w:lvlJc w:val="left"/>
      <w:pPr>
        <w:ind w:left="758" w:hanging="360"/>
      </w:pPr>
      <w:rPr>
        <w:rFonts w:ascii="Symbol" w:hAnsi="Symbol" w:hint="default"/>
      </w:rPr>
    </w:lvl>
    <w:lvl w:ilvl="1" w:tplc="0C090003">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13" w15:restartNumberingAfterBreak="0">
    <w:nsid w:val="3B3E05F8"/>
    <w:multiLevelType w:val="hybridMultilevel"/>
    <w:tmpl w:val="3B00D0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2F2EC4"/>
    <w:multiLevelType w:val="hybridMultilevel"/>
    <w:tmpl w:val="C4A6B748"/>
    <w:lvl w:ilvl="0" w:tplc="4E5237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D2795F"/>
    <w:multiLevelType w:val="hybridMultilevel"/>
    <w:tmpl w:val="0E06676C"/>
    <w:lvl w:ilvl="0" w:tplc="4E5237F2">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42AF0895"/>
    <w:multiLevelType w:val="hybridMultilevel"/>
    <w:tmpl w:val="71D80084"/>
    <w:lvl w:ilvl="0" w:tplc="B3984E54">
      <w:start w:val="1"/>
      <w:numFmt w:val="bullet"/>
      <w:lvlText w:val="&gt;"/>
      <w:lvlJc w:val="left"/>
      <w:pPr>
        <w:ind w:left="360" w:hanging="360"/>
      </w:pPr>
      <w:rPr>
        <w:rFonts w:ascii="Arial" w:hAnsi="Arial" w:hint="default"/>
        <w:sz w:val="20"/>
      </w:rPr>
    </w:lvl>
    <w:lvl w:ilvl="1" w:tplc="5CB2A170" w:tentative="1">
      <w:start w:val="1"/>
      <w:numFmt w:val="bullet"/>
      <w:lvlText w:val="o"/>
      <w:lvlJc w:val="left"/>
      <w:pPr>
        <w:ind w:left="1080" w:hanging="360"/>
      </w:pPr>
      <w:rPr>
        <w:rFonts w:ascii="Courier New" w:hAnsi="Courier New" w:cs="Courier New" w:hint="default"/>
      </w:rPr>
    </w:lvl>
    <w:lvl w:ilvl="2" w:tplc="C4F6AFBE" w:tentative="1">
      <w:start w:val="1"/>
      <w:numFmt w:val="bullet"/>
      <w:lvlText w:val=""/>
      <w:lvlJc w:val="left"/>
      <w:pPr>
        <w:ind w:left="1800" w:hanging="360"/>
      </w:pPr>
      <w:rPr>
        <w:rFonts w:ascii="Wingdings" w:hAnsi="Wingdings" w:hint="default"/>
      </w:rPr>
    </w:lvl>
    <w:lvl w:ilvl="3" w:tplc="BC7A4728" w:tentative="1">
      <w:start w:val="1"/>
      <w:numFmt w:val="bullet"/>
      <w:lvlText w:val=""/>
      <w:lvlJc w:val="left"/>
      <w:pPr>
        <w:ind w:left="2520" w:hanging="360"/>
      </w:pPr>
      <w:rPr>
        <w:rFonts w:ascii="Symbol" w:hAnsi="Symbol" w:hint="default"/>
      </w:rPr>
    </w:lvl>
    <w:lvl w:ilvl="4" w:tplc="38BA9122" w:tentative="1">
      <w:start w:val="1"/>
      <w:numFmt w:val="bullet"/>
      <w:lvlText w:val="o"/>
      <w:lvlJc w:val="left"/>
      <w:pPr>
        <w:ind w:left="3240" w:hanging="360"/>
      </w:pPr>
      <w:rPr>
        <w:rFonts w:ascii="Courier New" w:hAnsi="Courier New" w:cs="Courier New" w:hint="default"/>
      </w:rPr>
    </w:lvl>
    <w:lvl w:ilvl="5" w:tplc="3452BD52" w:tentative="1">
      <w:start w:val="1"/>
      <w:numFmt w:val="bullet"/>
      <w:lvlText w:val=""/>
      <w:lvlJc w:val="left"/>
      <w:pPr>
        <w:ind w:left="3960" w:hanging="360"/>
      </w:pPr>
      <w:rPr>
        <w:rFonts w:ascii="Wingdings" w:hAnsi="Wingdings" w:hint="default"/>
      </w:rPr>
    </w:lvl>
    <w:lvl w:ilvl="6" w:tplc="8F02AD3C" w:tentative="1">
      <w:start w:val="1"/>
      <w:numFmt w:val="bullet"/>
      <w:lvlText w:val=""/>
      <w:lvlJc w:val="left"/>
      <w:pPr>
        <w:ind w:left="4680" w:hanging="360"/>
      </w:pPr>
      <w:rPr>
        <w:rFonts w:ascii="Symbol" w:hAnsi="Symbol" w:hint="default"/>
      </w:rPr>
    </w:lvl>
    <w:lvl w:ilvl="7" w:tplc="5088F0F6" w:tentative="1">
      <w:start w:val="1"/>
      <w:numFmt w:val="bullet"/>
      <w:lvlText w:val="o"/>
      <w:lvlJc w:val="left"/>
      <w:pPr>
        <w:ind w:left="5400" w:hanging="360"/>
      </w:pPr>
      <w:rPr>
        <w:rFonts w:ascii="Courier New" w:hAnsi="Courier New" w:cs="Courier New" w:hint="default"/>
      </w:rPr>
    </w:lvl>
    <w:lvl w:ilvl="8" w:tplc="CB2CE38C" w:tentative="1">
      <w:start w:val="1"/>
      <w:numFmt w:val="bullet"/>
      <w:lvlText w:val=""/>
      <w:lvlJc w:val="left"/>
      <w:pPr>
        <w:ind w:left="6120" w:hanging="360"/>
      </w:pPr>
      <w:rPr>
        <w:rFonts w:ascii="Wingdings" w:hAnsi="Wingdings" w:hint="default"/>
      </w:rPr>
    </w:lvl>
  </w:abstractNum>
  <w:abstractNum w:abstractNumId="17" w15:restartNumberingAfterBreak="0">
    <w:nsid w:val="45952C1D"/>
    <w:multiLevelType w:val="hybridMultilevel"/>
    <w:tmpl w:val="2C763A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4AAE34EA"/>
    <w:multiLevelType w:val="hybridMultilevel"/>
    <w:tmpl w:val="8C6EDB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F064C04"/>
    <w:multiLevelType w:val="hybridMultilevel"/>
    <w:tmpl w:val="4D08C4C8"/>
    <w:lvl w:ilvl="0" w:tplc="03A2AB32">
      <w:numFmt w:val="bullet"/>
      <w:lvlText w:val="-"/>
      <w:lvlJc w:val="left"/>
      <w:pPr>
        <w:ind w:left="360" w:hanging="360"/>
      </w:pPr>
      <w:rPr>
        <w:rFonts w:ascii="Arial" w:eastAsia="Times New Roman"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DE60C6F"/>
    <w:multiLevelType w:val="hybridMultilevel"/>
    <w:tmpl w:val="C7742958"/>
    <w:lvl w:ilvl="0" w:tplc="6D8C0A58">
      <w:start w:val="1"/>
      <w:numFmt w:val="bullet"/>
      <w:lvlText w:val=""/>
      <w:lvlJc w:val="left"/>
      <w:pPr>
        <w:ind w:left="720" w:hanging="360"/>
      </w:pPr>
      <w:rPr>
        <w:rFonts w:ascii="Symbol" w:hAnsi="Symbol" w:hint="default"/>
      </w:rPr>
    </w:lvl>
    <w:lvl w:ilvl="1" w:tplc="67048782">
      <w:start w:val="1"/>
      <w:numFmt w:val="bullet"/>
      <w:pStyle w:val="ACMABulletLevel2"/>
      <w:lvlText w:val="&gt;"/>
      <w:lvlJc w:val="left"/>
      <w:pPr>
        <w:ind w:left="1440" w:hanging="360"/>
      </w:pPr>
      <w:rPr>
        <w:rFonts w:ascii="HelveticaNeueLT Std" w:hAnsi="HelveticaNeueLT Std"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B728D6"/>
    <w:multiLevelType w:val="hybridMultilevel"/>
    <w:tmpl w:val="848C6FEA"/>
    <w:lvl w:ilvl="0" w:tplc="0ED08108">
      <w:start w:val="1"/>
      <w:numFmt w:val="bullet"/>
      <w:lvlText w:val="-"/>
      <w:lvlJc w:val="left"/>
      <w:pPr>
        <w:ind w:left="360" w:hanging="360"/>
      </w:pPr>
      <w:rPr>
        <w:rFonts w:ascii="Arial" w:eastAsia="Times New Roman"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72F3283"/>
    <w:multiLevelType w:val="hybridMultilevel"/>
    <w:tmpl w:val="95D0B95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90655BE"/>
    <w:multiLevelType w:val="hybridMultilevel"/>
    <w:tmpl w:val="6F56D602"/>
    <w:lvl w:ilvl="0" w:tplc="477AA46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147CE1"/>
    <w:multiLevelType w:val="hybridMultilevel"/>
    <w:tmpl w:val="2FC033EE"/>
    <w:lvl w:ilvl="0" w:tplc="4E5237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654753"/>
    <w:multiLevelType w:val="hybridMultilevel"/>
    <w:tmpl w:val="E9EA3B10"/>
    <w:lvl w:ilvl="0" w:tplc="6D8C0A5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DC17DE"/>
    <w:multiLevelType w:val="hybridMultilevel"/>
    <w:tmpl w:val="B2C24722"/>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DCE58E1"/>
    <w:multiLevelType w:val="hybridMultilevel"/>
    <w:tmpl w:val="D534C58C"/>
    <w:lvl w:ilvl="0" w:tplc="4E5237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C73682"/>
    <w:multiLevelType w:val="hybridMultilevel"/>
    <w:tmpl w:val="AE64B614"/>
    <w:lvl w:ilvl="0" w:tplc="4E5237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5D6109"/>
    <w:multiLevelType w:val="hybridMultilevel"/>
    <w:tmpl w:val="C27CA98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8D303C2"/>
    <w:multiLevelType w:val="hybridMultilevel"/>
    <w:tmpl w:val="6930D14C"/>
    <w:lvl w:ilvl="0" w:tplc="25D60C0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967C41"/>
    <w:multiLevelType w:val="hybridMultilevel"/>
    <w:tmpl w:val="50180946"/>
    <w:lvl w:ilvl="0" w:tplc="35A6AC6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2"/>
  </w:num>
  <w:num w:numId="4">
    <w:abstractNumId w:val="25"/>
  </w:num>
  <w:num w:numId="5">
    <w:abstractNumId w:val="20"/>
  </w:num>
  <w:num w:numId="6">
    <w:abstractNumId w:val="18"/>
  </w:num>
  <w:num w:numId="7">
    <w:abstractNumId w:val="10"/>
  </w:num>
  <w:num w:numId="8">
    <w:abstractNumId w:val="6"/>
  </w:num>
  <w:num w:numId="9">
    <w:abstractNumId w:val="1"/>
  </w:num>
  <w:num w:numId="10">
    <w:abstractNumId w:val="21"/>
  </w:num>
  <w:num w:numId="11">
    <w:abstractNumId w:val="26"/>
  </w:num>
  <w:num w:numId="12">
    <w:abstractNumId w:val="19"/>
  </w:num>
  <w:num w:numId="13">
    <w:abstractNumId w:val="8"/>
  </w:num>
  <w:num w:numId="14">
    <w:abstractNumId w:val="30"/>
  </w:num>
  <w:num w:numId="15">
    <w:abstractNumId w:val="23"/>
  </w:num>
  <w:num w:numId="16">
    <w:abstractNumId w:val="31"/>
  </w:num>
  <w:num w:numId="17">
    <w:abstractNumId w:val="24"/>
  </w:num>
  <w:num w:numId="18">
    <w:abstractNumId w:val="2"/>
  </w:num>
  <w:num w:numId="19">
    <w:abstractNumId w:val="29"/>
  </w:num>
  <w:num w:numId="20">
    <w:abstractNumId w:val="17"/>
  </w:num>
  <w:num w:numId="21">
    <w:abstractNumId w:val="5"/>
  </w:num>
  <w:num w:numId="22">
    <w:abstractNumId w:val="16"/>
  </w:num>
  <w:num w:numId="23">
    <w:abstractNumId w:val="15"/>
  </w:num>
  <w:num w:numId="24">
    <w:abstractNumId w:val="27"/>
  </w:num>
  <w:num w:numId="25">
    <w:abstractNumId w:val="28"/>
  </w:num>
  <w:num w:numId="26">
    <w:abstractNumId w:val="7"/>
  </w:num>
  <w:num w:numId="27">
    <w:abstractNumId w:val="4"/>
  </w:num>
  <w:num w:numId="28">
    <w:abstractNumId w:val="13"/>
  </w:num>
  <w:num w:numId="29">
    <w:abstractNumId w:val="0"/>
  </w:num>
  <w:num w:numId="30">
    <w:abstractNumId w:val="14"/>
  </w:num>
  <w:num w:numId="31">
    <w:abstractNumId w:val="9"/>
  </w:num>
  <w:num w:numId="32">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ocumentProtection w:edit="readOnly" w:enforcement="1" w:spinCount="100000" w:hashValue="unnLLYlqR3UhQpRD2DePTMfZkvSjUlnY9V6yMgtEK/0=" w:saltValue="Z0gWPnqAtcrTo4OgwWYBUw==" w:algorithmName="SHA-256"/>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B0C"/>
    <w:rsid w:val="00000ABE"/>
    <w:rsid w:val="00000DFC"/>
    <w:rsid w:val="00001254"/>
    <w:rsid w:val="00003AA2"/>
    <w:rsid w:val="00004A0E"/>
    <w:rsid w:val="0000588E"/>
    <w:rsid w:val="0000661F"/>
    <w:rsid w:val="000101EF"/>
    <w:rsid w:val="0001397C"/>
    <w:rsid w:val="00013EAC"/>
    <w:rsid w:val="0001776E"/>
    <w:rsid w:val="00017D61"/>
    <w:rsid w:val="00020C21"/>
    <w:rsid w:val="000234C8"/>
    <w:rsid w:val="000307EE"/>
    <w:rsid w:val="000332CF"/>
    <w:rsid w:val="00034911"/>
    <w:rsid w:val="0003709B"/>
    <w:rsid w:val="000370C8"/>
    <w:rsid w:val="00043DE2"/>
    <w:rsid w:val="00053457"/>
    <w:rsid w:val="000555E2"/>
    <w:rsid w:val="000579AD"/>
    <w:rsid w:val="0006380C"/>
    <w:rsid w:val="000714E7"/>
    <w:rsid w:val="00075F5D"/>
    <w:rsid w:val="00076484"/>
    <w:rsid w:val="00076CB6"/>
    <w:rsid w:val="000845A8"/>
    <w:rsid w:val="00084627"/>
    <w:rsid w:val="00094589"/>
    <w:rsid w:val="000A0747"/>
    <w:rsid w:val="000C4D29"/>
    <w:rsid w:val="000C5A9D"/>
    <w:rsid w:val="000D0502"/>
    <w:rsid w:val="000D4908"/>
    <w:rsid w:val="000D4A75"/>
    <w:rsid w:val="000E0C29"/>
    <w:rsid w:val="000E103F"/>
    <w:rsid w:val="000E3ACD"/>
    <w:rsid w:val="000E4F0D"/>
    <w:rsid w:val="000F12E8"/>
    <w:rsid w:val="000F3189"/>
    <w:rsid w:val="00102AB2"/>
    <w:rsid w:val="00105C54"/>
    <w:rsid w:val="00113573"/>
    <w:rsid w:val="001164DF"/>
    <w:rsid w:val="0011733F"/>
    <w:rsid w:val="001262BD"/>
    <w:rsid w:val="00131277"/>
    <w:rsid w:val="00131558"/>
    <w:rsid w:val="0013198F"/>
    <w:rsid w:val="0013275A"/>
    <w:rsid w:val="00137034"/>
    <w:rsid w:val="00146895"/>
    <w:rsid w:val="00146E30"/>
    <w:rsid w:val="001528B2"/>
    <w:rsid w:val="00152A5E"/>
    <w:rsid w:val="00155544"/>
    <w:rsid w:val="001573E1"/>
    <w:rsid w:val="00160831"/>
    <w:rsid w:val="00161F35"/>
    <w:rsid w:val="00174162"/>
    <w:rsid w:val="00187224"/>
    <w:rsid w:val="00187E47"/>
    <w:rsid w:val="001917EF"/>
    <w:rsid w:val="00191BDE"/>
    <w:rsid w:val="00191E26"/>
    <w:rsid w:val="00193093"/>
    <w:rsid w:val="00197E2F"/>
    <w:rsid w:val="001A375C"/>
    <w:rsid w:val="001B2524"/>
    <w:rsid w:val="001B2EA7"/>
    <w:rsid w:val="001B7B29"/>
    <w:rsid w:val="001B7E7F"/>
    <w:rsid w:val="001C285C"/>
    <w:rsid w:val="001C6546"/>
    <w:rsid w:val="001D4199"/>
    <w:rsid w:val="001D430E"/>
    <w:rsid w:val="001D45C9"/>
    <w:rsid w:val="001D5D4A"/>
    <w:rsid w:val="001E2D6A"/>
    <w:rsid w:val="001E3098"/>
    <w:rsid w:val="001E63DF"/>
    <w:rsid w:val="001F2D5B"/>
    <w:rsid w:val="001F423C"/>
    <w:rsid w:val="002030BA"/>
    <w:rsid w:val="00205CDE"/>
    <w:rsid w:val="00210199"/>
    <w:rsid w:val="00211185"/>
    <w:rsid w:val="002114D9"/>
    <w:rsid w:val="0021377B"/>
    <w:rsid w:val="00213AFF"/>
    <w:rsid w:val="00214950"/>
    <w:rsid w:val="002243C5"/>
    <w:rsid w:val="00224A5E"/>
    <w:rsid w:val="00227744"/>
    <w:rsid w:val="00230D12"/>
    <w:rsid w:val="002325DB"/>
    <w:rsid w:val="00235095"/>
    <w:rsid w:val="0024000F"/>
    <w:rsid w:val="0024060D"/>
    <w:rsid w:val="00245CE7"/>
    <w:rsid w:val="00253814"/>
    <w:rsid w:val="00267125"/>
    <w:rsid w:val="00270105"/>
    <w:rsid w:val="00270182"/>
    <w:rsid w:val="0027366A"/>
    <w:rsid w:val="00281F78"/>
    <w:rsid w:val="00286AFC"/>
    <w:rsid w:val="0028768E"/>
    <w:rsid w:val="0028781C"/>
    <w:rsid w:val="002A33A9"/>
    <w:rsid w:val="002B0831"/>
    <w:rsid w:val="002B1843"/>
    <w:rsid w:val="002C3721"/>
    <w:rsid w:val="002C3B2E"/>
    <w:rsid w:val="002C6235"/>
    <w:rsid w:val="002D1F99"/>
    <w:rsid w:val="002D3179"/>
    <w:rsid w:val="002D7C96"/>
    <w:rsid w:val="002D7E3D"/>
    <w:rsid w:val="002E1A33"/>
    <w:rsid w:val="002E299D"/>
    <w:rsid w:val="002E3B76"/>
    <w:rsid w:val="002E64F5"/>
    <w:rsid w:val="002F0442"/>
    <w:rsid w:val="002F1908"/>
    <w:rsid w:val="002F3B30"/>
    <w:rsid w:val="00307379"/>
    <w:rsid w:val="003163A9"/>
    <w:rsid w:val="003169B0"/>
    <w:rsid w:val="00320122"/>
    <w:rsid w:val="00321A85"/>
    <w:rsid w:val="00322C79"/>
    <w:rsid w:val="0033104B"/>
    <w:rsid w:val="003329A6"/>
    <w:rsid w:val="0033336E"/>
    <w:rsid w:val="003364DB"/>
    <w:rsid w:val="003403CE"/>
    <w:rsid w:val="00346A8C"/>
    <w:rsid w:val="003470D1"/>
    <w:rsid w:val="003505C0"/>
    <w:rsid w:val="00357507"/>
    <w:rsid w:val="003615D1"/>
    <w:rsid w:val="00362784"/>
    <w:rsid w:val="003634AA"/>
    <w:rsid w:val="00370FC9"/>
    <w:rsid w:val="00371957"/>
    <w:rsid w:val="003742CA"/>
    <w:rsid w:val="00382846"/>
    <w:rsid w:val="003832F2"/>
    <w:rsid w:val="0039406A"/>
    <w:rsid w:val="00395815"/>
    <w:rsid w:val="003A1FF5"/>
    <w:rsid w:val="003A22C0"/>
    <w:rsid w:val="003A4C94"/>
    <w:rsid w:val="003A6192"/>
    <w:rsid w:val="003B17BC"/>
    <w:rsid w:val="003B1977"/>
    <w:rsid w:val="003B6843"/>
    <w:rsid w:val="003C0345"/>
    <w:rsid w:val="003C1096"/>
    <w:rsid w:val="003C42DB"/>
    <w:rsid w:val="003D3702"/>
    <w:rsid w:val="003D4BFA"/>
    <w:rsid w:val="003D7A22"/>
    <w:rsid w:val="003E08A5"/>
    <w:rsid w:val="0040529A"/>
    <w:rsid w:val="004054CE"/>
    <w:rsid w:val="004132DE"/>
    <w:rsid w:val="00420BA9"/>
    <w:rsid w:val="00420F9B"/>
    <w:rsid w:val="00421558"/>
    <w:rsid w:val="004266E1"/>
    <w:rsid w:val="00426A3E"/>
    <w:rsid w:val="004309E6"/>
    <w:rsid w:val="00431E14"/>
    <w:rsid w:val="004413F1"/>
    <w:rsid w:val="00441634"/>
    <w:rsid w:val="00441B06"/>
    <w:rsid w:val="00444C27"/>
    <w:rsid w:val="00447AEF"/>
    <w:rsid w:val="00450D0F"/>
    <w:rsid w:val="00474A10"/>
    <w:rsid w:val="0047560F"/>
    <w:rsid w:val="00490E6E"/>
    <w:rsid w:val="004957AC"/>
    <w:rsid w:val="00496C55"/>
    <w:rsid w:val="0049754C"/>
    <w:rsid w:val="004C08C8"/>
    <w:rsid w:val="004C0AFA"/>
    <w:rsid w:val="004C16B4"/>
    <w:rsid w:val="004C3A71"/>
    <w:rsid w:val="004D1505"/>
    <w:rsid w:val="004D2643"/>
    <w:rsid w:val="004D6C6A"/>
    <w:rsid w:val="004E08CB"/>
    <w:rsid w:val="004E1601"/>
    <w:rsid w:val="004E2A31"/>
    <w:rsid w:val="004E7647"/>
    <w:rsid w:val="004F14EF"/>
    <w:rsid w:val="004F15EA"/>
    <w:rsid w:val="004F330E"/>
    <w:rsid w:val="004F7A2B"/>
    <w:rsid w:val="0050049F"/>
    <w:rsid w:val="00507982"/>
    <w:rsid w:val="005122AF"/>
    <w:rsid w:val="00515848"/>
    <w:rsid w:val="005158CB"/>
    <w:rsid w:val="00521BCF"/>
    <w:rsid w:val="00522026"/>
    <w:rsid w:val="005253CA"/>
    <w:rsid w:val="00535423"/>
    <w:rsid w:val="00535EE2"/>
    <w:rsid w:val="00550001"/>
    <w:rsid w:val="00551BAC"/>
    <w:rsid w:val="00554755"/>
    <w:rsid w:val="00554E5F"/>
    <w:rsid w:val="005566FE"/>
    <w:rsid w:val="005610A6"/>
    <w:rsid w:val="00562FEA"/>
    <w:rsid w:val="005631CB"/>
    <w:rsid w:val="00565785"/>
    <w:rsid w:val="005703E5"/>
    <w:rsid w:val="00583E0B"/>
    <w:rsid w:val="00586E25"/>
    <w:rsid w:val="00592FE3"/>
    <w:rsid w:val="005A227A"/>
    <w:rsid w:val="005A2628"/>
    <w:rsid w:val="005A47AF"/>
    <w:rsid w:val="005A58D4"/>
    <w:rsid w:val="005A5AE5"/>
    <w:rsid w:val="005A613B"/>
    <w:rsid w:val="005A76F7"/>
    <w:rsid w:val="005C3922"/>
    <w:rsid w:val="005C3A4E"/>
    <w:rsid w:val="005C4761"/>
    <w:rsid w:val="005C5EB3"/>
    <w:rsid w:val="005D0A26"/>
    <w:rsid w:val="005D267B"/>
    <w:rsid w:val="005E47E5"/>
    <w:rsid w:val="005F22AA"/>
    <w:rsid w:val="00605E62"/>
    <w:rsid w:val="00611ADF"/>
    <w:rsid w:val="00614008"/>
    <w:rsid w:val="0061569D"/>
    <w:rsid w:val="006162E4"/>
    <w:rsid w:val="00622D38"/>
    <w:rsid w:val="00625E1E"/>
    <w:rsid w:val="00630144"/>
    <w:rsid w:val="006308A9"/>
    <w:rsid w:val="00637492"/>
    <w:rsid w:val="00643DF0"/>
    <w:rsid w:val="00645F94"/>
    <w:rsid w:val="00646837"/>
    <w:rsid w:val="00647DD3"/>
    <w:rsid w:val="006526F9"/>
    <w:rsid w:val="0065633C"/>
    <w:rsid w:val="006601D3"/>
    <w:rsid w:val="006708CE"/>
    <w:rsid w:val="00673AEA"/>
    <w:rsid w:val="006774FC"/>
    <w:rsid w:val="00684B32"/>
    <w:rsid w:val="006877FC"/>
    <w:rsid w:val="006912F2"/>
    <w:rsid w:val="006958B4"/>
    <w:rsid w:val="0069604A"/>
    <w:rsid w:val="006A02B1"/>
    <w:rsid w:val="006A40B9"/>
    <w:rsid w:val="006B7982"/>
    <w:rsid w:val="006C3F09"/>
    <w:rsid w:val="006C78D0"/>
    <w:rsid w:val="006D5389"/>
    <w:rsid w:val="006D7DB1"/>
    <w:rsid w:val="006E1969"/>
    <w:rsid w:val="006E1C68"/>
    <w:rsid w:val="006E2405"/>
    <w:rsid w:val="006E2D96"/>
    <w:rsid w:val="006E340C"/>
    <w:rsid w:val="006F24EE"/>
    <w:rsid w:val="006F3066"/>
    <w:rsid w:val="006F6CA7"/>
    <w:rsid w:val="00701E0D"/>
    <w:rsid w:val="00713916"/>
    <w:rsid w:val="00714AD5"/>
    <w:rsid w:val="00715297"/>
    <w:rsid w:val="00715C35"/>
    <w:rsid w:val="00720CC7"/>
    <w:rsid w:val="0072120E"/>
    <w:rsid w:val="007232C6"/>
    <w:rsid w:val="00723DC6"/>
    <w:rsid w:val="00725D8A"/>
    <w:rsid w:val="007335E8"/>
    <w:rsid w:val="00733663"/>
    <w:rsid w:val="00733F89"/>
    <w:rsid w:val="00734881"/>
    <w:rsid w:val="007354ED"/>
    <w:rsid w:val="007379F4"/>
    <w:rsid w:val="007411F1"/>
    <w:rsid w:val="00741721"/>
    <w:rsid w:val="007451C5"/>
    <w:rsid w:val="00747CC0"/>
    <w:rsid w:val="00750D40"/>
    <w:rsid w:val="00751159"/>
    <w:rsid w:val="00754C70"/>
    <w:rsid w:val="00755B0C"/>
    <w:rsid w:val="007566CE"/>
    <w:rsid w:val="007579B1"/>
    <w:rsid w:val="00766D75"/>
    <w:rsid w:val="00772E29"/>
    <w:rsid w:val="00775052"/>
    <w:rsid w:val="0078001B"/>
    <w:rsid w:val="0078175A"/>
    <w:rsid w:val="00783189"/>
    <w:rsid w:val="00785B87"/>
    <w:rsid w:val="00785DDD"/>
    <w:rsid w:val="00786840"/>
    <w:rsid w:val="007873B8"/>
    <w:rsid w:val="0079221C"/>
    <w:rsid w:val="0079419E"/>
    <w:rsid w:val="00795F06"/>
    <w:rsid w:val="007A3FE6"/>
    <w:rsid w:val="007A4A1A"/>
    <w:rsid w:val="007A56F7"/>
    <w:rsid w:val="007B047A"/>
    <w:rsid w:val="007B368E"/>
    <w:rsid w:val="007B4828"/>
    <w:rsid w:val="007C3D2A"/>
    <w:rsid w:val="007C50C6"/>
    <w:rsid w:val="007D1E0F"/>
    <w:rsid w:val="007D6B6D"/>
    <w:rsid w:val="007E1EAA"/>
    <w:rsid w:val="007E42DD"/>
    <w:rsid w:val="007E64F7"/>
    <w:rsid w:val="007F617B"/>
    <w:rsid w:val="007F66DE"/>
    <w:rsid w:val="00804D47"/>
    <w:rsid w:val="008051AD"/>
    <w:rsid w:val="00805F13"/>
    <w:rsid w:val="0081181E"/>
    <w:rsid w:val="00813FE8"/>
    <w:rsid w:val="0081646E"/>
    <w:rsid w:val="00816ADF"/>
    <w:rsid w:val="008238FE"/>
    <w:rsid w:val="008278C9"/>
    <w:rsid w:val="00833A47"/>
    <w:rsid w:val="00844F3E"/>
    <w:rsid w:val="00845F36"/>
    <w:rsid w:val="008473EF"/>
    <w:rsid w:val="008505DE"/>
    <w:rsid w:val="0085074F"/>
    <w:rsid w:val="00850B7E"/>
    <w:rsid w:val="00851F1C"/>
    <w:rsid w:val="008531F9"/>
    <w:rsid w:val="0085498B"/>
    <w:rsid w:val="00861E02"/>
    <w:rsid w:val="0087360D"/>
    <w:rsid w:val="00874227"/>
    <w:rsid w:val="008746E9"/>
    <w:rsid w:val="008764C7"/>
    <w:rsid w:val="00880246"/>
    <w:rsid w:val="00883556"/>
    <w:rsid w:val="008837B5"/>
    <w:rsid w:val="0088427E"/>
    <w:rsid w:val="008946C0"/>
    <w:rsid w:val="008971BB"/>
    <w:rsid w:val="008A7415"/>
    <w:rsid w:val="008B0505"/>
    <w:rsid w:val="008B2CBE"/>
    <w:rsid w:val="008B42DA"/>
    <w:rsid w:val="008B4571"/>
    <w:rsid w:val="008B56DB"/>
    <w:rsid w:val="008B68FC"/>
    <w:rsid w:val="008C1455"/>
    <w:rsid w:val="008C1D43"/>
    <w:rsid w:val="008C4AE4"/>
    <w:rsid w:val="008D1173"/>
    <w:rsid w:val="008D6E28"/>
    <w:rsid w:val="008D7F7A"/>
    <w:rsid w:val="008E0AB4"/>
    <w:rsid w:val="008E1923"/>
    <w:rsid w:val="008E1E2F"/>
    <w:rsid w:val="008E4AEE"/>
    <w:rsid w:val="008F0E8E"/>
    <w:rsid w:val="008F2BA5"/>
    <w:rsid w:val="008F2CB6"/>
    <w:rsid w:val="008F2EEF"/>
    <w:rsid w:val="008F4B7B"/>
    <w:rsid w:val="008F72CE"/>
    <w:rsid w:val="00903100"/>
    <w:rsid w:val="00906284"/>
    <w:rsid w:val="0091127E"/>
    <w:rsid w:val="00913557"/>
    <w:rsid w:val="00913D30"/>
    <w:rsid w:val="00920322"/>
    <w:rsid w:val="0093042F"/>
    <w:rsid w:val="00934ECC"/>
    <w:rsid w:val="009359FA"/>
    <w:rsid w:val="00937C1F"/>
    <w:rsid w:val="00947985"/>
    <w:rsid w:val="00951990"/>
    <w:rsid w:val="0095427A"/>
    <w:rsid w:val="00956AE4"/>
    <w:rsid w:val="00962A0A"/>
    <w:rsid w:val="00963260"/>
    <w:rsid w:val="00972DB3"/>
    <w:rsid w:val="0098200F"/>
    <w:rsid w:val="009822A1"/>
    <w:rsid w:val="00987D46"/>
    <w:rsid w:val="009969C5"/>
    <w:rsid w:val="00996B6E"/>
    <w:rsid w:val="00997E79"/>
    <w:rsid w:val="009A1C2B"/>
    <w:rsid w:val="009A35E5"/>
    <w:rsid w:val="009A5AC7"/>
    <w:rsid w:val="009A6D58"/>
    <w:rsid w:val="009A7B23"/>
    <w:rsid w:val="009B2B79"/>
    <w:rsid w:val="009B3072"/>
    <w:rsid w:val="009B461B"/>
    <w:rsid w:val="009B5A41"/>
    <w:rsid w:val="009D0EFF"/>
    <w:rsid w:val="009D2BB4"/>
    <w:rsid w:val="009D3591"/>
    <w:rsid w:val="009D4132"/>
    <w:rsid w:val="009E1F57"/>
    <w:rsid w:val="009E6A9F"/>
    <w:rsid w:val="009E7E53"/>
    <w:rsid w:val="009F5D03"/>
    <w:rsid w:val="00A01E6D"/>
    <w:rsid w:val="00A04A54"/>
    <w:rsid w:val="00A05AF4"/>
    <w:rsid w:val="00A149B6"/>
    <w:rsid w:val="00A15205"/>
    <w:rsid w:val="00A2236D"/>
    <w:rsid w:val="00A2443C"/>
    <w:rsid w:val="00A25744"/>
    <w:rsid w:val="00A2623E"/>
    <w:rsid w:val="00A26989"/>
    <w:rsid w:val="00A31B1A"/>
    <w:rsid w:val="00A33D8F"/>
    <w:rsid w:val="00A355E7"/>
    <w:rsid w:val="00A43C96"/>
    <w:rsid w:val="00A44ED8"/>
    <w:rsid w:val="00A45E3C"/>
    <w:rsid w:val="00A47E02"/>
    <w:rsid w:val="00A5055A"/>
    <w:rsid w:val="00A57D5D"/>
    <w:rsid w:val="00A60CD4"/>
    <w:rsid w:val="00A64F7F"/>
    <w:rsid w:val="00A65969"/>
    <w:rsid w:val="00A65C16"/>
    <w:rsid w:val="00A7236D"/>
    <w:rsid w:val="00A72BE6"/>
    <w:rsid w:val="00A83CE7"/>
    <w:rsid w:val="00AA0EEA"/>
    <w:rsid w:val="00AA3D14"/>
    <w:rsid w:val="00AA4C6F"/>
    <w:rsid w:val="00AA5690"/>
    <w:rsid w:val="00AA5CF0"/>
    <w:rsid w:val="00AB01E8"/>
    <w:rsid w:val="00AB1722"/>
    <w:rsid w:val="00AC22AF"/>
    <w:rsid w:val="00AC4AF1"/>
    <w:rsid w:val="00AC5010"/>
    <w:rsid w:val="00AD198A"/>
    <w:rsid w:val="00AD1C18"/>
    <w:rsid w:val="00AD2B67"/>
    <w:rsid w:val="00AD4B03"/>
    <w:rsid w:val="00AD74C4"/>
    <w:rsid w:val="00AE20DD"/>
    <w:rsid w:val="00AE4993"/>
    <w:rsid w:val="00AF056F"/>
    <w:rsid w:val="00AF0D57"/>
    <w:rsid w:val="00AF27CD"/>
    <w:rsid w:val="00B00E4D"/>
    <w:rsid w:val="00B0310E"/>
    <w:rsid w:val="00B05154"/>
    <w:rsid w:val="00B07D45"/>
    <w:rsid w:val="00B163D6"/>
    <w:rsid w:val="00B24F9D"/>
    <w:rsid w:val="00B30A6C"/>
    <w:rsid w:val="00B46447"/>
    <w:rsid w:val="00B507B8"/>
    <w:rsid w:val="00B507BE"/>
    <w:rsid w:val="00B50AD0"/>
    <w:rsid w:val="00B56B9B"/>
    <w:rsid w:val="00B66835"/>
    <w:rsid w:val="00B674D9"/>
    <w:rsid w:val="00B7699F"/>
    <w:rsid w:val="00B76B74"/>
    <w:rsid w:val="00B8072C"/>
    <w:rsid w:val="00B8381B"/>
    <w:rsid w:val="00B84BC2"/>
    <w:rsid w:val="00B86A58"/>
    <w:rsid w:val="00B94DC3"/>
    <w:rsid w:val="00BA0C67"/>
    <w:rsid w:val="00BA3BBA"/>
    <w:rsid w:val="00BA5140"/>
    <w:rsid w:val="00BA71D4"/>
    <w:rsid w:val="00BC3D4A"/>
    <w:rsid w:val="00BC4728"/>
    <w:rsid w:val="00BD6D11"/>
    <w:rsid w:val="00BD77AA"/>
    <w:rsid w:val="00BE2A3C"/>
    <w:rsid w:val="00BE2E03"/>
    <w:rsid w:val="00BE2F9A"/>
    <w:rsid w:val="00BE3930"/>
    <w:rsid w:val="00BE3EBD"/>
    <w:rsid w:val="00BE459D"/>
    <w:rsid w:val="00BE4682"/>
    <w:rsid w:val="00BE54BE"/>
    <w:rsid w:val="00BE6B6C"/>
    <w:rsid w:val="00BF3486"/>
    <w:rsid w:val="00BF3CC8"/>
    <w:rsid w:val="00BF554B"/>
    <w:rsid w:val="00C0205F"/>
    <w:rsid w:val="00C022CA"/>
    <w:rsid w:val="00C0320D"/>
    <w:rsid w:val="00C038E9"/>
    <w:rsid w:val="00C03DE1"/>
    <w:rsid w:val="00C04AF0"/>
    <w:rsid w:val="00C05671"/>
    <w:rsid w:val="00C07073"/>
    <w:rsid w:val="00C07B88"/>
    <w:rsid w:val="00C10F64"/>
    <w:rsid w:val="00C11CE2"/>
    <w:rsid w:val="00C12395"/>
    <w:rsid w:val="00C16610"/>
    <w:rsid w:val="00C201F2"/>
    <w:rsid w:val="00C2160C"/>
    <w:rsid w:val="00C22B6B"/>
    <w:rsid w:val="00C2369E"/>
    <w:rsid w:val="00C241D4"/>
    <w:rsid w:val="00C24A9A"/>
    <w:rsid w:val="00C24B21"/>
    <w:rsid w:val="00C2537D"/>
    <w:rsid w:val="00C30843"/>
    <w:rsid w:val="00C30E51"/>
    <w:rsid w:val="00C3399F"/>
    <w:rsid w:val="00C33E60"/>
    <w:rsid w:val="00C34B4D"/>
    <w:rsid w:val="00C34F7D"/>
    <w:rsid w:val="00C35B8B"/>
    <w:rsid w:val="00C37DDE"/>
    <w:rsid w:val="00C40428"/>
    <w:rsid w:val="00C425A0"/>
    <w:rsid w:val="00C448FA"/>
    <w:rsid w:val="00C44CC1"/>
    <w:rsid w:val="00C51707"/>
    <w:rsid w:val="00C53E5D"/>
    <w:rsid w:val="00C5672B"/>
    <w:rsid w:val="00C60135"/>
    <w:rsid w:val="00C609A4"/>
    <w:rsid w:val="00C65EB0"/>
    <w:rsid w:val="00C71560"/>
    <w:rsid w:val="00C76D75"/>
    <w:rsid w:val="00C857F8"/>
    <w:rsid w:val="00C873A9"/>
    <w:rsid w:val="00C921B8"/>
    <w:rsid w:val="00C947E2"/>
    <w:rsid w:val="00C94F96"/>
    <w:rsid w:val="00CA3AA6"/>
    <w:rsid w:val="00CB39B3"/>
    <w:rsid w:val="00CC16BE"/>
    <w:rsid w:val="00CC597A"/>
    <w:rsid w:val="00CC6E35"/>
    <w:rsid w:val="00CC7A32"/>
    <w:rsid w:val="00CD2711"/>
    <w:rsid w:val="00CD3452"/>
    <w:rsid w:val="00CD6CEB"/>
    <w:rsid w:val="00CE2DC3"/>
    <w:rsid w:val="00CF246A"/>
    <w:rsid w:val="00CF3E93"/>
    <w:rsid w:val="00CF40D3"/>
    <w:rsid w:val="00CF55A5"/>
    <w:rsid w:val="00CF5789"/>
    <w:rsid w:val="00CF5EB3"/>
    <w:rsid w:val="00D01406"/>
    <w:rsid w:val="00D11455"/>
    <w:rsid w:val="00D13D21"/>
    <w:rsid w:val="00D1538B"/>
    <w:rsid w:val="00D1637C"/>
    <w:rsid w:val="00D171F2"/>
    <w:rsid w:val="00D2288C"/>
    <w:rsid w:val="00D24D99"/>
    <w:rsid w:val="00D3071B"/>
    <w:rsid w:val="00D36446"/>
    <w:rsid w:val="00D370F3"/>
    <w:rsid w:val="00D40B2E"/>
    <w:rsid w:val="00D449B2"/>
    <w:rsid w:val="00D457D5"/>
    <w:rsid w:val="00D46F22"/>
    <w:rsid w:val="00D530A5"/>
    <w:rsid w:val="00D57F5D"/>
    <w:rsid w:val="00D6266E"/>
    <w:rsid w:val="00D62F1F"/>
    <w:rsid w:val="00D668E3"/>
    <w:rsid w:val="00D6705E"/>
    <w:rsid w:val="00D6718B"/>
    <w:rsid w:val="00D80CCA"/>
    <w:rsid w:val="00D840AC"/>
    <w:rsid w:val="00D9593A"/>
    <w:rsid w:val="00DA4B9A"/>
    <w:rsid w:val="00DB34DB"/>
    <w:rsid w:val="00DC099F"/>
    <w:rsid w:val="00DC2DE8"/>
    <w:rsid w:val="00DC4A6C"/>
    <w:rsid w:val="00DD2DFE"/>
    <w:rsid w:val="00DF0C59"/>
    <w:rsid w:val="00DF3CFE"/>
    <w:rsid w:val="00DF3DE3"/>
    <w:rsid w:val="00DF5321"/>
    <w:rsid w:val="00E0203C"/>
    <w:rsid w:val="00E063E8"/>
    <w:rsid w:val="00E06BF1"/>
    <w:rsid w:val="00E06E0F"/>
    <w:rsid w:val="00E104BD"/>
    <w:rsid w:val="00E11692"/>
    <w:rsid w:val="00E21ABD"/>
    <w:rsid w:val="00E243C4"/>
    <w:rsid w:val="00E27996"/>
    <w:rsid w:val="00E27E12"/>
    <w:rsid w:val="00E30230"/>
    <w:rsid w:val="00E35210"/>
    <w:rsid w:val="00E416C9"/>
    <w:rsid w:val="00E437A9"/>
    <w:rsid w:val="00E44705"/>
    <w:rsid w:val="00E46365"/>
    <w:rsid w:val="00E46944"/>
    <w:rsid w:val="00E46959"/>
    <w:rsid w:val="00E52144"/>
    <w:rsid w:val="00E52BEF"/>
    <w:rsid w:val="00E53480"/>
    <w:rsid w:val="00E536EE"/>
    <w:rsid w:val="00E55CD3"/>
    <w:rsid w:val="00E574DE"/>
    <w:rsid w:val="00E627C2"/>
    <w:rsid w:val="00E64144"/>
    <w:rsid w:val="00E67D3D"/>
    <w:rsid w:val="00E71217"/>
    <w:rsid w:val="00E738AF"/>
    <w:rsid w:val="00E7638D"/>
    <w:rsid w:val="00E76DFD"/>
    <w:rsid w:val="00E80D8F"/>
    <w:rsid w:val="00E829F9"/>
    <w:rsid w:val="00E8312E"/>
    <w:rsid w:val="00E92A4F"/>
    <w:rsid w:val="00EA51AB"/>
    <w:rsid w:val="00EB5387"/>
    <w:rsid w:val="00EB7881"/>
    <w:rsid w:val="00EC491A"/>
    <w:rsid w:val="00EC6C3A"/>
    <w:rsid w:val="00EC7793"/>
    <w:rsid w:val="00ED079E"/>
    <w:rsid w:val="00ED616B"/>
    <w:rsid w:val="00EE20DA"/>
    <w:rsid w:val="00EE26E2"/>
    <w:rsid w:val="00EE476E"/>
    <w:rsid w:val="00EF17E4"/>
    <w:rsid w:val="00EF1D52"/>
    <w:rsid w:val="00EF41B0"/>
    <w:rsid w:val="00EF7A2A"/>
    <w:rsid w:val="00F00145"/>
    <w:rsid w:val="00F03742"/>
    <w:rsid w:val="00F1388F"/>
    <w:rsid w:val="00F13AF3"/>
    <w:rsid w:val="00F13ED1"/>
    <w:rsid w:val="00F147F4"/>
    <w:rsid w:val="00F15660"/>
    <w:rsid w:val="00F15DCE"/>
    <w:rsid w:val="00F169A2"/>
    <w:rsid w:val="00F22F41"/>
    <w:rsid w:val="00F2457D"/>
    <w:rsid w:val="00F305D1"/>
    <w:rsid w:val="00F330BD"/>
    <w:rsid w:val="00F3319C"/>
    <w:rsid w:val="00F354B4"/>
    <w:rsid w:val="00F35B96"/>
    <w:rsid w:val="00F40E2A"/>
    <w:rsid w:val="00F414E6"/>
    <w:rsid w:val="00F42D92"/>
    <w:rsid w:val="00F4702E"/>
    <w:rsid w:val="00F5139C"/>
    <w:rsid w:val="00F52E71"/>
    <w:rsid w:val="00F56232"/>
    <w:rsid w:val="00F56960"/>
    <w:rsid w:val="00F621FB"/>
    <w:rsid w:val="00F63813"/>
    <w:rsid w:val="00F72A8A"/>
    <w:rsid w:val="00F7406F"/>
    <w:rsid w:val="00F74097"/>
    <w:rsid w:val="00F75F4C"/>
    <w:rsid w:val="00F80519"/>
    <w:rsid w:val="00F80927"/>
    <w:rsid w:val="00F82933"/>
    <w:rsid w:val="00F86374"/>
    <w:rsid w:val="00FA20DC"/>
    <w:rsid w:val="00FB71F4"/>
    <w:rsid w:val="00FC0DE9"/>
    <w:rsid w:val="00FC29F2"/>
    <w:rsid w:val="00FC32A9"/>
    <w:rsid w:val="00FC38D3"/>
    <w:rsid w:val="00FC6CCD"/>
    <w:rsid w:val="00FD0E32"/>
    <w:rsid w:val="00FD367C"/>
    <w:rsid w:val="00FD3843"/>
    <w:rsid w:val="00FD4482"/>
    <w:rsid w:val="00FD6149"/>
    <w:rsid w:val="00FD6639"/>
    <w:rsid w:val="00FD78BE"/>
    <w:rsid w:val="00FE254E"/>
    <w:rsid w:val="00FE2762"/>
    <w:rsid w:val="00FE43C9"/>
    <w:rsid w:val="00FE5622"/>
    <w:rsid w:val="00FE5C98"/>
    <w:rsid w:val="00FF4C2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oNotEmbedSmartTags/>
  <w:decimalSymbol w:val="."/>
  <w:listSeparator w:val=","/>
  <w14:docId w14:val="4A8D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MA_TextInBrackets"/>
    <w:next w:val="ACMABodyText"/>
    <w:qFormat/>
    <w:rsid w:val="00B07D45"/>
    <w:pPr>
      <w:spacing w:before="80" w:after="240" w:line="280" w:lineRule="atLeast"/>
    </w:pPr>
    <w:rPr>
      <w:rFonts w:ascii="Arial" w:hAnsi="Arial"/>
      <w:i/>
      <w:szCs w:val="24"/>
      <w:lang w:eastAsia="en-US"/>
    </w:rPr>
  </w:style>
  <w:style w:type="paragraph" w:styleId="Heading1">
    <w:name w:val="heading 1"/>
    <w:basedOn w:val="ACMAHeading1"/>
    <w:next w:val="ACMABodyText"/>
    <w:qFormat/>
    <w:rsid w:val="00B261EE"/>
    <w:pPr>
      <w:outlineLvl w:val="0"/>
    </w:pPr>
    <w:rPr>
      <w:rFonts w:cs="Arial"/>
      <w:bCs/>
      <w:szCs w:val="32"/>
    </w:rPr>
  </w:style>
  <w:style w:type="paragraph" w:styleId="Heading2">
    <w:name w:val="heading 2"/>
    <w:basedOn w:val="Normal"/>
    <w:next w:val="Normal"/>
    <w:link w:val="Heading2Char"/>
    <w:semiHidden/>
    <w:unhideWhenUsed/>
    <w:rsid w:val="00751159"/>
    <w:pPr>
      <w:keepNext/>
      <w:keepLines/>
      <w:spacing w:before="200" w:after="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_BodyText"/>
    <w:qFormat/>
    <w:rsid w:val="001C6546"/>
    <w:pPr>
      <w:suppressAutoHyphens/>
      <w:spacing w:after="240" w:line="240" w:lineRule="atLeast"/>
    </w:pPr>
    <w:rPr>
      <w:rFonts w:ascii="Arial" w:hAnsi="Arial"/>
      <w:snapToGrid w:val="0"/>
      <w:lang w:eastAsia="en-US"/>
    </w:rPr>
  </w:style>
  <w:style w:type="paragraph" w:customStyle="1" w:styleId="ACMAHeading1">
    <w:name w:val="ACMA_Heading1"/>
    <w:next w:val="ACMABodyText"/>
    <w:qFormat/>
    <w:rsid w:val="00211185"/>
    <w:pPr>
      <w:keepNext/>
      <w:suppressAutoHyphens/>
      <w:spacing w:before="1800" w:after="360"/>
      <w:outlineLvl w:val="1"/>
    </w:pPr>
    <w:rPr>
      <w:rFonts w:ascii="Arial" w:hAnsi="Arial"/>
      <w:b/>
      <w:sz w:val="36"/>
      <w:lang w:eastAsia="en-US"/>
    </w:rPr>
  </w:style>
  <w:style w:type="paragraph" w:styleId="FootnoteText">
    <w:name w:val="footnote text"/>
    <w:aliases w:val="ACMA_FootnoteText,ACMA Footnote Text,ACMA Footnote Text Char,ABA Footnote Text Char,ABA Footnote Text"/>
    <w:link w:val="FootnoteTextChar"/>
    <w:rsid w:val="0072120E"/>
    <w:pPr>
      <w:tabs>
        <w:tab w:val="left" w:pos="284"/>
      </w:tabs>
      <w:spacing w:after="40"/>
      <w:ind w:left="289" w:hanging="289"/>
    </w:pPr>
    <w:rPr>
      <w:rFonts w:ascii="Arial" w:hAnsi="Arial"/>
      <w:sz w:val="16"/>
      <w:lang w:eastAsia="en-US"/>
    </w:rPr>
  </w:style>
  <w:style w:type="character" w:customStyle="1" w:styleId="Heading2Char">
    <w:name w:val="Heading 2 Char"/>
    <w:basedOn w:val="DefaultParagraphFont"/>
    <w:link w:val="Heading2"/>
    <w:semiHidden/>
    <w:rsid w:val="00751159"/>
    <w:rPr>
      <w:rFonts w:ascii="Arial" w:eastAsiaTheme="majorEastAsia" w:hAnsi="Arial" w:cstheme="majorBidi"/>
      <w:b/>
      <w:bCs/>
      <w:i/>
      <w:sz w:val="26"/>
      <w:szCs w:val="26"/>
      <w:lang w:eastAsia="en-US"/>
    </w:rPr>
  </w:style>
  <w:style w:type="character" w:styleId="Hyperlink">
    <w:name w:val="Hyperlink"/>
    <w:basedOn w:val="DefaultParagraphFont"/>
    <w:rsid w:val="00B261EE"/>
    <w:rPr>
      <w:color w:val="0000FF"/>
      <w:u w:val="single"/>
    </w:rPr>
  </w:style>
  <w:style w:type="paragraph" w:customStyle="1" w:styleId="ACMABulletLevel1">
    <w:name w:val="ACMA_BulletLevel1"/>
    <w:qFormat/>
    <w:rsid w:val="001C6546"/>
    <w:pPr>
      <w:numPr>
        <w:numId w:val="1"/>
      </w:numPr>
      <w:spacing w:after="80" w:line="240" w:lineRule="atLeast"/>
    </w:pPr>
    <w:rPr>
      <w:rFonts w:ascii="Arial" w:hAnsi="Arial"/>
      <w:lang w:eastAsia="en-US"/>
    </w:rPr>
  </w:style>
  <w:style w:type="paragraph" w:styleId="BalloonText">
    <w:name w:val="Balloon Text"/>
    <w:basedOn w:val="Normal"/>
    <w:link w:val="BalloonTextChar"/>
    <w:semiHidden/>
    <w:unhideWhenUsed/>
    <w:rsid w:val="00647DD3"/>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647DD3"/>
    <w:rPr>
      <w:rFonts w:ascii="Lucida Grande" w:hAnsi="Lucida Grande" w:cs="Lucida Grande"/>
      <w:i/>
      <w:sz w:val="18"/>
      <w:szCs w:val="18"/>
      <w:lang w:eastAsia="en-US"/>
    </w:rPr>
  </w:style>
  <w:style w:type="paragraph" w:customStyle="1" w:styleId="ACMAFooter">
    <w:name w:val="ACMA_Footer"/>
    <w:qFormat/>
    <w:rsid w:val="00EF7A2A"/>
    <w:pPr>
      <w:pBdr>
        <w:top w:val="single" w:sz="2" w:space="4" w:color="auto"/>
      </w:pBdr>
      <w:tabs>
        <w:tab w:val="right" w:pos="8352"/>
      </w:tabs>
    </w:pPr>
    <w:rPr>
      <w:rFonts w:ascii="Arial" w:hAnsi="Arial"/>
      <w:lang w:eastAsia="en-US"/>
    </w:rPr>
  </w:style>
  <w:style w:type="paragraph" w:customStyle="1" w:styleId="ACMAHeading2">
    <w:name w:val="ACMA_Heading2"/>
    <w:next w:val="ACMABodyText"/>
    <w:qFormat/>
    <w:rsid w:val="008837B5"/>
    <w:pPr>
      <w:keepNext/>
      <w:suppressAutoHyphens/>
      <w:spacing w:before="360" w:after="120"/>
      <w:outlineLvl w:val="2"/>
    </w:pPr>
    <w:rPr>
      <w:rFonts w:ascii="Arial" w:hAnsi="Arial"/>
      <w:b/>
      <w:sz w:val="28"/>
      <w:lang w:eastAsia="en-US"/>
    </w:rPr>
  </w:style>
  <w:style w:type="paragraph" w:customStyle="1" w:styleId="ACMATableHeading">
    <w:name w:val="ACMA_TableHeading"/>
    <w:qFormat/>
    <w:rsid w:val="00B07D45"/>
    <w:pPr>
      <w:spacing w:before="40" w:after="40"/>
    </w:pPr>
    <w:rPr>
      <w:rFonts w:ascii="Arial" w:hAnsi="Arial"/>
      <w:b/>
      <w:lang w:eastAsia="en-US"/>
    </w:rPr>
  </w:style>
  <w:style w:type="paragraph" w:customStyle="1" w:styleId="ACMATableBody">
    <w:name w:val="ACMA_TableBody"/>
    <w:qFormat/>
    <w:rsid w:val="00B30A6C"/>
    <w:pPr>
      <w:spacing w:before="40" w:after="120"/>
    </w:pPr>
    <w:rPr>
      <w:rFonts w:ascii="Arial" w:hAnsi="Arial"/>
      <w:lang w:eastAsia="en-US"/>
    </w:rPr>
  </w:style>
  <w:style w:type="table" w:styleId="TableGrid">
    <w:name w:val="Table Grid"/>
    <w:aliases w:val="ACMA_Table"/>
    <w:basedOn w:val="TableNormal"/>
    <w:rsid w:val="00CF40D3"/>
    <w:pPr>
      <w:spacing w:before="240" w:after="120" w:line="280" w:lineRule="atLeast"/>
    </w:pPr>
    <w:rPr>
      <w:rFonts w:ascii="Arial" w:hAnsi="Arial"/>
    </w:rPr>
    <w:tblPr>
      <w:tblInd w:w="113" w:type="dxa"/>
      <w:tblBorders>
        <w:top w:val="single" w:sz="4" w:space="0" w:color="auto"/>
        <w:bottom w:val="single" w:sz="4" w:space="0" w:color="auto"/>
        <w:insideH w:val="single" w:sz="4" w:space="0" w:color="auto"/>
      </w:tblBorders>
    </w:tblPr>
    <w:tcPr>
      <w:shd w:val="clear" w:color="auto" w:fill="auto"/>
      <w:tcMar>
        <w:top w:w="28" w:type="dxa"/>
        <w:left w:w="85" w:type="dxa"/>
        <w:bottom w:w="28" w:type="dxa"/>
        <w:right w:w="85" w:type="dxa"/>
      </w:tcMar>
    </w:tcPr>
    <w:tblStylePr w:type="firstRow">
      <w:tblPr/>
      <w:tcPr>
        <w:tcBorders>
          <w:top w:val="nil"/>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nil"/>
          <w:insideH w:val="nil"/>
          <w:insideV w:val="nil"/>
          <w:tl2br w:val="nil"/>
          <w:tr2bl w:val="nil"/>
        </w:tcBorders>
        <w:shd w:val="clear" w:color="auto" w:fill="0C0C0C"/>
      </w:tcPr>
    </w:tblStylePr>
  </w:style>
  <w:style w:type="paragraph" w:customStyle="1" w:styleId="ACMAHeaderGraphicSpace">
    <w:name w:val="ACMA_HeaderGraphicSpace"/>
    <w:basedOn w:val="ACMABodyText"/>
    <w:qFormat/>
    <w:rsid w:val="00F56232"/>
  </w:style>
  <w:style w:type="paragraph" w:customStyle="1" w:styleId="ACMAInConfidence">
    <w:name w:val="ACMA_InConfidence"/>
    <w:basedOn w:val="Normal"/>
    <w:qFormat/>
    <w:rsid w:val="006E1969"/>
    <w:pPr>
      <w:jc w:val="center"/>
    </w:pPr>
    <w:rPr>
      <w:b/>
      <w:bCs/>
      <w:i w:val="0"/>
    </w:rPr>
  </w:style>
  <w:style w:type="paragraph" w:customStyle="1" w:styleId="ACMABodyForm">
    <w:name w:val="ACMA_BodyForm"/>
    <w:basedOn w:val="Normal"/>
    <w:qFormat/>
    <w:rsid w:val="00701E0D"/>
    <w:pPr>
      <w:spacing w:before="360" w:after="120" w:line="240" w:lineRule="atLeast"/>
    </w:pPr>
    <w:rPr>
      <w:i w:val="0"/>
    </w:rPr>
  </w:style>
  <w:style w:type="paragraph" w:customStyle="1" w:styleId="ACMAFormDescription">
    <w:name w:val="ACMA_FormDescription"/>
    <w:basedOn w:val="Normal"/>
    <w:qFormat/>
    <w:rsid w:val="00E829F9"/>
    <w:pPr>
      <w:spacing w:before="0"/>
      <w:jc w:val="center"/>
    </w:pPr>
    <w:rPr>
      <w:sz w:val="16"/>
    </w:rPr>
  </w:style>
  <w:style w:type="paragraph" w:customStyle="1" w:styleId="ACMABodyMoreSpaceAbove">
    <w:name w:val="ACMA_BodyMoreSpaceAbove"/>
    <w:basedOn w:val="ACMABodyText"/>
    <w:qFormat/>
    <w:rsid w:val="00F169A2"/>
    <w:pPr>
      <w:spacing w:before="360"/>
    </w:pPr>
  </w:style>
  <w:style w:type="character" w:styleId="Emphasis">
    <w:name w:val="Emphasis"/>
    <w:basedOn w:val="DefaultParagraphFont"/>
    <w:qFormat/>
    <w:rsid w:val="00B507BE"/>
    <w:rPr>
      <w:i/>
      <w:iCs/>
    </w:rPr>
  </w:style>
  <w:style w:type="character" w:styleId="Strong">
    <w:name w:val="Strong"/>
    <w:basedOn w:val="DefaultParagraphFont"/>
    <w:qFormat/>
    <w:rsid w:val="00AF056F"/>
    <w:rPr>
      <w:b/>
      <w:bCs/>
    </w:rPr>
  </w:style>
  <w:style w:type="character" w:customStyle="1" w:styleId="StrongUnderline">
    <w:name w:val="Strong Underline"/>
    <w:basedOn w:val="DefaultParagraphFont"/>
    <w:uiPriority w:val="1"/>
    <w:qFormat/>
    <w:rsid w:val="00187E47"/>
    <w:rPr>
      <w:b/>
      <w:u w:val="single"/>
    </w:rPr>
  </w:style>
  <w:style w:type="paragraph" w:customStyle="1" w:styleId="ACMADraftHeading1">
    <w:name w:val="ACMA_DraftHeading1"/>
    <w:qFormat/>
    <w:rsid w:val="00CF5EB3"/>
    <w:pPr>
      <w:spacing w:before="600" w:after="280"/>
      <w:jc w:val="center"/>
    </w:pPr>
    <w:rPr>
      <w:rFonts w:ascii="Arial" w:hAnsi="Arial"/>
      <w:b/>
      <w:sz w:val="36"/>
      <w:lang w:eastAsia="en-US"/>
    </w:rPr>
  </w:style>
  <w:style w:type="paragraph" w:customStyle="1" w:styleId="ACMATaglineFooter">
    <w:name w:val="ACMA_TaglineFooter"/>
    <w:basedOn w:val="Normal"/>
    <w:qFormat/>
    <w:rsid w:val="00F56232"/>
    <w:pPr>
      <w:spacing w:before="0"/>
    </w:pPr>
    <w:rPr>
      <w:noProof/>
      <w:lang w:val="en-US"/>
    </w:rPr>
  </w:style>
  <w:style w:type="paragraph" w:styleId="Footer">
    <w:name w:val="footer"/>
    <w:aliases w:val="ACMA_FooterTagline"/>
    <w:basedOn w:val="Normal"/>
    <w:link w:val="FooterChar"/>
    <w:unhideWhenUsed/>
    <w:qFormat/>
    <w:rsid w:val="00211185"/>
    <w:pPr>
      <w:tabs>
        <w:tab w:val="center" w:pos="4320"/>
        <w:tab w:val="right" w:pos="8640"/>
      </w:tabs>
      <w:spacing w:before="0" w:line="240" w:lineRule="auto"/>
    </w:pPr>
  </w:style>
  <w:style w:type="character" w:customStyle="1" w:styleId="FooterChar">
    <w:name w:val="Footer Char"/>
    <w:aliases w:val="ACMA_FooterTagline Char"/>
    <w:basedOn w:val="DefaultParagraphFont"/>
    <w:link w:val="Footer"/>
    <w:rsid w:val="00211185"/>
    <w:rPr>
      <w:rFonts w:ascii="Arial" w:hAnsi="Arial"/>
      <w:i/>
      <w:szCs w:val="24"/>
      <w:lang w:eastAsia="en-US"/>
    </w:rPr>
  </w:style>
  <w:style w:type="paragraph" w:styleId="NormalWeb">
    <w:name w:val="Normal (Web)"/>
    <w:basedOn w:val="Normal"/>
    <w:uiPriority w:val="99"/>
    <w:semiHidden/>
    <w:unhideWhenUsed/>
    <w:rsid w:val="00962A0A"/>
    <w:pPr>
      <w:spacing w:before="100" w:beforeAutospacing="1" w:after="100" w:afterAutospacing="1" w:line="240" w:lineRule="auto"/>
    </w:pPr>
    <w:rPr>
      <w:rFonts w:ascii="Times New Roman" w:eastAsiaTheme="minorEastAsia" w:hAnsi="Times New Roman"/>
      <w:i w:val="0"/>
      <w:sz w:val="24"/>
      <w:lang w:eastAsia="en-AU"/>
    </w:rPr>
  </w:style>
  <w:style w:type="paragraph" w:customStyle="1" w:styleId="ACMADraftWatermark">
    <w:name w:val="ACMA_DraftWatermark"/>
    <w:basedOn w:val="NormalWeb"/>
    <w:qFormat/>
    <w:rsid w:val="00962A0A"/>
    <w:pPr>
      <w:spacing w:before="0" w:beforeAutospacing="0" w:after="0" w:afterAutospacing="0"/>
      <w:jc w:val="center"/>
    </w:pPr>
    <w:rPr>
      <w:rFonts w:ascii="Arial" w:hAnsi="Arial"/>
      <w:color w:val="EAEAEA"/>
      <w:sz w:val="160"/>
      <w:szCs w:val="192"/>
    </w:rPr>
  </w:style>
  <w:style w:type="paragraph" w:customStyle="1" w:styleId="ACMAHeading1LessSpace">
    <w:name w:val="ACMA_Heading1(LessSpace)"/>
    <w:basedOn w:val="ACMAHeading1"/>
    <w:qFormat/>
    <w:rsid w:val="009B461B"/>
    <w:pPr>
      <w:spacing w:before="600"/>
    </w:pPr>
  </w:style>
  <w:style w:type="paragraph" w:customStyle="1" w:styleId="ACMABodyText0">
    <w:name w:val="ACMA Body Text"/>
    <w:link w:val="ACMABodyTextChar"/>
    <w:rsid w:val="00B30A6C"/>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0"/>
    <w:locked/>
    <w:rsid w:val="00B30A6C"/>
    <w:rPr>
      <w:snapToGrid w:val="0"/>
      <w:sz w:val="24"/>
      <w:lang w:eastAsia="en-US"/>
    </w:rPr>
  </w:style>
  <w:style w:type="character" w:styleId="CommentReference">
    <w:name w:val="annotation reference"/>
    <w:basedOn w:val="DefaultParagraphFont"/>
    <w:semiHidden/>
    <w:unhideWhenUsed/>
    <w:rsid w:val="00B30A6C"/>
    <w:rPr>
      <w:sz w:val="16"/>
      <w:szCs w:val="16"/>
    </w:rPr>
  </w:style>
  <w:style w:type="paragraph" w:styleId="CommentText">
    <w:name w:val="annotation text"/>
    <w:basedOn w:val="Normal"/>
    <w:link w:val="CommentTextChar"/>
    <w:unhideWhenUsed/>
    <w:rsid w:val="00B30A6C"/>
    <w:pPr>
      <w:spacing w:line="240" w:lineRule="auto"/>
    </w:pPr>
    <w:rPr>
      <w:szCs w:val="20"/>
    </w:rPr>
  </w:style>
  <w:style w:type="character" w:customStyle="1" w:styleId="CommentTextChar">
    <w:name w:val="Comment Text Char"/>
    <w:basedOn w:val="DefaultParagraphFont"/>
    <w:link w:val="CommentText"/>
    <w:rsid w:val="00B30A6C"/>
    <w:rPr>
      <w:rFonts w:ascii="Arial" w:hAnsi="Arial"/>
      <w:i/>
      <w:lang w:eastAsia="en-US"/>
    </w:rPr>
  </w:style>
  <w:style w:type="paragraph" w:styleId="CommentSubject">
    <w:name w:val="annotation subject"/>
    <w:basedOn w:val="CommentText"/>
    <w:next w:val="CommentText"/>
    <w:link w:val="CommentSubjectChar"/>
    <w:semiHidden/>
    <w:unhideWhenUsed/>
    <w:rsid w:val="00B30A6C"/>
    <w:rPr>
      <w:b/>
      <w:bCs/>
    </w:rPr>
  </w:style>
  <w:style w:type="character" w:customStyle="1" w:styleId="CommentSubjectChar">
    <w:name w:val="Comment Subject Char"/>
    <w:basedOn w:val="CommentTextChar"/>
    <w:link w:val="CommentSubject"/>
    <w:semiHidden/>
    <w:rsid w:val="00B30A6C"/>
    <w:rPr>
      <w:rFonts w:ascii="Arial" w:hAnsi="Arial"/>
      <w:b/>
      <w:bCs/>
      <w:i/>
      <w:lang w:eastAsia="en-US"/>
    </w:rPr>
  </w:style>
  <w:style w:type="paragraph" w:customStyle="1" w:styleId="ACMATableText">
    <w:name w:val="ACMA Table Text"/>
    <w:rsid w:val="00B30A6C"/>
    <w:pPr>
      <w:spacing w:before="40" w:after="40"/>
    </w:pPr>
    <w:rPr>
      <w:rFonts w:ascii="Arial" w:hAnsi="Arial"/>
      <w:lang w:eastAsia="en-US"/>
    </w:rPr>
  </w:style>
  <w:style w:type="paragraph" w:customStyle="1" w:styleId="ACMABulletLevel10">
    <w:name w:val="ACMA Bullet Level 1"/>
    <w:rsid w:val="00B30A6C"/>
    <w:pPr>
      <w:tabs>
        <w:tab w:val="num" w:pos="360"/>
      </w:tabs>
      <w:ind w:left="360" w:hanging="360"/>
    </w:pPr>
    <w:rPr>
      <w:sz w:val="24"/>
      <w:lang w:eastAsia="en-US"/>
    </w:rPr>
  </w:style>
  <w:style w:type="paragraph" w:styleId="Header">
    <w:name w:val="header"/>
    <w:basedOn w:val="Normal"/>
    <w:link w:val="HeaderChar"/>
    <w:unhideWhenUsed/>
    <w:rsid w:val="00B30A6C"/>
    <w:pPr>
      <w:tabs>
        <w:tab w:val="center" w:pos="4513"/>
        <w:tab w:val="right" w:pos="9026"/>
      </w:tabs>
      <w:spacing w:before="0" w:after="0" w:line="240" w:lineRule="auto"/>
    </w:pPr>
  </w:style>
  <w:style w:type="character" w:customStyle="1" w:styleId="HeaderChar">
    <w:name w:val="Header Char"/>
    <w:basedOn w:val="DefaultParagraphFont"/>
    <w:link w:val="Header"/>
    <w:rsid w:val="00B30A6C"/>
    <w:rPr>
      <w:rFonts w:ascii="Arial" w:hAnsi="Arial"/>
      <w:i/>
      <w:szCs w:val="24"/>
      <w:lang w:eastAsia="en-US"/>
    </w:rPr>
  </w:style>
  <w:style w:type="paragraph" w:customStyle="1" w:styleId="ACMAHeading10">
    <w:name w:val="ACMA Heading 1"/>
    <w:next w:val="ACMABodyText0"/>
    <w:rsid w:val="00B30A6C"/>
    <w:pPr>
      <w:keepNext/>
      <w:suppressAutoHyphens/>
      <w:spacing w:before="320"/>
      <w:outlineLvl w:val="1"/>
    </w:pPr>
    <w:rPr>
      <w:rFonts w:ascii="Arial" w:hAnsi="Arial"/>
      <w:b/>
      <w:sz w:val="36"/>
      <w:lang w:eastAsia="en-US"/>
    </w:rPr>
  </w:style>
  <w:style w:type="paragraph" w:customStyle="1" w:styleId="ACMAHeading20">
    <w:name w:val="ACMA Heading 2"/>
    <w:next w:val="ACMABodyText0"/>
    <w:rsid w:val="001C6546"/>
    <w:pPr>
      <w:keepNext/>
      <w:suppressAutoHyphens/>
      <w:spacing w:before="240"/>
      <w:outlineLvl w:val="2"/>
    </w:pPr>
    <w:rPr>
      <w:rFonts w:ascii="Arial" w:hAnsi="Arial"/>
      <w:b/>
      <w:sz w:val="28"/>
      <w:lang w:eastAsia="en-US"/>
    </w:rPr>
  </w:style>
  <w:style w:type="character" w:styleId="FootnoteReference">
    <w:name w:val="footnote reference"/>
    <w:aliases w:val="(NECG) Footnote Reference,(NECG) Footnote Reference1,(NECG) Footnote Reference2,o"/>
    <w:basedOn w:val="DefaultParagraphFont"/>
    <w:rsid w:val="001C6546"/>
    <w:rPr>
      <w:vertAlign w:val="superscript"/>
    </w:rPr>
  </w:style>
  <w:style w:type="character" w:customStyle="1" w:styleId="FootnoteTextChar">
    <w:name w:val="Footnote Text Char"/>
    <w:aliases w:val="ACMA_FootnoteText Char,ACMA Footnote Text Char1,ACMA Footnote Text Char Char,ABA Footnote Text Char Char,ABA Footnote Text Char1"/>
    <w:basedOn w:val="DefaultParagraphFont"/>
    <w:link w:val="FootnoteText"/>
    <w:rsid w:val="0072120E"/>
    <w:rPr>
      <w:rFonts w:ascii="Arial" w:hAnsi="Arial"/>
      <w:sz w:val="16"/>
      <w:lang w:eastAsia="en-US"/>
    </w:rPr>
  </w:style>
  <w:style w:type="paragraph" w:customStyle="1" w:styleId="ACMAQuoteindented">
    <w:name w:val="ACMA_Quote indented"/>
    <w:basedOn w:val="ACMABodyText"/>
    <w:qFormat/>
    <w:rsid w:val="0072120E"/>
    <w:pPr>
      <w:ind w:left="567"/>
    </w:pPr>
    <w:rPr>
      <w:rFonts w:cs="Arial"/>
      <w:sz w:val="18"/>
    </w:rPr>
  </w:style>
  <w:style w:type="paragraph" w:customStyle="1" w:styleId="ACMAHeading3">
    <w:name w:val="ACMA_Heading3"/>
    <w:basedOn w:val="ACMAHeading20"/>
    <w:qFormat/>
    <w:rsid w:val="0072120E"/>
    <w:rPr>
      <w:rFonts w:cs="Arial"/>
      <w:sz w:val="24"/>
    </w:rPr>
  </w:style>
  <w:style w:type="paragraph" w:customStyle="1" w:styleId="ACMABulletLevel112pointsunder">
    <w:name w:val="ACMA_BulletLevel1_12pointsunder"/>
    <w:basedOn w:val="ACMABulletLevel1"/>
    <w:qFormat/>
    <w:rsid w:val="0072120E"/>
    <w:pPr>
      <w:spacing w:after="240"/>
    </w:pPr>
  </w:style>
  <w:style w:type="paragraph" w:customStyle="1" w:styleId="ACMABodyTextBold">
    <w:name w:val="ACMA_BodyTextBold"/>
    <w:basedOn w:val="ACMABodyText"/>
    <w:qFormat/>
    <w:rsid w:val="006A02B1"/>
    <w:pPr>
      <w:spacing w:line="240" w:lineRule="auto"/>
    </w:pPr>
    <w:rPr>
      <w:rFonts w:cs="Arial"/>
      <w:b/>
    </w:rPr>
  </w:style>
  <w:style w:type="paragraph" w:customStyle="1" w:styleId="ACMABulletLevel2">
    <w:name w:val="ACMA_BulletLevel2"/>
    <w:basedOn w:val="ACMABulletLevel1"/>
    <w:qFormat/>
    <w:rsid w:val="006A02B1"/>
    <w:pPr>
      <w:numPr>
        <w:ilvl w:val="1"/>
        <w:numId w:val="5"/>
      </w:numPr>
      <w:ind w:left="851" w:hanging="425"/>
    </w:pPr>
    <w:rPr>
      <w:rFonts w:cs="Arial"/>
    </w:rPr>
  </w:style>
  <w:style w:type="paragraph" w:customStyle="1" w:styleId="ACMAFooterEven">
    <w:name w:val="ACMA Footer (Even)"/>
    <w:rsid w:val="006A02B1"/>
    <w:pPr>
      <w:pBdr>
        <w:top w:val="single" w:sz="2" w:space="4" w:color="auto"/>
      </w:pBdr>
      <w:tabs>
        <w:tab w:val="right" w:pos="8352"/>
      </w:tabs>
      <w:ind w:left="288" w:hanging="288"/>
    </w:pPr>
    <w:rPr>
      <w:rFonts w:ascii="Arial" w:hAnsi="Arial"/>
      <w:lang w:eastAsia="en-US"/>
    </w:rPr>
  </w:style>
  <w:style w:type="paragraph" w:styleId="Revision">
    <w:name w:val="Revision"/>
    <w:hidden/>
    <w:uiPriority w:val="99"/>
    <w:semiHidden/>
    <w:rsid w:val="00605E62"/>
    <w:rPr>
      <w:rFonts w:ascii="Arial" w:hAnsi="Arial"/>
      <w:i/>
      <w:szCs w:val="24"/>
      <w:lang w:eastAsia="en-US"/>
    </w:rPr>
  </w:style>
  <w:style w:type="character" w:styleId="FollowedHyperlink">
    <w:name w:val="FollowedHyperlink"/>
    <w:basedOn w:val="DefaultParagraphFont"/>
    <w:semiHidden/>
    <w:unhideWhenUsed/>
    <w:rsid w:val="00844F3E"/>
    <w:rPr>
      <w:color w:val="800080" w:themeColor="followedHyperlink"/>
      <w:u w:val="single"/>
    </w:rPr>
  </w:style>
  <w:style w:type="paragraph" w:customStyle="1" w:styleId="ABABodyText">
    <w:name w:val="ABA Body Text"/>
    <w:rsid w:val="008971BB"/>
    <w:pPr>
      <w:suppressAutoHyphens/>
      <w:spacing w:before="80" w:after="120" w:line="280" w:lineRule="atLeast"/>
    </w:pPr>
    <w:rPr>
      <w:snapToGrid w:val="0"/>
      <w:sz w:val="24"/>
      <w:lang w:eastAsia="en-US"/>
    </w:rPr>
  </w:style>
  <w:style w:type="character" w:styleId="UnresolvedMention">
    <w:name w:val="Unresolved Mention"/>
    <w:basedOn w:val="DefaultParagraphFont"/>
    <w:uiPriority w:val="99"/>
    <w:semiHidden/>
    <w:unhideWhenUsed/>
    <w:rsid w:val="008971BB"/>
    <w:rPr>
      <w:color w:val="605E5C"/>
      <w:shd w:val="clear" w:color="auto" w:fill="E1DFDD"/>
    </w:rPr>
  </w:style>
  <w:style w:type="paragraph" w:customStyle="1" w:styleId="Default">
    <w:name w:val="Default"/>
    <w:rsid w:val="00B507B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register.oric.gov.au/document.aspx?concernID=10271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or File Note" ma:contentTypeID="0x0101001974985E28F7B244AE320DC93E850309" ma:contentTypeVersion="2" ma:contentTypeDescription="Create a new document." ma:contentTypeScope="" ma:versionID="2a7bb8ed5b823fbb58379415a1842ccf">
  <xsd:schema xmlns:xsd="http://www.w3.org/2001/XMLSchema" xmlns:xs="http://www.w3.org/2001/XMLSchema" xmlns:p="http://schemas.microsoft.com/office/2006/metadata/properties" xmlns:ns2="ed7d9cf6-3f11-49f0-89bc-89075fac8e8a" targetNamespace="http://schemas.microsoft.com/office/2006/metadata/properties" ma:root="true" ma:fieldsID="07a8efbf355be0307fd2aba77f26db01" ns2:_="">
    <xsd:import namespace="ed7d9cf6-3f11-49f0-89bc-89075fac8e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d9cf6-3f11-49f0-89bc-89075fac8e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0BA2-6176-43E6-9F59-E49FB2AE49F7}">
  <ds:schemaRefs>
    <ds:schemaRef ds:uri="http://schemas.microsoft.com/sharepoint/v3/contenttype/forms"/>
  </ds:schemaRefs>
</ds:datastoreItem>
</file>

<file path=customXml/itemProps2.xml><?xml version="1.0" encoding="utf-8"?>
<ds:datastoreItem xmlns:ds="http://schemas.openxmlformats.org/officeDocument/2006/customXml" ds:itemID="{94662E6F-C572-4F05-964C-2E3088458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d9cf6-3f11-49f0-89bc-89075fac8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E92129-3C68-4665-BCBB-3B8FAA4F3E83}">
  <ds:schemaRefs>
    <ds:schemaRef ds:uri="ed7d9cf6-3f11-49f0-89bc-89075fac8e8a"/>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97B06BA-141F-4EF3-9985-89BBFA57F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3020</Words>
  <Characters>17219</Characters>
  <Application>Microsoft Office Word</Application>
  <DocSecurity>8</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20199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2019-04-01T23:09:00Z</dcterms:created>
  <dcterms:modified xsi:type="dcterms:W3CDTF">2019-05-26T23:07:00Z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0x0101001974985E28F7B244AE320DC93E850309</vt:lpwstr>
  </property>
</Properties>
</file>