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57E" w:rsidRPr="00446B51" w:rsidRDefault="00D60980" w:rsidP="00656029">
      <w:pPr>
        <w:pStyle w:val="Titletype"/>
        <w:tabs>
          <w:tab w:val="left" w:pos="1843"/>
        </w:tabs>
        <w:ind w:right="-397"/>
      </w:pPr>
      <w:bookmarkStart w:id="0" w:name="_GoBack"/>
      <w:bookmarkEnd w:id="0"/>
      <w:r w:rsidRPr="00230135">
        <w:rPr>
          <w:noProof/>
          <w:lang w:val="en-AU" w:eastAsia="en-AU"/>
        </w:rPr>
        <w:drawing>
          <wp:anchor distT="0" distB="0" distL="114300" distR="114300" simplePos="0" relativeHeight="251658240" behindDoc="0" locked="0" layoutInCell="1" allowOverlap="1" wp14:anchorId="78030012" wp14:editId="11949FFB">
            <wp:simplePos x="0" y="0"/>
            <wp:positionH relativeFrom="page">
              <wp:posOffset>0</wp:posOffset>
            </wp:positionH>
            <wp:positionV relativeFrom="page">
              <wp:posOffset>15875</wp:posOffset>
            </wp:positionV>
            <wp:extent cx="3722400" cy="1069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ects\EG011\WP\EG011041\Report covers\WordPrintA4AM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24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457E" w:rsidRPr="001B0105">
        <w:t>Report for</w:t>
      </w:r>
      <w:r w:rsidR="006F3143" w:rsidRPr="00446B51">
        <w:t xml:space="preserve"> the Australian Communications and Media Authority</w:t>
      </w:r>
    </w:p>
    <w:p w:rsidR="0086457E" w:rsidRPr="001B0105" w:rsidRDefault="00CC4117" w:rsidP="00604D6A">
      <w:pPr>
        <w:pStyle w:val="Titlemain"/>
      </w:pPr>
      <w:r w:rsidRPr="009040CB">
        <w:t>Research study on spectrum</w:t>
      </w:r>
      <w:r w:rsidR="00813FB1" w:rsidRPr="00882B52">
        <w:t>-</w:t>
      </w:r>
      <w:r w:rsidRPr="00882B52">
        <w:t>management mechanisms</w:t>
      </w:r>
      <w:r w:rsidR="00B17AC2" w:rsidRPr="001B0105">
        <w:t xml:space="preserve"> </w:t>
      </w:r>
      <w:r w:rsidR="006F3143" w:rsidRPr="001B0105">
        <w:t xml:space="preserve">– </w:t>
      </w:r>
      <w:r w:rsidR="002B75CE" w:rsidRPr="006579D7">
        <w:rPr>
          <w:i/>
        </w:rPr>
        <w:t>overall summary of findings</w:t>
      </w:r>
    </w:p>
    <w:p w:rsidR="00334F73" w:rsidRPr="001B0105" w:rsidRDefault="00347581" w:rsidP="0071675F">
      <w:pPr>
        <w:pStyle w:val="Titledate"/>
      </w:pPr>
      <w:r>
        <w:t>June</w:t>
      </w:r>
      <w:r w:rsidR="006F3143" w:rsidRPr="001B0105">
        <w:t xml:space="preserve"> 2017</w:t>
      </w:r>
    </w:p>
    <w:p w:rsidR="0086457E" w:rsidRPr="001B0105" w:rsidRDefault="006F3143" w:rsidP="0071675F">
      <w:pPr>
        <w:pStyle w:val="Titleauthor"/>
      </w:pPr>
      <w:r w:rsidRPr="001B0105">
        <w:t>Philip Bates, Janette Stewart and Lisa Scott</w:t>
      </w:r>
      <w:r w:rsidR="00147094" w:rsidRPr="001B0105">
        <w:t xml:space="preserve"> </w:t>
      </w:r>
      <w:r w:rsidRPr="001B0105">
        <w:t>of Analysys Mason and Professor Martin Cave</w:t>
      </w:r>
      <w:r w:rsidR="00CC4117" w:rsidRPr="001B0105">
        <w:t xml:space="preserve"> of</w:t>
      </w:r>
      <w:r w:rsidR="003E03F6" w:rsidRPr="001B0105">
        <w:t xml:space="preserve"> </w:t>
      </w:r>
      <w:r w:rsidR="00606A1B" w:rsidRPr="001B0105">
        <w:t xml:space="preserve">Imperial College Business School and </w:t>
      </w:r>
      <w:r w:rsidR="00CC4117" w:rsidRPr="001B0105">
        <w:t xml:space="preserve">the </w:t>
      </w:r>
      <w:r w:rsidR="00606A1B" w:rsidRPr="001B0105">
        <w:t>Centre on Regulation in</w:t>
      </w:r>
      <w:r w:rsidR="00606A1B" w:rsidRPr="006579D7">
        <w:t xml:space="preserve"> </w:t>
      </w:r>
      <w:r w:rsidR="00606A1B" w:rsidRPr="001B0105">
        <w:t>Europe</w:t>
      </w:r>
    </w:p>
    <w:p w:rsidR="0086457E" w:rsidRPr="001B0105" w:rsidRDefault="00875543" w:rsidP="0071675F">
      <w:pPr>
        <w:pStyle w:val="TitleRefNo"/>
      </w:pPr>
      <w:r w:rsidRPr="001B0105">
        <w:t xml:space="preserve">Ref: </w:t>
      </w:r>
      <w:r w:rsidR="006579D7">
        <w:t>2009975-233</w:t>
      </w:r>
    </w:p>
    <w:p w:rsidR="00C64CB7" w:rsidRPr="001B0105" w:rsidRDefault="00A814DA" w:rsidP="000B7219">
      <w:pPr>
        <w:pStyle w:val="ConfidentialFront"/>
      </w:pPr>
      <w:r w:rsidRPr="00446B51">
        <w:fldChar w:fldCharType="begin"/>
      </w:r>
      <w:r w:rsidRPr="001B0105">
        <w:instrText xml:space="preserve"> DOCPROPERTY "Descriptor" \* MERGEFORMAT </w:instrText>
      </w:r>
      <w:r w:rsidRPr="00446B51">
        <w:fldChar w:fldCharType="separate"/>
      </w:r>
      <w:r w:rsidR="00C605A8">
        <w:t>.</w:t>
      </w:r>
      <w:r w:rsidRPr="00446B51">
        <w:fldChar w:fldCharType="end"/>
      </w:r>
    </w:p>
    <w:p w:rsidR="0086457E" w:rsidRPr="001B0105" w:rsidRDefault="0086457E" w:rsidP="000B7219">
      <w:pPr>
        <w:pStyle w:val="01"/>
        <w:ind w:left="5103" w:right="-397"/>
        <w:sectPr w:rsidR="0086457E" w:rsidRPr="001B0105" w:rsidSect="00507D29">
          <w:footerReference w:type="default" r:id="rId13"/>
          <w:pgSz w:w="11907" w:h="16840" w:code="9"/>
          <w:pgMar w:top="1418" w:right="1588" w:bottom="1418" w:left="1588" w:header="567" w:footer="567" w:gutter="0"/>
          <w:pgNumType w:fmt="lowerRoman" w:start="1"/>
          <w:cols w:space="720"/>
          <w:titlePg/>
          <w:docGrid w:linePitch="299"/>
        </w:sectPr>
      </w:pPr>
    </w:p>
    <w:p w:rsidR="0086457E" w:rsidRPr="001B0105" w:rsidRDefault="0086457E" w:rsidP="0086457E">
      <w:pPr>
        <w:pStyle w:val="Contentsheading"/>
      </w:pPr>
      <w:r w:rsidRPr="001B0105">
        <w:lastRenderedPageBreak/>
        <w:t>Contents</w:t>
      </w:r>
    </w:p>
    <w:p w:rsidR="00DD5B32" w:rsidRDefault="00DF3B88">
      <w:pPr>
        <w:pStyle w:val="TOC2"/>
        <w:rPr>
          <w:rFonts w:asciiTheme="minorHAnsi" w:eastAsiaTheme="minorEastAsia" w:hAnsiTheme="minorHAnsi"/>
          <w:lang w:eastAsia="en-GB"/>
        </w:rPr>
      </w:pPr>
      <w:r w:rsidRPr="001B0105">
        <w:fldChar w:fldCharType="begin"/>
      </w:r>
      <w:r w:rsidRPr="001B0105">
        <w:instrText xml:space="preserve"> TOC \t " Heading 2,2" </w:instrText>
      </w:r>
      <w:r w:rsidRPr="001B0105">
        <w:fldChar w:fldCharType="separate"/>
      </w:r>
      <w:r w:rsidR="00DD5B32">
        <w:t>1</w:t>
      </w:r>
      <w:r w:rsidR="00DD5B32">
        <w:rPr>
          <w:rFonts w:asciiTheme="minorHAnsi" w:eastAsiaTheme="minorEastAsia" w:hAnsiTheme="minorHAnsi"/>
          <w:lang w:eastAsia="en-GB"/>
        </w:rPr>
        <w:tab/>
      </w:r>
      <w:r w:rsidR="00DD5B32">
        <w:t>Background to the study</w:t>
      </w:r>
      <w:r w:rsidR="00DD5B32">
        <w:tab/>
      </w:r>
      <w:r w:rsidR="00DD5B32">
        <w:fldChar w:fldCharType="begin"/>
      </w:r>
      <w:r w:rsidR="00DD5B32">
        <w:instrText xml:space="preserve"> PAGEREF _Toc485117357 \h </w:instrText>
      </w:r>
      <w:r w:rsidR="00DD5B32">
        <w:fldChar w:fldCharType="separate"/>
      </w:r>
      <w:r w:rsidR="00DD5B32">
        <w:t>1</w:t>
      </w:r>
      <w:r w:rsidR="00DD5B32">
        <w:fldChar w:fldCharType="end"/>
      </w:r>
    </w:p>
    <w:p w:rsidR="00DD5B32" w:rsidRDefault="00DD5B32">
      <w:pPr>
        <w:pStyle w:val="TOC2"/>
        <w:rPr>
          <w:rFonts w:asciiTheme="minorHAnsi" w:eastAsiaTheme="minorEastAsia" w:hAnsiTheme="minorHAnsi"/>
          <w:lang w:eastAsia="en-GB"/>
        </w:rPr>
      </w:pPr>
      <w:r>
        <w:t>2</w:t>
      </w:r>
      <w:r>
        <w:rPr>
          <w:rFonts w:asciiTheme="minorHAnsi" w:eastAsiaTheme="minorEastAsia" w:hAnsiTheme="minorHAnsi"/>
          <w:lang w:eastAsia="en-GB"/>
        </w:rPr>
        <w:tab/>
      </w:r>
      <w:r>
        <w:t>International best practice in spectrum management</w:t>
      </w:r>
      <w:r>
        <w:tab/>
      </w:r>
      <w:r>
        <w:fldChar w:fldCharType="begin"/>
      </w:r>
      <w:r>
        <w:instrText xml:space="preserve"> PAGEREF _Toc485117358 \h </w:instrText>
      </w:r>
      <w:r>
        <w:fldChar w:fldCharType="separate"/>
      </w:r>
      <w:r>
        <w:t>2</w:t>
      </w:r>
      <w:r>
        <w:fldChar w:fldCharType="end"/>
      </w:r>
    </w:p>
    <w:p w:rsidR="00DD5B32" w:rsidRDefault="00DD5B32">
      <w:pPr>
        <w:pStyle w:val="TOC2"/>
        <w:rPr>
          <w:rFonts w:asciiTheme="minorHAnsi" w:eastAsiaTheme="minorEastAsia" w:hAnsiTheme="minorHAnsi"/>
          <w:lang w:eastAsia="en-GB"/>
        </w:rPr>
      </w:pPr>
      <w:r>
        <w:t>3</w:t>
      </w:r>
      <w:r>
        <w:rPr>
          <w:rFonts w:asciiTheme="minorHAnsi" w:eastAsiaTheme="minorEastAsia" w:hAnsiTheme="minorHAnsi"/>
          <w:lang w:eastAsia="en-GB"/>
        </w:rPr>
        <w:tab/>
      </w:r>
      <w:r>
        <w:t>Identification of spectrum-management approaches for Australia</w:t>
      </w:r>
      <w:r>
        <w:tab/>
      </w:r>
      <w:r>
        <w:fldChar w:fldCharType="begin"/>
      </w:r>
      <w:r>
        <w:instrText xml:space="preserve"> PAGEREF _Toc485117359 \h </w:instrText>
      </w:r>
      <w:r>
        <w:fldChar w:fldCharType="separate"/>
      </w:r>
      <w:r>
        <w:t>9</w:t>
      </w:r>
      <w:r>
        <w:fldChar w:fldCharType="end"/>
      </w:r>
    </w:p>
    <w:p w:rsidR="00DD5B32" w:rsidRDefault="00DD5B32">
      <w:pPr>
        <w:pStyle w:val="TOC2"/>
        <w:rPr>
          <w:rFonts w:asciiTheme="minorHAnsi" w:eastAsiaTheme="minorEastAsia" w:hAnsiTheme="minorHAnsi"/>
          <w:lang w:eastAsia="en-GB"/>
        </w:rPr>
      </w:pPr>
      <w:r>
        <w:t>4</w:t>
      </w:r>
      <w:r>
        <w:rPr>
          <w:rFonts w:asciiTheme="minorHAnsi" w:eastAsiaTheme="minorEastAsia" w:hAnsiTheme="minorHAnsi"/>
          <w:lang w:eastAsia="en-GB"/>
        </w:rPr>
        <w:tab/>
      </w:r>
      <w:r>
        <w:t>Prioritisation of approaches for the Australian market</w:t>
      </w:r>
      <w:r>
        <w:tab/>
      </w:r>
      <w:r>
        <w:fldChar w:fldCharType="begin"/>
      </w:r>
      <w:r>
        <w:instrText xml:space="preserve"> PAGEREF _Toc485117360 \h </w:instrText>
      </w:r>
      <w:r>
        <w:fldChar w:fldCharType="separate"/>
      </w:r>
      <w:r>
        <w:t>11</w:t>
      </w:r>
      <w:r>
        <w:fldChar w:fldCharType="end"/>
      </w:r>
    </w:p>
    <w:p w:rsidR="00DD5B32" w:rsidRDefault="00DD5B32">
      <w:pPr>
        <w:pStyle w:val="TOC2"/>
        <w:rPr>
          <w:rFonts w:asciiTheme="minorHAnsi" w:eastAsiaTheme="minorEastAsia" w:hAnsiTheme="minorHAnsi"/>
          <w:lang w:eastAsia="en-GB"/>
        </w:rPr>
      </w:pPr>
      <w:r>
        <w:t>5</w:t>
      </w:r>
      <w:r>
        <w:rPr>
          <w:rFonts w:asciiTheme="minorHAnsi" w:eastAsiaTheme="minorEastAsia" w:hAnsiTheme="minorHAnsi"/>
          <w:lang w:eastAsia="en-GB"/>
        </w:rPr>
        <w:tab/>
      </w:r>
      <w:r>
        <w:t>Recommended next steps for the ACMA</w:t>
      </w:r>
      <w:r>
        <w:tab/>
      </w:r>
      <w:r>
        <w:fldChar w:fldCharType="begin"/>
      </w:r>
      <w:r>
        <w:instrText xml:space="preserve"> PAGEREF _Toc485117361 \h </w:instrText>
      </w:r>
      <w:r>
        <w:fldChar w:fldCharType="separate"/>
      </w:r>
      <w:r>
        <w:t>13</w:t>
      </w:r>
      <w:r>
        <w:fldChar w:fldCharType="end"/>
      </w:r>
    </w:p>
    <w:p w:rsidR="00DF3B88" w:rsidRPr="001B0105" w:rsidRDefault="00DF3B88" w:rsidP="00AE459E">
      <w:pPr>
        <w:pStyle w:val="TOC1"/>
        <w:tabs>
          <w:tab w:val="left" w:pos="960"/>
        </w:tabs>
      </w:pPr>
      <w:r w:rsidRPr="001B0105">
        <w:fldChar w:fldCharType="end"/>
      </w:r>
    </w:p>
    <w:p w:rsidR="000A0B66" w:rsidRPr="00446B51" w:rsidRDefault="000A0B66" w:rsidP="000A0B66"/>
    <w:p w:rsidR="000A0B66" w:rsidRPr="00446B51" w:rsidRDefault="000A0B66">
      <w:pPr>
        <w:spacing w:after="200" w:line="0" w:lineRule="auto"/>
        <w:jc w:val="left"/>
      </w:pPr>
      <w:r w:rsidRPr="00446B51">
        <w:br w:type="page"/>
      </w:r>
    </w:p>
    <w:p w:rsidR="000A0B66" w:rsidRPr="001B0105" w:rsidRDefault="000A0B66" w:rsidP="006F2B32">
      <w:pPr>
        <w:pStyle w:val="Emphasised"/>
        <w:pBdr>
          <w:top w:val="single" w:sz="2" w:space="2" w:color="auto"/>
          <w:bottom w:val="single" w:sz="2" w:space="5" w:color="auto"/>
        </w:pBdr>
        <w:shd w:val="clear" w:color="auto" w:fill="auto"/>
        <w:ind w:left="284" w:right="284"/>
      </w:pPr>
      <w:r w:rsidRPr="00446B51">
        <w:lastRenderedPageBreak/>
        <w:t xml:space="preserve">Copyright © </w:t>
      </w:r>
      <w:r w:rsidRPr="00446B51">
        <w:fldChar w:fldCharType="begin"/>
      </w:r>
      <w:r w:rsidRPr="001B0105">
        <w:instrText xml:space="preserve"> CREATEDATE \@ "yyyy" \* MERGEFORMAT </w:instrText>
      </w:r>
      <w:r w:rsidRPr="00446B51">
        <w:fldChar w:fldCharType="separate"/>
      </w:r>
      <w:r w:rsidR="00C605A8">
        <w:rPr>
          <w:noProof/>
        </w:rPr>
        <w:t>2017</w:t>
      </w:r>
      <w:r w:rsidRPr="00446B51">
        <w:fldChar w:fldCharType="end"/>
      </w:r>
      <w:r w:rsidRPr="001B0105">
        <w:t>. Analysys Mason Limited has produced the in</w:t>
      </w:r>
      <w:r w:rsidR="003E03F6" w:rsidRPr="00446B51">
        <w:t xml:space="preserve">formation contained herein for the </w:t>
      </w:r>
      <w:r w:rsidR="00CC4117" w:rsidRPr="009040CB">
        <w:t>Australian Communications and Media Authority (</w:t>
      </w:r>
      <w:r w:rsidR="003E03F6" w:rsidRPr="00882B52">
        <w:t>ACMA</w:t>
      </w:r>
      <w:r w:rsidR="00CC4117" w:rsidRPr="00882B52">
        <w:t>)</w:t>
      </w:r>
      <w:r w:rsidRPr="00882B52">
        <w:t>. The ownership, use and disclosure of this information are subject to the Commercial Terms contained in the contract between Analysys</w:t>
      </w:r>
      <w:r w:rsidR="003E03F6" w:rsidRPr="001B0105">
        <w:t xml:space="preserve"> Mason Limited and the ACMA</w:t>
      </w:r>
      <w:r w:rsidRPr="001B0105">
        <w:t>.</w:t>
      </w:r>
    </w:p>
    <w:p w:rsidR="006F3143" w:rsidRPr="001B0105" w:rsidRDefault="006F3143" w:rsidP="0080489E">
      <w:pPr>
        <w:pStyle w:val="Titleaddress"/>
      </w:pPr>
      <w:r w:rsidRPr="001B0105">
        <w:t>Analysys Mason Limited</w:t>
      </w:r>
    </w:p>
    <w:p w:rsidR="006F3143" w:rsidRPr="001B0105" w:rsidRDefault="006F3143" w:rsidP="0080489E">
      <w:pPr>
        <w:pStyle w:val="Titleaddress"/>
      </w:pPr>
      <w:r w:rsidRPr="001B0105">
        <w:t>St Giles Court</w:t>
      </w:r>
    </w:p>
    <w:p w:rsidR="006F3143" w:rsidRPr="001B0105" w:rsidRDefault="006F3143" w:rsidP="0080489E">
      <w:pPr>
        <w:pStyle w:val="Titleaddress"/>
      </w:pPr>
      <w:r w:rsidRPr="001B0105">
        <w:t>24 Castle Street</w:t>
      </w:r>
    </w:p>
    <w:p w:rsidR="006F3143" w:rsidRPr="001B0105" w:rsidRDefault="006F3143" w:rsidP="0080489E">
      <w:pPr>
        <w:pStyle w:val="Titleaddress"/>
      </w:pPr>
      <w:r w:rsidRPr="001B0105">
        <w:t>Cambridge CB3 0AJ</w:t>
      </w:r>
    </w:p>
    <w:p w:rsidR="006F3143" w:rsidRPr="001B0105" w:rsidRDefault="006F3143" w:rsidP="0080489E">
      <w:pPr>
        <w:pStyle w:val="Titleaddress"/>
      </w:pPr>
      <w:r w:rsidRPr="001B0105">
        <w:t>UK</w:t>
      </w:r>
    </w:p>
    <w:p w:rsidR="006F3143" w:rsidRPr="001B0105" w:rsidRDefault="006F3143" w:rsidP="0080489E">
      <w:pPr>
        <w:pStyle w:val="Titleaddress"/>
      </w:pPr>
      <w:r w:rsidRPr="001B0105">
        <w:t>Tel: +44 (0)1223 460600</w:t>
      </w:r>
    </w:p>
    <w:p w:rsidR="006F3143" w:rsidRPr="001B0105" w:rsidRDefault="006F3143" w:rsidP="0080489E">
      <w:pPr>
        <w:pStyle w:val="Titleaddress"/>
      </w:pPr>
      <w:r w:rsidRPr="001B0105">
        <w:t>cambridge@analysysmason.com</w:t>
      </w:r>
    </w:p>
    <w:p w:rsidR="006F3143" w:rsidRPr="001B0105" w:rsidRDefault="006F3143" w:rsidP="0080489E">
      <w:pPr>
        <w:pStyle w:val="Titleaddress"/>
      </w:pPr>
      <w:r w:rsidRPr="001B0105">
        <w:t>www.analysysmason.com</w:t>
      </w:r>
    </w:p>
    <w:p w:rsidR="006F3143" w:rsidRPr="001B0105" w:rsidRDefault="006F3143" w:rsidP="0080489E">
      <w:pPr>
        <w:pStyle w:val="Titleaddress"/>
      </w:pPr>
      <w:r w:rsidRPr="001B0105">
        <w:t>Registered in England No. 5177472</w:t>
      </w:r>
    </w:p>
    <w:p w:rsidR="007C6FB3" w:rsidRPr="001B0105" w:rsidRDefault="007C6FB3" w:rsidP="007C6FB3"/>
    <w:p w:rsidR="007C6FB3" w:rsidRPr="001B0105" w:rsidRDefault="007C6FB3" w:rsidP="007C6FB3">
      <w:pPr>
        <w:sectPr w:rsidR="007C6FB3" w:rsidRPr="001B0105" w:rsidSect="00507D29">
          <w:headerReference w:type="even" r:id="rId14"/>
          <w:headerReference w:type="default" r:id="rId15"/>
          <w:footerReference w:type="even" r:id="rId16"/>
          <w:footerReference w:type="default" r:id="rId17"/>
          <w:headerReference w:type="first" r:id="rId18"/>
          <w:footerReference w:type="first" r:id="rId19"/>
          <w:pgSz w:w="11907" w:h="16840" w:code="9"/>
          <w:pgMar w:top="1418" w:right="1588" w:bottom="1418" w:left="1588" w:header="567" w:footer="567" w:gutter="0"/>
          <w:pgNumType w:fmt="lowerRoman" w:start="1"/>
          <w:cols w:space="720"/>
          <w:titlePg/>
          <w:docGrid w:linePitch="299"/>
        </w:sectPr>
      </w:pPr>
      <w:bookmarkStart w:id="1" w:name="SectionReportContents"/>
    </w:p>
    <w:bookmarkEnd w:id="1"/>
    <w:p w:rsidR="00116BA2" w:rsidRDefault="006866C3" w:rsidP="00EB74DA">
      <w:pPr>
        <w:pStyle w:val="Heading1"/>
        <w:numPr>
          <w:ilvl w:val="0"/>
          <w:numId w:val="0"/>
        </w:numPr>
      </w:pPr>
      <w:r>
        <w:lastRenderedPageBreak/>
        <w:t>Summary and key findings</w:t>
      </w:r>
    </w:p>
    <w:p w:rsidR="008C23EF" w:rsidRPr="001B0105" w:rsidRDefault="008C23EF" w:rsidP="008C23EF">
      <w:r>
        <w:t xml:space="preserve">This document is the summary report from a research study on spectrum-management mechanisms, which the </w:t>
      </w:r>
      <w:r w:rsidRPr="001B0105">
        <w:t>Australian Communications and Media Authority (ACMA) commissioned from Analysys Mason</w:t>
      </w:r>
      <w:r>
        <w:t xml:space="preserve">. </w:t>
      </w:r>
      <w:r w:rsidRPr="001B0105">
        <w:t xml:space="preserve">The objectives of the study </w:t>
      </w:r>
      <w:r w:rsidR="00854FB7">
        <w:t xml:space="preserve">were </w:t>
      </w:r>
      <w:r w:rsidR="007D2DF3">
        <w:t>to</w:t>
      </w:r>
      <w:r w:rsidRPr="001B0105">
        <w:t>:</w:t>
      </w:r>
    </w:p>
    <w:p w:rsidR="008C23EF" w:rsidRPr="001B0105" w:rsidRDefault="008C23EF" w:rsidP="008C23EF">
      <w:pPr>
        <w:pStyle w:val="ListBulletCompact"/>
      </w:pPr>
      <w:r w:rsidRPr="001B0105">
        <w:t>understand the application of best spectrum-management practices globally, and</w:t>
      </w:r>
    </w:p>
    <w:p w:rsidR="008C23EF" w:rsidRPr="001B0105" w:rsidRDefault="008C23EF" w:rsidP="008C23EF">
      <w:pPr>
        <w:pStyle w:val="ListBullet"/>
      </w:pPr>
      <w:r w:rsidRPr="001B0105">
        <w:t>identify approaches that might offer benefits in the Australian market context and priorities for spectrum-management reform in Australia.</w:t>
      </w:r>
    </w:p>
    <w:p w:rsidR="00116BA2" w:rsidRDefault="006866C3" w:rsidP="006E6D80">
      <w:pPr>
        <w:pStyle w:val="Heading2"/>
      </w:pPr>
      <w:bookmarkStart w:id="2" w:name="_Toc485117357"/>
      <w:r>
        <w:t>Background to the study</w:t>
      </w:r>
      <w:bookmarkEnd w:id="2"/>
    </w:p>
    <w:p w:rsidR="00546E08" w:rsidRDefault="00546E08" w:rsidP="00546E08">
      <w:r>
        <w:t>The existing legislation for s</w:t>
      </w:r>
      <w:r w:rsidRPr="00446B51">
        <w:t xml:space="preserve">pectrum management in Australia </w:t>
      </w:r>
      <w:r>
        <w:t xml:space="preserve">(i.e. the </w:t>
      </w:r>
      <w:r w:rsidRPr="00446B51">
        <w:t>Radiocommunications Act of 1992</w:t>
      </w:r>
      <w:r>
        <w:t>)</w:t>
      </w:r>
      <w:r w:rsidRPr="00446B51">
        <w:t xml:space="preserve"> has been in place for 25 years. </w:t>
      </w:r>
      <w:r>
        <w:t>Over</w:t>
      </w:r>
      <w:r w:rsidRPr="00446B51">
        <w:t xml:space="preserve"> this </w:t>
      </w:r>
      <w:r>
        <w:t>period</w:t>
      </w:r>
      <w:r w:rsidRPr="00446B51">
        <w:t>, the ACMA has progressively migrated towards market-based mechanisms for spectrum assignment</w:t>
      </w:r>
      <w:r>
        <w:t>,</w:t>
      </w:r>
      <w:r w:rsidRPr="00446B51">
        <w:t xml:space="preserve"> including the use of auctions, incentive (opportunity cost) pricing and secondary trading. </w:t>
      </w:r>
      <w:r>
        <w:t>Recently, trends such as g</w:t>
      </w:r>
      <w:r w:rsidRPr="0055369B">
        <w:t xml:space="preserve">rowing demand for spectrum, advances in wireless technologies and changing global supply chains (with expectations of </w:t>
      </w:r>
      <w:r>
        <w:t xml:space="preserve">rapid growth of the </w:t>
      </w:r>
      <w:r w:rsidR="004D16A1">
        <w:t>Internet of Things (</w:t>
      </w:r>
      <w:r>
        <w:t>IoT</w:t>
      </w:r>
      <w:r w:rsidR="004D16A1">
        <w:t>)</w:t>
      </w:r>
      <w:r w:rsidRPr="0055369B">
        <w:t xml:space="preserve">) </w:t>
      </w:r>
      <w:r>
        <w:t xml:space="preserve">have emerged, prompting </w:t>
      </w:r>
      <w:r w:rsidR="00B01580">
        <w:t>a need to consider changes</w:t>
      </w:r>
      <w:r>
        <w:t xml:space="preserve"> to the spectrum-</w:t>
      </w:r>
      <w:r w:rsidRPr="0055369B">
        <w:t xml:space="preserve">management framework. </w:t>
      </w:r>
    </w:p>
    <w:p w:rsidR="007D2DF3" w:rsidRPr="00854FB7" w:rsidRDefault="007D2DF3" w:rsidP="007D2DF3">
      <w:r w:rsidRPr="00854FB7">
        <w:t xml:space="preserve">New </w:t>
      </w:r>
      <w:r w:rsidR="00854FB7" w:rsidRPr="00854FB7">
        <w:t>spectrum-</w:t>
      </w:r>
      <w:r w:rsidRPr="00854FB7">
        <w:t xml:space="preserve">management legislation is </w:t>
      </w:r>
      <w:r w:rsidR="00546E08">
        <w:t xml:space="preserve">now </w:t>
      </w:r>
      <w:r w:rsidRPr="00854FB7">
        <w:t>being implemented</w:t>
      </w:r>
      <w:r w:rsidR="00546E08">
        <w:t xml:space="preserve"> to replace the 1992 Act</w:t>
      </w:r>
      <w:r w:rsidRPr="00854FB7">
        <w:t xml:space="preserve">, giving the ACMA new powers </w:t>
      </w:r>
      <w:r w:rsidR="00546E08">
        <w:t xml:space="preserve">and allowing it to respond to rapid </w:t>
      </w:r>
      <w:r w:rsidRPr="00854FB7">
        <w:t>changes in market demand and the latest developments in wireless technology, including trends towards more dynamic operation of wireless systems.</w:t>
      </w:r>
    </w:p>
    <w:p w:rsidR="00E179B6" w:rsidRPr="001B0105" w:rsidRDefault="00E179B6" w:rsidP="00E179B6">
      <w:r w:rsidRPr="001B0105">
        <w:t xml:space="preserve">The ACMA’s latest </w:t>
      </w:r>
      <w:r w:rsidR="005E5E35" w:rsidRPr="005E5E35">
        <w:t>five-year spectrum outlook</w:t>
      </w:r>
      <w:r w:rsidR="005E5E35" w:rsidRPr="001B0105">
        <w:rPr>
          <w:i/>
        </w:rPr>
        <w:t xml:space="preserve"> </w:t>
      </w:r>
      <w:r w:rsidR="00116BA2">
        <w:t xml:space="preserve">(FYSO), </w:t>
      </w:r>
      <w:r w:rsidRPr="001B0105">
        <w:t>published in 2016</w:t>
      </w:r>
      <w:r w:rsidR="00116BA2">
        <w:t>,</w:t>
      </w:r>
      <w:r w:rsidRPr="001B0105">
        <w:t xml:space="preserve"> envisaged implementation of the government’s spectrum reforms and the draft new legislation, </w:t>
      </w:r>
      <w:r w:rsidR="00546E08">
        <w:t xml:space="preserve">and set </w:t>
      </w:r>
      <w:r w:rsidRPr="001B0105">
        <w:t xml:space="preserve">out </w:t>
      </w:r>
      <w:r>
        <w:t xml:space="preserve">a </w:t>
      </w:r>
      <w:r w:rsidRPr="001B0105">
        <w:t>work plan for the next five years</w:t>
      </w:r>
      <w:r>
        <w:t>,</w:t>
      </w:r>
      <w:r w:rsidRPr="001B0105">
        <w:t xml:space="preserve"> focusing on: spectrum for mobile broadband</w:t>
      </w:r>
      <w:r w:rsidR="00A25213">
        <w:t xml:space="preserve"> </w:t>
      </w:r>
      <w:r w:rsidR="009F14F9">
        <w:t xml:space="preserve">(MBB) </w:t>
      </w:r>
      <w:r w:rsidR="00546E08">
        <w:t xml:space="preserve">and </w:t>
      </w:r>
      <w:r w:rsidR="00A25213">
        <w:t xml:space="preserve">further evolution </w:t>
      </w:r>
      <w:r w:rsidR="00791C9C">
        <w:t>of networks</w:t>
      </w:r>
      <w:r w:rsidR="00546E08">
        <w:t xml:space="preserve"> </w:t>
      </w:r>
      <w:r w:rsidR="00A25213">
        <w:t>to</w:t>
      </w:r>
      <w:r w:rsidRPr="001B0105">
        <w:t xml:space="preserve"> 5G,</w:t>
      </w:r>
      <w:r w:rsidR="00791C9C">
        <w:t xml:space="preserve"> growth of the</w:t>
      </w:r>
      <w:r w:rsidRPr="001B0105">
        <w:t xml:space="preserve"> IoT and </w:t>
      </w:r>
      <w:r w:rsidR="00566342">
        <w:t xml:space="preserve">the </w:t>
      </w:r>
      <w:r w:rsidR="00791C9C">
        <w:t xml:space="preserve">use of technological solutions for spectrum sharing such as </w:t>
      </w:r>
      <w:r w:rsidR="00566342">
        <w:t>dynamic spectrum access (</w:t>
      </w:r>
      <w:r w:rsidRPr="001B0105">
        <w:t>DSA</w:t>
      </w:r>
      <w:r w:rsidR="00566342">
        <w:t>)</w:t>
      </w:r>
      <w:r w:rsidRPr="001B0105">
        <w:t xml:space="preserve">. A summary of these key priorities is </w:t>
      </w:r>
      <w:r w:rsidR="00546E08">
        <w:t>provided</w:t>
      </w:r>
      <w:r w:rsidRPr="001B0105">
        <w:t xml:space="preserve"> </w:t>
      </w:r>
      <w:r>
        <w:t xml:space="preserve">in </w:t>
      </w:r>
      <w:r w:rsidRPr="00150116">
        <w:fldChar w:fldCharType="begin"/>
      </w:r>
      <w:r w:rsidRPr="00150116">
        <w:instrText xml:space="preserve"> REF _Ref484531767 \h </w:instrText>
      </w:r>
      <w:r w:rsidRPr="00150116">
        <w:fldChar w:fldCharType="separate"/>
      </w:r>
      <w:r w:rsidR="00DD5B32" w:rsidRPr="001B0105">
        <w:t>Figure </w:t>
      </w:r>
      <w:r w:rsidR="00DD5B32">
        <w:rPr>
          <w:noProof/>
        </w:rPr>
        <w:t>1</w:t>
      </w:r>
      <w:r w:rsidRPr="00150116">
        <w:fldChar w:fldCharType="end"/>
      </w:r>
      <w:r>
        <w:t xml:space="preserve"> </w:t>
      </w:r>
      <w:r w:rsidRPr="001B0105">
        <w:t>below.</w:t>
      </w:r>
    </w:p>
    <w:p w:rsidR="00E179B6" w:rsidRPr="001B0105" w:rsidRDefault="00E179B6" w:rsidP="00E179B6">
      <w:pPr>
        <w:pStyle w:val="Caption"/>
      </w:pPr>
      <w:bookmarkStart w:id="3" w:name="_Ref484531767"/>
      <w:r w:rsidRPr="001B0105">
        <w:lastRenderedPageBreak/>
        <w:t>Figure </w:t>
      </w:r>
      <w:fldSimple w:instr=" SEQ Figure \* ARABIC \s 1 \* MERGEFORMAT ">
        <w:r w:rsidR="00DD5B32">
          <w:rPr>
            <w:noProof/>
          </w:rPr>
          <w:t>1</w:t>
        </w:r>
      </w:fldSimple>
      <w:bookmarkEnd w:id="3"/>
      <w:r w:rsidRPr="001B0105">
        <w:t xml:space="preserve">: </w:t>
      </w:r>
      <w:r w:rsidRPr="0055369B">
        <w:t>The ACMA’s priorities in its five-year spectrum plan [Source: ACMA, 2016</w:t>
      </w:r>
      <w:r w:rsidRPr="001B0105">
        <w:rPr>
          <w:rStyle w:val="FootnoteReference"/>
          <w:i w:val="0"/>
        </w:rPr>
        <w:footnoteReference w:id="1"/>
      </w:r>
      <w:r w:rsidRPr="001B0105">
        <w:t>]</w:t>
      </w:r>
      <w:r w:rsidR="005C4E82">
        <w:t xml:space="preserve"> </w:t>
      </w:r>
    </w:p>
    <w:p w:rsidR="00E179B6" w:rsidRPr="001B0105" w:rsidRDefault="005C4E82" w:rsidP="005C4E82">
      <w:pPr>
        <w:pStyle w:val="Border"/>
      </w:pPr>
      <w:r w:rsidRPr="005C4E82">
        <w:rPr>
          <w:noProof/>
          <w:lang w:val="en-AU" w:eastAsia="en-AU"/>
        </w:rPr>
        <w:drawing>
          <wp:inline distT="0" distB="0" distL="0" distR="0" wp14:anchorId="4F1FC4F6" wp14:editId="371DD4D6">
            <wp:extent cx="5295900" cy="37084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95900" cy="3708400"/>
                    </a:xfrm>
                    <a:prstGeom prst="rect">
                      <a:avLst/>
                    </a:prstGeom>
                    <a:noFill/>
                    <a:ln>
                      <a:noFill/>
                    </a:ln>
                  </pic:spPr>
                </pic:pic>
              </a:graphicData>
            </a:graphic>
          </wp:inline>
        </w:drawing>
      </w:r>
    </w:p>
    <w:p w:rsidR="007D2DF3" w:rsidRPr="00602EDA" w:rsidRDefault="00602EDA" w:rsidP="007D2DF3">
      <w:r>
        <w:t>The draft new</w:t>
      </w:r>
      <w:r w:rsidR="007D2DF3" w:rsidRPr="00446B51">
        <w:t xml:space="preserve"> legislation</w:t>
      </w:r>
      <w:r w:rsidR="00566342">
        <w:t xml:space="preserve"> </w:t>
      </w:r>
      <w:r w:rsidR="00566342" w:rsidRPr="00446B51">
        <w:t>was published for consultation on 18 May 2017</w:t>
      </w:r>
      <w:r w:rsidR="007D2DF3">
        <w:t>,</w:t>
      </w:r>
      <w:r w:rsidR="007D2DF3" w:rsidRPr="00446B51">
        <w:t xml:space="preserve"> along with a package of consultation </w:t>
      </w:r>
      <w:r w:rsidR="00B01580">
        <w:t>proposals</w:t>
      </w:r>
      <w:r w:rsidR="007D2DF3" w:rsidRPr="00446B51">
        <w:t xml:space="preserve"> from the Department of Communications and the ACMA.</w:t>
      </w:r>
      <w:r w:rsidR="007D2DF3" w:rsidRPr="001B0105">
        <w:rPr>
          <w:rStyle w:val="FootnoteReference"/>
        </w:rPr>
        <w:footnoteReference w:id="2"/>
      </w:r>
      <w:r w:rsidR="007D2DF3">
        <w:t xml:space="preserve"> </w:t>
      </w:r>
      <w:r w:rsidR="00566342">
        <w:t xml:space="preserve">A key feature </w:t>
      </w:r>
      <w:r w:rsidR="007D2DF3" w:rsidRPr="0055369B">
        <w:t xml:space="preserve">of the new legislation </w:t>
      </w:r>
      <w:r w:rsidR="00566342">
        <w:t xml:space="preserve">is </w:t>
      </w:r>
      <w:r w:rsidR="007D2DF3" w:rsidRPr="0055369B">
        <w:t xml:space="preserve">migration to a single licensing system, </w:t>
      </w:r>
      <w:r>
        <w:t>t</w:t>
      </w:r>
      <w:r w:rsidR="007D2DF3" w:rsidRPr="0055369B">
        <w:t xml:space="preserve">he overall </w:t>
      </w:r>
      <w:r w:rsidR="007D2DF3">
        <w:t>aim</w:t>
      </w:r>
      <w:r w:rsidR="00546E08">
        <w:t>s</w:t>
      </w:r>
      <w:r w:rsidR="007D2DF3" w:rsidRPr="0055369B">
        <w:t xml:space="preserve"> </w:t>
      </w:r>
      <w:r w:rsidR="00546E08">
        <w:t xml:space="preserve">being </w:t>
      </w:r>
      <w:r w:rsidR="007D2DF3" w:rsidRPr="0055369B">
        <w:t xml:space="preserve">to </w:t>
      </w:r>
      <w:r w:rsidR="007D2DF3">
        <w:t xml:space="preserve">give the </w:t>
      </w:r>
      <w:r w:rsidR="007D2DF3" w:rsidRPr="0055369B">
        <w:t>ACMA greater flexibility to adapt the issu</w:t>
      </w:r>
      <w:r w:rsidR="007D2DF3">
        <w:t>ing</w:t>
      </w:r>
      <w:r w:rsidR="007D2DF3" w:rsidRPr="0055369B">
        <w:t xml:space="preserve"> of licences and licence conditions to meet the demands of new technologies</w:t>
      </w:r>
      <w:r w:rsidR="007D2DF3">
        <w:t>,</w:t>
      </w:r>
      <w:r w:rsidR="007D2DF3" w:rsidRPr="0055369B">
        <w:t xml:space="preserve"> </w:t>
      </w:r>
      <w:r w:rsidR="00546E08">
        <w:t xml:space="preserve">and </w:t>
      </w:r>
      <w:r w:rsidR="007D2DF3" w:rsidRPr="0055369B">
        <w:t xml:space="preserve">to improve the scope for changes of </w:t>
      </w:r>
      <w:r w:rsidR="00546E08">
        <w:t xml:space="preserve">spectrum </w:t>
      </w:r>
      <w:r w:rsidR="007D2DF3" w:rsidRPr="0055369B">
        <w:t xml:space="preserve">use to occur. </w:t>
      </w:r>
      <w:r w:rsidR="00546E08">
        <w:t>The inclusion of a</w:t>
      </w:r>
      <w:r>
        <w:t xml:space="preserve"> </w:t>
      </w:r>
      <w:r w:rsidR="007D2DF3" w:rsidRPr="0055369B">
        <w:t xml:space="preserve">‘spectrum authorisations’ option </w:t>
      </w:r>
      <w:r w:rsidR="00546E08">
        <w:t xml:space="preserve">could </w:t>
      </w:r>
      <w:r w:rsidR="007D2DF3" w:rsidRPr="0055369B">
        <w:t>potentially create opportunities for different applica</w:t>
      </w:r>
      <w:r w:rsidR="007D2DF3" w:rsidRPr="00446B51">
        <w:t xml:space="preserve">tions </w:t>
      </w:r>
      <w:r>
        <w:t xml:space="preserve">with different </w:t>
      </w:r>
      <w:r w:rsidR="00791C9C">
        <w:t>requirements</w:t>
      </w:r>
      <w:r w:rsidR="00116BA2">
        <w:t xml:space="preserve"> </w:t>
      </w:r>
      <w:r>
        <w:t xml:space="preserve">for spectrum access </w:t>
      </w:r>
      <w:r w:rsidR="007D2DF3" w:rsidRPr="00446B51">
        <w:t>to</w:t>
      </w:r>
      <w:r>
        <w:t xml:space="preserve"> co-exist in the same spectrum. This might also facilitate emergence of the</w:t>
      </w:r>
      <w:r w:rsidR="007D2DF3" w:rsidRPr="00446B51">
        <w:t xml:space="preserve"> latest </w:t>
      </w:r>
      <w:r>
        <w:t xml:space="preserve">international </w:t>
      </w:r>
      <w:r w:rsidR="007D2DF3" w:rsidRPr="00446B51">
        <w:t>wireless technological advances</w:t>
      </w:r>
      <w:r>
        <w:t xml:space="preserve"> </w:t>
      </w:r>
      <w:r w:rsidR="00116BA2">
        <w:t xml:space="preserve">in </w:t>
      </w:r>
      <w:r>
        <w:t>DSA</w:t>
      </w:r>
      <w:r w:rsidR="00B01580">
        <w:t>, such as geo-location systems,</w:t>
      </w:r>
      <w:r>
        <w:t xml:space="preserve"> in Australia</w:t>
      </w:r>
      <w:r w:rsidR="007D2DF3" w:rsidRPr="00446B51">
        <w:t xml:space="preserve">. </w:t>
      </w:r>
    </w:p>
    <w:p w:rsidR="00116BA2" w:rsidRDefault="00116BA2" w:rsidP="006E6D80">
      <w:pPr>
        <w:pStyle w:val="Heading2"/>
      </w:pPr>
      <w:bookmarkStart w:id="4" w:name="_Toc485117358"/>
      <w:r>
        <w:t>International best practice in spectrum management</w:t>
      </w:r>
      <w:bookmarkEnd w:id="4"/>
    </w:p>
    <w:p w:rsidR="007E1C21" w:rsidRPr="00A04305" w:rsidRDefault="00566342" w:rsidP="007D2DF3">
      <w:r>
        <w:t>To</w:t>
      </w:r>
      <w:r w:rsidRPr="00A04305">
        <w:t xml:space="preserve"> </w:t>
      </w:r>
      <w:r w:rsidR="007D2DF3" w:rsidRPr="00A04305">
        <w:t>identify best international practice</w:t>
      </w:r>
      <w:r w:rsidR="00602EDA" w:rsidRPr="00A04305">
        <w:t xml:space="preserve"> in spectrum management</w:t>
      </w:r>
      <w:r w:rsidR="007D2DF3" w:rsidRPr="00A04305">
        <w:t xml:space="preserve">, we surveyed </w:t>
      </w:r>
      <w:r>
        <w:t xml:space="preserve">the </w:t>
      </w:r>
      <w:r w:rsidR="00E464E7">
        <w:t>approaches</w:t>
      </w:r>
      <w:r w:rsidR="007D2DF3" w:rsidRPr="00A04305">
        <w:t xml:space="preserve"> </w:t>
      </w:r>
      <w:r>
        <w:t xml:space="preserve">used </w:t>
      </w:r>
      <w:r w:rsidR="007D2DF3" w:rsidRPr="00A04305">
        <w:t xml:space="preserve">in eight jurisdictions worldwide. From this survey, we </w:t>
      </w:r>
      <w:r w:rsidR="00602EDA" w:rsidRPr="00A04305">
        <w:t>s</w:t>
      </w:r>
      <w:r w:rsidR="007D2DF3" w:rsidRPr="00A04305">
        <w:t xml:space="preserve">elected examples where regulators </w:t>
      </w:r>
      <w:r w:rsidR="008901AB">
        <w:t xml:space="preserve">are </w:t>
      </w:r>
      <w:r w:rsidR="007D2DF3" w:rsidRPr="00A04305">
        <w:t xml:space="preserve">already implementing </w:t>
      </w:r>
      <w:r w:rsidR="008901AB">
        <w:t xml:space="preserve">well-established </w:t>
      </w:r>
      <w:r w:rsidR="007D2DF3" w:rsidRPr="00A04305">
        <w:t xml:space="preserve">market-based mechanisms for spectrum assignment, </w:t>
      </w:r>
      <w:r w:rsidR="002E4CA0">
        <w:t xml:space="preserve">and </w:t>
      </w:r>
      <w:r w:rsidR="007D2DF3" w:rsidRPr="00A04305">
        <w:t xml:space="preserve">have evolved existing mechanisms towards more sophisticated </w:t>
      </w:r>
      <w:r w:rsidR="007E1C21" w:rsidRPr="00A04305">
        <w:t xml:space="preserve">market-based spectrum assignment and sharing </w:t>
      </w:r>
      <w:r w:rsidR="007D2DF3" w:rsidRPr="00A04305">
        <w:t xml:space="preserve">approaches, facilitated </w:t>
      </w:r>
      <w:r w:rsidR="002E4CA0">
        <w:t>by</w:t>
      </w:r>
      <w:r w:rsidR="002E4CA0" w:rsidRPr="00A04305">
        <w:t xml:space="preserve"> </w:t>
      </w:r>
      <w:r w:rsidR="007D2DF3" w:rsidRPr="00A04305">
        <w:t xml:space="preserve">technological </w:t>
      </w:r>
      <w:r w:rsidR="007E1C21" w:rsidRPr="00A04305">
        <w:t>coordination techniques</w:t>
      </w:r>
      <w:r w:rsidR="007D2DF3" w:rsidRPr="00A04305">
        <w:t xml:space="preserve">. </w:t>
      </w:r>
      <w:r w:rsidR="00C96D6F">
        <w:t xml:space="preserve">To provide the most useful findings </w:t>
      </w:r>
      <w:r w:rsidR="00F9637E">
        <w:t xml:space="preserve">from the survey, </w:t>
      </w:r>
      <w:r w:rsidR="00C96D6F">
        <w:t xml:space="preserve">we reviewed both successful and less successful approaches and gave our views on why some approaches had proved more successful than others. </w:t>
      </w:r>
      <w:r w:rsidR="007E1C21" w:rsidRPr="00A04305">
        <w:t xml:space="preserve">Examples of sharing </w:t>
      </w:r>
      <w:r w:rsidR="007E1C21" w:rsidRPr="00A04305">
        <w:lastRenderedPageBreak/>
        <w:t xml:space="preserve">mechanisms include TV white space, licensed shared access (LSA) </w:t>
      </w:r>
      <w:r w:rsidR="00A25213" w:rsidRPr="00A04305">
        <w:t xml:space="preserve">– developed within the </w:t>
      </w:r>
      <w:r w:rsidR="009F14F9">
        <w:t>European Union</w:t>
      </w:r>
      <w:r w:rsidR="009F14F9" w:rsidRPr="00A04305">
        <w:t xml:space="preserve"> </w:t>
      </w:r>
      <w:r w:rsidR="006579D7" w:rsidRPr="00A04305">
        <w:t>–</w:t>
      </w:r>
      <w:r w:rsidR="00A25213" w:rsidRPr="00A04305">
        <w:t xml:space="preserve"> </w:t>
      </w:r>
      <w:r w:rsidR="007E1C21" w:rsidRPr="00A04305">
        <w:t>and novel spectrum access schemes such as the tiered service approach used in the USA</w:t>
      </w:r>
      <w:r w:rsidR="002E4CA0">
        <w:t>’s</w:t>
      </w:r>
      <w:r w:rsidR="007E1C21" w:rsidRPr="00A04305">
        <w:t xml:space="preserve"> ‘citizens broadband radio service’ (CBRS) proposal </w:t>
      </w:r>
      <w:r w:rsidR="008901AB">
        <w:t>in</w:t>
      </w:r>
      <w:r w:rsidR="007E1C21" w:rsidRPr="00A04305">
        <w:t xml:space="preserve"> the 3.5GHz band. Technological coordination techniques used in different sharing mechanisms use </w:t>
      </w:r>
      <w:r w:rsidR="002E4CA0">
        <w:t>various</w:t>
      </w:r>
      <w:r w:rsidR="002E4CA0" w:rsidRPr="00A04305">
        <w:t xml:space="preserve"> </w:t>
      </w:r>
      <w:r w:rsidR="007E1C21" w:rsidRPr="00A04305">
        <w:t xml:space="preserve">forms of dynamic spectrum access (DSA), notably geo-location databases to keep track of users, avoid use in certain locations and/or frequencies and protect existing systems from interference. </w:t>
      </w:r>
    </w:p>
    <w:p w:rsidR="007D2DF3" w:rsidRDefault="00A25213" w:rsidP="007D2DF3">
      <w:r>
        <w:t xml:space="preserve">Based on </w:t>
      </w:r>
      <w:r w:rsidR="002E4CA0">
        <w:t xml:space="preserve">experience </w:t>
      </w:r>
      <w:r w:rsidR="00602EDA">
        <w:t xml:space="preserve">from other jurisdictions, we </w:t>
      </w:r>
      <w:r w:rsidR="007D2DF3" w:rsidRPr="009040CB">
        <w:t>consider</w:t>
      </w:r>
      <w:r w:rsidR="00602EDA">
        <w:t>ed</w:t>
      </w:r>
      <w:r w:rsidR="007D2DF3" w:rsidRPr="009040CB">
        <w:t xml:space="preserve"> the suitability of alternative approaches to extend the use of market-based assignment me</w:t>
      </w:r>
      <w:r w:rsidR="00602EDA">
        <w:t>thods for spectrum in Australia</w:t>
      </w:r>
      <w:r w:rsidR="007D2DF3" w:rsidRPr="009040CB">
        <w:t>. We then compare</w:t>
      </w:r>
      <w:r w:rsidR="00602EDA">
        <w:t>d</w:t>
      </w:r>
      <w:r w:rsidR="007D2DF3" w:rsidRPr="009040CB">
        <w:t xml:space="preserve"> alternative approaches against the objectives for</w:t>
      </w:r>
      <w:r w:rsidR="00602EDA">
        <w:t xml:space="preserve"> spectrum reform set out in the ACMA’s recent publications </w:t>
      </w:r>
      <w:r w:rsidR="002E4CA0">
        <w:t xml:space="preserve">related to </w:t>
      </w:r>
      <w:r w:rsidR="00602EDA">
        <w:t xml:space="preserve">the draft new legislation, to reach conclusions and recommendations on </w:t>
      </w:r>
      <w:r w:rsidR="008901AB">
        <w:t xml:space="preserve">the </w:t>
      </w:r>
      <w:r w:rsidR="00602EDA">
        <w:t xml:space="preserve">prioritisation of new </w:t>
      </w:r>
      <w:r w:rsidR="002E4CA0">
        <w:t>spectrum-</w:t>
      </w:r>
      <w:r w:rsidR="00602EDA">
        <w:t>management approaches in Australia</w:t>
      </w:r>
      <w:r w:rsidR="007D2DF3" w:rsidRPr="0055369B">
        <w:t>.</w:t>
      </w:r>
      <w:r w:rsidR="007D2DF3" w:rsidRPr="0055369B">
        <w:rPr>
          <w:rStyle w:val="FootnoteReference"/>
        </w:rPr>
        <w:footnoteReference w:id="3"/>
      </w:r>
    </w:p>
    <w:p w:rsidR="00440C68" w:rsidRPr="00A04305" w:rsidRDefault="00440C68" w:rsidP="00440C68">
      <w:r w:rsidRPr="00A04305">
        <w:t xml:space="preserve">We found that current international trends </w:t>
      </w:r>
      <w:r w:rsidR="006C60DC">
        <w:t xml:space="preserve">highlight </w:t>
      </w:r>
      <w:r w:rsidRPr="00A04305">
        <w:t xml:space="preserve">the importance of achieving more flexible and dynamic use of spectrum. To increase flexibility </w:t>
      </w:r>
      <w:r w:rsidR="006C60DC">
        <w:t xml:space="preserve">of </w:t>
      </w:r>
      <w:r w:rsidRPr="00A04305">
        <w:t xml:space="preserve">spectrum use and encourage </w:t>
      </w:r>
      <w:r w:rsidR="006C60DC">
        <w:t xml:space="preserve">the </w:t>
      </w:r>
      <w:r w:rsidR="00385EF1">
        <w:t xml:space="preserve">adoption </w:t>
      </w:r>
      <w:r w:rsidRPr="00A04305">
        <w:t xml:space="preserve">of wireless devices that </w:t>
      </w:r>
      <w:r w:rsidR="00116BA2" w:rsidRPr="00A04305">
        <w:t>can be reconfigured</w:t>
      </w:r>
      <w:r w:rsidRPr="00A04305">
        <w:t xml:space="preserve"> in real time, we </w:t>
      </w:r>
      <w:r w:rsidR="008901AB">
        <w:t>recommend</w:t>
      </w:r>
      <w:r w:rsidRPr="00A04305">
        <w:t xml:space="preserve"> that regulatory approach</w:t>
      </w:r>
      <w:r w:rsidR="006C60DC">
        <w:t>es</w:t>
      </w:r>
      <w:r w:rsidRPr="00A04305">
        <w:t xml:space="preserve"> to the management of spectrum should evolve towards more sophisticated market-based mechanisms facilitated by technological solutions (e.g. </w:t>
      </w:r>
      <w:r w:rsidR="006C60DC">
        <w:t xml:space="preserve">the </w:t>
      </w:r>
      <w:r w:rsidRPr="00A04305">
        <w:t xml:space="preserve">use of geo-location databases to manage the use of spectral gaps in real time and to control the operating parameters of systems to avoid interference with other spectrum users in the same location). </w:t>
      </w:r>
    </w:p>
    <w:p w:rsidR="00440C68" w:rsidRDefault="00440C68" w:rsidP="00440C68">
      <w:r>
        <w:t>Although these more sophisticated forms of s</w:t>
      </w:r>
      <w:r w:rsidRPr="00076178">
        <w:t xml:space="preserve">pectrum sharing </w:t>
      </w:r>
      <w:r>
        <w:t xml:space="preserve">facilitated by technological advances are </w:t>
      </w:r>
      <w:r w:rsidRPr="00076178">
        <w:t xml:space="preserve">increasingly important </w:t>
      </w:r>
      <w:r w:rsidR="006C60DC">
        <w:t>in</w:t>
      </w:r>
      <w:r w:rsidR="006C60DC" w:rsidRPr="00076178">
        <w:t xml:space="preserve"> </w:t>
      </w:r>
      <w:r w:rsidRPr="00076178">
        <w:t>meet</w:t>
      </w:r>
      <w:r w:rsidR="006C60DC">
        <w:t>ing</w:t>
      </w:r>
      <w:r w:rsidRPr="00076178">
        <w:t xml:space="preserve"> the rapid grow</w:t>
      </w:r>
      <w:r w:rsidR="006C60DC">
        <w:t xml:space="preserve">th </w:t>
      </w:r>
      <w:r w:rsidRPr="00076178">
        <w:t xml:space="preserve">in demand for access to radio </w:t>
      </w:r>
      <w:r>
        <w:t>spectrum, there is a risk that the potential for interference will rise with increased numbers of users sharing the same spectrum. Depending on the approach to sharing (e.g. via a licence that the regulator enforces, or via a class licence or licence</w:t>
      </w:r>
      <w:r w:rsidR="00566342">
        <w:t xml:space="preserve"> </w:t>
      </w:r>
      <w:r>
        <w:t xml:space="preserve">exemption, where devices must operate on a non-interference basis), there </w:t>
      </w:r>
      <w:r w:rsidR="00385EF1">
        <w:t>is</w:t>
      </w:r>
      <w:r>
        <w:t xml:space="preserve"> a risk that interference becomes unmanageable by the market, to the extent that there is less willingness to invest in deploying services. </w:t>
      </w:r>
      <w:r w:rsidR="006C60DC">
        <w:t>The s</w:t>
      </w:r>
      <w:r>
        <w:t>uccess of more sophisticated market</w:t>
      </w:r>
      <w:r w:rsidR="006C60DC">
        <w:t xml:space="preserve"> </w:t>
      </w:r>
      <w:r>
        <w:t xml:space="preserve">mechanisms for spectrum sharing will rely on </w:t>
      </w:r>
      <w:r w:rsidR="006C60DC">
        <w:t xml:space="preserve">the availability of </w:t>
      </w:r>
      <w:r w:rsidRPr="00C70A7A">
        <w:t>real-time information on spectrum management and the interference environment</w:t>
      </w:r>
      <w:r w:rsidR="006C60DC">
        <w:t>,</w:t>
      </w:r>
      <w:r w:rsidRPr="00C70A7A">
        <w:t xml:space="preserve"> to facilitate </w:t>
      </w:r>
      <w:r>
        <w:t>frequency coordination and interference avoidance</w:t>
      </w:r>
      <w:r w:rsidRPr="00C70A7A">
        <w:t>.</w:t>
      </w:r>
    </w:p>
    <w:p w:rsidR="00E179B6" w:rsidRDefault="009A14DF" w:rsidP="00E179B6">
      <w:r>
        <w:t xml:space="preserve">From our review, it seems that </w:t>
      </w:r>
      <w:r w:rsidR="00773FD7">
        <w:t xml:space="preserve">support for </w:t>
      </w:r>
      <w:r w:rsidR="00E179B6" w:rsidRPr="009040CB">
        <w:t>innovation is a key driver for some of the more novel approaches to spectrum management witnessed in other markets worldwide.</w:t>
      </w:r>
      <w:r w:rsidR="00E179B6">
        <w:t xml:space="preserve"> </w:t>
      </w:r>
      <w:r w:rsidR="00E179B6" w:rsidRPr="00446B51">
        <w:t xml:space="preserve">However, finding the right balance – between providing flexibility </w:t>
      </w:r>
      <w:r w:rsidR="00773FD7">
        <w:t>for new market</w:t>
      </w:r>
      <w:r w:rsidR="00E179B6" w:rsidRPr="00446B51">
        <w:t xml:space="preserve"> players and </w:t>
      </w:r>
      <w:r w:rsidR="006C60DC">
        <w:t>ensuring</w:t>
      </w:r>
      <w:r w:rsidR="006C60DC" w:rsidRPr="00446B51">
        <w:t xml:space="preserve"> </w:t>
      </w:r>
      <w:r w:rsidR="00E179B6" w:rsidRPr="00446B51">
        <w:t xml:space="preserve">predictability </w:t>
      </w:r>
      <w:r w:rsidR="00E179B6">
        <w:t>(</w:t>
      </w:r>
      <w:r w:rsidR="00E179B6" w:rsidRPr="00446B51">
        <w:t>including a stable competitive environment</w:t>
      </w:r>
      <w:r w:rsidR="00E179B6">
        <w:t>)</w:t>
      </w:r>
      <w:r w:rsidR="00E179B6" w:rsidRPr="00446B51">
        <w:t xml:space="preserve"> for traditional </w:t>
      </w:r>
      <w:r>
        <w:t>mobile network operators (</w:t>
      </w:r>
      <w:r w:rsidR="00E179B6" w:rsidRPr="00446B51">
        <w:t>MNOs</w:t>
      </w:r>
      <w:r>
        <w:t>)</w:t>
      </w:r>
      <w:r w:rsidR="00E179B6">
        <w:t xml:space="preserve"> –</w:t>
      </w:r>
      <w:r w:rsidR="00E179B6" w:rsidRPr="00446B51">
        <w:t xml:space="preserve"> is one of t</w:t>
      </w:r>
      <w:r w:rsidR="00E179B6" w:rsidRPr="009040CB">
        <w:t xml:space="preserve">he challenges that </w:t>
      </w:r>
      <w:r w:rsidR="00E179B6">
        <w:t xml:space="preserve">the </w:t>
      </w:r>
      <w:r w:rsidR="00E179B6" w:rsidRPr="009040CB">
        <w:t xml:space="preserve">ACMA </w:t>
      </w:r>
      <w:r w:rsidR="00E179B6">
        <w:t xml:space="preserve">faces </w:t>
      </w:r>
      <w:r w:rsidR="00E179B6" w:rsidRPr="009040CB">
        <w:t xml:space="preserve">in developing a new management framework </w:t>
      </w:r>
      <w:r w:rsidR="00773FD7">
        <w:t>for spectrum in Aust</w:t>
      </w:r>
      <w:r w:rsidR="00E179B6" w:rsidRPr="009040CB">
        <w:t xml:space="preserve">ralia. </w:t>
      </w:r>
      <w:r w:rsidR="006C60DC">
        <w:t>W</w:t>
      </w:r>
      <w:r w:rsidR="00116BA2">
        <w:t>here large-</w:t>
      </w:r>
      <w:r>
        <w:t xml:space="preserve">scale investment in new nationwide networks is required (e.g. within the public mobile (cellular) market), there </w:t>
      </w:r>
      <w:r w:rsidR="00773FD7">
        <w:t xml:space="preserve">may </w:t>
      </w:r>
      <w:r>
        <w:t xml:space="preserve">still be a need for </w:t>
      </w:r>
      <w:r w:rsidR="00116BA2">
        <w:t xml:space="preserve">operators to have </w:t>
      </w:r>
      <w:r w:rsidR="00773FD7">
        <w:t xml:space="preserve">individual licences </w:t>
      </w:r>
      <w:r w:rsidR="006C60DC">
        <w:t xml:space="preserve">that </w:t>
      </w:r>
      <w:r w:rsidR="00773FD7">
        <w:t>provid</w:t>
      </w:r>
      <w:r w:rsidR="006C60DC">
        <w:t>e</w:t>
      </w:r>
      <w:r w:rsidR="00773FD7">
        <w:t xml:space="preserve"> </w:t>
      </w:r>
      <w:r>
        <w:t>exclusive use of spectrum, to</w:t>
      </w:r>
      <w:r w:rsidR="00773FD7">
        <w:t xml:space="preserve"> avoid undermining investment certainty</w:t>
      </w:r>
      <w:r>
        <w:t xml:space="preserve"> </w:t>
      </w:r>
      <w:r w:rsidR="00773FD7">
        <w:t>through a lack of guarantee concerning spectrum quality</w:t>
      </w:r>
      <w:r w:rsidR="007E1C21">
        <w:t>.</w:t>
      </w:r>
    </w:p>
    <w:p w:rsidR="007E1C21" w:rsidRDefault="007E1C21" w:rsidP="00E179B6">
      <w:r>
        <w:t>We found that alternative sharing mechanisms are facilitated by different forms of technological coordination techniques</w:t>
      </w:r>
      <w:r w:rsidR="00116BA2">
        <w:t>,</w:t>
      </w:r>
      <w:r>
        <w:t xml:space="preserve"> such as DSA. A summary of </w:t>
      </w:r>
      <w:r w:rsidR="005F1D06">
        <w:t xml:space="preserve">sharing </w:t>
      </w:r>
      <w:r>
        <w:t xml:space="preserve">mechanisms is shown in </w:t>
      </w:r>
      <w:r w:rsidRPr="00150116">
        <w:fldChar w:fldCharType="begin"/>
      </w:r>
      <w:r w:rsidRPr="00150116">
        <w:instrText xml:space="preserve"> REF _Ref484610023 \h </w:instrText>
      </w:r>
      <w:r w:rsidRPr="00150116">
        <w:fldChar w:fldCharType="separate"/>
      </w:r>
      <w:r w:rsidR="00DD5B32">
        <w:t>Figure </w:t>
      </w:r>
      <w:r w:rsidR="00DD5B32">
        <w:rPr>
          <w:noProof/>
        </w:rPr>
        <w:t>2</w:t>
      </w:r>
      <w:r w:rsidRPr="00150116">
        <w:fldChar w:fldCharType="end"/>
      </w:r>
      <w:r w:rsidR="00326705">
        <w:t>, together with the rationale(s) for selecting each one, and the enabling technologies/inputs</w:t>
      </w:r>
      <w:r>
        <w:t>.</w:t>
      </w:r>
    </w:p>
    <w:p w:rsidR="00FB1473" w:rsidRDefault="007E1C21" w:rsidP="005C4E82">
      <w:pPr>
        <w:pStyle w:val="TableCaption"/>
      </w:pPr>
      <w:bookmarkStart w:id="5" w:name="_Ref484610023"/>
      <w:r>
        <w:lastRenderedPageBreak/>
        <w:t>Figure</w:t>
      </w:r>
      <w:r w:rsidR="006579D7">
        <w:t> </w:t>
      </w:r>
      <w:fldSimple w:instr=" SEQ Figure \* ARABIC \s 1 \* MERGEFORMAT ">
        <w:r w:rsidR="00DD5B32">
          <w:rPr>
            <w:noProof/>
          </w:rPr>
          <w:t>2</w:t>
        </w:r>
      </w:fldSimple>
      <w:bookmarkEnd w:id="5"/>
      <w:r>
        <w:t>: Rationale for selecting different sharing mechanisms [Source: Analysys Mason, 2017]</w:t>
      </w:r>
      <w:r w:rsidR="005C4E82">
        <w:t xml:space="preserve"> </w:t>
      </w:r>
      <w:r w:rsidR="00FB1473">
        <w:t xml:space="preserve"> </w:t>
      </w:r>
    </w:p>
    <w:p w:rsidR="007E1C21" w:rsidRPr="007E1C21" w:rsidRDefault="001B38D8" w:rsidP="001E6F17">
      <w:pPr>
        <w:pStyle w:val="Border"/>
      </w:pPr>
      <w:r>
        <w:rPr>
          <w:noProof/>
          <w:lang w:val="en-AU" w:eastAsia="en-AU"/>
        </w:rPr>
        <w:drawing>
          <wp:inline distT="0" distB="0" distL="0" distR="0" wp14:anchorId="1210B205" wp14:editId="57760D04">
            <wp:extent cx="5544000" cy="269666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44000" cy="2696667"/>
                    </a:xfrm>
                    <a:prstGeom prst="rect">
                      <a:avLst/>
                    </a:prstGeom>
                    <a:noFill/>
                  </pic:spPr>
                </pic:pic>
              </a:graphicData>
            </a:graphic>
          </wp:inline>
        </w:drawing>
      </w:r>
    </w:p>
    <w:p w:rsidR="00A25213" w:rsidRPr="009040CB" w:rsidRDefault="00A25213" w:rsidP="00A25213">
      <w:r w:rsidRPr="009040CB">
        <w:t xml:space="preserve">As indicated </w:t>
      </w:r>
      <w:r>
        <w:t xml:space="preserve">in </w:t>
      </w:r>
      <w:r w:rsidRPr="00150116">
        <w:fldChar w:fldCharType="begin"/>
      </w:r>
      <w:r w:rsidRPr="00150116">
        <w:instrText xml:space="preserve"> REF _Ref484610023 \h </w:instrText>
      </w:r>
      <w:r w:rsidRPr="00150116">
        <w:fldChar w:fldCharType="separate"/>
      </w:r>
      <w:r w:rsidR="00DD5B32">
        <w:t>Figure </w:t>
      </w:r>
      <w:r w:rsidR="00DD5B32">
        <w:rPr>
          <w:noProof/>
        </w:rPr>
        <w:t>2</w:t>
      </w:r>
      <w:r w:rsidRPr="00150116">
        <w:fldChar w:fldCharType="end"/>
      </w:r>
      <w:r>
        <w:t xml:space="preserve">, it appears </w:t>
      </w:r>
      <w:r w:rsidRPr="009040CB">
        <w:t>that regulators in ot</w:t>
      </w:r>
      <w:r>
        <w:t>her jurisdictions base spectrum-</w:t>
      </w:r>
      <w:r w:rsidRPr="009040CB">
        <w:t xml:space="preserve">management decisions on multiple variables, including market demand </w:t>
      </w:r>
      <w:r>
        <w:t xml:space="preserve">and </w:t>
      </w:r>
      <w:r w:rsidRPr="009040CB">
        <w:t>the need to address a specific management issue (e.g. current use not in line with international harmonisation, under-utilisation in current use, and/or to facilitate a higher</w:t>
      </w:r>
      <w:r w:rsidR="00326705">
        <w:t>-</w:t>
      </w:r>
      <w:r w:rsidRPr="009040CB">
        <w:t xml:space="preserve">value use), as well as more broadly to stimulate innovation – which might require the regulator itself to be innovative and to select a novel approach to achieve a </w:t>
      </w:r>
      <w:r w:rsidR="006B0F4B">
        <w:t>specific</w:t>
      </w:r>
      <w:r w:rsidRPr="009040CB">
        <w:t xml:space="preserve"> objective/outcome.</w:t>
      </w:r>
      <w:r>
        <w:t xml:space="preserve"> </w:t>
      </w:r>
      <w:r w:rsidRPr="00446B51">
        <w:t>T</w:t>
      </w:r>
      <w:r w:rsidRPr="00B162E8">
        <w:t>he a</w:t>
      </w:r>
      <w:r w:rsidRPr="009040CB">
        <w:t>pplicability of alternative approaches is strongly linked to the market need</w:t>
      </w:r>
      <w:r w:rsidR="006B0F4B">
        <w:t xml:space="preserve"> and where simpler approaches are available, these are more likely to be favoured by the market than more complex alternatives</w:t>
      </w:r>
      <w:r>
        <w:t>.</w:t>
      </w:r>
    </w:p>
    <w:p w:rsidR="00E179B6" w:rsidRDefault="009A14DF" w:rsidP="00440C68">
      <w:r>
        <w:t>We have also noted that, a</w:t>
      </w:r>
      <w:r w:rsidR="00E179B6">
        <w:t xml:space="preserve">lthough </w:t>
      </w:r>
      <w:r w:rsidR="00E179B6" w:rsidRPr="009040CB">
        <w:t xml:space="preserve">flexibility in spectrum use is a useful general attribute, </w:t>
      </w:r>
      <w:r w:rsidR="00E179B6">
        <w:t>it</w:t>
      </w:r>
      <w:r w:rsidR="00E179B6" w:rsidRPr="009040CB">
        <w:t xml:space="preserve"> </w:t>
      </w:r>
      <w:r w:rsidR="00E179B6">
        <w:t xml:space="preserve">is </w:t>
      </w:r>
      <w:r w:rsidR="00E179B6" w:rsidRPr="009040CB">
        <w:t xml:space="preserve">less </w:t>
      </w:r>
      <w:r w:rsidR="00E179B6">
        <w:t>important</w:t>
      </w:r>
      <w:r w:rsidR="00E179B6" w:rsidRPr="009040CB">
        <w:t xml:space="preserve"> in periods when </w:t>
      </w:r>
      <w:r w:rsidR="00E179B6">
        <w:t>market developments are clearly pointing</w:t>
      </w:r>
      <w:r w:rsidR="00E179B6" w:rsidRPr="009040CB">
        <w:t xml:space="preserve"> towards re-assignment of key spectrum (e.g. </w:t>
      </w:r>
      <w:r w:rsidR="00E179B6">
        <w:t xml:space="preserve">towards mobile communications), as </w:t>
      </w:r>
      <w:r w:rsidR="00116BA2">
        <w:t>they are</w:t>
      </w:r>
      <w:r w:rsidR="00E179B6">
        <w:t xml:space="preserve"> today</w:t>
      </w:r>
      <w:r w:rsidR="00E179B6" w:rsidRPr="009040CB">
        <w:t xml:space="preserve">. </w:t>
      </w:r>
      <w:r w:rsidR="00385EF1">
        <w:t>Pressure for service-neutral assignment methods in key bands is reduced if a band is harmonised internationally for a particular purpose</w:t>
      </w:r>
      <w:r w:rsidR="00E179B6" w:rsidRPr="009040CB">
        <w:t xml:space="preserve">. However, </w:t>
      </w:r>
      <w:r w:rsidR="006B0F4B">
        <w:t xml:space="preserve">use </w:t>
      </w:r>
      <w:r w:rsidR="00E179B6" w:rsidRPr="009040CB">
        <w:t>of service-neutral assignment methods is an important goal</w:t>
      </w:r>
      <w:r w:rsidR="00E25F58">
        <w:t xml:space="preserve"> </w:t>
      </w:r>
      <w:r w:rsidR="006B0F4B">
        <w:t>for the ACMA</w:t>
      </w:r>
      <w:r w:rsidR="00E179B6" w:rsidRPr="009040CB">
        <w:t>, both in t</w:t>
      </w:r>
      <w:r w:rsidR="00E179B6">
        <w:t>he short term to deal with more-</w:t>
      </w:r>
      <w:r w:rsidR="00E179B6" w:rsidRPr="009040CB">
        <w:t xml:space="preserve">complex </w:t>
      </w:r>
      <w:r w:rsidR="006B0F4B">
        <w:t>spectrum sharing situations</w:t>
      </w:r>
      <w:r w:rsidR="00E179B6" w:rsidRPr="009040CB">
        <w:t>, and for the medium</w:t>
      </w:r>
      <w:r w:rsidR="00E179B6">
        <w:t xml:space="preserve"> </w:t>
      </w:r>
      <w:r w:rsidR="00E179B6" w:rsidRPr="009040CB">
        <w:t xml:space="preserve">term when market directions may change. The same </w:t>
      </w:r>
      <w:r w:rsidR="00E179B6">
        <w:t xml:space="preserve">also applies to </w:t>
      </w:r>
      <w:r w:rsidR="00E179B6" w:rsidRPr="009040CB">
        <w:t>methods of interference management</w:t>
      </w:r>
      <w:r w:rsidR="00E179B6">
        <w:t>,</w:t>
      </w:r>
      <w:r w:rsidR="00E179B6" w:rsidRPr="009040CB">
        <w:t xml:space="preserve"> which support more and quicker change</w:t>
      </w:r>
      <w:r w:rsidR="00E179B6">
        <w:t>s</w:t>
      </w:r>
      <w:r w:rsidR="00A25213">
        <w:t xml:space="preserve"> of use.</w:t>
      </w:r>
    </w:p>
    <w:p w:rsidR="00440C68" w:rsidRDefault="00440C68" w:rsidP="00440C68">
      <w:r>
        <w:t>From our review of international approaches to spectrum management, we found that</w:t>
      </w:r>
      <w:r w:rsidRPr="009379E2">
        <w:t>:</w:t>
      </w:r>
    </w:p>
    <w:p w:rsidR="00440C68" w:rsidRPr="00C36F3E" w:rsidRDefault="00440C68" w:rsidP="00440C68">
      <w:pPr>
        <w:pStyle w:val="I1"/>
        <w:ind w:left="360" w:hanging="360"/>
      </w:pPr>
      <w:r w:rsidRPr="00C36F3E">
        <w:t xml:space="preserve">Increased demand for spectrum – especially for wireless broadband services – is placing increasing emphasis on making better use of spectrum and on spectrum sharing. This trend is being witnessed worldwide, although to date there have been relatively few examples of new and novel approaches to sharing </w:t>
      </w:r>
      <w:r w:rsidR="00773FD7">
        <w:t xml:space="preserve">resulting in new commercial deployments </w:t>
      </w:r>
      <w:r w:rsidRPr="00C36F3E">
        <w:t>(there are indications, however, that these models might evolve in future).</w:t>
      </w:r>
    </w:p>
    <w:p w:rsidR="00440C68" w:rsidRDefault="00FF69C2" w:rsidP="00440C68">
      <w:pPr>
        <w:pStyle w:val="I1"/>
        <w:ind w:left="360" w:hanging="360"/>
      </w:pPr>
      <w:r>
        <w:t xml:space="preserve">If </w:t>
      </w:r>
      <w:r w:rsidR="00E25F58">
        <w:t>a presumption of spectrum sharing</w:t>
      </w:r>
      <w:r>
        <w:t xml:space="preserve"> becomes commonplace in future, this will have </w:t>
      </w:r>
      <w:r w:rsidR="00440C68">
        <w:t xml:space="preserve">market implications in terms of licence durations and how these </w:t>
      </w:r>
      <w:r>
        <w:t>are</w:t>
      </w:r>
      <w:r w:rsidR="00E25F58">
        <w:t xml:space="preserve"> </w:t>
      </w:r>
      <w:r w:rsidR="00440C68">
        <w:t xml:space="preserve">defined (noting that for spectrum assigned on an exclusive basis, licences typically have a </w:t>
      </w:r>
      <w:r>
        <w:t xml:space="preserve">longer </w:t>
      </w:r>
      <w:r w:rsidR="00440C68">
        <w:t xml:space="preserve">fixed duration of 15 to 20 years). In a shared spectrum environment, clear regulatory </w:t>
      </w:r>
      <w:r w:rsidR="00440C68">
        <w:lastRenderedPageBreak/>
        <w:t>policy on licence duration</w:t>
      </w:r>
      <w:r>
        <w:t xml:space="preserve"> - and application of similar longer term licence durations -</w:t>
      </w:r>
      <w:r w:rsidR="00440C68">
        <w:t xml:space="preserve"> will be needed to avoid widespread uncertainty, which could dampen incentives for operators to invest in new solutions. There might also be implications in terms of the pricing of spectrum – further consideration of how ‘opportunity-based pricing’ (i.e. reflecting the market value of spectrum) applies in shared spectrum might be needed.</w:t>
      </w:r>
    </w:p>
    <w:p w:rsidR="00440C68" w:rsidRDefault="00440C68" w:rsidP="00440C68">
      <w:pPr>
        <w:pStyle w:val="I1"/>
        <w:ind w:left="360" w:hanging="360"/>
      </w:pPr>
      <w:r w:rsidRPr="0043706C">
        <w:t xml:space="preserve">Private band management </w:t>
      </w:r>
      <w:r>
        <w:t>may play a greater</w:t>
      </w:r>
      <w:r w:rsidRPr="0043706C">
        <w:t xml:space="preserve"> role</w:t>
      </w:r>
      <w:r>
        <w:t xml:space="preserve"> in future</w:t>
      </w:r>
      <w:r w:rsidR="00D75885">
        <w:t>,</w:t>
      </w:r>
      <w:r w:rsidRPr="0043706C">
        <w:t xml:space="preserve"> enabl</w:t>
      </w:r>
      <w:r w:rsidR="00D75885">
        <w:t>ing</w:t>
      </w:r>
      <w:r w:rsidRPr="0043706C">
        <w:t xml:space="preserve"> operators to </w:t>
      </w:r>
      <w:r>
        <w:t>manage their own deployments within a block of assigned frequencies</w:t>
      </w:r>
      <w:r w:rsidRPr="0043706C">
        <w:t>, or grant</w:t>
      </w:r>
      <w:r w:rsidR="00D75885">
        <w:t>ing</w:t>
      </w:r>
      <w:r w:rsidRPr="0043706C">
        <w:t xml:space="preserve"> authority to private companies to co</w:t>
      </w:r>
      <w:r>
        <w:t>-</w:t>
      </w:r>
      <w:r w:rsidRPr="0043706C">
        <w:t>ordinate sp</w:t>
      </w:r>
      <w:r>
        <w:t>ectrum for specific equipment ty</w:t>
      </w:r>
      <w:r w:rsidRPr="0043706C">
        <w:t>pes</w:t>
      </w:r>
      <w:r>
        <w:t>.</w:t>
      </w:r>
    </w:p>
    <w:p w:rsidR="00440C68" w:rsidRDefault="00440C68" w:rsidP="00440C68">
      <w:pPr>
        <w:pStyle w:val="I1"/>
        <w:ind w:left="360" w:hanging="360"/>
      </w:pPr>
      <w:r>
        <w:t>F</w:t>
      </w:r>
      <w:r w:rsidRPr="001D2A64">
        <w:t>uture marke</w:t>
      </w:r>
      <w:r>
        <w:t>ts will</w:t>
      </w:r>
      <w:r w:rsidRPr="001D2A64">
        <w:t xml:space="preserve"> be more dynamic, </w:t>
      </w:r>
      <w:r>
        <w:t>and so it is essential that</w:t>
      </w:r>
      <w:r w:rsidRPr="00515413">
        <w:t xml:space="preserve"> </w:t>
      </w:r>
      <w:r>
        <w:t xml:space="preserve">real-time </w:t>
      </w:r>
      <w:r w:rsidRPr="00515413">
        <w:t xml:space="preserve">information </w:t>
      </w:r>
      <w:r>
        <w:t xml:space="preserve">on spectrum management becomes available </w:t>
      </w:r>
      <w:r w:rsidRPr="00515413">
        <w:t>to facilitate more flexible spectrum use and sharing</w:t>
      </w:r>
      <w:r>
        <w:t xml:space="preserve">, which might imply </w:t>
      </w:r>
      <w:r w:rsidR="00D75885">
        <w:t xml:space="preserve">the need for </w:t>
      </w:r>
      <w:r>
        <w:t>new forms of spectrum monitoring.</w:t>
      </w:r>
    </w:p>
    <w:p w:rsidR="00440C68" w:rsidRDefault="00440C68" w:rsidP="00440C68">
      <w:pPr>
        <w:pStyle w:val="I1"/>
        <w:ind w:left="360" w:hanging="360"/>
      </w:pPr>
      <w:r w:rsidRPr="001D2A64">
        <w:t xml:space="preserve">The time taken to reach agreement on implementing spectrum sharing </w:t>
      </w:r>
      <w:r>
        <w:t xml:space="preserve">in some markets </w:t>
      </w:r>
      <w:r w:rsidRPr="001D2A64">
        <w:t>seems to be a</w:t>
      </w:r>
      <w:r>
        <w:t xml:space="preserve"> key disadvantage of current sharing models, and more rapid deployment </w:t>
      </w:r>
      <w:r w:rsidR="00D75885">
        <w:t xml:space="preserve">is </w:t>
      </w:r>
      <w:r>
        <w:t xml:space="preserve">likely </w:t>
      </w:r>
      <w:r w:rsidR="00D75885">
        <w:t xml:space="preserve">to be </w:t>
      </w:r>
      <w:r>
        <w:t>require</w:t>
      </w:r>
      <w:r w:rsidR="00D75885">
        <w:t>d in future</w:t>
      </w:r>
      <w:r>
        <w:t>.</w:t>
      </w:r>
    </w:p>
    <w:p w:rsidR="00440C68" w:rsidRDefault="00440C68" w:rsidP="00440C68">
      <w:pPr>
        <w:pStyle w:val="I1"/>
        <w:ind w:left="360" w:hanging="360"/>
      </w:pPr>
      <w:r w:rsidRPr="00B028A7">
        <w:t xml:space="preserve">Tiered spectrum </w:t>
      </w:r>
      <w:r>
        <w:t>access,</w:t>
      </w:r>
      <w:r w:rsidRPr="00B028A7">
        <w:t xml:space="preserve"> whereby users can bid for h</w:t>
      </w:r>
      <w:r>
        <w:t>igher-</w:t>
      </w:r>
      <w:r w:rsidRPr="00B028A7">
        <w:t xml:space="preserve">priority rights of spectrum </w:t>
      </w:r>
      <w:r>
        <w:t xml:space="preserve">use, has merit and might overcome issues within some sharing models where </w:t>
      </w:r>
      <w:r w:rsidR="00FF69C2">
        <w:t>new</w:t>
      </w:r>
      <w:r w:rsidR="00D75885">
        <w:t xml:space="preserve"> </w:t>
      </w:r>
      <w:r>
        <w:t xml:space="preserve">users </w:t>
      </w:r>
      <w:r w:rsidR="00FF69C2">
        <w:t xml:space="preserve">can only </w:t>
      </w:r>
      <w:r>
        <w:t>operate under class-licence conditions (i.e. no guarantee of quality of service (QoS) and increased risk of interference, such as in the case of television white space</w:t>
      </w:r>
      <w:r w:rsidR="00D75885">
        <w:t xml:space="preserve"> </w:t>
      </w:r>
      <w:r w:rsidR="003026F1">
        <w:t>(</w:t>
      </w:r>
      <w:r>
        <w:t>T</w:t>
      </w:r>
      <w:r w:rsidRPr="00B028A7">
        <w:t>VWS</w:t>
      </w:r>
      <w:r w:rsidR="003026F1">
        <w:t>)</w:t>
      </w:r>
      <w:r>
        <w:t>).</w:t>
      </w:r>
    </w:p>
    <w:p w:rsidR="00440C68" w:rsidRDefault="00440C68" w:rsidP="00440C68">
      <w:pPr>
        <w:pStyle w:val="I1"/>
        <w:ind w:left="360" w:hanging="360"/>
      </w:pPr>
      <w:r>
        <w:t xml:space="preserve">To prevent poorly performing receivers being a limiting factor in the </w:t>
      </w:r>
      <w:r w:rsidRPr="00B028A7">
        <w:t>introduction of more flexible sharing models</w:t>
      </w:r>
      <w:r>
        <w:t xml:space="preserve"> in future,</w:t>
      </w:r>
      <w:r w:rsidRPr="00B028A7">
        <w:t xml:space="preserve"> receiver design might need to be m</w:t>
      </w:r>
      <w:r>
        <w:t>ore actively regulated, to improve performance and achieve greater conformity between different models.</w:t>
      </w:r>
    </w:p>
    <w:p w:rsidR="00440C68" w:rsidRPr="009A6511" w:rsidRDefault="00440C68" w:rsidP="00440C68">
      <w:pPr>
        <w:pStyle w:val="I1"/>
        <w:ind w:left="360" w:hanging="360"/>
      </w:pPr>
      <w:r>
        <w:t>Without sharing, f</w:t>
      </w:r>
      <w:r w:rsidRPr="00B028A7">
        <w:t xml:space="preserve">inding </w:t>
      </w:r>
      <w:r>
        <w:t xml:space="preserve">sufficiently wide contiguous </w:t>
      </w:r>
      <w:r w:rsidRPr="00B028A7">
        <w:t xml:space="preserve">frequency bands </w:t>
      </w:r>
      <w:r>
        <w:t>needed for</w:t>
      </w:r>
      <w:r w:rsidRPr="00B028A7">
        <w:t xml:space="preserve"> </w:t>
      </w:r>
      <w:r w:rsidR="00FF69C2">
        <w:t>the 5G ‘new radio’ radio access network (5G RAN) (e.g. in</w:t>
      </w:r>
      <w:r>
        <w:t xml:space="preserve"> multiples of 100MHz)</w:t>
      </w:r>
      <w:r w:rsidRPr="00B028A7">
        <w:t xml:space="preserve"> will be challenging </w:t>
      </w:r>
      <w:r>
        <w:t xml:space="preserve">to achieve. Given the frequency bands being considered internationally for 5G (e.g. 26GHz and 28GHz), there may be a need to implement appropriate </w:t>
      </w:r>
      <w:r w:rsidRPr="00B028A7">
        <w:t xml:space="preserve">sharing provisions </w:t>
      </w:r>
      <w:r>
        <w:t>between 5G and the existing services in those bands.</w:t>
      </w:r>
    </w:p>
    <w:p w:rsidR="00523A7C" w:rsidRPr="0055369B" w:rsidRDefault="00523A7C" w:rsidP="00523A7C">
      <w:bookmarkStart w:id="6" w:name="SectionReportBody"/>
      <w:bookmarkStart w:id="7" w:name="_Ref479674624"/>
      <w:r w:rsidRPr="001B0105">
        <w:t xml:space="preserve">A summary of the band characteristics and other factors </w:t>
      </w:r>
      <w:r w:rsidR="004D5D54">
        <w:t>that influence</w:t>
      </w:r>
      <w:r w:rsidRPr="001B0105">
        <w:t xml:space="preserve"> overseas regulators </w:t>
      </w:r>
      <w:r w:rsidR="004D5D54">
        <w:t>in their choice of spectrum-</w:t>
      </w:r>
      <w:r w:rsidRPr="001B0105">
        <w:t xml:space="preserve">management </w:t>
      </w:r>
      <w:r w:rsidR="00A04305">
        <w:t>options</w:t>
      </w:r>
      <w:r w:rsidR="004D5D54">
        <w:t xml:space="preserve"> </w:t>
      </w:r>
      <w:r w:rsidRPr="0055369B">
        <w:t xml:space="preserve">is </w:t>
      </w:r>
      <w:r w:rsidR="00A02D07">
        <w:t xml:space="preserve">provided in </w:t>
      </w:r>
      <w:r w:rsidR="0079253A" w:rsidRPr="00150116">
        <w:fldChar w:fldCharType="begin"/>
      </w:r>
      <w:r w:rsidR="0079253A" w:rsidRPr="00150116">
        <w:instrText xml:space="preserve"> REF _Ref483301493 \h </w:instrText>
      </w:r>
      <w:r w:rsidR="0079253A" w:rsidRPr="00150116">
        <w:fldChar w:fldCharType="separate"/>
      </w:r>
      <w:r w:rsidR="00DD5B32">
        <w:t>Figure </w:t>
      </w:r>
      <w:r w:rsidR="00DD5B32">
        <w:rPr>
          <w:noProof/>
        </w:rPr>
        <w:t>3</w:t>
      </w:r>
      <w:r w:rsidR="0079253A" w:rsidRPr="00150116">
        <w:fldChar w:fldCharType="end"/>
      </w:r>
      <w:r w:rsidR="00A02D07">
        <w:t xml:space="preserve"> below</w:t>
      </w:r>
      <w:r w:rsidRPr="0055369B">
        <w:t>.</w:t>
      </w:r>
    </w:p>
    <w:p w:rsidR="009F795E" w:rsidRDefault="009F795E" w:rsidP="009F795E">
      <w:pPr>
        <w:sectPr w:rsidR="009F795E" w:rsidSect="00507D29">
          <w:headerReference w:type="even" r:id="rId22"/>
          <w:headerReference w:type="default" r:id="rId23"/>
          <w:headerReference w:type="first" r:id="rId24"/>
          <w:pgSz w:w="11907" w:h="16840" w:code="9"/>
          <w:pgMar w:top="1418" w:right="1588" w:bottom="1418" w:left="1588" w:header="567" w:footer="567" w:gutter="0"/>
          <w:pgNumType w:start="1"/>
          <w:cols w:space="720"/>
          <w:titlePg/>
          <w:docGrid w:linePitch="224"/>
        </w:sectPr>
      </w:pPr>
    </w:p>
    <w:p w:rsidR="009F795E" w:rsidRDefault="009F795E" w:rsidP="009F795E">
      <w:pPr>
        <w:pStyle w:val="TableCaption"/>
      </w:pPr>
      <w:bookmarkStart w:id="8" w:name="_Ref483301493"/>
      <w:r>
        <w:lastRenderedPageBreak/>
        <w:t>Figure</w:t>
      </w:r>
      <w:r w:rsidR="004D5D54">
        <w:t> </w:t>
      </w:r>
      <w:fldSimple w:instr=" SEQ Figure \* ARABIC \s 1 \* MERGEFORMAT ">
        <w:r w:rsidR="00DD5B32">
          <w:rPr>
            <w:noProof/>
          </w:rPr>
          <w:t>3</w:t>
        </w:r>
      </w:fldSimple>
      <w:bookmarkEnd w:id="8"/>
      <w:r>
        <w:t xml:space="preserve">: Summary of rationale for choosing different </w:t>
      </w:r>
      <w:r w:rsidR="004D5D54">
        <w:t xml:space="preserve">spectrum-management </w:t>
      </w:r>
      <w:r>
        <w:t>options [Source: Analysys Mason, 2017]</w:t>
      </w:r>
    </w:p>
    <w:tbl>
      <w:tblPr>
        <w:tblStyle w:val="MediumShading2-Accent1"/>
        <w:tblW w:w="13665" w:type="dxa"/>
        <w:tblBorders>
          <w:top w:val="none" w:sz="0" w:space="0" w:color="auto"/>
          <w:bottom w:val="single" w:sz="4" w:space="0" w:color="C0C0C0"/>
        </w:tblBorders>
        <w:tblLook w:val="0420" w:firstRow="1" w:lastRow="0" w:firstColumn="0" w:lastColumn="0" w:noHBand="0" w:noVBand="1"/>
      </w:tblPr>
      <w:tblGrid>
        <w:gridCol w:w="1285"/>
        <w:gridCol w:w="2476"/>
        <w:gridCol w:w="2476"/>
        <w:gridCol w:w="2476"/>
        <w:gridCol w:w="2476"/>
        <w:gridCol w:w="2476"/>
      </w:tblGrid>
      <w:tr w:rsidR="009F795E" w:rsidRPr="00FE6FCC" w:rsidTr="001401E1">
        <w:trPr>
          <w:cnfStyle w:val="100000000000" w:firstRow="1" w:lastRow="0" w:firstColumn="0" w:lastColumn="0" w:oddVBand="0" w:evenVBand="0" w:oddHBand="0" w:evenHBand="0" w:firstRowFirstColumn="0" w:firstRowLastColumn="0" w:lastRowFirstColumn="0" w:lastRowLastColumn="0"/>
          <w:tblHeader/>
        </w:trPr>
        <w:tc>
          <w:tcPr>
            <w:tcW w:w="467" w:type="pct"/>
            <w:tcBorders>
              <w:top w:val="none" w:sz="0" w:space="0" w:color="auto"/>
              <w:left w:val="none" w:sz="0" w:space="0" w:color="auto"/>
              <w:bottom w:val="none" w:sz="0" w:space="0" w:color="auto"/>
              <w:right w:val="none" w:sz="0" w:space="0" w:color="auto"/>
            </w:tcBorders>
            <w:shd w:val="solid" w:color="221F72" w:fill="221F72"/>
          </w:tcPr>
          <w:p w:rsidR="009F795E" w:rsidRPr="00FE6FCC" w:rsidRDefault="009F795E" w:rsidP="001401E1">
            <w:pPr>
              <w:pStyle w:val="Tableheading"/>
              <w:ind w:right="0"/>
              <w:rPr>
                <w:b/>
              </w:rPr>
            </w:pPr>
          </w:p>
        </w:tc>
        <w:tc>
          <w:tcPr>
            <w:tcW w:w="900" w:type="pct"/>
            <w:tcBorders>
              <w:top w:val="none" w:sz="0" w:space="0" w:color="auto"/>
              <w:left w:val="none" w:sz="0" w:space="0" w:color="auto"/>
              <w:bottom w:val="none" w:sz="0" w:space="0" w:color="auto"/>
              <w:right w:val="none" w:sz="0" w:space="0" w:color="auto"/>
            </w:tcBorders>
            <w:shd w:val="solid" w:color="221F72" w:fill="221F72"/>
          </w:tcPr>
          <w:p w:rsidR="009F795E" w:rsidRPr="00FE6FCC" w:rsidRDefault="005C4E82" w:rsidP="001401E1">
            <w:pPr>
              <w:pStyle w:val="Tableheading"/>
              <w:ind w:right="0"/>
              <w:rPr>
                <w:b/>
              </w:rPr>
            </w:pPr>
            <w:r>
              <w:rPr>
                <w:b/>
                <w:sz w:val="16"/>
                <w:szCs w:val="16"/>
              </w:rPr>
              <w:t>TV white space</w:t>
            </w:r>
          </w:p>
        </w:tc>
        <w:tc>
          <w:tcPr>
            <w:tcW w:w="900" w:type="pct"/>
            <w:tcBorders>
              <w:top w:val="none" w:sz="0" w:space="0" w:color="auto"/>
              <w:left w:val="none" w:sz="0" w:space="0" w:color="auto"/>
              <w:bottom w:val="none" w:sz="0" w:space="0" w:color="auto"/>
              <w:right w:val="none" w:sz="0" w:space="0" w:color="auto"/>
            </w:tcBorders>
            <w:shd w:val="solid" w:color="221F72" w:fill="221F72"/>
          </w:tcPr>
          <w:p w:rsidR="009F795E" w:rsidRPr="00FE6FCC" w:rsidRDefault="001B38D8" w:rsidP="001401E1">
            <w:pPr>
              <w:pStyle w:val="Tableheading"/>
              <w:ind w:right="0"/>
              <w:rPr>
                <w:b/>
              </w:rPr>
            </w:pPr>
            <w:r>
              <w:rPr>
                <w:b/>
                <w:sz w:val="16"/>
                <w:szCs w:val="16"/>
              </w:rPr>
              <w:t>CBRS/tiered sharing</w:t>
            </w:r>
          </w:p>
        </w:tc>
        <w:tc>
          <w:tcPr>
            <w:tcW w:w="900" w:type="pct"/>
            <w:tcBorders>
              <w:top w:val="none" w:sz="0" w:space="0" w:color="auto"/>
              <w:left w:val="none" w:sz="0" w:space="0" w:color="auto"/>
              <w:bottom w:val="none" w:sz="0" w:space="0" w:color="auto"/>
              <w:right w:val="none" w:sz="0" w:space="0" w:color="auto"/>
            </w:tcBorders>
            <w:shd w:val="solid" w:color="221F72" w:fill="221F72"/>
          </w:tcPr>
          <w:p w:rsidR="009F795E" w:rsidRPr="00FE6FCC" w:rsidRDefault="009F795E" w:rsidP="001401E1">
            <w:pPr>
              <w:pStyle w:val="Tableheading"/>
              <w:ind w:right="0"/>
              <w:rPr>
                <w:b/>
              </w:rPr>
            </w:pPr>
            <w:r w:rsidRPr="003A67EA">
              <w:rPr>
                <w:b/>
                <w:sz w:val="16"/>
                <w:szCs w:val="16"/>
              </w:rPr>
              <w:t>Incentive auction</w:t>
            </w:r>
          </w:p>
        </w:tc>
        <w:tc>
          <w:tcPr>
            <w:tcW w:w="900" w:type="pct"/>
            <w:tcBorders>
              <w:top w:val="none" w:sz="0" w:space="0" w:color="auto"/>
              <w:left w:val="none" w:sz="0" w:space="0" w:color="auto"/>
              <w:bottom w:val="none" w:sz="0" w:space="0" w:color="auto"/>
              <w:right w:val="none" w:sz="0" w:space="0" w:color="auto"/>
            </w:tcBorders>
            <w:shd w:val="solid" w:color="221F72" w:fill="221F72"/>
          </w:tcPr>
          <w:p w:rsidR="009F795E" w:rsidRPr="00FE6FCC" w:rsidRDefault="009F795E" w:rsidP="001401E1">
            <w:pPr>
              <w:pStyle w:val="Tableheading"/>
              <w:ind w:right="0"/>
              <w:rPr>
                <w:b/>
              </w:rPr>
            </w:pPr>
            <w:r w:rsidRPr="003A67EA">
              <w:rPr>
                <w:b/>
                <w:sz w:val="16"/>
                <w:szCs w:val="16"/>
              </w:rPr>
              <w:t>Spectrum parks</w:t>
            </w:r>
          </w:p>
        </w:tc>
        <w:tc>
          <w:tcPr>
            <w:tcW w:w="900" w:type="pct"/>
            <w:tcBorders>
              <w:top w:val="none" w:sz="0" w:space="0" w:color="auto"/>
              <w:left w:val="none" w:sz="0" w:space="0" w:color="auto"/>
              <w:bottom w:val="none" w:sz="0" w:space="0" w:color="auto"/>
              <w:right w:val="none" w:sz="0" w:space="0" w:color="auto"/>
            </w:tcBorders>
            <w:shd w:val="solid" w:color="221F72" w:fill="221F72"/>
          </w:tcPr>
          <w:p w:rsidR="009F795E" w:rsidRPr="00FE6FCC" w:rsidRDefault="009F795E" w:rsidP="001401E1">
            <w:pPr>
              <w:pStyle w:val="Tableheading"/>
              <w:ind w:right="0"/>
              <w:rPr>
                <w:b/>
              </w:rPr>
            </w:pPr>
            <w:r w:rsidRPr="003A67EA">
              <w:rPr>
                <w:b/>
                <w:sz w:val="16"/>
                <w:szCs w:val="16"/>
              </w:rPr>
              <w:t>LSA</w:t>
            </w:r>
          </w:p>
        </w:tc>
      </w:tr>
      <w:tr w:rsidR="009F795E" w:rsidTr="001401E1">
        <w:trPr>
          <w:cnfStyle w:val="000000100000" w:firstRow="0" w:lastRow="0" w:firstColumn="0" w:lastColumn="0" w:oddVBand="0" w:evenVBand="0" w:oddHBand="1" w:evenHBand="0" w:firstRowFirstColumn="0" w:firstRowLastColumn="0" w:lastRowFirstColumn="0" w:lastRowLastColumn="0"/>
        </w:trPr>
        <w:tc>
          <w:tcPr>
            <w:tcW w:w="467" w:type="pct"/>
          </w:tcPr>
          <w:p w:rsidR="009F795E" w:rsidRDefault="009F795E" w:rsidP="001401E1">
            <w:pPr>
              <w:pStyle w:val="Tablecells"/>
              <w:ind w:right="0"/>
            </w:pPr>
            <w:r w:rsidRPr="003A67EA">
              <w:rPr>
                <w:sz w:val="16"/>
                <w:szCs w:val="16"/>
              </w:rPr>
              <w:t>User requirements</w:t>
            </w:r>
          </w:p>
        </w:tc>
        <w:tc>
          <w:tcPr>
            <w:tcW w:w="900" w:type="pct"/>
          </w:tcPr>
          <w:p w:rsidR="009F795E" w:rsidRPr="00FE6FCC" w:rsidRDefault="009F795E" w:rsidP="001401E1">
            <w:pPr>
              <w:pStyle w:val="Tablecells"/>
              <w:numPr>
                <w:ilvl w:val="0"/>
                <w:numId w:val="25"/>
              </w:numPr>
              <w:ind w:left="284" w:right="0" w:hanging="284"/>
              <w:rPr>
                <w:sz w:val="16"/>
                <w:szCs w:val="16"/>
              </w:rPr>
            </w:pPr>
            <w:r w:rsidRPr="00FE6FCC">
              <w:rPr>
                <w:sz w:val="16"/>
                <w:szCs w:val="16"/>
              </w:rPr>
              <w:t>Facilitate wireless distribution around the home</w:t>
            </w:r>
          </w:p>
          <w:p w:rsidR="009F795E" w:rsidRPr="00FE6FCC" w:rsidRDefault="009F795E" w:rsidP="001401E1">
            <w:pPr>
              <w:pStyle w:val="Tablecells"/>
              <w:numPr>
                <w:ilvl w:val="0"/>
                <w:numId w:val="25"/>
              </w:numPr>
              <w:ind w:left="284" w:right="0" w:hanging="284"/>
              <w:rPr>
                <w:sz w:val="16"/>
                <w:szCs w:val="16"/>
              </w:rPr>
            </w:pPr>
            <w:r w:rsidRPr="00FE6FCC">
              <w:rPr>
                <w:sz w:val="16"/>
                <w:szCs w:val="16"/>
              </w:rPr>
              <w:t>Create local or personal area networks</w:t>
            </w:r>
          </w:p>
          <w:p w:rsidR="009F795E" w:rsidRPr="00FE6FCC" w:rsidRDefault="009F795E" w:rsidP="001401E1">
            <w:pPr>
              <w:pStyle w:val="Tablecells"/>
              <w:numPr>
                <w:ilvl w:val="0"/>
                <w:numId w:val="25"/>
              </w:numPr>
              <w:ind w:left="284" w:right="0" w:hanging="284"/>
              <w:rPr>
                <w:sz w:val="16"/>
                <w:szCs w:val="16"/>
              </w:rPr>
            </w:pPr>
            <w:r w:rsidRPr="00FE6FCC">
              <w:rPr>
                <w:sz w:val="16"/>
                <w:szCs w:val="16"/>
              </w:rPr>
              <w:t xml:space="preserve">Enable new applications </w:t>
            </w:r>
            <w:r>
              <w:rPr>
                <w:sz w:val="16"/>
                <w:szCs w:val="16"/>
              </w:rPr>
              <w:t>(</w:t>
            </w:r>
            <w:r w:rsidRPr="00FE6FCC">
              <w:rPr>
                <w:sz w:val="16"/>
                <w:szCs w:val="16"/>
              </w:rPr>
              <w:t xml:space="preserve">e.g. </w:t>
            </w:r>
            <w:r w:rsidR="00D75885">
              <w:rPr>
                <w:sz w:val="16"/>
                <w:szCs w:val="16"/>
              </w:rPr>
              <w:t xml:space="preserve">the </w:t>
            </w:r>
            <w:r w:rsidRPr="00FE6FCC">
              <w:rPr>
                <w:sz w:val="16"/>
                <w:szCs w:val="16"/>
              </w:rPr>
              <w:t>IoT</w:t>
            </w:r>
            <w:r>
              <w:rPr>
                <w:sz w:val="16"/>
                <w:szCs w:val="16"/>
              </w:rPr>
              <w:t>)</w:t>
            </w:r>
          </w:p>
        </w:tc>
        <w:tc>
          <w:tcPr>
            <w:tcW w:w="900" w:type="pct"/>
          </w:tcPr>
          <w:p w:rsidR="009F795E" w:rsidRPr="00FE6FCC" w:rsidRDefault="009F795E" w:rsidP="001401E1">
            <w:pPr>
              <w:pStyle w:val="Tablecells"/>
              <w:numPr>
                <w:ilvl w:val="0"/>
                <w:numId w:val="29"/>
              </w:numPr>
              <w:ind w:left="284" w:right="0" w:hanging="284"/>
              <w:rPr>
                <w:sz w:val="16"/>
                <w:szCs w:val="16"/>
              </w:rPr>
            </w:pPr>
            <w:r w:rsidRPr="00FE6FCC">
              <w:rPr>
                <w:sz w:val="16"/>
                <w:szCs w:val="16"/>
              </w:rPr>
              <w:t>Release further spectrum for MBB use</w:t>
            </w:r>
          </w:p>
          <w:p w:rsidR="009F795E" w:rsidRPr="00FE6FCC" w:rsidRDefault="009F795E" w:rsidP="001401E1">
            <w:pPr>
              <w:pStyle w:val="Tablecells"/>
              <w:numPr>
                <w:ilvl w:val="0"/>
                <w:numId w:val="29"/>
              </w:numPr>
              <w:ind w:left="284" w:right="0" w:hanging="284"/>
              <w:rPr>
                <w:sz w:val="16"/>
                <w:szCs w:val="16"/>
              </w:rPr>
            </w:pPr>
            <w:r w:rsidRPr="00FE6FCC">
              <w:rPr>
                <w:sz w:val="16"/>
                <w:szCs w:val="16"/>
              </w:rPr>
              <w:t>Enable new applications and business models</w:t>
            </w:r>
          </w:p>
          <w:p w:rsidR="009F795E" w:rsidRPr="00FE6FCC" w:rsidRDefault="009F795E" w:rsidP="001401E1">
            <w:pPr>
              <w:pStyle w:val="Tablecells"/>
              <w:numPr>
                <w:ilvl w:val="0"/>
                <w:numId w:val="25"/>
              </w:numPr>
              <w:ind w:left="284" w:right="0" w:hanging="284"/>
              <w:rPr>
                <w:sz w:val="16"/>
                <w:szCs w:val="16"/>
              </w:rPr>
            </w:pPr>
            <w:r w:rsidRPr="00FE6FCC">
              <w:rPr>
                <w:sz w:val="16"/>
                <w:szCs w:val="16"/>
              </w:rPr>
              <w:t>Create local or personal area networks</w:t>
            </w:r>
          </w:p>
        </w:tc>
        <w:tc>
          <w:tcPr>
            <w:tcW w:w="900" w:type="pct"/>
          </w:tcPr>
          <w:p w:rsidR="009F795E" w:rsidRDefault="009F795E" w:rsidP="001401E1">
            <w:pPr>
              <w:pStyle w:val="Tablecells"/>
              <w:ind w:right="0"/>
            </w:pPr>
            <w:r w:rsidRPr="003A67EA">
              <w:rPr>
                <w:sz w:val="16"/>
                <w:szCs w:val="16"/>
              </w:rPr>
              <w:t>Release further harmonised sub-1GHz spectrum for MBB use</w:t>
            </w:r>
          </w:p>
        </w:tc>
        <w:tc>
          <w:tcPr>
            <w:tcW w:w="900" w:type="pct"/>
          </w:tcPr>
          <w:p w:rsidR="009F795E" w:rsidRDefault="009F795E" w:rsidP="001401E1">
            <w:pPr>
              <w:pStyle w:val="Tablecells"/>
              <w:ind w:right="0"/>
            </w:pPr>
            <w:r w:rsidRPr="003A67EA">
              <w:rPr>
                <w:sz w:val="16"/>
                <w:szCs w:val="16"/>
              </w:rPr>
              <w:t>Enable new applications and business models</w:t>
            </w:r>
          </w:p>
        </w:tc>
        <w:tc>
          <w:tcPr>
            <w:tcW w:w="900" w:type="pct"/>
          </w:tcPr>
          <w:p w:rsidR="009F795E" w:rsidRDefault="009F795E" w:rsidP="001401E1">
            <w:pPr>
              <w:pStyle w:val="Tablecells"/>
              <w:ind w:right="0"/>
            </w:pPr>
            <w:r>
              <w:rPr>
                <w:sz w:val="16"/>
                <w:szCs w:val="16"/>
              </w:rPr>
              <w:t>Release further spectrum for MBB use</w:t>
            </w:r>
          </w:p>
        </w:tc>
      </w:tr>
      <w:tr w:rsidR="009F795E" w:rsidTr="001401E1">
        <w:tc>
          <w:tcPr>
            <w:tcW w:w="467" w:type="pct"/>
          </w:tcPr>
          <w:p w:rsidR="009F795E" w:rsidRDefault="009F795E" w:rsidP="001401E1">
            <w:pPr>
              <w:pStyle w:val="Tablecells"/>
              <w:ind w:right="0"/>
            </w:pPr>
            <w:r>
              <w:rPr>
                <w:sz w:val="16"/>
                <w:szCs w:val="16"/>
              </w:rPr>
              <w:t>Competitive environment</w:t>
            </w:r>
          </w:p>
        </w:tc>
        <w:tc>
          <w:tcPr>
            <w:tcW w:w="900" w:type="pct"/>
          </w:tcPr>
          <w:p w:rsidR="009F795E" w:rsidRPr="00FE6FCC" w:rsidRDefault="009F795E" w:rsidP="001401E1">
            <w:pPr>
              <w:pStyle w:val="Tablecells"/>
              <w:ind w:right="0"/>
              <w:rPr>
                <w:sz w:val="16"/>
                <w:szCs w:val="16"/>
              </w:rPr>
            </w:pPr>
            <w:r>
              <w:rPr>
                <w:sz w:val="16"/>
                <w:szCs w:val="16"/>
              </w:rPr>
              <w:t>Systems using white-space spectrum typically provide wireless broadband connectivity in a local area but do not compete directly with mobile networks, since white-space spectrum is typically used where mobile network coverage is limited (e.g. remote or rural locations)</w:t>
            </w:r>
          </w:p>
        </w:tc>
        <w:tc>
          <w:tcPr>
            <w:tcW w:w="900" w:type="pct"/>
          </w:tcPr>
          <w:p w:rsidR="009F795E" w:rsidRPr="00FE6FCC" w:rsidRDefault="009F795E" w:rsidP="001401E1">
            <w:pPr>
              <w:pStyle w:val="Tablecells"/>
              <w:ind w:right="0"/>
              <w:rPr>
                <w:sz w:val="16"/>
                <w:szCs w:val="16"/>
              </w:rPr>
            </w:pPr>
            <w:r>
              <w:rPr>
                <w:sz w:val="16"/>
                <w:szCs w:val="16"/>
              </w:rPr>
              <w:t xml:space="preserve">A mixture of MNOs and alternative operators </w:t>
            </w:r>
            <w:r w:rsidR="00FF69C2">
              <w:rPr>
                <w:sz w:val="16"/>
                <w:szCs w:val="16"/>
              </w:rPr>
              <w:t xml:space="preserve">in the USA </w:t>
            </w:r>
            <w:r>
              <w:rPr>
                <w:sz w:val="16"/>
                <w:szCs w:val="16"/>
              </w:rPr>
              <w:t>were seeking access to spectrum to provide further capacity for MBB use (by MNOs) and to enable new applications and business models (by alternative operators)</w:t>
            </w:r>
          </w:p>
        </w:tc>
        <w:tc>
          <w:tcPr>
            <w:tcW w:w="900" w:type="pct"/>
          </w:tcPr>
          <w:p w:rsidR="009F795E" w:rsidRDefault="009F795E" w:rsidP="001401E1">
            <w:pPr>
              <w:pStyle w:val="Tablecells"/>
              <w:ind w:right="0"/>
            </w:pPr>
            <w:r>
              <w:rPr>
                <w:sz w:val="16"/>
                <w:szCs w:val="16"/>
              </w:rPr>
              <w:t>Other sub-1GHz bands already assigned for MNO use; need for further sub-1GHz spectrum driven by wireless data traffic growth plus uneven distribution of existing sub-1GHz bands among existing MNOs</w:t>
            </w:r>
          </w:p>
        </w:tc>
        <w:tc>
          <w:tcPr>
            <w:tcW w:w="900" w:type="pct"/>
          </w:tcPr>
          <w:p w:rsidR="009F795E" w:rsidRDefault="009F795E" w:rsidP="001401E1">
            <w:pPr>
              <w:pStyle w:val="Tablecells"/>
              <w:ind w:right="0"/>
            </w:pPr>
            <w:r>
              <w:rPr>
                <w:sz w:val="16"/>
                <w:szCs w:val="16"/>
              </w:rPr>
              <w:t>Other blocks of 2.5GHz spectrum were assigned for exclusive licensed use, with a smaller portion of the band reserved for managed spectrum-park implementation</w:t>
            </w:r>
          </w:p>
        </w:tc>
        <w:tc>
          <w:tcPr>
            <w:tcW w:w="900" w:type="pct"/>
          </w:tcPr>
          <w:p w:rsidR="009F795E" w:rsidRDefault="009F795E" w:rsidP="001401E1">
            <w:pPr>
              <w:pStyle w:val="Tablecells"/>
              <w:ind w:right="0"/>
            </w:pPr>
            <w:r>
              <w:rPr>
                <w:sz w:val="16"/>
                <w:szCs w:val="16"/>
              </w:rPr>
              <w:t>Driven by MNO</w:t>
            </w:r>
            <w:r w:rsidR="00A01628">
              <w:rPr>
                <w:sz w:val="16"/>
                <w:szCs w:val="16"/>
              </w:rPr>
              <w:t>s’</w:t>
            </w:r>
            <w:r>
              <w:rPr>
                <w:sz w:val="16"/>
                <w:szCs w:val="16"/>
              </w:rPr>
              <w:t xml:space="preserve"> need for additional capacity to accommodate growth in wireless data traffic</w:t>
            </w:r>
          </w:p>
        </w:tc>
      </w:tr>
      <w:tr w:rsidR="009F795E" w:rsidTr="001401E1">
        <w:trPr>
          <w:cnfStyle w:val="000000100000" w:firstRow="0" w:lastRow="0" w:firstColumn="0" w:lastColumn="0" w:oddVBand="0" w:evenVBand="0" w:oddHBand="1" w:evenHBand="0" w:firstRowFirstColumn="0" w:firstRowLastColumn="0" w:lastRowFirstColumn="0" w:lastRowLastColumn="0"/>
        </w:trPr>
        <w:tc>
          <w:tcPr>
            <w:tcW w:w="467" w:type="pct"/>
          </w:tcPr>
          <w:p w:rsidR="009F795E" w:rsidRDefault="009F795E" w:rsidP="001401E1">
            <w:pPr>
              <w:pStyle w:val="Tablecells"/>
              <w:ind w:right="0"/>
            </w:pPr>
            <w:r w:rsidRPr="003A67EA">
              <w:rPr>
                <w:sz w:val="16"/>
                <w:szCs w:val="16"/>
              </w:rPr>
              <w:t>Usage and demand</w:t>
            </w:r>
          </w:p>
        </w:tc>
        <w:tc>
          <w:tcPr>
            <w:tcW w:w="900" w:type="pct"/>
          </w:tcPr>
          <w:p w:rsidR="009F795E" w:rsidRPr="00FE6FCC" w:rsidRDefault="005F15C8" w:rsidP="001401E1">
            <w:pPr>
              <w:pStyle w:val="Tablecells"/>
              <w:ind w:right="0"/>
              <w:rPr>
                <w:sz w:val="16"/>
                <w:szCs w:val="16"/>
              </w:rPr>
            </w:pPr>
            <w:r>
              <w:rPr>
                <w:sz w:val="16"/>
                <w:szCs w:val="16"/>
              </w:rPr>
              <w:t>Although demand for use of</w:t>
            </w:r>
            <w:r w:rsidR="009F795E">
              <w:rPr>
                <w:sz w:val="16"/>
                <w:szCs w:val="16"/>
              </w:rPr>
              <w:t xml:space="preserve"> white-space spectrum </w:t>
            </w:r>
            <w:r>
              <w:rPr>
                <w:sz w:val="16"/>
                <w:szCs w:val="16"/>
              </w:rPr>
              <w:t xml:space="preserve">was initially high, the number of deployed systems </w:t>
            </w:r>
            <w:r w:rsidR="009F795E">
              <w:rPr>
                <w:sz w:val="16"/>
                <w:szCs w:val="16"/>
              </w:rPr>
              <w:t xml:space="preserve">has been more limited </w:t>
            </w:r>
            <w:r>
              <w:rPr>
                <w:sz w:val="16"/>
                <w:szCs w:val="16"/>
              </w:rPr>
              <w:t xml:space="preserve">in all </w:t>
            </w:r>
            <w:r w:rsidR="009F795E">
              <w:rPr>
                <w:sz w:val="16"/>
                <w:szCs w:val="16"/>
              </w:rPr>
              <w:t>the markets where this management approach has been implemented</w:t>
            </w:r>
          </w:p>
        </w:tc>
        <w:tc>
          <w:tcPr>
            <w:tcW w:w="900" w:type="pct"/>
          </w:tcPr>
          <w:p w:rsidR="009F795E" w:rsidRPr="00FE6FCC" w:rsidRDefault="005F15C8" w:rsidP="001401E1">
            <w:pPr>
              <w:pStyle w:val="Tablecells"/>
              <w:ind w:right="0"/>
              <w:rPr>
                <w:sz w:val="16"/>
                <w:szCs w:val="16"/>
              </w:rPr>
            </w:pPr>
            <w:r>
              <w:rPr>
                <w:sz w:val="16"/>
                <w:szCs w:val="16"/>
              </w:rPr>
              <w:t>Demand f</w:t>
            </w:r>
            <w:r w:rsidR="00B60EE1">
              <w:rPr>
                <w:sz w:val="16"/>
                <w:szCs w:val="16"/>
              </w:rPr>
              <w:t>or access to this band has been strengthened by</w:t>
            </w:r>
            <w:r>
              <w:rPr>
                <w:sz w:val="16"/>
                <w:szCs w:val="16"/>
              </w:rPr>
              <w:t xml:space="preserve"> </w:t>
            </w:r>
            <w:r w:rsidR="00B60EE1">
              <w:rPr>
                <w:sz w:val="16"/>
                <w:szCs w:val="16"/>
              </w:rPr>
              <w:t xml:space="preserve">its </w:t>
            </w:r>
            <w:r>
              <w:rPr>
                <w:sz w:val="16"/>
                <w:szCs w:val="16"/>
              </w:rPr>
              <w:t>harmonisation for 4G/5G use</w:t>
            </w:r>
            <w:r w:rsidR="00A01628">
              <w:rPr>
                <w:sz w:val="16"/>
                <w:szCs w:val="16"/>
              </w:rPr>
              <w:t>.</w:t>
            </w:r>
            <w:r>
              <w:rPr>
                <w:sz w:val="16"/>
                <w:szCs w:val="16"/>
              </w:rPr>
              <w:t xml:space="preserve"> </w:t>
            </w:r>
            <w:r w:rsidR="00A01628">
              <w:rPr>
                <w:sz w:val="16"/>
                <w:szCs w:val="16"/>
              </w:rPr>
              <w:t>S</w:t>
            </w:r>
            <w:r w:rsidR="00BA141A">
              <w:rPr>
                <w:sz w:val="16"/>
                <w:szCs w:val="16"/>
              </w:rPr>
              <w:t>ix firms (Google, Qualcomm, Nokia, Intel, Ruckus Wireless and Federated Wireless</w:t>
            </w:r>
            <w:r w:rsidR="00A01628">
              <w:rPr>
                <w:sz w:val="16"/>
                <w:szCs w:val="16"/>
              </w:rPr>
              <w:t>)</w:t>
            </w:r>
            <w:r w:rsidR="00BA141A">
              <w:rPr>
                <w:sz w:val="16"/>
                <w:szCs w:val="16"/>
              </w:rPr>
              <w:t xml:space="preserve"> have formed the CBRS Alliance to develop an eco-system for systems to use this band (based on LTE)</w:t>
            </w:r>
            <w:r w:rsidR="009F795E">
              <w:rPr>
                <w:sz w:val="16"/>
                <w:szCs w:val="16"/>
              </w:rPr>
              <w:t xml:space="preserve"> </w:t>
            </w:r>
          </w:p>
        </w:tc>
        <w:tc>
          <w:tcPr>
            <w:tcW w:w="900" w:type="pct"/>
          </w:tcPr>
          <w:p w:rsidR="009F795E" w:rsidRDefault="00FF69C2" w:rsidP="001401E1">
            <w:pPr>
              <w:pStyle w:val="Tablecells"/>
              <w:ind w:right="0"/>
            </w:pPr>
            <w:r>
              <w:rPr>
                <w:sz w:val="16"/>
                <w:szCs w:val="16"/>
              </w:rPr>
              <w:t>In the USA, t</w:t>
            </w:r>
            <w:r w:rsidR="00BA141A">
              <w:rPr>
                <w:sz w:val="16"/>
                <w:szCs w:val="16"/>
              </w:rPr>
              <w:t xml:space="preserve">he forward auction </w:t>
            </w:r>
            <w:r>
              <w:rPr>
                <w:sz w:val="16"/>
                <w:szCs w:val="16"/>
              </w:rPr>
              <w:t xml:space="preserve">within the 600MHz incentive auction </w:t>
            </w:r>
            <w:r w:rsidR="00BA141A">
              <w:rPr>
                <w:sz w:val="16"/>
                <w:szCs w:val="16"/>
              </w:rPr>
              <w:t>concluded with buyers for most regional licences, with only a few regional licences remaining unsold. Net proceeds were USD19.3 billion</w:t>
            </w:r>
            <w:r w:rsidR="00A01628">
              <w:rPr>
                <w:sz w:val="16"/>
                <w:szCs w:val="16"/>
              </w:rPr>
              <w:t>,</w:t>
            </w:r>
            <w:r w:rsidR="00BA141A">
              <w:rPr>
                <w:sz w:val="16"/>
                <w:szCs w:val="16"/>
              </w:rPr>
              <w:t xml:space="preserve"> </w:t>
            </w:r>
            <w:r w:rsidR="00A01628">
              <w:rPr>
                <w:sz w:val="16"/>
                <w:szCs w:val="16"/>
              </w:rPr>
              <w:t xml:space="preserve">and the highest bidder was </w:t>
            </w:r>
            <w:r w:rsidR="00BA141A">
              <w:rPr>
                <w:sz w:val="16"/>
                <w:szCs w:val="16"/>
              </w:rPr>
              <w:t>T-Mobile (</w:t>
            </w:r>
            <w:r w:rsidR="00A01628">
              <w:rPr>
                <w:sz w:val="16"/>
                <w:szCs w:val="16"/>
              </w:rPr>
              <w:t xml:space="preserve">the MNO with </w:t>
            </w:r>
            <w:r w:rsidR="00BA141A">
              <w:rPr>
                <w:sz w:val="16"/>
                <w:szCs w:val="16"/>
              </w:rPr>
              <w:t xml:space="preserve">the least sub-1GHz spectrum before the auction) </w:t>
            </w:r>
          </w:p>
        </w:tc>
        <w:tc>
          <w:tcPr>
            <w:tcW w:w="900" w:type="pct"/>
          </w:tcPr>
          <w:p w:rsidR="00BA141A" w:rsidRPr="00BA141A" w:rsidRDefault="00A01628" w:rsidP="00BA141A">
            <w:pPr>
              <w:pStyle w:val="Tablecells"/>
              <w:ind w:right="0"/>
              <w:rPr>
                <w:sz w:val="16"/>
                <w:szCs w:val="16"/>
              </w:rPr>
            </w:pPr>
            <w:r>
              <w:rPr>
                <w:sz w:val="16"/>
                <w:szCs w:val="16"/>
              </w:rPr>
              <w:t xml:space="preserve">This </w:t>
            </w:r>
            <w:r w:rsidR="00BA141A">
              <w:rPr>
                <w:sz w:val="16"/>
                <w:szCs w:val="16"/>
              </w:rPr>
              <w:t>approach appears to have been popular in New Zealand</w:t>
            </w:r>
            <w:r>
              <w:rPr>
                <w:sz w:val="16"/>
                <w:szCs w:val="16"/>
              </w:rPr>
              <w:t>,</w:t>
            </w:r>
            <w:r w:rsidR="00BA141A">
              <w:rPr>
                <w:sz w:val="16"/>
                <w:szCs w:val="16"/>
              </w:rPr>
              <w:t xml:space="preserve"> with companies offering wireless area networking to hard-to-reach areas</w:t>
            </w:r>
          </w:p>
        </w:tc>
        <w:tc>
          <w:tcPr>
            <w:tcW w:w="900" w:type="pct"/>
          </w:tcPr>
          <w:p w:rsidR="009F795E" w:rsidRDefault="00076246" w:rsidP="001401E1">
            <w:pPr>
              <w:pStyle w:val="Tablecells"/>
              <w:ind w:right="0"/>
            </w:pPr>
            <w:r>
              <w:rPr>
                <w:sz w:val="16"/>
                <w:szCs w:val="16"/>
              </w:rPr>
              <w:t xml:space="preserve">Although not yet fully implemented, various European countries are </w:t>
            </w:r>
            <w:r w:rsidR="00A01628">
              <w:rPr>
                <w:sz w:val="16"/>
                <w:szCs w:val="16"/>
              </w:rPr>
              <w:t xml:space="preserve">conducting </w:t>
            </w:r>
            <w:r>
              <w:rPr>
                <w:sz w:val="16"/>
                <w:szCs w:val="16"/>
              </w:rPr>
              <w:t>trials</w:t>
            </w:r>
            <w:r w:rsidR="00A01628">
              <w:rPr>
                <w:sz w:val="16"/>
                <w:szCs w:val="16"/>
              </w:rPr>
              <w:t>,</w:t>
            </w:r>
            <w:r>
              <w:rPr>
                <w:sz w:val="16"/>
                <w:szCs w:val="16"/>
              </w:rPr>
              <w:t xml:space="preserve"> including Italy and France</w:t>
            </w:r>
          </w:p>
        </w:tc>
      </w:tr>
      <w:tr w:rsidR="009F795E" w:rsidTr="001401E1">
        <w:tc>
          <w:tcPr>
            <w:tcW w:w="467" w:type="pct"/>
          </w:tcPr>
          <w:p w:rsidR="009F795E" w:rsidRDefault="009F795E" w:rsidP="001401E1">
            <w:pPr>
              <w:pStyle w:val="Tablecells"/>
              <w:ind w:right="0"/>
            </w:pPr>
            <w:r w:rsidRPr="003A67EA">
              <w:rPr>
                <w:sz w:val="16"/>
                <w:szCs w:val="16"/>
              </w:rPr>
              <w:t>Regulatory development environment</w:t>
            </w:r>
          </w:p>
        </w:tc>
        <w:tc>
          <w:tcPr>
            <w:tcW w:w="900" w:type="pct"/>
          </w:tcPr>
          <w:p w:rsidR="009F795E" w:rsidRPr="00FE6FCC" w:rsidRDefault="009F795E" w:rsidP="001401E1">
            <w:pPr>
              <w:pStyle w:val="Tablecells"/>
              <w:ind w:right="0"/>
              <w:rPr>
                <w:sz w:val="16"/>
                <w:szCs w:val="16"/>
              </w:rPr>
            </w:pPr>
            <w:r>
              <w:rPr>
                <w:sz w:val="16"/>
                <w:szCs w:val="16"/>
              </w:rPr>
              <w:t xml:space="preserve">Once implemented, the geolocation database approach minimises the effort needed to manage white-space spectrum, but significant regulatory effort </w:t>
            </w:r>
            <w:r w:rsidR="00A01628">
              <w:rPr>
                <w:sz w:val="16"/>
                <w:szCs w:val="16"/>
              </w:rPr>
              <w:t xml:space="preserve">is required when </w:t>
            </w:r>
            <w:r>
              <w:rPr>
                <w:sz w:val="16"/>
                <w:szCs w:val="16"/>
              </w:rPr>
              <w:t xml:space="preserve">designing the approach. The objective </w:t>
            </w:r>
            <w:r w:rsidR="00A01628">
              <w:rPr>
                <w:sz w:val="16"/>
                <w:szCs w:val="16"/>
              </w:rPr>
              <w:t xml:space="preserve">is </w:t>
            </w:r>
            <w:r>
              <w:rPr>
                <w:sz w:val="16"/>
                <w:szCs w:val="16"/>
              </w:rPr>
              <w:t>to make the environment as flexible and ‘lightly licensed’ as possible</w:t>
            </w:r>
          </w:p>
        </w:tc>
        <w:tc>
          <w:tcPr>
            <w:tcW w:w="900" w:type="pct"/>
          </w:tcPr>
          <w:p w:rsidR="009F795E" w:rsidRPr="00FE6FCC" w:rsidRDefault="009F795E" w:rsidP="001401E1">
            <w:pPr>
              <w:pStyle w:val="Tablecells"/>
              <w:ind w:right="0"/>
              <w:rPr>
                <w:sz w:val="16"/>
                <w:szCs w:val="16"/>
              </w:rPr>
            </w:pPr>
            <w:r>
              <w:rPr>
                <w:sz w:val="16"/>
                <w:szCs w:val="16"/>
              </w:rPr>
              <w:t>The objective has been to make the environment as flexible and lightly licensed as possible</w:t>
            </w:r>
          </w:p>
        </w:tc>
        <w:tc>
          <w:tcPr>
            <w:tcW w:w="900" w:type="pct"/>
          </w:tcPr>
          <w:p w:rsidR="009F795E" w:rsidRDefault="009F795E" w:rsidP="001401E1">
            <w:pPr>
              <w:pStyle w:val="Tablecells"/>
              <w:ind w:right="0"/>
            </w:pPr>
            <w:r>
              <w:rPr>
                <w:sz w:val="16"/>
                <w:szCs w:val="16"/>
              </w:rPr>
              <w:t xml:space="preserve">Has required significant regulatory development effort to implement. Mobile licences awarded in the repackaged spectrum are </w:t>
            </w:r>
            <w:r w:rsidR="00F72DCF">
              <w:rPr>
                <w:sz w:val="16"/>
                <w:szCs w:val="16"/>
              </w:rPr>
              <w:t>like</w:t>
            </w:r>
            <w:r>
              <w:rPr>
                <w:sz w:val="16"/>
                <w:szCs w:val="16"/>
              </w:rPr>
              <w:t xml:space="preserve"> existing MNO licences (i.e. designed to provide predictability, to maximise investment)</w:t>
            </w:r>
          </w:p>
        </w:tc>
        <w:tc>
          <w:tcPr>
            <w:tcW w:w="900" w:type="pct"/>
          </w:tcPr>
          <w:p w:rsidR="009F795E" w:rsidRDefault="009F795E" w:rsidP="001401E1">
            <w:pPr>
              <w:pStyle w:val="Tablecells"/>
              <w:ind w:right="0"/>
            </w:pPr>
            <w:r>
              <w:rPr>
                <w:sz w:val="16"/>
                <w:szCs w:val="16"/>
              </w:rPr>
              <w:t>The objective is to make the regulatory environment as flexible and lightly licensed as possible, and to encourage experimentation and innovation</w:t>
            </w:r>
          </w:p>
        </w:tc>
        <w:tc>
          <w:tcPr>
            <w:tcW w:w="900" w:type="pct"/>
          </w:tcPr>
          <w:p w:rsidR="009F795E" w:rsidRDefault="009F795E" w:rsidP="001401E1">
            <w:pPr>
              <w:pStyle w:val="Tablecells"/>
              <w:ind w:right="0"/>
            </w:pPr>
            <w:r>
              <w:rPr>
                <w:sz w:val="16"/>
                <w:szCs w:val="16"/>
              </w:rPr>
              <w:t>Requires regulatory effort to establish predetermined sharing conditions, but with flexibility for market players to negotiate commercial solutions based on established sharing conditions</w:t>
            </w:r>
          </w:p>
        </w:tc>
      </w:tr>
      <w:tr w:rsidR="009F795E" w:rsidTr="001401E1">
        <w:trPr>
          <w:cnfStyle w:val="000000100000" w:firstRow="0" w:lastRow="0" w:firstColumn="0" w:lastColumn="0" w:oddVBand="0" w:evenVBand="0" w:oddHBand="1" w:evenHBand="0" w:firstRowFirstColumn="0" w:firstRowLastColumn="0" w:lastRowFirstColumn="0" w:lastRowLastColumn="0"/>
        </w:trPr>
        <w:tc>
          <w:tcPr>
            <w:tcW w:w="467" w:type="pct"/>
          </w:tcPr>
          <w:p w:rsidR="009F795E" w:rsidRDefault="009F795E" w:rsidP="001401E1">
            <w:pPr>
              <w:pStyle w:val="Tablecells"/>
              <w:ind w:right="0"/>
            </w:pPr>
            <w:r w:rsidRPr="003A67EA">
              <w:rPr>
                <w:sz w:val="16"/>
                <w:szCs w:val="16"/>
              </w:rPr>
              <w:t>Band characteristics</w:t>
            </w:r>
          </w:p>
        </w:tc>
        <w:tc>
          <w:tcPr>
            <w:tcW w:w="900" w:type="pct"/>
          </w:tcPr>
          <w:p w:rsidR="00FF69C2" w:rsidRDefault="00FF69C2" w:rsidP="001401E1">
            <w:pPr>
              <w:pStyle w:val="Tablecells"/>
              <w:ind w:right="0"/>
              <w:rPr>
                <w:sz w:val="16"/>
                <w:szCs w:val="16"/>
              </w:rPr>
            </w:pPr>
            <w:r>
              <w:rPr>
                <w:sz w:val="16"/>
                <w:szCs w:val="16"/>
              </w:rPr>
              <w:t xml:space="preserve">TV white space use has mostly been implemented within UHF spectrum allocated on a primary basis to broadcasting services. </w:t>
            </w:r>
          </w:p>
          <w:p w:rsidR="009F795E" w:rsidRPr="00FE6FCC" w:rsidRDefault="009F795E" w:rsidP="001401E1">
            <w:pPr>
              <w:pStyle w:val="Tablecells"/>
              <w:ind w:right="0"/>
              <w:rPr>
                <w:sz w:val="16"/>
                <w:szCs w:val="16"/>
              </w:rPr>
            </w:pPr>
            <w:r>
              <w:rPr>
                <w:sz w:val="16"/>
                <w:szCs w:val="16"/>
              </w:rPr>
              <w:t>Where white-</w:t>
            </w:r>
            <w:r w:rsidRPr="003A67EA">
              <w:rPr>
                <w:sz w:val="16"/>
                <w:szCs w:val="16"/>
              </w:rPr>
              <w:t xml:space="preserve">space spectrum has been trialled and/or implemented </w:t>
            </w:r>
            <w:r>
              <w:rPr>
                <w:sz w:val="16"/>
                <w:szCs w:val="16"/>
              </w:rPr>
              <w:t>(</w:t>
            </w:r>
            <w:r w:rsidRPr="003A67EA">
              <w:rPr>
                <w:sz w:val="16"/>
                <w:szCs w:val="16"/>
              </w:rPr>
              <w:t xml:space="preserve">e.g. </w:t>
            </w:r>
            <w:r>
              <w:rPr>
                <w:sz w:val="16"/>
                <w:szCs w:val="16"/>
              </w:rPr>
              <w:t xml:space="preserve">the </w:t>
            </w:r>
            <w:r w:rsidRPr="003A67EA">
              <w:rPr>
                <w:sz w:val="16"/>
                <w:szCs w:val="16"/>
              </w:rPr>
              <w:t>UK and Singapore</w:t>
            </w:r>
            <w:r>
              <w:rPr>
                <w:sz w:val="16"/>
                <w:szCs w:val="16"/>
              </w:rPr>
              <w:t>)</w:t>
            </w:r>
            <w:r w:rsidRPr="003A67EA">
              <w:rPr>
                <w:sz w:val="16"/>
                <w:szCs w:val="16"/>
              </w:rPr>
              <w:t xml:space="preserve">, the spectrum below 694MHz is not allocated for primary mobile use (nor is </w:t>
            </w:r>
            <w:r>
              <w:rPr>
                <w:sz w:val="16"/>
                <w:szCs w:val="16"/>
              </w:rPr>
              <w:t>it harmonised for this purpose)</w:t>
            </w:r>
          </w:p>
        </w:tc>
        <w:tc>
          <w:tcPr>
            <w:tcW w:w="900" w:type="pct"/>
          </w:tcPr>
          <w:p w:rsidR="009F795E" w:rsidRPr="00FE6FCC" w:rsidRDefault="009F795E" w:rsidP="001401E1">
            <w:pPr>
              <w:pStyle w:val="Tablecells"/>
              <w:ind w:right="0"/>
              <w:rPr>
                <w:sz w:val="16"/>
                <w:szCs w:val="16"/>
              </w:rPr>
            </w:pPr>
            <w:r w:rsidRPr="003A67EA">
              <w:rPr>
                <w:sz w:val="16"/>
                <w:szCs w:val="16"/>
              </w:rPr>
              <w:t xml:space="preserve">Potential global harmonisation for MBB use/included in 3GPP standards for LTE </w:t>
            </w:r>
            <w:r w:rsidR="004D16A1">
              <w:rPr>
                <w:sz w:val="16"/>
                <w:szCs w:val="16"/>
              </w:rPr>
              <w:t>time division duplex (</w:t>
            </w:r>
            <w:r w:rsidRPr="003A67EA">
              <w:rPr>
                <w:sz w:val="16"/>
                <w:szCs w:val="16"/>
              </w:rPr>
              <w:t>TDD</w:t>
            </w:r>
            <w:r w:rsidR="004D16A1">
              <w:rPr>
                <w:sz w:val="16"/>
                <w:szCs w:val="16"/>
              </w:rPr>
              <w:t>)</w:t>
            </w:r>
            <w:r w:rsidRPr="003A67EA">
              <w:rPr>
                <w:sz w:val="16"/>
                <w:szCs w:val="16"/>
              </w:rPr>
              <w:t xml:space="preserve"> and prospects for global 5G use</w:t>
            </w:r>
          </w:p>
        </w:tc>
        <w:tc>
          <w:tcPr>
            <w:tcW w:w="900" w:type="pct"/>
          </w:tcPr>
          <w:p w:rsidR="009F795E" w:rsidRDefault="009F795E" w:rsidP="001401E1">
            <w:pPr>
              <w:pStyle w:val="Tablecells"/>
              <w:ind w:right="0"/>
            </w:pPr>
            <w:r w:rsidRPr="003A67EA">
              <w:rPr>
                <w:sz w:val="16"/>
                <w:szCs w:val="16"/>
              </w:rPr>
              <w:t>Spectrum below 694MHz was identified for mobile use on a co-primary basis with broadcasting</w:t>
            </w:r>
            <w:r w:rsidR="00FF69C2">
              <w:rPr>
                <w:sz w:val="16"/>
                <w:szCs w:val="16"/>
              </w:rPr>
              <w:t xml:space="preserve"> in the USA and selected other markets</w:t>
            </w:r>
            <w:r w:rsidRPr="003A67EA">
              <w:rPr>
                <w:sz w:val="16"/>
                <w:szCs w:val="16"/>
              </w:rPr>
              <w:t xml:space="preserve"> at WRC-15; further worldwide harmonisation might occur based on decisions of future WRCs </w:t>
            </w:r>
            <w:r>
              <w:rPr>
                <w:sz w:val="16"/>
                <w:szCs w:val="16"/>
              </w:rPr>
              <w:t>(</w:t>
            </w:r>
            <w:r w:rsidRPr="003A67EA">
              <w:rPr>
                <w:sz w:val="16"/>
                <w:szCs w:val="16"/>
              </w:rPr>
              <w:t>e.g. WRC-23</w:t>
            </w:r>
            <w:r>
              <w:rPr>
                <w:sz w:val="16"/>
                <w:szCs w:val="16"/>
              </w:rPr>
              <w:t>)</w:t>
            </w:r>
          </w:p>
        </w:tc>
        <w:tc>
          <w:tcPr>
            <w:tcW w:w="900" w:type="pct"/>
          </w:tcPr>
          <w:p w:rsidR="009F795E" w:rsidRDefault="009F795E" w:rsidP="001401E1">
            <w:pPr>
              <w:pStyle w:val="Tablecells"/>
              <w:ind w:right="0"/>
            </w:pPr>
            <w:r w:rsidRPr="003A67EA">
              <w:rPr>
                <w:sz w:val="16"/>
                <w:szCs w:val="16"/>
              </w:rPr>
              <w:t>The frequency band used to deploy a managed spectrum park in New Zealand – in the 2.5GHz band – is globally harmonised for MBB use and included in 3GPP standards for LTE</w:t>
            </w:r>
          </w:p>
        </w:tc>
        <w:tc>
          <w:tcPr>
            <w:tcW w:w="900" w:type="pct"/>
          </w:tcPr>
          <w:p w:rsidR="009F795E" w:rsidRDefault="009F795E" w:rsidP="001401E1">
            <w:pPr>
              <w:pStyle w:val="Tablecells"/>
              <w:ind w:right="0"/>
            </w:pPr>
            <w:r w:rsidRPr="003A67EA">
              <w:rPr>
                <w:sz w:val="16"/>
                <w:szCs w:val="16"/>
              </w:rPr>
              <w:t>LSA is not band specific</w:t>
            </w:r>
            <w:r>
              <w:rPr>
                <w:sz w:val="16"/>
                <w:szCs w:val="16"/>
              </w:rPr>
              <w:t>,</w:t>
            </w:r>
            <w:r w:rsidRPr="003A67EA">
              <w:rPr>
                <w:sz w:val="16"/>
                <w:szCs w:val="16"/>
              </w:rPr>
              <w:t xml:space="preserve"> but in Europe is likely to be most widely applied in the 2.3GHz band</w:t>
            </w:r>
            <w:r w:rsidR="00A01628">
              <w:rPr>
                <w:sz w:val="16"/>
                <w:szCs w:val="16"/>
              </w:rPr>
              <w:t xml:space="preserve">. This band </w:t>
            </w:r>
            <w:r w:rsidRPr="003A67EA">
              <w:rPr>
                <w:sz w:val="16"/>
                <w:szCs w:val="16"/>
              </w:rPr>
              <w:t xml:space="preserve">has </w:t>
            </w:r>
            <w:r w:rsidR="00F72DCF">
              <w:rPr>
                <w:sz w:val="16"/>
                <w:szCs w:val="16"/>
              </w:rPr>
              <w:t>been</w:t>
            </w:r>
            <w:r w:rsidRPr="003A67EA">
              <w:rPr>
                <w:sz w:val="16"/>
                <w:szCs w:val="16"/>
              </w:rPr>
              <w:t xml:space="preserve"> globally harmonised for LTE TDD use</w:t>
            </w:r>
            <w:r>
              <w:rPr>
                <w:sz w:val="16"/>
                <w:szCs w:val="16"/>
              </w:rPr>
              <w:t>,</w:t>
            </w:r>
            <w:r w:rsidRPr="003A67EA">
              <w:rPr>
                <w:sz w:val="16"/>
                <w:szCs w:val="16"/>
              </w:rPr>
              <w:t xml:space="preserve"> but </w:t>
            </w:r>
            <w:r>
              <w:rPr>
                <w:sz w:val="16"/>
                <w:szCs w:val="16"/>
              </w:rPr>
              <w:t xml:space="preserve">is </w:t>
            </w:r>
            <w:r w:rsidRPr="003A67EA">
              <w:rPr>
                <w:sz w:val="16"/>
                <w:szCs w:val="16"/>
              </w:rPr>
              <w:t xml:space="preserve">not yet widely available for MBB use in Europe due to existing </w:t>
            </w:r>
            <w:r>
              <w:rPr>
                <w:sz w:val="16"/>
                <w:szCs w:val="16"/>
              </w:rPr>
              <w:t>g</w:t>
            </w:r>
            <w:r w:rsidRPr="003A67EA">
              <w:rPr>
                <w:sz w:val="16"/>
                <w:szCs w:val="16"/>
              </w:rPr>
              <w:t>overnment/defence use</w:t>
            </w:r>
          </w:p>
        </w:tc>
      </w:tr>
    </w:tbl>
    <w:p w:rsidR="009F795E" w:rsidRDefault="009F795E" w:rsidP="009F795E"/>
    <w:p w:rsidR="009F795E" w:rsidRDefault="009F795E" w:rsidP="009F795E">
      <w:pPr>
        <w:sectPr w:rsidR="009F795E" w:rsidSect="0079253A">
          <w:pgSz w:w="16840" w:h="11907" w:orient="landscape" w:code="9"/>
          <w:pgMar w:top="1588" w:right="1418" w:bottom="1588" w:left="1418" w:header="567" w:footer="567" w:gutter="0"/>
          <w:cols w:space="720"/>
          <w:titlePg/>
          <w:docGrid w:linePitch="224"/>
        </w:sectPr>
      </w:pPr>
    </w:p>
    <w:p w:rsidR="00116BA2" w:rsidRDefault="005E5E35" w:rsidP="006E6D80">
      <w:pPr>
        <w:pStyle w:val="Heading2"/>
      </w:pPr>
      <w:bookmarkStart w:id="9" w:name="_Toc485117359"/>
      <w:r>
        <w:lastRenderedPageBreak/>
        <w:t xml:space="preserve">Identification of spectrum-management </w:t>
      </w:r>
      <w:r w:rsidRPr="001B0105">
        <w:t xml:space="preserve">approaches </w:t>
      </w:r>
      <w:r>
        <w:t>for Australia</w:t>
      </w:r>
      <w:bookmarkEnd w:id="9"/>
    </w:p>
    <w:p w:rsidR="00A25213" w:rsidRPr="001B0105" w:rsidRDefault="008F4BD1" w:rsidP="00A25213">
      <w:r>
        <w:t xml:space="preserve">The study went on to </w:t>
      </w:r>
      <w:r w:rsidR="00A25213">
        <w:t xml:space="preserve">consider the implications of international trends </w:t>
      </w:r>
      <w:r w:rsidR="00A01628">
        <w:t xml:space="preserve">for </w:t>
      </w:r>
      <w:r w:rsidR="00A25213">
        <w:t>Australia</w:t>
      </w:r>
      <w:r w:rsidR="00A01628">
        <w:t>’s</w:t>
      </w:r>
      <w:r w:rsidR="00A25213">
        <w:t xml:space="preserve"> wireless market</w:t>
      </w:r>
      <w:r>
        <w:t>.</w:t>
      </w:r>
      <w:r w:rsidR="00A25213">
        <w:t xml:space="preserve"> </w:t>
      </w:r>
      <w:r>
        <w:t>W</w:t>
      </w:r>
      <w:r w:rsidR="00A25213">
        <w:t xml:space="preserve">e first </w:t>
      </w:r>
      <w:r w:rsidR="00A01628">
        <w:t xml:space="preserve">looked at </w:t>
      </w:r>
      <w:r w:rsidR="00A25213">
        <w:t xml:space="preserve">the characteristics of the Australian market and the link between spectrum management and competition, especially in relation to provision of commercial mobile (cellular) networks. </w:t>
      </w:r>
      <w:r w:rsidR="00A25213" w:rsidRPr="001B0105">
        <w:t xml:space="preserve">We </w:t>
      </w:r>
      <w:r w:rsidR="00A25213">
        <w:t>identif</w:t>
      </w:r>
      <w:r>
        <w:t>ied</w:t>
      </w:r>
      <w:r w:rsidR="00A25213">
        <w:t xml:space="preserve"> that</w:t>
      </w:r>
      <w:r w:rsidR="00A25213" w:rsidRPr="001B0105">
        <w:t xml:space="preserve"> demand for spectrum</w:t>
      </w:r>
      <w:r w:rsidR="00FF69C2">
        <w:t>, in the Australian market, as well as internationally,</w:t>
      </w:r>
      <w:r w:rsidR="00A25213" w:rsidRPr="001B0105">
        <w:t xml:space="preserve"> is a derived demand (based on users’ willingness to pay for spectrum to provide wireless communications services and governments</w:t>
      </w:r>
      <w:r w:rsidR="00A25213">
        <w:t>’</w:t>
      </w:r>
      <w:r w:rsidR="00A25213" w:rsidRPr="001B0105">
        <w:t xml:space="preserve"> desire to provide public services, which also rely on wireless systems and/or wireless connectivity). </w:t>
      </w:r>
      <w:r>
        <w:t>T</w:t>
      </w:r>
      <w:r w:rsidR="00A25213" w:rsidRPr="001B0105">
        <w:t xml:space="preserve">he way </w:t>
      </w:r>
      <w:r w:rsidR="00773FD7">
        <w:t xml:space="preserve">that </w:t>
      </w:r>
      <w:r w:rsidR="00A25213" w:rsidRPr="001B0105">
        <w:t xml:space="preserve">regulators manage access to spectrum can have profound implications for the structure of wireless communications markets, as well as for the services being delivered and the prices charged to consumers. </w:t>
      </w:r>
    </w:p>
    <w:p w:rsidR="00A25213" w:rsidRDefault="008F4BD1" w:rsidP="00A25213">
      <w:pPr>
        <w:tabs>
          <w:tab w:val="num" w:pos="720"/>
        </w:tabs>
      </w:pPr>
      <w:r>
        <w:t>I</w:t>
      </w:r>
      <w:r w:rsidR="00A25213" w:rsidRPr="001B0105">
        <w:t>n future</w:t>
      </w:r>
      <w:r w:rsidR="005E5E35">
        <w:t>,</w:t>
      </w:r>
      <w:r w:rsidR="00A25213" w:rsidRPr="001B0105">
        <w:t xml:space="preserve"> </w:t>
      </w:r>
      <w:r w:rsidR="00FF69C2">
        <w:t xml:space="preserve">spectrum management in the Australian market as well as internationally </w:t>
      </w:r>
      <w:r w:rsidR="00A25213" w:rsidRPr="001B0105">
        <w:t xml:space="preserve">will </w:t>
      </w:r>
      <w:r w:rsidR="005E5E35">
        <w:t xml:space="preserve">involve </w:t>
      </w:r>
      <w:r w:rsidR="00A25213" w:rsidRPr="001B0105">
        <w:t>a trade-off between offering greater flexibility in the use of spectrum (</w:t>
      </w:r>
      <w:r w:rsidR="00A25213">
        <w:t xml:space="preserve">e.g. sharing mechanisms </w:t>
      </w:r>
      <w:r>
        <w:t xml:space="preserve">that make it easier </w:t>
      </w:r>
      <w:r w:rsidR="00A25213">
        <w:t>to</w:t>
      </w:r>
      <w:r w:rsidR="00A25213" w:rsidRPr="001B0105">
        <w:t xml:space="preserve"> </w:t>
      </w:r>
      <w:r w:rsidR="00A25213">
        <w:t>deploy</w:t>
      </w:r>
      <w:r w:rsidR="00A25213" w:rsidRPr="001B0105">
        <w:t xml:space="preserve"> smaller systems </w:t>
      </w:r>
      <w:r w:rsidR="00A25213">
        <w:t>in local environments</w:t>
      </w:r>
      <w:r w:rsidR="00A25213" w:rsidRPr="001B0105">
        <w:t xml:space="preserve">), and </w:t>
      </w:r>
      <w:r w:rsidR="00A25213">
        <w:t>exclusive use and/or other types of individual national-operator licences</w:t>
      </w:r>
      <w:r w:rsidR="00A25213" w:rsidRPr="001B0105">
        <w:t xml:space="preserve"> with additional </w:t>
      </w:r>
      <w:r w:rsidR="00A25213">
        <w:t xml:space="preserve">occupancy rights (e.g. </w:t>
      </w:r>
      <w:r w:rsidR="00A25213" w:rsidRPr="001B0105">
        <w:t>longer duration, and increased certainty over quality of service).</w:t>
      </w:r>
      <w:r w:rsidR="00A25213">
        <w:t xml:space="preserve"> </w:t>
      </w:r>
      <w:r w:rsidR="005E5E35">
        <w:t>R</w:t>
      </w:r>
      <w:r w:rsidR="00A25213" w:rsidRPr="009040CB">
        <w:t xml:space="preserve">egulators in other markets </w:t>
      </w:r>
      <w:r w:rsidR="00A25213">
        <w:t>have cited</w:t>
      </w:r>
      <w:r w:rsidR="00A25213" w:rsidRPr="009040CB">
        <w:t xml:space="preserve"> various reasons</w:t>
      </w:r>
      <w:r w:rsidR="00A25213">
        <w:t xml:space="preserve"> for implementing different sharing mechanisms,</w:t>
      </w:r>
      <w:r w:rsidR="00A25213" w:rsidRPr="009040CB">
        <w:t xml:space="preserve"> ranging from releasing further spectrum for </w:t>
      </w:r>
      <w:r w:rsidR="009F14F9">
        <w:t xml:space="preserve">MBB </w:t>
      </w:r>
      <w:r w:rsidR="00A25213" w:rsidRPr="009040CB">
        <w:t xml:space="preserve">to encouraging innovation and exploiting under-utilised spectrum. </w:t>
      </w:r>
    </w:p>
    <w:p w:rsidR="00A25213" w:rsidRDefault="008F4BD1" w:rsidP="00A25213">
      <w:pPr>
        <w:tabs>
          <w:tab w:val="num" w:pos="720"/>
        </w:tabs>
      </w:pPr>
      <w:r>
        <w:t xml:space="preserve">As part of this study we compared </w:t>
      </w:r>
      <w:r w:rsidR="00A25213" w:rsidRPr="001B0105">
        <w:t xml:space="preserve">more novel market-based </w:t>
      </w:r>
      <w:r w:rsidR="00A25213">
        <w:t>spectrum</w:t>
      </w:r>
      <w:r w:rsidR="005E5E35">
        <w:t>-</w:t>
      </w:r>
      <w:r w:rsidR="00A25213">
        <w:t>sharing mechanisms</w:t>
      </w:r>
      <w:r w:rsidR="00A25213" w:rsidRPr="001B0105">
        <w:t xml:space="preserve"> used in other markets with the ACMA’s considerations for the new licensing system in Australia</w:t>
      </w:r>
      <w:r>
        <w:t>.</w:t>
      </w:r>
      <w:r w:rsidR="00A25213" w:rsidRPr="001B0105">
        <w:t xml:space="preserve"> </w:t>
      </w:r>
      <w:r>
        <w:t>W</w:t>
      </w:r>
      <w:r w:rsidR="00A25213" w:rsidRPr="001B0105">
        <w:t>e identified th</w:t>
      </w:r>
      <w:r w:rsidR="00A25213">
        <w:t>at mechanisms such as white-</w:t>
      </w:r>
      <w:r w:rsidR="00A25213" w:rsidRPr="001B0105">
        <w:t xml:space="preserve">space spectrum and tiered sharing, </w:t>
      </w:r>
      <w:r w:rsidR="00A25213">
        <w:t xml:space="preserve">and the use of </w:t>
      </w:r>
      <w:r w:rsidR="00A25213" w:rsidRPr="001B0105">
        <w:t xml:space="preserve">geolocation databases to manage the sharing environment, might provide </w:t>
      </w:r>
      <w:r w:rsidR="00A25213">
        <w:t>a good fit in bands where there is market demand for new uses, but where geographic</w:t>
      </w:r>
      <w:r w:rsidR="00116BA2">
        <w:t>al</w:t>
      </w:r>
      <w:r w:rsidR="00A25213">
        <w:t xml:space="preserve"> and/or temporal use of spectrum is limited</w:t>
      </w:r>
      <w:r w:rsidR="00A25213" w:rsidRPr="001B0105">
        <w:t>.</w:t>
      </w:r>
      <w:r w:rsidR="00A25213">
        <w:t xml:space="preserve"> </w:t>
      </w:r>
      <w:r w:rsidR="005E5E35" w:rsidRPr="00150116">
        <w:fldChar w:fldCharType="begin"/>
      </w:r>
      <w:r w:rsidR="005E5E35" w:rsidRPr="00150116">
        <w:instrText xml:space="preserve"> REF _Ref484618589 \h </w:instrText>
      </w:r>
      <w:r w:rsidR="005E5E35" w:rsidRPr="00150116">
        <w:fldChar w:fldCharType="separate"/>
      </w:r>
      <w:r w:rsidR="00DD5B32">
        <w:t>Figure </w:t>
      </w:r>
      <w:r w:rsidR="00DD5B32">
        <w:rPr>
          <w:noProof/>
        </w:rPr>
        <w:t>4</w:t>
      </w:r>
      <w:r w:rsidR="005E5E35" w:rsidRPr="00150116">
        <w:fldChar w:fldCharType="end"/>
      </w:r>
      <w:r w:rsidR="005E5E35">
        <w:t xml:space="preserve"> outlines the </w:t>
      </w:r>
      <w:r w:rsidR="00A25213">
        <w:t xml:space="preserve">suitability of different mechanisms </w:t>
      </w:r>
      <w:r w:rsidR="005E5E35">
        <w:t xml:space="preserve">for </w:t>
      </w:r>
      <w:r w:rsidR="00A25213">
        <w:t>meet</w:t>
      </w:r>
      <w:r w:rsidR="005E5E35">
        <w:t>ing</w:t>
      </w:r>
      <w:r w:rsidR="00A25213">
        <w:t xml:space="preserve"> selected spectrum</w:t>
      </w:r>
      <w:r w:rsidR="005E5E35">
        <w:t>-</w:t>
      </w:r>
      <w:r w:rsidR="00A25213">
        <w:t xml:space="preserve">management objectives in Australia (based on priorities in the ACMA’s </w:t>
      </w:r>
      <w:r w:rsidR="005E5E35">
        <w:t>FYSO</w:t>
      </w:r>
      <w:r w:rsidR="00A25213">
        <w:t>)</w:t>
      </w:r>
      <w:r w:rsidR="00116BA2">
        <w:t>.</w:t>
      </w:r>
    </w:p>
    <w:p w:rsidR="00A25213" w:rsidRDefault="00A25213" w:rsidP="006579D7">
      <w:pPr>
        <w:pStyle w:val="TableCaption"/>
      </w:pPr>
      <w:bookmarkStart w:id="10" w:name="_Ref484618589"/>
      <w:r>
        <w:lastRenderedPageBreak/>
        <w:t>Figure</w:t>
      </w:r>
      <w:r w:rsidR="006579D7">
        <w:t> </w:t>
      </w:r>
      <w:fldSimple w:instr=" SEQ Figure \* ARABIC \s 1 \* MERGEFORMAT ">
        <w:r w:rsidR="00DD5B32">
          <w:rPr>
            <w:noProof/>
          </w:rPr>
          <w:t>4</w:t>
        </w:r>
      </w:fldSimple>
      <w:bookmarkEnd w:id="10"/>
      <w:r>
        <w:t>: Suitability of different approaches to meet selected priorities in Australia [Source: Analysys Mason, 2017]</w:t>
      </w:r>
    </w:p>
    <w:p w:rsidR="00A25213" w:rsidRPr="00A25213" w:rsidRDefault="005C4E82" w:rsidP="005C4E82">
      <w:pPr>
        <w:pStyle w:val="Border"/>
      </w:pPr>
      <w:r w:rsidRPr="005C4E82">
        <w:rPr>
          <w:noProof/>
          <w:lang w:val="en-AU" w:eastAsia="en-AU"/>
        </w:rPr>
        <w:drawing>
          <wp:inline distT="0" distB="0" distL="0" distR="0" wp14:anchorId="12DD546B" wp14:editId="7E09D3FC">
            <wp:extent cx="5544185" cy="360410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44185" cy="3604104"/>
                    </a:xfrm>
                    <a:prstGeom prst="rect">
                      <a:avLst/>
                    </a:prstGeom>
                    <a:noFill/>
                    <a:ln>
                      <a:noFill/>
                    </a:ln>
                  </pic:spPr>
                </pic:pic>
              </a:graphicData>
            </a:graphic>
          </wp:inline>
        </w:drawing>
      </w:r>
    </w:p>
    <w:p w:rsidR="00FF69C2" w:rsidRDefault="00150116" w:rsidP="00A25213">
      <w:pPr>
        <w:tabs>
          <w:tab w:val="num" w:pos="720"/>
        </w:tabs>
      </w:pPr>
      <w:r>
        <w:t xml:space="preserve">Whilst </w:t>
      </w:r>
      <w:r w:rsidRPr="00150116">
        <w:fldChar w:fldCharType="begin"/>
      </w:r>
      <w:r w:rsidRPr="00150116">
        <w:instrText xml:space="preserve"> REF _Ref484618589 \h </w:instrText>
      </w:r>
      <w:r w:rsidRPr="00150116">
        <w:fldChar w:fldCharType="separate"/>
      </w:r>
      <w:r w:rsidR="00DD5B32">
        <w:t>Figure </w:t>
      </w:r>
      <w:r w:rsidR="00DD5B32">
        <w:rPr>
          <w:noProof/>
        </w:rPr>
        <w:t>4</w:t>
      </w:r>
      <w:r w:rsidRPr="00150116">
        <w:fldChar w:fldCharType="end"/>
      </w:r>
      <w:r>
        <w:t xml:space="preserve"> presents possible new sharing models, shared spectrum is unlikely to be applicable in all situations within the Australian market. Although sharing with some existing uses is inevitable in some frequency bands (unless existing uses can be migrated to other bands), </w:t>
      </w:r>
      <w:r w:rsidR="00275EAB">
        <w:t xml:space="preserve">it can be challenging to manage </w:t>
      </w:r>
      <w:r>
        <w:t xml:space="preserve">sharing </w:t>
      </w:r>
      <w:r w:rsidR="00275EAB">
        <w:t xml:space="preserve">involving a combination of </w:t>
      </w:r>
      <w:r>
        <w:t xml:space="preserve">existing </w:t>
      </w:r>
      <w:r w:rsidR="00275EAB">
        <w:t xml:space="preserve">and new </w:t>
      </w:r>
      <w:r>
        <w:t>uses</w:t>
      </w:r>
      <w:r w:rsidR="00275EAB">
        <w:t>,</w:t>
      </w:r>
      <w:r>
        <w:t xml:space="preserve"> and i</w:t>
      </w:r>
      <w:r w:rsidR="00FF69C2">
        <w:t>t is likely that demand for</w:t>
      </w:r>
      <w:r w:rsidR="00275EAB">
        <w:t xml:space="preserve"> </w:t>
      </w:r>
      <w:r>
        <w:t>spectrum for some uses might be for exclusive</w:t>
      </w:r>
      <w:r w:rsidR="00275EAB">
        <w:t>-</w:t>
      </w:r>
      <w:r>
        <w:t>use spectrum. E</w:t>
      </w:r>
      <w:r w:rsidR="006579D7">
        <w:t>xclusive-</w:t>
      </w:r>
      <w:r w:rsidR="00A25213">
        <w:t xml:space="preserve">use licences will continue to be relevant in situations where spectrum is </w:t>
      </w:r>
      <w:r>
        <w:t xml:space="preserve">being made </w:t>
      </w:r>
      <w:r w:rsidR="00A25213">
        <w:t>available for new, nationwide deployments (e.g. in the context of the further evolution of 4G and introduction of nationwide 5G networks</w:t>
      </w:r>
      <w:r>
        <w:t>, requiring significant investment in network infrastructure</w:t>
      </w:r>
      <w:r w:rsidR="00A25213">
        <w:t>).</w:t>
      </w:r>
    </w:p>
    <w:p w:rsidR="00A25213" w:rsidRDefault="00A25213" w:rsidP="00A25213">
      <w:r w:rsidRPr="0055369B">
        <w:t xml:space="preserve">In practice, the choice of </w:t>
      </w:r>
      <w:r>
        <w:t>approach</w:t>
      </w:r>
      <w:r w:rsidRPr="0055369B">
        <w:t xml:space="preserve"> will depend on the </w:t>
      </w:r>
      <w:r w:rsidR="00CE648B">
        <w:t>characteristics of the new use</w:t>
      </w:r>
      <w:r w:rsidRPr="00446B51">
        <w:t xml:space="preserve">, the nature of the current use and the characteristics of the spectrum in the band(s) being considered. The ACMA should </w:t>
      </w:r>
      <w:r>
        <w:t xml:space="preserve">pay attention to </w:t>
      </w:r>
      <w:r w:rsidRPr="00446B51">
        <w:t xml:space="preserve">new </w:t>
      </w:r>
      <w:r>
        <w:t xml:space="preserve">sharing mechanisms and </w:t>
      </w:r>
      <w:r w:rsidRPr="00446B51">
        <w:t xml:space="preserve">approaches that might </w:t>
      </w:r>
      <w:r>
        <w:t>help</w:t>
      </w:r>
      <w:r w:rsidRPr="00446B51">
        <w:t xml:space="preserve"> to address band-specific projects that have already been id</w:t>
      </w:r>
      <w:r w:rsidRPr="009040CB">
        <w:t xml:space="preserve">entified in the FYSO – for example, </w:t>
      </w:r>
      <w:r>
        <w:t>to encourage future</w:t>
      </w:r>
      <w:r w:rsidRPr="009040CB">
        <w:t xml:space="preserve"> uses of VHF broadcasting service bands </w:t>
      </w:r>
      <w:r>
        <w:t xml:space="preserve">(which </w:t>
      </w:r>
      <w:r w:rsidRPr="009040CB">
        <w:t xml:space="preserve">might include </w:t>
      </w:r>
      <w:r w:rsidR="00A04305">
        <w:t xml:space="preserve">the </w:t>
      </w:r>
      <w:r w:rsidRPr="009040CB">
        <w:t>IoT</w:t>
      </w:r>
      <w:r>
        <w:t>),</w:t>
      </w:r>
      <w:r w:rsidRPr="009040CB">
        <w:t xml:space="preserve"> </w:t>
      </w:r>
      <w:r w:rsidR="00A04305">
        <w:t>a white-</w:t>
      </w:r>
      <w:r>
        <w:t xml:space="preserve">space access approach managed using </w:t>
      </w:r>
      <w:r w:rsidRPr="009040CB">
        <w:t>DSA techniques</w:t>
      </w:r>
      <w:r>
        <w:t xml:space="preserve"> might be relevant. </w:t>
      </w:r>
    </w:p>
    <w:p w:rsidR="00A25213" w:rsidRPr="009040CB" w:rsidRDefault="00A25213" w:rsidP="00A25213">
      <w:pPr>
        <w:tabs>
          <w:tab w:val="num" w:pos="720"/>
        </w:tabs>
      </w:pPr>
      <w:r>
        <w:t>In terms of the relevance of different reforms in the Australian wireless market context, w</w:t>
      </w:r>
      <w:r w:rsidRPr="009040CB">
        <w:t xml:space="preserve">e </w:t>
      </w:r>
      <w:r w:rsidR="005E5E35">
        <w:t xml:space="preserve">drew </w:t>
      </w:r>
      <w:r w:rsidRPr="009040CB">
        <w:t>the following conclusions:</w:t>
      </w:r>
    </w:p>
    <w:p w:rsidR="00A25213" w:rsidRPr="00882B52" w:rsidRDefault="00A25213" w:rsidP="00A25213">
      <w:pPr>
        <w:pStyle w:val="I1"/>
      </w:pPr>
      <w:r w:rsidRPr="00882B52">
        <w:t>The Australian</w:t>
      </w:r>
      <w:r>
        <w:t xml:space="preserve"> cellular mobile</w:t>
      </w:r>
      <w:r w:rsidRPr="00882B52">
        <w:t xml:space="preserve"> communications market is competitive, and has </w:t>
      </w:r>
      <w:r>
        <w:t xml:space="preserve">recently </w:t>
      </w:r>
      <w:r w:rsidRPr="00882B52">
        <w:t>attracted a new market player</w:t>
      </w:r>
      <w:r>
        <w:t xml:space="preserve"> </w:t>
      </w:r>
      <w:r w:rsidR="00275EAB">
        <w:t xml:space="preserve">which </w:t>
      </w:r>
      <w:r>
        <w:t>aim</w:t>
      </w:r>
      <w:r w:rsidR="00275EAB">
        <w:t>s</w:t>
      </w:r>
      <w:r>
        <w:t xml:space="preserve"> to roll</w:t>
      </w:r>
      <w:r w:rsidR="006579D7">
        <w:t xml:space="preserve"> </w:t>
      </w:r>
      <w:r>
        <w:t>out an MNO-type network in exclusive</w:t>
      </w:r>
      <w:r w:rsidR="00275EAB">
        <w:t>-</w:t>
      </w:r>
      <w:r>
        <w:t>use spectru</w:t>
      </w:r>
      <w:r w:rsidR="005E5E35">
        <w:t>m in the 700MHz band. Exclusive-</w:t>
      </w:r>
      <w:r>
        <w:t>use licences will continue to be needed where large-scale investment in new networks</w:t>
      </w:r>
      <w:r w:rsidR="00275EAB">
        <w:t xml:space="preserve"> is envisaged</w:t>
      </w:r>
      <w:r>
        <w:t xml:space="preserve">, requiring a high certainty of spectrum access. </w:t>
      </w:r>
      <w:r w:rsidR="00275EAB">
        <w:t xml:space="preserve">In </w:t>
      </w:r>
      <w:r>
        <w:t xml:space="preserve">contrast, spectrum reform </w:t>
      </w:r>
      <w:r w:rsidR="00275EAB">
        <w:t xml:space="preserve">aimed at </w:t>
      </w:r>
      <w:r>
        <w:t xml:space="preserve">more spectrum </w:t>
      </w:r>
      <w:r w:rsidR="00275EAB">
        <w:t xml:space="preserve">being shared </w:t>
      </w:r>
      <w:r>
        <w:t xml:space="preserve">in some </w:t>
      </w:r>
      <w:r>
        <w:lastRenderedPageBreak/>
        <w:t xml:space="preserve">bands </w:t>
      </w:r>
      <w:r w:rsidRPr="00882B52">
        <w:t xml:space="preserve">might </w:t>
      </w:r>
      <w:r w:rsidR="00275EAB">
        <w:t xml:space="preserve">help </w:t>
      </w:r>
      <w:r w:rsidRPr="00882B52">
        <w:t xml:space="preserve">to attract </w:t>
      </w:r>
      <w:r>
        <w:t>new types of wireless operator</w:t>
      </w:r>
      <w:r w:rsidR="00275EAB">
        <w:t xml:space="preserve">. Such reform could also help </w:t>
      </w:r>
      <w:r w:rsidRPr="00882B52">
        <w:t xml:space="preserve">to address </w:t>
      </w:r>
      <w:r>
        <w:t xml:space="preserve">specific coverage </w:t>
      </w:r>
      <w:r w:rsidRPr="00882B52">
        <w:t>issues</w:t>
      </w:r>
      <w:r w:rsidR="00275EAB">
        <w:t>,</w:t>
      </w:r>
      <w:r w:rsidRPr="00882B52">
        <w:t xml:space="preserve"> such as providing ubiquitous coverage for wireless broadband</w:t>
      </w:r>
      <w:r>
        <w:t xml:space="preserve"> (e.g. into remote areas), or provid</w:t>
      </w:r>
      <w:r w:rsidR="00275EAB">
        <w:t>ing</w:t>
      </w:r>
      <w:r>
        <w:t xml:space="preserve"> additional capacity in areas of very </w:t>
      </w:r>
      <w:r w:rsidR="00275EAB">
        <w:t xml:space="preserve">high </w:t>
      </w:r>
      <w:r>
        <w:t>traffic demand (e.g. ‘small cells’)</w:t>
      </w:r>
    </w:p>
    <w:p w:rsidR="00A25213" w:rsidRPr="001B0105" w:rsidRDefault="00A25213" w:rsidP="00A25213">
      <w:pPr>
        <w:pStyle w:val="I1"/>
      </w:pPr>
      <w:r w:rsidRPr="001B0105">
        <w:t xml:space="preserve">Release of sufficient amounts of harmonised spectrum is especially important for the mobile market to remain competitive, but harmonised spectrum is also relevant for emerging uses of spectrum, including </w:t>
      </w:r>
      <w:r>
        <w:t xml:space="preserve">in bands where </w:t>
      </w:r>
      <w:r w:rsidRPr="001B0105">
        <w:t>DSA</w:t>
      </w:r>
      <w:r>
        <w:t xml:space="preserve"> techniques are proposed</w:t>
      </w:r>
    </w:p>
    <w:p w:rsidR="00A25213" w:rsidRPr="001B0105" w:rsidRDefault="00A25213" w:rsidP="00A25213">
      <w:pPr>
        <w:pStyle w:val="I1"/>
      </w:pPr>
      <w:r w:rsidRPr="001B0105">
        <w:t xml:space="preserve">There is a link between spectrum management and downstream competition, but concerns about market power in the provision of spectrum can be addressed through appropriate remedies </w:t>
      </w:r>
    </w:p>
    <w:p w:rsidR="00A25213" w:rsidRPr="001B0105" w:rsidRDefault="006A61C2" w:rsidP="00A25213">
      <w:pPr>
        <w:pStyle w:val="I1"/>
      </w:pPr>
      <w:r>
        <w:t>It would be sensible to consider d</w:t>
      </w:r>
      <w:r w:rsidR="00A25213" w:rsidRPr="001B0105">
        <w:t>elegated or private band management</w:t>
      </w:r>
      <w:r w:rsidR="00A25213">
        <w:t>,</w:t>
      </w:r>
      <w:r w:rsidR="00A25213" w:rsidRPr="001B0105">
        <w:t xml:space="preserve"> but market </w:t>
      </w:r>
      <w:r w:rsidR="00A25213">
        <w:t xml:space="preserve">take-up </w:t>
      </w:r>
      <w:r w:rsidR="00A25213" w:rsidRPr="001B0105">
        <w:t xml:space="preserve">and </w:t>
      </w:r>
      <w:r>
        <w:t xml:space="preserve">the </w:t>
      </w:r>
      <w:r w:rsidR="00A25213" w:rsidRPr="001B0105">
        <w:t>benefits are uncertain</w:t>
      </w:r>
      <w:r w:rsidR="00A25213">
        <w:t xml:space="preserve">, based on experience in other markets to date. To encourage the emergence of private band management, we recommend that </w:t>
      </w:r>
      <w:r w:rsidR="00A04305">
        <w:t xml:space="preserve">the </w:t>
      </w:r>
      <w:r w:rsidR="00A25213">
        <w:t xml:space="preserve">ACMA conducts further work to investigate where demand for band management </w:t>
      </w:r>
      <w:r>
        <w:t xml:space="preserve">exists </w:t>
      </w:r>
      <w:r w:rsidR="00A25213">
        <w:t>(i.e. within identified bands, or sectors of the market) and what the costs and benefits of alternative band</w:t>
      </w:r>
      <w:r>
        <w:t>-</w:t>
      </w:r>
      <w:r w:rsidR="00A25213">
        <w:t xml:space="preserve">management models might be in situations where there is demand, </w:t>
      </w:r>
      <w:r>
        <w:t xml:space="preserve">so that it can identify </w:t>
      </w:r>
      <w:r w:rsidR="00A25213">
        <w:t xml:space="preserve">the best approaches </w:t>
      </w:r>
      <w:r>
        <w:t xml:space="preserve">for </w:t>
      </w:r>
      <w:r w:rsidR="00A25213">
        <w:t>minimis</w:t>
      </w:r>
      <w:r>
        <w:t>ing</w:t>
      </w:r>
      <w:r w:rsidR="00A25213">
        <w:t xml:space="preserve"> costs, administrative burdens and risks </w:t>
      </w:r>
      <w:r>
        <w:t xml:space="preserve">and thus </w:t>
      </w:r>
      <w:r w:rsidR="00A25213">
        <w:t>allow band managers to flourish. This would include consider</w:t>
      </w:r>
      <w:r>
        <w:t xml:space="preserve">ing </w:t>
      </w:r>
      <w:r w:rsidR="00A25213">
        <w:t xml:space="preserve">how the ACMA might charge band managers for access to spectrum, how to promote competition in band management (if relevant) and how to avoid any distortions in pricing and availability </w:t>
      </w:r>
      <w:r>
        <w:t xml:space="preserve">where </w:t>
      </w:r>
      <w:r w:rsidR="00A25213">
        <w:t xml:space="preserve">similar spectrum </w:t>
      </w:r>
      <w:r>
        <w:t xml:space="preserve">is </w:t>
      </w:r>
      <w:r w:rsidR="00A25213">
        <w:t xml:space="preserve">available from different sources (e.g. in situations where the ACMA might offer spectrum that has been priced administratively, which could </w:t>
      </w:r>
      <w:r>
        <w:t xml:space="preserve">serve </w:t>
      </w:r>
      <w:r w:rsidR="00A25213">
        <w:t xml:space="preserve">as a substitute </w:t>
      </w:r>
      <w:r>
        <w:t xml:space="preserve">for </w:t>
      </w:r>
      <w:r w:rsidR="00A25213">
        <w:t xml:space="preserve">spectrum that band managers </w:t>
      </w:r>
      <w:r>
        <w:t xml:space="preserve">are </w:t>
      </w:r>
      <w:r w:rsidR="00A25213">
        <w:t>offering at commercially derived prices)</w:t>
      </w:r>
    </w:p>
    <w:p w:rsidR="00A25213" w:rsidRPr="001B0105" w:rsidRDefault="00A25213" w:rsidP="00A25213">
      <w:pPr>
        <w:pStyle w:val="I1"/>
        <w:rPr>
          <w:b/>
        </w:rPr>
      </w:pPr>
      <w:r w:rsidRPr="001B0105">
        <w:t xml:space="preserve">International trends are towards longer licence durations in key bands to provide greatest certainty, </w:t>
      </w:r>
      <w:r w:rsidR="006A61C2">
        <w:t>but</w:t>
      </w:r>
      <w:r w:rsidR="006A61C2" w:rsidRPr="001B0105">
        <w:t xml:space="preserve"> </w:t>
      </w:r>
      <w:r w:rsidRPr="001B0105">
        <w:t>there should be provision to recover spectrum to prevent value-destructive behaviours</w:t>
      </w:r>
      <w:r>
        <w:t>.</w:t>
      </w:r>
    </w:p>
    <w:p w:rsidR="00B037F5" w:rsidRPr="001B0105" w:rsidRDefault="00A25213" w:rsidP="00003A67">
      <w:pPr>
        <w:pStyle w:val="Heading2"/>
      </w:pPr>
      <w:bookmarkStart w:id="11" w:name="_Toc485117360"/>
      <w:r>
        <w:t>Prioritisation of approaches for the Australian market</w:t>
      </w:r>
      <w:bookmarkEnd w:id="11"/>
    </w:p>
    <w:p w:rsidR="00B037F5" w:rsidRPr="001B0105" w:rsidRDefault="00F625CA" w:rsidP="00B037F5">
      <w:r>
        <w:t xml:space="preserve">To </w:t>
      </w:r>
      <w:r w:rsidR="00B037F5" w:rsidRPr="001B0105">
        <w:t>prioritis</w:t>
      </w:r>
      <w:r>
        <w:t>e</w:t>
      </w:r>
      <w:r w:rsidR="00B037F5" w:rsidRPr="001B0105">
        <w:t xml:space="preserve"> the implementation of different approaches</w:t>
      </w:r>
      <w:r w:rsidR="006A61C2">
        <w:t xml:space="preserve"> </w:t>
      </w:r>
      <w:r w:rsidR="00A04305">
        <w:t>to spectrum management</w:t>
      </w:r>
      <w:r w:rsidR="00B037F5" w:rsidRPr="001B0105">
        <w:t xml:space="preserve">, </w:t>
      </w:r>
      <w:r w:rsidR="009B1A1F">
        <w:t xml:space="preserve">a </w:t>
      </w:r>
      <w:r w:rsidR="00B037F5" w:rsidRPr="001B0105">
        <w:t xml:space="preserve">focus on </w:t>
      </w:r>
      <w:r w:rsidR="00E914F0">
        <w:t>additional</w:t>
      </w:r>
      <w:r w:rsidR="00B037F5" w:rsidRPr="001B0105">
        <w:t xml:space="preserve"> market-based approaches in bands that have been identified as the most valuable in </w:t>
      </w:r>
      <w:r w:rsidR="00ED560D">
        <w:t xml:space="preserve">an </w:t>
      </w:r>
      <w:r w:rsidR="00E914F0">
        <w:t>alternative use</w:t>
      </w:r>
      <w:r w:rsidR="00CB4B0B">
        <w:t xml:space="preserve"> could be a beneficial early activity for the ACMA </w:t>
      </w:r>
      <w:r w:rsidR="00B037F5" w:rsidRPr="001B0105">
        <w:t xml:space="preserve"> – </w:t>
      </w:r>
      <w:r w:rsidR="00A04305">
        <w:t xml:space="preserve">taking account of </w:t>
      </w:r>
      <w:r w:rsidR="00B037F5" w:rsidRPr="001B0105">
        <w:t>the value consumers might gain from new services</w:t>
      </w:r>
      <w:r>
        <w:t>,</w:t>
      </w:r>
      <w:r w:rsidR="00B037F5" w:rsidRPr="001B0105">
        <w:t xml:space="preserve"> broader benefits to the economy and society</w:t>
      </w:r>
      <w:r w:rsidR="00FF69C2">
        <w:t xml:space="preserve"> and the market needs for possible new users of the spectrum being considered (including their likely requirements in relation to exclusive versus shared spectrum use, licence duration, ability to trade and lease spectrum and so forth)</w:t>
      </w:r>
      <w:r w:rsidR="00B037F5" w:rsidRPr="001B0105">
        <w:t>.</w:t>
      </w:r>
    </w:p>
    <w:p w:rsidR="00B037F5" w:rsidRPr="001B0105" w:rsidRDefault="00F625CA" w:rsidP="00B037F5">
      <w:r>
        <w:t>T</w:t>
      </w:r>
      <w:r w:rsidR="00B037F5" w:rsidRPr="001B0105">
        <w:t xml:space="preserve">he ACMA </w:t>
      </w:r>
      <w:r w:rsidR="00A04305">
        <w:t xml:space="preserve">has </w:t>
      </w:r>
      <w:r>
        <w:t xml:space="preserve">identified </w:t>
      </w:r>
      <w:r w:rsidR="00B037F5" w:rsidRPr="001B0105">
        <w:t>the following considerations when designing the new licensing system:</w:t>
      </w:r>
    </w:p>
    <w:p w:rsidR="00B037F5" w:rsidRPr="001B0105" w:rsidRDefault="00B037F5" w:rsidP="00F625CA">
      <w:pPr>
        <w:pStyle w:val="ListBulletCompact"/>
      </w:pPr>
      <w:r w:rsidRPr="001B0105">
        <w:t>providing for a more market-oriented approach where practicable</w:t>
      </w:r>
    </w:p>
    <w:p w:rsidR="00B037F5" w:rsidRPr="001B0105" w:rsidRDefault="00B037F5" w:rsidP="00F625CA">
      <w:pPr>
        <w:pStyle w:val="ListBulletCompact"/>
      </w:pPr>
      <w:r w:rsidRPr="001B0105">
        <w:t xml:space="preserve">accommodating an appropriate balance </w:t>
      </w:r>
      <w:r w:rsidR="006A61C2">
        <w:t>between</w:t>
      </w:r>
      <w:r w:rsidR="006A61C2" w:rsidRPr="001B0105">
        <w:t xml:space="preserve"> </w:t>
      </w:r>
      <w:r w:rsidRPr="001B0105">
        <w:t>flexibility and predictability for spectrum users</w:t>
      </w:r>
    </w:p>
    <w:p w:rsidR="00B037F5" w:rsidRPr="00986A78" w:rsidRDefault="00B037F5" w:rsidP="00F625CA">
      <w:pPr>
        <w:pStyle w:val="ListBulletCompact"/>
      </w:pPr>
      <w:r w:rsidRPr="001B0105">
        <w:t>the extent of change to licence issu</w:t>
      </w:r>
      <w:r w:rsidR="00986A78">
        <w:t>ing</w:t>
      </w:r>
      <w:r w:rsidRPr="00986A78">
        <w:t xml:space="preserve"> processes and licence design</w:t>
      </w:r>
    </w:p>
    <w:p w:rsidR="00B037F5" w:rsidRPr="00986A78" w:rsidRDefault="00B037F5" w:rsidP="00F625CA">
      <w:pPr>
        <w:pStyle w:val="ListBulletCompact"/>
      </w:pPr>
      <w:r w:rsidRPr="00986A78">
        <w:t>the period over which changes to licence issu</w:t>
      </w:r>
      <w:r w:rsidR="00986A78">
        <w:t>ing</w:t>
      </w:r>
      <w:r w:rsidRPr="00986A78">
        <w:t xml:space="preserve"> and licence design occur, especially with respect to spectrum</w:t>
      </w:r>
      <w:r w:rsidR="00F625CA">
        <w:t xml:space="preserve"> </w:t>
      </w:r>
      <w:r w:rsidRPr="00986A78">
        <w:t>sharing, licence renewal, refarming and trading</w:t>
      </w:r>
    </w:p>
    <w:p w:rsidR="00B037F5" w:rsidRPr="00882B52" w:rsidRDefault="00B037F5" w:rsidP="00B037F5">
      <w:pPr>
        <w:pStyle w:val="I1"/>
      </w:pPr>
      <w:r w:rsidRPr="00882B52">
        <w:lastRenderedPageBreak/>
        <w:t>the extent to which the ACMA may seek to liberalise control of spectrum management</w:t>
      </w:r>
      <w:r w:rsidR="00F625CA">
        <w:t>,</w:t>
      </w:r>
      <w:r w:rsidRPr="00882B52">
        <w:t xml:space="preserve"> </w:t>
      </w:r>
      <w:r w:rsidR="00F72DCF">
        <w:t>using</w:t>
      </w:r>
      <w:r w:rsidRPr="00882B52">
        <w:t xml:space="preserve"> management rights or reconfigured licences</w:t>
      </w:r>
      <w:r w:rsidR="00A02D07">
        <w:t>.</w:t>
      </w:r>
    </w:p>
    <w:p w:rsidR="00B037F5" w:rsidRDefault="00523A7C" w:rsidP="00B037F5">
      <w:r w:rsidRPr="001B0105">
        <w:t xml:space="preserve">We have compared the </w:t>
      </w:r>
      <w:r w:rsidR="00152611" w:rsidRPr="001B0105">
        <w:t>alternative management app</w:t>
      </w:r>
      <w:r w:rsidRPr="001B0105">
        <w:t>roaches identified in</w:t>
      </w:r>
      <w:r w:rsidR="00C605A8">
        <w:t xml:space="preserve"> </w:t>
      </w:r>
      <w:r w:rsidR="00C605A8" w:rsidRPr="00150116">
        <w:fldChar w:fldCharType="begin"/>
      </w:r>
      <w:r w:rsidR="00C605A8" w:rsidRPr="00150116">
        <w:instrText xml:space="preserve"> REF _Ref483301493 \h </w:instrText>
      </w:r>
      <w:r w:rsidR="00C605A8" w:rsidRPr="00150116">
        <w:fldChar w:fldCharType="separate"/>
      </w:r>
      <w:r w:rsidR="00DD5B32">
        <w:t>Figure </w:t>
      </w:r>
      <w:r w:rsidR="00DD5B32">
        <w:rPr>
          <w:noProof/>
        </w:rPr>
        <w:t>3</w:t>
      </w:r>
      <w:r w:rsidR="00C605A8" w:rsidRPr="00150116">
        <w:fldChar w:fldCharType="end"/>
      </w:r>
      <w:r w:rsidR="00C605A8">
        <w:t xml:space="preserve"> </w:t>
      </w:r>
      <w:r w:rsidR="00A04305">
        <w:t>against</w:t>
      </w:r>
      <w:r w:rsidRPr="0055369B">
        <w:t xml:space="preserve"> the ACMA’s considerations when designing the new licensing system, to </w:t>
      </w:r>
      <w:r w:rsidR="00F625CA">
        <w:t xml:space="preserve">assess the </w:t>
      </w:r>
      <w:r w:rsidRPr="0055369B">
        <w:t>potential suitability</w:t>
      </w:r>
      <w:r w:rsidR="00F625CA">
        <w:t xml:space="preserve"> of </w:t>
      </w:r>
      <w:r w:rsidR="006A61C2">
        <w:t xml:space="preserve">each </w:t>
      </w:r>
      <w:r w:rsidR="00F625CA">
        <w:t>approach</w:t>
      </w:r>
      <w:r w:rsidRPr="0055369B">
        <w:t xml:space="preserve">. Our assessment is summarised </w:t>
      </w:r>
      <w:r w:rsidR="00230135">
        <w:t xml:space="preserve">in </w:t>
      </w:r>
      <w:r w:rsidR="00C605A8" w:rsidRPr="00150116">
        <w:fldChar w:fldCharType="begin"/>
      </w:r>
      <w:r w:rsidR="00C605A8" w:rsidRPr="00150116">
        <w:instrText xml:space="preserve"> REF _Ref484711448 \h </w:instrText>
      </w:r>
      <w:r w:rsidR="00C605A8" w:rsidRPr="00150116">
        <w:fldChar w:fldCharType="separate"/>
      </w:r>
      <w:r w:rsidR="00DD5B32">
        <w:t>Figure </w:t>
      </w:r>
      <w:r w:rsidR="00DD5B32">
        <w:rPr>
          <w:noProof/>
        </w:rPr>
        <w:t>5</w:t>
      </w:r>
      <w:r w:rsidR="00C605A8" w:rsidRPr="00150116">
        <w:fldChar w:fldCharType="end"/>
      </w:r>
      <w:r w:rsidR="00C605A8">
        <w:t xml:space="preserve"> </w:t>
      </w:r>
      <w:r w:rsidRPr="0055369B">
        <w:t>below.</w:t>
      </w:r>
    </w:p>
    <w:p w:rsidR="00C605A8" w:rsidRDefault="00C605A8" w:rsidP="00C605A8">
      <w:pPr>
        <w:pStyle w:val="Caption"/>
      </w:pPr>
      <w:bookmarkStart w:id="12" w:name="_Ref484711448"/>
      <w:r>
        <w:t>Figure</w:t>
      </w:r>
      <w:r w:rsidR="00566342">
        <w:t> </w:t>
      </w:r>
      <w:fldSimple w:instr=" SEQ Figure \* ARABIC \s 1 \* MERGEFORMAT ">
        <w:r w:rsidR="00DD5B32">
          <w:rPr>
            <w:noProof/>
          </w:rPr>
          <w:t>5</w:t>
        </w:r>
      </w:fldSimple>
      <w:bookmarkEnd w:id="12"/>
      <w:r>
        <w:t xml:space="preserve">: </w:t>
      </w:r>
      <w:r w:rsidRPr="0055369B">
        <w:t xml:space="preserve">Comparison of different approaches against </w:t>
      </w:r>
      <w:r>
        <w:t xml:space="preserve">the </w:t>
      </w:r>
      <w:r w:rsidRPr="0055369B">
        <w:t>ACMA’s considerations for the new licensing system</w:t>
      </w:r>
      <w:r>
        <w:t xml:space="preserve"> [Source: Analysys Mason, 2017]</w:t>
      </w:r>
    </w:p>
    <w:p w:rsidR="00523A7C" w:rsidRPr="0055369B" w:rsidRDefault="002922B5" w:rsidP="002922B5">
      <w:pPr>
        <w:pStyle w:val="Border"/>
      </w:pPr>
      <w:r w:rsidRPr="002922B5">
        <w:rPr>
          <w:noProof/>
          <w:lang w:val="en-AU" w:eastAsia="en-AU"/>
        </w:rPr>
        <w:drawing>
          <wp:inline distT="0" distB="0" distL="0" distR="0" wp14:anchorId="6990C018" wp14:editId="15A40171">
            <wp:extent cx="5544185" cy="269332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44185" cy="2693329"/>
                    </a:xfrm>
                    <a:prstGeom prst="rect">
                      <a:avLst/>
                    </a:prstGeom>
                    <a:noFill/>
                    <a:ln>
                      <a:noFill/>
                    </a:ln>
                  </pic:spPr>
                </pic:pic>
              </a:graphicData>
            </a:graphic>
          </wp:inline>
        </w:drawing>
      </w:r>
    </w:p>
    <w:p w:rsidR="00EF2645" w:rsidRDefault="00CC4ECB" w:rsidP="00277EB9">
      <w:r>
        <w:t xml:space="preserve">Implementation of </w:t>
      </w:r>
      <w:r w:rsidR="00442778">
        <w:t>these sharing mechanisms</w:t>
      </w:r>
      <w:r>
        <w:t xml:space="preserve"> would need to be c</w:t>
      </w:r>
      <w:r w:rsidR="00854FB7">
        <w:t>onsidered on a band-by-</w:t>
      </w:r>
      <w:r>
        <w:t xml:space="preserve">band basis, </w:t>
      </w:r>
      <w:r w:rsidR="00442778">
        <w:t xml:space="preserve">based on market demand and </w:t>
      </w:r>
      <w:r w:rsidR="006A61C2">
        <w:rPr>
          <w:color w:val="000000"/>
          <w:lang w:eastAsia="en-AU"/>
        </w:rPr>
        <w:t xml:space="preserve">in line with </w:t>
      </w:r>
      <w:r>
        <w:rPr>
          <w:color w:val="000000"/>
          <w:lang w:eastAsia="en-AU"/>
        </w:rPr>
        <w:t>anticipated</w:t>
      </w:r>
      <w:r w:rsidR="006579D7">
        <w:rPr>
          <w:color w:val="000000"/>
          <w:lang w:eastAsia="en-AU"/>
        </w:rPr>
        <w:t xml:space="preserve"> </w:t>
      </w:r>
      <w:r>
        <w:rPr>
          <w:color w:val="000000"/>
          <w:lang w:eastAsia="en-AU"/>
        </w:rPr>
        <w:t>deployment and characteristics</w:t>
      </w:r>
      <w:r w:rsidR="006579D7">
        <w:rPr>
          <w:color w:val="000000"/>
          <w:lang w:eastAsia="en-AU"/>
        </w:rPr>
        <w:t xml:space="preserve"> </w:t>
      </w:r>
      <w:r>
        <w:rPr>
          <w:color w:val="000000"/>
          <w:lang w:eastAsia="en-AU"/>
        </w:rPr>
        <w:t xml:space="preserve">of the band. The most suitable bands for these sharing mechanisms would be </w:t>
      </w:r>
      <w:r>
        <w:t xml:space="preserve">bands </w:t>
      </w:r>
      <w:r w:rsidR="006A61C2">
        <w:t xml:space="preserve">where </w:t>
      </w:r>
      <w:r>
        <w:t xml:space="preserve">utilisation is </w:t>
      </w:r>
      <w:r w:rsidR="006A61C2">
        <w:t xml:space="preserve">currently </w:t>
      </w:r>
      <w:r>
        <w:t xml:space="preserve">low, and/or bands </w:t>
      </w:r>
      <w:r w:rsidR="006A61C2">
        <w:t xml:space="preserve">which have </w:t>
      </w:r>
      <w:r>
        <w:t xml:space="preserve">frequencies available in some locations, and/or in some parts of the band, </w:t>
      </w:r>
      <w:r w:rsidR="00B60EE1">
        <w:t>and</w:t>
      </w:r>
      <w:r>
        <w:t xml:space="preserve"> where wide-scale clearance of existing use is not being envisaged and/or not currently possible. </w:t>
      </w:r>
      <w:bookmarkEnd w:id="6"/>
      <w:bookmarkEnd w:id="7"/>
    </w:p>
    <w:p w:rsidR="0006662D" w:rsidRPr="0006662D" w:rsidRDefault="0006662D" w:rsidP="00277EB9">
      <w:r>
        <w:t xml:space="preserve">A summary of the high-level approach that </w:t>
      </w:r>
      <w:r w:rsidR="006A61C2">
        <w:t xml:space="preserve">the </w:t>
      </w:r>
      <w:r>
        <w:t>A</w:t>
      </w:r>
      <w:r w:rsidR="00EC23BE">
        <w:t>CM</w:t>
      </w:r>
      <w:r>
        <w:t xml:space="preserve">A might follow to prioritise </w:t>
      </w:r>
      <w:r w:rsidR="006A61C2">
        <w:t xml:space="preserve">its </w:t>
      </w:r>
      <w:r>
        <w:t xml:space="preserve">choice </w:t>
      </w:r>
      <w:r w:rsidR="006A61C2">
        <w:t xml:space="preserve">of </w:t>
      </w:r>
      <w:r>
        <w:t xml:space="preserve">alternative spectrum access mechanisms is shown in </w:t>
      </w:r>
      <w:r w:rsidR="00C605A8" w:rsidRPr="00150116">
        <w:fldChar w:fldCharType="begin"/>
      </w:r>
      <w:r w:rsidR="00C605A8" w:rsidRPr="00150116">
        <w:instrText xml:space="preserve"> REF _Ref484611142 \h </w:instrText>
      </w:r>
      <w:r w:rsidR="00C605A8" w:rsidRPr="00150116">
        <w:fldChar w:fldCharType="separate"/>
      </w:r>
      <w:r w:rsidR="00DD5B32">
        <w:t>Figure </w:t>
      </w:r>
      <w:r w:rsidR="00DD5B32">
        <w:rPr>
          <w:noProof/>
        </w:rPr>
        <w:t>6</w:t>
      </w:r>
      <w:r w:rsidR="00C605A8" w:rsidRPr="00150116">
        <w:fldChar w:fldCharType="end"/>
      </w:r>
      <w:r w:rsidR="00C605A8">
        <w:t>.</w:t>
      </w:r>
    </w:p>
    <w:p w:rsidR="00004943" w:rsidRDefault="00004943" w:rsidP="00004943">
      <w:pPr>
        <w:pStyle w:val="Caption"/>
      </w:pPr>
      <w:bookmarkStart w:id="13" w:name="_Ref484611142"/>
      <w:r>
        <w:t>Figure</w:t>
      </w:r>
      <w:r w:rsidR="006579D7">
        <w:t> </w:t>
      </w:r>
      <w:fldSimple w:instr=" SEQ Figure \* ARABIC \s 1 \* MERGEFORMAT ">
        <w:r w:rsidR="00DD5B32">
          <w:rPr>
            <w:noProof/>
          </w:rPr>
          <w:t>6</w:t>
        </w:r>
      </w:fldSimple>
      <w:bookmarkEnd w:id="13"/>
      <w:r>
        <w:t xml:space="preserve">: Approach </w:t>
      </w:r>
      <w:r w:rsidR="006579D7">
        <w:t xml:space="preserve">for </w:t>
      </w:r>
      <w:r>
        <w:t>prioritising applicable mechanisms [Source: Analysys Mason, 2017]</w:t>
      </w:r>
      <w:r w:rsidR="00D802AF">
        <w:t xml:space="preserve"> </w:t>
      </w:r>
    </w:p>
    <w:p w:rsidR="00004943" w:rsidRPr="00004943" w:rsidRDefault="00D802AF" w:rsidP="00D802AF">
      <w:pPr>
        <w:pStyle w:val="Border"/>
      </w:pPr>
      <w:r w:rsidRPr="00D802AF">
        <w:rPr>
          <w:noProof/>
          <w:lang w:val="en-AU" w:eastAsia="en-AU"/>
        </w:rPr>
        <w:drawing>
          <wp:inline distT="0" distB="0" distL="0" distR="0" wp14:anchorId="7556DDC4" wp14:editId="222C4130">
            <wp:extent cx="5544185" cy="78455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44185" cy="784554"/>
                    </a:xfrm>
                    <a:prstGeom prst="rect">
                      <a:avLst/>
                    </a:prstGeom>
                    <a:noFill/>
                    <a:ln>
                      <a:noFill/>
                    </a:ln>
                  </pic:spPr>
                </pic:pic>
              </a:graphicData>
            </a:graphic>
          </wp:inline>
        </w:drawing>
      </w:r>
    </w:p>
    <w:p w:rsidR="0006662D" w:rsidRDefault="0085140F" w:rsidP="0006662D">
      <w:r>
        <w:t>A</w:t>
      </w:r>
      <w:r w:rsidR="0006662D">
        <w:t>s</w:t>
      </w:r>
      <w:r w:rsidR="006A7B58">
        <w:t xml:space="preserve"> the</w:t>
      </w:r>
      <w:r w:rsidR="0006662D">
        <w:t xml:space="preserve"> new legislation is being implemented, there will be a transition phase</w:t>
      </w:r>
      <w:r>
        <w:t>, while</w:t>
      </w:r>
      <w:r w:rsidR="0006662D">
        <w:t xml:space="preserve"> </w:t>
      </w:r>
      <w:r>
        <w:t xml:space="preserve">the </w:t>
      </w:r>
      <w:r w:rsidR="0006662D">
        <w:t xml:space="preserve">ACMA moves from the current licensing system to the proposed new single system. During this transition period, </w:t>
      </w:r>
      <w:r>
        <w:t xml:space="preserve">the </w:t>
      </w:r>
      <w:r w:rsidR="0006662D">
        <w:t xml:space="preserve">ACMA will need to address key </w:t>
      </w:r>
      <w:r w:rsidR="0006662D">
        <w:lastRenderedPageBreak/>
        <w:t xml:space="preserve">market developments that emerge, such as planning for </w:t>
      </w:r>
      <w:r w:rsidR="006A7B58">
        <w:t xml:space="preserve">the </w:t>
      </w:r>
      <w:r w:rsidR="0006662D">
        <w:t xml:space="preserve">deployment of 5G and ensuring </w:t>
      </w:r>
      <w:r>
        <w:t xml:space="preserve">there is </w:t>
      </w:r>
      <w:r w:rsidR="0006662D">
        <w:t xml:space="preserve">sufficient spectrum for </w:t>
      </w:r>
      <w:r>
        <w:t xml:space="preserve">the </w:t>
      </w:r>
      <w:r w:rsidR="0006662D">
        <w:t>IoT, as set out in the latest FYSO. Whilst transitioning to the new legislation, the ACMA might continue applying current approaches to spectrum management alongside implementing spectrum reforms. The approaches used – and prioritisation of reforms for the ACMA to implement – will be guided by market demand, anticipated deployments</w:t>
      </w:r>
      <w:r>
        <w:t xml:space="preserve"> </w:t>
      </w:r>
      <w:r w:rsidR="00FF69C2">
        <w:t>of new networks and systems</w:t>
      </w:r>
      <w:r w:rsidR="0006662D">
        <w:t xml:space="preserve"> and the characteristics of the frequency bands being considered. </w:t>
      </w:r>
    </w:p>
    <w:p w:rsidR="0085140F" w:rsidRDefault="0085140F" w:rsidP="00AE459E">
      <w:pPr>
        <w:pStyle w:val="Heading2"/>
      </w:pPr>
      <w:bookmarkStart w:id="14" w:name="_Toc485117361"/>
      <w:r>
        <w:t>Recommended next steps for the ACMA</w:t>
      </w:r>
      <w:bookmarkEnd w:id="14"/>
    </w:p>
    <w:p w:rsidR="00660710" w:rsidRDefault="0085140F" w:rsidP="0006662D">
      <w:r>
        <w:t xml:space="preserve">Based on the results of this study, we recommend the following </w:t>
      </w:r>
      <w:r w:rsidR="00660710">
        <w:t xml:space="preserve">next steps </w:t>
      </w:r>
      <w:r>
        <w:t xml:space="preserve">for the </w:t>
      </w:r>
      <w:r w:rsidR="00660710">
        <w:t>ACMA:</w:t>
      </w:r>
    </w:p>
    <w:p w:rsidR="00F8123B" w:rsidRDefault="0085140F" w:rsidP="0026017D">
      <w:pPr>
        <w:pStyle w:val="I1"/>
      </w:pPr>
      <w:r>
        <w:t>F</w:t>
      </w:r>
      <w:r w:rsidR="00F8123B">
        <w:t xml:space="preserve">urther analysis into </w:t>
      </w:r>
      <w:r>
        <w:t xml:space="preserve">the </w:t>
      </w:r>
      <w:r w:rsidR="00F8123B">
        <w:t>implementation of long</w:t>
      </w:r>
      <w:r>
        <w:t>-</w:t>
      </w:r>
      <w:r w:rsidR="00F8123B">
        <w:t>duration, ‘spectrum space’</w:t>
      </w:r>
      <w:r w:rsidR="0026017D">
        <w:t xml:space="preserve"> licences, and the conditions of those licences.</w:t>
      </w:r>
      <w:r w:rsidR="00F8123B">
        <w:t xml:space="preserve"> </w:t>
      </w:r>
      <w:r w:rsidR="009D4F67">
        <w:t>For example, o</w:t>
      </w:r>
      <w:r w:rsidR="00F8123B">
        <w:t>ffering longer</w:t>
      </w:r>
      <w:r>
        <w:t>-</w:t>
      </w:r>
      <w:r w:rsidR="00F8123B">
        <w:t xml:space="preserve">duration licences with </w:t>
      </w:r>
      <w:r w:rsidR="009D4F67">
        <w:t>spectrum leasing might give further flexibility for spectrum exchange where needed, whilst also offering the longer</w:t>
      </w:r>
      <w:r>
        <w:t xml:space="preserve"> </w:t>
      </w:r>
      <w:r w:rsidR="009D4F67">
        <w:t xml:space="preserve">duration </w:t>
      </w:r>
      <w:r>
        <w:t xml:space="preserve">desired by </w:t>
      </w:r>
      <w:r w:rsidR="009D4F67">
        <w:t xml:space="preserve">operators of nationwide networks, </w:t>
      </w:r>
      <w:r>
        <w:t xml:space="preserve">which have to make </w:t>
      </w:r>
      <w:r w:rsidR="009D4F67">
        <w:t>large-scale investment in network infrastructure</w:t>
      </w:r>
      <w:r w:rsidR="0026017D">
        <w:t xml:space="preserve">. This would avoid </w:t>
      </w:r>
      <w:r>
        <w:t xml:space="preserve">the </w:t>
      </w:r>
      <w:r w:rsidR="0026017D">
        <w:t xml:space="preserve">possible risk of longer-duration licences impeding access to spectrum for a wider range of users, since operators </w:t>
      </w:r>
      <w:r>
        <w:t xml:space="preserve">could </w:t>
      </w:r>
      <w:r w:rsidR="0026017D">
        <w:t>lease spectrum in specific locations/over specific periods within the licence duration, in line with market demand</w:t>
      </w:r>
    </w:p>
    <w:p w:rsidR="0026017D" w:rsidRDefault="0085140F" w:rsidP="0026017D">
      <w:pPr>
        <w:pStyle w:val="I1"/>
      </w:pPr>
      <w:r>
        <w:t>S</w:t>
      </w:r>
      <w:r w:rsidR="0026017D">
        <w:t xml:space="preserve">pecific implementations of </w:t>
      </w:r>
      <w:r>
        <w:t xml:space="preserve">the </w:t>
      </w:r>
      <w:r w:rsidR="0026017D">
        <w:t xml:space="preserve">newer spectrum sharing approaches identified </w:t>
      </w:r>
      <w:r>
        <w:t xml:space="preserve">in </w:t>
      </w:r>
      <w:r w:rsidR="0026017D">
        <w:t>this study</w:t>
      </w:r>
      <w:r>
        <w:t xml:space="preserve"> could be </w:t>
      </w:r>
      <w:r w:rsidR="0026017D">
        <w:t xml:space="preserve">studied on a band-by-band basis, taking account of market demand and the characteristics of the band(s) being considered. Combinations of sharing approaches (e.g. using multi-tiered sharing) should be considered if simpler approaches are not feasible, but </w:t>
      </w:r>
      <w:r>
        <w:t xml:space="preserve">we </w:t>
      </w:r>
      <w:r w:rsidR="0026017D">
        <w:t>not</w:t>
      </w:r>
      <w:r>
        <w:t>e</w:t>
      </w:r>
      <w:r w:rsidR="0026017D">
        <w:t xml:space="preserve"> that more complex sharing approaches might </w:t>
      </w:r>
      <w:r>
        <w:t xml:space="preserve">be more </w:t>
      </w:r>
      <w:r w:rsidR="0026017D">
        <w:t xml:space="preserve">complex </w:t>
      </w:r>
      <w:r>
        <w:t xml:space="preserve">to </w:t>
      </w:r>
      <w:r w:rsidR="0026017D">
        <w:t>implement, as well as giving rise to increased investment risks (e.g. if there is a lack of certainty regarding the accessible spectrum, or the interference environment)</w:t>
      </w:r>
    </w:p>
    <w:p w:rsidR="00004943" w:rsidRPr="0006662D" w:rsidRDefault="0085140F" w:rsidP="00FF69C2">
      <w:pPr>
        <w:pStyle w:val="I1"/>
        <w:sectPr w:rsidR="00004943" w:rsidRPr="0006662D" w:rsidSect="00FB1473">
          <w:headerReference w:type="even" r:id="rId28"/>
          <w:headerReference w:type="default" r:id="rId29"/>
          <w:headerReference w:type="first" r:id="rId30"/>
          <w:pgSz w:w="11907" w:h="16840" w:code="9"/>
          <w:pgMar w:top="1418" w:right="1588" w:bottom="1418" w:left="1588" w:header="567" w:footer="567" w:gutter="0"/>
          <w:cols w:space="720"/>
          <w:titlePg/>
          <w:docGrid w:linePitch="224"/>
        </w:sectPr>
      </w:pPr>
      <w:r>
        <w:t xml:space="preserve">Given </w:t>
      </w:r>
      <w:r w:rsidR="009B1A1F">
        <w:t>that the new legislation is intended to</w:t>
      </w:r>
      <w:r>
        <w:t xml:space="preserve"> facilitate private band management, there would </w:t>
      </w:r>
      <w:r w:rsidR="00F8123B">
        <w:t>be merit in considering further the market conditions most suited to fostering successful band management. For example, further consideration might be given to the bands and/or sectors of the market are most suitable for private band management and the conditions most likely to result in successful emergence of commercial band managers (e.g. the amount of spectrum needed, and whether a single band manager, or multiple band managers, are likely to be needed</w:t>
      </w:r>
      <w:r w:rsidR="009F14F9">
        <w:t xml:space="preserve"> in each band/sector</w:t>
      </w:r>
      <w:r w:rsidR="00F8123B">
        <w:t xml:space="preserve">). Further consideration should also be given </w:t>
      </w:r>
      <w:r w:rsidR="009F14F9">
        <w:t xml:space="preserve">as </w:t>
      </w:r>
      <w:r w:rsidR="00F8123B">
        <w:t xml:space="preserve">to whether spectrum availability via the ACMA might undermine </w:t>
      </w:r>
      <w:r w:rsidR="009F14F9">
        <w:t xml:space="preserve">private </w:t>
      </w:r>
      <w:r w:rsidR="00F8123B">
        <w:t xml:space="preserve">band management (e.g. </w:t>
      </w:r>
      <w:r w:rsidR="009F14F9">
        <w:t xml:space="preserve">if </w:t>
      </w:r>
      <w:r w:rsidR="00FF69C2">
        <w:t xml:space="preserve">administrative </w:t>
      </w:r>
      <w:r w:rsidR="00F8123B">
        <w:t xml:space="preserve">pricing </w:t>
      </w:r>
      <w:r w:rsidR="009F14F9">
        <w:t xml:space="preserve">was </w:t>
      </w:r>
      <w:r w:rsidR="00F8123B">
        <w:t xml:space="preserve">applied to ACMA-managed bands, </w:t>
      </w:r>
      <w:r w:rsidR="009F14F9">
        <w:t xml:space="preserve">these </w:t>
      </w:r>
      <w:r w:rsidR="00F8123B">
        <w:t xml:space="preserve">might </w:t>
      </w:r>
      <w:r w:rsidR="009F14F9">
        <w:t xml:space="preserve">provide a </w:t>
      </w:r>
      <w:r w:rsidR="00FF69C2">
        <w:t>substitute</w:t>
      </w:r>
      <w:r w:rsidR="00F8123B">
        <w:t xml:space="preserve"> </w:t>
      </w:r>
      <w:r w:rsidR="009F14F9">
        <w:t xml:space="preserve">for </w:t>
      </w:r>
      <w:r w:rsidR="00F8123B">
        <w:t>spectrum managed by the band manager)</w:t>
      </w:r>
      <w:r w:rsidR="00566342">
        <w:t>.</w:t>
      </w:r>
    </w:p>
    <w:p w:rsidR="007C6FB3" w:rsidRPr="001B0105" w:rsidRDefault="007C6FB3" w:rsidP="00890902"/>
    <w:sectPr w:rsidR="007C6FB3" w:rsidRPr="001B0105" w:rsidSect="00DD5B32">
      <w:headerReference w:type="first" r:id="rId31"/>
      <w:footerReference w:type="first" r:id="rId32"/>
      <w:type w:val="continuous"/>
      <w:pgSz w:w="11907" w:h="16840" w:code="9"/>
      <w:pgMar w:top="1418" w:right="1588" w:bottom="1418" w:left="158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02C" w:rsidRDefault="002C402C" w:rsidP="003C6172">
      <w:pPr>
        <w:spacing w:after="0" w:line="240" w:lineRule="auto"/>
      </w:pPr>
      <w:r>
        <w:separator/>
      </w:r>
    </w:p>
  </w:endnote>
  <w:endnote w:type="continuationSeparator" w:id="0">
    <w:p w:rsidR="002C402C" w:rsidRDefault="002C402C" w:rsidP="003C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28" w:rsidRDefault="00A01628">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28" w:rsidRPr="004F65AF" w:rsidRDefault="00A01628" w:rsidP="004F65AF">
    <w:pPr>
      <w:pStyle w:val="Footer"/>
      <w:spacing w:before="720"/>
      <w:ind w:firstLine="1939"/>
    </w:pPr>
    <w:r>
      <w:tab/>
    </w:r>
    <w:r>
      <w:rPr>
        <w:rStyle w:val="ConfidentialFooter"/>
      </w:rPr>
      <w:fldChar w:fldCharType="begin"/>
    </w:r>
    <w:r>
      <w:rPr>
        <w:rStyle w:val="ConfidentialFooter"/>
      </w:rPr>
      <w:instrText xml:space="preserve"> DOCPROPERTY "Descriptor" \* MERGEFORMAT </w:instrText>
    </w:r>
    <w:r>
      <w:rPr>
        <w:rStyle w:val="ConfidentialFooter"/>
      </w:rPr>
      <w:fldChar w:fldCharType="separate"/>
    </w:r>
    <w:r w:rsidR="00DD5B32">
      <w:rPr>
        <w:rStyle w:val="ConfidentialFooter"/>
      </w:rPr>
      <w:t>.</w:t>
    </w:r>
    <w:r>
      <w:rPr>
        <w:rStyle w:val="ConfidentialFooter"/>
      </w:rPr>
      <w:fldChar w:fldCharType="end"/>
    </w:r>
    <w:r>
      <w:tab/>
    </w:r>
    <w:r>
      <w:rPr>
        <w:noProof/>
        <w:lang w:val="en-AU" w:eastAsia="en-AU"/>
      </w:rPr>
      <w:drawing>
        <wp:anchor distT="0" distB="0" distL="114300" distR="114300" simplePos="0" relativeHeight="251669504" behindDoc="0" locked="0" layoutInCell="1" allowOverlap="1" wp14:anchorId="7FC30895" wp14:editId="782D2CE5">
          <wp:simplePos x="0" y="0"/>
          <wp:positionH relativeFrom="page">
            <wp:posOffset>493395</wp:posOffset>
          </wp:positionH>
          <wp:positionV relativeFrom="page">
            <wp:posOffset>9879330</wp:posOffset>
          </wp:positionV>
          <wp:extent cx="1436400" cy="486000"/>
          <wp:effectExtent l="0" t="0" r="0" b="9525"/>
          <wp:wrapNone/>
          <wp:docPr id="5" name="Picture 5" descr="P:\projects\EG011\WP\EG011040\New logos (2011)\Red and blue\1049-logo-2-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ects\EG011\WP\EG011040\New logos (2011)\Red and blue\1049-logo-2-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6400" cy="4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0602">
      <w:fldChar w:fldCharType="begin"/>
    </w:r>
    <w:r w:rsidR="00DF0602">
      <w:instrText xml:space="preserve"> Styleref "Title: RefNo" \* MERGEFORMAT </w:instrText>
    </w:r>
    <w:r w:rsidR="00DF0602">
      <w:fldChar w:fldCharType="separate"/>
    </w:r>
    <w:r w:rsidR="00DD5B32">
      <w:rPr>
        <w:noProof/>
      </w:rPr>
      <w:t>Ref: 2009975-233</w:t>
    </w:r>
    <w:r w:rsidR="00DF060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28" w:rsidRPr="004F65AF" w:rsidRDefault="00A01628" w:rsidP="004F65AF">
    <w:pPr>
      <w:pStyle w:val="Footer"/>
      <w:spacing w:before="720"/>
    </w:pPr>
    <w:r>
      <w:rPr>
        <w:noProof/>
        <w:lang w:val="en-AU" w:eastAsia="en-AU"/>
      </w:rPr>
      <w:drawing>
        <wp:anchor distT="0" distB="0" distL="114300" distR="114300" simplePos="0" relativeHeight="251667456" behindDoc="0" locked="0" layoutInCell="1" allowOverlap="1" wp14:anchorId="78203544" wp14:editId="06A85716">
          <wp:simplePos x="0" y="0"/>
          <wp:positionH relativeFrom="page">
            <wp:posOffset>5544820</wp:posOffset>
          </wp:positionH>
          <wp:positionV relativeFrom="page">
            <wp:posOffset>9879330</wp:posOffset>
          </wp:positionV>
          <wp:extent cx="1436400" cy="486000"/>
          <wp:effectExtent l="0" t="0" r="0" b="9525"/>
          <wp:wrapNone/>
          <wp:docPr id="1" name="Picture 1" descr="P:\projects\EG011\WP\EG011040\New logos (2011)\Red and blue\1049-logo-2-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ects\EG011\WP\EG011040\New logos (2011)\Red and blue\1049-logo-2-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6400" cy="4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0602">
      <w:fldChar w:fldCharType="begin"/>
    </w:r>
    <w:r w:rsidR="00DF0602">
      <w:instrText xml:space="preserve"> Styleref "Title: RefNo" \* MERGEFORMAT </w:instrText>
    </w:r>
    <w:r w:rsidR="00DF0602">
      <w:fldChar w:fldCharType="separate"/>
    </w:r>
    <w:r w:rsidR="00DF0602">
      <w:rPr>
        <w:noProof/>
      </w:rPr>
      <w:t>Ref: 2009975-233</w:t>
    </w:r>
    <w:r w:rsidR="00DF0602">
      <w:rPr>
        <w:noProof/>
      </w:rPr>
      <w:fldChar w:fldCharType="end"/>
    </w:r>
    <w:r>
      <w:tab/>
    </w:r>
    <w:r>
      <w:rPr>
        <w:rStyle w:val="ConfidentialFooter"/>
      </w:rPr>
      <w:fldChar w:fldCharType="begin"/>
    </w:r>
    <w:r>
      <w:rPr>
        <w:rStyle w:val="ConfidentialFooter"/>
      </w:rPr>
      <w:instrText xml:space="preserve"> DOCPROPERTY "Descriptor" \* MERGEFORMAT </w:instrText>
    </w:r>
    <w:r>
      <w:rPr>
        <w:rStyle w:val="ConfidentialFooter"/>
      </w:rPr>
      <w:fldChar w:fldCharType="separate"/>
    </w:r>
    <w:r w:rsidR="00DD5B32">
      <w:rPr>
        <w:rStyle w:val="ConfidentialFooter"/>
      </w:rPr>
      <w:t>.</w:t>
    </w:r>
    <w:r>
      <w:rPr>
        <w:rStyle w:val="ConfidentialFooter"/>
      </w:rP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28" w:rsidRPr="004F65AF" w:rsidRDefault="00A01628" w:rsidP="004F65AF">
    <w:pPr>
      <w:pStyle w:val="Footer"/>
      <w:spacing w:before="720"/>
    </w:pPr>
    <w:r>
      <w:rPr>
        <w:noProof/>
        <w:lang w:val="en-AU" w:eastAsia="en-AU"/>
      </w:rPr>
      <w:drawing>
        <wp:anchor distT="0" distB="0" distL="114300" distR="114300" simplePos="0" relativeHeight="251665408" behindDoc="0" locked="0" layoutInCell="1" allowOverlap="1" wp14:anchorId="03219155" wp14:editId="39D10F0B">
          <wp:simplePos x="0" y="0"/>
          <wp:positionH relativeFrom="page">
            <wp:posOffset>5544820</wp:posOffset>
          </wp:positionH>
          <wp:positionV relativeFrom="page">
            <wp:posOffset>9879330</wp:posOffset>
          </wp:positionV>
          <wp:extent cx="1436400" cy="486000"/>
          <wp:effectExtent l="0" t="0" r="0" b="9525"/>
          <wp:wrapNone/>
          <wp:docPr id="6" name="Picture 6" descr="P:\projects\EG011\WP\EG011040\New logos (2011)\Red and blue\1049-logo-2-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ects\EG011\WP\EG011040\New logos (2011)\Red and blue\1049-logo-2-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6400" cy="4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0602">
      <w:fldChar w:fldCharType="begin"/>
    </w:r>
    <w:r w:rsidR="00DF0602">
      <w:instrText xml:space="preserve"> Styleref "Title: RefNo" \* MERGEFORMAT </w:instrText>
    </w:r>
    <w:r w:rsidR="00DF0602">
      <w:fldChar w:fldCharType="separate"/>
    </w:r>
    <w:r w:rsidR="00DF0602">
      <w:rPr>
        <w:noProof/>
      </w:rPr>
      <w:t>Ref: 2009975-233</w:t>
    </w:r>
    <w:r w:rsidR="00DF0602">
      <w:rPr>
        <w:noProof/>
      </w:rPr>
      <w:fldChar w:fldCharType="end"/>
    </w:r>
    <w:r>
      <w:tab/>
    </w:r>
    <w:r>
      <w:rPr>
        <w:rStyle w:val="ConfidentialFooter"/>
      </w:rPr>
      <w:fldChar w:fldCharType="begin"/>
    </w:r>
    <w:r>
      <w:rPr>
        <w:rStyle w:val="ConfidentialFooter"/>
      </w:rPr>
      <w:instrText xml:space="preserve"> DOCPROPERTY "Descriptor" \* MERGEFORMAT </w:instrText>
    </w:r>
    <w:r>
      <w:rPr>
        <w:rStyle w:val="ConfidentialFooter"/>
      </w:rPr>
      <w:fldChar w:fldCharType="separate"/>
    </w:r>
    <w:r w:rsidR="00DD5B32">
      <w:rPr>
        <w:rStyle w:val="ConfidentialFooter"/>
      </w:rPr>
      <w:t>.</w:t>
    </w:r>
    <w:r>
      <w:rPr>
        <w:rStyle w:val="ConfidentialFooter"/>
      </w:rP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28" w:rsidRPr="004F65AF" w:rsidRDefault="00A01628" w:rsidP="004F6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02C" w:rsidRDefault="002C402C" w:rsidP="003C6172">
      <w:pPr>
        <w:spacing w:after="0" w:line="240" w:lineRule="auto"/>
      </w:pPr>
      <w:r>
        <w:separator/>
      </w:r>
    </w:p>
  </w:footnote>
  <w:footnote w:type="continuationSeparator" w:id="0">
    <w:p w:rsidR="002C402C" w:rsidRDefault="002C402C" w:rsidP="003C6172">
      <w:pPr>
        <w:spacing w:after="0" w:line="240" w:lineRule="auto"/>
      </w:pPr>
      <w:r>
        <w:continuationSeparator/>
      </w:r>
    </w:p>
  </w:footnote>
  <w:footnote w:id="1">
    <w:p w:rsidR="00A01628" w:rsidRDefault="00A01628" w:rsidP="00E179B6">
      <w:pPr>
        <w:pStyle w:val="FootnoteText"/>
      </w:pPr>
      <w:r>
        <w:rPr>
          <w:rStyle w:val="FootnoteReference"/>
        </w:rPr>
        <w:footnoteRef/>
      </w:r>
      <w:r>
        <w:t xml:space="preserve"> </w:t>
      </w:r>
      <w:r>
        <w:tab/>
        <w:t xml:space="preserve">See </w:t>
      </w:r>
      <w:r w:rsidRPr="008A088D">
        <w:t>http://www.acma.gov.au/theACMA/five-year-spectrum-outlook-2016-20</w:t>
      </w:r>
    </w:p>
  </w:footnote>
  <w:footnote w:id="2">
    <w:p w:rsidR="00A01628" w:rsidRDefault="00A01628" w:rsidP="007D2DF3">
      <w:pPr>
        <w:pStyle w:val="FootnoteText"/>
      </w:pPr>
      <w:r>
        <w:rPr>
          <w:rStyle w:val="FootnoteReference"/>
        </w:rPr>
        <w:footnoteRef/>
      </w:r>
      <w:r>
        <w:t xml:space="preserve"> </w:t>
      </w:r>
      <w:r>
        <w:tab/>
        <w:t xml:space="preserve">See </w:t>
      </w:r>
      <w:r w:rsidRPr="000C6772">
        <w:t>https://www.communications.gov.au/what-we-do/spectrum/spectrum-reform</w:t>
      </w:r>
    </w:p>
  </w:footnote>
  <w:footnote w:id="3">
    <w:p w:rsidR="00A01628" w:rsidRDefault="00A01628" w:rsidP="007D2DF3">
      <w:pPr>
        <w:pStyle w:val="FootnoteText"/>
        <w:jc w:val="left"/>
      </w:pPr>
      <w:r>
        <w:rPr>
          <w:rStyle w:val="FootnoteReference"/>
        </w:rPr>
        <w:footnoteRef/>
      </w:r>
      <w:r>
        <w:t xml:space="preserve"> </w:t>
      </w:r>
      <w:r>
        <w:tab/>
        <w:t xml:space="preserve">See </w:t>
      </w:r>
      <w:hyperlink r:id="rId1" w:history="1">
        <w:r w:rsidRPr="002B6FE8">
          <w:rPr>
            <w:rStyle w:val="Hyperlink"/>
          </w:rPr>
          <w:t>https://www.communications.gov.au/have-your-say/consultation-new-spectrum-legislation</w:t>
        </w:r>
      </w:hyperlink>
      <w:r>
        <w:rPr>
          <w:rStyle w:val="Hyperlink"/>
        </w:rPr>
        <w:t>-</w:t>
      </w:r>
      <w:r>
        <w:t>licensing system, published by ACMA, 18 May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28" w:rsidRDefault="00DF0602">
    <w:pPr>
      <w:pStyle w:val="Header"/>
    </w:pPr>
    <w:r>
      <w:fldChar w:fldCharType="begin"/>
    </w:r>
    <w:r>
      <w:instrText xml:space="preserve"> STYLEREF “Title: Main” </w:instrText>
    </w:r>
    <w:r>
      <w:fldChar w:fldCharType="separate"/>
    </w:r>
    <w:r w:rsidR="00DD5B32">
      <w:rPr>
        <w:noProof/>
      </w:rPr>
      <w:t>Research study on spectrum-management mechanisms – overall summary of findings</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28" w:rsidRPr="004F65AF" w:rsidRDefault="00A01628" w:rsidP="004F65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28" w:rsidRDefault="00DF0602">
    <w:pPr>
      <w:pStyle w:val="Header"/>
    </w:pPr>
    <w:r>
      <w:fldChar w:fldCharType="begin"/>
    </w:r>
    <w:r>
      <w:instrText xml:space="preserve"> STYLEREF “Title: Main” </w:instrText>
    </w:r>
    <w:r>
      <w:fldChar w:fldCharType="separate"/>
    </w:r>
    <w:r>
      <w:rPr>
        <w:noProof/>
      </w:rPr>
      <w:t>Research study on spectrum-management mechanisms – overall summary of findings</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28" w:rsidRDefault="00DF0602">
    <w:pPr>
      <w:pStyle w:val="Header"/>
    </w:pPr>
    <w:r>
      <w:fldChar w:fldCharType="begin"/>
    </w:r>
    <w:r>
      <w:instrText xml:space="preserve"> STYLEREF “Title: Main” </w:instrText>
    </w:r>
    <w:r>
      <w:fldChar w:fldCharType="separate"/>
    </w:r>
    <w:r>
      <w:rPr>
        <w:noProof/>
      </w:rPr>
      <w:t>Research study on spectrum-management mechanisms – overall summary of findings</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28" w:rsidRDefault="00A01628">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sidR="00DF0602">
      <w:fldChar w:fldCharType="begin"/>
    </w:r>
    <w:r w:rsidR="00DF0602">
      <w:instrText xml:space="preserve"> STYLEREF “Title: Main” </w:instrText>
    </w:r>
    <w:r w:rsidR="00DF0602">
      <w:fldChar w:fldCharType="separate"/>
    </w:r>
    <w:r w:rsidR="00DD5B32">
      <w:rPr>
        <w:noProof/>
      </w:rPr>
      <w:t>Research study on spectrum-management mechanisms – overall summary of findings</w:t>
    </w:r>
    <w:r w:rsidR="00DF0602">
      <w:rPr>
        <w:noProof/>
      </w:rPr>
      <w:fldChar w:fldCharType="end"/>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28" w:rsidRDefault="00DF0602">
    <w:pPr>
      <w:pStyle w:val="Header"/>
    </w:pPr>
    <w:r>
      <w:fldChar w:fldCharType="begin"/>
    </w:r>
    <w:r>
      <w:instrText xml:space="preserve"> STYLEREF “Title: Main” </w:instrText>
    </w:r>
    <w:r>
      <w:fldChar w:fldCharType="separate"/>
    </w:r>
    <w:r>
      <w:rPr>
        <w:noProof/>
      </w:rPr>
      <w:t>Research study on spectrum-management mechanisms – overall summary of findings</w:t>
    </w:r>
    <w:r>
      <w:rPr>
        <w:noProof/>
      </w:rPr>
      <w:fldChar w:fldCharType="end"/>
    </w:r>
    <w:r w:rsidR="00A01628">
      <w:t xml:space="preserve"> | </w:t>
    </w:r>
    <w:r w:rsidR="00A01628">
      <w:rPr>
        <w:rStyle w:val="PageNumber"/>
      </w:rPr>
      <w:fldChar w:fldCharType="begin"/>
    </w:r>
    <w:r w:rsidR="00A01628">
      <w:rPr>
        <w:rStyle w:val="PageNumber"/>
      </w:rPr>
      <w:instrText xml:space="preserve"> PAGE </w:instrText>
    </w:r>
    <w:r w:rsidR="00A01628">
      <w:rPr>
        <w:rStyle w:val="PageNumber"/>
      </w:rPr>
      <w:fldChar w:fldCharType="separate"/>
    </w:r>
    <w:r>
      <w:rPr>
        <w:rStyle w:val="PageNumber"/>
        <w:noProof/>
      </w:rPr>
      <w:t>7</w:t>
    </w:r>
    <w:r w:rsidR="00A01628">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28" w:rsidRDefault="00DF0602">
    <w:pPr>
      <w:pStyle w:val="Header"/>
      <w:tabs>
        <w:tab w:val="clear" w:pos="9214"/>
      </w:tabs>
      <w:ind w:left="0" w:right="-510"/>
    </w:pPr>
    <w:r>
      <w:fldChar w:fldCharType="begin"/>
    </w:r>
    <w:r>
      <w:instrText xml:space="preserve"> STYLEREF “Title: Main” </w:instrText>
    </w:r>
    <w:r>
      <w:fldChar w:fldCharType="separate"/>
    </w:r>
    <w:r>
      <w:rPr>
        <w:noProof/>
      </w:rPr>
      <w:t>Research study on spectrum-management mechanisms – overall summary of findings</w:t>
    </w:r>
    <w:r>
      <w:rPr>
        <w:noProof/>
      </w:rPr>
      <w:fldChar w:fldCharType="end"/>
    </w:r>
    <w:r w:rsidR="00A01628">
      <w:t xml:space="preserve"> | </w:t>
    </w:r>
    <w:r w:rsidR="00A01628">
      <w:rPr>
        <w:rStyle w:val="PageNumber"/>
      </w:rPr>
      <w:fldChar w:fldCharType="begin"/>
    </w:r>
    <w:r w:rsidR="00A01628">
      <w:rPr>
        <w:rStyle w:val="PageNumber"/>
      </w:rPr>
      <w:instrText xml:space="preserve"> PAGE </w:instrText>
    </w:r>
    <w:r w:rsidR="00A01628">
      <w:rPr>
        <w:rStyle w:val="PageNumber"/>
      </w:rPr>
      <w:fldChar w:fldCharType="separate"/>
    </w:r>
    <w:r>
      <w:rPr>
        <w:rStyle w:val="PageNumber"/>
        <w:noProof/>
      </w:rPr>
      <w:t>6</w:t>
    </w:r>
    <w:r w:rsidR="00A01628">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28" w:rsidRDefault="00A01628" w:rsidP="004F65AF">
    <w:pPr>
      <w:pStyle w:val="Header"/>
      <w:jc w:val="both"/>
    </w:pPr>
    <w:r>
      <w:fldChar w:fldCharType="begin"/>
    </w:r>
    <w:r>
      <w:instrText xml:space="preserve"> STYLEREF "Annex 1" \s \* MERGEFORMAT </w:instrText>
    </w:r>
    <w:r>
      <w:fldChar w:fldCharType="separate"/>
    </w:r>
    <w:r w:rsidR="00DD5B32">
      <w:rPr>
        <w:b/>
        <w:bCs/>
        <w:noProof/>
        <w:lang w:val="en-US"/>
      </w:rPr>
      <w:t>Error! No text of specified style in document.</w:t>
    </w:r>
    <w:r>
      <w:rPr>
        <w:noProof/>
        <w:lang w:val="en-US"/>
      </w:rPr>
      <w:fldChar w:fldCharType="end"/>
    </w:r>
    <w:r>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sidR="00DF0602">
      <w:fldChar w:fldCharType="begin"/>
    </w:r>
    <w:r w:rsidR="00DF0602">
      <w:instrText xml:space="preserve"> STYLEREF “Title: Main” </w:instrText>
    </w:r>
    <w:r w:rsidR="00DF0602">
      <w:fldChar w:fldCharType="separate"/>
    </w:r>
    <w:r w:rsidR="00DD5B32">
      <w:rPr>
        <w:noProof/>
      </w:rPr>
      <w:t>Research study on spectrum-management mechanisms – overall summary of findings</w:t>
    </w:r>
    <w:r w:rsidR="00DF0602">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28" w:rsidRDefault="00DF0602">
    <w:pPr>
      <w:pStyle w:val="Header"/>
      <w:tabs>
        <w:tab w:val="right" w:pos="9240"/>
      </w:tabs>
      <w:ind w:right="-510"/>
    </w:pPr>
    <w:r>
      <w:fldChar w:fldCharType="begin"/>
    </w:r>
    <w:r>
      <w:instrText xml:space="preserve"> STYLEREF “Title: Main” </w:instrText>
    </w:r>
    <w:r>
      <w:fldChar w:fldCharType="separate"/>
    </w:r>
    <w:r>
      <w:rPr>
        <w:noProof/>
      </w:rPr>
      <w:t>Research study on spectrum-management mechanisms – overall summary of findings</w:t>
    </w:r>
    <w:r>
      <w:rPr>
        <w:noProof/>
      </w:rPr>
      <w:fldChar w:fldCharType="end"/>
    </w:r>
    <w:r w:rsidR="00A01628">
      <w:t xml:space="preserve"> |</w:t>
    </w:r>
    <w:r w:rsidR="00FB1473">
      <w:t xml:space="preserve"> </w:t>
    </w:r>
    <w:r w:rsidR="00A01628">
      <w:rPr>
        <w:rStyle w:val="PageNumber"/>
      </w:rPr>
      <w:fldChar w:fldCharType="begin"/>
    </w:r>
    <w:r w:rsidR="00A01628">
      <w:rPr>
        <w:rStyle w:val="PageNumber"/>
      </w:rPr>
      <w:instrText xml:space="preserve"> PAGE </w:instrText>
    </w:r>
    <w:r w:rsidR="00A01628">
      <w:rPr>
        <w:rStyle w:val="PageNumber"/>
      </w:rPr>
      <w:fldChar w:fldCharType="separate"/>
    </w:r>
    <w:r>
      <w:rPr>
        <w:rStyle w:val="PageNumber"/>
        <w:noProof/>
      </w:rPr>
      <w:t>12</w:t>
    </w:r>
    <w:r w:rsidR="00A01628">
      <w:rPr>
        <w:rStyle w:val="PageNumbe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28" w:rsidRDefault="00DF0602">
    <w:pPr>
      <w:pStyle w:val="Header"/>
    </w:pPr>
    <w:r>
      <w:fldChar w:fldCharType="begin"/>
    </w:r>
    <w:r>
      <w:instrText xml:space="preserve"> STYLEREF “Title: Main” </w:instrText>
    </w:r>
    <w:r>
      <w:fldChar w:fldCharType="separate"/>
    </w:r>
    <w:r>
      <w:rPr>
        <w:noProof/>
      </w:rPr>
      <w:t>Research study on spectrum-management mechanisms – overall summary of findings</w:t>
    </w:r>
    <w:r>
      <w:rPr>
        <w:noProof/>
      </w:rPr>
      <w:fldChar w:fldCharType="end"/>
    </w:r>
    <w:r w:rsidR="00A01628">
      <w:t xml:space="preserve"> | </w:t>
    </w:r>
    <w:r w:rsidR="00A01628">
      <w:rPr>
        <w:rStyle w:val="PageNumber"/>
      </w:rPr>
      <w:fldChar w:fldCharType="begin"/>
    </w:r>
    <w:r w:rsidR="00A01628">
      <w:rPr>
        <w:rStyle w:val="PageNumber"/>
      </w:rPr>
      <w:instrText xml:space="preserve"> PAGE </w:instrText>
    </w:r>
    <w:r w:rsidR="00A01628">
      <w:rPr>
        <w:rStyle w:val="PageNumber"/>
      </w:rPr>
      <w:fldChar w:fldCharType="separate"/>
    </w:r>
    <w:r>
      <w:rPr>
        <w:rStyle w:val="PageNumber"/>
        <w:noProof/>
      </w:rPr>
      <w:t>8</w:t>
    </w:r>
    <w:r w:rsidR="00A01628">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A60E17A"/>
    <w:lvl w:ilvl="0">
      <w:start w:val="1"/>
      <w:numFmt w:val="decimal"/>
      <w:lvlText w:val="%1."/>
      <w:lvlJc w:val="left"/>
      <w:pPr>
        <w:tabs>
          <w:tab w:val="num" w:pos="1492"/>
        </w:tabs>
        <w:ind w:left="1492" w:hanging="360"/>
      </w:pPr>
    </w:lvl>
  </w:abstractNum>
  <w:abstractNum w:abstractNumId="1">
    <w:nsid w:val="FFFFFF7D"/>
    <w:multiLevelType w:val="singleLevel"/>
    <w:tmpl w:val="7D6E7C94"/>
    <w:lvl w:ilvl="0">
      <w:start w:val="1"/>
      <w:numFmt w:val="decimal"/>
      <w:lvlText w:val="%1."/>
      <w:lvlJc w:val="left"/>
      <w:pPr>
        <w:tabs>
          <w:tab w:val="num" w:pos="1209"/>
        </w:tabs>
        <w:ind w:left="1209" w:hanging="360"/>
      </w:pPr>
    </w:lvl>
  </w:abstractNum>
  <w:abstractNum w:abstractNumId="2">
    <w:nsid w:val="FFFFFF7E"/>
    <w:multiLevelType w:val="singleLevel"/>
    <w:tmpl w:val="8DBCEDCC"/>
    <w:lvl w:ilvl="0">
      <w:start w:val="1"/>
      <w:numFmt w:val="decimal"/>
      <w:lvlText w:val="%1."/>
      <w:lvlJc w:val="left"/>
      <w:pPr>
        <w:tabs>
          <w:tab w:val="num" w:pos="926"/>
        </w:tabs>
        <w:ind w:left="926" w:hanging="360"/>
      </w:pPr>
    </w:lvl>
  </w:abstractNum>
  <w:abstractNum w:abstractNumId="3">
    <w:nsid w:val="FFFFFF7F"/>
    <w:multiLevelType w:val="singleLevel"/>
    <w:tmpl w:val="7BF6F1D4"/>
    <w:lvl w:ilvl="0">
      <w:start w:val="1"/>
      <w:numFmt w:val="decimal"/>
      <w:lvlText w:val="%1."/>
      <w:lvlJc w:val="left"/>
      <w:pPr>
        <w:tabs>
          <w:tab w:val="num" w:pos="643"/>
        </w:tabs>
        <w:ind w:left="643" w:hanging="360"/>
      </w:pPr>
    </w:lvl>
  </w:abstractNum>
  <w:abstractNum w:abstractNumId="4">
    <w:nsid w:val="FFFFFF80"/>
    <w:multiLevelType w:val="singleLevel"/>
    <w:tmpl w:val="5DAC2D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F0B3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10EE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A0F4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00BBA8"/>
    <w:lvl w:ilvl="0">
      <w:start w:val="1"/>
      <w:numFmt w:val="decimal"/>
      <w:pStyle w:val="ListNumber"/>
      <w:lvlText w:val="%1."/>
      <w:lvlJc w:val="left"/>
      <w:pPr>
        <w:tabs>
          <w:tab w:val="num" w:pos="360"/>
        </w:tabs>
        <w:ind w:left="360" w:hanging="360"/>
      </w:pPr>
    </w:lvl>
  </w:abstractNum>
  <w:abstractNum w:abstractNumId="9">
    <w:nsid w:val="FFFFFF89"/>
    <w:multiLevelType w:val="singleLevel"/>
    <w:tmpl w:val="0060B9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C7044E"/>
    <w:multiLevelType w:val="singleLevel"/>
    <w:tmpl w:val="17240298"/>
    <w:lvl w:ilvl="0">
      <w:start w:val="1"/>
      <w:numFmt w:val="bullet"/>
      <w:lvlText w:val=""/>
      <w:lvlJc w:val="left"/>
      <w:pPr>
        <w:tabs>
          <w:tab w:val="num" w:pos="360"/>
        </w:tabs>
        <w:ind w:left="360" w:hanging="360"/>
      </w:pPr>
      <w:rPr>
        <w:rFonts w:ascii="Symbol" w:hAnsi="Symbol" w:hint="default"/>
        <w:sz w:val="20"/>
      </w:rPr>
    </w:lvl>
  </w:abstractNum>
  <w:abstractNum w:abstractNumId="11">
    <w:nsid w:val="06D013CA"/>
    <w:multiLevelType w:val="hybridMultilevel"/>
    <w:tmpl w:val="B7329B94"/>
    <w:lvl w:ilvl="0" w:tplc="2CBA287E">
      <w:start w:val="1"/>
      <w:numFmt w:val="bullet"/>
      <w:lvlText w:val="▪"/>
      <w:lvlJc w:val="left"/>
      <w:pPr>
        <w:tabs>
          <w:tab w:val="num" w:pos="720"/>
        </w:tabs>
        <w:ind w:left="720" w:hanging="360"/>
      </w:pPr>
      <w:rPr>
        <w:rFonts w:ascii="Calibri" w:hAnsi="Calibri" w:hint="default"/>
      </w:rPr>
    </w:lvl>
    <w:lvl w:ilvl="1" w:tplc="DB4A2A26" w:tentative="1">
      <w:start w:val="1"/>
      <w:numFmt w:val="bullet"/>
      <w:lvlText w:val="▪"/>
      <w:lvlJc w:val="left"/>
      <w:pPr>
        <w:tabs>
          <w:tab w:val="num" w:pos="1440"/>
        </w:tabs>
        <w:ind w:left="1440" w:hanging="360"/>
      </w:pPr>
      <w:rPr>
        <w:rFonts w:ascii="Calibri" w:hAnsi="Calibri" w:hint="default"/>
      </w:rPr>
    </w:lvl>
    <w:lvl w:ilvl="2" w:tplc="82E64022" w:tentative="1">
      <w:start w:val="1"/>
      <w:numFmt w:val="bullet"/>
      <w:lvlText w:val="▪"/>
      <w:lvlJc w:val="left"/>
      <w:pPr>
        <w:tabs>
          <w:tab w:val="num" w:pos="2160"/>
        </w:tabs>
        <w:ind w:left="2160" w:hanging="360"/>
      </w:pPr>
      <w:rPr>
        <w:rFonts w:ascii="Calibri" w:hAnsi="Calibri" w:hint="default"/>
      </w:rPr>
    </w:lvl>
    <w:lvl w:ilvl="3" w:tplc="CC94C83A" w:tentative="1">
      <w:start w:val="1"/>
      <w:numFmt w:val="bullet"/>
      <w:lvlText w:val="▪"/>
      <w:lvlJc w:val="left"/>
      <w:pPr>
        <w:tabs>
          <w:tab w:val="num" w:pos="2880"/>
        </w:tabs>
        <w:ind w:left="2880" w:hanging="360"/>
      </w:pPr>
      <w:rPr>
        <w:rFonts w:ascii="Calibri" w:hAnsi="Calibri" w:hint="default"/>
      </w:rPr>
    </w:lvl>
    <w:lvl w:ilvl="4" w:tplc="0B787F2E" w:tentative="1">
      <w:start w:val="1"/>
      <w:numFmt w:val="bullet"/>
      <w:lvlText w:val="▪"/>
      <w:lvlJc w:val="left"/>
      <w:pPr>
        <w:tabs>
          <w:tab w:val="num" w:pos="3600"/>
        </w:tabs>
        <w:ind w:left="3600" w:hanging="360"/>
      </w:pPr>
      <w:rPr>
        <w:rFonts w:ascii="Calibri" w:hAnsi="Calibri" w:hint="default"/>
      </w:rPr>
    </w:lvl>
    <w:lvl w:ilvl="5" w:tplc="7840B7C2" w:tentative="1">
      <w:start w:val="1"/>
      <w:numFmt w:val="bullet"/>
      <w:lvlText w:val="▪"/>
      <w:lvlJc w:val="left"/>
      <w:pPr>
        <w:tabs>
          <w:tab w:val="num" w:pos="4320"/>
        </w:tabs>
        <w:ind w:left="4320" w:hanging="360"/>
      </w:pPr>
      <w:rPr>
        <w:rFonts w:ascii="Calibri" w:hAnsi="Calibri" w:hint="default"/>
      </w:rPr>
    </w:lvl>
    <w:lvl w:ilvl="6" w:tplc="3B90855E" w:tentative="1">
      <w:start w:val="1"/>
      <w:numFmt w:val="bullet"/>
      <w:lvlText w:val="▪"/>
      <w:lvlJc w:val="left"/>
      <w:pPr>
        <w:tabs>
          <w:tab w:val="num" w:pos="5040"/>
        </w:tabs>
        <w:ind w:left="5040" w:hanging="360"/>
      </w:pPr>
      <w:rPr>
        <w:rFonts w:ascii="Calibri" w:hAnsi="Calibri" w:hint="default"/>
      </w:rPr>
    </w:lvl>
    <w:lvl w:ilvl="7" w:tplc="EF309BD2" w:tentative="1">
      <w:start w:val="1"/>
      <w:numFmt w:val="bullet"/>
      <w:lvlText w:val="▪"/>
      <w:lvlJc w:val="left"/>
      <w:pPr>
        <w:tabs>
          <w:tab w:val="num" w:pos="5760"/>
        </w:tabs>
        <w:ind w:left="5760" w:hanging="360"/>
      </w:pPr>
      <w:rPr>
        <w:rFonts w:ascii="Calibri" w:hAnsi="Calibri" w:hint="default"/>
      </w:rPr>
    </w:lvl>
    <w:lvl w:ilvl="8" w:tplc="452AA7CE" w:tentative="1">
      <w:start w:val="1"/>
      <w:numFmt w:val="bullet"/>
      <w:lvlText w:val="▪"/>
      <w:lvlJc w:val="left"/>
      <w:pPr>
        <w:tabs>
          <w:tab w:val="num" w:pos="6480"/>
        </w:tabs>
        <w:ind w:left="6480" w:hanging="360"/>
      </w:pPr>
      <w:rPr>
        <w:rFonts w:ascii="Calibri" w:hAnsi="Calibri" w:hint="default"/>
      </w:rPr>
    </w:lvl>
  </w:abstractNum>
  <w:abstractNum w:abstractNumId="12">
    <w:nsid w:val="0DB6421E"/>
    <w:multiLevelType w:val="hybridMultilevel"/>
    <w:tmpl w:val="996C73BA"/>
    <w:lvl w:ilvl="0" w:tplc="422E6672">
      <w:start w:val="1"/>
      <w:numFmt w:val="bullet"/>
      <w:pStyle w:val="ListBullet2"/>
      <w:lvlText w:val="—"/>
      <w:lvlJc w:val="left"/>
      <w:pPr>
        <w:ind w:left="1077" w:hanging="360"/>
      </w:pPr>
      <w:rPr>
        <w:rFonts w:ascii="Times New Roman" w:hAnsi="Times New Roman" w:cs="Times New Roman"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nsid w:val="0F8E6746"/>
    <w:multiLevelType w:val="multilevel"/>
    <w:tmpl w:val="3BA6AD0A"/>
    <w:lvl w:ilvl="0">
      <w:start w:val="1"/>
      <w:numFmt w:val="decimal"/>
      <w:lvlText w:val="%1"/>
      <w:lvlJc w:val="left"/>
      <w:pPr>
        <w:ind w:left="0" w:hanging="499"/>
      </w:pPr>
      <w:rPr>
        <w:rFonts w:ascii="Times New Roman" w:hAnsi="Times New Roman" w:hint="default"/>
        <w:b w:val="0"/>
        <w:i w:val="0"/>
        <w:sz w:val="36"/>
      </w:rPr>
    </w:lvl>
    <w:lvl w:ilvl="1">
      <w:start w:val="1"/>
      <w:numFmt w:val="decimal"/>
      <w:lvlText w:val="%2"/>
      <w:lvlJc w:val="left"/>
      <w:pPr>
        <w:ind w:left="0" w:hanging="499"/>
      </w:pPr>
      <w:rPr>
        <w:rFonts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14">
    <w:nsid w:val="14996974"/>
    <w:multiLevelType w:val="hybridMultilevel"/>
    <w:tmpl w:val="A304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9DE0C11"/>
    <w:multiLevelType w:val="hybridMultilevel"/>
    <w:tmpl w:val="0EA88E2C"/>
    <w:lvl w:ilvl="0" w:tplc="08090001">
      <w:start w:val="1"/>
      <w:numFmt w:val="bullet"/>
      <w:lvlText w:val="–"/>
      <w:lvlJc w:val="left"/>
      <w:pPr>
        <w:tabs>
          <w:tab w:val="num" w:pos="1074"/>
        </w:tabs>
        <w:ind w:left="1074" w:hanging="360"/>
      </w:pPr>
      <w:rPr>
        <w:rFonts w:ascii="Times New Roman" w:hAnsi="Times New Roman" w:cs="Times New Roman" w:hint="default"/>
        <w:sz w:val="24"/>
      </w:rPr>
    </w:lvl>
    <w:lvl w:ilvl="1" w:tplc="08090003">
      <w:start w:val="1"/>
      <w:numFmt w:val="bullet"/>
      <w:lvlText w:val="o"/>
      <w:lvlJc w:val="left"/>
      <w:pPr>
        <w:tabs>
          <w:tab w:val="num" w:pos="1797"/>
        </w:tabs>
        <w:ind w:left="1797" w:hanging="360"/>
      </w:pPr>
      <w:rPr>
        <w:rFonts w:ascii="Courier New" w:hAnsi="Courier New" w:cs="Courier New" w:hint="default"/>
      </w:rPr>
    </w:lvl>
    <w:lvl w:ilvl="2" w:tplc="08090005">
      <w:start w:val="1"/>
      <w:numFmt w:val="bullet"/>
      <w:lvlText w:val=""/>
      <w:lvlJc w:val="left"/>
      <w:pPr>
        <w:tabs>
          <w:tab w:val="num" w:pos="2517"/>
        </w:tabs>
        <w:ind w:left="2517" w:hanging="360"/>
      </w:pPr>
      <w:rPr>
        <w:rFonts w:ascii="Wingdings" w:hAnsi="Wingdings" w:cs="Times New Roman" w:hint="default"/>
      </w:rPr>
    </w:lvl>
    <w:lvl w:ilvl="3" w:tplc="08090001">
      <w:start w:val="1"/>
      <w:numFmt w:val="bullet"/>
      <w:lvlText w:val=""/>
      <w:lvlJc w:val="left"/>
      <w:pPr>
        <w:tabs>
          <w:tab w:val="num" w:pos="3237"/>
        </w:tabs>
        <w:ind w:left="3237" w:hanging="360"/>
      </w:pPr>
      <w:rPr>
        <w:rFonts w:ascii="Symbol" w:hAnsi="Symbol" w:cs="Times New Roman" w:hint="default"/>
      </w:rPr>
    </w:lvl>
    <w:lvl w:ilvl="4" w:tplc="08090003">
      <w:start w:val="1"/>
      <w:numFmt w:val="bullet"/>
      <w:lvlText w:val="o"/>
      <w:lvlJc w:val="left"/>
      <w:pPr>
        <w:tabs>
          <w:tab w:val="num" w:pos="3957"/>
        </w:tabs>
        <w:ind w:left="3957" w:hanging="360"/>
      </w:pPr>
      <w:rPr>
        <w:rFonts w:ascii="Courier New" w:hAnsi="Courier New" w:cs="Courier New" w:hint="default"/>
      </w:rPr>
    </w:lvl>
    <w:lvl w:ilvl="5" w:tplc="08090005">
      <w:start w:val="1"/>
      <w:numFmt w:val="bullet"/>
      <w:lvlText w:val=""/>
      <w:lvlJc w:val="left"/>
      <w:pPr>
        <w:tabs>
          <w:tab w:val="num" w:pos="4677"/>
        </w:tabs>
        <w:ind w:left="4677" w:hanging="360"/>
      </w:pPr>
      <w:rPr>
        <w:rFonts w:ascii="Wingdings" w:hAnsi="Wingdings" w:cs="Times New Roman" w:hint="default"/>
      </w:rPr>
    </w:lvl>
    <w:lvl w:ilvl="6" w:tplc="08090001">
      <w:start w:val="1"/>
      <w:numFmt w:val="bullet"/>
      <w:lvlText w:val=""/>
      <w:lvlJc w:val="left"/>
      <w:pPr>
        <w:tabs>
          <w:tab w:val="num" w:pos="5397"/>
        </w:tabs>
        <w:ind w:left="5397" w:hanging="360"/>
      </w:pPr>
      <w:rPr>
        <w:rFonts w:ascii="Symbol" w:hAnsi="Symbol" w:cs="Times New Roman" w:hint="default"/>
      </w:rPr>
    </w:lvl>
    <w:lvl w:ilvl="7" w:tplc="08090003">
      <w:start w:val="1"/>
      <w:numFmt w:val="bullet"/>
      <w:lvlText w:val="o"/>
      <w:lvlJc w:val="left"/>
      <w:pPr>
        <w:tabs>
          <w:tab w:val="num" w:pos="6117"/>
        </w:tabs>
        <w:ind w:left="6117" w:hanging="360"/>
      </w:pPr>
      <w:rPr>
        <w:rFonts w:ascii="Courier New" w:hAnsi="Courier New" w:cs="Courier New" w:hint="default"/>
      </w:rPr>
    </w:lvl>
    <w:lvl w:ilvl="8" w:tplc="08090005">
      <w:start w:val="1"/>
      <w:numFmt w:val="bullet"/>
      <w:lvlText w:val=""/>
      <w:lvlJc w:val="left"/>
      <w:pPr>
        <w:tabs>
          <w:tab w:val="num" w:pos="6837"/>
        </w:tabs>
        <w:ind w:left="6837" w:hanging="360"/>
      </w:pPr>
      <w:rPr>
        <w:rFonts w:ascii="Wingdings" w:hAnsi="Wingdings" w:cs="Times New Roman" w:hint="default"/>
      </w:rPr>
    </w:lvl>
  </w:abstractNum>
  <w:abstractNum w:abstractNumId="16">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29695B"/>
    <w:multiLevelType w:val="multilevel"/>
    <w:tmpl w:val="DF88DE1A"/>
    <w:lvl w:ilvl="0">
      <w:start w:val="1"/>
      <w:numFmt w:val="upperLetter"/>
      <w:pStyle w:val="Annex1"/>
      <w:lvlText w:val="Annex %1"/>
      <w:lvlJc w:val="left"/>
      <w:pPr>
        <w:tabs>
          <w:tab w:val="num" w:pos="1633"/>
        </w:tabs>
        <w:ind w:left="499" w:hanging="499"/>
      </w:pPr>
      <w:rPr>
        <w:rFonts w:ascii="Times New Roman" w:hAnsi="Times New Roman" w:hint="default"/>
        <w:b w:val="0"/>
        <w:i w:val="0"/>
        <w:sz w:val="36"/>
      </w:rPr>
    </w:lvl>
    <w:lvl w:ilvl="1">
      <w:start w:val="1"/>
      <w:numFmt w:val="decimal"/>
      <w:pStyle w:val="Annex2"/>
      <w:lvlText w:val="%1.%2"/>
      <w:lvlJc w:val="left"/>
      <w:pPr>
        <w:tabs>
          <w:tab w:val="num" w:pos="1134"/>
        </w:tabs>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8">
    <w:nsid w:val="2D95682C"/>
    <w:multiLevelType w:val="hybridMultilevel"/>
    <w:tmpl w:val="38CE9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2E3735F4"/>
    <w:multiLevelType w:val="multilevel"/>
    <w:tmpl w:val="3BA6AD0A"/>
    <w:lvl w:ilvl="0">
      <w:start w:val="1"/>
      <w:numFmt w:val="decimal"/>
      <w:pStyle w:val="Heading1"/>
      <w:lvlText w:val="%1"/>
      <w:lvlJc w:val="left"/>
      <w:pPr>
        <w:ind w:left="0" w:hanging="499"/>
      </w:pPr>
      <w:rPr>
        <w:rFonts w:ascii="Times New Roman" w:hAnsi="Times New Roman" w:hint="default"/>
        <w:b w:val="0"/>
        <w:i w:val="0"/>
        <w:sz w:val="36"/>
      </w:rPr>
    </w:lvl>
    <w:lvl w:ilvl="1">
      <w:start w:val="1"/>
      <w:numFmt w:val="decimal"/>
      <w:pStyle w:val="Heading2"/>
      <w:lvlText w:val="%2"/>
      <w:lvlJc w:val="left"/>
      <w:pPr>
        <w:ind w:left="0" w:hanging="499"/>
      </w:pPr>
      <w:rPr>
        <w:rFonts w:hint="default"/>
        <w:b/>
        <w:i w:val="0"/>
        <w:sz w:val="24"/>
      </w:rPr>
    </w:lvl>
    <w:lvl w:ilvl="2">
      <w:start w:val="1"/>
      <w:numFmt w:val="decimal"/>
      <w:pStyle w:val="Heading3"/>
      <w:lvlText w:val="%1.%2.%3"/>
      <w:lvlJc w:val="left"/>
      <w:pPr>
        <w:ind w:left="0" w:hanging="499"/>
      </w:pPr>
      <w:rPr>
        <w:rFonts w:ascii="Times New Roman Bold" w:hAnsi="Times New Roman Bold" w:hint="default"/>
        <w:b/>
        <w:i w:val="0"/>
        <w:sz w:val="22"/>
      </w:rPr>
    </w:lvl>
    <w:lvl w:ilvl="3">
      <w:start w:val="1"/>
      <w:numFmt w:val="none"/>
      <w:pStyle w:val="Heading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0">
    <w:nsid w:val="30E035C0"/>
    <w:multiLevelType w:val="multilevel"/>
    <w:tmpl w:val="006465E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1">
    <w:nsid w:val="39D31BE6"/>
    <w:multiLevelType w:val="hybridMultilevel"/>
    <w:tmpl w:val="5ABEB27A"/>
    <w:lvl w:ilvl="0" w:tplc="43103C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785D9D"/>
    <w:multiLevelType w:val="hybridMultilevel"/>
    <w:tmpl w:val="F2D0C46E"/>
    <w:lvl w:ilvl="0" w:tplc="56E28D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2FF7E6E"/>
    <w:multiLevelType w:val="multilevel"/>
    <w:tmpl w:val="9CFC0396"/>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5">
    <w:nsid w:val="513A72DF"/>
    <w:multiLevelType w:val="singleLevel"/>
    <w:tmpl w:val="CF36FE2A"/>
    <w:lvl w:ilvl="0">
      <w:start w:val="1"/>
      <w:numFmt w:val="bullet"/>
      <w:lvlText w:val="►"/>
      <w:lvlJc w:val="left"/>
      <w:pPr>
        <w:tabs>
          <w:tab w:val="num" w:pos="360"/>
        </w:tabs>
        <w:ind w:left="360" w:hanging="360"/>
      </w:pPr>
      <w:rPr>
        <w:rFonts w:ascii="Times New Roman" w:hAnsi="Times New Roman" w:cs="Times New Roman" w:hint="default"/>
        <w:sz w:val="20"/>
      </w:rPr>
    </w:lvl>
  </w:abstractNum>
  <w:abstractNum w:abstractNumId="26">
    <w:nsid w:val="56DC7E5A"/>
    <w:multiLevelType w:val="multilevel"/>
    <w:tmpl w:val="9CFC0396"/>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7">
    <w:nsid w:val="5AAF47CA"/>
    <w:multiLevelType w:val="hybridMultilevel"/>
    <w:tmpl w:val="E09A0164"/>
    <w:lvl w:ilvl="0" w:tplc="AB3EDE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9C4415"/>
    <w:multiLevelType w:val="multilevel"/>
    <w:tmpl w:val="9CFC0396"/>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30">
    <w:nsid w:val="6D6E6AC3"/>
    <w:multiLevelType w:val="hybridMultilevel"/>
    <w:tmpl w:val="3A0E93FC"/>
    <w:lvl w:ilvl="0" w:tplc="D77440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2FE58BD"/>
    <w:multiLevelType w:val="hybridMultilevel"/>
    <w:tmpl w:val="C6843EB0"/>
    <w:lvl w:ilvl="0" w:tplc="08090001">
      <w:start w:val="1"/>
      <w:numFmt w:val="bullet"/>
      <w:lvlText w:val=""/>
      <w:lvlJc w:val="left"/>
      <w:pPr>
        <w:tabs>
          <w:tab w:val="num" w:pos="360"/>
        </w:tabs>
        <w:ind w:left="360" w:hanging="360"/>
      </w:pPr>
      <w:rPr>
        <w:rFonts w:ascii="Symbol" w:hAnsi="Symbol" w:cs="Times New Roman"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32">
    <w:nsid w:val="7F4D7FED"/>
    <w:multiLevelType w:val="hybridMultilevel"/>
    <w:tmpl w:val="73F2699E"/>
    <w:lvl w:ilvl="0" w:tplc="56E28D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12"/>
  </w:num>
  <w:num w:numId="4">
    <w:abstractNumId w:val="8"/>
  </w:num>
  <w:num w:numId="5">
    <w:abstractNumId w:val="17"/>
  </w:num>
  <w:num w:numId="6">
    <w:abstractNumId w:val="23"/>
  </w:num>
  <w:num w:numId="7">
    <w:abstractNumId w:val="16"/>
  </w:num>
  <w:num w:numId="8">
    <w:abstractNumId w:val="19"/>
  </w:num>
  <w:num w:numId="9">
    <w:abstractNumId w:val="28"/>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0"/>
  </w:num>
  <w:num w:numId="18">
    <w:abstractNumId w:val="10"/>
  </w:num>
  <w:num w:numId="19">
    <w:abstractNumId w:val="17"/>
  </w:num>
  <w:num w:numId="20">
    <w:abstractNumId w:val="17"/>
  </w:num>
  <w:num w:numId="21">
    <w:abstractNumId w:val="19"/>
  </w:num>
  <w:num w:numId="22">
    <w:abstractNumId w:val="14"/>
  </w:num>
  <w:num w:numId="23">
    <w:abstractNumId w:val="11"/>
  </w:num>
  <w:num w:numId="24">
    <w:abstractNumId w:val="18"/>
  </w:num>
  <w:num w:numId="25">
    <w:abstractNumId w:val="32"/>
  </w:num>
  <w:num w:numId="26">
    <w:abstractNumId w:val="21"/>
  </w:num>
  <w:num w:numId="27">
    <w:abstractNumId w:val="30"/>
  </w:num>
  <w:num w:numId="28">
    <w:abstractNumId w:val="27"/>
  </w:num>
  <w:num w:numId="29">
    <w:abstractNumId w:val="22"/>
  </w:num>
  <w:num w:numId="30">
    <w:abstractNumId w:val="25"/>
  </w:num>
  <w:num w:numId="31">
    <w:abstractNumId w:val="15"/>
  </w:num>
  <w:num w:numId="32">
    <w:abstractNumId w:val="31"/>
  </w:num>
  <w:num w:numId="33">
    <w:abstractNumId w:val="24"/>
  </w:num>
  <w:num w:numId="34">
    <w:abstractNumId w:val="26"/>
  </w:num>
  <w:num w:numId="35">
    <w:abstractNumId w:val="29"/>
  </w:num>
  <w:num w:numId="3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43"/>
    <w:rsid w:val="000007F2"/>
    <w:rsid w:val="00002CC0"/>
    <w:rsid w:val="00003A67"/>
    <w:rsid w:val="00004943"/>
    <w:rsid w:val="00015144"/>
    <w:rsid w:val="00015437"/>
    <w:rsid w:val="00016CA1"/>
    <w:rsid w:val="00020719"/>
    <w:rsid w:val="000277D1"/>
    <w:rsid w:val="00034DFC"/>
    <w:rsid w:val="00046E5C"/>
    <w:rsid w:val="000529FB"/>
    <w:rsid w:val="00055B25"/>
    <w:rsid w:val="00066589"/>
    <w:rsid w:val="0006662D"/>
    <w:rsid w:val="000721ED"/>
    <w:rsid w:val="00076246"/>
    <w:rsid w:val="00093BD9"/>
    <w:rsid w:val="000A04A3"/>
    <w:rsid w:val="000A0B66"/>
    <w:rsid w:val="000A4C7F"/>
    <w:rsid w:val="000A7C0A"/>
    <w:rsid w:val="000B079A"/>
    <w:rsid w:val="000B7219"/>
    <w:rsid w:val="000C21E9"/>
    <w:rsid w:val="000C3EA0"/>
    <w:rsid w:val="000C49E3"/>
    <w:rsid w:val="000C6772"/>
    <w:rsid w:val="000C6C0D"/>
    <w:rsid w:val="000E00A0"/>
    <w:rsid w:val="000E5340"/>
    <w:rsid w:val="000F15DB"/>
    <w:rsid w:val="000F5C78"/>
    <w:rsid w:val="001005DD"/>
    <w:rsid w:val="001060A1"/>
    <w:rsid w:val="00110E18"/>
    <w:rsid w:val="00116BA2"/>
    <w:rsid w:val="00126DCC"/>
    <w:rsid w:val="001342FF"/>
    <w:rsid w:val="00135FB3"/>
    <w:rsid w:val="00136242"/>
    <w:rsid w:val="0013763A"/>
    <w:rsid w:val="001401E1"/>
    <w:rsid w:val="0014624C"/>
    <w:rsid w:val="001462EB"/>
    <w:rsid w:val="00147094"/>
    <w:rsid w:val="00150116"/>
    <w:rsid w:val="00152611"/>
    <w:rsid w:val="00155314"/>
    <w:rsid w:val="001562B8"/>
    <w:rsid w:val="00157D64"/>
    <w:rsid w:val="00160733"/>
    <w:rsid w:val="00164B7F"/>
    <w:rsid w:val="001820C8"/>
    <w:rsid w:val="00183CD7"/>
    <w:rsid w:val="00183D19"/>
    <w:rsid w:val="00190D85"/>
    <w:rsid w:val="00193324"/>
    <w:rsid w:val="00194C29"/>
    <w:rsid w:val="0019649B"/>
    <w:rsid w:val="001A5353"/>
    <w:rsid w:val="001B0105"/>
    <w:rsid w:val="001B223C"/>
    <w:rsid w:val="001B38D8"/>
    <w:rsid w:val="001B7A25"/>
    <w:rsid w:val="001C1337"/>
    <w:rsid w:val="001D28F6"/>
    <w:rsid w:val="001E4098"/>
    <w:rsid w:val="001E6F17"/>
    <w:rsid w:val="001E7CCA"/>
    <w:rsid w:val="001F3F6D"/>
    <w:rsid w:val="002061B5"/>
    <w:rsid w:val="0021175B"/>
    <w:rsid w:val="00222027"/>
    <w:rsid w:val="002222A7"/>
    <w:rsid w:val="00230135"/>
    <w:rsid w:val="00232C5C"/>
    <w:rsid w:val="00245939"/>
    <w:rsid w:val="00246112"/>
    <w:rsid w:val="002540DC"/>
    <w:rsid w:val="0026017D"/>
    <w:rsid w:val="00263DBB"/>
    <w:rsid w:val="0026545D"/>
    <w:rsid w:val="002750D4"/>
    <w:rsid w:val="00275EAB"/>
    <w:rsid w:val="00277EB9"/>
    <w:rsid w:val="002825BB"/>
    <w:rsid w:val="00282B1C"/>
    <w:rsid w:val="0028364E"/>
    <w:rsid w:val="002922B5"/>
    <w:rsid w:val="002A4AE4"/>
    <w:rsid w:val="002B75CE"/>
    <w:rsid w:val="002C01AD"/>
    <w:rsid w:val="002C2016"/>
    <w:rsid w:val="002C402C"/>
    <w:rsid w:val="002D1E8D"/>
    <w:rsid w:val="002D1FEF"/>
    <w:rsid w:val="002E207E"/>
    <w:rsid w:val="002E4CA0"/>
    <w:rsid w:val="002E51DA"/>
    <w:rsid w:val="002F7CB9"/>
    <w:rsid w:val="003026F1"/>
    <w:rsid w:val="00303508"/>
    <w:rsid w:val="00307A56"/>
    <w:rsid w:val="00310C24"/>
    <w:rsid w:val="00310E94"/>
    <w:rsid w:val="003110D4"/>
    <w:rsid w:val="00320F3B"/>
    <w:rsid w:val="003226EB"/>
    <w:rsid w:val="00326705"/>
    <w:rsid w:val="00327812"/>
    <w:rsid w:val="00334F73"/>
    <w:rsid w:val="00335B24"/>
    <w:rsid w:val="00335BF7"/>
    <w:rsid w:val="00337756"/>
    <w:rsid w:val="00347581"/>
    <w:rsid w:val="00353BF5"/>
    <w:rsid w:val="00354A52"/>
    <w:rsid w:val="00357A12"/>
    <w:rsid w:val="003643F8"/>
    <w:rsid w:val="003655C4"/>
    <w:rsid w:val="00371160"/>
    <w:rsid w:val="00372E2A"/>
    <w:rsid w:val="003737E8"/>
    <w:rsid w:val="00375963"/>
    <w:rsid w:val="00376B23"/>
    <w:rsid w:val="00385EF1"/>
    <w:rsid w:val="003934A0"/>
    <w:rsid w:val="003A67EA"/>
    <w:rsid w:val="003A7014"/>
    <w:rsid w:val="003B6DD8"/>
    <w:rsid w:val="003C1F76"/>
    <w:rsid w:val="003C6172"/>
    <w:rsid w:val="003C6A6C"/>
    <w:rsid w:val="003C7418"/>
    <w:rsid w:val="003D1F1E"/>
    <w:rsid w:val="003D222F"/>
    <w:rsid w:val="003D6C38"/>
    <w:rsid w:val="003E0235"/>
    <w:rsid w:val="003E03F6"/>
    <w:rsid w:val="003E34B0"/>
    <w:rsid w:val="003E3698"/>
    <w:rsid w:val="004102BC"/>
    <w:rsid w:val="00413105"/>
    <w:rsid w:val="00414199"/>
    <w:rsid w:val="00417CB6"/>
    <w:rsid w:val="00431103"/>
    <w:rsid w:val="004317B5"/>
    <w:rsid w:val="00431DB7"/>
    <w:rsid w:val="0043489C"/>
    <w:rsid w:val="00440C68"/>
    <w:rsid w:val="004419C5"/>
    <w:rsid w:val="00442778"/>
    <w:rsid w:val="00444DA5"/>
    <w:rsid w:val="00445C5A"/>
    <w:rsid w:val="00446B51"/>
    <w:rsid w:val="0046118F"/>
    <w:rsid w:val="004727D7"/>
    <w:rsid w:val="00475BC0"/>
    <w:rsid w:val="00480DBD"/>
    <w:rsid w:val="00482CEC"/>
    <w:rsid w:val="00484E79"/>
    <w:rsid w:val="0048523C"/>
    <w:rsid w:val="00486181"/>
    <w:rsid w:val="00486BF4"/>
    <w:rsid w:val="00491F91"/>
    <w:rsid w:val="00492F04"/>
    <w:rsid w:val="00495BBE"/>
    <w:rsid w:val="004A36AC"/>
    <w:rsid w:val="004A504B"/>
    <w:rsid w:val="004A57E3"/>
    <w:rsid w:val="004B05BC"/>
    <w:rsid w:val="004B24D3"/>
    <w:rsid w:val="004C05BD"/>
    <w:rsid w:val="004C55CE"/>
    <w:rsid w:val="004C6950"/>
    <w:rsid w:val="004D07A1"/>
    <w:rsid w:val="004D16A1"/>
    <w:rsid w:val="004D3386"/>
    <w:rsid w:val="004D4AE1"/>
    <w:rsid w:val="004D5859"/>
    <w:rsid w:val="004D5D54"/>
    <w:rsid w:val="004E10B6"/>
    <w:rsid w:val="004E20DD"/>
    <w:rsid w:val="004E2D84"/>
    <w:rsid w:val="004E3222"/>
    <w:rsid w:val="004E5F31"/>
    <w:rsid w:val="004F65AF"/>
    <w:rsid w:val="0050425E"/>
    <w:rsid w:val="005058F9"/>
    <w:rsid w:val="00507D29"/>
    <w:rsid w:val="00517391"/>
    <w:rsid w:val="00517820"/>
    <w:rsid w:val="00523A7C"/>
    <w:rsid w:val="0053181C"/>
    <w:rsid w:val="005338D1"/>
    <w:rsid w:val="005360A2"/>
    <w:rsid w:val="00540457"/>
    <w:rsid w:val="00540946"/>
    <w:rsid w:val="00543EB3"/>
    <w:rsid w:val="00546E08"/>
    <w:rsid w:val="00553454"/>
    <w:rsid w:val="0055369B"/>
    <w:rsid w:val="00566342"/>
    <w:rsid w:val="00573601"/>
    <w:rsid w:val="0058057E"/>
    <w:rsid w:val="005857F5"/>
    <w:rsid w:val="005A1446"/>
    <w:rsid w:val="005A2A4D"/>
    <w:rsid w:val="005B24C5"/>
    <w:rsid w:val="005C4E82"/>
    <w:rsid w:val="005E5E35"/>
    <w:rsid w:val="005E6AB5"/>
    <w:rsid w:val="005F15C8"/>
    <w:rsid w:val="005F1D06"/>
    <w:rsid w:val="005F368E"/>
    <w:rsid w:val="005F5C2C"/>
    <w:rsid w:val="00602EDA"/>
    <w:rsid w:val="00604989"/>
    <w:rsid w:val="00604D6A"/>
    <w:rsid w:val="00606A1B"/>
    <w:rsid w:val="0060712D"/>
    <w:rsid w:val="00624799"/>
    <w:rsid w:val="00625565"/>
    <w:rsid w:val="00625990"/>
    <w:rsid w:val="00625D84"/>
    <w:rsid w:val="0063539C"/>
    <w:rsid w:val="00637B9E"/>
    <w:rsid w:val="00641CB9"/>
    <w:rsid w:val="00646214"/>
    <w:rsid w:val="00647B4E"/>
    <w:rsid w:val="0065060D"/>
    <w:rsid w:val="0065073C"/>
    <w:rsid w:val="00656029"/>
    <w:rsid w:val="006579D7"/>
    <w:rsid w:val="00660710"/>
    <w:rsid w:val="006672F0"/>
    <w:rsid w:val="0067149E"/>
    <w:rsid w:val="00671E0A"/>
    <w:rsid w:val="00673FA6"/>
    <w:rsid w:val="0068276F"/>
    <w:rsid w:val="00682A49"/>
    <w:rsid w:val="00682B77"/>
    <w:rsid w:val="0068350E"/>
    <w:rsid w:val="00685F22"/>
    <w:rsid w:val="006866C3"/>
    <w:rsid w:val="006867D6"/>
    <w:rsid w:val="00691782"/>
    <w:rsid w:val="0069500B"/>
    <w:rsid w:val="00696966"/>
    <w:rsid w:val="006A1C1E"/>
    <w:rsid w:val="006A47AD"/>
    <w:rsid w:val="006A61C2"/>
    <w:rsid w:val="006A7B58"/>
    <w:rsid w:val="006B0A8F"/>
    <w:rsid w:val="006B0DE2"/>
    <w:rsid w:val="006B0F4B"/>
    <w:rsid w:val="006C1065"/>
    <w:rsid w:val="006C486E"/>
    <w:rsid w:val="006C60DC"/>
    <w:rsid w:val="006D6056"/>
    <w:rsid w:val="006E2CB5"/>
    <w:rsid w:val="006E42B8"/>
    <w:rsid w:val="006E6500"/>
    <w:rsid w:val="006E6D80"/>
    <w:rsid w:val="006F2B32"/>
    <w:rsid w:val="006F3143"/>
    <w:rsid w:val="006F33E0"/>
    <w:rsid w:val="006F6C0E"/>
    <w:rsid w:val="00703750"/>
    <w:rsid w:val="00705DDC"/>
    <w:rsid w:val="00710FC2"/>
    <w:rsid w:val="00711F7E"/>
    <w:rsid w:val="0071675F"/>
    <w:rsid w:val="0072080F"/>
    <w:rsid w:val="007236F8"/>
    <w:rsid w:val="00725A6A"/>
    <w:rsid w:val="007262CC"/>
    <w:rsid w:val="00726F51"/>
    <w:rsid w:val="0073278F"/>
    <w:rsid w:val="007340C3"/>
    <w:rsid w:val="007352FE"/>
    <w:rsid w:val="00743DCD"/>
    <w:rsid w:val="007440AB"/>
    <w:rsid w:val="0074680B"/>
    <w:rsid w:val="00752327"/>
    <w:rsid w:val="007542FB"/>
    <w:rsid w:val="0076581D"/>
    <w:rsid w:val="007706E9"/>
    <w:rsid w:val="00773FD7"/>
    <w:rsid w:val="00781570"/>
    <w:rsid w:val="00783D1D"/>
    <w:rsid w:val="00783D31"/>
    <w:rsid w:val="00784A8F"/>
    <w:rsid w:val="0078739C"/>
    <w:rsid w:val="00787D5C"/>
    <w:rsid w:val="00790915"/>
    <w:rsid w:val="00791C9C"/>
    <w:rsid w:val="0079253A"/>
    <w:rsid w:val="007925A4"/>
    <w:rsid w:val="007949A4"/>
    <w:rsid w:val="007952F3"/>
    <w:rsid w:val="007A26E4"/>
    <w:rsid w:val="007A2BB9"/>
    <w:rsid w:val="007B5023"/>
    <w:rsid w:val="007C3A0B"/>
    <w:rsid w:val="007C6FB3"/>
    <w:rsid w:val="007C7B41"/>
    <w:rsid w:val="007D2DF3"/>
    <w:rsid w:val="007D382C"/>
    <w:rsid w:val="007E1C21"/>
    <w:rsid w:val="007E617A"/>
    <w:rsid w:val="007F76DD"/>
    <w:rsid w:val="0080489E"/>
    <w:rsid w:val="00813FB1"/>
    <w:rsid w:val="00820445"/>
    <w:rsid w:val="00825980"/>
    <w:rsid w:val="00825B71"/>
    <w:rsid w:val="00830B7D"/>
    <w:rsid w:val="008339A3"/>
    <w:rsid w:val="008448D4"/>
    <w:rsid w:val="008459EF"/>
    <w:rsid w:val="00846856"/>
    <w:rsid w:val="00847751"/>
    <w:rsid w:val="0085140F"/>
    <w:rsid w:val="00854B1E"/>
    <w:rsid w:val="00854FB7"/>
    <w:rsid w:val="008574D4"/>
    <w:rsid w:val="00860EC5"/>
    <w:rsid w:val="00862345"/>
    <w:rsid w:val="0086457E"/>
    <w:rsid w:val="008649EF"/>
    <w:rsid w:val="008659CE"/>
    <w:rsid w:val="00866136"/>
    <w:rsid w:val="00875543"/>
    <w:rsid w:val="00882B52"/>
    <w:rsid w:val="008858E8"/>
    <w:rsid w:val="008901AB"/>
    <w:rsid w:val="00890902"/>
    <w:rsid w:val="00892583"/>
    <w:rsid w:val="008A088D"/>
    <w:rsid w:val="008A515A"/>
    <w:rsid w:val="008A54B2"/>
    <w:rsid w:val="008B3F33"/>
    <w:rsid w:val="008B5912"/>
    <w:rsid w:val="008B697E"/>
    <w:rsid w:val="008C23EF"/>
    <w:rsid w:val="008C5842"/>
    <w:rsid w:val="008C75F8"/>
    <w:rsid w:val="008D1D67"/>
    <w:rsid w:val="008D3F8A"/>
    <w:rsid w:val="008E27F2"/>
    <w:rsid w:val="008E32E1"/>
    <w:rsid w:val="008F4BD1"/>
    <w:rsid w:val="008F6A3F"/>
    <w:rsid w:val="00903E79"/>
    <w:rsid w:val="0090409A"/>
    <w:rsid w:val="009040CB"/>
    <w:rsid w:val="00905EEC"/>
    <w:rsid w:val="00911A76"/>
    <w:rsid w:val="00914974"/>
    <w:rsid w:val="00915113"/>
    <w:rsid w:val="0092634F"/>
    <w:rsid w:val="0092701E"/>
    <w:rsid w:val="00927972"/>
    <w:rsid w:val="00930A4A"/>
    <w:rsid w:val="00933E29"/>
    <w:rsid w:val="00935A5F"/>
    <w:rsid w:val="009362CE"/>
    <w:rsid w:val="009464B6"/>
    <w:rsid w:val="0095361E"/>
    <w:rsid w:val="00961B60"/>
    <w:rsid w:val="00963A2E"/>
    <w:rsid w:val="00964845"/>
    <w:rsid w:val="009652C1"/>
    <w:rsid w:val="009738A3"/>
    <w:rsid w:val="009829B2"/>
    <w:rsid w:val="00982BCB"/>
    <w:rsid w:val="00985537"/>
    <w:rsid w:val="00986248"/>
    <w:rsid w:val="00986A78"/>
    <w:rsid w:val="009873EA"/>
    <w:rsid w:val="009A14DF"/>
    <w:rsid w:val="009B15CA"/>
    <w:rsid w:val="009B1A1F"/>
    <w:rsid w:val="009B5DBB"/>
    <w:rsid w:val="009B6563"/>
    <w:rsid w:val="009B6E56"/>
    <w:rsid w:val="009B7A0B"/>
    <w:rsid w:val="009C5CD5"/>
    <w:rsid w:val="009C5D40"/>
    <w:rsid w:val="009D4F67"/>
    <w:rsid w:val="009D55C6"/>
    <w:rsid w:val="009E2661"/>
    <w:rsid w:val="009E5CB4"/>
    <w:rsid w:val="009F14F9"/>
    <w:rsid w:val="009F4FCF"/>
    <w:rsid w:val="009F795E"/>
    <w:rsid w:val="00A01628"/>
    <w:rsid w:val="00A02D07"/>
    <w:rsid w:val="00A04305"/>
    <w:rsid w:val="00A13D48"/>
    <w:rsid w:val="00A15173"/>
    <w:rsid w:val="00A16D42"/>
    <w:rsid w:val="00A23EDE"/>
    <w:rsid w:val="00A25213"/>
    <w:rsid w:val="00A32A38"/>
    <w:rsid w:val="00A33B41"/>
    <w:rsid w:val="00A41084"/>
    <w:rsid w:val="00A502FC"/>
    <w:rsid w:val="00A503C7"/>
    <w:rsid w:val="00A571FD"/>
    <w:rsid w:val="00A62DC1"/>
    <w:rsid w:val="00A65BDA"/>
    <w:rsid w:val="00A705E9"/>
    <w:rsid w:val="00A73836"/>
    <w:rsid w:val="00A814DA"/>
    <w:rsid w:val="00A94F38"/>
    <w:rsid w:val="00A97688"/>
    <w:rsid w:val="00AA02E1"/>
    <w:rsid w:val="00AA05CD"/>
    <w:rsid w:val="00AA1BD3"/>
    <w:rsid w:val="00AA75B7"/>
    <w:rsid w:val="00AB1DBD"/>
    <w:rsid w:val="00AC58A3"/>
    <w:rsid w:val="00AD06B7"/>
    <w:rsid w:val="00AD1588"/>
    <w:rsid w:val="00AD5D31"/>
    <w:rsid w:val="00AD7E0E"/>
    <w:rsid w:val="00AE074A"/>
    <w:rsid w:val="00AE0F00"/>
    <w:rsid w:val="00AE459E"/>
    <w:rsid w:val="00AF0BA5"/>
    <w:rsid w:val="00AF1EA6"/>
    <w:rsid w:val="00AF48A8"/>
    <w:rsid w:val="00B001F8"/>
    <w:rsid w:val="00B00C6F"/>
    <w:rsid w:val="00B01580"/>
    <w:rsid w:val="00B02373"/>
    <w:rsid w:val="00B029F2"/>
    <w:rsid w:val="00B037F5"/>
    <w:rsid w:val="00B07286"/>
    <w:rsid w:val="00B13207"/>
    <w:rsid w:val="00B162E8"/>
    <w:rsid w:val="00B16411"/>
    <w:rsid w:val="00B17AC2"/>
    <w:rsid w:val="00B229DF"/>
    <w:rsid w:val="00B53556"/>
    <w:rsid w:val="00B5498B"/>
    <w:rsid w:val="00B56BAE"/>
    <w:rsid w:val="00B60EE1"/>
    <w:rsid w:val="00B64C82"/>
    <w:rsid w:val="00B7459D"/>
    <w:rsid w:val="00B77C28"/>
    <w:rsid w:val="00B87CC8"/>
    <w:rsid w:val="00B91CB6"/>
    <w:rsid w:val="00B95474"/>
    <w:rsid w:val="00BA0BD8"/>
    <w:rsid w:val="00BA141A"/>
    <w:rsid w:val="00BA6042"/>
    <w:rsid w:val="00BD75DF"/>
    <w:rsid w:val="00BE4026"/>
    <w:rsid w:val="00C0325E"/>
    <w:rsid w:val="00C036A6"/>
    <w:rsid w:val="00C07A5F"/>
    <w:rsid w:val="00C106CF"/>
    <w:rsid w:val="00C14ABC"/>
    <w:rsid w:val="00C164D3"/>
    <w:rsid w:val="00C1729C"/>
    <w:rsid w:val="00C21F9B"/>
    <w:rsid w:val="00C2249B"/>
    <w:rsid w:val="00C36F3E"/>
    <w:rsid w:val="00C403A2"/>
    <w:rsid w:val="00C42883"/>
    <w:rsid w:val="00C45082"/>
    <w:rsid w:val="00C47B12"/>
    <w:rsid w:val="00C535D1"/>
    <w:rsid w:val="00C556AB"/>
    <w:rsid w:val="00C571E8"/>
    <w:rsid w:val="00C57384"/>
    <w:rsid w:val="00C605A8"/>
    <w:rsid w:val="00C64CB7"/>
    <w:rsid w:val="00C666F3"/>
    <w:rsid w:val="00C73F5C"/>
    <w:rsid w:val="00C81470"/>
    <w:rsid w:val="00C8416B"/>
    <w:rsid w:val="00C911BF"/>
    <w:rsid w:val="00C9626E"/>
    <w:rsid w:val="00C96285"/>
    <w:rsid w:val="00C96D6F"/>
    <w:rsid w:val="00CB0001"/>
    <w:rsid w:val="00CB146F"/>
    <w:rsid w:val="00CB202B"/>
    <w:rsid w:val="00CB4B0B"/>
    <w:rsid w:val="00CB725D"/>
    <w:rsid w:val="00CC2310"/>
    <w:rsid w:val="00CC32B2"/>
    <w:rsid w:val="00CC4117"/>
    <w:rsid w:val="00CC4ECB"/>
    <w:rsid w:val="00CC5DDB"/>
    <w:rsid w:val="00CD09B7"/>
    <w:rsid w:val="00CD317A"/>
    <w:rsid w:val="00CD5DCB"/>
    <w:rsid w:val="00CE177D"/>
    <w:rsid w:val="00CE2794"/>
    <w:rsid w:val="00CE648B"/>
    <w:rsid w:val="00CF244F"/>
    <w:rsid w:val="00CF42A7"/>
    <w:rsid w:val="00CF5914"/>
    <w:rsid w:val="00D01569"/>
    <w:rsid w:val="00D01C6D"/>
    <w:rsid w:val="00D05F54"/>
    <w:rsid w:val="00D15013"/>
    <w:rsid w:val="00D2240C"/>
    <w:rsid w:val="00D22A9E"/>
    <w:rsid w:val="00D25EED"/>
    <w:rsid w:val="00D31BE6"/>
    <w:rsid w:val="00D34F31"/>
    <w:rsid w:val="00D36C28"/>
    <w:rsid w:val="00D40C41"/>
    <w:rsid w:val="00D5540D"/>
    <w:rsid w:val="00D60980"/>
    <w:rsid w:val="00D62585"/>
    <w:rsid w:val="00D74D08"/>
    <w:rsid w:val="00D75885"/>
    <w:rsid w:val="00D77452"/>
    <w:rsid w:val="00D77C8F"/>
    <w:rsid w:val="00D802AF"/>
    <w:rsid w:val="00D8148D"/>
    <w:rsid w:val="00D841A3"/>
    <w:rsid w:val="00D94174"/>
    <w:rsid w:val="00DA10AA"/>
    <w:rsid w:val="00DA5AFE"/>
    <w:rsid w:val="00DA790E"/>
    <w:rsid w:val="00DB16F2"/>
    <w:rsid w:val="00DB2242"/>
    <w:rsid w:val="00DB2804"/>
    <w:rsid w:val="00DB3AAC"/>
    <w:rsid w:val="00DB4001"/>
    <w:rsid w:val="00DB624F"/>
    <w:rsid w:val="00DC6FD4"/>
    <w:rsid w:val="00DD43A5"/>
    <w:rsid w:val="00DD5B32"/>
    <w:rsid w:val="00DE301F"/>
    <w:rsid w:val="00DE6DBD"/>
    <w:rsid w:val="00DF0602"/>
    <w:rsid w:val="00DF1840"/>
    <w:rsid w:val="00DF2C83"/>
    <w:rsid w:val="00DF3B88"/>
    <w:rsid w:val="00E04493"/>
    <w:rsid w:val="00E17268"/>
    <w:rsid w:val="00E179B6"/>
    <w:rsid w:val="00E17C90"/>
    <w:rsid w:val="00E25944"/>
    <w:rsid w:val="00E25F58"/>
    <w:rsid w:val="00E3288E"/>
    <w:rsid w:val="00E42179"/>
    <w:rsid w:val="00E43A41"/>
    <w:rsid w:val="00E43DB9"/>
    <w:rsid w:val="00E44924"/>
    <w:rsid w:val="00E44931"/>
    <w:rsid w:val="00E464E7"/>
    <w:rsid w:val="00E56CB6"/>
    <w:rsid w:val="00E6118C"/>
    <w:rsid w:val="00E70E1A"/>
    <w:rsid w:val="00E734D3"/>
    <w:rsid w:val="00E7762D"/>
    <w:rsid w:val="00E85175"/>
    <w:rsid w:val="00E87476"/>
    <w:rsid w:val="00E914F0"/>
    <w:rsid w:val="00EA2C85"/>
    <w:rsid w:val="00EA62A6"/>
    <w:rsid w:val="00EA7B6F"/>
    <w:rsid w:val="00EB74DA"/>
    <w:rsid w:val="00EC0B43"/>
    <w:rsid w:val="00EC23BE"/>
    <w:rsid w:val="00EC4A93"/>
    <w:rsid w:val="00ED560D"/>
    <w:rsid w:val="00EE6CF6"/>
    <w:rsid w:val="00EE74BA"/>
    <w:rsid w:val="00EF2645"/>
    <w:rsid w:val="00EF2FAD"/>
    <w:rsid w:val="00EF5D42"/>
    <w:rsid w:val="00EF6247"/>
    <w:rsid w:val="00F1570E"/>
    <w:rsid w:val="00F30C80"/>
    <w:rsid w:val="00F366FF"/>
    <w:rsid w:val="00F4241F"/>
    <w:rsid w:val="00F43634"/>
    <w:rsid w:val="00F625CA"/>
    <w:rsid w:val="00F72DCF"/>
    <w:rsid w:val="00F746B1"/>
    <w:rsid w:val="00F8123B"/>
    <w:rsid w:val="00F86B41"/>
    <w:rsid w:val="00F8778E"/>
    <w:rsid w:val="00F90769"/>
    <w:rsid w:val="00F91A02"/>
    <w:rsid w:val="00F948BE"/>
    <w:rsid w:val="00F9637E"/>
    <w:rsid w:val="00F978CB"/>
    <w:rsid w:val="00FA0BAC"/>
    <w:rsid w:val="00FA60C2"/>
    <w:rsid w:val="00FB0F2A"/>
    <w:rsid w:val="00FB1473"/>
    <w:rsid w:val="00FB2988"/>
    <w:rsid w:val="00FB321F"/>
    <w:rsid w:val="00FC4144"/>
    <w:rsid w:val="00FD4B01"/>
    <w:rsid w:val="00FD5B4E"/>
    <w:rsid w:val="00FD6458"/>
    <w:rsid w:val="00FE2CBE"/>
    <w:rsid w:val="00FE5BAC"/>
    <w:rsid w:val="00FE708A"/>
    <w:rsid w:val="00FF3613"/>
    <w:rsid w:val="00FF5185"/>
    <w:rsid w:val="00FF5F78"/>
    <w:rsid w:val="00FF69C2"/>
    <w:rsid w:val="00FF7152"/>
    <w:rsid w:val="00FF7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1E9"/>
    <w:pPr>
      <w:spacing w:after="240" w:line="320" w:lineRule="atLeast"/>
      <w:jc w:val="both"/>
    </w:pPr>
    <w:rPr>
      <w:rFonts w:ascii="Times New Roman" w:hAnsi="Times New Roman"/>
    </w:rPr>
  </w:style>
  <w:style w:type="paragraph" w:styleId="Heading1">
    <w:name w:val="heading 1"/>
    <w:next w:val="Normal"/>
    <w:link w:val="Heading1Char"/>
    <w:uiPriority w:val="9"/>
    <w:qFormat/>
    <w:rsid w:val="00DE301F"/>
    <w:pPr>
      <w:keepNext/>
      <w:keepLines/>
      <w:pageBreakBefore/>
      <w:numPr>
        <w:numId w:val="8"/>
      </w:numPr>
      <w:spacing w:after="600" w:line="560" w:lineRule="exact"/>
      <w:outlineLvl w:val="0"/>
    </w:pPr>
    <w:rPr>
      <w:rFonts w:ascii="Times New Roman" w:eastAsiaTheme="majorEastAsia" w:hAnsi="Times New Roman" w:cstheme="majorBidi"/>
      <w:bCs/>
      <w:sz w:val="36"/>
      <w:szCs w:val="28"/>
    </w:rPr>
  </w:style>
  <w:style w:type="paragraph" w:styleId="Heading2">
    <w:name w:val="heading 2"/>
    <w:basedOn w:val="Normal"/>
    <w:next w:val="Normal"/>
    <w:link w:val="Heading2Char"/>
    <w:uiPriority w:val="9"/>
    <w:unhideWhenUsed/>
    <w:qFormat/>
    <w:rsid w:val="00BE4026"/>
    <w:pPr>
      <w:keepNext/>
      <w:keepLines/>
      <w:numPr>
        <w:ilvl w:val="1"/>
        <w:numId w:val="8"/>
      </w:numPr>
      <w:spacing w:before="36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13763A"/>
    <w:pPr>
      <w:keepNext/>
      <w:keepLines/>
      <w:numPr>
        <w:ilvl w:val="2"/>
        <w:numId w:val="8"/>
      </w:numPr>
      <w:spacing w:before="360"/>
      <w:outlineLvl w:val="2"/>
    </w:pPr>
    <w:rPr>
      <w:rFonts w:eastAsiaTheme="majorEastAsia" w:cstheme="majorBidi"/>
      <w:b/>
      <w:bCs/>
    </w:rPr>
  </w:style>
  <w:style w:type="paragraph" w:styleId="Heading4">
    <w:name w:val="heading 4"/>
    <w:basedOn w:val="Normal"/>
    <w:next w:val="Normal"/>
    <w:link w:val="Heading4Char"/>
    <w:uiPriority w:val="9"/>
    <w:unhideWhenUsed/>
    <w:qFormat/>
    <w:rsid w:val="0013763A"/>
    <w:pPr>
      <w:keepNext/>
      <w:keepLines/>
      <w:numPr>
        <w:ilvl w:val="3"/>
        <w:numId w:val="8"/>
      </w:numPr>
      <w:spacing w:before="36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ListBullet"/>
    <w:next w:val="ListBullet"/>
    <w:link w:val="ListBullet2Char"/>
    <w:uiPriority w:val="99"/>
    <w:unhideWhenUsed/>
    <w:qFormat/>
    <w:rsid w:val="002222A7"/>
    <w:pPr>
      <w:keepLines/>
      <w:numPr>
        <w:numId w:val="3"/>
      </w:numPr>
      <w:ind w:left="714" w:hanging="357"/>
    </w:pPr>
  </w:style>
  <w:style w:type="paragraph" w:styleId="Header">
    <w:name w:val="header"/>
    <w:link w:val="HeaderChar1"/>
    <w:unhideWhenUsed/>
    <w:rsid w:val="003C6172"/>
    <w:pPr>
      <w:tabs>
        <w:tab w:val="right" w:pos="9214"/>
      </w:tabs>
      <w:spacing w:after="0" w:line="260" w:lineRule="atLeast"/>
      <w:ind w:left="-499" w:right="-499"/>
      <w:jc w:val="right"/>
    </w:pPr>
    <w:rPr>
      <w:rFonts w:ascii="Arial" w:hAnsi="Arial"/>
      <w:sz w:val="16"/>
    </w:rPr>
  </w:style>
  <w:style w:type="character" w:customStyle="1" w:styleId="HeaderChar1">
    <w:name w:val="Header Char1"/>
    <w:basedOn w:val="DefaultParagraphFont"/>
    <w:link w:val="Header"/>
    <w:uiPriority w:val="99"/>
    <w:rsid w:val="003C6172"/>
    <w:rPr>
      <w:rFonts w:ascii="Arial" w:hAnsi="Arial"/>
      <w:sz w:val="16"/>
    </w:rPr>
  </w:style>
  <w:style w:type="paragraph" w:customStyle="1" w:styleId="Border">
    <w:name w:val="Border"/>
    <w:next w:val="Normal"/>
    <w:qFormat/>
    <w:rsid w:val="004E20DD"/>
    <w:pPr>
      <w:spacing w:after="360" w:line="320" w:lineRule="atLeast"/>
      <w:jc w:val="center"/>
    </w:pPr>
    <w:rPr>
      <w:rFonts w:ascii="Times New Roman" w:hAnsi="Times New Roman"/>
    </w:rPr>
  </w:style>
  <w:style w:type="paragraph" w:styleId="Caption">
    <w:name w:val="caption"/>
    <w:next w:val="Border"/>
    <w:uiPriority w:val="35"/>
    <w:qFormat/>
    <w:rsid w:val="00480DBD"/>
    <w:pPr>
      <w:keepNext/>
      <w:pBdr>
        <w:bottom w:val="single" w:sz="6" w:space="3" w:color="A6A6A6" w:themeColor="background1" w:themeShade="A6"/>
      </w:pBdr>
      <w:tabs>
        <w:tab w:val="left" w:pos="2041"/>
      </w:tabs>
      <w:spacing w:after="160" w:line="320" w:lineRule="atLeast"/>
    </w:pPr>
    <w:rPr>
      <w:rFonts w:ascii="Arial" w:hAnsi="Arial" w:cs="Arial"/>
      <w:bCs/>
      <w:i/>
      <w:sz w:val="18"/>
      <w:szCs w:val="18"/>
    </w:rPr>
  </w:style>
  <w:style w:type="paragraph" w:customStyle="1" w:styleId="Captionsmall">
    <w:name w:val="Caption: small"/>
    <w:basedOn w:val="Caption"/>
    <w:next w:val="Normal"/>
    <w:qFormat/>
    <w:rsid w:val="00480DBD"/>
    <w:pPr>
      <w:pBdr>
        <w:bottom w:val="none" w:sz="0" w:space="0" w:color="auto"/>
      </w:pBdr>
      <w:spacing w:after="0"/>
      <w:ind w:left="113" w:right="113"/>
    </w:pPr>
  </w:style>
  <w:style w:type="paragraph" w:customStyle="1" w:styleId="Bordersmall">
    <w:name w:val="Border: small"/>
    <w:basedOn w:val="Border"/>
    <w:qFormat/>
    <w:rsid w:val="00517391"/>
    <w:pPr>
      <w:spacing w:after="0"/>
    </w:pPr>
  </w:style>
  <w:style w:type="paragraph" w:customStyle="1" w:styleId="Emphasised">
    <w:name w:val="Emphasised"/>
    <w:basedOn w:val="Normal"/>
    <w:qFormat/>
    <w:rsid w:val="001D28F6"/>
    <w:pPr>
      <w:keepLines/>
      <w:shd w:val="clear" w:color="auto" w:fill="B8CCE4" w:themeFill="accent1" w:themeFillTint="66"/>
    </w:pPr>
  </w:style>
  <w:style w:type="character" w:customStyle="1" w:styleId="HeaderChar">
    <w:name w:val="Header Char"/>
    <w:basedOn w:val="DefaultParagraphFont"/>
    <w:uiPriority w:val="99"/>
    <w:semiHidden/>
    <w:rsid w:val="00DB2804"/>
    <w:rPr>
      <w:rFonts w:ascii="Arial" w:hAnsi="Arial"/>
      <w:sz w:val="16"/>
    </w:rPr>
  </w:style>
  <w:style w:type="character" w:customStyle="1" w:styleId="ListBullet2Char">
    <w:name w:val="List Bullet 2 Char"/>
    <w:basedOn w:val="DefaultParagraphFont"/>
    <w:link w:val="ListBullet2"/>
    <w:uiPriority w:val="99"/>
    <w:rsid w:val="00282B1C"/>
    <w:rPr>
      <w:rFonts w:ascii="Times New Roman" w:hAnsi="Times New Roman"/>
    </w:rPr>
  </w:style>
  <w:style w:type="paragraph" w:styleId="FootnoteText">
    <w:name w:val="footnote text"/>
    <w:aliases w:val="Footnote Text Char1,Footnote Text Char Char,Footnote Text Char2 Char Char,Footnote Text Char3 Char1 Char Char,Footnote Text Char2 Char1 Char1 Char Char,Footnote Text Char3 Char1 Char Char Char Char,Footnote Text Char2,f,Fußnotentextf"/>
    <w:link w:val="FootnoteTextChar"/>
    <w:uiPriority w:val="99"/>
    <w:unhideWhenUsed/>
    <w:rsid w:val="00A705E9"/>
    <w:pPr>
      <w:spacing w:after="100" w:line="240" w:lineRule="auto"/>
      <w:ind w:left="499" w:hanging="499"/>
      <w:jc w:val="both"/>
    </w:pPr>
    <w:rPr>
      <w:rFonts w:ascii="Arial" w:hAnsi="Arial"/>
      <w:sz w:val="16"/>
      <w:szCs w:val="20"/>
    </w:rPr>
  </w:style>
  <w:style w:type="character" w:customStyle="1" w:styleId="FooterChar">
    <w:name w:val="Footer Char"/>
    <w:basedOn w:val="DefaultParagraphFont"/>
    <w:uiPriority w:val="99"/>
    <w:rsid w:val="004E3222"/>
    <w:rPr>
      <w:rFonts w:ascii="Arial" w:hAnsi="Arial"/>
      <w:sz w:val="16"/>
    </w:rPr>
  </w:style>
  <w:style w:type="character" w:styleId="Hyperlink">
    <w:name w:val="Hyperlink"/>
    <w:basedOn w:val="DefaultParagraphFont"/>
    <w:uiPriority w:val="99"/>
    <w:unhideWhenUsed/>
    <w:rsid w:val="000C6C0D"/>
    <w:rPr>
      <w:color w:val="auto"/>
      <w:u w:val="none"/>
    </w:rPr>
  </w:style>
  <w:style w:type="character" w:styleId="FollowedHyperlink">
    <w:name w:val="FollowedHyperlink"/>
    <w:basedOn w:val="DefaultParagraphFont"/>
    <w:uiPriority w:val="99"/>
    <w:semiHidden/>
    <w:unhideWhenUsed/>
    <w:rsid w:val="000C6C0D"/>
    <w:rPr>
      <w:color w:val="800080" w:themeColor="followedHyperlink"/>
      <w:u w:val="single"/>
    </w:rPr>
  </w:style>
  <w:style w:type="paragraph" w:styleId="ListBullet">
    <w:name w:val="List Bullet"/>
    <w:basedOn w:val="Normal"/>
    <w:uiPriority w:val="99"/>
    <w:unhideWhenUsed/>
    <w:qFormat/>
    <w:rsid w:val="008B3F33"/>
    <w:pPr>
      <w:numPr>
        <w:numId w:val="1"/>
      </w:numPr>
      <w:ind w:left="357" w:hanging="357"/>
    </w:pPr>
  </w:style>
  <w:style w:type="paragraph" w:customStyle="1" w:styleId="ListBulletCompact">
    <w:name w:val="List Bullet Compact"/>
    <w:basedOn w:val="ListBullet"/>
    <w:qFormat/>
    <w:rsid w:val="00685F22"/>
    <w:pPr>
      <w:spacing w:after="0"/>
    </w:pPr>
  </w:style>
  <w:style w:type="paragraph" w:customStyle="1" w:styleId="ListBullet2Compact">
    <w:name w:val="List Bullet 2 Compact"/>
    <w:basedOn w:val="ListBullet2"/>
    <w:qFormat/>
    <w:rsid w:val="00685F22"/>
    <w:pPr>
      <w:spacing w:after="0"/>
    </w:pPr>
  </w:style>
  <w:style w:type="paragraph" w:styleId="ListNumber">
    <w:name w:val="List Number"/>
    <w:basedOn w:val="Normal"/>
    <w:uiPriority w:val="99"/>
    <w:semiHidden/>
    <w:unhideWhenUsed/>
    <w:rsid w:val="003934A0"/>
    <w:pPr>
      <w:numPr>
        <w:numId w:val="4"/>
      </w:numPr>
      <w:contextualSpacing/>
    </w:pPr>
  </w:style>
  <w:style w:type="paragraph" w:customStyle="1" w:styleId="Annex1">
    <w:name w:val="Annex 1"/>
    <w:next w:val="Normal"/>
    <w:qFormat/>
    <w:rsid w:val="00444DA5"/>
    <w:pPr>
      <w:keepNext/>
      <w:pageBreakBefore/>
      <w:numPr>
        <w:numId w:val="20"/>
      </w:numPr>
      <w:spacing w:after="600" w:line="560" w:lineRule="exact"/>
      <w:outlineLvl w:val="0"/>
    </w:pPr>
    <w:rPr>
      <w:rFonts w:ascii="Times New Roman" w:hAnsi="Times New Roman"/>
      <w:sz w:val="36"/>
    </w:rPr>
  </w:style>
  <w:style w:type="paragraph" w:styleId="BodyTextIndent">
    <w:name w:val="Body Text Indent"/>
    <w:basedOn w:val="Normal"/>
    <w:link w:val="BodyTextIndentChar"/>
    <w:uiPriority w:val="99"/>
    <w:semiHidden/>
    <w:unhideWhenUsed/>
    <w:rsid w:val="00C164D3"/>
    <w:pPr>
      <w:spacing w:after="120"/>
      <w:ind w:left="283"/>
    </w:pPr>
  </w:style>
  <w:style w:type="character" w:customStyle="1" w:styleId="BodyTextIndentChar">
    <w:name w:val="Body Text Indent Char"/>
    <w:basedOn w:val="DefaultParagraphFont"/>
    <w:link w:val="BodyTextIndent"/>
    <w:uiPriority w:val="99"/>
    <w:semiHidden/>
    <w:rsid w:val="00C164D3"/>
    <w:rPr>
      <w:rFonts w:ascii="Times New Roman" w:hAnsi="Times New Roman"/>
    </w:rPr>
  </w:style>
  <w:style w:type="character" w:customStyle="1" w:styleId="Heading1Char">
    <w:name w:val="Heading 1 Char"/>
    <w:basedOn w:val="DefaultParagraphFont"/>
    <w:link w:val="Heading1"/>
    <w:uiPriority w:val="9"/>
    <w:rsid w:val="00DE301F"/>
    <w:rPr>
      <w:rFonts w:ascii="Times New Roman" w:eastAsiaTheme="majorEastAsia" w:hAnsi="Times New Roman" w:cstheme="majorBidi"/>
      <w:bCs/>
      <w:sz w:val="36"/>
      <w:szCs w:val="28"/>
    </w:rPr>
  </w:style>
  <w:style w:type="character" w:customStyle="1" w:styleId="Heading2Char">
    <w:name w:val="Heading 2 Char"/>
    <w:basedOn w:val="DefaultParagraphFont"/>
    <w:link w:val="Heading2"/>
    <w:uiPriority w:val="9"/>
    <w:rsid w:val="00BE402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13763A"/>
    <w:rPr>
      <w:rFonts w:ascii="Times New Roman" w:eastAsiaTheme="majorEastAsia" w:hAnsi="Times New Roman" w:cstheme="majorBidi"/>
      <w:b/>
      <w:bCs/>
    </w:rPr>
  </w:style>
  <w:style w:type="numbering" w:styleId="1ai">
    <w:name w:val="Outline List 1"/>
    <w:basedOn w:val="NoList"/>
    <w:uiPriority w:val="99"/>
    <w:semiHidden/>
    <w:unhideWhenUsed/>
    <w:rsid w:val="003C6172"/>
    <w:pPr>
      <w:numPr>
        <w:numId w:val="6"/>
      </w:numPr>
    </w:pPr>
  </w:style>
  <w:style w:type="character" w:customStyle="1" w:styleId="FootnoteTextChar">
    <w:name w:val="Footnote Text Char"/>
    <w:aliases w:val="Footnote Text Char1 Char,Footnote Text Char Char Char,Footnote Text Char2 Char Char Char,Footnote Text Char3 Char1 Char Char Char,Footnote Text Char2 Char1 Char1 Char Char Char,Footnote Text Char3 Char1 Char Char Char Char Char,f Char"/>
    <w:basedOn w:val="DefaultParagraphFont"/>
    <w:link w:val="FootnoteText"/>
    <w:uiPriority w:val="99"/>
    <w:rsid w:val="00A705E9"/>
    <w:rPr>
      <w:rFonts w:ascii="Arial" w:hAnsi="Arial"/>
      <w:sz w:val="16"/>
      <w:szCs w:val="20"/>
    </w:rPr>
  </w:style>
  <w:style w:type="character" w:styleId="FootnoteReference">
    <w:name w:val="footnote reference"/>
    <w:aliases w:val="(NECG) Footnote Reference,o,fr,Style 3,Appel note de bas de p,Style 12,Style 124,Footnote symbol,Footnote,Voetnootverwijzing,Times 10 Point,Exposant 3 Point"/>
    <w:basedOn w:val="DefaultParagraphFont"/>
    <w:uiPriority w:val="99"/>
    <w:unhideWhenUsed/>
    <w:rsid w:val="00486181"/>
    <w:rPr>
      <w:rFonts w:ascii="Arial" w:hAnsi="Arial"/>
      <w:b w:val="0"/>
      <w:i w:val="0"/>
      <w:sz w:val="20"/>
      <w:vertAlign w:val="superscript"/>
    </w:rPr>
  </w:style>
  <w:style w:type="paragraph" w:styleId="Footer">
    <w:name w:val="footer"/>
    <w:link w:val="FooterChar1"/>
    <w:unhideWhenUsed/>
    <w:rsid w:val="00647B4E"/>
    <w:pPr>
      <w:tabs>
        <w:tab w:val="center" w:pos="4394"/>
        <w:tab w:val="right" w:pos="9214"/>
      </w:tabs>
      <w:spacing w:after="0" w:line="260" w:lineRule="atLeast"/>
      <w:ind w:left="-499" w:right="-499"/>
    </w:pPr>
    <w:rPr>
      <w:rFonts w:ascii="Arial" w:hAnsi="Arial"/>
      <w:sz w:val="16"/>
    </w:rPr>
  </w:style>
  <w:style w:type="character" w:customStyle="1" w:styleId="FooterChar1">
    <w:name w:val="Footer Char1"/>
    <w:basedOn w:val="DefaultParagraphFont"/>
    <w:link w:val="Footer"/>
    <w:uiPriority w:val="99"/>
    <w:rsid w:val="00647B4E"/>
    <w:rPr>
      <w:rFonts w:ascii="Arial" w:hAnsi="Arial"/>
      <w:sz w:val="16"/>
    </w:rPr>
  </w:style>
  <w:style w:type="character" w:styleId="PageNumber">
    <w:name w:val="page number"/>
    <w:basedOn w:val="DefaultParagraphFont"/>
    <w:unhideWhenUsed/>
    <w:rsid w:val="000A7C0A"/>
  </w:style>
  <w:style w:type="paragraph" w:customStyle="1" w:styleId="I1">
    <w:name w:val="I1"/>
    <w:basedOn w:val="ListBullet"/>
    <w:rsid w:val="00C21F9B"/>
  </w:style>
  <w:style w:type="paragraph" w:customStyle="1" w:styleId="II">
    <w:name w:val="II"/>
    <w:basedOn w:val="ListBullet2"/>
    <w:link w:val="IIChar"/>
    <w:qFormat/>
    <w:rsid w:val="007A2BB9"/>
  </w:style>
  <w:style w:type="character" w:customStyle="1" w:styleId="IIChar">
    <w:name w:val="II Char"/>
    <w:basedOn w:val="ListBullet2Char"/>
    <w:link w:val="II"/>
    <w:rsid w:val="007A2BB9"/>
    <w:rPr>
      <w:rFonts w:ascii="Times New Roman" w:hAnsi="Times New Roman"/>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b/>
      <w:color w:val="FFFFFF"/>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7"/>
      </w:numPr>
      <w:ind w:left="227" w:hanging="227"/>
    </w:pPr>
  </w:style>
  <w:style w:type="paragraph" w:styleId="TOC2">
    <w:name w:val="toc 2"/>
    <w:basedOn w:val="TOC1"/>
    <w:next w:val="Normal"/>
    <w:autoRedefine/>
    <w:uiPriority w:val="39"/>
    <w:unhideWhenUsed/>
    <w:rsid w:val="00EA7B6F"/>
    <w:pPr>
      <w:keepNext w:val="0"/>
      <w:spacing w:before="0"/>
    </w:pPr>
    <w:rPr>
      <w:b w:val="0"/>
      <w:noProof/>
    </w:rPr>
  </w:style>
  <w:style w:type="paragraph" w:styleId="CommentText">
    <w:name w:val="annotation text"/>
    <w:basedOn w:val="Normal"/>
    <w:link w:val="CommentTextChar"/>
    <w:uiPriority w:val="99"/>
    <w:semiHidden/>
    <w:unhideWhenUsed/>
    <w:rsid w:val="00AD06B7"/>
    <w:pPr>
      <w:spacing w:line="240" w:lineRule="auto"/>
    </w:pPr>
    <w:rPr>
      <w:sz w:val="20"/>
      <w:szCs w:val="20"/>
    </w:rPr>
  </w:style>
  <w:style w:type="character" w:customStyle="1" w:styleId="CommentTextChar">
    <w:name w:val="Comment Text Char"/>
    <w:basedOn w:val="DefaultParagraphFont"/>
    <w:link w:val="CommentText"/>
    <w:uiPriority w:val="99"/>
    <w:semiHidden/>
    <w:rsid w:val="00AD06B7"/>
    <w:rPr>
      <w:rFonts w:ascii="Times New Roman" w:hAnsi="Times New Roman"/>
      <w:sz w:val="20"/>
      <w:szCs w:val="20"/>
    </w:rPr>
  </w:style>
  <w:style w:type="character" w:customStyle="1" w:styleId="ConfidentialFooter">
    <w:name w:val="ConfidentialFooter"/>
    <w:basedOn w:val="DefaultParagraphFont"/>
    <w:rsid w:val="00AD06B7"/>
    <w:rPr>
      <w:color w:val="FFFFFF"/>
      <w:sz w:val="2"/>
    </w:rPr>
  </w:style>
  <w:style w:type="paragraph" w:customStyle="1" w:styleId="ConfidentialFront">
    <w:name w:val="ConfidentialFront"/>
    <w:basedOn w:val="Normal"/>
    <w:qFormat/>
    <w:rsid w:val="000B7219"/>
    <w:pPr>
      <w:spacing w:before="960"/>
      <w:ind w:left="5103" w:right="-397"/>
    </w:pPr>
    <w:rPr>
      <w:rFonts w:ascii="Arial" w:hAnsi="Arial"/>
      <w:color w:val="FFFFFF"/>
      <w:sz w:val="2"/>
    </w:rPr>
  </w:style>
  <w:style w:type="paragraph" w:customStyle="1" w:styleId="H5">
    <w:name w:val="H5"/>
    <w:basedOn w:val="Normal"/>
    <w:next w:val="Normal"/>
    <w:link w:val="H5Char"/>
    <w:qFormat/>
    <w:rsid w:val="00696966"/>
    <w:pPr>
      <w:keepNext/>
      <w:numPr>
        <w:numId w:val="9"/>
      </w:numPr>
      <w:spacing w:after="200"/>
      <w:ind w:left="357" w:hanging="357"/>
    </w:pPr>
    <w:rPr>
      <w:i/>
    </w:rPr>
  </w:style>
  <w:style w:type="character" w:customStyle="1" w:styleId="H5Char">
    <w:name w:val="H5 Char"/>
    <w:basedOn w:val="DefaultParagraphFont"/>
    <w:link w:val="H5"/>
    <w:rsid w:val="00696966"/>
    <w:rPr>
      <w:rFonts w:ascii="Times New Roman" w:hAnsi="Times New Roman"/>
      <w:i/>
    </w:rPr>
  </w:style>
  <w:style w:type="paragraph" w:styleId="TOC1">
    <w:name w:val="toc 1"/>
    <w:basedOn w:val="Normal"/>
    <w:next w:val="Normal"/>
    <w:autoRedefine/>
    <w:uiPriority w:val="39"/>
    <w:unhideWhenUsed/>
    <w:rsid w:val="00830B7D"/>
    <w:pPr>
      <w:keepNext/>
      <w:tabs>
        <w:tab w:val="left" w:pos="635"/>
        <w:tab w:val="right" w:pos="8789"/>
      </w:tabs>
      <w:spacing w:before="240" w:after="0"/>
    </w:pPr>
    <w:rPr>
      <w:b/>
    </w:rPr>
  </w:style>
  <w:style w:type="paragraph" w:styleId="TOC3">
    <w:name w:val="toc 3"/>
    <w:basedOn w:val="TOC2"/>
    <w:next w:val="Normal"/>
    <w:autoRedefine/>
    <w:uiPriority w:val="39"/>
    <w:unhideWhenUsed/>
    <w:rsid w:val="00EA7B6F"/>
    <w:rPr>
      <w:sz w:val="20"/>
    </w:rPr>
  </w:style>
  <w:style w:type="paragraph" w:styleId="TOC4">
    <w:name w:val="toc 4"/>
    <w:basedOn w:val="TOC3"/>
    <w:next w:val="Normal"/>
    <w:autoRedefine/>
    <w:uiPriority w:val="39"/>
    <w:unhideWhenUsed/>
    <w:rsid w:val="00EA7B6F"/>
  </w:style>
  <w:style w:type="character" w:customStyle="1" w:styleId="Heading4Char">
    <w:name w:val="Heading 4 Char"/>
    <w:basedOn w:val="DefaultParagraphFont"/>
    <w:link w:val="Heading4"/>
    <w:uiPriority w:val="9"/>
    <w:rsid w:val="0013763A"/>
    <w:rPr>
      <w:rFonts w:ascii="Times New Roman" w:eastAsiaTheme="majorEastAsia" w:hAnsi="Times New Roman" w:cstheme="majorBidi"/>
      <w:bCs/>
      <w:i/>
      <w:iCs/>
    </w:rPr>
  </w:style>
  <w:style w:type="paragraph" w:customStyle="1" w:styleId="Annex2">
    <w:name w:val="Annex 2"/>
    <w:basedOn w:val="Heading2"/>
    <w:next w:val="Normal"/>
    <w:qFormat/>
    <w:rsid w:val="003E0235"/>
    <w:pPr>
      <w:numPr>
        <w:numId w:val="20"/>
      </w:numPr>
    </w:pPr>
  </w:style>
  <w:style w:type="paragraph" w:customStyle="1" w:styleId="Annex3">
    <w:name w:val="Annex 3"/>
    <w:basedOn w:val="Heading3"/>
    <w:next w:val="Normal"/>
    <w:qFormat/>
    <w:rsid w:val="003E0235"/>
    <w:pPr>
      <w:numPr>
        <w:numId w:val="20"/>
      </w:numPr>
    </w:pPr>
  </w:style>
  <w:style w:type="paragraph" w:customStyle="1" w:styleId="Annex4">
    <w:name w:val="Annex 4"/>
    <w:next w:val="Normal"/>
    <w:qFormat/>
    <w:rsid w:val="00890902"/>
    <w:pPr>
      <w:keepNext/>
      <w:numPr>
        <w:ilvl w:val="3"/>
        <w:numId w:val="20"/>
      </w:numPr>
      <w:spacing w:before="360" w:after="240" w:line="320" w:lineRule="atLeast"/>
      <w:outlineLvl w:val="3"/>
    </w:pPr>
    <w:rPr>
      <w:rFonts w:ascii="Times New Roman" w:hAnsi="Times New Roman"/>
      <w:i/>
    </w:rPr>
  </w:style>
  <w:style w:type="paragraph" w:customStyle="1" w:styleId="Titletype">
    <w:name w:val="Title: type"/>
    <w:next w:val="Titlemain"/>
    <w:qFormat/>
    <w:rsid w:val="0068276F"/>
    <w:pPr>
      <w:spacing w:before="2240" w:after="240" w:line="510" w:lineRule="exact"/>
      <w:ind w:left="5103" w:right="-340"/>
    </w:pPr>
    <w:rPr>
      <w:rFonts w:ascii="Arial" w:eastAsiaTheme="majorEastAsia" w:hAnsi="Arial" w:cstheme="majorBidi"/>
      <w:b/>
      <w:bCs/>
      <w:color w:val="003352"/>
      <w:spacing w:val="8"/>
      <w:sz w:val="24"/>
      <w:szCs w:val="24"/>
    </w:rPr>
  </w:style>
  <w:style w:type="paragraph" w:customStyle="1" w:styleId="Titlemain">
    <w:name w:val="Title: main"/>
    <w:next w:val="Titleauthor"/>
    <w:qFormat/>
    <w:rsid w:val="00604D6A"/>
    <w:pPr>
      <w:spacing w:after="40" w:line="510" w:lineRule="exact"/>
      <w:ind w:left="5103" w:right="-397"/>
    </w:pPr>
    <w:rPr>
      <w:rFonts w:ascii="Arial" w:eastAsiaTheme="majorEastAsia" w:hAnsi="Arial" w:cstheme="majorBidi"/>
      <w:bCs/>
      <w:spacing w:val="8"/>
      <w:sz w:val="34"/>
      <w:szCs w:val="34"/>
    </w:rPr>
  </w:style>
  <w:style w:type="paragraph" w:customStyle="1" w:styleId="Titleauthor">
    <w:name w:val="Title: author"/>
    <w:basedOn w:val="Titletype"/>
    <w:next w:val="Titledate"/>
    <w:qFormat/>
    <w:rsid w:val="0071675F"/>
    <w:pPr>
      <w:spacing w:before="0" w:after="40" w:line="280" w:lineRule="exact"/>
    </w:pPr>
    <w:rPr>
      <w:b w:val="0"/>
      <w:sz w:val="19"/>
      <w:szCs w:val="19"/>
    </w:rPr>
  </w:style>
  <w:style w:type="paragraph" w:customStyle="1" w:styleId="Titledate">
    <w:name w:val="Title: date"/>
    <w:basedOn w:val="Titlemain"/>
    <w:next w:val="TitleRefNo"/>
    <w:qFormat/>
    <w:rsid w:val="0071675F"/>
    <w:pPr>
      <w:spacing w:after="160"/>
    </w:pPr>
    <w:rPr>
      <w:i/>
      <w:color w:val="003352"/>
      <w:sz w:val="24"/>
      <w:szCs w:val="24"/>
    </w:rPr>
  </w:style>
  <w:style w:type="paragraph" w:customStyle="1" w:styleId="TitleRefNo">
    <w:name w:val="Title: RefNo"/>
    <w:basedOn w:val="Titledate"/>
    <w:next w:val="Normal"/>
    <w:qFormat/>
    <w:rsid w:val="00BA0BD8"/>
    <w:rPr>
      <w:b/>
      <w:i w:val="0"/>
      <w:sz w:val="18"/>
      <w:szCs w:val="18"/>
    </w:rPr>
  </w:style>
  <w:style w:type="paragraph" w:customStyle="1" w:styleId="B1">
    <w:name w:val="B1"/>
    <w:basedOn w:val="Emphasised"/>
    <w:qFormat/>
    <w:rsid w:val="00C556AB"/>
  </w:style>
  <w:style w:type="paragraph" w:customStyle="1" w:styleId="Contentsheading">
    <w:name w:val="Contents: heading"/>
    <w:basedOn w:val="Normal"/>
    <w:next w:val="TOC1"/>
    <w:qFormat/>
    <w:rsid w:val="0086457E"/>
    <w:pPr>
      <w:spacing w:after="560" w:line="720" w:lineRule="exact"/>
    </w:pPr>
    <w:rPr>
      <w:sz w:val="40"/>
    </w:rPr>
  </w:style>
  <w:style w:type="paragraph" w:customStyle="1" w:styleId="Contentssubsection">
    <w:name w:val="Contents: subsection"/>
    <w:basedOn w:val="Normal"/>
    <w:next w:val="TOC1"/>
    <w:qFormat/>
    <w:rsid w:val="0069500B"/>
    <w:pPr>
      <w:spacing w:before="360" w:after="0"/>
    </w:pPr>
    <w:rPr>
      <w:b/>
      <w:sz w:val="26"/>
    </w:rPr>
  </w:style>
  <w:style w:type="paragraph" w:customStyle="1" w:styleId="01">
    <w:name w:val="01"/>
    <w:basedOn w:val="Normal"/>
    <w:qFormat/>
    <w:rsid w:val="00C911BF"/>
    <w:pPr>
      <w:spacing w:after="0"/>
    </w:pPr>
  </w:style>
  <w:style w:type="paragraph" w:customStyle="1" w:styleId="Titleaddress">
    <w:name w:val="Title: address"/>
    <w:basedOn w:val="01"/>
    <w:qFormat/>
    <w:rsid w:val="0080489E"/>
    <w:pPr>
      <w:ind w:left="567"/>
    </w:pPr>
  </w:style>
  <w:style w:type="paragraph" w:customStyle="1" w:styleId="L1">
    <w:name w:val="L1"/>
    <w:basedOn w:val="ListBulletCompact"/>
    <w:rsid w:val="007C6FB3"/>
  </w:style>
  <w:style w:type="paragraph" w:customStyle="1" w:styleId="TableCaption">
    <w:name w:val="Table Caption"/>
    <w:basedOn w:val="Caption"/>
    <w:qFormat/>
    <w:rsid w:val="004E20DD"/>
    <w:pPr>
      <w:pBdr>
        <w:bottom w:val="none" w:sz="0" w:space="0" w:color="auto"/>
      </w:pBdr>
    </w:pPr>
  </w:style>
  <w:style w:type="character" w:styleId="Emphasis">
    <w:name w:val="Emphasis"/>
    <w:basedOn w:val="DefaultParagraphFont"/>
    <w:uiPriority w:val="20"/>
    <w:qFormat/>
    <w:rsid w:val="001D28F6"/>
    <w:rPr>
      <w:i/>
      <w:iCs/>
    </w:rPr>
  </w:style>
  <w:style w:type="paragraph" w:styleId="Quote">
    <w:name w:val="Quote"/>
    <w:basedOn w:val="Normal"/>
    <w:link w:val="QuoteChar"/>
    <w:uiPriority w:val="29"/>
    <w:qFormat/>
    <w:rsid w:val="00EA2C85"/>
    <w:pPr>
      <w:ind w:left="284" w:right="284"/>
    </w:pPr>
    <w:rPr>
      <w:i/>
      <w:iCs/>
      <w:color w:val="000000" w:themeColor="text1"/>
    </w:rPr>
  </w:style>
  <w:style w:type="character" w:customStyle="1" w:styleId="QuoteChar">
    <w:name w:val="Quote Char"/>
    <w:basedOn w:val="DefaultParagraphFont"/>
    <w:link w:val="Quote"/>
    <w:uiPriority w:val="29"/>
    <w:rsid w:val="00EA2C85"/>
    <w:rPr>
      <w:rFonts w:ascii="Times New Roman" w:hAnsi="Times New Roman"/>
      <w:i/>
      <w:iCs/>
      <w:color w:val="000000" w:themeColor="text1"/>
    </w:rPr>
  </w:style>
  <w:style w:type="table" w:styleId="TableGrid">
    <w:name w:val="Table Grid"/>
    <w:basedOn w:val="TableNormal"/>
    <w:uiPriority w:val="59"/>
    <w:unhideWhenUsed/>
    <w:rsid w:val="00646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unhideWhenUsed/>
    <w:rsid w:val="0064621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CommentReference">
    <w:name w:val="annotation reference"/>
    <w:basedOn w:val="DefaultParagraphFont"/>
    <w:uiPriority w:val="99"/>
    <w:semiHidden/>
    <w:unhideWhenUsed/>
    <w:rsid w:val="00986248"/>
    <w:rPr>
      <w:sz w:val="16"/>
      <w:szCs w:val="16"/>
    </w:rPr>
  </w:style>
  <w:style w:type="paragraph" w:styleId="BalloonText">
    <w:name w:val="Balloon Text"/>
    <w:basedOn w:val="Normal"/>
    <w:link w:val="BalloonTextChar"/>
    <w:uiPriority w:val="99"/>
    <w:semiHidden/>
    <w:unhideWhenUsed/>
    <w:rsid w:val="00986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248"/>
    <w:rPr>
      <w:rFonts w:ascii="Segoe UI" w:hAnsi="Segoe UI" w:cs="Segoe UI"/>
      <w:sz w:val="18"/>
      <w:szCs w:val="18"/>
    </w:rPr>
  </w:style>
  <w:style w:type="paragraph" w:styleId="ListParagraph">
    <w:name w:val="List Paragraph"/>
    <w:basedOn w:val="Normal"/>
    <w:uiPriority w:val="34"/>
    <w:qFormat/>
    <w:rsid w:val="009738A3"/>
    <w:pPr>
      <w:ind w:left="720"/>
      <w:contextualSpacing/>
    </w:pPr>
  </w:style>
  <w:style w:type="character" w:customStyle="1" w:styleId="Mention1">
    <w:name w:val="Mention1"/>
    <w:basedOn w:val="DefaultParagraphFont"/>
    <w:uiPriority w:val="99"/>
    <w:semiHidden/>
    <w:unhideWhenUsed/>
    <w:rsid w:val="00B53556"/>
    <w:rPr>
      <w:color w:val="2B579A"/>
      <w:shd w:val="clear" w:color="auto" w:fill="E6E6E6"/>
    </w:rPr>
  </w:style>
  <w:style w:type="paragraph" w:styleId="NormalWeb">
    <w:name w:val="Normal (Web)"/>
    <w:basedOn w:val="Normal"/>
    <w:uiPriority w:val="99"/>
    <w:semiHidden/>
    <w:unhideWhenUsed/>
    <w:rsid w:val="009B5DBB"/>
    <w:pPr>
      <w:spacing w:before="100" w:beforeAutospacing="1" w:after="100" w:afterAutospacing="1" w:line="240" w:lineRule="auto"/>
      <w:jc w:val="left"/>
    </w:pPr>
    <w:rPr>
      <w:rFonts w:eastAsia="Times New Roman" w:cs="Times New Roman"/>
      <w:sz w:val="24"/>
      <w:szCs w:val="24"/>
      <w:lang w:eastAsia="en-GB"/>
    </w:rPr>
  </w:style>
  <w:style w:type="table" w:customStyle="1" w:styleId="TableGrid1">
    <w:name w:val="Table Grid1"/>
    <w:basedOn w:val="TableNormal"/>
    <w:next w:val="TableGrid"/>
    <w:uiPriority w:val="59"/>
    <w:unhideWhenUsed/>
    <w:rsid w:val="00667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A814DA"/>
    <w:rPr>
      <w:b/>
      <w:bCs/>
    </w:rPr>
  </w:style>
  <w:style w:type="character" w:customStyle="1" w:styleId="CommentSubjectChar">
    <w:name w:val="Comment Subject Char"/>
    <w:basedOn w:val="CommentTextChar"/>
    <w:link w:val="CommentSubject"/>
    <w:uiPriority w:val="99"/>
    <w:semiHidden/>
    <w:rsid w:val="00A814DA"/>
    <w:rPr>
      <w:rFonts w:ascii="Times New Roman" w:hAnsi="Times New Roman"/>
      <w:b/>
      <w:bCs/>
      <w:sz w:val="20"/>
      <w:szCs w:val="20"/>
    </w:rPr>
  </w:style>
  <w:style w:type="paragraph" w:styleId="Revision">
    <w:name w:val="Revision"/>
    <w:hidden/>
    <w:uiPriority w:val="99"/>
    <w:semiHidden/>
    <w:rsid w:val="00155314"/>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375158681">
      <w:bodyDiv w:val="1"/>
      <w:marLeft w:val="0"/>
      <w:marRight w:val="0"/>
      <w:marTop w:val="0"/>
      <w:marBottom w:val="0"/>
      <w:divBdr>
        <w:top w:val="none" w:sz="0" w:space="0" w:color="auto"/>
        <w:left w:val="none" w:sz="0" w:space="0" w:color="auto"/>
        <w:bottom w:val="none" w:sz="0" w:space="0" w:color="auto"/>
        <w:right w:val="none" w:sz="0" w:space="0" w:color="auto"/>
      </w:divBdr>
      <w:divsChild>
        <w:div w:id="902522134">
          <w:marLeft w:val="274"/>
          <w:marRight w:val="0"/>
          <w:marTop w:val="0"/>
          <w:marBottom w:val="120"/>
          <w:divBdr>
            <w:top w:val="none" w:sz="0" w:space="0" w:color="auto"/>
            <w:left w:val="none" w:sz="0" w:space="0" w:color="auto"/>
            <w:bottom w:val="none" w:sz="0" w:space="0" w:color="auto"/>
            <w:right w:val="none" w:sz="0" w:space="0" w:color="auto"/>
          </w:divBdr>
        </w:div>
        <w:div w:id="1737588345">
          <w:marLeft w:val="274"/>
          <w:marRight w:val="0"/>
          <w:marTop w:val="0"/>
          <w:marBottom w:val="120"/>
          <w:divBdr>
            <w:top w:val="none" w:sz="0" w:space="0" w:color="auto"/>
            <w:left w:val="none" w:sz="0" w:space="0" w:color="auto"/>
            <w:bottom w:val="none" w:sz="0" w:space="0" w:color="auto"/>
            <w:right w:val="none" w:sz="0" w:space="0" w:color="auto"/>
          </w:divBdr>
        </w:div>
      </w:divsChild>
    </w:div>
    <w:div w:id="889655562">
      <w:bodyDiv w:val="1"/>
      <w:marLeft w:val="0"/>
      <w:marRight w:val="0"/>
      <w:marTop w:val="0"/>
      <w:marBottom w:val="0"/>
      <w:divBdr>
        <w:top w:val="none" w:sz="0" w:space="0" w:color="auto"/>
        <w:left w:val="none" w:sz="0" w:space="0" w:color="auto"/>
        <w:bottom w:val="none" w:sz="0" w:space="0" w:color="auto"/>
        <w:right w:val="none" w:sz="0" w:space="0" w:color="auto"/>
      </w:divBdr>
    </w:div>
    <w:div w:id="1160926918">
      <w:bodyDiv w:val="1"/>
      <w:marLeft w:val="0"/>
      <w:marRight w:val="0"/>
      <w:marTop w:val="0"/>
      <w:marBottom w:val="0"/>
      <w:divBdr>
        <w:top w:val="none" w:sz="0" w:space="0" w:color="auto"/>
        <w:left w:val="none" w:sz="0" w:space="0" w:color="auto"/>
        <w:bottom w:val="none" w:sz="0" w:space="0" w:color="auto"/>
        <w:right w:val="none" w:sz="0" w:space="0" w:color="auto"/>
      </w:divBdr>
    </w:div>
    <w:div w:id="1222908710">
      <w:bodyDiv w:val="1"/>
      <w:marLeft w:val="0"/>
      <w:marRight w:val="0"/>
      <w:marTop w:val="0"/>
      <w:marBottom w:val="0"/>
      <w:divBdr>
        <w:top w:val="none" w:sz="0" w:space="0" w:color="auto"/>
        <w:left w:val="none" w:sz="0" w:space="0" w:color="auto"/>
        <w:bottom w:val="none" w:sz="0" w:space="0" w:color="auto"/>
        <w:right w:val="none" w:sz="0" w:space="0" w:color="auto"/>
      </w:divBdr>
    </w:div>
    <w:div w:id="1271737879">
      <w:bodyDiv w:val="1"/>
      <w:marLeft w:val="0"/>
      <w:marRight w:val="0"/>
      <w:marTop w:val="0"/>
      <w:marBottom w:val="0"/>
      <w:divBdr>
        <w:top w:val="none" w:sz="0" w:space="0" w:color="auto"/>
        <w:left w:val="none" w:sz="0" w:space="0" w:color="auto"/>
        <w:bottom w:val="none" w:sz="0" w:space="0" w:color="auto"/>
        <w:right w:val="none" w:sz="0" w:space="0" w:color="auto"/>
      </w:divBdr>
    </w:div>
    <w:div w:id="1309092272">
      <w:bodyDiv w:val="1"/>
      <w:marLeft w:val="0"/>
      <w:marRight w:val="0"/>
      <w:marTop w:val="0"/>
      <w:marBottom w:val="0"/>
      <w:divBdr>
        <w:top w:val="none" w:sz="0" w:space="0" w:color="auto"/>
        <w:left w:val="none" w:sz="0" w:space="0" w:color="auto"/>
        <w:bottom w:val="none" w:sz="0" w:space="0" w:color="auto"/>
        <w:right w:val="none" w:sz="0" w:space="0" w:color="auto"/>
      </w:divBdr>
    </w:div>
    <w:div w:id="1427188265">
      <w:bodyDiv w:val="1"/>
      <w:marLeft w:val="0"/>
      <w:marRight w:val="0"/>
      <w:marTop w:val="0"/>
      <w:marBottom w:val="0"/>
      <w:divBdr>
        <w:top w:val="none" w:sz="0" w:space="0" w:color="auto"/>
        <w:left w:val="none" w:sz="0" w:space="0" w:color="auto"/>
        <w:bottom w:val="none" w:sz="0" w:space="0" w:color="auto"/>
        <w:right w:val="none" w:sz="0" w:space="0" w:color="auto"/>
      </w:divBdr>
    </w:div>
    <w:div w:id="1546025378">
      <w:bodyDiv w:val="1"/>
      <w:marLeft w:val="0"/>
      <w:marRight w:val="0"/>
      <w:marTop w:val="0"/>
      <w:marBottom w:val="0"/>
      <w:divBdr>
        <w:top w:val="none" w:sz="0" w:space="0" w:color="auto"/>
        <w:left w:val="none" w:sz="0" w:space="0" w:color="auto"/>
        <w:bottom w:val="none" w:sz="0" w:space="0" w:color="auto"/>
        <w:right w:val="none" w:sz="0" w:space="0" w:color="auto"/>
      </w:divBdr>
    </w:div>
    <w:div w:id="1601062769">
      <w:bodyDiv w:val="1"/>
      <w:marLeft w:val="0"/>
      <w:marRight w:val="0"/>
      <w:marTop w:val="0"/>
      <w:marBottom w:val="0"/>
      <w:divBdr>
        <w:top w:val="none" w:sz="0" w:space="0" w:color="auto"/>
        <w:left w:val="none" w:sz="0" w:space="0" w:color="auto"/>
        <w:bottom w:val="none" w:sz="0" w:space="0" w:color="auto"/>
        <w:right w:val="none" w:sz="0" w:space="0" w:color="auto"/>
      </w:divBdr>
    </w:div>
    <w:div w:id="1704285654">
      <w:bodyDiv w:val="1"/>
      <w:marLeft w:val="0"/>
      <w:marRight w:val="0"/>
      <w:marTop w:val="0"/>
      <w:marBottom w:val="0"/>
      <w:divBdr>
        <w:top w:val="none" w:sz="0" w:space="0" w:color="auto"/>
        <w:left w:val="none" w:sz="0" w:space="0" w:color="auto"/>
        <w:bottom w:val="none" w:sz="0" w:space="0" w:color="auto"/>
        <w:right w:val="none" w:sz="0" w:space="0" w:color="auto"/>
      </w:divBdr>
    </w:div>
    <w:div w:id="1909875919">
      <w:bodyDiv w:val="1"/>
      <w:marLeft w:val="0"/>
      <w:marRight w:val="0"/>
      <w:marTop w:val="0"/>
      <w:marBottom w:val="0"/>
      <w:divBdr>
        <w:top w:val="none" w:sz="0" w:space="0" w:color="auto"/>
        <w:left w:val="none" w:sz="0" w:space="0" w:color="auto"/>
        <w:bottom w:val="none" w:sz="0" w:space="0" w:color="auto"/>
        <w:right w:val="none" w:sz="0" w:space="0" w:color="auto"/>
      </w:divBdr>
    </w:div>
    <w:div w:id="2064675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image" Target="media/image5.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wmf"/><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image" Target="media/image7.wmf"/><Relationship Id="rId30"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ommunications.gov.au/have-your-say/consultation-new-spectrum-legis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 dockstate="right" visibility="0" width="437"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9EDE20E-BAE3-48FB-ADC8-6924E57D6218}">
  <we:reference id="wa104043061" version="1.1.1.0" store="en-US" storeType="OMEX"/>
  <we:alternateReferences>
    <we:reference id="wa104043061" version="1.1.1.0" store="wa10404306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CFDDDB39-ED02-4D5E-BB1C-B3D930498EE0}">
  <we:reference id="wa103053922" version="1.1.0.0" store="en-US" storeType="OMEX"/>
  <we:alternateReferences>
    <we:reference id="wa103053922" version="1.1.0.0" store="wa10305392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050FE198C0148A52CAB3D6C19511C" ma:contentTypeVersion="1" ma:contentTypeDescription="Create a new document." ma:contentTypeScope="" ma:versionID="4d8ed36cf6e307ebb6a413ad00abd4cc">
  <xsd:schema xmlns:xsd="http://www.w3.org/2001/XMLSchema" xmlns:xs="http://www.w3.org/2001/XMLSchema" xmlns:p="http://schemas.microsoft.com/office/2006/metadata/properties" xmlns:ns2="a261fa2d-11b8-46d4-9e87-f4021558415a" targetNamespace="http://schemas.microsoft.com/office/2006/metadata/properties" ma:root="true" ma:fieldsID="848c6b42e4c8e1fc1c72d593420d2bb8" ns2:_="">
    <xsd:import namespace="a261fa2d-11b8-46d4-9e87-f402155841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1fa2d-11b8-46d4-9e87-f402155841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261fa2d-11b8-46d4-9e87-f4021558415a">63ZSWQHNAPVM-1861736676-66</_dlc_DocId>
    <_dlc_DocIdUrl xmlns="a261fa2d-11b8-46d4-9e87-f4021558415a">
      <Url>http://collaboration/projects/SR14/SRProj/_layouts/15/DocIdRedir.aspx?ID=63ZSWQHNAPVM-1861736676-66</Url>
      <Description>63ZSWQHNAPVM-1861736676-66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49316-8D67-45B7-93F3-0CDA529FE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1fa2d-11b8-46d4-9e87-f40215584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8C608-E7EA-4D8F-A951-930BD7978E7A}">
  <ds:schemaRefs>
    <ds:schemaRef ds:uri="http://schemas.microsoft.com/sharepoint/events"/>
  </ds:schemaRefs>
</ds:datastoreItem>
</file>

<file path=customXml/itemProps3.xml><?xml version="1.0" encoding="utf-8"?>
<ds:datastoreItem xmlns:ds="http://schemas.openxmlformats.org/officeDocument/2006/customXml" ds:itemID="{A6C2E174-3B49-4AA6-9009-91FCDCA0B2D1}">
  <ds:schemaRefs>
    <ds:schemaRef ds:uri="http://schemas.microsoft.com/sharepoint/v3/contenttype/forms"/>
  </ds:schemaRefs>
</ds:datastoreItem>
</file>

<file path=customXml/itemProps4.xml><?xml version="1.0" encoding="utf-8"?>
<ds:datastoreItem xmlns:ds="http://schemas.openxmlformats.org/officeDocument/2006/customXml" ds:itemID="{D6131AD6-6668-438A-BFA8-CF53A7BEBCE2}">
  <ds:schemaRef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a261fa2d-11b8-46d4-9e87-f4021558415a"/>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A63248EC-DC7F-4951-843E-21C58F55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4491</Words>
  <Characters>25603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2017-08-16T03:01:00Z</dcterms:created>
  <dcterms:modified xsi:type="dcterms:W3CDTF">2017-08-16T03:01:00Z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0x010100318050FE198C0148A52CAB3D6C19511C</vt:lpwstr>
  </property>
  <property fmtid="{D5CDD505-2E9C-101B-9397-08002B2CF9AE}" pid="3" name="_dlc_DocIdItemGuid">
    <vt:lpwstr>60b3cba4-0704-40dc-a0a6-95cd1f657e33</vt:lpwstr>
  </property>
</Properties>
</file>