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C06BF" w14:textId="75A92552" w:rsidR="00E034E4" w:rsidRDefault="00E034E4" w:rsidP="00E034E4">
      <w:pPr>
        <w:pStyle w:val="ACMALinecover"/>
      </w:pPr>
      <w:r>
        <w:rPr>
          <w:noProof/>
        </w:rPr>
        <w:drawing>
          <wp:inline distT="0" distB="0" distL="0" distR="0" wp14:anchorId="344CB13D" wp14:editId="67B9B153">
            <wp:extent cx="1718945" cy="597535"/>
            <wp:effectExtent l="0" t="0" r="8255" b="12065"/>
            <wp:docPr id="3" name="Picture 24" descr="Research ACMA. Evidence that informs." title="Research 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8945" cy="597535"/>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a:graphicData>
            </a:graphic>
          </wp:inline>
        </w:drawing>
      </w:r>
    </w:p>
    <w:p w14:paraId="7C1E4FD3" w14:textId="2B459CB9" w:rsidR="00F06E14" w:rsidRDefault="00BC1D43" w:rsidP="004A2A37">
      <w:pPr>
        <w:pStyle w:val="ACMAReportTitle"/>
        <w:spacing w:after="0"/>
      </w:pPr>
      <w:r>
        <w:t xml:space="preserve">The </w:t>
      </w:r>
      <w:r w:rsidR="0098664E">
        <w:t>ACMA</w:t>
      </w:r>
      <w:r>
        <w:t>’s i</w:t>
      </w:r>
      <w:r w:rsidR="0098664E">
        <w:t xml:space="preserve">nternational </w:t>
      </w:r>
      <w:r>
        <w:t>e</w:t>
      </w:r>
      <w:r w:rsidR="0098664E">
        <w:t>ngagement</w:t>
      </w:r>
      <w:r>
        <w:t>—r</w:t>
      </w:r>
      <w:r w:rsidR="00B56C32">
        <w:t>egulating in a global</w:t>
      </w:r>
      <w:r w:rsidR="00FE68DF">
        <w:t>ised</w:t>
      </w:r>
      <w:r w:rsidR="00B56C32">
        <w:t xml:space="preserve"> </w:t>
      </w:r>
      <w:r w:rsidR="0098664E">
        <w:t>com</w:t>
      </w:r>
      <w:r w:rsidR="00B56C32">
        <w:t>munications and</w:t>
      </w:r>
      <w:r w:rsidR="00BB6546">
        <w:t> </w:t>
      </w:r>
      <w:r w:rsidR="00B56C32">
        <w:t>media</w:t>
      </w:r>
      <w:r>
        <w:t> </w:t>
      </w:r>
      <w:r w:rsidR="00FE68DF">
        <w:t>environment</w:t>
      </w:r>
    </w:p>
    <w:p w14:paraId="2632F3CA" w14:textId="3AAA4C6C" w:rsidR="00206906" w:rsidRDefault="00206906" w:rsidP="00F06E14">
      <w:pPr>
        <w:pStyle w:val="ACMAReportSubTitle"/>
      </w:pPr>
      <w:r>
        <w:t xml:space="preserve">Occasional </w:t>
      </w:r>
      <w:r w:rsidR="00BC1D43">
        <w:t>p</w:t>
      </w:r>
      <w:r>
        <w:t>aper</w:t>
      </w:r>
    </w:p>
    <w:p w14:paraId="31E94D49" w14:textId="77777777" w:rsidR="00F06E14" w:rsidRDefault="001C0F7E" w:rsidP="00492413">
      <w:pPr>
        <w:pStyle w:val="ACMAReportDate"/>
        <w:spacing w:after="720"/>
      </w:pPr>
      <w:r>
        <w:t>June 2015</w:t>
      </w:r>
    </w:p>
    <w:p w14:paraId="5E46B845" w14:textId="77777777" w:rsidR="00C97736" w:rsidRPr="000D76E0" w:rsidRDefault="00C97736" w:rsidP="0041071D">
      <w:pPr>
        <w:rPr>
          <w:rFonts w:cs="Arial"/>
        </w:rPr>
      </w:pPr>
    </w:p>
    <w:p w14:paraId="5A18053C" w14:textId="77777777" w:rsidR="00C97736" w:rsidRPr="000D76E0" w:rsidRDefault="00C97736" w:rsidP="0041071D">
      <w:pPr>
        <w:rPr>
          <w:rFonts w:cs="Arial"/>
        </w:rPr>
        <w:sectPr w:rsidR="00C97736" w:rsidRPr="000D76E0" w:rsidSect="004F556E">
          <w:headerReference w:type="even" r:id="rId9"/>
          <w:headerReference w:type="default" r:id="rId10"/>
          <w:footerReference w:type="even" r:id="rId11"/>
          <w:footerReference w:type="default" r:id="rId12"/>
          <w:headerReference w:type="first" r:id="rId13"/>
          <w:footerReference w:type="first" r:id="rId14"/>
          <w:pgSz w:w="11906" w:h="16838" w:code="9"/>
          <w:pgMar w:top="3924" w:right="1797" w:bottom="1440" w:left="1134" w:header="709" w:footer="454" w:gutter="0"/>
          <w:cols w:space="708"/>
          <w:docGrid w:linePitch="360"/>
        </w:sectPr>
      </w:pPr>
    </w:p>
    <w:p w14:paraId="668DA44A" w14:textId="77777777" w:rsidR="0005011A" w:rsidRPr="00F44F3A" w:rsidRDefault="0005011A" w:rsidP="00FC07B9">
      <w:pPr>
        <w:pStyle w:val="ACMACorporateAddressHeader"/>
      </w:pPr>
      <w:r w:rsidRPr="00F44F3A">
        <w:lastRenderedPageBreak/>
        <w:t>Canberra</w:t>
      </w:r>
    </w:p>
    <w:p w14:paraId="62E48E63" w14:textId="77777777" w:rsidR="0005011A" w:rsidRPr="00FC07B9" w:rsidRDefault="0005011A" w:rsidP="00FC07B9">
      <w:pPr>
        <w:pStyle w:val="ACMACorporateAddresses"/>
      </w:pPr>
      <w:r w:rsidRPr="00FC07B9">
        <w:t xml:space="preserve">Red Building </w:t>
      </w:r>
      <w:r w:rsidRPr="00FC07B9">
        <w:br/>
        <w:t>Benjamin Offices</w:t>
      </w:r>
      <w:r w:rsidRPr="00FC07B9">
        <w:br/>
        <w:t xml:space="preserve">Chan Street </w:t>
      </w:r>
      <w:r w:rsidRPr="00FC07B9">
        <w:br/>
        <w:t>Belconnen ACT</w:t>
      </w:r>
    </w:p>
    <w:p w14:paraId="75374E31" w14:textId="77777777" w:rsidR="0005011A" w:rsidRPr="00FC07B9" w:rsidRDefault="0005011A" w:rsidP="00FC07B9">
      <w:pPr>
        <w:pStyle w:val="ACMACorporateAddresses"/>
      </w:pPr>
      <w:r w:rsidRPr="00FC07B9">
        <w:t>PO Box 78</w:t>
      </w:r>
      <w:r w:rsidRPr="00FC07B9">
        <w:br/>
        <w:t>Belconnen ACT 2616</w:t>
      </w:r>
    </w:p>
    <w:p w14:paraId="65BFB305" w14:textId="77777777" w:rsidR="00FE1823" w:rsidRPr="00FC07B9" w:rsidRDefault="0005011A" w:rsidP="00FC07B9">
      <w:pPr>
        <w:pStyle w:val="ACMACorporateAddresses"/>
      </w:pPr>
      <w:r w:rsidRPr="00FC07B9">
        <w:t>T</w:t>
      </w:r>
      <w:r w:rsidR="00537604" w:rsidRPr="00FC07B9">
        <w:tab/>
      </w:r>
      <w:r w:rsidRPr="00FC07B9">
        <w:t>+61 2 6219 5555</w:t>
      </w:r>
      <w:r w:rsidRPr="00FC07B9">
        <w:br/>
        <w:t>F</w:t>
      </w:r>
      <w:r w:rsidR="00537604" w:rsidRPr="00FC07B9">
        <w:tab/>
      </w:r>
      <w:r w:rsidRPr="00FC07B9">
        <w:t>+61 2 6219 5353</w:t>
      </w:r>
    </w:p>
    <w:p w14:paraId="0643C586" w14:textId="77777777" w:rsidR="0005011A" w:rsidRPr="00F44F3A" w:rsidRDefault="0005011A" w:rsidP="00FC07B9">
      <w:pPr>
        <w:pStyle w:val="ACMACorporateAddressHeader"/>
      </w:pPr>
      <w:r w:rsidRPr="00F44F3A">
        <w:t>Melbourne</w:t>
      </w:r>
    </w:p>
    <w:p w14:paraId="70FD5F12" w14:textId="77777777" w:rsidR="0005011A" w:rsidRPr="00F44F3A" w:rsidRDefault="0005011A" w:rsidP="00FC07B9">
      <w:pPr>
        <w:pStyle w:val="ACMACorporateAddresses"/>
      </w:pPr>
      <w:r w:rsidRPr="00F44F3A">
        <w:t xml:space="preserve">Level 32 </w:t>
      </w:r>
      <w:r w:rsidRPr="00F44F3A">
        <w:br/>
        <w:t>Melbourne Central Tower</w:t>
      </w:r>
      <w:r w:rsidRPr="00F44F3A">
        <w:br/>
        <w:t xml:space="preserve">360 Elizabeth Street </w:t>
      </w:r>
      <w:r w:rsidR="008C10F4" w:rsidRPr="00F44F3A">
        <w:br/>
      </w:r>
      <w:r w:rsidRPr="00F44F3A">
        <w:t>Melbourne VIC</w:t>
      </w:r>
    </w:p>
    <w:p w14:paraId="43353AFD" w14:textId="77777777" w:rsidR="0005011A" w:rsidRPr="00F44F3A" w:rsidRDefault="0005011A" w:rsidP="00FC07B9">
      <w:pPr>
        <w:pStyle w:val="ACMACorporateAddresses"/>
      </w:pPr>
      <w:r w:rsidRPr="00F44F3A">
        <w:t>PO Box 13112</w:t>
      </w:r>
      <w:r w:rsidRPr="00F44F3A">
        <w:br/>
        <w:t xml:space="preserve">Law Courts </w:t>
      </w:r>
      <w:r w:rsidRPr="00F44F3A">
        <w:br/>
        <w:t>Melbourne VIC 8010</w:t>
      </w:r>
    </w:p>
    <w:p w14:paraId="6C24C2B7" w14:textId="77777777" w:rsidR="0005011A" w:rsidRPr="00F44F3A" w:rsidRDefault="0005011A" w:rsidP="00FC07B9">
      <w:pPr>
        <w:pStyle w:val="ACMACorporateAddresses"/>
      </w:pPr>
      <w:r w:rsidRPr="00F44F3A">
        <w:t>T</w:t>
      </w:r>
      <w:r w:rsidR="00140318" w:rsidRPr="00F44F3A">
        <w:tab/>
      </w:r>
      <w:r w:rsidRPr="00F44F3A">
        <w:t>+61 3 9963 6800</w:t>
      </w:r>
      <w:r w:rsidRPr="00F44F3A">
        <w:br/>
        <w:t>F</w:t>
      </w:r>
      <w:r w:rsidR="00140318" w:rsidRPr="00F44F3A">
        <w:tab/>
      </w:r>
      <w:r w:rsidRPr="00F44F3A">
        <w:t>+61 3 9963 6899</w:t>
      </w:r>
    </w:p>
    <w:p w14:paraId="594ED945" w14:textId="77777777" w:rsidR="0005011A" w:rsidRPr="00F44F3A" w:rsidRDefault="0005011A" w:rsidP="00FC07B9">
      <w:pPr>
        <w:pStyle w:val="ACMACorporateAddressHeader"/>
      </w:pPr>
      <w:r w:rsidRPr="00F44F3A">
        <w:t>Sydney</w:t>
      </w:r>
    </w:p>
    <w:p w14:paraId="40F21065" w14:textId="77777777" w:rsidR="0005011A" w:rsidRPr="00F44F3A" w:rsidRDefault="0005011A" w:rsidP="00FC07B9">
      <w:pPr>
        <w:pStyle w:val="ACMACorporateAddresses"/>
      </w:pPr>
      <w:r w:rsidRPr="00F44F3A">
        <w:t xml:space="preserve">Level 5 </w:t>
      </w:r>
      <w:r w:rsidRPr="00F44F3A">
        <w:br/>
        <w:t>The Bay Centre</w:t>
      </w:r>
      <w:r w:rsidRPr="00F44F3A">
        <w:br/>
        <w:t xml:space="preserve">65 Pirrama Road </w:t>
      </w:r>
      <w:r w:rsidRPr="00F44F3A">
        <w:br/>
        <w:t>Pyrmont NSW</w:t>
      </w:r>
    </w:p>
    <w:p w14:paraId="216BD4DA" w14:textId="77777777" w:rsidR="0005011A" w:rsidRPr="00F44F3A" w:rsidRDefault="0005011A" w:rsidP="00FC07B9">
      <w:pPr>
        <w:pStyle w:val="ACMACorporateAddresses"/>
      </w:pPr>
      <w:r w:rsidRPr="00F44F3A">
        <w:t>PO Box Q500</w:t>
      </w:r>
      <w:r w:rsidRPr="00F44F3A">
        <w:br/>
        <w:t xml:space="preserve">Queen Victoria Building </w:t>
      </w:r>
      <w:r w:rsidRPr="00F44F3A">
        <w:br/>
        <w:t>NSW 1230</w:t>
      </w:r>
    </w:p>
    <w:p w14:paraId="40D160B9" w14:textId="77777777" w:rsidR="0005011A" w:rsidRPr="00F44F3A" w:rsidRDefault="0005011A" w:rsidP="00FC07B9">
      <w:pPr>
        <w:pStyle w:val="ACMACorporateAddresses"/>
      </w:pPr>
      <w:r w:rsidRPr="00F44F3A">
        <w:t>T</w:t>
      </w:r>
      <w:r w:rsidR="00140318" w:rsidRPr="00F44F3A">
        <w:tab/>
      </w:r>
      <w:r w:rsidRPr="00F44F3A">
        <w:t>+61 2 9334 7700</w:t>
      </w:r>
      <w:r w:rsidR="00140318" w:rsidRPr="00F44F3A">
        <w:t xml:space="preserve"> or</w:t>
      </w:r>
      <w:r w:rsidRPr="00F44F3A">
        <w:t xml:space="preserve"> 1800 226 667</w:t>
      </w:r>
      <w:r w:rsidRPr="00F44F3A">
        <w:br/>
        <w:t>F</w:t>
      </w:r>
      <w:r w:rsidR="00140318" w:rsidRPr="00F44F3A">
        <w:tab/>
      </w:r>
      <w:r w:rsidRPr="00F44F3A">
        <w:t>+61 2 9334 7799</w:t>
      </w:r>
    </w:p>
    <w:p w14:paraId="3B787585" w14:textId="77777777" w:rsidR="00140318" w:rsidRPr="006D46E5" w:rsidRDefault="00140318" w:rsidP="00FC07B9">
      <w:pPr>
        <w:pStyle w:val="ACMACopyrightHeader"/>
      </w:pPr>
      <w:r w:rsidRPr="00140318">
        <w:t>Copyright notice</w:t>
      </w:r>
    </w:p>
    <w:p w14:paraId="174140C4" w14:textId="77777777" w:rsidR="00140318" w:rsidRPr="006D46E5" w:rsidRDefault="00623FF9" w:rsidP="00623FF9">
      <w:pPr>
        <w:pStyle w:val="ACMACClogo"/>
      </w:pPr>
      <w:r w:rsidRPr="00623FF9">
        <w:rPr>
          <w:noProof/>
        </w:rPr>
        <w:drawing>
          <wp:inline distT="0" distB="0" distL="0" distR="0" wp14:anchorId="715D6ACB" wp14:editId="27D6E1F6">
            <wp:extent cx="838200" cy="295275"/>
            <wp:effectExtent l="0" t="0" r="0" b="0"/>
            <wp:docPr id="1" name="Picture 1" title="Creative Commons log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5"/>
                    </pic:cNvPr>
                    <pic:cNvPicPr>
                      <a:picLocks noChangeAspect="1" noChangeArrowheads="1"/>
                    </pic:cNvPicPr>
                  </pic:nvPicPr>
                  <pic:blipFill>
                    <a:blip r:embed="rId16" cstate="print"/>
                    <a:srcRect/>
                    <a:stretch>
                      <a:fillRect/>
                    </a:stretch>
                  </pic:blipFill>
                  <pic:spPr bwMode="auto">
                    <a:xfrm>
                      <a:off x="0" y="0"/>
                      <a:ext cx="838200" cy="295275"/>
                    </a:xfrm>
                    <a:prstGeom prst="rect">
                      <a:avLst/>
                    </a:prstGeom>
                    <a:noFill/>
                  </pic:spPr>
                </pic:pic>
              </a:graphicData>
            </a:graphic>
          </wp:inline>
        </w:drawing>
      </w:r>
    </w:p>
    <w:p w14:paraId="3D5E63B0" w14:textId="77777777" w:rsidR="00140318" w:rsidRPr="00431792" w:rsidRDefault="00891F5A" w:rsidP="00FC07B9">
      <w:pPr>
        <w:pStyle w:val="ACMACorporateAddresses"/>
        <w:rPr>
          <w:rStyle w:val="Hyperlink"/>
        </w:rPr>
      </w:pPr>
      <w:hyperlink r:id="rId17" w:tooltip="Creative Commons Licenses" w:history="1">
        <w:r w:rsidR="00140318" w:rsidRPr="00431792">
          <w:rPr>
            <w:rStyle w:val="Hyperlink"/>
          </w:rPr>
          <w:t>http://creativecommons.org/licenses/by/3.0/au/</w:t>
        </w:r>
      </w:hyperlink>
    </w:p>
    <w:p w14:paraId="69233186" w14:textId="77777777" w:rsidR="00140318" w:rsidRPr="006D46E5" w:rsidRDefault="00140318" w:rsidP="00FC07B9">
      <w:pPr>
        <w:pStyle w:val="ACMACorporateAddresses"/>
      </w:pPr>
      <w:r w:rsidRPr="006D46E5">
        <w:t xml:space="preserve">With the exception of coats of arms, logos, emblems, images, other third-party material or devices protected by a trademark, this content is licensed under the Creative Commons Australia Attribution 3.0 Licence. </w:t>
      </w:r>
    </w:p>
    <w:p w14:paraId="062FD2AD" w14:textId="77777777" w:rsidR="00140318" w:rsidRPr="006D46E5" w:rsidRDefault="00140318" w:rsidP="00FC07B9">
      <w:pPr>
        <w:pStyle w:val="ACMACorporateAddresses"/>
      </w:pPr>
      <w:r w:rsidRPr="006D46E5">
        <w:t>We request attribution as: © Commonwealth of Australia (Australian Communic</w:t>
      </w:r>
      <w:r>
        <w:t>ations and Media Autho</w:t>
      </w:r>
      <w:r w:rsidR="00262448">
        <w:t>rity) 2015</w:t>
      </w:r>
      <w:r w:rsidRPr="006D46E5">
        <w:t>.</w:t>
      </w:r>
    </w:p>
    <w:p w14:paraId="73B1E706" w14:textId="77777777" w:rsidR="00140318" w:rsidRPr="006D46E5" w:rsidRDefault="00140318" w:rsidP="00FC07B9">
      <w:pPr>
        <w:pStyle w:val="ACMACorporateAddresses"/>
      </w:pPr>
      <w:r>
        <w:t>All other rights are reserved.</w:t>
      </w:r>
    </w:p>
    <w:p w14:paraId="0AF8C985" w14:textId="77777777" w:rsidR="00140318" w:rsidRPr="006D46E5" w:rsidRDefault="00140318" w:rsidP="00FC07B9">
      <w:pPr>
        <w:pStyle w:val="ACMACorporateAddresses"/>
      </w:pPr>
      <w:r w:rsidRPr="006D46E5">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05579C02" w14:textId="77777777" w:rsidR="00140318" w:rsidRPr="006D46E5" w:rsidRDefault="00140318" w:rsidP="00FC07B9">
      <w:pPr>
        <w:pStyle w:val="ACMACorporateAddresses"/>
      </w:pPr>
      <w:r w:rsidRPr="006D46E5">
        <w:t>Written enquiries may be sent to:</w:t>
      </w:r>
    </w:p>
    <w:p w14:paraId="0D089E0B" w14:textId="77777777" w:rsidR="00D16FE3" w:rsidRDefault="00140318" w:rsidP="00D16FE3">
      <w:pPr>
        <w:pStyle w:val="ACMACorporateAddresses"/>
        <w:rPr>
          <w:rStyle w:val="Hyperlink"/>
        </w:rPr>
      </w:pPr>
      <w:r w:rsidRPr="006D46E5">
        <w:t>Manager, Editorial and Design</w:t>
      </w:r>
      <w:r w:rsidR="00623FF9">
        <w:br/>
      </w:r>
      <w:r w:rsidRPr="006D46E5">
        <w:t>PO Box 13112</w:t>
      </w:r>
      <w:r w:rsidR="00623FF9">
        <w:br/>
      </w:r>
      <w:r w:rsidRPr="006D46E5">
        <w:t>Law Courts</w:t>
      </w:r>
      <w:r w:rsidR="00623FF9">
        <w:br/>
      </w:r>
      <w:r w:rsidRPr="006D46E5">
        <w:t>Melbourne VIC 8010</w:t>
      </w:r>
      <w:r w:rsidR="00623FF9">
        <w:br/>
      </w:r>
      <w:r w:rsidRPr="006D46E5">
        <w:t>Tel: 03 9963 6968</w:t>
      </w:r>
      <w:r w:rsidR="00623FF9">
        <w:br/>
      </w:r>
      <w:r w:rsidRPr="006D46E5">
        <w:t xml:space="preserve">Email: </w:t>
      </w:r>
      <w:hyperlink r:id="rId18" w:history="1">
        <w:r w:rsidRPr="00431792">
          <w:rPr>
            <w:rStyle w:val="Hyperlink"/>
          </w:rPr>
          <w:t>candinfo@acma.gov.au</w:t>
        </w:r>
      </w:hyperlink>
    </w:p>
    <w:p w14:paraId="1EA3D102" w14:textId="77777777" w:rsidR="00D16FE3" w:rsidRDefault="00D16FE3" w:rsidP="00D16FE3">
      <w:pPr>
        <w:pStyle w:val="ACMACorporateAddresses"/>
        <w:rPr>
          <w:rStyle w:val="Hyperlink"/>
        </w:rPr>
      </w:pPr>
    </w:p>
    <w:p w14:paraId="0D95F85F" w14:textId="77777777" w:rsidR="00D16FE3" w:rsidRPr="00D16FE3" w:rsidRDefault="00D16FE3" w:rsidP="00D16FE3">
      <w:pPr>
        <w:pStyle w:val="ACMACorporateAddresses"/>
        <w:sectPr w:rsidR="00D16FE3" w:rsidRPr="00D16FE3">
          <w:headerReference w:type="even" r:id="rId19"/>
          <w:headerReference w:type="default" r:id="rId20"/>
          <w:footerReference w:type="even" r:id="rId21"/>
          <w:footerReference w:type="default" r:id="rId22"/>
          <w:pgSz w:w="11906" w:h="16838" w:code="9"/>
          <w:pgMar w:top="3924" w:right="1797" w:bottom="697" w:left="1134" w:header="709" w:footer="119" w:gutter="0"/>
          <w:cols w:space="708"/>
          <w:docGrid w:linePitch="360"/>
        </w:sectPr>
      </w:pPr>
    </w:p>
    <w:p w14:paraId="51877A42" w14:textId="77777777" w:rsidR="009C47E7" w:rsidRDefault="009C47E7">
      <w:pPr>
        <w:pStyle w:val="TOC1"/>
        <w:rPr>
          <w:rFonts w:asciiTheme="minorHAnsi" w:eastAsiaTheme="minorEastAsia" w:hAnsiTheme="minorHAnsi" w:cstheme="minorBidi"/>
          <w:b w:val="0"/>
          <w:spacing w:val="0"/>
          <w:sz w:val="22"/>
          <w:szCs w:val="22"/>
        </w:rPr>
      </w:pPr>
      <w:r>
        <w:rPr>
          <w:rFonts w:cs="Arial"/>
        </w:rPr>
        <w:lastRenderedPageBreak/>
        <w:fldChar w:fldCharType="begin"/>
      </w:r>
      <w:r>
        <w:rPr>
          <w:rFonts w:cs="Arial"/>
        </w:rPr>
        <w:instrText xml:space="preserve"> TOC \o "1-3" \h \z \t "ACMA_ExecSummaryHeading,1" </w:instrText>
      </w:r>
      <w:r>
        <w:rPr>
          <w:rFonts w:cs="Arial"/>
        </w:rPr>
        <w:fldChar w:fldCharType="separate"/>
      </w:r>
      <w:hyperlink w:anchor="_Toc422924225" w:history="1">
        <w:r w:rsidRPr="00F228DF">
          <w:rPr>
            <w:rStyle w:val="Hyperlink"/>
          </w:rPr>
          <w:t>Executive summary</w:t>
        </w:r>
        <w:r>
          <w:rPr>
            <w:webHidden/>
          </w:rPr>
          <w:tab/>
        </w:r>
        <w:r>
          <w:rPr>
            <w:webHidden/>
          </w:rPr>
          <w:fldChar w:fldCharType="begin"/>
        </w:r>
        <w:r>
          <w:rPr>
            <w:webHidden/>
          </w:rPr>
          <w:instrText xml:space="preserve"> PAGEREF _Toc422924225 \h </w:instrText>
        </w:r>
        <w:r>
          <w:rPr>
            <w:webHidden/>
          </w:rPr>
        </w:r>
        <w:r>
          <w:rPr>
            <w:webHidden/>
          </w:rPr>
          <w:fldChar w:fldCharType="separate"/>
        </w:r>
        <w:r w:rsidR="00891F5A">
          <w:rPr>
            <w:webHidden/>
          </w:rPr>
          <w:t>1</w:t>
        </w:r>
        <w:r>
          <w:rPr>
            <w:webHidden/>
          </w:rPr>
          <w:fldChar w:fldCharType="end"/>
        </w:r>
      </w:hyperlink>
    </w:p>
    <w:p w14:paraId="556A1057" w14:textId="77777777" w:rsidR="009C47E7" w:rsidRDefault="009C47E7">
      <w:pPr>
        <w:pStyle w:val="TOC1"/>
        <w:rPr>
          <w:rFonts w:asciiTheme="minorHAnsi" w:eastAsiaTheme="minorEastAsia" w:hAnsiTheme="minorHAnsi" w:cstheme="minorBidi"/>
          <w:b w:val="0"/>
          <w:spacing w:val="0"/>
          <w:sz w:val="22"/>
          <w:szCs w:val="22"/>
        </w:rPr>
      </w:pPr>
      <w:hyperlink w:anchor="_Toc422924226" w:history="1">
        <w:r w:rsidRPr="00F228DF">
          <w:rPr>
            <w:rStyle w:val="Hyperlink"/>
          </w:rPr>
          <w:t>About this paper</w:t>
        </w:r>
        <w:r>
          <w:rPr>
            <w:webHidden/>
          </w:rPr>
          <w:tab/>
        </w:r>
        <w:r>
          <w:rPr>
            <w:webHidden/>
          </w:rPr>
          <w:fldChar w:fldCharType="begin"/>
        </w:r>
        <w:r>
          <w:rPr>
            <w:webHidden/>
          </w:rPr>
          <w:instrText xml:space="preserve"> PAGEREF _Toc422924226 \h </w:instrText>
        </w:r>
        <w:r>
          <w:rPr>
            <w:webHidden/>
          </w:rPr>
        </w:r>
        <w:r>
          <w:rPr>
            <w:webHidden/>
          </w:rPr>
          <w:fldChar w:fldCharType="separate"/>
        </w:r>
        <w:r w:rsidR="00891F5A">
          <w:rPr>
            <w:webHidden/>
          </w:rPr>
          <w:t>3</w:t>
        </w:r>
        <w:r>
          <w:rPr>
            <w:webHidden/>
          </w:rPr>
          <w:fldChar w:fldCharType="end"/>
        </w:r>
      </w:hyperlink>
    </w:p>
    <w:p w14:paraId="6101B5B1" w14:textId="77777777" w:rsidR="009C47E7" w:rsidRDefault="009C47E7">
      <w:pPr>
        <w:pStyle w:val="TOC2"/>
        <w:rPr>
          <w:rFonts w:asciiTheme="minorHAnsi" w:eastAsiaTheme="minorEastAsia" w:hAnsiTheme="minorHAnsi" w:cstheme="minorBidi"/>
          <w:spacing w:val="0"/>
          <w:sz w:val="22"/>
          <w:szCs w:val="22"/>
        </w:rPr>
      </w:pPr>
      <w:hyperlink w:anchor="_Toc422924227" w:history="1">
        <w:r w:rsidRPr="00F228DF">
          <w:rPr>
            <w:rStyle w:val="Hyperlink"/>
          </w:rPr>
          <w:t>research</w:t>
        </w:r>
        <w:r w:rsidRPr="009C47E7">
          <w:rPr>
            <w:rStyle w:val="Hyperlink"/>
            <w:b/>
          </w:rPr>
          <w:t>acma</w:t>
        </w:r>
        <w:r>
          <w:rPr>
            <w:webHidden/>
          </w:rPr>
          <w:tab/>
        </w:r>
        <w:r>
          <w:rPr>
            <w:webHidden/>
          </w:rPr>
          <w:fldChar w:fldCharType="begin"/>
        </w:r>
        <w:r>
          <w:rPr>
            <w:webHidden/>
          </w:rPr>
          <w:instrText xml:space="preserve"> PAGEREF _Toc422924227 \h </w:instrText>
        </w:r>
        <w:r>
          <w:rPr>
            <w:webHidden/>
          </w:rPr>
        </w:r>
        <w:r>
          <w:rPr>
            <w:webHidden/>
          </w:rPr>
          <w:fldChar w:fldCharType="separate"/>
        </w:r>
        <w:r w:rsidR="00891F5A">
          <w:rPr>
            <w:webHidden/>
          </w:rPr>
          <w:t>3</w:t>
        </w:r>
        <w:r>
          <w:rPr>
            <w:webHidden/>
          </w:rPr>
          <w:fldChar w:fldCharType="end"/>
        </w:r>
      </w:hyperlink>
    </w:p>
    <w:p w14:paraId="19A42A35" w14:textId="77777777" w:rsidR="009C47E7" w:rsidRDefault="009C47E7">
      <w:pPr>
        <w:pStyle w:val="TOC1"/>
        <w:rPr>
          <w:rFonts w:asciiTheme="minorHAnsi" w:eastAsiaTheme="minorEastAsia" w:hAnsiTheme="minorHAnsi" w:cstheme="minorBidi"/>
          <w:b w:val="0"/>
          <w:spacing w:val="0"/>
          <w:sz w:val="22"/>
          <w:szCs w:val="22"/>
        </w:rPr>
      </w:pPr>
      <w:hyperlink w:anchor="_Toc422924228" w:history="1">
        <w:r w:rsidRPr="00F228DF">
          <w:rPr>
            <w:rStyle w:val="Hyperlink"/>
          </w:rPr>
          <w:t>Why the ACMA engages internationally</w:t>
        </w:r>
        <w:r>
          <w:rPr>
            <w:webHidden/>
          </w:rPr>
          <w:tab/>
        </w:r>
        <w:r>
          <w:rPr>
            <w:webHidden/>
          </w:rPr>
          <w:fldChar w:fldCharType="begin"/>
        </w:r>
        <w:r>
          <w:rPr>
            <w:webHidden/>
          </w:rPr>
          <w:instrText xml:space="preserve"> PAGEREF _Toc422924228 \h </w:instrText>
        </w:r>
        <w:r>
          <w:rPr>
            <w:webHidden/>
          </w:rPr>
        </w:r>
        <w:r>
          <w:rPr>
            <w:webHidden/>
          </w:rPr>
          <w:fldChar w:fldCharType="separate"/>
        </w:r>
        <w:r w:rsidR="00891F5A">
          <w:rPr>
            <w:webHidden/>
          </w:rPr>
          <w:t>4</w:t>
        </w:r>
        <w:r>
          <w:rPr>
            <w:webHidden/>
          </w:rPr>
          <w:fldChar w:fldCharType="end"/>
        </w:r>
      </w:hyperlink>
    </w:p>
    <w:p w14:paraId="49F4041A" w14:textId="77777777" w:rsidR="009C47E7" w:rsidRDefault="009C47E7">
      <w:pPr>
        <w:pStyle w:val="TOC2"/>
        <w:rPr>
          <w:rFonts w:asciiTheme="minorHAnsi" w:eastAsiaTheme="minorEastAsia" w:hAnsiTheme="minorHAnsi" w:cstheme="minorBidi"/>
          <w:spacing w:val="0"/>
          <w:sz w:val="22"/>
          <w:szCs w:val="22"/>
        </w:rPr>
      </w:pPr>
      <w:hyperlink w:anchor="_Toc422924229" w:history="1">
        <w:r w:rsidRPr="00F228DF">
          <w:rPr>
            <w:rStyle w:val="Hyperlink"/>
          </w:rPr>
          <w:t>International engagement provisions in ACMA legislation</w:t>
        </w:r>
        <w:r>
          <w:rPr>
            <w:webHidden/>
          </w:rPr>
          <w:tab/>
        </w:r>
        <w:r>
          <w:rPr>
            <w:webHidden/>
          </w:rPr>
          <w:fldChar w:fldCharType="begin"/>
        </w:r>
        <w:r>
          <w:rPr>
            <w:webHidden/>
          </w:rPr>
          <w:instrText xml:space="preserve"> PAGEREF _Toc422924229 \h </w:instrText>
        </w:r>
        <w:r>
          <w:rPr>
            <w:webHidden/>
          </w:rPr>
        </w:r>
        <w:r>
          <w:rPr>
            <w:webHidden/>
          </w:rPr>
          <w:fldChar w:fldCharType="separate"/>
        </w:r>
        <w:r w:rsidR="00891F5A">
          <w:rPr>
            <w:webHidden/>
          </w:rPr>
          <w:t>4</w:t>
        </w:r>
        <w:r>
          <w:rPr>
            <w:webHidden/>
          </w:rPr>
          <w:fldChar w:fldCharType="end"/>
        </w:r>
      </w:hyperlink>
    </w:p>
    <w:p w14:paraId="314E32E9" w14:textId="77777777" w:rsidR="009C47E7" w:rsidRDefault="009C47E7" w:rsidP="009C47E7">
      <w:pPr>
        <w:pStyle w:val="TOC2"/>
        <w:ind w:left="0" w:firstLine="0"/>
        <w:rPr>
          <w:rFonts w:asciiTheme="minorHAnsi" w:eastAsiaTheme="minorEastAsia" w:hAnsiTheme="minorHAnsi" w:cstheme="minorBidi"/>
          <w:spacing w:val="0"/>
          <w:sz w:val="22"/>
          <w:szCs w:val="22"/>
        </w:rPr>
      </w:pPr>
      <w:hyperlink w:anchor="_Toc422924230" w:history="1">
        <w:r w:rsidRPr="00F228DF">
          <w:rPr>
            <w:rStyle w:val="Hyperlink"/>
          </w:rPr>
          <w:t>Using international engagement to achieve communications and media public interest outcomes</w:t>
        </w:r>
        <w:r>
          <w:rPr>
            <w:webHidden/>
          </w:rPr>
          <w:tab/>
        </w:r>
        <w:r>
          <w:rPr>
            <w:webHidden/>
          </w:rPr>
          <w:fldChar w:fldCharType="begin"/>
        </w:r>
        <w:r>
          <w:rPr>
            <w:webHidden/>
          </w:rPr>
          <w:instrText xml:space="preserve"> PAGEREF _Toc422924230 \h </w:instrText>
        </w:r>
        <w:r>
          <w:rPr>
            <w:webHidden/>
          </w:rPr>
        </w:r>
        <w:r>
          <w:rPr>
            <w:webHidden/>
          </w:rPr>
          <w:fldChar w:fldCharType="separate"/>
        </w:r>
        <w:r w:rsidR="00891F5A">
          <w:rPr>
            <w:webHidden/>
          </w:rPr>
          <w:t>5</w:t>
        </w:r>
        <w:r>
          <w:rPr>
            <w:webHidden/>
          </w:rPr>
          <w:fldChar w:fldCharType="end"/>
        </w:r>
      </w:hyperlink>
    </w:p>
    <w:p w14:paraId="2003E9D7" w14:textId="77777777" w:rsidR="009C47E7" w:rsidRDefault="009C47E7">
      <w:pPr>
        <w:pStyle w:val="TOC3"/>
        <w:rPr>
          <w:rFonts w:asciiTheme="minorHAnsi" w:eastAsiaTheme="minorEastAsia" w:hAnsiTheme="minorHAnsi" w:cstheme="minorBidi"/>
        </w:rPr>
      </w:pPr>
      <w:hyperlink w:anchor="_Toc422924231" w:history="1">
        <w:r w:rsidRPr="00F228DF">
          <w:rPr>
            <w:rStyle w:val="Hyperlink"/>
          </w:rPr>
          <w:t>Spectrum management</w:t>
        </w:r>
        <w:r>
          <w:rPr>
            <w:webHidden/>
          </w:rPr>
          <w:tab/>
        </w:r>
        <w:r>
          <w:rPr>
            <w:webHidden/>
          </w:rPr>
          <w:fldChar w:fldCharType="begin"/>
        </w:r>
        <w:r>
          <w:rPr>
            <w:webHidden/>
          </w:rPr>
          <w:instrText xml:space="preserve"> PAGEREF _Toc422924231 \h </w:instrText>
        </w:r>
        <w:r>
          <w:rPr>
            <w:webHidden/>
          </w:rPr>
        </w:r>
        <w:r>
          <w:rPr>
            <w:webHidden/>
          </w:rPr>
          <w:fldChar w:fldCharType="separate"/>
        </w:r>
        <w:r w:rsidR="00891F5A">
          <w:rPr>
            <w:webHidden/>
          </w:rPr>
          <w:t>5</w:t>
        </w:r>
        <w:r>
          <w:rPr>
            <w:webHidden/>
          </w:rPr>
          <w:fldChar w:fldCharType="end"/>
        </w:r>
      </w:hyperlink>
    </w:p>
    <w:p w14:paraId="512EA4BC" w14:textId="77777777" w:rsidR="009C47E7" w:rsidRDefault="009C47E7">
      <w:pPr>
        <w:pStyle w:val="TOC3"/>
        <w:rPr>
          <w:rFonts w:asciiTheme="minorHAnsi" w:eastAsiaTheme="minorEastAsia" w:hAnsiTheme="minorHAnsi" w:cstheme="minorBidi"/>
        </w:rPr>
      </w:pPr>
      <w:hyperlink w:anchor="_Toc422924232" w:history="1">
        <w:r w:rsidRPr="00F228DF">
          <w:rPr>
            <w:rStyle w:val="Hyperlink"/>
          </w:rPr>
          <w:t>International standards-setting</w:t>
        </w:r>
        <w:r>
          <w:rPr>
            <w:webHidden/>
          </w:rPr>
          <w:tab/>
        </w:r>
        <w:r>
          <w:rPr>
            <w:webHidden/>
          </w:rPr>
          <w:fldChar w:fldCharType="begin"/>
        </w:r>
        <w:r>
          <w:rPr>
            <w:webHidden/>
          </w:rPr>
          <w:instrText xml:space="preserve"> PAGEREF _Toc422924232 \h </w:instrText>
        </w:r>
        <w:r>
          <w:rPr>
            <w:webHidden/>
          </w:rPr>
        </w:r>
        <w:r>
          <w:rPr>
            <w:webHidden/>
          </w:rPr>
          <w:fldChar w:fldCharType="separate"/>
        </w:r>
        <w:r w:rsidR="00891F5A">
          <w:rPr>
            <w:webHidden/>
          </w:rPr>
          <w:t>7</w:t>
        </w:r>
        <w:r>
          <w:rPr>
            <w:webHidden/>
          </w:rPr>
          <w:fldChar w:fldCharType="end"/>
        </w:r>
      </w:hyperlink>
    </w:p>
    <w:p w14:paraId="0572B304" w14:textId="77777777" w:rsidR="009C47E7" w:rsidRDefault="009C47E7">
      <w:pPr>
        <w:pStyle w:val="TOC3"/>
        <w:rPr>
          <w:rFonts w:asciiTheme="minorHAnsi" w:eastAsiaTheme="minorEastAsia" w:hAnsiTheme="minorHAnsi" w:cstheme="minorBidi"/>
        </w:rPr>
      </w:pPr>
      <w:hyperlink w:anchor="_Toc422924233" w:history="1">
        <w:r w:rsidRPr="00F228DF">
          <w:rPr>
            <w:rStyle w:val="Hyperlink"/>
          </w:rPr>
          <w:t>Spam, cybersecurity and telemarketing</w:t>
        </w:r>
        <w:r>
          <w:rPr>
            <w:webHidden/>
          </w:rPr>
          <w:tab/>
        </w:r>
        <w:r>
          <w:rPr>
            <w:webHidden/>
          </w:rPr>
          <w:fldChar w:fldCharType="begin"/>
        </w:r>
        <w:r>
          <w:rPr>
            <w:webHidden/>
          </w:rPr>
          <w:instrText xml:space="preserve"> PAGEREF _Toc422924233 \h </w:instrText>
        </w:r>
        <w:r>
          <w:rPr>
            <w:webHidden/>
          </w:rPr>
        </w:r>
        <w:r>
          <w:rPr>
            <w:webHidden/>
          </w:rPr>
          <w:fldChar w:fldCharType="separate"/>
        </w:r>
        <w:r w:rsidR="00891F5A">
          <w:rPr>
            <w:webHidden/>
          </w:rPr>
          <w:t>8</w:t>
        </w:r>
        <w:r>
          <w:rPr>
            <w:webHidden/>
          </w:rPr>
          <w:fldChar w:fldCharType="end"/>
        </w:r>
      </w:hyperlink>
    </w:p>
    <w:p w14:paraId="1C4A5774" w14:textId="77777777" w:rsidR="009C47E7" w:rsidRDefault="009C47E7">
      <w:pPr>
        <w:pStyle w:val="TOC3"/>
        <w:rPr>
          <w:rFonts w:asciiTheme="minorHAnsi" w:eastAsiaTheme="minorEastAsia" w:hAnsiTheme="minorHAnsi" w:cstheme="minorBidi"/>
        </w:rPr>
      </w:pPr>
      <w:hyperlink w:anchor="_Toc422924234" w:history="1">
        <w:r w:rsidRPr="00F228DF">
          <w:rPr>
            <w:rStyle w:val="Hyperlink"/>
          </w:rPr>
          <w:t>Online content</w:t>
        </w:r>
        <w:r>
          <w:rPr>
            <w:webHidden/>
          </w:rPr>
          <w:tab/>
        </w:r>
        <w:r>
          <w:rPr>
            <w:webHidden/>
          </w:rPr>
          <w:fldChar w:fldCharType="begin"/>
        </w:r>
        <w:r>
          <w:rPr>
            <w:webHidden/>
          </w:rPr>
          <w:instrText xml:space="preserve"> PAGEREF _Toc422924234 \h </w:instrText>
        </w:r>
        <w:r>
          <w:rPr>
            <w:webHidden/>
          </w:rPr>
        </w:r>
        <w:r>
          <w:rPr>
            <w:webHidden/>
          </w:rPr>
          <w:fldChar w:fldCharType="separate"/>
        </w:r>
        <w:r w:rsidR="00891F5A">
          <w:rPr>
            <w:webHidden/>
          </w:rPr>
          <w:t>8</w:t>
        </w:r>
        <w:r>
          <w:rPr>
            <w:webHidden/>
          </w:rPr>
          <w:fldChar w:fldCharType="end"/>
        </w:r>
      </w:hyperlink>
    </w:p>
    <w:p w14:paraId="6B09BD0D" w14:textId="77777777" w:rsidR="009C47E7" w:rsidRDefault="009C47E7">
      <w:pPr>
        <w:pStyle w:val="TOC3"/>
        <w:rPr>
          <w:rFonts w:asciiTheme="minorHAnsi" w:eastAsiaTheme="minorEastAsia" w:hAnsiTheme="minorHAnsi" w:cstheme="minorBidi"/>
        </w:rPr>
      </w:pPr>
      <w:hyperlink w:anchor="_Toc422924235" w:history="1">
        <w:r w:rsidRPr="00F228DF">
          <w:rPr>
            <w:rStyle w:val="Hyperlink"/>
          </w:rPr>
          <w:t>Satellite coordination</w:t>
        </w:r>
        <w:r>
          <w:rPr>
            <w:webHidden/>
          </w:rPr>
          <w:tab/>
        </w:r>
        <w:r>
          <w:rPr>
            <w:webHidden/>
          </w:rPr>
          <w:fldChar w:fldCharType="begin"/>
        </w:r>
        <w:r>
          <w:rPr>
            <w:webHidden/>
          </w:rPr>
          <w:instrText xml:space="preserve"> PAGEREF _Toc422924235 \h </w:instrText>
        </w:r>
        <w:r>
          <w:rPr>
            <w:webHidden/>
          </w:rPr>
        </w:r>
        <w:r>
          <w:rPr>
            <w:webHidden/>
          </w:rPr>
          <w:fldChar w:fldCharType="separate"/>
        </w:r>
        <w:r w:rsidR="00891F5A">
          <w:rPr>
            <w:webHidden/>
          </w:rPr>
          <w:t>9</w:t>
        </w:r>
        <w:r>
          <w:rPr>
            <w:webHidden/>
          </w:rPr>
          <w:fldChar w:fldCharType="end"/>
        </w:r>
      </w:hyperlink>
    </w:p>
    <w:p w14:paraId="6FA69999" w14:textId="77777777" w:rsidR="009C47E7" w:rsidRDefault="009C47E7">
      <w:pPr>
        <w:pStyle w:val="TOC1"/>
        <w:rPr>
          <w:rFonts w:asciiTheme="minorHAnsi" w:eastAsiaTheme="minorEastAsia" w:hAnsiTheme="minorHAnsi" w:cstheme="minorBidi"/>
          <w:b w:val="0"/>
          <w:spacing w:val="0"/>
          <w:sz w:val="22"/>
          <w:szCs w:val="22"/>
        </w:rPr>
      </w:pPr>
      <w:hyperlink w:anchor="_Toc422924236" w:history="1">
        <w:r w:rsidRPr="00F228DF">
          <w:rPr>
            <w:rStyle w:val="Hyperlink"/>
          </w:rPr>
          <w:t>How the ACMA engages internationally</w:t>
        </w:r>
        <w:r>
          <w:rPr>
            <w:webHidden/>
          </w:rPr>
          <w:tab/>
        </w:r>
        <w:r>
          <w:rPr>
            <w:webHidden/>
          </w:rPr>
          <w:fldChar w:fldCharType="begin"/>
        </w:r>
        <w:r>
          <w:rPr>
            <w:webHidden/>
          </w:rPr>
          <w:instrText xml:space="preserve"> PAGEREF _Toc422924236 \h </w:instrText>
        </w:r>
        <w:r>
          <w:rPr>
            <w:webHidden/>
          </w:rPr>
        </w:r>
        <w:r>
          <w:rPr>
            <w:webHidden/>
          </w:rPr>
          <w:fldChar w:fldCharType="separate"/>
        </w:r>
        <w:r w:rsidR="00891F5A">
          <w:rPr>
            <w:webHidden/>
          </w:rPr>
          <w:t>10</w:t>
        </w:r>
        <w:r>
          <w:rPr>
            <w:webHidden/>
          </w:rPr>
          <w:fldChar w:fldCharType="end"/>
        </w:r>
      </w:hyperlink>
    </w:p>
    <w:p w14:paraId="655F88C7" w14:textId="77777777" w:rsidR="009C47E7" w:rsidRDefault="009C47E7">
      <w:pPr>
        <w:pStyle w:val="TOC2"/>
        <w:rPr>
          <w:rFonts w:asciiTheme="minorHAnsi" w:eastAsiaTheme="minorEastAsia" w:hAnsiTheme="minorHAnsi" w:cstheme="minorBidi"/>
          <w:spacing w:val="0"/>
          <w:sz w:val="22"/>
          <w:szCs w:val="22"/>
        </w:rPr>
      </w:pPr>
      <w:hyperlink w:anchor="_Toc422924237" w:history="1">
        <w:r w:rsidRPr="00F228DF">
          <w:rPr>
            <w:rStyle w:val="Hyperlink"/>
          </w:rPr>
          <w:t>International engagement strategies</w:t>
        </w:r>
        <w:r>
          <w:rPr>
            <w:webHidden/>
          </w:rPr>
          <w:tab/>
        </w:r>
        <w:bookmarkStart w:id="0" w:name="_GoBack"/>
        <w:bookmarkEnd w:id="0"/>
        <w:r>
          <w:rPr>
            <w:webHidden/>
          </w:rPr>
          <w:fldChar w:fldCharType="begin"/>
        </w:r>
        <w:r>
          <w:rPr>
            <w:webHidden/>
          </w:rPr>
          <w:instrText xml:space="preserve"> PAGEREF _Toc422924237 \h </w:instrText>
        </w:r>
        <w:r>
          <w:rPr>
            <w:webHidden/>
          </w:rPr>
        </w:r>
        <w:r>
          <w:rPr>
            <w:webHidden/>
          </w:rPr>
          <w:fldChar w:fldCharType="separate"/>
        </w:r>
        <w:r w:rsidR="00891F5A">
          <w:rPr>
            <w:webHidden/>
          </w:rPr>
          <w:t>10</w:t>
        </w:r>
        <w:r>
          <w:rPr>
            <w:webHidden/>
          </w:rPr>
          <w:fldChar w:fldCharType="end"/>
        </w:r>
      </w:hyperlink>
    </w:p>
    <w:p w14:paraId="1D0F206C" w14:textId="77777777" w:rsidR="009C47E7" w:rsidRDefault="009C47E7">
      <w:pPr>
        <w:pStyle w:val="TOC2"/>
        <w:rPr>
          <w:rFonts w:asciiTheme="minorHAnsi" w:eastAsiaTheme="minorEastAsia" w:hAnsiTheme="minorHAnsi" w:cstheme="minorBidi"/>
          <w:spacing w:val="0"/>
          <w:sz w:val="22"/>
          <w:szCs w:val="22"/>
        </w:rPr>
      </w:pPr>
      <w:hyperlink w:anchor="_Toc422924238" w:history="1">
        <w:r w:rsidRPr="00F228DF">
          <w:rPr>
            <w:rStyle w:val="Hyperlink"/>
          </w:rPr>
          <w:t>Operating in the international environment</w:t>
        </w:r>
        <w:r>
          <w:rPr>
            <w:webHidden/>
          </w:rPr>
          <w:tab/>
        </w:r>
        <w:r>
          <w:rPr>
            <w:webHidden/>
          </w:rPr>
          <w:fldChar w:fldCharType="begin"/>
        </w:r>
        <w:r>
          <w:rPr>
            <w:webHidden/>
          </w:rPr>
          <w:instrText xml:space="preserve"> PAGEREF _Toc422924238 \h </w:instrText>
        </w:r>
        <w:r>
          <w:rPr>
            <w:webHidden/>
          </w:rPr>
        </w:r>
        <w:r>
          <w:rPr>
            <w:webHidden/>
          </w:rPr>
          <w:fldChar w:fldCharType="separate"/>
        </w:r>
        <w:r w:rsidR="00891F5A">
          <w:rPr>
            <w:webHidden/>
          </w:rPr>
          <w:t>12</w:t>
        </w:r>
        <w:r>
          <w:rPr>
            <w:webHidden/>
          </w:rPr>
          <w:fldChar w:fldCharType="end"/>
        </w:r>
      </w:hyperlink>
    </w:p>
    <w:p w14:paraId="685B98D0" w14:textId="77777777" w:rsidR="009C47E7" w:rsidRDefault="009C47E7">
      <w:pPr>
        <w:pStyle w:val="TOC3"/>
        <w:rPr>
          <w:rFonts w:asciiTheme="minorHAnsi" w:eastAsiaTheme="minorEastAsia" w:hAnsiTheme="minorHAnsi" w:cstheme="minorBidi"/>
        </w:rPr>
      </w:pPr>
      <w:hyperlink w:anchor="_Toc422924239" w:history="1">
        <w:r w:rsidRPr="00F228DF">
          <w:rPr>
            <w:rStyle w:val="Hyperlink"/>
          </w:rPr>
          <w:t>Multilateral engagement</w:t>
        </w:r>
        <w:r>
          <w:rPr>
            <w:webHidden/>
          </w:rPr>
          <w:tab/>
        </w:r>
        <w:r>
          <w:rPr>
            <w:webHidden/>
          </w:rPr>
          <w:fldChar w:fldCharType="begin"/>
        </w:r>
        <w:r>
          <w:rPr>
            <w:webHidden/>
          </w:rPr>
          <w:instrText xml:space="preserve"> PAGEREF _Toc422924239 \h </w:instrText>
        </w:r>
        <w:r>
          <w:rPr>
            <w:webHidden/>
          </w:rPr>
        </w:r>
        <w:r>
          <w:rPr>
            <w:webHidden/>
          </w:rPr>
          <w:fldChar w:fldCharType="separate"/>
        </w:r>
        <w:r w:rsidR="00891F5A">
          <w:rPr>
            <w:webHidden/>
          </w:rPr>
          <w:t>12</w:t>
        </w:r>
        <w:r>
          <w:rPr>
            <w:webHidden/>
          </w:rPr>
          <w:fldChar w:fldCharType="end"/>
        </w:r>
      </w:hyperlink>
    </w:p>
    <w:p w14:paraId="1D024BA4" w14:textId="77777777" w:rsidR="009C47E7" w:rsidRDefault="009C47E7">
      <w:pPr>
        <w:pStyle w:val="TOC3"/>
        <w:rPr>
          <w:rFonts w:asciiTheme="minorHAnsi" w:eastAsiaTheme="minorEastAsia" w:hAnsiTheme="minorHAnsi" w:cstheme="minorBidi"/>
        </w:rPr>
      </w:pPr>
      <w:hyperlink w:anchor="_Toc422924240" w:history="1">
        <w:r w:rsidRPr="00F228DF">
          <w:rPr>
            <w:rStyle w:val="Hyperlink"/>
          </w:rPr>
          <w:t>Regional cooperation</w:t>
        </w:r>
        <w:r>
          <w:rPr>
            <w:webHidden/>
          </w:rPr>
          <w:tab/>
        </w:r>
        <w:r>
          <w:rPr>
            <w:webHidden/>
          </w:rPr>
          <w:fldChar w:fldCharType="begin"/>
        </w:r>
        <w:r>
          <w:rPr>
            <w:webHidden/>
          </w:rPr>
          <w:instrText xml:space="preserve"> PAGEREF _Toc422924240 \h </w:instrText>
        </w:r>
        <w:r>
          <w:rPr>
            <w:webHidden/>
          </w:rPr>
        </w:r>
        <w:r>
          <w:rPr>
            <w:webHidden/>
          </w:rPr>
          <w:fldChar w:fldCharType="separate"/>
        </w:r>
        <w:r w:rsidR="00891F5A">
          <w:rPr>
            <w:webHidden/>
          </w:rPr>
          <w:t>13</w:t>
        </w:r>
        <w:r>
          <w:rPr>
            <w:webHidden/>
          </w:rPr>
          <w:fldChar w:fldCharType="end"/>
        </w:r>
      </w:hyperlink>
    </w:p>
    <w:p w14:paraId="7C1C9184" w14:textId="77777777" w:rsidR="009C47E7" w:rsidRDefault="009C47E7">
      <w:pPr>
        <w:pStyle w:val="TOC3"/>
        <w:rPr>
          <w:rFonts w:asciiTheme="minorHAnsi" w:eastAsiaTheme="minorEastAsia" w:hAnsiTheme="minorHAnsi" w:cstheme="minorBidi"/>
        </w:rPr>
      </w:pPr>
      <w:hyperlink w:anchor="_Toc422924241" w:history="1">
        <w:r w:rsidRPr="00F228DF">
          <w:rPr>
            <w:rStyle w:val="Hyperlink"/>
          </w:rPr>
          <w:t>Bilateral and peer relationships</w:t>
        </w:r>
        <w:r>
          <w:rPr>
            <w:webHidden/>
          </w:rPr>
          <w:tab/>
        </w:r>
        <w:r>
          <w:rPr>
            <w:webHidden/>
          </w:rPr>
          <w:fldChar w:fldCharType="begin"/>
        </w:r>
        <w:r>
          <w:rPr>
            <w:webHidden/>
          </w:rPr>
          <w:instrText xml:space="preserve"> PAGEREF _Toc422924241 \h </w:instrText>
        </w:r>
        <w:r>
          <w:rPr>
            <w:webHidden/>
          </w:rPr>
        </w:r>
        <w:r>
          <w:rPr>
            <w:webHidden/>
          </w:rPr>
          <w:fldChar w:fldCharType="separate"/>
        </w:r>
        <w:r w:rsidR="00891F5A">
          <w:rPr>
            <w:webHidden/>
          </w:rPr>
          <w:t>14</w:t>
        </w:r>
        <w:r>
          <w:rPr>
            <w:webHidden/>
          </w:rPr>
          <w:fldChar w:fldCharType="end"/>
        </w:r>
      </w:hyperlink>
    </w:p>
    <w:p w14:paraId="6F0764F8" w14:textId="77777777" w:rsidR="009C47E7" w:rsidRDefault="009C47E7">
      <w:pPr>
        <w:pStyle w:val="TOC3"/>
        <w:rPr>
          <w:rFonts w:asciiTheme="minorHAnsi" w:eastAsiaTheme="minorEastAsia" w:hAnsiTheme="minorHAnsi" w:cstheme="minorBidi"/>
        </w:rPr>
      </w:pPr>
      <w:hyperlink w:anchor="_Toc422924242" w:history="1">
        <w:r w:rsidRPr="00F228DF">
          <w:rPr>
            <w:rStyle w:val="Hyperlink"/>
          </w:rPr>
          <w:t>Consultative groups and technical working committees</w:t>
        </w:r>
        <w:r>
          <w:rPr>
            <w:webHidden/>
          </w:rPr>
          <w:tab/>
        </w:r>
        <w:r>
          <w:rPr>
            <w:webHidden/>
          </w:rPr>
          <w:fldChar w:fldCharType="begin"/>
        </w:r>
        <w:r>
          <w:rPr>
            <w:webHidden/>
          </w:rPr>
          <w:instrText xml:space="preserve"> PAGEREF _Toc422924242 \h </w:instrText>
        </w:r>
        <w:r>
          <w:rPr>
            <w:webHidden/>
          </w:rPr>
        </w:r>
        <w:r>
          <w:rPr>
            <w:webHidden/>
          </w:rPr>
          <w:fldChar w:fldCharType="separate"/>
        </w:r>
        <w:r w:rsidR="00891F5A">
          <w:rPr>
            <w:webHidden/>
          </w:rPr>
          <w:t>15</w:t>
        </w:r>
        <w:r>
          <w:rPr>
            <w:webHidden/>
          </w:rPr>
          <w:fldChar w:fldCharType="end"/>
        </w:r>
      </w:hyperlink>
    </w:p>
    <w:p w14:paraId="130CBF15" w14:textId="7E4F1EA4" w:rsidR="000A4A51" w:rsidRPr="000D76E0" w:rsidRDefault="009C47E7">
      <w:pPr>
        <w:rPr>
          <w:rFonts w:cs="Arial"/>
        </w:rPr>
      </w:pPr>
      <w:r>
        <w:rPr>
          <w:rFonts w:cs="Arial"/>
          <w:noProof/>
          <w:spacing w:val="-14"/>
          <w:sz w:val="28"/>
        </w:rPr>
        <w:fldChar w:fldCharType="end"/>
      </w:r>
    </w:p>
    <w:p w14:paraId="6B0B4C23" w14:textId="77777777" w:rsidR="004D56FF" w:rsidRPr="000D76E0" w:rsidRDefault="004D56FF">
      <w:pPr>
        <w:rPr>
          <w:rFonts w:cs="Arial"/>
        </w:rPr>
        <w:sectPr w:rsidR="004D56FF" w:rsidRPr="000D76E0" w:rsidSect="00C77380">
          <w:headerReference w:type="even" r:id="rId23"/>
          <w:headerReference w:type="default" r:id="rId24"/>
          <w:footerReference w:type="even" r:id="rId25"/>
          <w:footerReference w:type="default" r:id="rId26"/>
          <w:footerReference w:type="first" r:id="rId27"/>
          <w:pgSz w:w="11906" w:h="16838" w:code="9"/>
          <w:pgMar w:top="3646" w:right="3101" w:bottom="1134" w:left="1134" w:header="709" w:footer="119" w:gutter="0"/>
          <w:cols w:space="708"/>
          <w:titlePg/>
          <w:docGrid w:linePitch="360"/>
        </w:sectPr>
      </w:pPr>
    </w:p>
    <w:p w14:paraId="2B74CDCE" w14:textId="77777777" w:rsidR="009D6C71" w:rsidRPr="009174F3" w:rsidRDefault="009D6C71" w:rsidP="009174F3">
      <w:pPr>
        <w:pStyle w:val="ACMAExecSummaryHeading"/>
      </w:pPr>
      <w:bookmarkStart w:id="1" w:name="_Toc422924225"/>
      <w:r w:rsidRPr="009174F3">
        <w:t>Executive summary</w:t>
      </w:r>
      <w:bookmarkEnd w:id="1"/>
      <w:r w:rsidR="007E7683" w:rsidRPr="009174F3">
        <w:t xml:space="preserve"> </w:t>
      </w:r>
    </w:p>
    <w:p w14:paraId="08E41CC5" w14:textId="314BECD0" w:rsidR="00210794" w:rsidRDefault="00F26503" w:rsidP="00981F5D">
      <w:bookmarkStart w:id="2" w:name="_Toc348105631"/>
      <w:r>
        <w:t xml:space="preserve">The ACMA’s overriding </w:t>
      </w:r>
      <w:r w:rsidRPr="00487D53">
        <w:t xml:space="preserve">purpose </w:t>
      </w:r>
      <w:r>
        <w:t>is to make</w:t>
      </w:r>
      <w:r w:rsidRPr="00487D53">
        <w:t xml:space="preserve"> communications and me</w:t>
      </w:r>
      <w:r>
        <w:t xml:space="preserve">dia work in the public interest, and its </w:t>
      </w:r>
      <w:r w:rsidR="007B3516">
        <w:t>international</w:t>
      </w:r>
      <w:r w:rsidR="00955AAA">
        <w:t xml:space="preserve"> engagement is </w:t>
      </w:r>
      <w:r w:rsidR="00184D05">
        <w:t>central</w:t>
      </w:r>
      <w:r w:rsidR="00955AAA">
        <w:t xml:space="preserve"> </w:t>
      </w:r>
      <w:r w:rsidR="00BC1D43">
        <w:t>to achieving this</w:t>
      </w:r>
      <w:r w:rsidR="008112A1">
        <w:t>.</w:t>
      </w:r>
      <w:r w:rsidR="008112A1" w:rsidRPr="00487D53">
        <w:t xml:space="preserve"> </w:t>
      </w:r>
      <w:r w:rsidR="00955AAA">
        <w:t>The role of international engagement in both protecting and promoting Australia’s communications and media interests is reflected in the legislation the ACMA administers</w:t>
      </w:r>
      <w:r w:rsidR="00DA0727">
        <w:t>—</w:t>
      </w:r>
      <w:r w:rsidR="00955AAA">
        <w:t xml:space="preserve">particularly </w:t>
      </w:r>
      <w:r w:rsidR="00DA0727">
        <w:t>for</w:t>
      </w:r>
      <w:r w:rsidR="00955AAA">
        <w:t xml:space="preserve"> spectrum management</w:t>
      </w:r>
      <w:r w:rsidR="00DA0727">
        <w:t>,</w:t>
      </w:r>
      <w:r w:rsidR="00955AAA" w:rsidRPr="00487D53">
        <w:t xml:space="preserve"> </w:t>
      </w:r>
      <w:r w:rsidR="00955AAA">
        <w:t>telecommunications and radiocommunications standards</w:t>
      </w:r>
      <w:r w:rsidR="00DA0727">
        <w:t>-</w:t>
      </w:r>
      <w:r w:rsidR="00955AAA">
        <w:t>setting</w:t>
      </w:r>
      <w:r w:rsidR="00DA0727">
        <w:t>,</w:t>
      </w:r>
      <w:r w:rsidR="00955AAA" w:rsidRPr="00487D53">
        <w:t xml:space="preserve"> unsolicite</w:t>
      </w:r>
      <w:r w:rsidR="00955AAA">
        <w:t xml:space="preserve">d communications and </w:t>
      </w:r>
      <w:r w:rsidR="00464B92">
        <w:t>cybersecurity</w:t>
      </w:r>
      <w:r w:rsidR="00DA0727">
        <w:t>,</w:t>
      </w:r>
      <w:r w:rsidR="00955AAA" w:rsidRPr="00487D53">
        <w:t xml:space="preserve"> and online content</w:t>
      </w:r>
      <w:r w:rsidR="00DA0727">
        <w:t>.</w:t>
      </w:r>
      <w:r w:rsidR="00955AAA">
        <w:rPr>
          <w:rStyle w:val="FootnoteReference"/>
        </w:rPr>
        <w:footnoteReference w:id="1"/>
      </w:r>
      <w:r w:rsidR="00955AAA">
        <w:t xml:space="preserve"> </w:t>
      </w:r>
      <w:r w:rsidR="00492FAC">
        <w:t>T</w:t>
      </w:r>
      <w:r w:rsidR="00955AAA">
        <w:t>h</w:t>
      </w:r>
      <w:r w:rsidR="00492FAC">
        <w:t>es</w:t>
      </w:r>
      <w:r w:rsidR="00955AAA">
        <w:t>e</w:t>
      </w:r>
      <w:r w:rsidR="00D17D5D">
        <w:t xml:space="preserve"> </w:t>
      </w:r>
      <w:r w:rsidR="00492FAC">
        <w:t>areas</w:t>
      </w:r>
      <w:r w:rsidR="00AE0E32">
        <w:t xml:space="preserve"> of the ACMA’s work</w:t>
      </w:r>
      <w:r w:rsidR="00492FAC">
        <w:t xml:space="preserve"> </w:t>
      </w:r>
      <w:r w:rsidR="00D17D5D">
        <w:t>span jurisdictional boundaries</w:t>
      </w:r>
      <w:r w:rsidR="00DA0727">
        <w:t>,</w:t>
      </w:r>
      <w:r w:rsidR="008202A5">
        <w:t xml:space="preserve"> </w:t>
      </w:r>
      <w:r w:rsidR="00AE0E32">
        <w:t>often making</w:t>
      </w:r>
      <w:r w:rsidR="008202A5">
        <w:t xml:space="preserve"> </w:t>
      </w:r>
      <w:r w:rsidR="00AE0E32">
        <w:t>it necessary to engage with international bodies and overseas regulators</w:t>
      </w:r>
      <w:r w:rsidR="008202A5">
        <w:t xml:space="preserve"> </w:t>
      </w:r>
      <w:r w:rsidR="00DA0727">
        <w:t xml:space="preserve">to </w:t>
      </w:r>
      <w:r w:rsidR="008202A5">
        <w:t>develop effective responses</w:t>
      </w:r>
      <w:r w:rsidR="00492FAC">
        <w:t xml:space="preserve"> to the challenges they raise</w:t>
      </w:r>
      <w:r w:rsidR="008202A5">
        <w:t>.</w:t>
      </w:r>
    </w:p>
    <w:p w14:paraId="68C01258" w14:textId="30C82EB9" w:rsidR="006F7D01" w:rsidRDefault="006F7D01" w:rsidP="0085196A">
      <w:pPr>
        <w:rPr>
          <w:rFonts w:cs="Arial"/>
        </w:rPr>
      </w:pPr>
      <w:r>
        <w:rPr>
          <w:rFonts w:cs="Arial"/>
        </w:rPr>
        <w:t>T</w:t>
      </w:r>
      <w:r w:rsidRPr="0082682E">
        <w:rPr>
          <w:rFonts w:cs="Arial"/>
        </w:rPr>
        <w:t>he ACMA and its predecessors have been engaging</w:t>
      </w:r>
      <w:r>
        <w:rPr>
          <w:rFonts w:cs="Arial"/>
        </w:rPr>
        <w:t xml:space="preserve"> with overseas organisations and in international fora</w:t>
      </w:r>
      <w:r w:rsidRPr="0082682E">
        <w:rPr>
          <w:rFonts w:cs="Arial"/>
        </w:rPr>
        <w:t xml:space="preserve"> for many years</w:t>
      </w:r>
      <w:r w:rsidR="00604EAB">
        <w:rPr>
          <w:rFonts w:cs="Arial"/>
        </w:rPr>
        <w:t>. H</w:t>
      </w:r>
      <w:r>
        <w:rPr>
          <w:rFonts w:cs="Arial"/>
        </w:rPr>
        <w:t xml:space="preserve">owever, </w:t>
      </w:r>
      <w:r w:rsidRPr="0082682E">
        <w:rPr>
          <w:rFonts w:cs="Arial"/>
        </w:rPr>
        <w:t xml:space="preserve">the continued global integration of communications and media markets and </w:t>
      </w:r>
      <w:r>
        <w:rPr>
          <w:rFonts w:cs="Arial"/>
        </w:rPr>
        <w:t>services</w:t>
      </w:r>
      <w:r w:rsidR="003D6D16">
        <w:rPr>
          <w:rFonts w:cs="Arial"/>
        </w:rPr>
        <w:t xml:space="preserve">, and </w:t>
      </w:r>
      <w:r w:rsidR="00A063A5">
        <w:rPr>
          <w:rFonts w:cs="Arial"/>
        </w:rPr>
        <w:t xml:space="preserve">the </w:t>
      </w:r>
      <w:r w:rsidR="00F164CA">
        <w:rPr>
          <w:rFonts w:cs="Arial"/>
        </w:rPr>
        <w:t xml:space="preserve">disruptive </w:t>
      </w:r>
      <w:r w:rsidR="003D6D16">
        <w:rPr>
          <w:rFonts w:cs="Arial"/>
        </w:rPr>
        <w:t>impact</w:t>
      </w:r>
      <w:r w:rsidR="00F164CA">
        <w:rPr>
          <w:rFonts w:cs="Arial"/>
        </w:rPr>
        <w:t>s</w:t>
      </w:r>
      <w:r w:rsidR="003D6D16">
        <w:rPr>
          <w:rFonts w:cs="Arial"/>
        </w:rPr>
        <w:t xml:space="preserve"> of di</w:t>
      </w:r>
      <w:r w:rsidR="00F164CA">
        <w:rPr>
          <w:rFonts w:cs="Arial"/>
        </w:rPr>
        <w:t xml:space="preserve">gital </w:t>
      </w:r>
      <w:r w:rsidR="00DC4A87">
        <w:rPr>
          <w:rFonts w:cs="Arial"/>
        </w:rPr>
        <w:t>technologies</w:t>
      </w:r>
      <w:r w:rsidRPr="0082682E">
        <w:rPr>
          <w:rFonts w:cs="Arial"/>
        </w:rPr>
        <w:t xml:space="preserve"> is driving the need for greater collaboration and cooperation between countries. The ACMA is one of many </w:t>
      </w:r>
      <w:r w:rsidR="00175B38">
        <w:rPr>
          <w:rFonts w:cs="Arial"/>
        </w:rPr>
        <w:t xml:space="preserve">communications and media </w:t>
      </w:r>
      <w:r w:rsidRPr="0082682E">
        <w:rPr>
          <w:rFonts w:cs="Arial"/>
        </w:rPr>
        <w:t xml:space="preserve">regulators around the world looking to </w:t>
      </w:r>
      <w:r>
        <w:rPr>
          <w:rFonts w:cs="Arial"/>
        </w:rPr>
        <w:t>maximise the</w:t>
      </w:r>
      <w:r w:rsidRPr="0082682E">
        <w:rPr>
          <w:rFonts w:cs="Arial"/>
        </w:rPr>
        <w:t xml:space="preserve"> social and economic benefits of digital</w:t>
      </w:r>
      <w:r w:rsidR="00175B38">
        <w:rPr>
          <w:rFonts w:cs="Arial"/>
        </w:rPr>
        <w:t xml:space="preserve"> technologies</w:t>
      </w:r>
      <w:r>
        <w:rPr>
          <w:rFonts w:cs="Arial"/>
        </w:rPr>
        <w:t xml:space="preserve"> through</w:t>
      </w:r>
      <w:r w:rsidRPr="0082682E">
        <w:rPr>
          <w:rFonts w:cs="Arial"/>
        </w:rPr>
        <w:t xml:space="preserve"> develop</w:t>
      </w:r>
      <w:r>
        <w:rPr>
          <w:rFonts w:cs="Arial"/>
        </w:rPr>
        <w:t>ing best</w:t>
      </w:r>
      <w:r w:rsidR="0076486B">
        <w:rPr>
          <w:rFonts w:cs="Arial"/>
        </w:rPr>
        <w:t>-</w:t>
      </w:r>
      <w:r>
        <w:rPr>
          <w:rFonts w:cs="Arial"/>
        </w:rPr>
        <w:t xml:space="preserve">practice responses to </w:t>
      </w:r>
      <w:r w:rsidR="00F46DEC">
        <w:rPr>
          <w:rFonts w:cs="Arial"/>
        </w:rPr>
        <w:t>the</w:t>
      </w:r>
      <w:r w:rsidR="0076486B">
        <w:rPr>
          <w:rFonts w:cs="Arial"/>
        </w:rPr>
        <w:t>se</w:t>
      </w:r>
      <w:r>
        <w:rPr>
          <w:rFonts w:cs="Arial"/>
        </w:rPr>
        <w:t xml:space="preserve"> challenges</w:t>
      </w:r>
      <w:r w:rsidRPr="0082682E">
        <w:rPr>
          <w:rFonts w:cs="Arial"/>
        </w:rPr>
        <w:t>.</w:t>
      </w:r>
      <w:r>
        <w:rPr>
          <w:rFonts w:cs="Arial"/>
        </w:rPr>
        <w:t xml:space="preserve"> </w:t>
      </w:r>
    </w:p>
    <w:p w14:paraId="3D1F4390" w14:textId="2E92F048" w:rsidR="0085196A" w:rsidRPr="0085196A" w:rsidRDefault="009E06BE" w:rsidP="0085196A">
      <w:pPr>
        <w:rPr>
          <w:rFonts w:cs="Arial"/>
        </w:rPr>
      </w:pPr>
      <w:r>
        <w:t>I</w:t>
      </w:r>
      <w:r w:rsidR="00133379">
        <w:t xml:space="preserve">nternational engagement </w:t>
      </w:r>
      <w:r w:rsidR="006F7D01">
        <w:t xml:space="preserve">is </w:t>
      </w:r>
      <w:r w:rsidR="008F4608">
        <w:t xml:space="preserve">an </w:t>
      </w:r>
      <w:r w:rsidR="006F7D01">
        <w:t xml:space="preserve">important way </w:t>
      </w:r>
      <w:r>
        <w:t>the ACMA advance</w:t>
      </w:r>
      <w:r w:rsidR="006F7D01">
        <w:t>s</w:t>
      </w:r>
      <w:r>
        <w:t xml:space="preserve"> policies and programs that will </w:t>
      </w:r>
      <w:r w:rsidR="0076486B">
        <w:t>help to</w:t>
      </w:r>
      <w:r>
        <w:t xml:space="preserve"> reduc</w:t>
      </w:r>
      <w:r w:rsidR="0076486B">
        <w:t>e</w:t>
      </w:r>
      <w:r>
        <w:t xml:space="preserve"> harms </w:t>
      </w:r>
      <w:r w:rsidR="004711A4">
        <w:t>and promot</w:t>
      </w:r>
      <w:r w:rsidR="0076486B">
        <w:t>e</w:t>
      </w:r>
      <w:r w:rsidR="004711A4">
        <w:t xml:space="preserve"> outcomes</w:t>
      </w:r>
      <w:r>
        <w:t xml:space="preserve"> </w:t>
      </w:r>
      <w:r w:rsidR="000A20F8">
        <w:t>in the interests of</w:t>
      </w:r>
      <w:r w:rsidR="004711A4">
        <w:t xml:space="preserve"> </w:t>
      </w:r>
      <w:r>
        <w:t>Australi</w:t>
      </w:r>
      <w:r w:rsidR="004711A4">
        <w:t xml:space="preserve">an business and the community. For example, the ACMA’s international engagement </w:t>
      </w:r>
      <w:r w:rsidR="00133379">
        <w:t>aims to prevent c</w:t>
      </w:r>
      <w:r w:rsidR="00FB179F">
        <w:t>ybersecurity threats and</w:t>
      </w:r>
      <w:r w:rsidR="00133379" w:rsidRPr="00133379">
        <w:t xml:space="preserve"> unsolicited communications </w:t>
      </w:r>
      <w:r w:rsidR="00133379">
        <w:t>at the source country through entering b</w:t>
      </w:r>
      <w:r w:rsidR="00133379" w:rsidRPr="00133379">
        <w:t>ilateral and multilateral arrangements</w:t>
      </w:r>
      <w:r w:rsidR="00FB179F">
        <w:t xml:space="preserve"> to </w:t>
      </w:r>
      <w:r w:rsidR="00FB179F">
        <w:rPr>
          <w:rFonts w:cs="Arial"/>
        </w:rPr>
        <w:t>support a</w:t>
      </w:r>
      <w:r w:rsidR="00390127" w:rsidRPr="005C7F4F">
        <w:rPr>
          <w:rFonts w:cs="Arial"/>
        </w:rPr>
        <w:t xml:space="preserve"> </w:t>
      </w:r>
      <w:r w:rsidR="00FB179F">
        <w:rPr>
          <w:rFonts w:cs="Arial"/>
        </w:rPr>
        <w:t>safer networked environment</w:t>
      </w:r>
      <w:r>
        <w:rPr>
          <w:rFonts w:cs="Arial"/>
        </w:rPr>
        <w:t>.</w:t>
      </w:r>
      <w:r w:rsidR="00CA37B3" w:rsidRPr="00CA37B3">
        <w:rPr>
          <w:rFonts w:cs="Arial"/>
        </w:rPr>
        <w:t xml:space="preserve"> </w:t>
      </w:r>
      <w:r w:rsidR="0076486B">
        <w:rPr>
          <w:rFonts w:cs="Arial"/>
        </w:rPr>
        <w:t>And, a</w:t>
      </w:r>
      <w:r w:rsidR="004711A4">
        <w:rPr>
          <w:rFonts w:cs="Arial"/>
        </w:rPr>
        <w:t>long with other i</w:t>
      </w:r>
      <w:r w:rsidR="00CA37B3" w:rsidRPr="003A7872">
        <w:rPr>
          <w:rFonts w:cs="Arial"/>
        </w:rPr>
        <w:t>nternational regulators</w:t>
      </w:r>
      <w:r w:rsidR="004711A4">
        <w:rPr>
          <w:rFonts w:cs="Arial"/>
        </w:rPr>
        <w:t>, the ACMA is</w:t>
      </w:r>
      <w:r w:rsidR="00CA37B3" w:rsidRPr="003A7872">
        <w:rPr>
          <w:rFonts w:cs="Arial"/>
        </w:rPr>
        <w:t xml:space="preserve"> looking to ensure that sufficient spectrum </w:t>
      </w:r>
      <w:r w:rsidR="00CA37B3">
        <w:rPr>
          <w:rFonts w:cs="Arial"/>
        </w:rPr>
        <w:t xml:space="preserve">is </w:t>
      </w:r>
      <w:r w:rsidR="00C6145F">
        <w:t>available to cater for the</w:t>
      </w:r>
      <w:r w:rsidR="00CA37B3" w:rsidRPr="00832E7B">
        <w:t xml:space="preserve"> expected growth in mobile broadband services</w:t>
      </w:r>
      <w:r w:rsidR="00CA37B3">
        <w:t xml:space="preserve"> through </w:t>
      </w:r>
      <w:r w:rsidR="00CA37B3" w:rsidRPr="008A0BA8">
        <w:t>regional and global harmonisation</w:t>
      </w:r>
      <w:r w:rsidR="00F164CA">
        <w:t xml:space="preserve"> to foster innovation and productivity within the Australian communications sector</w:t>
      </w:r>
      <w:r w:rsidR="00CA37B3" w:rsidRPr="00832E7B">
        <w:t>.</w:t>
      </w:r>
      <w:r w:rsidR="00CA37B3" w:rsidRPr="00D168BB">
        <w:rPr>
          <w:rFonts w:cs="Arial"/>
        </w:rPr>
        <w:t xml:space="preserve"> </w:t>
      </w:r>
    </w:p>
    <w:p w14:paraId="70757529" w14:textId="10533D47" w:rsidR="00A74032" w:rsidRPr="006D4320" w:rsidRDefault="0082682E" w:rsidP="004A2A37">
      <w:r>
        <w:rPr>
          <w:rFonts w:cs="Arial"/>
        </w:rPr>
        <w:t>Through engaging with overseas regulators and other international bodies</w:t>
      </w:r>
      <w:r w:rsidR="0076486B">
        <w:rPr>
          <w:rFonts w:cs="Arial"/>
        </w:rPr>
        <w:t>,</w:t>
      </w:r>
      <w:r w:rsidRPr="00BF22EF">
        <w:rPr>
          <w:rFonts w:cs="Arial"/>
        </w:rPr>
        <w:t xml:space="preserve"> the ACMA </w:t>
      </w:r>
      <w:r w:rsidR="00814F6D">
        <w:rPr>
          <w:rFonts w:cs="Arial"/>
        </w:rPr>
        <w:t xml:space="preserve">can </w:t>
      </w:r>
      <w:r>
        <w:rPr>
          <w:rFonts w:cs="Arial"/>
        </w:rPr>
        <w:t xml:space="preserve">learn from </w:t>
      </w:r>
      <w:r w:rsidRPr="00BF22EF">
        <w:rPr>
          <w:rFonts w:cs="Arial"/>
        </w:rPr>
        <w:t>the</w:t>
      </w:r>
      <w:r>
        <w:rPr>
          <w:rFonts w:cs="Arial"/>
        </w:rPr>
        <w:t>ir</w:t>
      </w:r>
      <w:r w:rsidRPr="00BF22EF">
        <w:rPr>
          <w:rFonts w:cs="Arial"/>
        </w:rPr>
        <w:t xml:space="preserve"> experience</w:t>
      </w:r>
      <w:r w:rsidR="0076486B">
        <w:rPr>
          <w:rFonts w:cs="Arial"/>
        </w:rPr>
        <w:t>s</w:t>
      </w:r>
      <w:r>
        <w:rPr>
          <w:rFonts w:cs="Arial"/>
        </w:rPr>
        <w:t xml:space="preserve"> and enhance it</w:t>
      </w:r>
      <w:r w:rsidR="00044A64">
        <w:rPr>
          <w:rFonts w:cs="Arial"/>
        </w:rPr>
        <w:t xml:space="preserve">s own </w:t>
      </w:r>
      <w:r w:rsidR="006F7D01">
        <w:rPr>
          <w:rFonts w:cs="Arial"/>
        </w:rPr>
        <w:t>regulatory practice</w:t>
      </w:r>
      <w:r w:rsidR="00044A64">
        <w:rPr>
          <w:rFonts w:cs="Arial"/>
        </w:rPr>
        <w:t>. In so doing,</w:t>
      </w:r>
      <w:r>
        <w:rPr>
          <w:rFonts w:cs="Arial"/>
        </w:rPr>
        <w:t xml:space="preserve"> the ACMA </w:t>
      </w:r>
      <w:r w:rsidRPr="00BF22EF">
        <w:rPr>
          <w:rFonts w:cs="Arial"/>
        </w:rPr>
        <w:t>ensure</w:t>
      </w:r>
      <w:r>
        <w:rPr>
          <w:rFonts w:cs="Arial"/>
        </w:rPr>
        <w:t>s</w:t>
      </w:r>
      <w:r w:rsidRPr="00BF22EF">
        <w:rPr>
          <w:rFonts w:cs="Arial"/>
        </w:rPr>
        <w:t xml:space="preserve"> </w:t>
      </w:r>
      <w:r>
        <w:rPr>
          <w:rFonts w:cs="Arial"/>
        </w:rPr>
        <w:t>its decision</w:t>
      </w:r>
      <w:r w:rsidR="007F3681">
        <w:rPr>
          <w:rFonts w:cs="Arial"/>
        </w:rPr>
        <w:t>s</w:t>
      </w:r>
      <w:r>
        <w:rPr>
          <w:rFonts w:cs="Arial"/>
        </w:rPr>
        <w:t xml:space="preserve"> and </w:t>
      </w:r>
      <w:r w:rsidRPr="00BF22EF">
        <w:rPr>
          <w:rFonts w:cs="Arial"/>
        </w:rPr>
        <w:t xml:space="preserve">approaches </w:t>
      </w:r>
      <w:r>
        <w:rPr>
          <w:rFonts w:cs="Arial"/>
        </w:rPr>
        <w:t>reflect</w:t>
      </w:r>
      <w:r w:rsidRPr="00BF22EF">
        <w:rPr>
          <w:rFonts w:cs="Arial"/>
        </w:rPr>
        <w:t xml:space="preserve"> world’s best practice</w:t>
      </w:r>
      <w:r>
        <w:rPr>
          <w:rFonts w:cs="Arial"/>
        </w:rPr>
        <w:t xml:space="preserve">, and as an organisation it is well positioned to </w:t>
      </w:r>
      <w:r w:rsidR="00814F6D">
        <w:rPr>
          <w:rFonts w:cs="Arial"/>
        </w:rPr>
        <w:t>respond to the pressures and demands of the evolving environment in which it operates</w:t>
      </w:r>
      <w:r>
        <w:rPr>
          <w:rFonts w:cs="Arial"/>
        </w:rPr>
        <w:t>.</w:t>
      </w:r>
    </w:p>
    <w:p w14:paraId="67112E0D" w14:textId="5E1D713E" w:rsidR="00853A16" w:rsidRDefault="00A90A71" w:rsidP="00853A16">
      <w:pPr>
        <w:rPr>
          <w:rFonts w:cs="Arial"/>
        </w:rPr>
      </w:pPr>
      <w:r>
        <w:rPr>
          <w:rFonts w:cs="Arial"/>
        </w:rPr>
        <w:t xml:space="preserve">The </w:t>
      </w:r>
      <w:r w:rsidR="004246AF">
        <w:rPr>
          <w:rFonts w:cs="Arial"/>
        </w:rPr>
        <w:t xml:space="preserve">strategies </w:t>
      </w:r>
      <w:r w:rsidR="00F26503">
        <w:rPr>
          <w:rFonts w:cs="Arial"/>
        </w:rPr>
        <w:t xml:space="preserve">the ACMA </w:t>
      </w:r>
      <w:r w:rsidR="00A74032">
        <w:rPr>
          <w:rFonts w:cs="Arial"/>
        </w:rPr>
        <w:t>use</w:t>
      </w:r>
      <w:r w:rsidR="00F26503">
        <w:rPr>
          <w:rFonts w:cs="Arial"/>
        </w:rPr>
        <w:t>s</w:t>
      </w:r>
      <w:r w:rsidR="004246AF">
        <w:rPr>
          <w:rFonts w:cs="Arial"/>
        </w:rPr>
        <w:t xml:space="preserve"> to </w:t>
      </w:r>
      <w:r w:rsidR="006F7D01">
        <w:rPr>
          <w:rFonts w:cs="Arial"/>
        </w:rPr>
        <w:t>promote</w:t>
      </w:r>
      <w:r w:rsidR="00A74032" w:rsidRPr="007B604C">
        <w:rPr>
          <w:rFonts w:cs="Arial"/>
        </w:rPr>
        <w:t xml:space="preserve"> Australia’s communications and media interests through international engagement are </w:t>
      </w:r>
      <w:r w:rsidR="004246AF">
        <w:rPr>
          <w:rFonts w:cs="Arial"/>
        </w:rPr>
        <w:t>shaped by domesti</w:t>
      </w:r>
      <w:r w:rsidR="00A74032">
        <w:rPr>
          <w:rFonts w:cs="Arial"/>
        </w:rPr>
        <w:t>c</w:t>
      </w:r>
      <w:r w:rsidR="00814F6D">
        <w:rPr>
          <w:rFonts w:cs="Arial"/>
        </w:rPr>
        <w:t xml:space="preserve"> cons</w:t>
      </w:r>
      <w:r w:rsidR="005973D2">
        <w:rPr>
          <w:rFonts w:cs="Arial"/>
        </w:rPr>
        <w:t>iderations</w:t>
      </w:r>
      <w:r w:rsidR="00A74032">
        <w:rPr>
          <w:rFonts w:cs="Arial"/>
        </w:rPr>
        <w:t xml:space="preserve"> and </w:t>
      </w:r>
      <w:r w:rsidR="005973D2">
        <w:rPr>
          <w:rFonts w:cs="Arial"/>
        </w:rPr>
        <w:t xml:space="preserve">international </w:t>
      </w:r>
      <w:r w:rsidR="00785F46">
        <w:rPr>
          <w:rFonts w:cs="Arial"/>
        </w:rPr>
        <w:t>frameworks</w:t>
      </w:r>
      <w:r w:rsidR="004246AF">
        <w:rPr>
          <w:rFonts w:cs="Arial"/>
        </w:rPr>
        <w:t>.</w:t>
      </w:r>
      <w:r w:rsidR="00A14571" w:rsidRPr="007B604C">
        <w:rPr>
          <w:rFonts w:cs="Arial"/>
        </w:rPr>
        <w:t xml:space="preserve"> The </w:t>
      </w:r>
      <w:r w:rsidR="00AC6BC3" w:rsidRPr="007B604C">
        <w:rPr>
          <w:rFonts w:cs="Arial"/>
        </w:rPr>
        <w:t>ACMA</w:t>
      </w:r>
      <w:r w:rsidR="00A14571" w:rsidRPr="007B604C">
        <w:rPr>
          <w:rFonts w:cs="Arial"/>
        </w:rPr>
        <w:t xml:space="preserve"> aims to ensure that </w:t>
      </w:r>
      <w:r w:rsidR="00AC6BC3" w:rsidRPr="007B604C">
        <w:rPr>
          <w:rFonts w:cs="Arial"/>
        </w:rPr>
        <w:t>its</w:t>
      </w:r>
      <w:r w:rsidR="00A14571" w:rsidRPr="007B604C">
        <w:rPr>
          <w:rFonts w:cs="Arial"/>
        </w:rPr>
        <w:t xml:space="preserve"> international activities align with its legislative responsibilities, </w:t>
      </w:r>
      <w:r w:rsidR="001035ED">
        <w:rPr>
          <w:rFonts w:cs="Arial"/>
        </w:rPr>
        <w:t>promote</w:t>
      </w:r>
      <w:r w:rsidR="00215DC4" w:rsidRPr="009B0ADF">
        <w:rPr>
          <w:rFonts w:cs="Arial"/>
        </w:rPr>
        <w:t xml:space="preserve"> broader government </w:t>
      </w:r>
      <w:r w:rsidR="00215DC4">
        <w:rPr>
          <w:rFonts w:cs="Arial"/>
        </w:rPr>
        <w:t xml:space="preserve">policies </w:t>
      </w:r>
      <w:r w:rsidR="00A14571" w:rsidRPr="007B604C">
        <w:rPr>
          <w:rFonts w:cs="Arial"/>
        </w:rPr>
        <w:t xml:space="preserve">and </w:t>
      </w:r>
      <w:r w:rsidR="001035ED">
        <w:rPr>
          <w:rFonts w:cs="Arial"/>
        </w:rPr>
        <w:t xml:space="preserve">support </w:t>
      </w:r>
      <w:r w:rsidR="00C6145F" w:rsidRPr="007B604C">
        <w:rPr>
          <w:rFonts w:cs="Arial"/>
        </w:rPr>
        <w:t xml:space="preserve">priorities </w:t>
      </w:r>
      <w:r w:rsidR="00C6145F">
        <w:rPr>
          <w:rFonts w:cs="Arial"/>
        </w:rPr>
        <w:t xml:space="preserve">identified in </w:t>
      </w:r>
      <w:r w:rsidR="00A14571" w:rsidRPr="007B604C">
        <w:rPr>
          <w:rFonts w:cs="Arial"/>
        </w:rPr>
        <w:t xml:space="preserve">its internal </w:t>
      </w:r>
      <w:r w:rsidR="00C6145F">
        <w:rPr>
          <w:rFonts w:cs="Arial"/>
        </w:rPr>
        <w:t>work program</w:t>
      </w:r>
      <w:r w:rsidR="007B604C">
        <w:rPr>
          <w:rFonts w:cs="Arial"/>
        </w:rPr>
        <w:t>.</w:t>
      </w:r>
      <w:r w:rsidR="00FD6085">
        <w:rPr>
          <w:rFonts w:cs="Arial"/>
        </w:rPr>
        <w:t xml:space="preserve"> </w:t>
      </w:r>
      <w:r w:rsidR="00044A64">
        <w:rPr>
          <w:rFonts w:cs="Arial"/>
        </w:rPr>
        <w:t xml:space="preserve">This often involves close consultation with government, industry and community representatives. </w:t>
      </w:r>
      <w:r w:rsidR="00C6145F">
        <w:rPr>
          <w:rFonts w:cs="Arial"/>
        </w:rPr>
        <w:t>T</w:t>
      </w:r>
      <w:r w:rsidR="00853A16">
        <w:rPr>
          <w:rFonts w:cs="Arial"/>
        </w:rPr>
        <w:t>he ACMA achieves</w:t>
      </w:r>
      <w:r w:rsidR="001035ED">
        <w:rPr>
          <w:rFonts w:cs="Arial"/>
        </w:rPr>
        <w:t xml:space="preserve"> </w:t>
      </w:r>
      <w:r w:rsidR="00C6145F">
        <w:rPr>
          <w:rFonts w:cs="Arial"/>
        </w:rPr>
        <w:t xml:space="preserve">international and regional </w:t>
      </w:r>
      <w:r w:rsidR="001035ED">
        <w:rPr>
          <w:rFonts w:cs="Arial"/>
        </w:rPr>
        <w:t xml:space="preserve">outcomes </w:t>
      </w:r>
      <w:r w:rsidR="00853A16">
        <w:rPr>
          <w:rFonts w:cs="Arial"/>
        </w:rPr>
        <w:t xml:space="preserve">through </w:t>
      </w:r>
      <w:r w:rsidR="00F26503">
        <w:rPr>
          <w:rFonts w:cs="Arial"/>
        </w:rPr>
        <w:t>developing</w:t>
      </w:r>
      <w:r w:rsidR="00853A16">
        <w:rPr>
          <w:rFonts w:cs="Arial"/>
        </w:rPr>
        <w:t xml:space="preserve"> b</w:t>
      </w:r>
      <w:r w:rsidR="00853A16" w:rsidRPr="00C046FF">
        <w:rPr>
          <w:rFonts w:cs="Arial"/>
        </w:rPr>
        <w:t>ilateral and peer relationships</w:t>
      </w:r>
      <w:r w:rsidR="00F26503">
        <w:rPr>
          <w:rFonts w:cs="Arial"/>
        </w:rPr>
        <w:t>,</w:t>
      </w:r>
      <w:r w:rsidR="00853A16" w:rsidRPr="00C046FF">
        <w:rPr>
          <w:rFonts w:cs="Arial"/>
        </w:rPr>
        <w:t xml:space="preserve"> </w:t>
      </w:r>
      <w:r w:rsidR="00853A16">
        <w:rPr>
          <w:rFonts w:cs="Arial"/>
        </w:rPr>
        <w:t>engag</w:t>
      </w:r>
      <w:r w:rsidR="00F26503">
        <w:rPr>
          <w:rFonts w:cs="Arial"/>
        </w:rPr>
        <w:t>ing</w:t>
      </w:r>
      <w:r w:rsidR="00853A16">
        <w:rPr>
          <w:rFonts w:cs="Arial"/>
        </w:rPr>
        <w:t xml:space="preserve"> with </w:t>
      </w:r>
      <w:r w:rsidR="00853A16" w:rsidRPr="00C046FF">
        <w:rPr>
          <w:rFonts w:cs="Arial"/>
        </w:rPr>
        <w:t xml:space="preserve">multilateral organisations and </w:t>
      </w:r>
      <w:r w:rsidR="001B650F">
        <w:rPr>
          <w:rFonts w:cs="Arial"/>
        </w:rPr>
        <w:t xml:space="preserve">building </w:t>
      </w:r>
      <w:r w:rsidR="00853A16" w:rsidRPr="00C046FF">
        <w:rPr>
          <w:rFonts w:cs="Arial"/>
        </w:rPr>
        <w:t>regional cooperation</w:t>
      </w:r>
      <w:r w:rsidR="00853A16">
        <w:rPr>
          <w:rFonts w:cs="Arial"/>
        </w:rPr>
        <w:t xml:space="preserve">. </w:t>
      </w:r>
      <w:r w:rsidR="00785F46">
        <w:rPr>
          <w:rFonts w:cs="Arial"/>
        </w:rPr>
        <w:t>It relies on its</w:t>
      </w:r>
      <w:r w:rsidR="00407849">
        <w:rPr>
          <w:rFonts w:cs="Arial"/>
        </w:rPr>
        <w:t xml:space="preserve"> </w:t>
      </w:r>
      <w:r w:rsidR="00BF22EF" w:rsidRPr="007B604C">
        <w:rPr>
          <w:rFonts w:cs="Arial"/>
        </w:rPr>
        <w:t xml:space="preserve">reputation and </w:t>
      </w:r>
      <w:r w:rsidR="00785F46">
        <w:rPr>
          <w:rFonts w:cs="Arial"/>
        </w:rPr>
        <w:t xml:space="preserve">influence </w:t>
      </w:r>
      <w:r w:rsidR="00C6145F">
        <w:rPr>
          <w:rFonts w:cs="Arial"/>
        </w:rPr>
        <w:t>internationally, region</w:t>
      </w:r>
      <w:r w:rsidR="00F26503">
        <w:rPr>
          <w:rFonts w:cs="Arial"/>
        </w:rPr>
        <w:t>ally</w:t>
      </w:r>
      <w:r w:rsidR="00C6145F">
        <w:rPr>
          <w:rFonts w:cs="Arial"/>
        </w:rPr>
        <w:t xml:space="preserve"> and with its domestic stakeholders to leverage value from these relationships</w:t>
      </w:r>
      <w:r w:rsidR="00044A64">
        <w:rPr>
          <w:rFonts w:cs="Arial"/>
        </w:rPr>
        <w:t>.</w:t>
      </w:r>
    </w:p>
    <w:p w14:paraId="6E2BABC9" w14:textId="5A565DE9" w:rsidR="00853A16" w:rsidRDefault="00BF22EF" w:rsidP="00983D4B">
      <w:pPr>
        <w:rPr>
          <w:rFonts w:cs="Arial"/>
        </w:rPr>
      </w:pPr>
      <w:r w:rsidRPr="007B604C">
        <w:rPr>
          <w:rFonts w:cs="Arial"/>
        </w:rPr>
        <w:t xml:space="preserve">The ACMA advances its international </w:t>
      </w:r>
      <w:r>
        <w:rPr>
          <w:rFonts w:cs="Arial"/>
        </w:rPr>
        <w:t>agenda</w:t>
      </w:r>
      <w:r w:rsidRPr="007B604C">
        <w:rPr>
          <w:rFonts w:cs="Arial"/>
        </w:rPr>
        <w:t xml:space="preserve"> through facilitating collaboration, coordinating various viewpoints and representing Australia’s positions in international </w:t>
      </w:r>
      <w:r>
        <w:rPr>
          <w:rFonts w:cs="Arial"/>
        </w:rPr>
        <w:t>fora</w:t>
      </w:r>
      <w:r w:rsidRPr="007B604C">
        <w:rPr>
          <w:rFonts w:cs="Arial"/>
        </w:rPr>
        <w:t>.</w:t>
      </w:r>
      <w:r w:rsidR="00C4193B" w:rsidRPr="009B0ADF">
        <w:rPr>
          <w:rFonts w:cs="Arial"/>
        </w:rPr>
        <w:t xml:space="preserve"> </w:t>
      </w:r>
      <w:r w:rsidR="00941815">
        <w:rPr>
          <w:rFonts w:cs="Arial"/>
        </w:rPr>
        <w:t>Domestically, there</w:t>
      </w:r>
      <w:r w:rsidR="007B513E">
        <w:rPr>
          <w:rFonts w:cs="Arial"/>
        </w:rPr>
        <w:t xml:space="preserve"> are</w:t>
      </w:r>
      <w:r w:rsidR="00941815">
        <w:rPr>
          <w:rFonts w:cs="Arial"/>
        </w:rPr>
        <w:t xml:space="preserve"> a number of consultative</w:t>
      </w:r>
      <w:r w:rsidR="005973D2">
        <w:rPr>
          <w:rFonts w:cs="Arial"/>
        </w:rPr>
        <w:t xml:space="preserve"> </w:t>
      </w:r>
      <w:r w:rsidR="00941815">
        <w:rPr>
          <w:rFonts w:cs="Arial"/>
        </w:rPr>
        <w:t xml:space="preserve">and technical working groups that inform the </w:t>
      </w:r>
      <w:r w:rsidR="00785F46">
        <w:rPr>
          <w:rFonts w:cs="Arial"/>
        </w:rPr>
        <w:t xml:space="preserve">ACMA’s </w:t>
      </w:r>
      <w:r w:rsidR="00853A16">
        <w:rPr>
          <w:rFonts w:cs="Arial"/>
        </w:rPr>
        <w:t xml:space="preserve">positions and </w:t>
      </w:r>
      <w:r w:rsidR="00941815">
        <w:rPr>
          <w:rFonts w:cs="Arial"/>
        </w:rPr>
        <w:t>contributions at international meetings. Regionally, the</w:t>
      </w:r>
      <w:r w:rsidR="00941815" w:rsidRPr="007B604C">
        <w:rPr>
          <w:rFonts w:cs="Arial"/>
        </w:rPr>
        <w:t xml:space="preserve"> </w:t>
      </w:r>
      <w:r w:rsidR="00941815">
        <w:rPr>
          <w:rFonts w:cs="Arial"/>
        </w:rPr>
        <w:t>ACMA fosters</w:t>
      </w:r>
      <w:r w:rsidR="00941815" w:rsidRPr="007B604C">
        <w:rPr>
          <w:rFonts w:cs="Arial"/>
        </w:rPr>
        <w:t xml:space="preserve"> support f</w:t>
      </w:r>
      <w:r w:rsidR="00853A16">
        <w:rPr>
          <w:rFonts w:cs="Arial"/>
        </w:rPr>
        <w:t>or Australian initiatives among</w:t>
      </w:r>
      <w:r w:rsidR="00941815" w:rsidRPr="007B604C">
        <w:rPr>
          <w:rFonts w:cs="Arial"/>
        </w:rPr>
        <w:t xml:space="preserve"> </w:t>
      </w:r>
      <w:r w:rsidR="00853A16">
        <w:rPr>
          <w:rFonts w:cs="Arial"/>
        </w:rPr>
        <w:t>neighbouring administrations</w:t>
      </w:r>
      <w:r w:rsidR="00941815">
        <w:rPr>
          <w:rFonts w:cs="Arial"/>
        </w:rPr>
        <w:t xml:space="preserve"> in Asia and the Pacific. </w:t>
      </w:r>
      <w:r w:rsidR="00206906">
        <w:rPr>
          <w:rFonts w:cs="Arial"/>
        </w:rPr>
        <w:t>Globally</w:t>
      </w:r>
      <w:r w:rsidR="00941815">
        <w:rPr>
          <w:rFonts w:cs="Arial"/>
        </w:rPr>
        <w:t>, t</w:t>
      </w:r>
      <w:r w:rsidR="00941815" w:rsidRPr="00BF22EF">
        <w:rPr>
          <w:rFonts w:cs="Arial"/>
        </w:rPr>
        <w:t xml:space="preserve">he </w:t>
      </w:r>
      <w:r w:rsidR="00941815">
        <w:rPr>
          <w:rFonts w:cs="Arial"/>
        </w:rPr>
        <w:t>ACMA operates within recognised international frameworks a</w:t>
      </w:r>
      <w:r w:rsidR="00941815" w:rsidRPr="00C046FF">
        <w:rPr>
          <w:rFonts w:cs="Arial"/>
        </w:rPr>
        <w:t>nd processes relevant to</w:t>
      </w:r>
      <w:r w:rsidR="00941815">
        <w:rPr>
          <w:rFonts w:cs="Arial"/>
        </w:rPr>
        <w:t xml:space="preserve"> the</w:t>
      </w:r>
      <w:r w:rsidR="00941815" w:rsidRPr="00C046FF">
        <w:rPr>
          <w:rFonts w:cs="Arial"/>
        </w:rPr>
        <w:t xml:space="preserve"> communications and media</w:t>
      </w:r>
      <w:r w:rsidR="00941815">
        <w:rPr>
          <w:rFonts w:cs="Arial"/>
        </w:rPr>
        <w:t xml:space="preserve"> sectors.</w:t>
      </w:r>
      <w:r w:rsidR="00853A16">
        <w:rPr>
          <w:rFonts w:cs="Arial"/>
        </w:rPr>
        <w:t xml:space="preserve"> Importantly, these activities are </w:t>
      </w:r>
      <w:r w:rsidR="00853A16" w:rsidRPr="007B604C">
        <w:rPr>
          <w:rFonts w:cs="Arial"/>
        </w:rPr>
        <w:t>underpinned by the significant expertise and knowledge the ACMA brings to working through the challenges of the global communications and media environment.</w:t>
      </w:r>
    </w:p>
    <w:p w14:paraId="3D2E4ACD" w14:textId="7A8A0252" w:rsidR="006C298C" w:rsidRDefault="00C046FF" w:rsidP="006C298C">
      <w:pPr>
        <w:rPr>
          <w:rFonts w:cs="Arial"/>
        </w:rPr>
      </w:pPr>
      <w:r w:rsidRPr="00C046FF">
        <w:rPr>
          <w:rFonts w:cs="Arial"/>
        </w:rPr>
        <w:t xml:space="preserve">Other strategies </w:t>
      </w:r>
      <w:r w:rsidR="00182ACF">
        <w:rPr>
          <w:rFonts w:cs="Arial"/>
        </w:rPr>
        <w:t xml:space="preserve">that enhance the ACMA’s </w:t>
      </w:r>
      <w:r w:rsidR="00DD53EF">
        <w:rPr>
          <w:rFonts w:cs="Arial"/>
        </w:rPr>
        <w:t xml:space="preserve">ability to achieve </w:t>
      </w:r>
      <w:r w:rsidR="00182ACF">
        <w:rPr>
          <w:rFonts w:cs="Arial"/>
        </w:rPr>
        <w:t xml:space="preserve">international </w:t>
      </w:r>
      <w:r w:rsidR="00DD53EF">
        <w:rPr>
          <w:rFonts w:cs="Arial"/>
        </w:rPr>
        <w:t>outcomes</w:t>
      </w:r>
      <w:r w:rsidR="00182ACF">
        <w:rPr>
          <w:rFonts w:cs="Arial"/>
        </w:rPr>
        <w:t xml:space="preserve"> include </w:t>
      </w:r>
      <w:r w:rsidR="00DD53EF">
        <w:rPr>
          <w:rFonts w:cs="Arial"/>
        </w:rPr>
        <w:t xml:space="preserve">strategic </w:t>
      </w:r>
      <w:r w:rsidR="00DD53EF" w:rsidRPr="00C046FF">
        <w:rPr>
          <w:rFonts w:cs="Arial"/>
        </w:rPr>
        <w:t>intelligence</w:t>
      </w:r>
      <w:r w:rsidR="00F26503">
        <w:rPr>
          <w:rFonts w:cs="Arial"/>
        </w:rPr>
        <w:t>-</w:t>
      </w:r>
      <w:r w:rsidRPr="00C046FF">
        <w:rPr>
          <w:rFonts w:cs="Arial"/>
        </w:rPr>
        <w:t>gather</w:t>
      </w:r>
      <w:r w:rsidR="00182ACF">
        <w:rPr>
          <w:rFonts w:cs="Arial"/>
        </w:rPr>
        <w:t>ing</w:t>
      </w:r>
      <w:r w:rsidRPr="00C046FF">
        <w:rPr>
          <w:rFonts w:cs="Arial"/>
        </w:rPr>
        <w:t xml:space="preserve"> </w:t>
      </w:r>
      <w:r w:rsidR="00631340">
        <w:rPr>
          <w:rFonts w:cs="Arial"/>
        </w:rPr>
        <w:t>on developme</w:t>
      </w:r>
      <w:r w:rsidR="00FD6EB9">
        <w:rPr>
          <w:rFonts w:cs="Arial"/>
        </w:rPr>
        <w:t>nts in media and communications</w:t>
      </w:r>
      <w:r w:rsidR="00F26503">
        <w:rPr>
          <w:rFonts w:cs="Arial"/>
        </w:rPr>
        <w:t>,</w:t>
      </w:r>
      <w:r w:rsidR="00631340">
        <w:rPr>
          <w:rFonts w:cs="Arial"/>
        </w:rPr>
        <w:t xml:space="preserve"> </w:t>
      </w:r>
      <w:r w:rsidR="00C4193B">
        <w:rPr>
          <w:rFonts w:cs="Arial"/>
        </w:rPr>
        <w:t>and information-sharing to promote trans-border cooperation.</w:t>
      </w:r>
      <w:r w:rsidR="00C4193B" w:rsidRPr="00C4193B">
        <w:rPr>
          <w:rFonts w:cs="Arial"/>
        </w:rPr>
        <w:t xml:space="preserve"> </w:t>
      </w:r>
      <w:r w:rsidR="00DD53EF">
        <w:rPr>
          <w:rFonts w:cs="Arial"/>
        </w:rPr>
        <w:t>The ACMA provides capacity</w:t>
      </w:r>
      <w:r w:rsidR="00F26503">
        <w:rPr>
          <w:rFonts w:cs="Arial"/>
        </w:rPr>
        <w:t>-</w:t>
      </w:r>
      <w:r w:rsidR="00DD53EF">
        <w:rPr>
          <w:rFonts w:cs="Arial"/>
        </w:rPr>
        <w:t xml:space="preserve">building opportunities for other communications and media regulators </w:t>
      </w:r>
      <w:r w:rsidR="004B232A">
        <w:rPr>
          <w:rFonts w:cs="Arial"/>
        </w:rPr>
        <w:t>by way</w:t>
      </w:r>
      <w:r w:rsidR="00DD53EF">
        <w:rPr>
          <w:rFonts w:cs="Arial"/>
        </w:rPr>
        <w:t xml:space="preserve"> of training programs</w:t>
      </w:r>
      <w:r w:rsidR="0045221B">
        <w:rPr>
          <w:rFonts w:cs="Arial"/>
        </w:rPr>
        <w:t>, contributions at international forums</w:t>
      </w:r>
      <w:r w:rsidR="00DD53EF">
        <w:rPr>
          <w:rFonts w:cs="Arial"/>
        </w:rPr>
        <w:t xml:space="preserve"> and </w:t>
      </w:r>
      <w:r w:rsidR="00BE67C4">
        <w:rPr>
          <w:rFonts w:cs="Arial"/>
        </w:rPr>
        <w:t>host</w:t>
      </w:r>
      <w:r w:rsidR="0045221B">
        <w:rPr>
          <w:rFonts w:cs="Arial"/>
        </w:rPr>
        <w:t>ing</w:t>
      </w:r>
      <w:r w:rsidR="00631340">
        <w:rPr>
          <w:rFonts w:cs="Arial"/>
        </w:rPr>
        <w:t xml:space="preserve"> visits to ACMA offices</w:t>
      </w:r>
      <w:r w:rsidR="00206906">
        <w:rPr>
          <w:rFonts w:cs="Arial"/>
        </w:rPr>
        <w:t xml:space="preserve"> to </w:t>
      </w:r>
      <w:r w:rsidR="00425231">
        <w:rPr>
          <w:rFonts w:cs="Arial"/>
        </w:rPr>
        <w:t>discuss</w:t>
      </w:r>
      <w:r w:rsidR="00206906">
        <w:rPr>
          <w:rFonts w:cs="Arial"/>
        </w:rPr>
        <w:t xml:space="preserve"> regulatory practice</w:t>
      </w:r>
      <w:r w:rsidR="00DD53EF">
        <w:rPr>
          <w:rFonts w:cs="Arial"/>
        </w:rPr>
        <w:t xml:space="preserve">. </w:t>
      </w:r>
      <w:r w:rsidR="00C4193B" w:rsidRPr="00C046FF">
        <w:rPr>
          <w:rFonts w:cs="Arial"/>
        </w:rPr>
        <w:t xml:space="preserve">Targeted participation by </w:t>
      </w:r>
      <w:r w:rsidR="00C4193B">
        <w:rPr>
          <w:rFonts w:cs="Arial"/>
        </w:rPr>
        <w:t>senior ACMA executives</w:t>
      </w:r>
      <w:r w:rsidR="00C4193B" w:rsidRPr="00C046FF">
        <w:rPr>
          <w:rFonts w:cs="Arial"/>
        </w:rPr>
        <w:t xml:space="preserve"> in international and regional fora, conferences and meetings and direct engagement</w:t>
      </w:r>
      <w:r w:rsidR="00C4193B">
        <w:rPr>
          <w:rFonts w:cs="Arial"/>
        </w:rPr>
        <w:t xml:space="preserve"> with </w:t>
      </w:r>
      <w:r w:rsidR="001035ED">
        <w:rPr>
          <w:rFonts w:cs="Arial"/>
        </w:rPr>
        <w:t>other relevant</w:t>
      </w:r>
      <w:r w:rsidR="00C4193B">
        <w:rPr>
          <w:rFonts w:cs="Arial"/>
        </w:rPr>
        <w:t xml:space="preserve"> regulators also </w:t>
      </w:r>
      <w:r w:rsidR="00BE67C4">
        <w:rPr>
          <w:rFonts w:cs="Arial"/>
        </w:rPr>
        <w:t>support</w:t>
      </w:r>
      <w:r w:rsidR="001035ED">
        <w:rPr>
          <w:rFonts w:cs="Arial"/>
        </w:rPr>
        <w:t xml:space="preserve"> </w:t>
      </w:r>
      <w:r w:rsidR="00DA6096">
        <w:rPr>
          <w:rFonts w:cs="Arial"/>
        </w:rPr>
        <w:t>the effectiveness of the ACMA’s international engagement</w:t>
      </w:r>
      <w:r w:rsidR="00C4193B" w:rsidRPr="00C046FF">
        <w:rPr>
          <w:rFonts w:cs="Arial"/>
        </w:rPr>
        <w:t>.</w:t>
      </w:r>
      <w:r w:rsidR="00C4193B">
        <w:rPr>
          <w:rFonts w:cs="Arial"/>
        </w:rPr>
        <w:t xml:space="preserve"> </w:t>
      </w:r>
    </w:p>
    <w:p w14:paraId="33F87643" w14:textId="20AB5837" w:rsidR="00E034E4" w:rsidRDefault="00E034E4" w:rsidP="00E034E4">
      <w:pPr>
        <w:pStyle w:val="Heading1"/>
      </w:pPr>
      <w:bookmarkStart w:id="3" w:name="_Toc285789710"/>
      <w:bookmarkStart w:id="4" w:name="_Toc285791789"/>
      <w:bookmarkStart w:id="5" w:name="_Toc422924226"/>
      <w:bookmarkEnd w:id="2"/>
      <w:r>
        <w:t>About th</w:t>
      </w:r>
      <w:bookmarkEnd w:id="3"/>
      <w:bookmarkEnd w:id="4"/>
      <w:r w:rsidR="00F23737">
        <w:t>is paper</w:t>
      </w:r>
      <w:bookmarkEnd w:id="5"/>
    </w:p>
    <w:p w14:paraId="5DDDAF5F" w14:textId="613FA39F" w:rsidR="00E034E4" w:rsidRPr="00FB1DB4" w:rsidRDefault="00F23737" w:rsidP="00E034E4">
      <w:r>
        <w:t xml:space="preserve">This </w:t>
      </w:r>
      <w:r w:rsidR="00BB6546">
        <w:t>o</w:t>
      </w:r>
      <w:r w:rsidR="00206906">
        <w:t xml:space="preserve">ccasional </w:t>
      </w:r>
      <w:r w:rsidR="00BB6546">
        <w:t>p</w:t>
      </w:r>
      <w:r>
        <w:t xml:space="preserve">aper discusses the reasons why the ACMA undertakes international engagement in terms of </w:t>
      </w:r>
      <w:r w:rsidR="006D4935">
        <w:t xml:space="preserve">the </w:t>
      </w:r>
      <w:r>
        <w:t>global</w:t>
      </w:r>
      <w:r w:rsidR="006D4935">
        <w:t xml:space="preserve"> communications and media environment</w:t>
      </w:r>
      <w:r>
        <w:t xml:space="preserve"> and the public interest benefits it aims to achieve through </w:t>
      </w:r>
      <w:r w:rsidR="00DA6096">
        <w:t>its engagement</w:t>
      </w:r>
      <w:r>
        <w:t xml:space="preserve">. </w:t>
      </w:r>
      <w:r w:rsidR="006D4935">
        <w:t>The paper</w:t>
      </w:r>
      <w:r>
        <w:t xml:space="preserve"> provides an overview of the </w:t>
      </w:r>
      <w:r w:rsidR="00C15177">
        <w:t>strategies the ACMA uses in undertaking</w:t>
      </w:r>
      <w:r>
        <w:t xml:space="preserve"> international engagement and </w:t>
      </w:r>
      <w:r w:rsidR="00C15177">
        <w:t>case studies</w:t>
      </w:r>
      <w:r>
        <w:t xml:space="preserve"> </w:t>
      </w:r>
      <w:r w:rsidR="00C15177">
        <w:t>which demonstrate what</w:t>
      </w:r>
      <w:r w:rsidR="006D4935">
        <w:t xml:space="preserve"> the ACMA has achieved through its international engagement. </w:t>
      </w:r>
    </w:p>
    <w:p w14:paraId="1C9DB0D9" w14:textId="4AFBEBFC" w:rsidR="00E034E4" w:rsidRDefault="00E034E4" w:rsidP="00E034E4">
      <w:pPr>
        <w:pStyle w:val="Heading2"/>
      </w:pPr>
      <w:bookmarkStart w:id="6" w:name="_Toc285789711"/>
      <w:bookmarkStart w:id="7" w:name="_Toc285791790"/>
      <w:bookmarkStart w:id="8" w:name="_Toc422924227"/>
      <w:r w:rsidRPr="00A84172">
        <w:rPr>
          <w:b w:val="0"/>
        </w:rPr>
        <w:t>research</w:t>
      </w:r>
      <w:r>
        <w:t>acma</w:t>
      </w:r>
      <w:bookmarkEnd w:id="6"/>
      <w:bookmarkEnd w:id="7"/>
      <w:bookmarkEnd w:id="8"/>
    </w:p>
    <w:p w14:paraId="6896266F" w14:textId="431C0A15" w:rsidR="00E034E4" w:rsidRDefault="00E034E4" w:rsidP="00E034E4">
      <w:r>
        <w:t>Our research program—</w:t>
      </w:r>
      <w:r w:rsidRPr="00693B15">
        <w:t>research</w:t>
      </w:r>
      <w:r w:rsidRPr="00187942">
        <w:rPr>
          <w:rStyle w:val="Strong"/>
        </w:rPr>
        <w:t>acma</w:t>
      </w:r>
      <w:r>
        <w:rPr>
          <w:b/>
        </w:rPr>
        <w:t>—</w:t>
      </w:r>
      <w:r w:rsidRPr="00693B15">
        <w:t>underpins our work and decisions as an evidence-</w:t>
      </w:r>
      <w:r>
        <w:t>informed</w:t>
      </w:r>
      <w:r w:rsidRPr="00693B15">
        <w:t xml:space="preserve"> regulator. </w:t>
      </w:r>
      <w:r>
        <w:t>It</w:t>
      </w:r>
      <w:r w:rsidRPr="00693B15">
        <w:t xml:space="preserve"> </w:t>
      </w:r>
      <w:r>
        <w:t>contributes to</w:t>
      </w:r>
      <w:r w:rsidRPr="00693B15">
        <w:t xml:space="preserve"> </w:t>
      </w:r>
      <w:r>
        <w:t xml:space="preserve">our </w:t>
      </w:r>
      <w:r w:rsidRPr="00693B15">
        <w:t>strategic policy development, regulatory reviews and investigations, and helps us to make media and communications work for all Australians.</w:t>
      </w:r>
    </w:p>
    <w:p w14:paraId="634D539A" w14:textId="1F6FBE86" w:rsidR="00E034E4" w:rsidRPr="00187942" w:rsidRDefault="00E034E4" w:rsidP="002006FB">
      <w:pPr>
        <w:spacing w:after="80"/>
      </w:pPr>
      <w:r w:rsidRPr="00187942">
        <w:t>research</w:t>
      </w:r>
      <w:r w:rsidRPr="00187942">
        <w:rPr>
          <w:rStyle w:val="Strong"/>
        </w:rPr>
        <w:t>acma</w:t>
      </w:r>
      <w:r w:rsidRPr="00187942">
        <w:t xml:space="preserve"> has five broad areas of interest: </w:t>
      </w:r>
    </w:p>
    <w:p w14:paraId="288D2EA3" w14:textId="44881C60" w:rsidR="00E034E4" w:rsidRDefault="00E034E4" w:rsidP="00E034E4">
      <w:pPr>
        <w:pStyle w:val="ListBullet"/>
      </w:pPr>
      <w:r>
        <w:t xml:space="preserve">market developments </w:t>
      </w:r>
    </w:p>
    <w:p w14:paraId="4B42E813" w14:textId="155AA567" w:rsidR="00E034E4" w:rsidRDefault="00E034E4" w:rsidP="00E034E4">
      <w:pPr>
        <w:pStyle w:val="ListBullet"/>
      </w:pPr>
      <w:r>
        <w:t xml:space="preserve">media content and culture </w:t>
      </w:r>
    </w:p>
    <w:p w14:paraId="60CDF7F8" w14:textId="6B64B5E3" w:rsidR="00262448" w:rsidRDefault="00262448" w:rsidP="00262448">
      <w:pPr>
        <w:pStyle w:val="ListBullet"/>
      </w:pPr>
      <w:r>
        <w:t>social and economic participation</w:t>
      </w:r>
    </w:p>
    <w:p w14:paraId="58AEC17B" w14:textId="2C666438" w:rsidR="00E034E4" w:rsidRDefault="00E034E4" w:rsidP="00E034E4">
      <w:pPr>
        <w:pStyle w:val="ListBullet"/>
      </w:pPr>
      <w:r>
        <w:t xml:space="preserve">citizen and consumer safeguards </w:t>
      </w:r>
    </w:p>
    <w:p w14:paraId="43416419" w14:textId="24723DB6" w:rsidR="00E034E4" w:rsidRDefault="00E034E4" w:rsidP="00E034E4">
      <w:pPr>
        <w:pStyle w:val="ListBulletLast"/>
      </w:pPr>
      <w:r>
        <w:t xml:space="preserve">regulatory best practice and development. </w:t>
      </w:r>
    </w:p>
    <w:p w14:paraId="3EA9F9CF" w14:textId="4447548F" w:rsidR="00E034E4" w:rsidRDefault="00E034E4" w:rsidP="00E034E4">
      <w:r w:rsidRPr="00D861F1">
        <w:t xml:space="preserve">This research contributes to the ACMA’s </w:t>
      </w:r>
      <w:r w:rsidR="00206906">
        <w:t>regulatory best practice and development</w:t>
      </w:r>
      <w:r w:rsidRPr="00D861F1">
        <w:t xml:space="preserve"> theme.</w:t>
      </w:r>
    </w:p>
    <w:p w14:paraId="19E1552A" w14:textId="40D17562" w:rsidR="00BE4C11" w:rsidRPr="000D76E0" w:rsidRDefault="00DA6096" w:rsidP="00777BA2">
      <w:pPr>
        <w:pStyle w:val="Heading1"/>
      </w:pPr>
      <w:bookmarkStart w:id="9" w:name="_Toc422924228"/>
      <w:r>
        <w:t>Why the ACMA engage</w:t>
      </w:r>
      <w:r w:rsidR="00F26503">
        <w:t>s internationally</w:t>
      </w:r>
      <w:bookmarkEnd w:id="9"/>
    </w:p>
    <w:p w14:paraId="2F4028DF" w14:textId="010CFF40" w:rsidR="00DA6096" w:rsidRDefault="005876B8" w:rsidP="00DA6096">
      <w:pPr>
        <w:rPr>
          <w:rFonts w:cs="Arial"/>
        </w:rPr>
      </w:pPr>
      <w:r>
        <w:rPr>
          <w:rFonts w:cs="Arial"/>
        </w:rPr>
        <w:t xml:space="preserve">The </w:t>
      </w:r>
      <w:r w:rsidR="00DA6096">
        <w:rPr>
          <w:rFonts w:cs="Arial"/>
        </w:rPr>
        <w:t>ACMA</w:t>
      </w:r>
      <w:r>
        <w:rPr>
          <w:rFonts w:cs="Arial"/>
        </w:rPr>
        <w:t xml:space="preserve"> engages internationally </w:t>
      </w:r>
      <w:r w:rsidR="00DA6096">
        <w:rPr>
          <w:rFonts w:cs="Arial"/>
        </w:rPr>
        <w:t>t</w:t>
      </w:r>
      <w:r w:rsidR="00DA6096" w:rsidRPr="00DA6096">
        <w:rPr>
          <w:rFonts w:cs="Arial"/>
        </w:rPr>
        <w:t xml:space="preserve">o strengthen </w:t>
      </w:r>
      <w:r>
        <w:rPr>
          <w:rFonts w:cs="Arial"/>
        </w:rPr>
        <w:t>its</w:t>
      </w:r>
      <w:r w:rsidR="00F26503">
        <w:rPr>
          <w:rFonts w:cs="Arial"/>
        </w:rPr>
        <w:t>—</w:t>
      </w:r>
      <w:r w:rsidR="002731A5">
        <w:rPr>
          <w:rFonts w:cs="Arial"/>
        </w:rPr>
        <w:t>and ultimately Australia’s</w:t>
      </w:r>
      <w:r w:rsidR="00F26503">
        <w:rPr>
          <w:rFonts w:cs="Arial"/>
        </w:rPr>
        <w:t>—</w:t>
      </w:r>
      <w:r w:rsidR="00DA6096" w:rsidRPr="00DA6096">
        <w:rPr>
          <w:rFonts w:cs="Arial"/>
        </w:rPr>
        <w:t>influence, reputation and relationships in a globalised communications and media environment</w:t>
      </w:r>
      <w:r w:rsidR="00F26503">
        <w:rPr>
          <w:rFonts w:cs="Arial"/>
        </w:rPr>
        <w:t xml:space="preserve">. This </w:t>
      </w:r>
      <w:r w:rsidR="000105EB">
        <w:rPr>
          <w:rFonts w:cs="Arial"/>
        </w:rPr>
        <w:t>helps it achieve its</w:t>
      </w:r>
      <w:r w:rsidR="00643CFE">
        <w:rPr>
          <w:rFonts w:cs="Arial"/>
        </w:rPr>
        <w:t xml:space="preserve"> purpose of</w:t>
      </w:r>
      <w:r w:rsidR="00DA6096" w:rsidRPr="00DA6096">
        <w:rPr>
          <w:rFonts w:cs="Arial"/>
        </w:rPr>
        <w:t xml:space="preserve"> making communications and media work in the public interest through world’s best</w:t>
      </w:r>
      <w:r w:rsidR="000105EB">
        <w:rPr>
          <w:rFonts w:cs="Arial"/>
        </w:rPr>
        <w:t>-</w:t>
      </w:r>
      <w:r w:rsidR="00DA6096" w:rsidRPr="00DA6096">
        <w:rPr>
          <w:rFonts w:cs="Arial"/>
        </w:rPr>
        <w:t>practice regulatory approaches.</w:t>
      </w:r>
    </w:p>
    <w:p w14:paraId="0DD78859" w14:textId="4D1D578E" w:rsidR="00DA6096" w:rsidRPr="00DA6096" w:rsidRDefault="00407149" w:rsidP="00DA6096">
      <w:pPr>
        <w:pStyle w:val="Heading2"/>
      </w:pPr>
      <w:bookmarkStart w:id="10" w:name="_Toc422924229"/>
      <w:r>
        <w:t>International engagement provisions in ACMA legislation</w:t>
      </w:r>
      <w:bookmarkEnd w:id="10"/>
    </w:p>
    <w:p w14:paraId="1E83ED6B" w14:textId="6AA8F84A" w:rsidR="00697C2D" w:rsidRPr="00697C2D" w:rsidRDefault="00697C2D" w:rsidP="00B20861">
      <w:pPr>
        <w:spacing w:after="80"/>
        <w:rPr>
          <w:rFonts w:cs="Arial"/>
        </w:rPr>
      </w:pPr>
      <w:r w:rsidRPr="00697C2D">
        <w:rPr>
          <w:rFonts w:cs="Arial"/>
        </w:rPr>
        <w:t>The ACMA has a number of legislative responsibilities that reflect the globalised nature of communications and media</w:t>
      </w:r>
      <w:r w:rsidR="000105EB">
        <w:rPr>
          <w:rFonts w:cs="Arial"/>
        </w:rPr>
        <w:t>. These</w:t>
      </w:r>
      <w:r w:rsidRPr="00697C2D">
        <w:rPr>
          <w:rFonts w:cs="Arial"/>
        </w:rPr>
        <w:t xml:space="preserve"> set an expectation that the ACMA engage</w:t>
      </w:r>
      <w:r w:rsidR="000105EB">
        <w:rPr>
          <w:rFonts w:cs="Arial"/>
        </w:rPr>
        <w:t>s</w:t>
      </w:r>
      <w:r w:rsidRPr="00697C2D">
        <w:rPr>
          <w:rFonts w:cs="Arial"/>
        </w:rPr>
        <w:t xml:space="preserve"> internationally as a strategy to support regulatory outcomes. </w:t>
      </w:r>
    </w:p>
    <w:p w14:paraId="6207C05C" w14:textId="0887E3F7" w:rsidR="00697C2D" w:rsidRPr="00697C2D" w:rsidRDefault="00697C2D" w:rsidP="00697C2D">
      <w:pPr>
        <w:pStyle w:val="ListBullet"/>
      </w:pPr>
      <w:r w:rsidRPr="00774114">
        <w:rPr>
          <w:i/>
        </w:rPr>
        <w:t>Australian Communications and Media Act 2005</w:t>
      </w:r>
      <w:r w:rsidR="000105EB">
        <w:t>—</w:t>
      </w:r>
      <w:r w:rsidRPr="00697C2D">
        <w:t>under sections 8 and 9, the ACMA has responsibility to manage Australia’s input into international standards</w:t>
      </w:r>
      <w:r w:rsidR="000105EB">
        <w:t>-</w:t>
      </w:r>
      <w:r w:rsidRPr="00697C2D">
        <w:t xml:space="preserve">setting for telecommunications and radiocommunications (except where Standards Australia is responsible for such input). </w:t>
      </w:r>
    </w:p>
    <w:p w14:paraId="5D803CD3" w14:textId="3ED301B8" w:rsidR="00697C2D" w:rsidRPr="00697C2D" w:rsidRDefault="00697C2D" w:rsidP="00697C2D">
      <w:pPr>
        <w:pStyle w:val="ListBullet"/>
      </w:pPr>
      <w:r w:rsidRPr="00774114">
        <w:rPr>
          <w:i/>
        </w:rPr>
        <w:t>Radiocommunications Act 1992</w:t>
      </w:r>
      <w:r w:rsidR="000105EB">
        <w:t>—</w:t>
      </w:r>
      <w:r w:rsidRPr="00697C2D">
        <w:t>objects under section 3 include the provision of a regulatory environment that maximises opportunities for the Australian communications industry in domestic and international markets</w:t>
      </w:r>
      <w:r w:rsidR="000105EB">
        <w:t>,</w:t>
      </w:r>
      <w:r w:rsidRPr="00697C2D">
        <w:t xml:space="preserve"> and the promotion of Australia’s interests </w:t>
      </w:r>
      <w:r w:rsidR="000105EB">
        <w:t>in</w:t>
      </w:r>
      <w:r w:rsidR="000105EB" w:rsidRPr="00697C2D">
        <w:t xml:space="preserve"> </w:t>
      </w:r>
      <w:r w:rsidRPr="00697C2D">
        <w:t xml:space="preserve">international agreements, treaties and conventions relating to radiocommunications or the radiofrequency spectrum. </w:t>
      </w:r>
    </w:p>
    <w:p w14:paraId="0497889A" w14:textId="54F63CD9" w:rsidR="00774114" w:rsidRPr="00AA53D9" w:rsidRDefault="00774114" w:rsidP="00774114">
      <w:pPr>
        <w:pStyle w:val="ListBullet"/>
        <w:numPr>
          <w:ilvl w:val="0"/>
          <w:numId w:val="0"/>
        </w:numPr>
        <w:ind w:left="295"/>
      </w:pPr>
      <w:r>
        <w:rPr>
          <w:lang w:val="en-US"/>
        </w:rPr>
        <w:t>Under section 299, a</w:t>
      </w:r>
      <w:r w:rsidRPr="00047F29">
        <w:rPr>
          <w:lang w:val="en-US"/>
        </w:rPr>
        <w:t xml:space="preserve"> person or body exercising a power </w:t>
      </w:r>
      <w:r>
        <w:rPr>
          <w:lang w:val="en-US"/>
        </w:rPr>
        <w:t>under the</w:t>
      </w:r>
      <w:r w:rsidRPr="00047F29">
        <w:rPr>
          <w:lang w:val="en-US"/>
        </w:rPr>
        <w:t xml:space="preserve"> Act</w:t>
      </w:r>
      <w:r>
        <w:rPr>
          <w:lang w:val="en-US"/>
        </w:rPr>
        <w:t xml:space="preserve"> </w:t>
      </w:r>
      <w:r w:rsidRPr="00047F29">
        <w:rPr>
          <w:lang w:val="en-US"/>
        </w:rPr>
        <w:t xml:space="preserve">(other than Part </w:t>
      </w:r>
      <w:r>
        <w:rPr>
          <w:lang w:val="en-US"/>
        </w:rPr>
        <w:t>4.4 or 5.5) must have regard to</w:t>
      </w:r>
      <w:r w:rsidRPr="00047F29">
        <w:rPr>
          <w:lang w:val="en-US"/>
        </w:rPr>
        <w:t xml:space="preserve"> any agreement, treaty or convention between Australia and</w:t>
      </w:r>
      <w:r>
        <w:rPr>
          <w:lang w:val="en-US"/>
        </w:rPr>
        <w:t xml:space="preserve"> </w:t>
      </w:r>
      <w:r w:rsidRPr="00047F29">
        <w:rPr>
          <w:lang w:val="en-US"/>
        </w:rPr>
        <w:t>another country or countries that makes provision in relation</w:t>
      </w:r>
      <w:r>
        <w:rPr>
          <w:lang w:val="en-US"/>
        </w:rPr>
        <w:t xml:space="preserve"> to radio emission.</w:t>
      </w:r>
    </w:p>
    <w:p w14:paraId="0DC16A40" w14:textId="797EE26E" w:rsidR="00697C2D" w:rsidRPr="00697C2D" w:rsidRDefault="00697C2D" w:rsidP="00774114">
      <w:pPr>
        <w:pStyle w:val="ListBullet"/>
      </w:pPr>
      <w:r w:rsidRPr="00774114">
        <w:rPr>
          <w:i/>
        </w:rPr>
        <w:t>Telecommunications Act 1997</w:t>
      </w:r>
      <w:r w:rsidR="000105EB">
        <w:t>—</w:t>
      </w:r>
      <w:r w:rsidRPr="00697C2D">
        <w:t xml:space="preserve">objects in section 3 include the provision of a regulatory framework that promotes the efficiency and international competitiveness of the Australian telecommunications industry. Other references in this Act include compliance by carriers and carriage service providers with international agreements (Part 20), international standards </w:t>
      </w:r>
      <w:r w:rsidR="000105EB">
        <w:t>for</w:t>
      </w:r>
      <w:r w:rsidRPr="00697C2D">
        <w:t xml:space="preserve"> numbering (Part 22) and submarine cable regulation (Part 24A). International technical standards are also implicitly relevant to the ACMA’s technical regulation powers (Part 21).</w:t>
      </w:r>
    </w:p>
    <w:p w14:paraId="71447741" w14:textId="03E16410" w:rsidR="00697C2D" w:rsidRPr="00697C2D" w:rsidRDefault="00697C2D" w:rsidP="00774114">
      <w:pPr>
        <w:pStyle w:val="ListBullet"/>
      </w:pPr>
      <w:r w:rsidRPr="00774114">
        <w:rPr>
          <w:i/>
        </w:rPr>
        <w:t>Spam Act 2003</w:t>
      </w:r>
      <w:r w:rsidR="000105EB">
        <w:t>—</w:t>
      </w:r>
      <w:r w:rsidRPr="00697C2D">
        <w:t>under section 42</w:t>
      </w:r>
      <w:r w:rsidR="000105EB">
        <w:t>,</w:t>
      </w:r>
      <w:r w:rsidRPr="00697C2D">
        <w:t xml:space="preserve"> the ACMA is to liaise with regulatory and other relevant bodies overseas about cooperative arrangements for the prohibition or regulation of unsolicited commercial electronic messages and address-harvesting software.</w:t>
      </w:r>
    </w:p>
    <w:p w14:paraId="6A9FEE53" w14:textId="3A4C761E" w:rsidR="00697C2D" w:rsidRPr="00697C2D" w:rsidRDefault="00697C2D" w:rsidP="00774114">
      <w:pPr>
        <w:pStyle w:val="ListBullet"/>
      </w:pPr>
      <w:r w:rsidRPr="00774114">
        <w:rPr>
          <w:i/>
        </w:rPr>
        <w:t>Do Not Call Register Act 2006</w:t>
      </w:r>
      <w:r w:rsidR="000105EB">
        <w:t>—</w:t>
      </w:r>
      <w:r w:rsidRPr="00697C2D">
        <w:t>under section 41</w:t>
      </w:r>
      <w:r w:rsidR="000105EB">
        <w:t>,</w:t>
      </w:r>
      <w:r w:rsidRPr="00697C2D">
        <w:t xml:space="preserve"> the ACMA is to liaise with regulatory and other relevant bodies overseas about cooperative arrangements for the prohibition or regulation of unsolicited telemarketing calls and unsolicited marketing faxes. Section 44 anticipates that Australia will enter into multilateral arrangements with other countries concerned about the regulation of telemarketing and enables regulations to be made giving effect to these agreements once in place.</w:t>
      </w:r>
    </w:p>
    <w:p w14:paraId="582C2FCA" w14:textId="4E6CD622" w:rsidR="003E3C64" w:rsidRDefault="00697C2D" w:rsidP="003E3C64">
      <w:pPr>
        <w:pStyle w:val="ListBullet"/>
      </w:pPr>
      <w:r w:rsidRPr="003E3C64">
        <w:rPr>
          <w:i/>
        </w:rPr>
        <w:t>Broadcasting Services Act 1992</w:t>
      </w:r>
      <w:r w:rsidR="000105EB">
        <w:t>—</w:t>
      </w:r>
      <w:r w:rsidR="003C582A">
        <w:t xml:space="preserve">on 1 July 2015, the ACMA’s </w:t>
      </w:r>
      <w:r w:rsidR="002D0E66">
        <w:t>responsibilities</w:t>
      </w:r>
      <w:r w:rsidR="003C582A">
        <w:t xml:space="preserve"> </w:t>
      </w:r>
      <w:r w:rsidR="000105EB">
        <w:t>for</w:t>
      </w:r>
      <w:r w:rsidR="003C582A">
        <w:t xml:space="preserve"> online content </w:t>
      </w:r>
      <w:r w:rsidR="004C135C">
        <w:t>will be</w:t>
      </w:r>
      <w:r w:rsidR="003C582A">
        <w:t xml:space="preserve"> transferred to the new </w:t>
      </w:r>
      <w:r w:rsidR="000105EB">
        <w:t xml:space="preserve">Office of the </w:t>
      </w:r>
      <w:r w:rsidR="003C582A">
        <w:t>Children’s e</w:t>
      </w:r>
      <w:r w:rsidR="000105EB">
        <w:t>S</w:t>
      </w:r>
      <w:r w:rsidR="003C582A">
        <w:t xml:space="preserve">afety Commissioner. However, </w:t>
      </w:r>
      <w:r w:rsidR="002D0E66">
        <w:t xml:space="preserve">over a number of years </w:t>
      </w:r>
      <w:r w:rsidR="003C582A">
        <w:t>the ACMA has</w:t>
      </w:r>
      <w:r w:rsidR="008A0BA8">
        <w:t xml:space="preserve"> </w:t>
      </w:r>
      <w:r w:rsidR="003C582A">
        <w:t xml:space="preserve">undertaken considerable international engagement under </w:t>
      </w:r>
      <w:r w:rsidR="003E3C64" w:rsidRPr="003E3C64">
        <w:t>clause 94 of Schedule 5 and clause</w:t>
      </w:r>
      <w:r w:rsidR="000105EB">
        <w:t> </w:t>
      </w:r>
      <w:r w:rsidR="003E3C64" w:rsidRPr="003E3C64">
        <w:t xml:space="preserve">114 of Schedule </w:t>
      </w:r>
      <w:r w:rsidR="003C582A">
        <w:t>7</w:t>
      </w:r>
      <w:r w:rsidR="004C135C">
        <w:t xml:space="preserve"> of the Broadcasting Services Act</w:t>
      </w:r>
      <w:r w:rsidR="003C582A">
        <w:t xml:space="preserve">. These clauses provided for </w:t>
      </w:r>
      <w:r w:rsidR="003E3C64" w:rsidRPr="003E3C64">
        <w:t xml:space="preserve">the ACMA </w:t>
      </w:r>
      <w:r w:rsidR="003C582A">
        <w:t>to liaise</w:t>
      </w:r>
      <w:r w:rsidR="003E3C64" w:rsidRPr="003E3C64">
        <w:t xml:space="preserve"> with regulatory and other relevant bodies overseas about cooperative arrangements for the regulation of the internet industry and the commercial content services industry, including (but not limited to) collaborative arrangements to develop multilateral codes of practice and content</w:t>
      </w:r>
      <w:r w:rsidR="000105EB">
        <w:t>-</w:t>
      </w:r>
      <w:r w:rsidR="003E3C64" w:rsidRPr="003E3C64">
        <w:t>labelling technologies.</w:t>
      </w:r>
    </w:p>
    <w:p w14:paraId="12912D27" w14:textId="7752AA57" w:rsidR="00697C2D" w:rsidRPr="00697C2D" w:rsidRDefault="003C582A" w:rsidP="003E3C64">
      <w:pPr>
        <w:pStyle w:val="ListBullet"/>
        <w:numPr>
          <w:ilvl w:val="0"/>
          <w:numId w:val="0"/>
        </w:numPr>
        <w:ind w:left="295"/>
      </w:pPr>
      <w:r>
        <w:t xml:space="preserve">Part 8B </w:t>
      </w:r>
      <w:r w:rsidR="004C135C">
        <w:t xml:space="preserve">of this Act </w:t>
      </w:r>
      <w:r w:rsidR="00407149">
        <w:t xml:space="preserve">provides for </w:t>
      </w:r>
      <w:r w:rsidR="00407149" w:rsidRPr="00697C2D">
        <w:t>applications</w:t>
      </w:r>
      <w:r w:rsidR="00407149">
        <w:t xml:space="preserve"> for</w:t>
      </w:r>
      <w:r w:rsidR="00407149" w:rsidRPr="00697C2D">
        <w:t xml:space="preserve"> international broadcasting licences</w:t>
      </w:r>
      <w:r w:rsidR="00407149">
        <w:t xml:space="preserve"> </w:t>
      </w:r>
      <w:r>
        <w:t>to</w:t>
      </w:r>
      <w:r w:rsidR="00407149">
        <w:t xml:space="preserve"> be made to the ACMA</w:t>
      </w:r>
      <w:r w:rsidR="00697C2D" w:rsidRPr="00697C2D">
        <w:t xml:space="preserve">. These </w:t>
      </w:r>
      <w:r w:rsidR="00407149">
        <w:t>licences are for the broadcast of</w:t>
      </w:r>
      <w:r w:rsidR="00697C2D" w:rsidRPr="00697C2D">
        <w:t xml:space="preserve"> services from Australia to audiences in other countries (but do not include services provided by the Australian Broadcasting Corporation or the Special Broadcasting Service</w:t>
      </w:r>
      <w:r w:rsidR="000105EB">
        <w:t>,</w:t>
      </w:r>
      <w:r w:rsidR="00697C2D" w:rsidRPr="00697C2D">
        <w:t xml:space="preserve"> or other exempt services as defined in the Act). Licensing these services ensures Australia’s national interest is considered before any services are broadcast internationally.</w:t>
      </w:r>
    </w:p>
    <w:p w14:paraId="43C68F66" w14:textId="2EC99506" w:rsidR="00FF3C69" w:rsidRDefault="000105EB" w:rsidP="006D2A68">
      <w:pPr>
        <w:pStyle w:val="Heading2"/>
      </w:pPr>
      <w:bookmarkStart w:id="11" w:name="_Toc422924230"/>
      <w:r>
        <w:t>Using i</w:t>
      </w:r>
      <w:r w:rsidR="006D2A68">
        <w:t xml:space="preserve">nternational engagement </w:t>
      </w:r>
      <w:r>
        <w:t>to</w:t>
      </w:r>
      <w:r w:rsidR="006D2A68">
        <w:t xml:space="preserve"> a</w:t>
      </w:r>
      <w:r w:rsidR="003E161E">
        <w:t>chiev</w:t>
      </w:r>
      <w:r>
        <w:t>e</w:t>
      </w:r>
      <w:r w:rsidR="003E161E">
        <w:t xml:space="preserve"> </w:t>
      </w:r>
      <w:r>
        <w:t xml:space="preserve">communications and media </w:t>
      </w:r>
      <w:r w:rsidR="006D2A68">
        <w:t>public interest outcomes</w:t>
      </w:r>
      <w:bookmarkEnd w:id="11"/>
    </w:p>
    <w:p w14:paraId="337805DC" w14:textId="0666E452" w:rsidR="00FF3C69" w:rsidRDefault="00832E7B" w:rsidP="005864B4">
      <w:pPr>
        <w:rPr>
          <w:rFonts w:cs="Arial"/>
        </w:rPr>
      </w:pPr>
      <w:r w:rsidRPr="005864B4">
        <w:rPr>
          <w:rFonts w:cs="Arial"/>
        </w:rPr>
        <w:t xml:space="preserve">The following examples illustrate </w:t>
      </w:r>
      <w:r w:rsidR="00CA37B3" w:rsidRPr="005864B4">
        <w:rPr>
          <w:rFonts w:cs="Arial"/>
        </w:rPr>
        <w:t>some</w:t>
      </w:r>
      <w:r w:rsidR="004C135C" w:rsidRPr="005864B4">
        <w:rPr>
          <w:rFonts w:cs="Arial"/>
        </w:rPr>
        <w:t xml:space="preserve"> of</w:t>
      </w:r>
      <w:r w:rsidRPr="005864B4">
        <w:rPr>
          <w:rFonts w:cs="Arial"/>
        </w:rPr>
        <w:t xml:space="preserve"> </w:t>
      </w:r>
      <w:r w:rsidR="00CA37B3" w:rsidRPr="005864B4">
        <w:rPr>
          <w:rFonts w:cs="Arial"/>
        </w:rPr>
        <w:t xml:space="preserve">the </w:t>
      </w:r>
      <w:r w:rsidRPr="005864B4">
        <w:rPr>
          <w:rFonts w:cs="Arial"/>
        </w:rPr>
        <w:t xml:space="preserve">benefits </w:t>
      </w:r>
      <w:r w:rsidR="000105EB">
        <w:rPr>
          <w:rFonts w:cs="Arial"/>
        </w:rPr>
        <w:t xml:space="preserve">of </w:t>
      </w:r>
      <w:r w:rsidRPr="005864B4">
        <w:rPr>
          <w:rFonts w:cs="Arial"/>
        </w:rPr>
        <w:t xml:space="preserve">international engagement </w:t>
      </w:r>
      <w:r w:rsidR="000105EB">
        <w:rPr>
          <w:rFonts w:cs="Arial"/>
        </w:rPr>
        <w:t>in</w:t>
      </w:r>
      <w:r w:rsidR="004C135C" w:rsidRPr="005864B4">
        <w:rPr>
          <w:rFonts w:cs="Arial"/>
        </w:rPr>
        <w:t xml:space="preserve"> the ACMA’s</w:t>
      </w:r>
      <w:r w:rsidR="009D7FF3" w:rsidRPr="005864B4">
        <w:rPr>
          <w:rFonts w:cs="Arial"/>
        </w:rPr>
        <w:t xml:space="preserve"> key</w:t>
      </w:r>
      <w:r w:rsidR="004C135C" w:rsidRPr="005864B4">
        <w:rPr>
          <w:rFonts w:cs="Arial"/>
        </w:rPr>
        <w:t xml:space="preserve"> areas of responsibility.</w:t>
      </w:r>
      <w:r w:rsidR="00361AF6" w:rsidRPr="005864B4">
        <w:rPr>
          <w:rFonts w:cs="Arial"/>
        </w:rPr>
        <w:t xml:space="preserve"> They also reveal how </w:t>
      </w:r>
      <w:r w:rsidR="007B6A3C">
        <w:rPr>
          <w:rFonts w:cs="Arial"/>
        </w:rPr>
        <w:t>t</w:t>
      </w:r>
      <w:r w:rsidR="007B6A3C" w:rsidRPr="0082682E">
        <w:rPr>
          <w:rFonts w:cs="Arial"/>
        </w:rPr>
        <w:t xml:space="preserve">he continued global integration of communications and media </w:t>
      </w:r>
      <w:r w:rsidR="00ED636D">
        <w:rPr>
          <w:rFonts w:cs="Arial"/>
        </w:rPr>
        <w:t xml:space="preserve">services </w:t>
      </w:r>
      <w:r w:rsidR="007B6A3C" w:rsidRPr="0082682E">
        <w:rPr>
          <w:rFonts w:cs="Arial"/>
        </w:rPr>
        <w:t>is driving the need for greater collaboration a</w:t>
      </w:r>
      <w:r w:rsidR="007B6A3C">
        <w:rPr>
          <w:rFonts w:cs="Arial"/>
        </w:rPr>
        <w:t>nd cooperation between countries</w:t>
      </w:r>
      <w:r w:rsidR="00F07ABA">
        <w:rPr>
          <w:rFonts w:cs="Arial"/>
        </w:rPr>
        <w:t>,</w:t>
      </w:r>
      <w:r w:rsidR="00C31B02">
        <w:rPr>
          <w:rFonts w:cs="Arial"/>
        </w:rPr>
        <w:t xml:space="preserve"> with </w:t>
      </w:r>
      <w:r w:rsidR="007B6A3C" w:rsidRPr="008862AF">
        <w:rPr>
          <w:rFonts w:cs="Arial"/>
        </w:rPr>
        <w:t>increasing number</w:t>
      </w:r>
      <w:r w:rsidR="00ED636D">
        <w:rPr>
          <w:rFonts w:cs="Arial"/>
        </w:rPr>
        <w:t>s</w:t>
      </w:r>
      <w:r w:rsidR="007B6A3C" w:rsidRPr="008862AF">
        <w:rPr>
          <w:rFonts w:cs="Arial"/>
        </w:rPr>
        <w:t xml:space="preserve"> of </w:t>
      </w:r>
      <w:r w:rsidR="0039767E">
        <w:rPr>
          <w:rFonts w:cs="Arial"/>
        </w:rPr>
        <w:t>communications and media</w:t>
      </w:r>
      <w:r w:rsidR="00ED636D">
        <w:rPr>
          <w:rFonts w:cs="Arial"/>
        </w:rPr>
        <w:t xml:space="preserve"> </w:t>
      </w:r>
      <w:r w:rsidR="007B6A3C" w:rsidRPr="008862AF">
        <w:rPr>
          <w:rFonts w:cs="Arial"/>
        </w:rPr>
        <w:t>issue</w:t>
      </w:r>
      <w:r w:rsidR="007B6A3C">
        <w:rPr>
          <w:rFonts w:cs="Arial"/>
        </w:rPr>
        <w:t>s</w:t>
      </w:r>
      <w:r w:rsidR="002976B7">
        <w:t xml:space="preserve"> </w:t>
      </w:r>
      <w:r w:rsidR="007B6A3C" w:rsidRPr="008862AF">
        <w:rPr>
          <w:rFonts w:cs="Arial"/>
        </w:rPr>
        <w:t>beyond the capacity of sovereign nations to effecti</w:t>
      </w:r>
      <w:r w:rsidR="007B6A3C">
        <w:rPr>
          <w:rFonts w:cs="Arial"/>
        </w:rPr>
        <w:t>vely manage.</w:t>
      </w:r>
    </w:p>
    <w:p w14:paraId="07683A95" w14:textId="1A38519F" w:rsidR="00085133" w:rsidRPr="005864B4" w:rsidRDefault="000105EB" w:rsidP="00085133">
      <w:pPr>
        <w:rPr>
          <w:rFonts w:cs="Arial"/>
        </w:rPr>
      </w:pPr>
      <w:r>
        <w:rPr>
          <w:rFonts w:cs="Arial"/>
        </w:rPr>
        <w:t>A</w:t>
      </w:r>
      <w:r w:rsidR="00085133" w:rsidRPr="005864B4">
        <w:rPr>
          <w:rFonts w:cs="Arial"/>
        </w:rPr>
        <w:t xml:space="preserve">s Australians continue to engage in the </w:t>
      </w:r>
      <w:r w:rsidR="004158AA">
        <w:rPr>
          <w:rFonts w:cs="Arial"/>
        </w:rPr>
        <w:t>networked</w:t>
      </w:r>
      <w:r w:rsidR="00085133" w:rsidRPr="005864B4">
        <w:rPr>
          <w:rFonts w:cs="Arial"/>
        </w:rPr>
        <w:t xml:space="preserve"> </w:t>
      </w:r>
      <w:r w:rsidR="00FF3A7C">
        <w:rPr>
          <w:rFonts w:cs="Arial"/>
        </w:rPr>
        <w:t>environment</w:t>
      </w:r>
      <w:r w:rsidR="00085133" w:rsidRPr="005864B4">
        <w:rPr>
          <w:rFonts w:cs="Arial"/>
        </w:rPr>
        <w:t>, th</w:t>
      </w:r>
      <w:r w:rsidR="00437E68">
        <w:rPr>
          <w:rFonts w:cs="Arial"/>
        </w:rPr>
        <w:t>e number and complexity of the following</w:t>
      </w:r>
      <w:r w:rsidR="00085133" w:rsidRPr="005864B4">
        <w:rPr>
          <w:rFonts w:cs="Arial"/>
        </w:rPr>
        <w:t xml:space="preserve"> types of issues </w:t>
      </w:r>
      <w:r>
        <w:rPr>
          <w:rFonts w:cs="Arial"/>
        </w:rPr>
        <w:t>should</w:t>
      </w:r>
      <w:r w:rsidRPr="005864B4">
        <w:rPr>
          <w:rFonts w:cs="Arial"/>
        </w:rPr>
        <w:t xml:space="preserve"> </w:t>
      </w:r>
      <w:r w:rsidR="00085133" w:rsidRPr="005864B4">
        <w:rPr>
          <w:rFonts w:cs="Arial"/>
        </w:rPr>
        <w:t xml:space="preserve">also increase. International engagement has an important role </w:t>
      </w:r>
      <w:r w:rsidR="00437E68">
        <w:rPr>
          <w:rFonts w:cs="Arial"/>
        </w:rPr>
        <w:t xml:space="preserve">in this environment </w:t>
      </w:r>
      <w:r w:rsidR="00085133" w:rsidRPr="005864B4">
        <w:rPr>
          <w:rFonts w:cs="Arial"/>
        </w:rPr>
        <w:t xml:space="preserve">in </w:t>
      </w:r>
      <w:r>
        <w:rPr>
          <w:rFonts w:cs="Arial"/>
        </w:rPr>
        <w:t>helping</w:t>
      </w:r>
      <w:r w:rsidRPr="005864B4">
        <w:rPr>
          <w:rFonts w:cs="Arial"/>
        </w:rPr>
        <w:t xml:space="preserve"> </w:t>
      </w:r>
      <w:r w:rsidR="00085133" w:rsidRPr="005864B4">
        <w:rPr>
          <w:rFonts w:cs="Arial"/>
        </w:rPr>
        <w:t xml:space="preserve">the ACMA </w:t>
      </w:r>
      <w:r>
        <w:rPr>
          <w:rFonts w:cs="Arial"/>
        </w:rPr>
        <w:t xml:space="preserve">to </w:t>
      </w:r>
      <w:r w:rsidR="00085133" w:rsidRPr="005864B4">
        <w:rPr>
          <w:rFonts w:cs="Arial"/>
        </w:rPr>
        <w:t>identify emerging issues and respond to the challenges they present.</w:t>
      </w:r>
    </w:p>
    <w:p w14:paraId="41A7C183" w14:textId="3707FA95" w:rsidR="00832E7B" w:rsidRPr="00832E7B" w:rsidRDefault="00697E9A" w:rsidP="00B20861">
      <w:pPr>
        <w:pStyle w:val="Heading3"/>
      </w:pPr>
      <w:bookmarkStart w:id="12" w:name="_Toc422924231"/>
      <w:r w:rsidRPr="00AB50E8">
        <w:t xml:space="preserve">Spectrum </w:t>
      </w:r>
      <w:r w:rsidRPr="00B20861">
        <w:t>management</w:t>
      </w:r>
      <w:bookmarkEnd w:id="12"/>
    </w:p>
    <w:p w14:paraId="3A38C752" w14:textId="5608A63F" w:rsidR="00832E7B" w:rsidRDefault="00832E7B" w:rsidP="00B20861">
      <w:r>
        <w:t>Radiofrequency spectrum is a key enabler for econom</w:t>
      </w:r>
      <w:r w:rsidR="007447D3">
        <w:t>ic growth</w:t>
      </w:r>
      <w:r>
        <w:t>. A recent ACMA study found</w:t>
      </w:r>
      <w:r w:rsidR="00CA37B3">
        <w:t xml:space="preserve"> that</w:t>
      </w:r>
      <w:r w:rsidRPr="007F3722">
        <w:t xml:space="preserve"> mobile broadba</w:t>
      </w:r>
      <w:r>
        <w:t>nd has contributed over $33 billion,</w:t>
      </w:r>
      <w:r w:rsidRPr="007F3722">
        <w:t xml:space="preserve"> o</w:t>
      </w:r>
      <w:r>
        <w:t xml:space="preserve">r more than </w:t>
      </w:r>
      <w:r w:rsidR="00367CB5">
        <w:t>two</w:t>
      </w:r>
      <w:r>
        <w:t xml:space="preserve"> per cent of GDP, </w:t>
      </w:r>
      <w:r w:rsidRPr="007F3722">
        <w:t xml:space="preserve">to </w:t>
      </w:r>
      <w:r>
        <w:t>Australia’s</w:t>
      </w:r>
      <w:r w:rsidRPr="007F3722">
        <w:t xml:space="preserve"> economy in the seven years to 2013</w:t>
      </w:r>
      <w:r>
        <w:t xml:space="preserve">. </w:t>
      </w:r>
      <w:r w:rsidR="006F55ED">
        <w:t>A</w:t>
      </w:r>
      <w:r w:rsidR="00085133">
        <w:t>n</w:t>
      </w:r>
      <w:r w:rsidR="006F55ED">
        <w:t xml:space="preserve"> </w:t>
      </w:r>
      <w:r w:rsidR="00E32527">
        <w:t>e</w:t>
      </w:r>
      <w:r w:rsidR="00085133">
        <w:t>stimate</w:t>
      </w:r>
      <w:r w:rsidR="006F55ED">
        <w:t xml:space="preserve"> </w:t>
      </w:r>
      <w:r w:rsidR="0004157C">
        <w:t>prepared by</w:t>
      </w:r>
      <w:r w:rsidR="006F55ED">
        <w:t xml:space="preserve"> the Centre for International Economics (CIE) </w:t>
      </w:r>
      <w:r w:rsidR="00E32527">
        <w:t>s</w:t>
      </w:r>
      <w:r w:rsidR="00085133">
        <w:t>uggests</w:t>
      </w:r>
      <w:r w:rsidR="006865C2">
        <w:t xml:space="preserve"> that the economic value of spectrum </w:t>
      </w:r>
      <w:r w:rsidR="00917B21">
        <w:t>in Australia</w:t>
      </w:r>
      <w:r w:rsidR="0004157C">
        <w:t xml:space="preserve"> </w:t>
      </w:r>
      <w:r w:rsidR="003B0B5F">
        <w:t>could be</w:t>
      </w:r>
      <w:r w:rsidR="0004157C">
        <w:t xml:space="preserve"> $177 billion over a 15</w:t>
      </w:r>
      <w:r w:rsidR="00367CB5">
        <w:t>-</w:t>
      </w:r>
      <w:r w:rsidR="0004157C">
        <w:t>year period</w:t>
      </w:r>
      <w:r w:rsidR="006865C2">
        <w:t>.</w:t>
      </w:r>
      <w:r w:rsidR="003C7F7F">
        <w:rPr>
          <w:rStyle w:val="FootnoteReference"/>
        </w:rPr>
        <w:footnoteReference w:id="2"/>
      </w:r>
      <w:r w:rsidR="006865C2">
        <w:t xml:space="preserve"> </w:t>
      </w:r>
      <w:r w:rsidR="00917B21">
        <w:t>In r</w:t>
      </w:r>
      <w:r w:rsidR="00697E9A" w:rsidRPr="00AB50E8">
        <w:t>ealising the social and economic benefits of new communication technologies and services</w:t>
      </w:r>
      <w:r w:rsidR="00184AB0">
        <w:t xml:space="preserve">, </w:t>
      </w:r>
      <w:r w:rsidR="00697E9A" w:rsidRPr="00AB50E8">
        <w:t xml:space="preserve">global spectrum management policies and objectives </w:t>
      </w:r>
      <w:r w:rsidR="00023955">
        <w:t xml:space="preserve">should </w:t>
      </w:r>
      <w:r w:rsidR="00697E9A" w:rsidRPr="00AB50E8">
        <w:t xml:space="preserve">align </w:t>
      </w:r>
      <w:r w:rsidR="00023955">
        <w:t xml:space="preserve">as closely as possible </w:t>
      </w:r>
      <w:r w:rsidR="00697E9A" w:rsidRPr="00AB50E8">
        <w:t xml:space="preserve">with Australia’s </w:t>
      </w:r>
      <w:r w:rsidR="00023955" w:rsidRPr="00AB50E8">
        <w:t xml:space="preserve">spectrum usage </w:t>
      </w:r>
      <w:r w:rsidR="00697E9A" w:rsidRPr="00AB50E8">
        <w:t xml:space="preserve">interests. </w:t>
      </w:r>
    </w:p>
    <w:p w14:paraId="4403BA19" w14:textId="0E0D09FE" w:rsidR="00705EC2" w:rsidRDefault="00697E9A" w:rsidP="00B20861">
      <w:r>
        <w:t>T</w:t>
      </w:r>
      <w:r w:rsidRPr="008A0BA8">
        <w:t>h</w:t>
      </w:r>
      <w:r w:rsidR="00F10547">
        <w:t>e ACMA has a role in</w:t>
      </w:r>
      <w:r w:rsidRPr="008A0BA8">
        <w:t xml:space="preserve"> negotiating </w:t>
      </w:r>
      <w:r>
        <w:t xml:space="preserve">international </w:t>
      </w:r>
      <w:r w:rsidRPr="008A0BA8">
        <w:t>spectrum outcomes that benefit Australia</w:t>
      </w:r>
      <w:r w:rsidR="00F10547">
        <w:t xml:space="preserve"> both in terms of spectrum access for domestic services and </w:t>
      </w:r>
      <w:r w:rsidR="00023955">
        <w:t>our</w:t>
      </w:r>
      <w:r w:rsidR="00023955" w:rsidRPr="00832E7B">
        <w:t xml:space="preserve"> </w:t>
      </w:r>
      <w:r w:rsidR="00F10547" w:rsidRPr="00832E7B">
        <w:t>interests in other countries</w:t>
      </w:r>
      <w:r w:rsidR="00F10547">
        <w:t>.</w:t>
      </w:r>
      <w:r w:rsidR="006A3301" w:rsidRPr="00705EC2">
        <w:t xml:space="preserve"> </w:t>
      </w:r>
      <w:r w:rsidR="00CA37B3" w:rsidRPr="003A7872">
        <w:rPr>
          <w:rFonts w:cs="Arial"/>
        </w:rPr>
        <w:t>The demand for spectrum to support mobile broadband services is expected to increase in response to the growing proliferation of machine-to-machine (M2M) interactions</w:t>
      </w:r>
      <w:r w:rsidR="00CA37B3">
        <w:rPr>
          <w:rFonts w:cs="Arial"/>
        </w:rPr>
        <w:t xml:space="preserve"> and developments in the ‘Internet of Things’.</w:t>
      </w:r>
      <w:r w:rsidR="00CA37B3" w:rsidRPr="00D168BB">
        <w:rPr>
          <w:rFonts w:cs="Arial"/>
        </w:rPr>
        <w:t xml:space="preserve"> </w:t>
      </w:r>
      <w:r w:rsidR="00023955">
        <w:t>Australia’s p</w:t>
      </w:r>
      <w:r w:rsidR="006A3301" w:rsidRPr="00705EC2">
        <w:t xml:space="preserve">articipation in international spectrum management, including </w:t>
      </w:r>
      <w:r w:rsidR="00CA37B3">
        <w:t>efforts to harmonise</w:t>
      </w:r>
      <w:r w:rsidR="00CA37B3" w:rsidRPr="00705EC2">
        <w:t xml:space="preserve"> </w:t>
      </w:r>
      <w:r w:rsidR="006A3301" w:rsidRPr="00705EC2">
        <w:t xml:space="preserve">international spectrum, has meant greater efficiencies in the operation of spectrum domestically and </w:t>
      </w:r>
      <w:r w:rsidR="00023955">
        <w:t xml:space="preserve">means </w:t>
      </w:r>
      <w:r w:rsidR="006A3301" w:rsidRPr="00705EC2">
        <w:t xml:space="preserve">that future demands for spectrum, especially mobile broadband spectrum, should be more easily accommodated. </w:t>
      </w:r>
    </w:p>
    <w:p w14:paraId="4F180A8C" w14:textId="1A20934B" w:rsidR="00697E9A" w:rsidRDefault="00705EC2" w:rsidP="00B20861">
      <w:r>
        <w:rPr>
          <w:rFonts w:cs="Arial"/>
        </w:rPr>
        <w:t>Harmonised spe</w:t>
      </w:r>
      <w:r w:rsidR="002C10BF">
        <w:rPr>
          <w:rFonts w:cs="Arial"/>
        </w:rPr>
        <w:t xml:space="preserve">ctrum also </w:t>
      </w:r>
      <w:r w:rsidR="002C10BF" w:rsidRPr="00AF61A1">
        <w:rPr>
          <w:lang w:eastAsia="ko-KR"/>
        </w:rPr>
        <w:t xml:space="preserve">creates larger and more efficient markets for communications </w:t>
      </w:r>
      <w:r w:rsidR="00277047">
        <w:rPr>
          <w:lang w:eastAsia="ko-KR"/>
        </w:rPr>
        <w:t xml:space="preserve">and media </w:t>
      </w:r>
      <w:r w:rsidR="002C10BF" w:rsidRPr="00AF61A1">
        <w:rPr>
          <w:lang w:eastAsia="ko-KR"/>
        </w:rPr>
        <w:t>products and services</w:t>
      </w:r>
      <w:r w:rsidR="002C10BF">
        <w:rPr>
          <w:rFonts w:cs="Arial"/>
        </w:rPr>
        <w:t xml:space="preserve">. For example, the ACMA has led Australia’s promotion of </w:t>
      </w:r>
      <w:r w:rsidR="006A3301" w:rsidRPr="00AF61A1">
        <w:rPr>
          <w:lang w:eastAsia="ko-KR"/>
        </w:rPr>
        <w:t>the Asia</w:t>
      </w:r>
      <w:r w:rsidR="00A705A1">
        <w:rPr>
          <w:lang w:eastAsia="ko-KR"/>
        </w:rPr>
        <w:t>–</w:t>
      </w:r>
      <w:r w:rsidR="006A3301" w:rsidRPr="00AF61A1">
        <w:rPr>
          <w:lang w:eastAsia="ko-KR"/>
        </w:rPr>
        <w:t xml:space="preserve">Pacific </w:t>
      </w:r>
      <w:r w:rsidR="002C10BF">
        <w:rPr>
          <w:lang w:eastAsia="ko-KR"/>
        </w:rPr>
        <w:t xml:space="preserve">Telecommunity (APT) </w:t>
      </w:r>
      <w:r w:rsidR="006A3301" w:rsidRPr="00AF61A1">
        <w:rPr>
          <w:lang w:eastAsia="ko-KR"/>
        </w:rPr>
        <w:t xml:space="preserve">plan for </w:t>
      </w:r>
      <w:r w:rsidR="002C10BF" w:rsidRPr="00AF61A1">
        <w:rPr>
          <w:lang w:eastAsia="ko-KR"/>
        </w:rPr>
        <w:t xml:space="preserve">harmonised </w:t>
      </w:r>
      <w:r w:rsidR="006A3301" w:rsidRPr="00AF61A1">
        <w:rPr>
          <w:lang w:eastAsia="ko-KR"/>
        </w:rPr>
        <w:t>spectrum in the 700 MHz band</w:t>
      </w:r>
      <w:r w:rsidR="004C135C">
        <w:rPr>
          <w:lang w:eastAsia="ko-KR"/>
        </w:rPr>
        <w:t>. This</w:t>
      </w:r>
      <w:r w:rsidR="002C10BF">
        <w:rPr>
          <w:lang w:eastAsia="ko-KR"/>
        </w:rPr>
        <w:t xml:space="preserve"> </w:t>
      </w:r>
      <w:r w:rsidR="006A3301" w:rsidRPr="00AF61A1">
        <w:rPr>
          <w:lang w:eastAsia="ko-KR"/>
        </w:rPr>
        <w:t xml:space="preserve">means that Australia is </w:t>
      </w:r>
      <w:r w:rsidR="002C10BF">
        <w:rPr>
          <w:lang w:eastAsia="ko-KR"/>
        </w:rPr>
        <w:t xml:space="preserve">now </w:t>
      </w:r>
      <w:r w:rsidR="006A3301" w:rsidRPr="00AF61A1">
        <w:rPr>
          <w:lang w:eastAsia="ko-KR"/>
        </w:rPr>
        <w:t>part of an expanded Asia</w:t>
      </w:r>
      <w:r w:rsidR="00023955">
        <w:rPr>
          <w:lang w:eastAsia="ko-KR"/>
        </w:rPr>
        <w:t>–</w:t>
      </w:r>
      <w:r w:rsidR="006A3301" w:rsidRPr="00AF61A1">
        <w:rPr>
          <w:lang w:eastAsia="ko-KR"/>
        </w:rPr>
        <w:t>Pacific mobile phone market</w:t>
      </w:r>
      <w:r w:rsidR="00023955">
        <w:rPr>
          <w:lang w:eastAsia="ko-KR"/>
        </w:rPr>
        <w:t>,</w:t>
      </w:r>
      <w:r w:rsidR="006A3301" w:rsidRPr="00AF61A1">
        <w:rPr>
          <w:lang w:eastAsia="ko-KR"/>
        </w:rPr>
        <w:t xml:space="preserve"> with economies of scale </w:t>
      </w:r>
      <w:r w:rsidR="002C10BF">
        <w:rPr>
          <w:lang w:eastAsia="ko-KR"/>
        </w:rPr>
        <w:t>making</w:t>
      </w:r>
      <w:r w:rsidR="006A3301" w:rsidRPr="00AF61A1">
        <w:rPr>
          <w:lang w:eastAsia="ko-KR"/>
        </w:rPr>
        <w:t xml:space="preserve"> cheaper and more innovative products and services</w:t>
      </w:r>
      <w:r w:rsidR="002C10BF">
        <w:rPr>
          <w:lang w:eastAsia="ko-KR"/>
        </w:rPr>
        <w:t xml:space="preserve"> available in Australia.</w:t>
      </w:r>
      <w:r w:rsidR="002C10BF">
        <w:t xml:space="preserve"> </w:t>
      </w:r>
      <w:r w:rsidR="0051579F">
        <w:t xml:space="preserve">A case study </w:t>
      </w:r>
      <w:r w:rsidR="00023955">
        <w:t xml:space="preserve">examines </w:t>
      </w:r>
      <w:r w:rsidR="0051579F">
        <w:t>the ACMA’s role in developing</w:t>
      </w:r>
      <w:r w:rsidR="0051579F" w:rsidRPr="00832E7B">
        <w:t xml:space="preserve"> </w:t>
      </w:r>
      <w:r w:rsidR="002C10BF">
        <w:t>the</w:t>
      </w:r>
      <w:r w:rsidR="0051579F" w:rsidRPr="00832E7B">
        <w:t xml:space="preserve"> </w:t>
      </w:r>
      <w:r w:rsidR="002C10BF">
        <w:t xml:space="preserve">APT’s </w:t>
      </w:r>
      <w:r w:rsidR="002C10BF" w:rsidRPr="00832E7B">
        <w:t>internationally</w:t>
      </w:r>
      <w:r w:rsidR="00023955">
        <w:t xml:space="preserve"> </w:t>
      </w:r>
      <w:r w:rsidR="002C10BF" w:rsidRPr="00832E7B">
        <w:t>harmonised plan</w:t>
      </w:r>
      <w:r w:rsidR="002C10BF">
        <w:t xml:space="preserve"> for</w:t>
      </w:r>
      <w:r w:rsidR="002C10BF" w:rsidRPr="00832E7B">
        <w:t xml:space="preserve"> </w:t>
      </w:r>
      <w:r w:rsidR="0051579F" w:rsidRPr="00832E7B">
        <w:t>mobile broadband spectrum.</w:t>
      </w:r>
    </w:p>
    <w:p w14:paraId="74A22268" w14:textId="60E8E8EC" w:rsidR="00240BC6" w:rsidRPr="004B2C01" w:rsidRDefault="00240BC6" w:rsidP="00B20861">
      <w:pPr>
        <w:pStyle w:val="BodySubHeader"/>
        <w:shd w:val="clear" w:color="auto" w:fill="D9D9D9" w:themeFill="background1" w:themeFillShade="D9"/>
      </w:pPr>
      <w:r w:rsidRPr="004B2C01">
        <w:t>C</w:t>
      </w:r>
      <w:r w:rsidR="00023955" w:rsidRPr="004B2C01">
        <w:t>ase study</w:t>
      </w:r>
      <w:r w:rsidRPr="004B2C01">
        <w:t xml:space="preserve"> </w:t>
      </w:r>
      <w:r w:rsidR="00023955">
        <w:t>one—t</w:t>
      </w:r>
      <w:r>
        <w:t xml:space="preserve">he </w:t>
      </w:r>
      <w:r w:rsidRPr="004B2C01">
        <w:t xml:space="preserve">APT 700 MHz </w:t>
      </w:r>
      <w:r w:rsidR="00023955">
        <w:t>s</w:t>
      </w:r>
      <w:r w:rsidRPr="004B2C01">
        <w:t xml:space="preserve">pectrum </w:t>
      </w:r>
      <w:r w:rsidR="00023955">
        <w:t>p</w:t>
      </w:r>
      <w:r w:rsidRPr="004B2C01">
        <w:t>lan</w:t>
      </w:r>
    </w:p>
    <w:p w14:paraId="0B0EEB6B" w14:textId="77777777" w:rsidR="00240BC6" w:rsidRDefault="00240BC6" w:rsidP="00B20861">
      <w:pPr>
        <w:shd w:val="clear" w:color="auto" w:fill="D9D9D9" w:themeFill="background1" w:themeFillShade="D9"/>
      </w:pPr>
      <w:r w:rsidRPr="003A7872">
        <w:t xml:space="preserve">Spectrum capacity is under pressure from the rapid expansion of mobile data applications. A range of multimedia devices, including e-book readers, tablets, game consoles, </w:t>
      </w:r>
      <w:r>
        <w:t>MP</w:t>
      </w:r>
      <w:r w:rsidRPr="003A7872">
        <w:t>3 players, cameras and remote healthcare monitoring devices, are placing additional demands on spectrum capacity in the medium to long term. While the future applications that will derive their data from mobile services are unknown, it is likely that this pressure will continue to increase as new technologies appear.</w:t>
      </w:r>
    </w:p>
    <w:p w14:paraId="566A1042" w14:textId="77777777" w:rsidR="00240BC6" w:rsidRPr="00CB0128" w:rsidRDefault="00240BC6" w:rsidP="00B20861">
      <w:pPr>
        <w:shd w:val="clear" w:color="auto" w:fill="D9D9D9" w:themeFill="background1" w:themeFillShade="D9"/>
      </w:pPr>
      <w:r w:rsidRPr="00CB0128">
        <w:t xml:space="preserve">Australia, led by the ACMA, has </w:t>
      </w:r>
      <w:r>
        <w:t>taken</w:t>
      </w:r>
      <w:r w:rsidRPr="00CB0128">
        <w:t xml:space="preserve"> the opportunity to work with other countries in the Asia–Pacific region to develop a new, internationally harmonised plan optimised for mobile broadband, using spectrum in the 700 MHz band. </w:t>
      </w:r>
    </w:p>
    <w:p w14:paraId="3DFE8A25" w14:textId="0AA3BB4F" w:rsidR="00240BC6" w:rsidRDefault="00240BC6" w:rsidP="00B20861">
      <w:pPr>
        <w:shd w:val="clear" w:color="auto" w:fill="D9D9D9" w:themeFill="background1" w:themeFillShade="D9"/>
      </w:pPr>
      <w:r>
        <w:t>As a result of t</w:t>
      </w:r>
      <w:r w:rsidRPr="00CB0128">
        <w:t>he ACMA’s work in achieving the digital dividend with the switchover fr</w:t>
      </w:r>
      <w:r>
        <w:t>om analog to digital television, spectrum became available in the 700</w:t>
      </w:r>
      <w:r w:rsidR="00023955">
        <w:t> </w:t>
      </w:r>
      <w:r>
        <w:t>MHz band for other uses</w:t>
      </w:r>
      <w:r w:rsidRPr="00CB0128">
        <w:t>.</w:t>
      </w:r>
      <w:r>
        <w:t xml:space="preserve"> Before it could allocate new spectrum licences in this digital dividend spectrum, the ACMA needed to develop a</w:t>
      </w:r>
      <w:r w:rsidRPr="0032488D">
        <w:t xml:space="preserve"> band plan</w:t>
      </w:r>
      <w:r>
        <w:t>.</w:t>
      </w:r>
      <w:r w:rsidRPr="00656BE5">
        <w:t xml:space="preserve"> </w:t>
      </w:r>
    </w:p>
    <w:p w14:paraId="690682EF" w14:textId="77777777" w:rsidR="00240BC6" w:rsidRDefault="00240BC6" w:rsidP="00B20861">
      <w:pPr>
        <w:shd w:val="clear" w:color="auto" w:fill="D9D9D9" w:themeFill="background1" w:themeFillShade="D9"/>
      </w:pPr>
      <w:r>
        <w:t xml:space="preserve">As </w:t>
      </w:r>
      <w:r w:rsidRPr="003F39B2">
        <w:t>a technology-taker with a comparatively small population</w:t>
      </w:r>
      <w:r>
        <w:t>, Australia’s spectrum interests are best served by harmonisation with other international spectrum band plans. The ACMA considered band plans adopted by the US and Europe but found that the US arrangement lacked efficiency and the European band plan was not suited to Australia because it only had a partial overlap with Australia’s digital dividend spectrum.</w:t>
      </w:r>
    </w:p>
    <w:p w14:paraId="39D9EE54" w14:textId="20C7F181" w:rsidR="00240BC6" w:rsidRDefault="00240BC6" w:rsidP="00B20861">
      <w:pPr>
        <w:shd w:val="clear" w:color="auto" w:fill="D9D9D9" w:themeFill="background1" w:themeFillShade="D9"/>
      </w:pPr>
      <w:r>
        <w:t xml:space="preserve">Instead, for the first time, </w:t>
      </w:r>
      <w:r w:rsidR="00023955">
        <w:t xml:space="preserve">a </w:t>
      </w:r>
      <w:r>
        <w:t xml:space="preserve">harmonised digital dividend band plan </w:t>
      </w:r>
      <w:r w:rsidR="00023955">
        <w:t xml:space="preserve">specific to the Asia–Pacific </w:t>
      </w:r>
      <w:r>
        <w:t>was considered.</w:t>
      </w:r>
      <w:r w:rsidRPr="00CB0128">
        <w:t xml:space="preserve"> </w:t>
      </w:r>
      <w:r>
        <w:t xml:space="preserve">Working within the </w:t>
      </w:r>
      <w:r w:rsidR="00023955">
        <w:t>APT</w:t>
      </w:r>
      <w:r>
        <w:t xml:space="preserve"> Wireless Group (AWG), the ACMA developed</w:t>
      </w:r>
      <w:r w:rsidRPr="009B4F36">
        <w:t xml:space="preserve"> the APT 700 MHz spectrum band plan</w:t>
      </w:r>
      <w:r>
        <w:t xml:space="preserve">. This plan was agreed in September 2011. </w:t>
      </w:r>
    </w:p>
    <w:p w14:paraId="1AFCFB62" w14:textId="3188B868" w:rsidR="00F032B8" w:rsidRDefault="00F032B8" w:rsidP="00B20861">
      <w:pPr>
        <w:shd w:val="clear" w:color="auto" w:fill="D9D9D9" w:themeFill="background1" w:themeFillShade="D9"/>
      </w:pPr>
      <w:r>
        <w:t xml:space="preserve">The technical efficiencies and utility of the APT 700 MHz plan means it has been adopted or is being seriously considered by countries throughout the world including </w:t>
      </w:r>
      <w:r w:rsidRPr="00FB45E5">
        <w:t>Afghanistan, Bangladesh,</w:t>
      </w:r>
      <w:r>
        <w:t xml:space="preserve"> </w:t>
      </w:r>
      <w:r w:rsidRPr="00FB45E5">
        <w:t>Bhutan, Brunei, Cambodia, Fiji, India, Indonesia, Japan,</w:t>
      </w:r>
      <w:r>
        <w:t xml:space="preserve"> </w:t>
      </w:r>
      <w:r w:rsidRPr="00FB45E5">
        <w:t>Laos, Malaysia, Myanmar, Nepal, New Zealand, Pakistan,</w:t>
      </w:r>
      <w:r>
        <w:t xml:space="preserve"> </w:t>
      </w:r>
      <w:r w:rsidRPr="00FB45E5">
        <w:t>Papua New Guinea, Singapore, South Korea, Taiwan,</w:t>
      </w:r>
      <w:r>
        <w:t xml:space="preserve"> </w:t>
      </w:r>
      <w:r w:rsidRPr="00FB45E5">
        <w:t>Thailand, Tonga, Vanuatu, Vietnam</w:t>
      </w:r>
      <w:r>
        <w:t xml:space="preserve">, </w:t>
      </w:r>
      <w:r w:rsidRPr="004B3771">
        <w:t>the United Arab Emirates</w:t>
      </w:r>
      <w:r>
        <w:t>,</w:t>
      </w:r>
      <w:r w:rsidRPr="004B3771">
        <w:t xml:space="preserve"> </w:t>
      </w:r>
      <w:r w:rsidRPr="00FB45E5">
        <w:t>Argentina, Brazil, Chile, Colombia, Costa</w:t>
      </w:r>
      <w:r>
        <w:t xml:space="preserve"> </w:t>
      </w:r>
      <w:r w:rsidRPr="00FB45E5">
        <w:t>Rica, Dominican Republic, Ecuador, Honduras, Mexico,</w:t>
      </w:r>
      <w:r>
        <w:t xml:space="preserve"> </w:t>
      </w:r>
      <w:r w:rsidRPr="00FB45E5">
        <w:t>Panama, Peru</w:t>
      </w:r>
      <w:r w:rsidR="00023955">
        <w:t xml:space="preserve"> and</w:t>
      </w:r>
      <w:r w:rsidRPr="00FB45E5">
        <w:t xml:space="preserve"> Venezuela</w:t>
      </w:r>
      <w:r w:rsidRPr="004B3771">
        <w:t>.</w:t>
      </w:r>
      <w:r>
        <w:t xml:space="preserve"> </w:t>
      </w:r>
      <w:r w:rsidRPr="004B3771">
        <w:t>It has also been adopted by the international 3rd Generation Partnership Project (3GPP) as a band for Long Term Evolution (LTE) technology.</w:t>
      </w:r>
    </w:p>
    <w:p w14:paraId="4C74011D" w14:textId="34BBBD32" w:rsidR="00463829" w:rsidRDefault="00240BC6" w:rsidP="004F64B0">
      <w:pPr>
        <w:shd w:val="clear" w:color="auto" w:fill="D9D9D9" w:themeFill="background1" w:themeFillShade="D9"/>
      </w:pPr>
      <w:r w:rsidRPr="00CB0128">
        <w:t xml:space="preserve">While the technical benefits </w:t>
      </w:r>
      <w:r>
        <w:t xml:space="preserve">of the APT 700 plan </w:t>
      </w:r>
      <w:r w:rsidRPr="00CB0128">
        <w:t>could have still been realised even if Australia had ‘gone it alone’, harmoni</w:t>
      </w:r>
      <w:r w:rsidR="00023955">
        <w:t>s</w:t>
      </w:r>
      <w:r w:rsidRPr="00CB0128">
        <w:t xml:space="preserve">ing with our Asia–Pacific neighbours means </w:t>
      </w:r>
      <w:r>
        <w:t>that Australia benefits from being part of a much larger communications market</w:t>
      </w:r>
      <w:r w:rsidR="00023955">
        <w:t>,</w:t>
      </w:r>
      <w:r>
        <w:t xml:space="preserve"> and will have access to the leading technologies from international</w:t>
      </w:r>
      <w:r w:rsidRPr="00CB0128">
        <w:t xml:space="preserve"> phone manufacturers </w:t>
      </w:r>
      <w:r>
        <w:t>and other technology suppliers</w:t>
      </w:r>
      <w:r w:rsidRPr="00CB0128">
        <w:t>.</w:t>
      </w:r>
      <w:r>
        <w:t xml:space="preserve"> The economic benefits of harmonisation associated with economies of scale increase with market size. T</w:t>
      </w:r>
      <w:r w:rsidRPr="00CB0128">
        <w:t>he</w:t>
      </w:r>
      <w:r>
        <w:t xml:space="preserve"> success of the</w:t>
      </w:r>
      <w:r w:rsidRPr="00CB0128">
        <w:t xml:space="preserve"> APT 700 plan</w:t>
      </w:r>
      <w:r>
        <w:t xml:space="preserve"> beyond the Asia</w:t>
      </w:r>
      <w:r w:rsidR="00023955">
        <w:t>–</w:t>
      </w:r>
      <w:r>
        <w:t xml:space="preserve">Pacific </w:t>
      </w:r>
      <w:r w:rsidRPr="00CB0128">
        <w:t xml:space="preserve">now </w:t>
      </w:r>
      <w:r>
        <w:t>means its coverage extends to</w:t>
      </w:r>
      <w:r w:rsidRPr="00CB0128">
        <w:t xml:space="preserve"> markets with a</w:t>
      </w:r>
      <w:r>
        <w:t>n</w:t>
      </w:r>
      <w:r w:rsidRPr="00CB0128">
        <w:t xml:space="preserve"> </w:t>
      </w:r>
      <w:r>
        <w:t xml:space="preserve">estimated </w:t>
      </w:r>
      <w:r w:rsidRPr="00CB0128">
        <w:t>combined population of over two billion people and growing. </w:t>
      </w:r>
    </w:p>
    <w:p w14:paraId="11795FBB" w14:textId="2155F46B" w:rsidR="006A3301" w:rsidRPr="00B20861" w:rsidRDefault="00BB0542" w:rsidP="00F12E56">
      <w:pPr>
        <w:pStyle w:val="Heading3"/>
        <w:keepLines/>
      </w:pPr>
      <w:bookmarkStart w:id="13" w:name="_Toc422924232"/>
      <w:r>
        <w:t>I</w:t>
      </w:r>
      <w:r w:rsidR="00277047">
        <w:t xml:space="preserve">nternational </w:t>
      </w:r>
      <w:r w:rsidR="00697E9A" w:rsidRPr="00277047">
        <w:t>standards</w:t>
      </w:r>
      <w:r w:rsidR="00023955">
        <w:t>-</w:t>
      </w:r>
      <w:r w:rsidR="00697E9A" w:rsidRPr="00277047">
        <w:t>setting</w:t>
      </w:r>
      <w:bookmarkEnd w:id="13"/>
    </w:p>
    <w:p w14:paraId="428F0D31" w14:textId="67A29607" w:rsidR="008D32A7" w:rsidRDefault="006A3301" w:rsidP="00F12E56">
      <w:pPr>
        <w:keepNext/>
        <w:keepLines/>
      </w:pPr>
      <w:r w:rsidRPr="00277047">
        <w:t xml:space="preserve">There is also a need for the ACMA to promote Australian interests in international telecommunications </w:t>
      </w:r>
      <w:r w:rsidR="00277047">
        <w:t xml:space="preserve">and radiocommunications </w:t>
      </w:r>
      <w:r w:rsidRPr="00277047">
        <w:t>standards</w:t>
      </w:r>
      <w:r w:rsidR="00023955">
        <w:t>-</w:t>
      </w:r>
      <w:r w:rsidRPr="00277047">
        <w:t>setting</w:t>
      </w:r>
      <w:r w:rsidR="009D7FF3">
        <w:t xml:space="preserve">. </w:t>
      </w:r>
      <w:r w:rsidR="00B92281">
        <w:t>T</w:t>
      </w:r>
      <w:r w:rsidR="00D17ACF">
        <w:t xml:space="preserve">he </w:t>
      </w:r>
      <w:r w:rsidR="003E161E">
        <w:t>ACMA</w:t>
      </w:r>
      <w:r w:rsidR="00B92281">
        <w:t xml:space="preserve"> uses international standards and risk assessments in managing the </w:t>
      </w:r>
      <w:r w:rsidR="00D17ACF">
        <w:t xml:space="preserve">supply of communications and </w:t>
      </w:r>
      <w:r w:rsidR="00B92281">
        <w:t xml:space="preserve">information technology products, </w:t>
      </w:r>
      <w:r w:rsidR="00D17ACF">
        <w:t xml:space="preserve">consistent with the government’s Industry Innovation and Competitiveness </w:t>
      </w:r>
      <w:r w:rsidR="00B92281">
        <w:t>Agenda announced in October 2014.</w:t>
      </w:r>
      <w:r w:rsidR="00D17ACF">
        <w:t xml:space="preserve"> </w:t>
      </w:r>
      <w:r w:rsidR="008D32A7">
        <w:t>In broad terms, the regulatory arrangements are intended to manage risks associated with health and safety, interference between radiocommunications devices and services, supply of voice telephony and network integrity.</w:t>
      </w:r>
    </w:p>
    <w:p w14:paraId="2D2F927F" w14:textId="51081165" w:rsidR="008D32A7" w:rsidRPr="00133379" w:rsidRDefault="008D32A7" w:rsidP="00B20861">
      <w:r w:rsidRPr="00277047">
        <w:t>By influencing telecommunication</w:t>
      </w:r>
      <w:r w:rsidR="00023955">
        <w:t>s</w:t>
      </w:r>
      <w:r w:rsidRPr="00277047">
        <w:t xml:space="preserve"> and radiocommunication</w:t>
      </w:r>
      <w:r w:rsidR="00023955">
        <w:t>s</w:t>
      </w:r>
      <w:r w:rsidRPr="00277047">
        <w:t xml:space="preserve"> standards development within the Asia</w:t>
      </w:r>
      <w:r w:rsidR="00023955">
        <w:t>–</w:t>
      </w:r>
      <w:r w:rsidRPr="00277047">
        <w:t xml:space="preserve">Pacific region and internationally, the ACMA </w:t>
      </w:r>
      <w:r>
        <w:t xml:space="preserve">promotes the safety and reliability of </w:t>
      </w:r>
      <w:r w:rsidRPr="00277047">
        <w:t>products entering the Australi</w:t>
      </w:r>
      <w:r>
        <w:t>an market. The ACMA also influences outcomes to</w:t>
      </w:r>
      <w:r w:rsidRPr="00277047">
        <w:t xml:space="preserve"> </w:t>
      </w:r>
      <w:r>
        <w:t>prevent</w:t>
      </w:r>
      <w:r w:rsidRPr="00277047">
        <w:t xml:space="preserve"> technical regulations and certification systems creating unnecessary o</w:t>
      </w:r>
      <w:r>
        <w:t>bstacles to international trade, and promotes</w:t>
      </w:r>
      <w:r w:rsidRPr="00277047">
        <w:t xml:space="preserve"> the development of open global standards</w:t>
      </w:r>
      <w:r w:rsidR="00023955">
        <w:t>,</w:t>
      </w:r>
      <w:r w:rsidRPr="00277047">
        <w:t xml:space="preserve"> which allow for interconnectivity and interoperabilit</w:t>
      </w:r>
      <w:r>
        <w:t>y across networks and services.</w:t>
      </w:r>
      <w:r w:rsidRPr="00133379">
        <w:t xml:space="preserve"> </w:t>
      </w:r>
      <w:r>
        <w:t>These approaches contribute to Australia meeting</w:t>
      </w:r>
      <w:r w:rsidRPr="00133379">
        <w:t xml:space="preserve"> its obligations as a member of the World Trade Organi</w:t>
      </w:r>
      <w:r w:rsidR="00023955">
        <w:t>z</w:t>
      </w:r>
      <w:r w:rsidRPr="00133379">
        <w:t>ation (WTO)</w:t>
      </w:r>
      <w:r w:rsidR="00023955">
        <w:t>,</w:t>
      </w:r>
      <w:r w:rsidRPr="00133379">
        <w:t xml:space="preserve"> which aims to ensure that technical standards</w:t>
      </w:r>
      <w:r>
        <w:t xml:space="preserve"> and</w:t>
      </w:r>
      <w:r w:rsidRPr="00133379">
        <w:t xml:space="preserve"> testing and certification </w:t>
      </w:r>
      <w:r>
        <w:t xml:space="preserve">requirements </w:t>
      </w:r>
      <w:r w:rsidRPr="00133379">
        <w:t>do not</w:t>
      </w:r>
      <w:r>
        <w:t xml:space="preserve"> unnecessarily</w:t>
      </w:r>
      <w:r w:rsidRPr="00133379">
        <w:t xml:space="preserve"> </w:t>
      </w:r>
      <w:r>
        <w:t>impede international trade.</w:t>
      </w:r>
    </w:p>
    <w:p w14:paraId="17026121" w14:textId="7ADFFB7D" w:rsidR="00B92281" w:rsidRPr="004C135C" w:rsidRDefault="00B92281" w:rsidP="00B20861">
      <w:r w:rsidRPr="004C135C">
        <w:t>The benefits to Australian suppliers of this approach derive from the reduced costs associated with being able to rely on overseas compliance records to demonstrate compliance with ACMA technical standards.</w:t>
      </w:r>
    </w:p>
    <w:p w14:paraId="1E17045A" w14:textId="1D1B4D50" w:rsidR="00697E9A" w:rsidRDefault="00697E9A" w:rsidP="00B20861">
      <w:r w:rsidRPr="00277047">
        <w:t xml:space="preserve">International </w:t>
      </w:r>
      <w:r w:rsidR="00277047">
        <w:t>engagement in this area</w:t>
      </w:r>
      <w:r w:rsidRPr="00277047">
        <w:t xml:space="preserve"> also assist</w:t>
      </w:r>
      <w:r w:rsidR="00277047">
        <w:t>s</w:t>
      </w:r>
      <w:r w:rsidRPr="00277047">
        <w:t xml:space="preserve"> the ACMA identify emerging standards, technology and market trends in international and regional markets. This information can provide useful strategic intelligence for </w:t>
      </w:r>
      <w:r w:rsidR="00B13DD7">
        <w:t>Australian</w:t>
      </w:r>
      <w:r w:rsidR="0066476C">
        <w:t xml:space="preserve"> </w:t>
      </w:r>
      <w:r w:rsidR="0066476C" w:rsidRPr="00277047">
        <w:t xml:space="preserve">industry </w:t>
      </w:r>
      <w:r w:rsidRPr="00277047">
        <w:t xml:space="preserve">and </w:t>
      </w:r>
      <w:r w:rsidR="00B13DD7">
        <w:t>consumer</w:t>
      </w:r>
      <w:r w:rsidRPr="00277047">
        <w:t>s.</w:t>
      </w:r>
    </w:p>
    <w:p w14:paraId="23040066" w14:textId="5D3D2799" w:rsidR="00240BC6" w:rsidRPr="005760D1" w:rsidRDefault="006D2A68" w:rsidP="00B20861">
      <w:pPr>
        <w:pStyle w:val="BodySubHeader"/>
        <w:shd w:val="clear" w:color="auto" w:fill="D9D9D9" w:themeFill="background1" w:themeFillShade="D9"/>
      </w:pPr>
      <w:r>
        <w:t xml:space="preserve">Case </w:t>
      </w:r>
      <w:r w:rsidR="00023955">
        <w:t>s</w:t>
      </w:r>
      <w:r>
        <w:t xml:space="preserve">tudy </w:t>
      </w:r>
      <w:r w:rsidR="00023955">
        <w:t>two—</w:t>
      </w:r>
      <w:r w:rsidR="00240BC6" w:rsidRPr="00041E40">
        <w:t>APEC TEL Mutual Recognition Arrangement</w:t>
      </w:r>
    </w:p>
    <w:p w14:paraId="6B901AA6" w14:textId="39C2B2ED" w:rsidR="00240BC6" w:rsidRDefault="00240BC6" w:rsidP="00B20861">
      <w:pPr>
        <w:shd w:val="clear" w:color="auto" w:fill="D9D9D9" w:themeFill="background1" w:themeFillShade="D9"/>
      </w:pPr>
      <w:r w:rsidRPr="00041E40">
        <w:t>The APEC TEL Mutual Recognition Arrangement (APEC TEL MRA) is a multilateral agreement between members of the Asia</w:t>
      </w:r>
      <w:r w:rsidR="00023955">
        <w:t>–</w:t>
      </w:r>
      <w:r w:rsidRPr="00041E40">
        <w:t>Pacific Economic Cooperation (APEC). It provides for the mutual recognition of Conformity Assessment Bodies (CABs)</w:t>
      </w:r>
      <w:r w:rsidR="00D82F23">
        <w:t>,</w:t>
      </w:r>
      <w:r w:rsidRPr="00041E40">
        <w:t xml:space="preserve"> and mutual acceptance of the results of testing and equipment certification procedures undertaken by those bodies in assessing conformity of equipment to the importing economy</w:t>
      </w:r>
      <w:r w:rsidR="00D82F23">
        <w:t>’</w:t>
      </w:r>
      <w:r w:rsidRPr="00041E40">
        <w:t xml:space="preserve">s own technical regulations. </w:t>
      </w:r>
    </w:p>
    <w:p w14:paraId="125B4B18" w14:textId="549287C1" w:rsidR="00240BC6" w:rsidRPr="00041E40" w:rsidRDefault="00240BC6" w:rsidP="00B20861">
      <w:pPr>
        <w:shd w:val="clear" w:color="auto" w:fill="D9D9D9" w:themeFill="background1" w:themeFillShade="D9"/>
      </w:pPr>
      <w:r w:rsidRPr="00041E40">
        <w:t>The APEC TEL MRA streamlines conformity assessment procedures for a wide range of telecommunications and telecommunications-related equipment</w:t>
      </w:r>
      <w:r w:rsidR="00D82F23">
        <w:t>,</w:t>
      </w:r>
      <w:r w:rsidRPr="00041E40">
        <w:t xml:space="preserve"> and facilitates trade among the APEC member economies. The APEC TEL MRA provides benefits to manufacturers, CABs, regulators and consumers. </w:t>
      </w:r>
    </w:p>
    <w:p w14:paraId="535C83B3" w14:textId="3811BF9D" w:rsidR="00240BC6" w:rsidRPr="00041E40" w:rsidRDefault="00240BC6" w:rsidP="00B20861">
      <w:pPr>
        <w:shd w:val="clear" w:color="auto" w:fill="D9D9D9" w:themeFill="background1" w:themeFillShade="D9"/>
      </w:pPr>
      <w:r>
        <w:t>The</w:t>
      </w:r>
      <w:r w:rsidRPr="00041E40">
        <w:t xml:space="preserve"> ACMA administers </w:t>
      </w:r>
      <w:r>
        <w:t>Australia’s</w:t>
      </w:r>
      <w:r w:rsidRPr="00041E40">
        <w:t xml:space="preserve"> </w:t>
      </w:r>
      <w:r>
        <w:t>contribution</w:t>
      </w:r>
      <w:r w:rsidRPr="00041E40">
        <w:t xml:space="preserve"> to the APEC TEL MRA</w:t>
      </w:r>
      <w:r w:rsidR="002F75FA">
        <w:t>. It</w:t>
      </w:r>
      <w:r w:rsidRPr="00041E40">
        <w:t xml:space="preserve"> ensures the procedures agreed to under the MRA </w:t>
      </w:r>
      <w:r>
        <w:t>align</w:t>
      </w:r>
      <w:r w:rsidRPr="00041E40">
        <w:t xml:space="preserve"> with Austra</w:t>
      </w:r>
      <w:r>
        <w:t xml:space="preserve">lian regulatory requirements related to </w:t>
      </w:r>
      <w:r w:rsidRPr="00041E40">
        <w:t>electromagnetic compatibility, radiocommunications devices and telecommunications customer equipment,</w:t>
      </w:r>
      <w:r>
        <w:t xml:space="preserve"> all of which are the responsibility of the ACMA.</w:t>
      </w:r>
    </w:p>
    <w:p w14:paraId="0F497751" w14:textId="0CD2EB24" w:rsidR="001543E9" w:rsidRDefault="00464B92" w:rsidP="00B20861">
      <w:pPr>
        <w:pStyle w:val="Heading3"/>
      </w:pPr>
      <w:bookmarkStart w:id="14" w:name="_Toc422924233"/>
      <w:r>
        <w:t>Spam, cyber</w:t>
      </w:r>
      <w:r w:rsidR="00697E9A" w:rsidRPr="001543E9">
        <w:t>security</w:t>
      </w:r>
      <w:r w:rsidR="00D82F23">
        <w:t xml:space="preserve"> and</w:t>
      </w:r>
      <w:r w:rsidR="00697E9A" w:rsidRPr="001543E9">
        <w:t xml:space="preserve"> telemarketing</w:t>
      </w:r>
      <w:bookmarkEnd w:id="14"/>
      <w:r w:rsidR="001543E9">
        <w:t xml:space="preserve"> </w:t>
      </w:r>
    </w:p>
    <w:p w14:paraId="7D4D0E3A" w14:textId="6174F469" w:rsidR="00464B92" w:rsidRDefault="0040526D" w:rsidP="00B20861">
      <w:pPr>
        <w:keepLines/>
      </w:pPr>
      <w:r>
        <w:t xml:space="preserve">Many of </w:t>
      </w:r>
      <w:r w:rsidR="005B1C25">
        <w:t xml:space="preserve">the </w:t>
      </w:r>
      <w:r w:rsidR="005B1C25" w:rsidRPr="001543E9">
        <w:t>messages</w:t>
      </w:r>
      <w:r w:rsidR="00697E9A" w:rsidRPr="001543E9">
        <w:t xml:space="preserve"> and threats related to spam and internet security originate off</w:t>
      </w:r>
      <w:r w:rsidR="00D82F23">
        <w:noBreakHyphen/>
      </w:r>
      <w:r w:rsidR="00697E9A" w:rsidRPr="001543E9">
        <w:t xml:space="preserve">shore and a growing number of telemarketing calls also originate in other jurisdictions. </w:t>
      </w:r>
      <w:r w:rsidR="00D82F23">
        <w:t>So</w:t>
      </w:r>
      <w:r w:rsidR="00697E9A" w:rsidRPr="001543E9">
        <w:t xml:space="preserve"> international engagement in these areas </w:t>
      </w:r>
      <w:r w:rsidR="00B13DD7">
        <w:t xml:space="preserve">is an important strategy </w:t>
      </w:r>
      <w:r w:rsidR="00872192">
        <w:t>to</w:t>
      </w:r>
      <w:r w:rsidR="001543E9" w:rsidRPr="001543E9">
        <w:t xml:space="preserve"> address unsolicited communications and threats from malware and phishing. This</w:t>
      </w:r>
      <w:r w:rsidR="00697E9A" w:rsidRPr="001543E9">
        <w:t xml:space="preserve"> </w:t>
      </w:r>
      <w:r w:rsidR="001543E9" w:rsidRPr="001543E9">
        <w:t>leads</w:t>
      </w:r>
      <w:r w:rsidR="001321A6">
        <w:t xml:space="preserve"> to a </w:t>
      </w:r>
      <w:r w:rsidR="00697E9A" w:rsidRPr="001543E9">
        <w:t xml:space="preserve">more secure online environment for users and a </w:t>
      </w:r>
      <w:r w:rsidR="00B13DD7">
        <w:t>reduction in</w:t>
      </w:r>
      <w:r w:rsidR="00697E9A" w:rsidRPr="001543E9">
        <w:t xml:space="preserve"> the harmful impact of unsolicited communications and </w:t>
      </w:r>
      <w:r w:rsidR="00464B92">
        <w:t>cyber</w:t>
      </w:r>
      <w:r w:rsidR="004F64B0">
        <w:t>s</w:t>
      </w:r>
      <w:r w:rsidR="00464B92">
        <w:t>ecurity</w:t>
      </w:r>
      <w:r w:rsidR="00697E9A" w:rsidRPr="001543E9">
        <w:t xml:space="preserve"> </w:t>
      </w:r>
      <w:r w:rsidR="001321A6">
        <w:t>threats</w:t>
      </w:r>
      <w:r w:rsidR="00697E9A" w:rsidRPr="001543E9">
        <w:t xml:space="preserve"> on Australian</w:t>
      </w:r>
      <w:r w:rsidR="001321A6">
        <w:t xml:space="preserve"> home and business users</w:t>
      </w:r>
      <w:r w:rsidR="00697E9A" w:rsidRPr="001543E9">
        <w:t xml:space="preserve">. </w:t>
      </w:r>
    </w:p>
    <w:p w14:paraId="3D8DD777" w14:textId="57C12F10" w:rsidR="00AD7451" w:rsidRDefault="00AD7451" w:rsidP="004A2A37">
      <w:pPr>
        <w:pStyle w:val="BodySubHeader"/>
        <w:keepNext/>
        <w:keepLines/>
        <w:shd w:val="clear" w:color="auto" w:fill="D9D9D9" w:themeFill="background1" w:themeFillShade="D9"/>
      </w:pPr>
      <w:r>
        <w:t xml:space="preserve">Case </w:t>
      </w:r>
      <w:r w:rsidR="00D82F23">
        <w:t>s</w:t>
      </w:r>
      <w:r>
        <w:t xml:space="preserve">tudy </w:t>
      </w:r>
      <w:r w:rsidR="00D82F23">
        <w:t>three—</w:t>
      </w:r>
      <w:r w:rsidR="00CB2F60">
        <w:t>‘Microsoft imposter’ scam</w:t>
      </w:r>
    </w:p>
    <w:p w14:paraId="7F2D4C0F" w14:textId="5D3B4B03" w:rsidR="005403FD" w:rsidRDefault="001321A6" w:rsidP="004A2A37">
      <w:pPr>
        <w:keepLines/>
        <w:shd w:val="clear" w:color="auto" w:fill="D9D9D9" w:themeFill="background1" w:themeFillShade="D9"/>
      </w:pPr>
      <w:r>
        <w:t>T</w:t>
      </w:r>
      <w:r w:rsidR="00AB3B91" w:rsidRPr="00F71F86">
        <w:t xml:space="preserve">he </w:t>
      </w:r>
      <w:r w:rsidR="00AB3B91">
        <w:t xml:space="preserve">ACMA’s Do Not Call Register </w:t>
      </w:r>
      <w:r w:rsidR="00AB3B91" w:rsidRPr="00F71F86">
        <w:t>is successful in reducing the number of unwanted telemarketing c</w:t>
      </w:r>
      <w:r w:rsidR="00F015D7">
        <w:t>alls from legitimate businesses. However, the sources of scam calls</w:t>
      </w:r>
      <w:r w:rsidR="00AB3B91" w:rsidRPr="00F71F86">
        <w:t xml:space="preserve"> are not legitimate </w:t>
      </w:r>
      <w:r w:rsidR="00F015D7">
        <w:t>businesses. The</w:t>
      </w:r>
      <w:r w:rsidR="00AB3B91" w:rsidRPr="00F71F86">
        <w:t xml:space="preserve"> ACMA liaises with the Australian Competition and Consumer Commission (ACCC) and international regulators to help combat this increasing global problem.</w:t>
      </w:r>
    </w:p>
    <w:p w14:paraId="59EBA796" w14:textId="5CACEF68" w:rsidR="00AB3B91" w:rsidRDefault="00AB3B91" w:rsidP="00B20861">
      <w:pPr>
        <w:shd w:val="clear" w:color="auto" w:fill="D9D9D9" w:themeFill="background1" w:themeFillShade="D9"/>
        <w:rPr>
          <w:szCs w:val="20"/>
        </w:rPr>
      </w:pPr>
      <w:r>
        <w:rPr>
          <w:szCs w:val="20"/>
        </w:rPr>
        <w:t xml:space="preserve">In 2012, collaboration between </w:t>
      </w:r>
      <w:r w:rsidRPr="00F30E5C">
        <w:rPr>
          <w:szCs w:val="20"/>
        </w:rPr>
        <w:t xml:space="preserve">the ACMA, Canadian Radio-television and Telecommunications Commission (CRTC) and the US Federal Trade Commission </w:t>
      </w:r>
      <w:r>
        <w:rPr>
          <w:szCs w:val="20"/>
        </w:rPr>
        <w:t xml:space="preserve">(FTC) </w:t>
      </w:r>
      <w:r w:rsidRPr="00F30E5C">
        <w:rPr>
          <w:szCs w:val="20"/>
        </w:rPr>
        <w:t>resulted in</w:t>
      </w:r>
      <w:r>
        <w:rPr>
          <w:szCs w:val="20"/>
        </w:rPr>
        <w:t xml:space="preserve"> </w:t>
      </w:r>
      <w:r w:rsidRPr="00F30E5C">
        <w:rPr>
          <w:szCs w:val="20"/>
        </w:rPr>
        <w:t>court orders against US-based parties alleged to be linked to scams</w:t>
      </w:r>
      <w:r w:rsidRPr="00F71F86">
        <w:rPr>
          <w:szCs w:val="20"/>
        </w:rPr>
        <w:t xml:space="preserve"> </w:t>
      </w:r>
      <w:r w:rsidRPr="00F30E5C">
        <w:rPr>
          <w:szCs w:val="20"/>
        </w:rPr>
        <w:t>in which telemarketers masquerade</w:t>
      </w:r>
      <w:r>
        <w:rPr>
          <w:szCs w:val="20"/>
        </w:rPr>
        <w:t>d</w:t>
      </w:r>
      <w:r w:rsidRPr="00F30E5C">
        <w:rPr>
          <w:szCs w:val="20"/>
        </w:rPr>
        <w:t xml:space="preserve"> as representatives of Microsoft.</w:t>
      </w:r>
    </w:p>
    <w:p w14:paraId="4553AFA6" w14:textId="01653152" w:rsidR="00DD1258" w:rsidRDefault="00AB3B91" w:rsidP="00B20861">
      <w:pPr>
        <w:shd w:val="clear" w:color="auto" w:fill="D9D9D9" w:themeFill="background1" w:themeFillShade="D9"/>
      </w:pPr>
      <w:r w:rsidRPr="00F71F86">
        <w:t xml:space="preserve">The ACMA first became aware of what </w:t>
      </w:r>
      <w:r>
        <w:t>was</w:t>
      </w:r>
      <w:r w:rsidRPr="00F71F86">
        <w:t xml:space="preserve"> </w:t>
      </w:r>
      <w:r>
        <w:t>referred to as</w:t>
      </w:r>
      <w:r w:rsidRPr="00F71F86">
        <w:t xml:space="preserve"> the </w:t>
      </w:r>
      <w:r w:rsidR="00D82F23">
        <w:t>‘</w:t>
      </w:r>
      <w:hyperlink r:id="rId28" w:tgtFrame="_top" w:history="1">
        <w:r w:rsidRPr="00F71F86">
          <w:t>Microsoft imposter</w:t>
        </w:r>
      </w:hyperlink>
      <w:r w:rsidR="00D82F23">
        <w:t xml:space="preserve">’ </w:t>
      </w:r>
      <w:r w:rsidRPr="00F71F86">
        <w:t xml:space="preserve">scam in 2009, after </w:t>
      </w:r>
      <w:r>
        <w:t>complaints were received from</w:t>
      </w:r>
      <w:r w:rsidRPr="00F71F86">
        <w:t xml:space="preserve"> </w:t>
      </w:r>
      <w:r>
        <w:t xml:space="preserve">registrants to </w:t>
      </w:r>
      <w:r w:rsidR="00DD1258">
        <w:t>its</w:t>
      </w:r>
      <w:r>
        <w:t xml:space="preserve"> </w:t>
      </w:r>
      <w:hyperlink r:id="rId29" w:tgtFrame="_top" w:history="1">
        <w:r w:rsidRPr="00E53B3D">
          <w:t>Do Not Call Register</w:t>
        </w:r>
      </w:hyperlink>
      <w:r w:rsidRPr="00F71F86">
        <w:t xml:space="preserve">. </w:t>
      </w:r>
      <w:r w:rsidR="00DD1258" w:rsidRPr="00F71F86">
        <w:t xml:space="preserve">The scam generated nearly 10,000 calls to the </w:t>
      </w:r>
      <w:r w:rsidR="00DD1258">
        <w:t xml:space="preserve">ACMA’s </w:t>
      </w:r>
      <w:r w:rsidR="00DD1258" w:rsidRPr="00F71F86">
        <w:t xml:space="preserve">Do Not Call complaint line and at its peak </w:t>
      </w:r>
      <w:r w:rsidR="00DD1258">
        <w:t>represented</w:t>
      </w:r>
      <w:r w:rsidR="00DD1258" w:rsidRPr="00F71F86">
        <w:t xml:space="preserve"> about 50 per cent of all </w:t>
      </w:r>
      <w:r w:rsidR="00DD1258">
        <w:t xml:space="preserve">the </w:t>
      </w:r>
      <w:r w:rsidR="00DD1258" w:rsidRPr="00F71F86">
        <w:t>reports</w:t>
      </w:r>
      <w:r w:rsidR="00DD1258">
        <w:t xml:space="preserve"> made</w:t>
      </w:r>
      <w:r w:rsidR="00DD1258" w:rsidRPr="00F71F86">
        <w:t>.</w:t>
      </w:r>
    </w:p>
    <w:p w14:paraId="0032C82C" w14:textId="5648F081" w:rsidR="00AB3B91" w:rsidRDefault="00AB3B91" w:rsidP="00B20861">
      <w:pPr>
        <w:shd w:val="clear" w:color="auto" w:fill="D9D9D9" w:themeFill="background1" w:themeFillShade="D9"/>
      </w:pPr>
      <w:r w:rsidRPr="00F71F86">
        <w:t>Australia was one of the first targets of this scam</w:t>
      </w:r>
      <w:r w:rsidR="00D82F23">
        <w:t>,</w:t>
      </w:r>
      <w:r w:rsidRPr="00F71F86">
        <w:t xml:space="preserve"> which subsequently spread to other countries. </w:t>
      </w:r>
      <w:r>
        <w:t>T</w:t>
      </w:r>
      <w:r w:rsidRPr="00F71F86">
        <w:t>he ACMA track</w:t>
      </w:r>
      <w:r>
        <w:t>ed</w:t>
      </w:r>
      <w:r w:rsidRPr="00F71F86">
        <w:t xml:space="preserve"> the </w:t>
      </w:r>
      <w:r w:rsidRPr="00F71F86">
        <w:rPr>
          <w:rFonts w:hint="eastAsia"/>
        </w:rPr>
        <w:t>‘</w:t>
      </w:r>
      <w:r w:rsidRPr="00F71F86">
        <w:t>Microsoft Imposter</w:t>
      </w:r>
      <w:r w:rsidRPr="00F71F86">
        <w:rPr>
          <w:rFonts w:hint="eastAsia"/>
        </w:rPr>
        <w:t>’</w:t>
      </w:r>
      <w:r w:rsidRPr="00F71F86">
        <w:t xml:space="preserve"> scammers and work</w:t>
      </w:r>
      <w:r>
        <w:t>ed</w:t>
      </w:r>
      <w:r w:rsidR="00EB2A99">
        <w:t xml:space="preserve"> with </w:t>
      </w:r>
      <w:r w:rsidRPr="00F71F86">
        <w:t>the FTC</w:t>
      </w:r>
      <w:r>
        <w:t xml:space="preserve"> </w:t>
      </w:r>
      <w:r w:rsidR="00A16113">
        <w:t xml:space="preserve">and CRTC </w:t>
      </w:r>
      <w:r>
        <w:t xml:space="preserve">in the </w:t>
      </w:r>
      <w:r w:rsidR="00A16113">
        <w:t>period</w:t>
      </w:r>
      <w:r>
        <w:t xml:space="preserve"> leading up to the FTC’s action</w:t>
      </w:r>
      <w:r w:rsidR="00DD1258">
        <w:t>.</w:t>
      </w:r>
    </w:p>
    <w:p w14:paraId="1C346CC1" w14:textId="4D64741F" w:rsidR="005C7F4F" w:rsidRDefault="00697E9A" w:rsidP="00B20861">
      <w:pPr>
        <w:pStyle w:val="Heading3"/>
      </w:pPr>
      <w:bookmarkStart w:id="15" w:name="_Toc422924234"/>
      <w:r w:rsidRPr="005C7F4F">
        <w:t>Online content</w:t>
      </w:r>
      <w:bookmarkEnd w:id="15"/>
      <w:r w:rsidRPr="005C7F4F">
        <w:t xml:space="preserve"> </w:t>
      </w:r>
    </w:p>
    <w:p w14:paraId="6BFA518E" w14:textId="2861A65B" w:rsidR="009B5A1E" w:rsidRDefault="005C7F4F" w:rsidP="00B20861">
      <w:r>
        <w:t>The ACMA has had significant i</w:t>
      </w:r>
      <w:r w:rsidR="00697E9A" w:rsidRPr="005C7F4F">
        <w:t xml:space="preserve">nvolvement in the development of cross-border measures to address prohibited online content and </w:t>
      </w:r>
      <w:r w:rsidR="00390127">
        <w:t xml:space="preserve">has received international recognition for </w:t>
      </w:r>
      <w:r w:rsidR="00BB0542">
        <w:t>materials it has produced</w:t>
      </w:r>
      <w:r w:rsidR="00BB0542" w:rsidRPr="005C7F4F">
        <w:t xml:space="preserve"> </w:t>
      </w:r>
      <w:r w:rsidR="00BB0542">
        <w:t xml:space="preserve">to raise </w:t>
      </w:r>
      <w:r w:rsidR="00BB0542" w:rsidRPr="005C7F4F">
        <w:t>awareness</w:t>
      </w:r>
      <w:r w:rsidR="00BB0542">
        <w:t xml:space="preserve"> about</w:t>
      </w:r>
      <w:r w:rsidR="00BB0542" w:rsidRPr="005C7F4F">
        <w:t xml:space="preserve"> </w:t>
      </w:r>
      <w:r w:rsidR="00390127" w:rsidRPr="005C7F4F">
        <w:t>online safety</w:t>
      </w:r>
      <w:r>
        <w:t>.</w:t>
      </w:r>
      <w:r w:rsidR="00697E9A" w:rsidRPr="005C7F4F">
        <w:t xml:space="preserve"> </w:t>
      </w:r>
      <w:r w:rsidRPr="00EA66A6">
        <w:t xml:space="preserve">The ACMA has been an active participant in the International Association of Internet Hotlines </w:t>
      </w:r>
      <w:r w:rsidR="00B13DD7" w:rsidRPr="00EA66A6">
        <w:t>(</w:t>
      </w:r>
      <w:r w:rsidRPr="00EA66A6">
        <w:t>INHOPE</w:t>
      </w:r>
      <w:r w:rsidR="00B13DD7" w:rsidRPr="00EA66A6">
        <w:t>)</w:t>
      </w:r>
      <w:r w:rsidRPr="00EA66A6">
        <w:t xml:space="preserve"> </w:t>
      </w:r>
      <w:r w:rsidR="009B5A1E" w:rsidRPr="009B5A1E">
        <w:t>since 2000</w:t>
      </w:r>
      <w:r w:rsidR="009B5A1E">
        <w:t xml:space="preserve"> </w:t>
      </w:r>
      <w:r w:rsidR="00EA66A6" w:rsidRPr="00EA66A6">
        <w:t>as</w:t>
      </w:r>
      <w:r w:rsidR="00EA66A6">
        <w:t xml:space="preserve"> </w:t>
      </w:r>
      <w:r w:rsidR="00EA66A6" w:rsidRPr="00EA66A6">
        <w:t xml:space="preserve">part of Australia’s commitment to the </w:t>
      </w:r>
      <w:hyperlink r:id="rId30" w:tgtFrame="_blank" w:history="1">
        <w:r w:rsidR="00EA66A6" w:rsidRPr="00EA66A6">
          <w:t>Global Alliance Against Child Sexual Abuse Online</w:t>
        </w:r>
      </w:hyperlink>
      <w:r w:rsidR="00EA66A6">
        <w:t xml:space="preserve">, </w:t>
      </w:r>
      <w:r w:rsidR="00EA66A6" w:rsidRPr="00EA66A6">
        <w:t>and has</w:t>
      </w:r>
      <w:r w:rsidR="00390127" w:rsidRPr="00EA66A6">
        <w:t xml:space="preserve"> m</w:t>
      </w:r>
      <w:r w:rsidR="00390127">
        <w:t>emoranda of understandings</w:t>
      </w:r>
      <w:r w:rsidR="00390127" w:rsidRPr="004C3F3B">
        <w:t xml:space="preserve"> </w:t>
      </w:r>
      <w:r w:rsidR="00390127">
        <w:t>(</w:t>
      </w:r>
      <w:r w:rsidR="00390127" w:rsidRPr="004C3F3B">
        <w:t>MoUs</w:t>
      </w:r>
      <w:r w:rsidR="00390127">
        <w:t>)</w:t>
      </w:r>
      <w:r w:rsidR="00390127" w:rsidRPr="004C3F3B">
        <w:t xml:space="preserve"> with NetSafe (New Zealand’s onlin</w:t>
      </w:r>
      <w:r w:rsidR="00390127" w:rsidRPr="00AB50E8">
        <w:t xml:space="preserve">e safety advisory body) and Childnet International, a global children’s charity based in the UK. </w:t>
      </w:r>
    </w:p>
    <w:p w14:paraId="4459ED66" w14:textId="29FDBFA7" w:rsidR="009B5A1E" w:rsidRPr="009B5A1E" w:rsidRDefault="009B5A1E" w:rsidP="00B20861">
      <w:r w:rsidRPr="009B5A1E">
        <w:t>INHOPE hotlines around the world take reports about online child sexual abuse material from members of the public, and work cooperatively with industry and law enforcement to ensure illegal content is rapidly dealt with wherever it is hosted.</w:t>
      </w:r>
      <w:r>
        <w:t xml:space="preserve"> </w:t>
      </w:r>
      <w:r w:rsidRPr="009B5A1E">
        <w:t xml:space="preserve">In the 2013 calendar year, members made nearly </w:t>
      </w:r>
      <w:hyperlink r:id="rId31" w:tgtFrame="_blank" w:history="1">
        <w:r w:rsidRPr="009B5A1E">
          <w:t>55,000</w:t>
        </w:r>
      </w:hyperlink>
      <w:r w:rsidRPr="009B5A1E">
        <w:t xml:space="preserve"> reports of child sexual abuse material across the INHOPE network, with the ACMA making nearly 7,600 reports. Content is typically removed within three days. All INHOPE hotlines have in-built mechanisms to ensure law enforcement operations are not compromised.</w:t>
      </w:r>
    </w:p>
    <w:p w14:paraId="19563DF8" w14:textId="23B612A7" w:rsidR="00BB0542" w:rsidRPr="00BB0542" w:rsidRDefault="00697E9A" w:rsidP="00B20861">
      <w:pPr>
        <w:pStyle w:val="Heading3"/>
      </w:pPr>
      <w:bookmarkStart w:id="16" w:name="_Toc422924235"/>
      <w:r w:rsidRPr="00BB0542">
        <w:t>Satellite coordination</w:t>
      </w:r>
      <w:bookmarkEnd w:id="16"/>
    </w:p>
    <w:p w14:paraId="6D47959A" w14:textId="46B9A97C" w:rsidR="00F032B8" w:rsidRDefault="00F032B8" w:rsidP="00B20861">
      <w:r w:rsidRPr="00E53CB6">
        <w:t>There is a</w:t>
      </w:r>
      <w:r>
        <w:t>n</w:t>
      </w:r>
      <w:r w:rsidRPr="00E53CB6">
        <w:t xml:space="preserve"> International Telecommunication Union (ITU)</w:t>
      </w:r>
      <w:r>
        <w:t xml:space="preserve"> </w:t>
      </w:r>
      <w:r w:rsidRPr="00E53CB6">
        <w:t xml:space="preserve">process </w:t>
      </w:r>
      <w:r>
        <w:t>for</w:t>
      </w:r>
      <w:r w:rsidRPr="00E53CB6">
        <w:t xml:space="preserve"> coordinating access to </w:t>
      </w:r>
      <w:r>
        <w:t xml:space="preserve">the </w:t>
      </w:r>
      <w:r w:rsidRPr="00E53CB6">
        <w:t>radiofrequency spectrum use</w:t>
      </w:r>
      <w:r>
        <w:t>d</w:t>
      </w:r>
      <w:r w:rsidRPr="00E53CB6">
        <w:t xml:space="preserve"> by satellite systems.</w:t>
      </w:r>
      <w:r w:rsidR="00DD1EC9" w:rsidRPr="00B938CD">
        <w:rPr>
          <w:rStyle w:val="FootnoteReference"/>
        </w:rPr>
        <w:footnoteReference w:id="3"/>
      </w:r>
      <w:r w:rsidR="00DD1EC9">
        <w:t xml:space="preserve"> </w:t>
      </w:r>
      <w:r w:rsidRPr="00E53CB6">
        <w:t xml:space="preserve">The ACMA acts as the Australian administration for the </w:t>
      </w:r>
      <w:r>
        <w:t xml:space="preserve">ITU </w:t>
      </w:r>
      <w:r w:rsidRPr="00E53CB6">
        <w:t xml:space="preserve">process </w:t>
      </w:r>
      <w:r w:rsidR="00DD1EC9">
        <w:t>in</w:t>
      </w:r>
      <w:r w:rsidRPr="00E53CB6">
        <w:t xml:space="preserve"> manag</w:t>
      </w:r>
      <w:r w:rsidR="00DD1EC9">
        <w:t>ing</w:t>
      </w:r>
      <w:r w:rsidRPr="00E53CB6">
        <w:t xml:space="preserve"> frequencies for satellite communications. </w:t>
      </w:r>
      <w:r w:rsidRPr="00F44667">
        <w:t>Member states of the ITU (</w:t>
      </w:r>
      <w:r>
        <w:t>including</w:t>
      </w:r>
      <w:r w:rsidRPr="00F44667">
        <w:t xml:space="preserve"> Australia) are bound by </w:t>
      </w:r>
      <w:r w:rsidR="00DD1EC9">
        <w:t>its</w:t>
      </w:r>
      <w:r w:rsidR="00DD1EC9" w:rsidRPr="00F44667">
        <w:t xml:space="preserve"> </w:t>
      </w:r>
      <w:r w:rsidRPr="00F44667">
        <w:t>administrative regulations. These regulations aim to facilitate the rational, efficient and equitable use of the radiofrequency spectrum and associated orbits</w:t>
      </w:r>
      <w:r w:rsidR="00DD1EC9">
        <w:t>,</w:t>
      </w:r>
      <w:r w:rsidRPr="00F44667">
        <w:t xml:space="preserve"> and to prevent instances of harmful interference. </w:t>
      </w:r>
    </w:p>
    <w:p w14:paraId="6E431E4B" w14:textId="4F112D4D" w:rsidR="00F032B8" w:rsidRDefault="00F032B8" w:rsidP="004A2A37">
      <w:pPr>
        <w:keepLines/>
      </w:pPr>
      <w:r w:rsidRPr="00BB0542">
        <w:t xml:space="preserve">Satellite operators may approach any administration in the world, including the ACMA, </w:t>
      </w:r>
      <w:r>
        <w:t>to file their satellite system with the ITU.</w:t>
      </w:r>
      <w:r w:rsidRPr="00BB0542">
        <w:t xml:space="preserve"> In under</w:t>
      </w:r>
      <w:r>
        <w:t xml:space="preserve">taking this work, the ACMA </w:t>
      </w:r>
      <w:r w:rsidRPr="00BB0542">
        <w:t>considers the regulatory framework provided by the ITU’s treaty-level Constitution</w:t>
      </w:r>
      <w:r>
        <w:t xml:space="preserve"> and Convention</w:t>
      </w:r>
      <w:r w:rsidRPr="00BB0542">
        <w:t xml:space="preserve"> and Radio Regulations, and Australian law and principles. </w:t>
      </w:r>
      <w:r w:rsidRPr="00B375F4">
        <w:t xml:space="preserve">The ACMA is responsible for filing Australian satellite networks with the </w:t>
      </w:r>
      <w:r>
        <w:t>ITU</w:t>
      </w:r>
      <w:r w:rsidRPr="00B375F4">
        <w:t xml:space="preserve">. </w:t>
      </w:r>
      <w:r w:rsidR="00DD1EC9">
        <w:t xml:space="preserve">See the next chapter for a </w:t>
      </w:r>
      <w:r>
        <w:t>description of the international process for bringing satellite networks into use.</w:t>
      </w:r>
    </w:p>
    <w:p w14:paraId="56BE5214" w14:textId="083EE563" w:rsidR="004B2C01" w:rsidRPr="000D76E0" w:rsidRDefault="004B2C01" w:rsidP="004B2C01">
      <w:pPr>
        <w:pStyle w:val="Heading1"/>
      </w:pPr>
      <w:bookmarkStart w:id="17" w:name="_Toc422924236"/>
      <w:r>
        <w:t>How the ACMA engage</w:t>
      </w:r>
      <w:r w:rsidR="0048221C">
        <w:t>s internationally</w:t>
      </w:r>
      <w:bookmarkEnd w:id="17"/>
    </w:p>
    <w:p w14:paraId="0C7BA814" w14:textId="73EF76E5" w:rsidR="00EE5F2B" w:rsidRDefault="00D65686" w:rsidP="0088593E">
      <w:r w:rsidRPr="00D65686">
        <w:t xml:space="preserve">The ACMA’s international engagement strategy aims to ensure that </w:t>
      </w:r>
      <w:r w:rsidR="00DD1EC9">
        <w:t>its</w:t>
      </w:r>
      <w:r w:rsidRPr="00D65686">
        <w:t xml:space="preserve"> international activities align with its legislative responsibilities, promote whole-of-government policies and support relevant priorities in </w:t>
      </w:r>
      <w:r w:rsidR="00DD1EC9">
        <w:t>its</w:t>
      </w:r>
      <w:r w:rsidRPr="00D65686">
        <w:t xml:space="preserve"> work program. </w:t>
      </w:r>
    </w:p>
    <w:p w14:paraId="36592653" w14:textId="422F5FC0" w:rsidR="00EE5F2B" w:rsidRDefault="00EE5F2B" w:rsidP="00B20861">
      <w:pPr>
        <w:pStyle w:val="Heading2"/>
      </w:pPr>
      <w:bookmarkStart w:id="18" w:name="_Toc422924237"/>
      <w:r w:rsidRPr="00B20861">
        <w:t>International</w:t>
      </w:r>
      <w:r>
        <w:t xml:space="preserve"> engagement </w:t>
      </w:r>
      <w:r w:rsidR="007829CE">
        <w:t>strategies</w:t>
      </w:r>
      <w:bookmarkEnd w:id="18"/>
    </w:p>
    <w:p w14:paraId="1C9DFDDB" w14:textId="6B73AAC1" w:rsidR="0088593E" w:rsidRPr="00484BD3" w:rsidRDefault="00A00A3F" w:rsidP="00B20861">
      <w:r>
        <w:t xml:space="preserve">There are six main </w:t>
      </w:r>
      <w:r w:rsidR="007829CE">
        <w:t>strategies</w:t>
      </w:r>
      <w:r w:rsidR="00484BD3" w:rsidRPr="00484BD3">
        <w:t xml:space="preserve"> </w:t>
      </w:r>
      <w:r w:rsidR="007829CE">
        <w:t xml:space="preserve">that guide </w:t>
      </w:r>
      <w:r w:rsidR="0044453E" w:rsidRPr="00484BD3">
        <w:t xml:space="preserve">the ACMA </w:t>
      </w:r>
      <w:r w:rsidR="0044453E">
        <w:t xml:space="preserve">in </w:t>
      </w:r>
      <w:r w:rsidR="00696723">
        <w:t>undertaking</w:t>
      </w:r>
      <w:r w:rsidR="00484BD3" w:rsidRPr="00484BD3">
        <w:t xml:space="preserve"> its international engagement</w:t>
      </w:r>
      <w:bookmarkStart w:id="19" w:name="_Toc223511773"/>
      <w:r w:rsidR="0040526D">
        <w:t>.</w:t>
      </w:r>
    </w:p>
    <w:p w14:paraId="77FE77FA" w14:textId="44B126DA" w:rsidR="00F7628C" w:rsidRPr="00B20861" w:rsidRDefault="00F7628C" w:rsidP="00B20861">
      <w:pPr>
        <w:pStyle w:val="ListNumber"/>
        <w:rPr>
          <w:b/>
        </w:rPr>
      </w:pPr>
      <w:r w:rsidRPr="00B20861">
        <w:rPr>
          <w:b/>
        </w:rPr>
        <w:t>Build strategic relationships with international organisations, particularly converged regulators</w:t>
      </w:r>
    </w:p>
    <w:p w14:paraId="1D4E0F6C" w14:textId="652A1CFD" w:rsidR="00F7628C" w:rsidRDefault="00F7628C" w:rsidP="00B20861">
      <w:r w:rsidRPr="0088593E">
        <w:t xml:space="preserve">The ACMA maintains a number of key relationships with regulators and other organisations in various countries. </w:t>
      </w:r>
    </w:p>
    <w:p w14:paraId="3347B5B0" w14:textId="5B2C562E" w:rsidR="009F366C" w:rsidRPr="009F366C" w:rsidRDefault="009F366C" w:rsidP="00B20861">
      <w:pPr>
        <w:spacing w:after="80"/>
      </w:pPr>
      <w:r w:rsidRPr="009F366C">
        <w:t>Key stakeholders are likely to be those that:</w:t>
      </w:r>
    </w:p>
    <w:p w14:paraId="6111E964" w14:textId="25DA0B4B" w:rsidR="009F366C" w:rsidRPr="00B20861" w:rsidRDefault="00DD1EC9" w:rsidP="00B20861">
      <w:pPr>
        <w:pStyle w:val="ListBullet"/>
      </w:pPr>
      <w:r>
        <w:t>s</w:t>
      </w:r>
      <w:r w:rsidR="009F366C" w:rsidRPr="00B20861">
        <w:t xml:space="preserve">eek outcomes </w:t>
      </w:r>
      <w:r>
        <w:t>that</w:t>
      </w:r>
      <w:r w:rsidR="009F366C" w:rsidRPr="00B20861">
        <w:t xml:space="preserve"> align with the ACMA’s objectives </w:t>
      </w:r>
    </w:p>
    <w:p w14:paraId="073393F9" w14:textId="6C446A68" w:rsidR="009F366C" w:rsidRPr="00B20861" w:rsidRDefault="00DD1EC9" w:rsidP="00B20861">
      <w:pPr>
        <w:pStyle w:val="ListBullet"/>
      </w:pPr>
      <w:r>
        <w:t>s</w:t>
      </w:r>
      <w:r w:rsidR="009F366C" w:rsidRPr="00B20861">
        <w:t>upport Australia’s positions at international meetings</w:t>
      </w:r>
    </w:p>
    <w:p w14:paraId="60C0677C" w14:textId="484522FD" w:rsidR="009F366C" w:rsidRPr="00B20861" w:rsidRDefault="00320E99" w:rsidP="00B20861">
      <w:pPr>
        <w:pStyle w:val="ListBullet"/>
      </w:pPr>
      <w:r>
        <w:t>h</w:t>
      </w:r>
      <w:r w:rsidR="009F366C" w:rsidRPr="00B20861">
        <w:t>ave formalised cooperative arrangements with the ACMA</w:t>
      </w:r>
    </w:p>
    <w:p w14:paraId="504EEA72" w14:textId="1F5C2877" w:rsidR="009F366C" w:rsidRPr="009F366C" w:rsidRDefault="00320E99" w:rsidP="00B20861">
      <w:pPr>
        <w:pStyle w:val="ListBulletLast"/>
      </w:pPr>
      <w:r>
        <w:t>h</w:t>
      </w:r>
      <w:r w:rsidR="009F366C" w:rsidRPr="00B20861">
        <w:t>ave</w:t>
      </w:r>
      <w:r w:rsidR="009F366C" w:rsidRPr="009F366C">
        <w:t xml:space="preserve"> knowledge and/or expertise likely to assist the ACMA.</w:t>
      </w:r>
    </w:p>
    <w:p w14:paraId="56B25316" w14:textId="2D892DEE" w:rsidR="00F7628C" w:rsidRPr="0088593E" w:rsidRDefault="00F7628C" w:rsidP="00B20861">
      <w:r w:rsidRPr="0088593E">
        <w:t>Agreements such as MoUs with other international agencies can strengthen relationships through formalising information</w:t>
      </w:r>
      <w:r w:rsidR="00320E99">
        <w:t>-</w:t>
      </w:r>
      <w:r w:rsidRPr="0088593E">
        <w:t>sharing and cooperation in areas of mutual interest.</w:t>
      </w:r>
    </w:p>
    <w:p w14:paraId="122A5D52" w14:textId="02B3CEFE" w:rsidR="00F7628C" w:rsidRPr="00B20861" w:rsidRDefault="00F7628C" w:rsidP="00B20861">
      <w:pPr>
        <w:pStyle w:val="ListNumber"/>
        <w:rPr>
          <w:b/>
        </w:rPr>
      </w:pPr>
      <w:r w:rsidRPr="00B20861">
        <w:rPr>
          <w:b/>
        </w:rPr>
        <w:t>Participate in relevant international and regional fora, negotiations, conferences and meetings</w:t>
      </w:r>
    </w:p>
    <w:p w14:paraId="7E4ABC98" w14:textId="47189D58" w:rsidR="00F7628C" w:rsidRPr="0088593E" w:rsidRDefault="00F7628C" w:rsidP="00B20861">
      <w:pPr>
        <w:spacing w:after="80"/>
      </w:pPr>
      <w:r w:rsidRPr="0088593E">
        <w:t>Strategic participation in relevant international for</w:t>
      </w:r>
      <w:r w:rsidR="00884588">
        <w:t>a</w:t>
      </w:r>
      <w:r w:rsidRPr="0088593E">
        <w:t xml:space="preserve"> provides opportunities for the ACMA to:</w:t>
      </w:r>
    </w:p>
    <w:p w14:paraId="14322110" w14:textId="751BF660" w:rsidR="00F7628C" w:rsidRPr="00B20861" w:rsidRDefault="00884588" w:rsidP="00B20861">
      <w:pPr>
        <w:pStyle w:val="ListBullet"/>
      </w:pPr>
      <w:r>
        <w:t>u</w:t>
      </w:r>
      <w:r w:rsidR="00F7628C" w:rsidRPr="00B20861">
        <w:t>ndertake its international legislative responsibilities</w:t>
      </w:r>
    </w:p>
    <w:p w14:paraId="622B1071" w14:textId="25DF72AC" w:rsidR="00F7628C" w:rsidRPr="00B20861" w:rsidRDefault="00884588" w:rsidP="00B20861">
      <w:pPr>
        <w:pStyle w:val="ListBullet"/>
      </w:pPr>
      <w:r>
        <w:t>i</w:t>
      </w:r>
      <w:r w:rsidR="00F7628C" w:rsidRPr="00B20861">
        <w:t>nfluence outcomes affecting communications and media in Australia</w:t>
      </w:r>
    </w:p>
    <w:p w14:paraId="2922B0A5" w14:textId="4F4602F2" w:rsidR="00F7628C" w:rsidRPr="00B20861" w:rsidRDefault="00884588" w:rsidP="00B20861">
      <w:pPr>
        <w:pStyle w:val="ListBullet"/>
      </w:pPr>
      <w:r>
        <w:t>d</w:t>
      </w:r>
      <w:r w:rsidR="00F7628C" w:rsidRPr="00B20861">
        <w:t xml:space="preserve">emonstrate its value as a constructive </w:t>
      </w:r>
      <w:r w:rsidR="0088593E" w:rsidRPr="00B20861">
        <w:t>international participant</w:t>
      </w:r>
    </w:p>
    <w:p w14:paraId="32DF6B81" w14:textId="3114608C" w:rsidR="00F7628C" w:rsidRPr="00B20861" w:rsidRDefault="00884588" w:rsidP="00B20861">
      <w:pPr>
        <w:pStyle w:val="ListBullet"/>
      </w:pPr>
      <w:r>
        <w:t>p</w:t>
      </w:r>
      <w:r w:rsidR="00F7628C" w:rsidRPr="00B20861">
        <w:t xml:space="preserve">romote government policies on </w:t>
      </w:r>
      <w:r w:rsidR="00696723" w:rsidRPr="00B20861">
        <w:t>enhancing</w:t>
      </w:r>
      <w:r w:rsidR="00F7628C" w:rsidRPr="00B20861">
        <w:t xml:space="preserve"> international competitiveness</w:t>
      </w:r>
      <w:r w:rsidR="00696723" w:rsidRPr="00B20861">
        <w:t>,</w:t>
      </w:r>
      <w:r w:rsidR="00F7628C" w:rsidRPr="00B20861">
        <w:t xml:space="preserve"> </w:t>
      </w:r>
      <w:r w:rsidR="0088593E" w:rsidRPr="00B20861">
        <w:t>regional stability</w:t>
      </w:r>
      <w:r w:rsidR="00696723" w:rsidRPr="00B20861">
        <w:t xml:space="preserve"> and removing barriers to trade</w:t>
      </w:r>
    </w:p>
    <w:p w14:paraId="5730C32B" w14:textId="2C876E35" w:rsidR="004F4320" w:rsidRPr="00B20861" w:rsidRDefault="00884588" w:rsidP="00B20861">
      <w:pPr>
        <w:pStyle w:val="ListBullet"/>
      </w:pPr>
      <w:r>
        <w:t>g</w:t>
      </w:r>
      <w:r w:rsidR="00F7628C" w:rsidRPr="00B20861">
        <w:t>ain knowledge and build capacity</w:t>
      </w:r>
    </w:p>
    <w:p w14:paraId="402C0B3B" w14:textId="629BA01F" w:rsidR="00F7628C" w:rsidRPr="00B20861" w:rsidRDefault="00884588" w:rsidP="00B20861">
      <w:pPr>
        <w:pStyle w:val="ListBulletLast"/>
      </w:pPr>
      <w:r>
        <w:t>s</w:t>
      </w:r>
      <w:r w:rsidR="004F4320" w:rsidRPr="00B20861">
        <w:t>upport efforts to build capacity in other countries</w:t>
      </w:r>
      <w:r w:rsidR="00F7628C" w:rsidRPr="00B20861">
        <w:t xml:space="preserve">. </w:t>
      </w:r>
    </w:p>
    <w:p w14:paraId="74B7A854" w14:textId="3F8FE0D3" w:rsidR="00F7628C" w:rsidRPr="004A2A37" w:rsidRDefault="00F7628C" w:rsidP="00B20861">
      <w:pPr>
        <w:pStyle w:val="ListNumber"/>
        <w:rPr>
          <w:b/>
        </w:rPr>
      </w:pPr>
      <w:r w:rsidRPr="00AE4A45">
        <w:rPr>
          <w:b/>
        </w:rPr>
        <w:t>Gather strategic intelligence and information on emerging international communications and media developments, trends and best</w:t>
      </w:r>
      <w:r w:rsidR="00AE4A45">
        <w:rPr>
          <w:b/>
        </w:rPr>
        <w:t>-</w:t>
      </w:r>
      <w:r w:rsidRPr="00AE4A45">
        <w:rPr>
          <w:b/>
        </w:rPr>
        <w:t>practice responses</w:t>
      </w:r>
    </w:p>
    <w:p w14:paraId="44C18CCF" w14:textId="77777777" w:rsidR="00F7628C" w:rsidRPr="0088593E" w:rsidRDefault="00F7628C" w:rsidP="004A2A37">
      <w:pPr>
        <w:spacing w:after="80"/>
      </w:pPr>
      <w:r w:rsidRPr="0088593E">
        <w:t>Strategic intelligence and information allows the ACMA to:</w:t>
      </w:r>
    </w:p>
    <w:p w14:paraId="5043C96C" w14:textId="56BB70EF" w:rsidR="00F7628C" w:rsidRPr="00B20861" w:rsidRDefault="00AE4A45" w:rsidP="00B20861">
      <w:pPr>
        <w:pStyle w:val="ListBullet"/>
      </w:pPr>
      <w:r>
        <w:t>m</w:t>
      </w:r>
      <w:r w:rsidR="00F7628C" w:rsidRPr="0088593E">
        <w:t xml:space="preserve">ore </w:t>
      </w:r>
      <w:r w:rsidR="00F7628C" w:rsidRPr="00B20861">
        <w:t>effectively influence international negotiations and decision</w:t>
      </w:r>
      <w:r w:rsidR="0088593E" w:rsidRPr="00B20861">
        <w:t>-making processes</w:t>
      </w:r>
    </w:p>
    <w:p w14:paraId="53932779" w14:textId="3FBA1FA1" w:rsidR="00F7628C" w:rsidRPr="00B20861" w:rsidRDefault="00AE4A45" w:rsidP="00B20861">
      <w:pPr>
        <w:pStyle w:val="ListBullet"/>
      </w:pPr>
      <w:r>
        <w:t>i</w:t>
      </w:r>
      <w:r w:rsidR="00F7628C" w:rsidRPr="00B20861">
        <w:t>dentify emerging issues that could affect communications and media in Australia</w:t>
      </w:r>
    </w:p>
    <w:p w14:paraId="4F5E34BB" w14:textId="4FC01797" w:rsidR="00F7628C" w:rsidRPr="0088593E" w:rsidRDefault="00AE4A45" w:rsidP="00F12E56">
      <w:pPr>
        <w:pStyle w:val="ListBullet"/>
        <w:keepNext/>
        <w:keepLines/>
      </w:pPr>
      <w:r>
        <w:t>b</w:t>
      </w:r>
      <w:r w:rsidR="00F7628C" w:rsidRPr="00B20861">
        <w:t>enc</w:t>
      </w:r>
      <w:r w:rsidR="00F7628C" w:rsidRPr="0088593E">
        <w:t>hmark the ACMA’s regulatory responses against world’s best practice</w:t>
      </w:r>
    </w:p>
    <w:p w14:paraId="6C19D9B9" w14:textId="1755DA91" w:rsidR="00F7628C" w:rsidRPr="0088593E" w:rsidRDefault="00AE4A45" w:rsidP="00F12E56">
      <w:pPr>
        <w:pStyle w:val="ListBulletLast"/>
        <w:keepNext/>
        <w:keepLines/>
      </w:pPr>
      <w:r>
        <w:t>p</w:t>
      </w:r>
      <w:r w:rsidR="00F7628C" w:rsidRPr="0088593E">
        <w:t xml:space="preserve">rovide credible and timely information and advice on international communications and media issues (both domestically </w:t>
      </w:r>
      <w:r w:rsidR="0088593E">
        <w:t>and internationally)</w:t>
      </w:r>
      <w:r w:rsidR="00F7628C" w:rsidRPr="0088593E">
        <w:t>.</w:t>
      </w:r>
    </w:p>
    <w:p w14:paraId="60E9A35F" w14:textId="0FD9792D" w:rsidR="00F7628C" w:rsidRPr="00B20861" w:rsidRDefault="00F7628C" w:rsidP="00B20861">
      <w:pPr>
        <w:pStyle w:val="ListNumber"/>
        <w:rPr>
          <w:b/>
        </w:rPr>
      </w:pPr>
      <w:r w:rsidRPr="00B20861">
        <w:rPr>
          <w:b/>
        </w:rPr>
        <w:t xml:space="preserve">Provide training programs, </w:t>
      </w:r>
      <w:r w:rsidR="00AE4A45">
        <w:rPr>
          <w:b/>
        </w:rPr>
        <w:t xml:space="preserve">and </w:t>
      </w:r>
      <w:r w:rsidRPr="00B20861">
        <w:rPr>
          <w:b/>
        </w:rPr>
        <w:t>host visits from overseas representatives and delegations as well as international meetings and events.</w:t>
      </w:r>
    </w:p>
    <w:p w14:paraId="7E2D69BF" w14:textId="77777777" w:rsidR="00F7628C" w:rsidRPr="0088593E" w:rsidRDefault="00F7628C" w:rsidP="00B20861">
      <w:pPr>
        <w:spacing w:after="80"/>
      </w:pPr>
      <w:r w:rsidRPr="0088593E">
        <w:rPr>
          <w:snapToGrid w:val="0"/>
        </w:rPr>
        <w:t xml:space="preserve">This </w:t>
      </w:r>
      <w:r w:rsidRPr="0088593E">
        <w:t>strategy:</w:t>
      </w:r>
    </w:p>
    <w:p w14:paraId="2F3EB65B" w14:textId="70ACA286" w:rsidR="00F7628C" w:rsidRPr="00B20861" w:rsidRDefault="00AE4A45" w:rsidP="00B20861">
      <w:pPr>
        <w:pStyle w:val="ListBullet"/>
      </w:pPr>
      <w:r>
        <w:t>d</w:t>
      </w:r>
      <w:r w:rsidR="00F7628C" w:rsidRPr="00B20861">
        <w:t>evelops capacity in the region</w:t>
      </w:r>
    </w:p>
    <w:p w14:paraId="13E67F2D" w14:textId="24791214" w:rsidR="00F7628C" w:rsidRPr="00B20861" w:rsidRDefault="00AE4A45" w:rsidP="00B20861">
      <w:pPr>
        <w:pStyle w:val="ListBullet"/>
      </w:pPr>
      <w:r>
        <w:t>s</w:t>
      </w:r>
      <w:r w:rsidR="00F7628C" w:rsidRPr="00B20861">
        <w:t xml:space="preserve">trengthens the ACMA’s international </w:t>
      </w:r>
      <w:r w:rsidR="0088593E" w:rsidRPr="00B20861">
        <w:t>reputation</w:t>
      </w:r>
    </w:p>
    <w:p w14:paraId="0CA9AB15" w14:textId="166D899A" w:rsidR="00F7628C" w:rsidRPr="00B20861" w:rsidRDefault="00AE4A45" w:rsidP="00B20861">
      <w:pPr>
        <w:pStyle w:val="ListBullet"/>
      </w:pPr>
      <w:r>
        <w:t>s</w:t>
      </w:r>
      <w:r w:rsidR="00F7628C" w:rsidRPr="00B20861">
        <w:t>trengthens relationships and influence, particularly within the A</w:t>
      </w:r>
      <w:r w:rsidR="0088593E" w:rsidRPr="00B20861">
        <w:t>sia</w:t>
      </w:r>
      <w:r>
        <w:t>–</w:t>
      </w:r>
      <w:r w:rsidR="0088593E" w:rsidRPr="00B20861">
        <w:t>Pacific region</w:t>
      </w:r>
    </w:p>
    <w:p w14:paraId="6414EDEA" w14:textId="03448A67" w:rsidR="00F7628C" w:rsidRPr="00B20861" w:rsidRDefault="00AE4A45" w:rsidP="00B20861">
      <w:pPr>
        <w:pStyle w:val="ListBulletLast"/>
      </w:pPr>
      <w:r>
        <w:t>p</w:t>
      </w:r>
      <w:r w:rsidR="00F7628C" w:rsidRPr="00B20861">
        <w:t>rovides opportunities for information exchange and enhancing the ACMA’s</w:t>
      </w:r>
      <w:r w:rsidR="0088593E" w:rsidRPr="00B20861">
        <w:t xml:space="preserve"> knowledge base</w:t>
      </w:r>
      <w:r w:rsidR="00F7628C" w:rsidRPr="00B20861">
        <w:t>.</w:t>
      </w:r>
    </w:p>
    <w:p w14:paraId="73BDEE7B" w14:textId="22479CD7" w:rsidR="006F2D59" w:rsidRDefault="006F2D59" w:rsidP="00B20861">
      <w:r>
        <w:rPr>
          <w:lang w:val="en-US"/>
        </w:rPr>
        <w:t>Hosting visits from delegations and overseas representative</w:t>
      </w:r>
      <w:r w:rsidR="00352F9B">
        <w:rPr>
          <w:lang w:val="en-US"/>
        </w:rPr>
        <w:t>s</w:t>
      </w:r>
      <w:r>
        <w:rPr>
          <w:lang w:val="en-US"/>
        </w:rPr>
        <w:t xml:space="preserve"> </w:t>
      </w:r>
      <w:r w:rsidRPr="006F2D59">
        <w:t>are usually arranged in response to requests from overseas regulators</w:t>
      </w:r>
      <w:r w:rsidR="00AE4A45">
        <w:t>. They</w:t>
      </w:r>
      <w:r w:rsidRPr="006F2D59">
        <w:t xml:space="preserve"> range from individuals meeting ACMA staff for an hour or two to delegations of upwards of 20 people </w:t>
      </w:r>
      <w:r w:rsidR="00AE4A45">
        <w:t xml:space="preserve">that </w:t>
      </w:r>
      <w:r w:rsidRPr="006F2D59">
        <w:t>requir</w:t>
      </w:r>
      <w:r w:rsidR="00AE4A45">
        <w:t>e</w:t>
      </w:r>
      <w:r w:rsidRPr="006F2D59">
        <w:t xml:space="preserve"> </w:t>
      </w:r>
      <w:r w:rsidR="00AE4A45">
        <w:t>numerous ACMA staff</w:t>
      </w:r>
      <w:r w:rsidR="00AE4A45" w:rsidRPr="006F2D59">
        <w:t xml:space="preserve"> </w:t>
      </w:r>
      <w:r w:rsidR="00AE4A45">
        <w:t>to</w:t>
      </w:r>
      <w:r w:rsidRPr="006F2D59">
        <w:t xml:space="preserve"> coordinat</w:t>
      </w:r>
      <w:r w:rsidR="00AE4A45">
        <w:t>e</w:t>
      </w:r>
      <w:r w:rsidRPr="006F2D59">
        <w:t xml:space="preserve"> contributi</w:t>
      </w:r>
      <w:r>
        <w:t xml:space="preserve">ons. </w:t>
      </w:r>
    </w:p>
    <w:p w14:paraId="71DDA0B2" w14:textId="45476AD7" w:rsidR="006F2D59" w:rsidRPr="0040526D" w:rsidRDefault="006F2D59" w:rsidP="00B20861">
      <w:pPr>
        <w:rPr>
          <w:rFonts w:cs="Arial"/>
        </w:rPr>
      </w:pPr>
      <w:r w:rsidRPr="00516745">
        <w:rPr>
          <w:rFonts w:cs="Arial"/>
          <w:lang w:val="en-US"/>
        </w:rPr>
        <w:t>The provision of training can range from ad hoc requests to hosting major events</w:t>
      </w:r>
      <w:r w:rsidR="00AE4A45">
        <w:rPr>
          <w:rFonts w:cs="Arial"/>
          <w:lang w:val="en-US"/>
        </w:rPr>
        <w:t>. For example,</w:t>
      </w:r>
      <w:r w:rsidRPr="00516745">
        <w:rPr>
          <w:rFonts w:cs="Arial"/>
          <w:lang w:val="en-US"/>
        </w:rPr>
        <w:t xml:space="preserve"> the International Training Program (ITP) is run over a number of days in conjunction with the ITU every few years</w:t>
      </w:r>
      <w:r w:rsidR="00AE4A45">
        <w:rPr>
          <w:rFonts w:cs="Arial"/>
          <w:lang w:val="en-US"/>
        </w:rPr>
        <w:t>,</w:t>
      </w:r>
      <w:r w:rsidRPr="00516745">
        <w:rPr>
          <w:rFonts w:cs="Arial"/>
          <w:lang w:val="en-US"/>
        </w:rPr>
        <w:t xml:space="preserve"> with dozens of registrants from numerous countries. As the host nation, the ACMA organi</w:t>
      </w:r>
      <w:r w:rsidR="00AE4A45">
        <w:rPr>
          <w:rFonts w:cs="Arial"/>
          <w:lang w:val="en-US"/>
        </w:rPr>
        <w:t>s</w:t>
      </w:r>
      <w:r w:rsidRPr="00516745">
        <w:rPr>
          <w:rFonts w:cs="Arial"/>
          <w:lang w:val="en-US"/>
        </w:rPr>
        <w:t>es the program, develops and delivers presentations</w:t>
      </w:r>
      <w:r w:rsidR="00AE4A45">
        <w:rPr>
          <w:rFonts w:cs="Arial"/>
          <w:lang w:val="en-US"/>
        </w:rPr>
        <w:t>,</w:t>
      </w:r>
      <w:r w:rsidRPr="00516745">
        <w:rPr>
          <w:rFonts w:cs="Arial"/>
          <w:lang w:val="en-US"/>
        </w:rPr>
        <w:t xml:space="preserve"> and </w:t>
      </w:r>
      <w:r w:rsidR="002153E1">
        <w:rPr>
          <w:rFonts w:cs="Arial"/>
          <w:lang w:val="en-US"/>
        </w:rPr>
        <w:t>run</w:t>
      </w:r>
      <w:r w:rsidR="00AE4A45">
        <w:rPr>
          <w:rFonts w:cs="Arial"/>
          <w:lang w:val="en-US"/>
        </w:rPr>
        <w:t>s</w:t>
      </w:r>
      <w:r w:rsidR="002153E1">
        <w:rPr>
          <w:rFonts w:cs="Arial"/>
          <w:lang w:val="en-US"/>
        </w:rPr>
        <w:t xml:space="preserve"> the event</w:t>
      </w:r>
      <w:r w:rsidRPr="00516745">
        <w:rPr>
          <w:rFonts w:cs="Arial"/>
          <w:lang w:val="en-US"/>
        </w:rPr>
        <w:t>. Other training requests include staff attachments over a week or more and tailored sessions for an hour or two on specific topics.</w:t>
      </w:r>
    </w:p>
    <w:p w14:paraId="733407F1" w14:textId="5FDA8841" w:rsidR="00F7628C" w:rsidRPr="00B20861" w:rsidRDefault="00F7628C" w:rsidP="00B20861">
      <w:pPr>
        <w:pStyle w:val="ListNumber"/>
        <w:rPr>
          <w:b/>
        </w:rPr>
      </w:pPr>
      <w:r w:rsidRPr="00B20861">
        <w:rPr>
          <w:b/>
        </w:rPr>
        <w:t>Advise government and make strategic information and intelligence available to stakeholders in a responsive and timely manner</w:t>
      </w:r>
    </w:p>
    <w:p w14:paraId="2E21908D" w14:textId="77777777" w:rsidR="00F7628C" w:rsidRPr="00516745" w:rsidRDefault="00F7628C" w:rsidP="00B20861">
      <w:pPr>
        <w:spacing w:after="80"/>
      </w:pPr>
      <w:r w:rsidRPr="0040526D">
        <w:t>This</w:t>
      </w:r>
      <w:r w:rsidRPr="00516745">
        <w:t xml:space="preserve"> strategy supports:</w:t>
      </w:r>
    </w:p>
    <w:bookmarkEnd w:id="19"/>
    <w:p w14:paraId="58B34F8E" w14:textId="708A37B4" w:rsidR="00F7628C" w:rsidRPr="006F2D59" w:rsidRDefault="00AE4A45" w:rsidP="00B20861">
      <w:pPr>
        <w:pStyle w:val="ListBullet"/>
      </w:pPr>
      <w:r>
        <w:t>g</w:t>
      </w:r>
      <w:r w:rsidR="00F7628C" w:rsidRPr="006F2D59">
        <w:t xml:space="preserve">overnment </w:t>
      </w:r>
      <w:r w:rsidR="00F7628C" w:rsidRPr="00B20861">
        <w:t>policy</w:t>
      </w:r>
      <w:r w:rsidR="00F7628C" w:rsidRPr="006F2D59">
        <w:t xml:space="preserve"> development in commun</w:t>
      </w:r>
      <w:r w:rsidR="006F2D59">
        <w:t>ications and media</w:t>
      </w:r>
    </w:p>
    <w:p w14:paraId="71FFEEB9" w14:textId="0187DEA5" w:rsidR="00F7628C" w:rsidRDefault="00AE4A45" w:rsidP="00B20861">
      <w:pPr>
        <w:pStyle w:val="ListBulletLast"/>
      </w:pPr>
      <w:r>
        <w:t>v</w:t>
      </w:r>
      <w:r w:rsidR="00F7628C" w:rsidRPr="006F2D59">
        <w:t xml:space="preserve">aluable international intelligence, information and contacts being available to </w:t>
      </w:r>
      <w:r w:rsidR="006F2D59">
        <w:t>ACMA stakeholders.</w:t>
      </w:r>
    </w:p>
    <w:p w14:paraId="21C068D5" w14:textId="547502EF" w:rsidR="007257AB" w:rsidRPr="0040526D" w:rsidRDefault="007257AB" w:rsidP="00B20861">
      <w:r w:rsidRPr="00516745">
        <w:rPr>
          <w:lang w:val="en-US"/>
        </w:rPr>
        <w:t xml:space="preserve">The ACMA regularly responds to requests from other government departments for comments and advice on aspects of international agreements and other issues that are relevant to </w:t>
      </w:r>
      <w:r w:rsidR="00AE4A45">
        <w:rPr>
          <w:lang w:val="en-US"/>
        </w:rPr>
        <w:t>its</w:t>
      </w:r>
      <w:r w:rsidRPr="00516745">
        <w:rPr>
          <w:lang w:val="en-US"/>
        </w:rPr>
        <w:t xml:space="preserve"> responsibilities. </w:t>
      </w:r>
    </w:p>
    <w:p w14:paraId="0864FF28" w14:textId="27FE5DFF" w:rsidR="00F7628C" w:rsidRPr="00B20861" w:rsidRDefault="00F7628C" w:rsidP="00B20861">
      <w:pPr>
        <w:pStyle w:val="ListNumber"/>
        <w:rPr>
          <w:b/>
        </w:rPr>
      </w:pPr>
      <w:r w:rsidRPr="00B20861">
        <w:rPr>
          <w:b/>
        </w:rPr>
        <w:t>Facilitate industry and community stakeholder input into formulating Australia’s positions on relevant issues of international significance</w:t>
      </w:r>
    </w:p>
    <w:p w14:paraId="259D60C6" w14:textId="77777777" w:rsidR="00F7628C" w:rsidRPr="006F2D59" w:rsidRDefault="00F7628C" w:rsidP="00B20861">
      <w:pPr>
        <w:spacing w:after="80"/>
      </w:pPr>
      <w:r w:rsidRPr="006F2D59">
        <w:t>This strategy supports:</w:t>
      </w:r>
    </w:p>
    <w:p w14:paraId="21966217" w14:textId="0F756A26" w:rsidR="00F7628C" w:rsidRPr="00B20861" w:rsidRDefault="00AE4A45" w:rsidP="00B20861">
      <w:pPr>
        <w:pStyle w:val="ListBullet"/>
      </w:pPr>
      <w:r>
        <w:t>d</w:t>
      </w:r>
      <w:r w:rsidR="00F7628C" w:rsidRPr="00B20861">
        <w:t>evelop</w:t>
      </w:r>
      <w:r>
        <w:t>ing</w:t>
      </w:r>
      <w:r w:rsidR="00F7628C" w:rsidRPr="00B20861">
        <w:t xml:space="preserve"> positions to advance Australia’s national interests at internat</w:t>
      </w:r>
      <w:r w:rsidR="006F2D59" w:rsidRPr="00B20861">
        <w:t>ional negotiations and meetings</w:t>
      </w:r>
    </w:p>
    <w:p w14:paraId="213DD29A" w14:textId="04AE2BCA" w:rsidR="00F7628C" w:rsidRPr="006F2D59" w:rsidRDefault="00AE4A45" w:rsidP="00B20861">
      <w:pPr>
        <w:pStyle w:val="ListBullet"/>
      </w:pPr>
      <w:r>
        <w:t>creating s</w:t>
      </w:r>
      <w:r w:rsidR="00F7628C" w:rsidRPr="00B20861">
        <w:t>takeholder</w:t>
      </w:r>
      <w:r w:rsidR="00F7628C" w:rsidRPr="006F2D59">
        <w:t xml:space="preserve"> trust and ACMA authority in managing and representing Australia’s com</w:t>
      </w:r>
      <w:r w:rsidR="006F2D59">
        <w:t>munications and media interests</w:t>
      </w:r>
    </w:p>
    <w:p w14:paraId="5BC52FA7" w14:textId="28D29ED4" w:rsidR="00F7628C" w:rsidRDefault="00AE4A45" w:rsidP="00B20861">
      <w:pPr>
        <w:pStyle w:val="ListBulletLast"/>
      </w:pPr>
      <w:r>
        <w:t>m</w:t>
      </w:r>
      <w:r w:rsidR="00F7628C" w:rsidRPr="006F2D59">
        <w:t xml:space="preserve">eeting legislative responsibilities through an enhanced </w:t>
      </w:r>
      <w:r w:rsidR="006F2D59">
        <w:t>knowledge base</w:t>
      </w:r>
      <w:r w:rsidR="00F7628C" w:rsidRPr="006F2D59">
        <w:t>.</w:t>
      </w:r>
    </w:p>
    <w:p w14:paraId="50EEE856" w14:textId="15CFC1CB" w:rsidR="006F2D59" w:rsidRPr="0040526D" w:rsidRDefault="007257AB" w:rsidP="00B20861">
      <w:r w:rsidRPr="00304B5A">
        <w:rPr>
          <w:lang w:val="en-US"/>
        </w:rPr>
        <w:t>T</w:t>
      </w:r>
      <w:r w:rsidR="006F2D59" w:rsidRPr="00304B5A">
        <w:rPr>
          <w:lang w:val="en-US"/>
        </w:rPr>
        <w:t xml:space="preserve">he ACMA invests </w:t>
      </w:r>
      <w:r w:rsidR="00DB2F8A">
        <w:rPr>
          <w:lang w:val="en-US"/>
        </w:rPr>
        <w:t xml:space="preserve">hundreds of </w:t>
      </w:r>
      <w:r w:rsidR="006F2D59" w:rsidRPr="00304B5A">
        <w:rPr>
          <w:lang w:val="en-US"/>
        </w:rPr>
        <w:t xml:space="preserve">hours of staff time facilitating meetings and coordinating stakeholder </w:t>
      </w:r>
      <w:r w:rsidRPr="00304B5A">
        <w:rPr>
          <w:lang w:val="en-US"/>
        </w:rPr>
        <w:t>contributions</w:t>
      </w:r>
      <w:r w:rsidR="006F2D59" w:rsidRPr="00304B5A">
        <w:rPr>
          <w:lang w:val="en-US"/>
        </w:rPr>
        <w:t xml:space="preserve"> to issues being considered at an international level</w:t>
      </w:r>
      <w:r w:rsidR="007E3EF4">
        <w:rPr>
          <w:lang w:val="en-US"/>
        </w:rPr>
        <w:t>,</w:t>
      </w:r>
      <w:r w:rsidR="006F2D59" w:rsidRPr="00304B5A">
        <w:rPr>
          <w:lang w:val="en-US"/>
        </w:rPr>
        <w:t xml:space="preserve"> and developing positions for Australia to take to international meetings</w:t>
      </w:r>
      <w:r w:rsidRPr="00304B5A">
        <w:rPr>
          <w:lang w:val="en-US"/>
        </w:rPr>
        <w:t>.</w:t>
      </w:r>
    </w:p>
    <w:p w14:paraId="0B2EE7A3" w14:textId="21791702" w:rsidR="003E17EB" w:rsidRDefault="003E17EB" w:rsidP="00AE0D48">
      <w:pPr>
        <w:pStyle w:val="Heading2"/>
      </w:pPr>
      <w:bookmarkStart w:id="20" w:name="_Toc422924238"/>
      <w:r>
        <w:t>Operating in the international environment</w:t>
      </w:r>
      <w:bookmarkEnd w:id="20"/>
    </w:p>
    <w:p w14:paraId="7C0E138D" w14:textId="72F2F66C" w:rsidR="00D65686" w:rsidRPr="003E17EB" w:rsidRDefault="00D65686" w:rsidP="004A2A37">
      <w:pPr>
        <w:keepLines/>
        <w:rPr>
          <w:szCs w:val="20"/>
        </w:rPr>
      </w:pPr>
      <w:r w:rsidRPr="003E17EB">
        <w:rPr>
          <w:szCs w:val="20"/>
        </w:rPr>
        <w:t>Much of the ACMA’s international engagement occurs through international structures and processes relevant to communications and media. In achieving outcomes in this environment</w:t>
      </w:r>
      <w:r w:rsidR="007E3EF4">
        <w:rPr>
          <w:szCs w:val="20"/>
        </w:rPr>
        <w:t>,</w:t>
      </w:r>
      <w:r w:rsidRPr="003E17EB">
        <w:rPr>
          <w:szCs w:val="20"/>
        </w:rPr>
        <w:t xml:space="preserve"> the ACMA relies to a large extent on the </w:t>
      </w:r>
      <w:r w:rsidRPr="003E17EB">
        <w:rPr>
          <w:rFonts w:cs="Arial"/>
          <w:szCs w:val="20"/>
        </w:rPr>
        <w:t>influence, reputation and relationships it has within the international</w:t>
      </w:r>
      <w:r w:rsidRPr="003E17EB">
        <w:rPr>
          <w:szCs w:val="20"/>
        </w:rPr>
        <w:t xml:space="preserve"> communications and media</w:t>
      </w:r>
      <w:r w:rsidRPr="003E17EB">
        <w:rPr>
          <w:rFonts w:cs="Arial"/>
          <w:szCs w:val="20"/>
        </w:rPr>
        <w:t xml:space="preserve"> community</w:t>
      </w:r>
      <w:r w:rsidRPr="003E17EB">
        <w:rPr>
          <w:szCs w:val="20"/>
        </w:rPr>
        <w:t>. Strategies often involve facilitating collaboration, coordinating various viewpoints and representing Australia’s positions in international negotiations</w:t>
      </w:r>
      <w:r w:rsidR="007E3EF4">
        <w:rPr>
          <w:szCs w:val="20"/>
        </w:rPr>
        <w:t>,</w:t>
      </w:r>
      <w:r w:rsidRPr="003E17EB">
        <w:rPr>
          <w:szCs w:val="20"/>
        </w:rPr>
        <w:t xml:space="preserve"> as well as fostering support for Australian initiatives among administrations in our region. </w:t>
      </w:r>
    </w:p>
    <w:p w14:paraId="4311153D" w14:textId="77777777" w:rsidR="00D65686" w:rsidRPr="003E17EB" w:rsidRDefault="00D65686" w:rsidP="00B20861">
      <w:pPr>
        <w:spacing w:after="80"/>
        <w:rPr>
          <w:szCs w:val="20"/>
        </w:rPr>
      </w:pPr>
      <w:r w:rsidRPr="003E17EB">
        <w:rPr>
          <w:szCs w:val="20"/>
        </w:rPr>
        <w:t>The main ways the ACMA gives practical effect to its international engagement are through:</w:t>
      </w:r>
    </w:p>
    <w:p w14:paraId="0168994F" w14:textId="214A0AA0" w:rsidR="00D65686" w:rsidRPr="00B20861" w:rsidRDefault="007E3EF4" w:rsidP="00B20861">
      <w:pPr>
        <w:pStyle w:val="ListBullet"/>
      </w:pPr>
      <w:r>
        <w:t>m</w:t>
      </w:r>
      <w:r w:rsidR="00D65686" w:rsidRPr="00B20861">
        <w:t>ultilateral engagement</w:t>
      </w:r>
    </w:p>
    <w:p w14:paraId="0EE0974A" w14:textId="2F9C6B19" w:rsidR="003E17EB" w:rsidRPr="00B20861" w:rsidRDefault="007E3EF4" w:rsidP="00B20861">
      <w:pPr>
        <w:pStyle w:val="ListBullet"/>
      </w:pPr>
      <w:r>
        <w:t>r</w:t>
      </w:r>
      <w:r w:rsidR="00D65686" w:rsidRPr="00B20861">
        <w:t>egional cooperation</w:t>
      </w:r>
    </w:p>
    <w:p w14:paraId="1274F430" w14:textId="13D960FC" w:rsidR="00D65686" w:rsidRPr="003E17EB" w:rsidRDefault="007E3EF4" w:rsidP="00B20861">
      <w:pPr>
        <w:pStyle w:val="ListBullet"/>
      </w:pPr>
      <w:r>
        <w:t>b</w:t>
      </w:r>
      <w:r w:rsidR="00D65686" w:rsidRPr="00B20861">
        <w:t>ilateral</w:t>
      </w:r>
      <w:r w:rsidR="00D65686" w:rsidRPr="003E17EB">
        <w:t xml:space="preserve"> and peer relationships</w:t>
      </w:r>
    </w:p>
    <w:p w14:paraId="2BC892B1" w14:textId="156A6350" w:rsidR="00D65686" w:rsidRPr="003E17EB" w:rsidRDefault="007E3EF4" w:rsidP="00B20861">
      <w:pPr>
        <w:pStyle w:val="ListBulletLast"/>
      </w:pPr>
      <w:r>
        <w:t>c</w:t>
      </w:r>
      <w:r w:rsidR="00D65686" w:rsidRPr="003E17EB">
        <w:t>onsultative groups and technical working committees.</w:t>
      </w:r>
    </w:p>
    <w:p w14:paraId="48B069CD" w14:textId="595B5B5C" w:rsidR="00D65686" w:rsidRDefault="00D65686" w:rsidP="00B20861">
      <w:pPr>
        <w:pStyle w:val="Heading3"/>
      </w:pPr>
      <w:bookmarkStart w:id="21" w:name="_Toc422924239"/>
      <w:r w:rsidRPr="00AE0D48">
        <w:t xml:space="preserve">Multilateral </w:t>
      </w:r>
      <w:r w:rsidRPr="00B20861">
        <w:t>engagement</w:t>
      </w:r>
      <w:bookmarkEnd w:id="21"/>
      <w:r w:rsidRPr="00AE0D48">
        <w:t xml:space="preserve"> </w:t>
      </w:r>
    </w:p>
    <w:p w14:paraId="34712D62" w14:textId="2D70BDA5" w:rsidR="00DD1258" w:rsidRPr="006D46E5" w:rsidRDefault="00B40C21" w:rsidP="00B20861">
      <w:pPr>
        <w:pStyle w:val="BodySubHeader"/>
        <w:spacing w:before="0"/>
      </w:pPr>
      <w:r w:rsidRPr="00F3773D">
        <w:t>Treaty</w:t>
      </w:r>
      <w:r w:rsidR="007E3EF4">
        <w:t>-</w:t>
      </w:r>
      <w:r w:rsidRPr="00F3773D">
        <w:t xml:space="preserve">level </w:t>
      </w:r>
      <w:r w:rsidRPr="00B20861">
        <w:t>organisations</w:t>
      </w:r>
    </w:p>
    <w:p w14:paraId="32D7C955" w14:textId="17F2BD1D" w:rsidR="00D65686" w:rsidRPr="003E17EB" w:rsidRDefault="007E3EF4" w:rsidP="00B20861">
      <w:r>
        <w:t>For</w:t>
      </w:r>
      <w:r w:rsidR="00D65686" w:rsidRPr="003E17EB">
        <w:t xml:space="preserve"> international telecommunications and radiocommunications, the ACMA represents Australia’s position at meetings of the ITU. The ITU is the peak international decision-making body for the radiocommunications sector, and provides an important role in discussing and resolving international telecommunications technical, operational and governance issues. The ACMA facilitates domestic study groups comprising industry, government and consumer stakeholder representatives. </w:t>
      </w:r>
      <w:r>
        <w:t>It also</w:t>
      </w:r>
      <w:r w:rsidR="00D65686" w:rsidRPr="003E17EB">
        <w:t xml:space="preserve"> provides input from these groups to the relevant ITU study groups, managing Australian delegations attending the ITU study group meetings (the delegations may have representatives from the ACMA, other government departments and industry).</w:t>
      </w:r>
    </w:p>
    <w:p w14:paraId="1B539A99" w14:textId="77777777" w:rsidR="00D65686" w:rsidRDefault="00D65686" w:rsidP="00B20861">
      <w:r w:rsidRPr="003E17EB">
        <w:t xml:space="preserve">The ACMA is also responsible for filing Australian satellite networks with the ITU. The ACMA assesses proposed foreign satellite networks and initiates coordination processes (where necessary) with foreign administrations’ satellite networks to ensure coexistence. The ACMA also assists Australian satellite operators negotiate satellite coordination with other overseas operators. </w:t>
      </w:r>
    </w:p>
    <w:p w14:paraId="39C9EF9A" w14:textId="2237E8F5" w:rsidR="00F30E5C" w:rsidRPr="00DD1258" w:rsidRDefault="00813A51" w:rsidP="006F40AF">
      <w:pPr>
        <w:pStyle w:val="BodySubHeader"/>
        <w:keepNext/>
        <w:rPr>
          <w:rFonts w:cs="Arial"/>
        </w:rPr>
      </w:pPr>
      <w:r w:rsidRPr="00DD1258">
        <w:rPr>
          <w:rFonts w:cs="Arial"/>
        </w:rPr>
        <w:t>International forums</w:t>
      </w:r>
    </w:p>
    <w:p w14:paraId="77BDF141" w14:textId="4388860A" w:rsidR="00FE7FD0" w:rsidRDefault="00F71F86" w:rsidP="006F40AF">
      <w:pPr>
        <w:keepNext/>
        <w:keepLines/>
      </w:pPr>
      <w:r w:rsidRPr="006D2A68">
        <w:rPr>
          <w:szCs w:val="20"/>
        </w:rPr>
        <w:t>The ACMA is at the forefront of international efforts to reduce spam and enhance cybersecurity</w:t>
      </w:r>
      <w:r w:rsidR="007E3EF4">
        <w:rPr>
          <w:szCs w:val="20"/>
        </w:rPr>
        <w:t xml:space="preserve">, </w:t>
      </w:r>
      <w:r w:rsidR="00FE7FD0" w:rsidRPr="00464B92">
        <w:t>develop</w:t>
      </w:r>
      <w:r w:rsidR="007E3EF4">
        <w:t>ing</w:t>
      </w:r>
      <w:r w:rsidR="00FE7FD0" w:rsidRPr="00464B92">
        <w:t xml:space="preserve"> globally recognised technological solutions to protect consumers and businesses from spam, malware </w:t>
      </w:r>
      <w:r w:rsidR="00CA66CF">
        <w:t xml:space="preserve">and </w:t>
      </w:r>
      <w:r w:rsidR="00FE7FD0" w:rsidRPr="00464B92">
        <w:t>phishing. Its Spam Intelligence Database software has been shared with three overseas regulators and the public</w:t>
      </w:r>
      <w:r w:rsidR="007E3EF4">
        <w:t>–</w:t>
      </w:r>
      <w:r w:rsidR="00FE7FD0" w:rsidRPr="00464B92">
        <w:t>private partnership approach utilised in the Australian Internet Security Initiative is increasingly being adopted internationally to combat malware-infected computing devices.</w:t>
      </w:r>
    </w:p>
    <w:p w14:paraId="03D867AC" w14:textId="64D2D796" w:rsidR="00F71F86" w:rsidRPr="00F3773D" w:rsidRDefault="00F71F86" w:rsidP="006F40AF">
      <w:pPr>
        <w:spacing w:after="80"/>
        <w:rPr>
          <w:b/>
          <w:i/>
          <w:szCs w:val="20"/>
        </w:rPr>
      </w:pPr>
      <w:r>
        <w:t>T</w:t>
      </w:r>
      <w:r w:rsidRPr="001543E9">
        <w:t>he ACMA</w:t>
      </w:r>
      <w:r>
        <w:t>’s international</w:t>
      </w:r>
      <w:r w:rsidRPr="001543E9">
        <w:t xml:space="preserve"> </w:t>
      </w:r>
      <w:r>
        <w:t xml:space="preserve">engagement in this area </w:t>
      </w:r>
      <w:r w:rsidRPr="001543E9">
        <w:t>include</w:t>
      </w:r>
      <w:r>
        <w:t>s</w:t>
      </w:r>
      <w:r w:rsidRPr="001543E9">
        <w:t xml:space="preserve"> encouraging and assisting other jurisdictions to legislate against unsolicited communications and adopt malware mitigation programs to help minimise internet security threats.</w:t>
      </w:r>
      <w:r w:rsidR="00B774E1">
        <w:t xml:space="preserve"> The ACMA promotes these approaches through:</w:t>
      </w:r>
    </w:p>
    <w:p w14:paraId="66BF5C4E" w14:textId="3A95E29B" w:rsidR="00D706BB" w:rsidRPr="00CC6856" w:rsidRDefault="00891F5A" w:rsidP="00B20861">
      <w:pPr>
        <w:pStyle w:val="ListBullet"/>
      </w:pPr>
      <w:hyperlink r:id="rId32" w:tgtFrame="_top" w:history="1">
        <w:r w:rsidR="00D70691" w:rsidRPr="00B20861">
          <w:rPr>
            <w:b/>
          </w:rPr>
          <w:t>London Action Plan</w:t>
        </w:r>
      </w:hyperlink>
      <w:r w:rsidR="00B20861">
        <w:t>—</w:t>
      </w:r>
      <w:r w:rsidR="007E3EF4">
        <w:rPr>
          <w:szCs w:val="20"/>
        </w:rPr>
        <w:t>r</w:t>
      </w:r>
      <w:r w:rsidR="00D706BB" w:rsidRPr="00B20861">
        <w:rPr>
          <w:szCs w:val="20"/>
        </w:rPr>
        <w:t>ecognising spam as a cross-jurisdictional problem, the ACMA has helped establish, and</w:t>
      </w:r>
      <w:r w:rsidR="00FE7FD0" w:rsidRPr="00B20861">
        <w:rPr>
          <w:szCs w:val="20"/>
        </w:rPr>
        <w:t xml:space="preserve"> has</w:t>
      </w:r>
      <w:r w:rsidR="00D706BB" w:rsidRPr="00B20861">
        <w:rPr>
          <w:szCs w:val="20"/>
        </w:rPr>
        <w:t xml:space="preserve"> been an active contributor to, international forums such as the London Action Plan (LAP). The LAP brings together regulators, law enforcement and industry representatives from some 27 countries to address spam enforcement issues and the related problems of online fraud and deception, phishing and the spread of viruses. </w:t>
      </w:r>
    </w:p>
    <w:p w14:paraId="438BC7BD" w14:textId="15AE9080" w:rsidR="006E502B" w:rsidRPr="00B20861" w:rsidRDefault="006D0771" w:rsidP="0030707A">
      <w:pPr>
        <w:pStyle w:val="ListBullet"/>
      </w:pPr>
      <w:r w:rsidRPr="00B20861">
        <w:rPr>
          <w:b/>
        </w:rPr>
        <w:t>International Do Not Call Network</w:t>
      </w:r>
      <w:r w:rsidR="00B20861">
        <w:t>—</w:t>
      </w:r>
      <w:r w:rsidR="00A705A1">
        <w:rPr>
          <w:szCs w:val="20"/>
        </w:rPr>
        <w:t>i</w:t>
      </w:r>
      <w:r w:rsidR="006E502B" w:rsidRPr="00B20861">
        <w:rPr>
          <w:szCs w:val="20"/>
        </w:rPr>
        <w:t>n 2011, the ACMA joined regulators from 11 other countries to form the International Do Not Call Network.</w:t>
      </w:r>
      <w:r w:rsidR="001A328D" w:rsidRPr="00B20861">
        <w:rPr>
          <w:szCs w:val="20"/>
        </w:rPr>
        <w:t xml:space="preserve"> </w:t>
      </w:r>
      <w:r w:rsidR="006E502B" w:rsidRPr="00B20861">
        <w:rPr>
          <w:szCs w:val="20"/>
        </w:rPr>
        <w:t>The ACMA, which operates Australia</w:t>
      </w:r>
      <w:r w:rsidR="006E502B" w:rsidRPr="00B20861">
        <w:rPr>
          <w:rFonts w:hint="eastAsia"/>
          <w:szCs w:val="20"/>
        </w:rPr>
        <w:t>’</w:t>
      </w:r>
      <w:r w:rsidR="006E502B" w:rsidRPr="00B20861">
        <w:rPr>
          <w:szCs w:val="20"/>
        </w:rPr>
        <w:t xml:space="preserve">s </w:t>
      </w:r>
      <w:hyperlink r:id="rId33" w:tgtFrame="_top" w:history="1">
        <w:r w:rsidR="006E502B" w:rsidRPr="00F3773D">
          <w:t>Do Not Call Register</w:t>
        </w:r>
      </w:hyperlink>
      <w:r w:rsidR="006E502B" w:rsidRPr="00B20861">
        <w:rPr>
          <w:szCs w:val="20"/>
        </w:rPr>
        <w:t xml:space="preserve">, </w:t>
      </w:r>
      <w:r w:rsidR="00A31785" w:rsidRPr="00B20861">
        <w:rPr>
          <w:szCs w:val="20"/>
        </w:rPr>
        <w:t xml:space="preserve">has </w:t>
      </w:r>
      <w:r w:rsidR="006E502B" w:rsidRPr="00B20861">
        <w:rPr>
          <w:szCs w:val="20"/>
        </w:rPr>
        <w:t>served as the network</w:t>
      </w:r>
      <w:r w:rsidR="006E502B" w:rsidRPr="00B20861">
        <w:rPr>
          <w:rFonts w:hint="eastAsia"/>
          <w:szCs w:val="20"/>
        </w:rPr>
        <w:t>’</w:t>
      </w:r>
      <w:r w:rsidR="00BF29CF" w:rsidRPr="00B20861">
        <w:rPr>
          <w:szCs w:val="20"/>
        </w:rPr>
        <w:t>s co-chair</w:t>
      </w:r>
      <w:r w:rsidR="006E502B" w:rsidRPr="00B20861">
        <w:rPr>
          <w:szCs w:val="20"/>
        </w:rPr>
        <w:t xml:space="preserve">. </w:t>
      </w:r>
      <w:r w:rsidR="00072012" w:rsidRPr="00464B92">
        <w:t>The network was created to</w:t>
      </w:r>
      <w:r w:rsidR="0030707A" w:rsidRPr="00B20861">
        <w:rPr>
          <w:szCs w:val="20"/>
        </w:rPr>
        <w:t xml:space="preserve"> f</w:t>
      </w:r>
      <w:r w:rsidR="00BF29CF">
        <w:t>acilitate s</w:t>
      </w:r>
      <w:r w:rsidR="006E502B" w:rsidRPr="00F3773D">
        <w:t>haring</w:t>
      </w:r>
      <w:r w:rsidR="00BF29CF">
        <w:t xml:space="preserve"> of</w:t>
      </w:r>
      <w:r w:rsidR="006E502B" w:rsidRPr="00F3773D">
        <w:t xml:space="preserve"> information between member agencies to address domestic Do Not Call issues</w:t>
      </w:r>
      <w:r w:rsidR="0030707A">
        <w:t>, including</w:t>
      </w:r>
      <w:r w:rsidR="00056163" w:rsidRPr="00056163">
        <w:t xml:space="preserve"> </w:t>
      </w:r>
      <w:r w:rsidR="00056163" w:rsidRPr="00F3773D">
        <w:t>about</w:t>
      </w:r>
      <w:r w:rsidR="0030707A">
        <w:t>:</w:t>
      </w:r>
    </w:p>
    <w:p w14:paraId="647A897B" w14:textId="5D11CE76" w:rsidR="006E502B" w:rsidRPr="00F3773D" w:rsidRDefault="00A705A1" w:rsidP="00B20861">
      <w:pPr>
        <w:pStyle w:val="ListBullet2"/>
      </w:pPr>
      <w:r>
        <w:t>developing p</w:t>
      </w:r>
      <w:r w:rsidR="006E502B" w:rsidRPr="00F3773D">
        <w:t>olicies and strategies for establishing and enforcing Do Not Call regulatory frameworks</w:t>
      </w:r>
    </w:p>
    <w:p w14:paraId="0FF8C1C4" w14:textId="0F2A7437" w:rsidR="006E502B" w:rsidRDefault="00A705A1" w:rsidP="00B20861">
      <w:pPr>
        <w:pStyle w:val="ListBullet2"/>
        <w:spacing w:after="240"/>
      </w:pPr>
      <w:r>
        <w:t>i</w:t>
      </w:r>
      <w:r w:rsidR="006E502B" w:rsidRPr="00F3773D">
        <w:t>dentifying global trends, with a view to establishing a consolidated response to common issues</w:t>
      </w:r>
      <w:r w:rsidR="00056163">
        <w:t>.</w:t>
      </w:r>
    </w:p>
    <w:p w14:paraId="715E9574" w14:textId="77777777" w:rsidR="00D65686" w:rsidRPr="00AE0D48" w:rsidRDefault="00D65686" w:rsidP="00B20861">
      <w:pPr>
        <w:pStyle w:val="Heading3"/>
      </w:pPr>
      <w:bookmarkStart w:id="22" w:name="_Toc422924240"/>
      <w:r w:rsidRPr="00B20861">
        <w:t>Regional</w:t>
      </w:r>
      <w:r w:rsidRPr="00AE0D48">
        <w:t xml:space="preserve"> cooperation</w:t>
      </w:r>
      <w:bookmarkEnd w:id="22"/>
    </w:p>
    <w:p w14:paraId="549873FB" w14:textId="6AB9124F" w:rsidR="00D65686" w:rsidRPr="003E17EB" w:rsidRDefault="00D65686" w:rsidP="00B20861">
      <w:pPr>
        <w:spacing w:after="80"/>
      </w:pPr>
      <w:r w:rsidRPr="003E17EB">
        <w:t>Regional cooperation includes supporting countries in the Asia</w:t>
      </w:r>
      <w:r w:rsidR="00A705A1">
        <w:t>–</w:t>
      </w:r>
      <w:r w:rsidRPr="003E17EB">
        <w:t>Pacific region across a range of issues including:</w:t>
      </w:r>
    </w:p>
    <w:p w14:paraId="77A6534D" w14:textId="79BB6753" w:rsidR="00D65686" w:rsidRPr="00B20861" w:rsidRDefault="00A705A1" w:rsidP="00B20861">
      <w:pPr>
        <w:pStyle w:val="ListBullet"/>
      </w:pPr>
      <w:r>
        <w:t>t</w:t>
      </w:r>
      <w:r w:rsidR="00D65686" w:rsidRPr="003E17EB">
        <w:t xml:space="preserve">rade </w:t>
      </w:r>
      <w:r w:rsidR="00D65686" w:rsidRPr="00B20861">
        <w:t>and international competitiveness through the development of international agreements</w:t>
      </w:r>
    </w:p>
    <w:p w14:paraId="42D69920" w14:textId="003B83FF" w:rsidR="00D65686" w:rsidRPr="00B20861" w:rsidRDefault="00A705A1" w:rsidP="00B20861">
      <w:pPr>
        <w:pStyle w:val="ListBullet"/>
      </w:pPr>
      <w:r>
        <w:t>r</w:t>
      </w:r>
      <w:r w:rsidR="00D65686" w:rsidRPr="00B20861">
        <w:t>egulatory capacity</w:t>
      </w:r>
      <w:r>
        <w:t>-</w:t>
      </w:r>
      <w:r w:rsidR="00D65686" w:rsidRPr="00B20861">
        <w:t>building</w:t>
      </w:r>
    </w:p>
    <w:p w14:paraId="3DBD26AF" w14:textId="66444CA3" w:rsidR="00D65686" w:rsidRPr="003E17EB" w:rsidRDefault="00A705A1" w:rsidP="00B20861">
      <w:pPr>
        <w:pStyle w:val="ListBullet"/>
      </w:pPr>
      <w:r>
        <w:t>e</w:t>
      </w:r>
      <w:r w:rsidR="00D65686" w:rsidRPr="00B20861">
        <w:t>nhancing</w:t>
      </w:r>
      <w:r w:rsidR="00D65686" w:rsidRPr="003E17EB">
        <w:t xml:space="preserve"> regional leverage</w:t>
      </w:r>
    </w:p>
    <w:p w14:paraId="1C81DB0C" w14:textId="1C5102B8" w:rsidR="00D65686" w:rsidRPr="003E17EB" w:rsidRDefault="00A705A1" w:rsidP="00B20861">
      <w:pPr>
        <w:pStyle w:val="ListBulletLast"/>
      </w:pPr>
      <w:r>
        <w:t>p</w:t>
      </w:r>
      <w:r w:rsidR="00D65686" w:rsidRPr="003E17EB">
        <w:t>romoting and m</w:t>
      </w:r>
      <w:r w:rsidR="00BB6546">
        <w:t>aintaining regional stability.</w:t>
      </w:r>
    </w:p>
    <w:p w14:paraId="3CBD1C2C" w14:textId="60D06F25" w:rsidR="00D65686" w:rsidRDefault="00D65686" w:rsidP="00B20861">
      <w:r w:rsidRPr="003E17EB">
        <w:t>An important aspect of this regional focus is maintaining and extending relationships within the APT. The ACMA has developed strong relationships with these administrations through participatin</w:t>
      </w:r>
      <w:r w:rsidR="00A705A1">
        <w:t>g</w:t>
      </w:r>
      <w:r w:rsidRPr="003E17EB">
        <w:t xml:space="preserve"> in (and hosting) regional activities sponsored by the APT, including preparations for ITU meetings such as the ITU World Radiocommunication Conferences (WRC) and World Telecommunications Standardisation Assemblies (WTSA). These preparatory meetings provide opportunities for Australian views to be incorporated into regional positions</w:t>
      </w:r>
      <w:r w:rsidR="00A705A1">
        <w:t>,</w:t>
      </w:r>
      <w:r w:rsidRPr="003E17EB">
        <w:t xml:space="preserve"> which are carried forward for consideration at international decision-making fora. </w:t>
      </w:r>
    </w:p>
    <w:p w14:paraId="3DC7D9CA" w14:textId="079A746F" w:rsidR="00085C30" w:rsidRPr="00085C30" w:rsidRDefault="00C65FE5" w:rsidP="006F40AF">
      <w:pPr>
        <w:pStyle w:val="BodySubHeader"/>
        <w:keepNext/>
        <w:keepLines/>
        <w:shd w:val="clear" w:color="auto" w:fill="D9D9D9" w:themeFill="background1" w:themeFillShade="D9"/>
      </w:pPr>
      <w:r>
        <w:t xml:space="preserve">Case </w:t>
      </w:r>
      <w:r w:rsidR="00A705A1">
        <w:t>s</w:t>
      </w:r>
      <w:r>
        <w:t xml:space="preserve">tudy </w:t>
      </w:r>
      <w:r w:rsidR="00A705A1">
        <w:t>four—r</w:t>
      </w:r>
      <w:r w:rsidR="00085C30" w:rsidRPr="00085C30">
        <w:t>egional spectrum cooperation</w:t>
      </w:r>
      <w:r w:rsidR="00A705A1">
        <w:t xml:space="preserve">: </w:t>
      </w:r>
      <w:r w:rsidR="00085C30" w:rsidRPr="00085C30">
        <w:t>hosting APG15-3</w:t>
      </w:r>
    </w:p>
    <w:p w14:paraId="68262E25" w14:textId="36FAE649" w:rsidR="00085C30" w:rsidRDefault="00085C30" w:rsidP="006F40AF">
      <w:pPr>
        <w:keepNext/>
        <w:keepLines/>
        <w:shd w:val="clear" w:color="auto" w:fill="D9D9D9" w:themeFill="background1" w:themeFillShade="D9"/>
      </w:pPr>
      <w:r w:rsidRPr="001E2783">
        <w:t xml:space="preserve">The </w:t>
      </w:r>
      <w:r>
        <w:t xml:space="preserve">ITU </w:t>
      </w:r>
      <w:r w:rsidRPr="001E2783">
        <w:t xml:space="preserve">World Radiocommunication Conference (WRC) is a forum for many key debates on spectrum and other critical international radiocommunications issues. As a key milestone to WRC-15, to be held in Geneva in November 2015, the ACMA hosted the third of five APT Preparatory Group meetings </w:t>
      </w:r>
      <w:r>
        <w:t>(</w:t>
      </w:r>
      <w:r w:rsidRPr="001E2783">
        <w:t>APG15-3</w:t>
      </w:r>
      <w:r>
        <w:t>)</w:t>
      </w:r>
      <w:r w:rsidRPr="001E2783">
        <w:t xml:space="preserve"> in Brisbane from 9 to 13 June 2014.</w:t>
      </w:r>
    </w:p>
    <w:p w14:paraId="3B8EADF3" w14:textId="4B7186FD" w:rsidR="00085C30" w:rsidRDefault="00085C30" w:rsidP="00B20861">
      <w:pPr>
        <w:shd w:val="clear" w:color="auto" w:fill="D9D9D9" w:themeFill="background1" w:themeFillShade="D9"/>
      </w:pPr>
      <w:r w:rsidRPr="001E2783">
        <w:t>More than 350 delegates from 32 of the 38 APT member a</w:t>
      </w:r>
      <w:r>
        <w:t>dministrations attended APG15-</w:t>
      </w:r>
      <w:r w:rsidR="00A705A1">
        <w:t xml:space="preserve">3, </w:t>
      </w:r>
      <w:r>
        <w:t>which had a</w:t>
      </w:r>
      <w:r w:rsidRPr="001E2783">
        <w:t xml:space="preserve"> key focus </w:t>
      </w:r>
      <w:r>
        <w:t>of</w:t>
      </w:r>
      <w:r w:rsidRPr="001E2783">
        <w:t xml:space="preserve"> further develop</w:t>
      </w:r>
      <w:r>
        <w:t>ing</w:t>
      </w:r>
      <w:r w:rsidRPr="001E2783">
        <w:t xml:space="preserve"> the Asia–Pacific regional views on WRC-15 Agenda items.</w:t>
      </w:r>
    </w:p>
    <w:p w14:paraId="10E670CC" w14:textId="072847C1" w:rsidR="00085C30" w:rsidRDefault="00085C30" w:rsidP="00B20861">
      <w:pPr>
        <w:shd w:val="clear" w:color="auto" w:fill="D9D9D9" w:themeFill="background1" w:themeFillShade="D9"/>
      </w:pPr>
      <w:r>
        <w:t xml:space="preserve">The ACMA manages an </w:t>
      </w:r>
      <w:r w:rsidRPr="001E2783">
        <w:t xml:space="preserve">extensive preparatory process for the WRC and, through this process, develops the views for Australia’s future spectrum requirements. APG15-3 </w:t>
      </w:r>
      <w:r>
        <w:t xml:space="preserve">was an opportunity </w:t>
      </w:r>
      <w:r w:rsidRPr="001E2783">
        <w:t xml:space="preserve">to integrate </w:t>
      </w:r>
      <w:r>
        <w:t>Australia’s</w:t>
      </w:r>
      <w:r w:rsidRPr="001E2783">
        <w:t xml:space="preserve"> </w:t>
      </w:r>
      <w:r>
        <w:t>preliminary views</w:t>
      </w:r>
      <w:r w:rsidRPr="001E2783">
        <w:t xml:space="preserve"> on WRC issues into the regional views developed at the meeting</w:t>
      </w:r>
      <w:r>
        <w:t>, with Australia’s v</w:t>
      </w:r>
      <w:r w:rsidRPr="001E2783">
        <w:t xml:space="preserve">iews often providing </w:t>
      </w:r>
      <w:r>
        <w:t>the</w:t>
      </w:r>
      <w:r w:rsidRPr="001E2783">
        <w:t xml:space="preserve"> basis for the final regional views. The Australian delegation and the ACMA provided leadership and helped negotiate difficult decisions during the meeting.</w:t>
      </w:r>
    </w:p>
    <w:p w14:paraId="7181445B" w14:textId="42F31398" w:rsidR="00085C30" w:rsidRDefault="00085C30" w:rsidP="00B20861">
      <w:pPr>
        <w:shd w:val="clear" w:color="auto" w:fill="D9D9D9" w:themeFill="background1" w:themeFillShade="D9"/>
      </w:pPr>
      <w:r w:rsidRPr="001E2783">
        <w:t>In hosting the event, the ACMA led one of Australia’s largest ever delegations to an international radiocommunication</w:t>
      </w:r>
      <w:r w:rsidR="00A705A1">
        <w:t>s</w:t>
      </w:r>
      <w:r w:rsidRPr="001E2783">
        <w:t xml:space="preserve"> meeting, with a total of 50 delegates registered. Bilateral meetings were also organised between senior ACMA delegation members and key regional and international representatives.</w:t>
      </w:r>
    </w:p>
    <w:p w14:paraId="1F623C77" w14:textId="5D546862" w:rsidR="00C65FE5" w:rsidRDefault="00C65FE5" w:rsidP="00B20861">
      <w:pPr>
        <w:shd w:val="clear" w:color="auto" w:fill="D9D9D9" w:themeFill="background1" w:themeFillShade="D9"/>
      </w:pPr>
      <w:r w:rsidRPr="001E2783">
        <w:t>Immediately prior to APG15-3, the ACMA also hosted the first APG Training Workshop</w:t>
      </w:r>
      <w:r>
        <w:t>. The workshop was very well received</w:t>
      </w:r>
      <w:r w:rsidR="00A705A1">
        <w:t xml:space="preserve">—it was </w:t>
      </w:r>
      <w:r w:rsidR="00311340">
        <w:t xml:space="preserve">rated as </w:t>
      </w:r>
      <w:r>
        <w:t xml:space="preserve">one of the top three events on the 2014 APT calendar. </w:t>
      </w:r>
    </w:p>
    <w:p w14:paraId="16B66DE3" w14:textId="46AE4B01" w:rsidR="00C65FE5" w:rsidRDefault="00C65FE5" w:rsidP="00B20861">
      <w:pPr>
        <w:shd w:val="clear" w:color="auto" w:fill="D9D9D9" w:themeFill="background1" w:themeFillShade="D9"/>
      </w:pPr>
      <w:r w:rsidRPr="001E2783">
        <w:t xml:space="preserve">The objective of the workshop was to </w:t>
      </w:r>
      <w:r w:rsidR="00A705A1">
        <w:t>help</w:t>
      </w:r>
      <w:r w:rsidR="00A705A1" w:rsidRPr="001E2783">
        <w:t xml:space="preserve"> </w:t>
      </w:r>
      <w:r w:rsidRPr="001E2783">
        <w:t>APG delegates from developing countries be</w:t>
      </w:r>
      <w:r w:rsidR="008264FF">
        <w:t xml:space="preserve">tter understand the complex </w:t>
      </w:r>
      <w:r w:rsidRPr="001E2783">
        <w:t>processes of regional APG meetings. More than 80 people from 22 APT member countries participated in the workshop, including many senior office-bearers from the APG and ITU representatives.</w:t>
      </w:r>
    </w:p>
    <w:p w14:paraId="46E18707" w14:textId="67C05C4F" w:rsidR="00C65FE5" w:rsidRDefault="00C65FE5" w:rsidP="00B20861">
      <w:pPr>
        <w:shd w:val="clear" w:color="auto" w:fill="D9D9D9" w:themeFill="background1" w:themeFillShade="D9"/>
      </w:pPr>
      <w:r w:rsidRPr="001E2783">
        <w:t xml:space="preserve">The two-day workshop </w:t>
      </w:r>
      <w:r w:rsidR="002B2C3E">
        <w:t>included</w:t>
      </w:r>
      <w:r w:rsidRPr="001E2783">
        <w:t xml:space="preserve"> presentations on </w:t>
      </w:r>
      <w:r w:rsidR="002B2C3E">
        <w:t xml:space="preserve">the </w:t>
      </w:r>
      <w:r w:rsidRPr="001E2783">
        <w:t xml:space="preserve">APG meeting process and interactive </w:t>
      </w:r>
      <w:r w:rsidR="002B2C3E">
        <w:t xml:space="preserve">sessions on writing, presenting, </w:t>
      </w:r>
      <w:r w:rsidRPr="001E2783">
        <w:t xml:space="preserve">debating </w:t>
      </w:r>
      <w:r w:rsidR="002B2C3E">
        <w:t>and contribut</w:t>
      </w:r>
      <w:r w:rsidR="00EE3B19">
        <w:t>i</w:t>
      </w:r>
      <w:r w:rsidRPr="001E2783">
        <w:t>n</w:t>
      </w:r>
      <w:r w:rsidR="002B2C3E">
        <w:t>g</w:t>
      </w:r>
      <w:r w:rsidRPr="001E2783">
        <w:t xml:space="preserve"> to </w:t>
      </w:r>
      <w:r w:rsidR="00EE3B19">
        <w:t>APG</w:t>
      </w:r>
      <w:r w:rsidRPr="001E2783">
        <w:t xml:space="preserve"> meeting</w:t>
      </w:r>
      <w:r w:rsidR="00EE3B19">
        <w:t>s</w:t>
      </w:r>
      <w:r w:rsidRPr="001E2783">
        <w:t xml:space="preserve">. </w:t>
      </w:r>
    </w:p>
    <w:p w14:paraId="5505E205" w14:textId="0A5052C6" w:rsidR="00C65FE5" w:rsidRDefault="00C65FE5" w:rsidP="00B20861">
      <w:pPr>
        <w:shd w:val="clear" w:color="auto" w:fill="D9D9D9" w:themeFill="background1" w:themeFillShade="D9"/>
      </w:pPr>
      <w:r w:rsidRPr="001E2783">
        <w:t>The workshop was enthusiastically received</w:t>
      </w:r>
      <w:r w:rsidR="00A705A1">
        <w:t>,</w:t>
      </w:r>
      <w:r w:rsidRPr="001E2783">
        <w:t xml:space="preserve"> </w:t>
      </w:r>
      <w:r>
        <w:t>with positive feedback from the participants, APT and the Republic of Korea</w:t>
      </w:r>
      <w:r w:rsidR="00A705A1">
        <w:t>,</w:t>
      </w:r>
      <w:r>
        <w:t xml:space="preserve"> </w:t>
      </w:r>
      <w:r w:rsidR="00AD65BD">
        <w:t>which</w:t>
      </w:r>
      <w:r>
        <w:t xml:space="preserve"> announced </w:t>
      </w:r>
      <w:r w:rsidR="00A705A1">
        <w:t xml:space="preserve">its </w:t>
      </w:r>
      <w:r>
        <w:t>intent</w:t>
      </w:r>
      <w:r w:rsidR="006616B6">
        <w:t>ion</w:t>
      </w:r>
      <w:r>
        <w:t xml:space="preserve"> to establish the workshop as a feature o</w:t>
      </w:r>
      <w:r w:rsidR="006616B6">
        <w:t>f each WRC cycle and requested</w:t>
      </w:r>
      <w:r>
        <w:t xml:space="preserve"> the ACMA </w:t>
      </w:r>
      <w:r w:rsidR="006616B6">
        <w:t xml:space="preserve">to </w:t>
      </w:r>
      <w:r w:rsidR="00311340">
        <w:t xml:space="preserve">contribute </w:t>
      </w:r>
      <w:r w:rsidR="00A705A1">
        <w:t xml:space="preserve">its </w:t>
      </w:r>
      <w:r w:rsidR="00311340">
        <w:t>expertise and</w:t>
      </w:r>
      <w:r>
        <w:t xml:space="preserve"> a</w:t>
      </w:r>
      <w:r w:rsidR="006616B6">
        <w:t>ssist</w:t>
      </w:r>
      <w:r>
        <w:t xml:space="preserve"> at the next event. </w:t>
      </w:r>
    </w:p>
    <w:p w14:paraId="21C7F43B" w14:textId="7C0FC314" w:rsidR="004A2783" w:rsidRDefault="004A2783" w:rsidP="00B20861">
      <w:r>
        <w:t>Another example of regional cooperation an</w:t>
      </w:r>
      <w:r w:rsidR="00776CBE">
        <w:t>d capacity</w:t>
      </w:r>
      <w:r w:rsidR="00A705A1">
        <w:t>-</w:t>
      </w:r>
      <w:r w:rsidR="00776CBE">
        <w:t>building was the ACMA’s co</w:t>
      </w:r>
      <w:r w:rsidR="00A705A1">
        <w:noBreakHyphen/>
      </w:r>
      <w:r w:rsidR="00776CBE">
        <w:t xml:space="preserve">hosting of the first forum and training program </w:t>
      </w:r>
      <w:r w:rsidR="00F07495">
        <w:t>on combating child exploitation material onl</w:t>
      </w:r>
      <w:r w:rsidR="002C3801">
        <w:t>ine in the Asia</w:t>
      </w:r>
      <w:r w:rsidR="00A705A1">
        <w:t>–</w:t>
      </w:r>
      <w:r w:rsidR="002C3801">
        <w:t xml:space="preserve">Pacific in 2014. </w:t>
      </w:r>
    </w:p>
    <w:p w14:paraId="5944C86A" w14:textId="6523070B" w:rsidR="004A2783" w:rsidRPr="00B20861" w:rsidRDefault="004A2783" w:rsidP="006F40AF">
      <w:pPr>
        <w:pStyle w:val="BodySubHeader"/>
        <w:keepNext/>
        <w:keepLines/>
        <w:shd w:val="clear" w:color="auto" w:fill="D9D9D9" w:themeFill="background1" w:themeFillShade="D9"/>
        <w:rPr>
          <w:rFonts w:cs="Arial"/>
        </w:rPr>
      </w:pPr>
      <w:r>
        <w:rPr>
          <w:rFonts w:cs="Arial"/>
        </w:rPr>
        <w:t xml:space="preserve">Case </w:t>
      </w:r>
      <w:r w:rsidR="00A705A1">
        <w:rPr>
          <w:rFonts w:cs="Arial"/>
        </w:rPr>
        <w:t>s</w:t>
      </w:r>
      <w:r>
        <w:rPr>
          <w:rFonts w:cs="Arial"/>
        </w:rPr>
        <w:t xml:space="preserve">tudy </w:t>
      </w:r>
      <w:r w:rsidR="00A705A1">
        <w:rPr>
          <w:rFonts w:cs="Arial"/>
        </w:rPr>
        <w:t>five</w:t>
      </w:r>
      <w:r w:rsidR="00B20861">
        <w:rPr>
          <w:rFonts w:cs="Arial"/>
        </w:rPr>
        <w:t>—</w:t>
      </w:r>
      <w:r w:rsidR="00A705A1" w:rsidRPr="005B069B">
        <w:rPr>
          <w:i w:val="0"/>
        </w:rPr>
        <w:t>C</w:t>
      </w:r>
      <w:r w:rsidRPr="005B069B">
        <w:rPr>
          <w:i w:val="0"/>
        </w:rPr>
        <w:t>ombating child exploitation material online</w:t>
      </w:r>
      <w:r w:rsidRPr="00EA66A6">
        <w:t xml:space="preserve"> forum</w:t>
      </w:r>
      <w:r>
        <w:t>, 2014</w:t>
      </w:r>
    </w:p>
    <w:p w14:paraId="3EC96B64" w14:textId="0BD20E83" w:rsidR="004A2783" w:rsidRDefault="004A2783" w:rsidP="006F40AF">
      <w:pPr>
        <w:keepNext/>
        <w:keepLines/>
        <w:shd w:val="clear" w:color="auto" w:fill="D9D9D9" w:themeFill="background1" w:themeFillShade="D9"/>
      </w:pPr>
      <w:r>
        <w:t xml:space="preserve">In </w:t>
      </w:r>
      <w:r w:rsidRPr="00EA66A6">
        <w:t>2014, the ACMA collaborated with the Australian Federal Police (AFP) to co</w:t>
      </w:r>
      <w:r w:rsidR="00A705A1">
        <w:noBreakHyphen/>
      </w:r>
      <w:r w:rsidRPr="00EA66A6">
        <w:t xml:space="preserve">sponsor and host in the ACMA Sydney office an inaugural international invitation-only forum and training event, </w:t>
      </w:r>
      <w:r w:rsidRPr="005B069B">
        <w:rPr>
          <w:i/>
        </w:rPr>
        <w:t>Combating child exploitation material online</w:t>
      </w:r>
      <w:r w:rsidRPr="00EA66A6">
        <w:t xml:space="preserve"> (CCEMO). </w:t>
      </w:r>
    </w:p>
    <w:p w14:paraId="5029AFD9" w14:textId="41BBFBB7" w:rsidR="004A2783" w:rsidRDefault="004A2783" w:rsidP="006F40AF">
      <w:pPr>
        <w:keepNext/>
        <w:keepLines/>
        <w:shd w:val="clear" w:color="auto" w:fill="D9D9D9" w:themeFill="background1" w:themeFillShade="D9"/>
        <w:rPr>
          <w:rFonts w:cs="Arial"/>
        </w:rPr>
      </w:pPr>
      <w:r w:rsidRPr="009B5A1E">
        <w:rPr>
          <w:rFonts w:cs="Arial"/>
        </w:rPr>
        <w:t xml:space="preserve">CCEMO </w:t>
      </w:r>
      <w:r w:rsidR="00A705A1" w:rsidRPr="009B5A1E">
        <w:rPr>
          <w:rFonts w:cs="Arial"/>
        </w:rPr>
        <w:t>support</w:t>
      </w:r>
      <w:r w:rsidR="00A705A1">
        <w:rPr>
          <w:rFonts w:cs="Arial"/>
        </w:rPr>
        <w:t>ed</w:t>
      </w:r>
      <w:r w:rsidR="00A705A1" w:rsidRPr="009B5A1E">
        <w:rPr>
          <w:rFonts w:cs="Arial"/>
        </w:rPr>
        <w:t xml:space="preserve"> </w:t>
      </w:r>
      <w:r w:rsidRPr="009B5A1E">
        <w:rPr>
          <w:rFonts w:cs="Arial"/>
        </w:rPr>
        <w:t xml:space="preserve">the activities of INHOPE hotlines by providing a regional focus to the international fight against online child sexual abuse material. </w:t>
      </w:r>
    </w:p>
    <w:p w14:paraId="6A4BED79" w14:textId="77777777" w:rsidR="004A2783" w:rsidRDefault="004A2783" w:rsidP="006F40AF">
      <w:pPr>
        <w:keepNext/>
        <w:keepLines/>
        <w:shd w:val="clear" w:color="auto" w:fill="D9D9D9" w:themeFill="background1" w:themeFillShade="D9"/>
      </w:pPr>
      <w:r w:rsidRPr="00EA66A6">
        <w:t>The forum brought together law enforcement, International Association of Internet Hotlines (INHOPE) and INHOPE Foundation members in the Asia–Pacific region, along with industry and non-government organisations who work to combat online child exploitation material.</w:t>
      </w:r>
      <w:r>
        <w:t xml:space="preserve"> </w:t>
      </w:r>
    </w:p>
    <w:p w14:paraId="7DE22C65" w14:textId="77777777" w:rsidR="004A2783" w:rsidRDefault="004A2783" w:rsidP="00B20861">
      <w:pPr>
        <w:shd w:val="clear" w:color="auto" w:fill="D9D9D9" w:themeFill="background1" w:themeFillShade="D9"/>
      </w:pPr>
      <w:r w:rsidRPr="00EA66A6">
        <w:t>The attendees exchange</w:t>
      </w:r>
      <w:r>
        <w:t>d</w:t>
      </w:r>
      <w:r w:rsidRPr="00EA66A6">
        <w:t xml:space="preserve"> strategic and operational information through a range of presentations from public, private, law enforcement and industry bodies. These sessions discussed operational methods and opportunities for innovative collaboration and information-sharing. </w:t>
      </w:r>
    </w:p>
    <w:p w14:paraId="68CE1F0B" w14:textId="63B47A7D" w:rsidR="004A2783" w:rsidRPr="00EA66A6" w:rsidRDefault="004A2783" w:rsidP="00B20861">
      <w:pPr>
        <w:shd w:val="clear" w:color="auto" w:fill="D9D9D9" w:themeFill="background1" w:themeFillShade="D9"/>
      </w:pPr>
      <w:r>
        <w:t xml:space="preserve">A </w:t>
      </w:r>
      <w:r w:rsidRPr="00EA66A6">
        <w:t xml:space="preserve">training event </w:t>
      </w:r>
      <w:r>
        <w:t xml:space="preserve">was held on the third day </w:t>
      </w:r>
      <w:r w:rsidRPr="00EA66A6">
        <w:t>for operational practitioners who investigate onl</w:t>
      </w:r>
      <w:r>
        <w:t>ine child exploitation material</w:t>
      </w:r>
      <w:r w:rsidR="00A705A1">
        <w:t>. A</w:t>
      </w:r>
      <w:r>
        <w:t xml:space="preserve"> number of recently established</w:t>
      </w:r>
      <w:r w:rsidRPr="009B5A1E">
        <w:rPr>
          <w:rFonts w:cs="Arial"/>
        </w:rPr>
        <w:t xml:space="preserve"> hotlines for reporting child sexual abuse material in the region </w:t>
      </w:r>
      <w:r>
        <w:rPr>
          <w:rFonts w:cs="Arial"/>
        </w:rPr>
        <w:t xml:space="preserve">were able to </w:t>
      </w:r>
      <w:r w:rsidRPr="009B5A1E">
        <w:rPr>
          <w:rFonts w:cs="Arial"/>
        </w:rPr>
        <w:t>attend</w:t>
      </w:r>
      <w:r>
        <w:rPr>
          <w:rFonts w:cs="Arial"/>
        </w:rPr>
        <w:t>.</w:t>
      </w:r>
    </w:p>
    <w:p w14:paraId="3DEEA265" w14:textId="77777777" w:rsidR="00D65686" w:rsidRPr="003E17EB" w:rsidRDefault="00D65686" w:rsidP="00B20861">
      <w:pPr>
        <w:pStyle w:val="Heading3"/>
      </w:pPr>
      <w:bookmarkStart w:id="23" w:name="_Toc422924241"/>
      <w:r w:rsidRPr="003E17EB">
        <w:t xml:space="preserve">Bilateral </w:t>
      </w:r>
      <w:r w:rsidRPr="00B20861">
        <w:t>and</w:t>
      </w:r>
      <w:r w:rsidRPr="003E17EB">
        <w:t xml:space="preserve"> peer relationships</w:t>
      </w:r>
      <w:bookmarkEnd w:id="23"/>
    </w:p>
    <w:p w14:paraId="68EFB311" w14:textId="1DCBF38A" w:rsidR="00B90201" w:rsidRDefault="00B90201" w:rsidP="00B20861">
      <w:r w:rsidRPr="00B90201">
        <w:t xml:space="preserve">The ACMA maintains a number of key relationships with regulators and other organisations in various countries. These relationships </w:t>
      </w:r>
      <w:r w:rsidR="00A705A1">
        <w:t>help</w:t>
      </w:r>
      <w:r w:rsidR="00A705A1" w:rsidRPr="00B90201">
        <w:t xml:space="preserve"> </w:t>
      </w:r>
      <w:r w:rsidRPr="00B90201">
        <w:t xml:space="preserve">the ACMA </w:t>
      </w:r>
      <w:r w:rsidR="00A705A1">
        <w:t xml:space="preserve">to </w:t>
      </w:r>
      <w:r w:rsidRPr="00B90201">
        <w:t>remain informed about communications and media developments in the UK and Europe, the Americas, Asia and the Pacific. They also contribute to bui</w:t>
      </w:r>
      <w:r>
        <w:t>lding goodwill and cooperation on responding to issues of mutual concern.</w:t>
      </w:r>
    </w:p>
    <w:p w14:paraId="2C560324" w14:textId="344ABEB7" w:rsidR="00041E40" w:rsidRPr="00041E40" w:rsidRDefault="00D65686" w:rsidP="00B20861">
      <w:pPr>
        <w:spacing w:after="80"/>
      </w:pPr>
      <w:r w:rsidRPr="003E17EB">
        <w:t>The ACMA</w:t>
      </w:r>
      <w:r w:rsidR="0050097F">
        <w:t xml:space="preserve"> has both formal and informal</w:t>
      </w:r>
      <w:r w:rsidR="00AE0D48">
        <w:t xml:space="preserve"> relationships with other </w:t>
      </w:r>
      <w:r w:rsidR="0050097F">
        <w:t xml:space="preserve">communications and media </w:t>
      </w:r>
      <w:r w:rsidR="00AE0D48">
        <w:t>regulators and international organisations</w:t>
      </w:r>
      <w:r w:rsidR="001D3C05">
        <w:t>. For example, th</w:t>
      </w:r>
      <w:r w:rsidR="00B90201">
        <w:t xml:space="preserve">e </w:t>
      </w:r>
      <w:r w:rsidR="00041E40" w:rsidRPr="00041E40">
        <w:t>ACMA has developed close working relationships with other regulators around the world</w:t>
      </w:r>
      <w:r w:rsidR="00F943DE">
        <w:t xml:space="preserve"> </w:t>
      </w:r>
      <w:r w:rsidR="00A705A1">
        <w:t>on</w:t>
      </w:r>
      <w:r w:rsidR="00F943DE">
        <w:t xml:space="preserve"> combating spam</w:t>
      </w:r>
      <w:r w:rsidR="004F4320">
        <w:t xml:space="preserve"> and problematic telemarketing calls</w:t>
      </w:r>
      <w:r w:rsidR="00041E40" w:rsidRPr="00041E40">
        <w:t>. These partnerships enable organisations to:</w:t>
      </w:r>
    </w:p>
    <w:p w14:paraId="7AC34E59" w14:textId="6E76211A" w:rsidR="00041E40" w:rsidRPr="00B20861" w:rsidRDefault="00A705A1" w:rsidP="00B20861">
      <w:pPr>
        <w:pStyle w:val="ListBullet"/>
      </w:pPr>
      <w:r>
        <w:t>s</w:t>
      </w:r>
      <w:r w:rsidR="00041E40" w:rsidRPr="00B20861">
        <w:t>hare intelligence on</w:t>
      </w:r>
      <w:r w:rsidR="004F4320" w:rsidRPr="00B20861">
        <w:t xml:space="preserve"> sources of spam and problematic telemarketing calls</w:t>
      </w:r>
    </w:p>
    <w:p w14:paraId="31A1971B" w14:textId="7FF6E7FB" w:rsidR="00041E40" w:rsidRPr="00B20861" w:rsidRDefault="00A705A1" w:rsidP="00B20861">
      <w:pPr>
        <w:pStyle w:val="ListBullet"/>
      </w:pPr>
      <w:r>
        <w:t>i</w:t>
      </w:r>
      <w:r w:rsidR="00041E40" w:rsidRPr="00B20861">
        <w:t>dentify and close down compromised computers that spread viruses and send spam</w:t>
      </w:r>
    </w:p>
    <w:p w14:paraId="1F2EBA81" w14:textId="1C581716" w:rsidR="00041E40" w:rsidRPr="00041E40" w:rsidRDefault="00A705A1" w:rsidP="00B20861">
      <w:pPr>
        <w:pStyle w:val="ListBullet"/>
      </w:pPr>
      <w:r>
        <w:t>r</w:t>
      </w:r>
      <w:r w:rsidR="00041E40" w:rsidRPr="00B20861">
        <w:t>aise</w:t>
      </w:r>
      <w:r w:rsidR="00041E40" w:rsidRPr="00041E40">
        <w:t xml:space="preserve"> consumer and business awareness about</w:t>
      </w:r>
      <w:r w:rsidR="004F4320">
        <w:t xml:space="preserve"> email, SMS and phone scams</w:t>
      </w:r>
    </w:p>
    <w:p w14:paraId="5EB5BC94" w14:textId="7A7A7A76" w:rsidR="00041E40" w:rsidRPr="00041E40" w:rsidRDefault="00A705A1" w:rsidP="00B20861">
      <w:pPr>
        <w:pStyle w:val="ListBulletLast"/>
      </w:pPr>
      <w:r>
        <w:t>d</w:t>
      </w:r>
      <w:r w:rsidR="00041E40" w:rsidRPr="00041E40">
        <w:t>evelop technologies, programs and policies to fight spam</w:t>
      </w:r>
      <w:r w:rsidR="004F4320" w:rsidRPr="004F4320">
        <w:rPr>
          <w:szCs w:val="20"/>
        </w:rPr>
        <w:t xml:space="preserve"> </w:t>
      </w:r>
      <w:r w:rsidR="004F4320">
        <w:rPr>
          <w:szCs w:val="20"/>
        </w:rPr>
        <w:t>and problematic telemarketing calls</w:t>
      </w:r>
      <w:r w:rsidR="00041E40" w:rsidRPr="00041E40">
        <w:t>.</w:t>
      </w:r>
    </w:p>
    <w:p w14:paraId="2ADDF378" w14:textId="7836F55C" w:rsidR="00CE67C4" w:rsidRPr="00041E40" w:rsidRDefault="00041E40" w:rsidP="003B28A4">
      <w:pPr>
        <w:spacing w:before="240"/>
        <w:rPr>
          <w:szCs w:val="20"/>
        </w:rPr>
      </w:pPr>
      <w:r w:rsidRPr="00041E40">
        <w:t xml:space="preserve">Australia </w:t>
      </w:r>
      <w:r w:rsidR="00A319A2">
        <w:t xml:space="preserve">currently </w:t>
      </w:r>
      <w:r w:rsidRPr="00041E40">
        <w:t>has anti-spam arrangements with</w:t>
      </w:r>
      <w:r w:rsidR="004C2E92">
        <w:t xml:space="preserve"> South Korea and Thailand.</w:t>
      </w:r>
    </w:p>
    <w:p w14:paraId="067E3E4D" w14:textId="181D59A7" w:rsidR="00163C5B" w:rsidRDefault="00D65686" w:rsidP="00B20861">
      <w:r w:rsidRPr="006E7AE6">
        <w:t xml:space="preserve">An important </w:t>
      </w:r>
      <w:r w:rsidR="00A705A1">
        <w:t>mechanism</w:t>
      </w:r>
      <w:r w:rsidR="00A705A1" w:rsidRPr="006E7AE6">
        <w:t xml:space="preserve"> </w:t>
      </w:r>
      <w:r w:rsidRPr="006E7AE6">
        <w:t xml:space="preserve">for collaboration </w:t>
      </w:r>
      <w:r w:rsidR="00A705A1">
        <w:t>on</w:t>
      </w:r>
      <w:r w:rsidRPr="006E7AE6">
        <w:t xml:space="preserve"> spectrum issues is the Spectrum Regulators Forum (SRF). </w:t>
      </w:r>
      <w:r w:rsidR="002E5E5C" w:rsidRPr="006E7AE6">
        <w:t>The SRF is an initiative of</w:t>
      </w:r>
      <w:r w:rsidR="002E5E5C">
        <w:t xml:space="preserve"> the New Zealand Ministry of Economic Development (MED). </w:t>
      </w:r>
      <w:r w:rsidRPr="006E7AE6">
        <w:t xml:space="preserve">In addition to the ACMA, membership of the SRF includes regulators from New Zealand, Canada, </w:t>
      </w:r>
      <w:r w:rsidR="00A705A1">
        <w:t xml:space="preserve">the </w:t>
      </w:r>
      <w:r w:rsidRPr="006E7AE6">
        <w:t xml:space="preserve">US, </w:t>
      </w:r>
      <w:r w:rsidR="00A705A1">
        <w:t xml:space="preserve">the </w:t>
      </w:r>
      <w:r w:rsidRPr="006E7AE6">
        <w:t xml:space="preserve">UK and Hong Kong. The SRF </w:t>
      </w:r>
      <w:r w:rsidR="00A705A1">
        <w:t>enables</w:t>
      </w:r>
      <w:r w:rsidRPr="006E7AE6">
        <w:t xml:space="preserve"> invited regulators from markets with similar approaches to spectrum regulation to share their views in an informal environment. Issues discussed include developments in t</w:t>
      </w:r>
      <w:r w:rsidR="00AC1E16" w:rsidRPr="006E7AE6">
        <w:t xml:space="preserve">echnology, spectrum management, </w:t>
      </w:r>
      <w:r w:rsidR="00A705A1">
        <w:t xml:space="preserve">and </w:t>
      </w:r>
      <w:r w:rsidRPr="006E7AE6">
        <w:t>compliance and administration of the radiofrequency spectrum.</w:t>
      </w:r>
      <w:r w:rsidR="005B100B" w:rsidRPr="005B100B">
        <w:t xml:space="preserve"> </w:t>
      </w:r>
    </w:p>
    <w:p w14:paraId="31D65E78" w14:textId="77777777" w:rsidR="00D65686" w:rsidRPr="003E17EB" w:rsidRDefault="00D65686" w:rsidP="00B20861">
      <w:pPr>
        <w:pStyle w:val="Heading3"/>
      </w:pPr>
      <w:bookmarkStart w:id="24" w:name="_Toc422924242"/>
      <w:r w:rsidRPr="003E17EB">
        <w:t>Consultative groups and technical working committees</w:t>
      </w:r>
      <w:bookmarkEnd w:id="24"/>
    </w:p>
    <w:p w14:paraId="07F2F6A4" w14:textId="41A171BD" w:rsidR="00D65686" w:rsidRPr="003E17EB" w:rsidRDefault="00A705A1" w:rsidP="006F40AF">
      <w:pPr>
        <w:keepLines/>
      </w:pPr>
      <w:r>
        <w:t>A</w:t>
      </w:r>
      <w:r w:rsidRPr="003E17EB">
        <w:t>s part of its regulatory activities</w:t>
      </w:r>
      <w:r>
        <w:t>, t</w:t>
      </w:r>
      <w:r w:rsidR="00D65686" w:rsidRPr="003E17EB">
        <w:t>he ACMA participates in a number of consultative groups that contribute to international for</w:t>
      </w:r>
      <w:r>
        <w:t>a,</w:t>
      </w:r>
      <w:r w:rsidR="00D65686" w:rsidRPr="003E17EB">
        <w:t xml:space="preserve"> such as the European Telecommunications Standardisation Institute (ETSI), International Electrotechnical Commission (IEC) and International Special Committee on Radio Interference (CISPR). Domestic consultative groups include Standards Australia’s technical working committees responsible for developing Australian input into international electromagnetic capability (EMC), electromagnetic radiation (EMR) and electrical safety standards (that are either adopted directly or indirectly in Australian standards). This participation allows the ACMA to indirectly influence international discussions so that the outcomes of those discussions (for example, technical standards) can be adopted directly in Australia.</w:t>
      </w:r>
    </w:p>
    <w:p w14:paraId="1A15A4BD" w14:textId="66C9853E" w:rsidR="005174B2" w:rsidRDefault="002E5E5C" w:rsidP="00B20861">
      <w:r>
        <w:t>T</w:t>
      </w:r>
      <w:r w:rsidRPr="002E5E5C">
        <w:t xml:space="preserve">hrough </w:t>
      </w:r>
      <w:r>
        <w:t>participati</w:t>
      </w:r>
      <w:r w:rsidRPr="002E5E5C">
        <w:t>n</w:t>
      </w:r>
      <w:r>
        <w:t>g</w:t>
      </w:r>
      <w:r w:rsidRPr="002E5E5C">
        <w:t xml:space="preserve"> in Communications Alliance and Standards Australia technical committees</w:t>
      </w:r>
      <w:r w:rsidR="00A705A1">
        <w:t>,</w:t>
      </w:r>
      <w:r w:rsidRPr="002E5E5C">
        <w:t xml:space="preserve"> </w:t>
      </w:r>
      <w:r>
        <w:t>the</w:t>
      </w:r>
      <w:r w:rsidR="005174B2" w:rsidRPr="002E5E5C">
        <w:t xml:space="preserve"> ACMA strongly encourages rel</w:t>
      </w:r>
      <w:r>
        <w:t>iance</w:t>
      </w:r>
      <w:r w:rsidR="005174B2" w:rsidRPr="002E5E5C">
        <w:t xml:space="preserve"> on applicable international standards and limit</w:t>
      </w:r>
      <w:r w:rsidR="00A705A1">
        <w:t>s</w:t>
      </w:r>
      <w:r w:rsidR="005174B2" w:rsidRPr="002E5E5C">
        <w:t xml:space="preserve"> any Australian differences to those areas necessary to protect public safety </w:t>
      </w:r>
      <w:r>
        <w:t>or</w:t>
      </w:r>
      <w:r w:rsidR="005174B2" w:rsidRPr="002E5E5C">
        <w:t xml:space="preserve"> reflect Australian radiocommunicat</w:t>
      </w:r>
      <w:r>
        <w:t>ions spectrum allocations</w:t>
      </w:r>
      <w:r w:rsidR="005174B2" w:rsidRPr="002E5E5C">
        <w:t xml:space="preserve">. </w:t>
      </w:r>
      <w:r w:rsidR="00A705A1">
        <w:t>For</w:t>
      </w:r>
      <w:r w:rsidR="005174B2" w:rsidRPr="002E5E5C">
        <w:t xml:space="preserve"> example, within Standards Australia the ACMA advocated </w:t>
      </w:r>
      <w:r w:rsidR="00A705A1">
        <w:t>removing</w:t>
      </w:r>
      <w:r w:rsidR="005174B2" w:rsidRPr="002E5E5C">
        <w:t xml:space="preserve"> the historical differences between the Australian standards AS/NZS 4295 and AS/NZS 4583 and the equivalent European standards to allow suppliers to use European compliance records to demonstrate compliance with the Australian standards. </w:t>
      </w:r>
      <w:r w:rsidR="00A705A1">
        <w:t>This</w:t>
      </w:r>
      <w:r w:rsidR="005174B2" w:rsidRPr="002E5E5C">
        <w:t xml:space="preserve"> is anticipated to reduce the cost of supplying to the Australian market radiocommunications devices operating in the aviation and land mobile bands. </w:t>
      </w:r>
    </w:p>
    <w:sectPr w:rsidR="005174B2" w:rsidSect="00C77380">
      <w:headerReference w:type="even" r:id="rId34"/>
      <w:headerReference w:type="default" r:id="rId35"/>
      <w:footerReference w:type="even" r:id="rId36"/>
      <w:footerReference w:type="default" r:id="rId37"/>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54D044" w14:textId="77777777" w:rsidR="004F64B0" w:rsidRDefault="004F64B0">
      <w:r>
        <w:separator/>
      </w:r>
    </w:p>
  </w:endnote>
  <w:endnote w:type="continuationSeparator" w:id="0">
    <w:p w14:paraId="78068270" w14:textId="77777777" w:rsidR="004F64B0" w:rsidRDefault="004F6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NeueLT Std Lt">
    <w:altName w:val="HelveticaNeueLT Std Lt"/>
    <w:panose1 w:val="020B0403020202020204"/>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8E0D2" w14:textId="77777777" w:rsidR="003C5960" w:rsidRDefault="003C5960">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E553C" w14:textId="77777777" w:rsidR="004F64B0" w:rsidRPr="00622A3B" w:rsidRDefault="004F64B0"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rPr>
      <w:t>a</w:t>
    </w:r>
    <w:r w:rsidRPr="00622A3B">
      <w:rPr>
        <w:rFonts w:cs="Arial"/>
        <w:b/>
        <w:noProof/>
        <w:spacing w:val="-15"/>
        <w:sz w:val="20"/>
      </w:rPr>
      <w:t>c</w:t>
    </w:r>
    <w:r w:rsidRPr="00622A3B">
      <w:rPr>
        <w:rFonts w:cs="Arial"/>
        <w:b/>
        <w:noProof/>
        <w:spacing w:val="-16"/>
        <w:sz w:val="20"/>
      </w:rPr>
      <w:t>m</w:t>
    </w:r>
    <w:r w:rsidRPr="00622A3B">
      <w:rPr>
        <w:rFonts w:cs="Arial"/>
        <w:b/>
        <w:noProof/>
        <w:spacing w:val="-14"/>
        <w:sz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891F5A">
      <w:rPr>
        <w:noProof/>
        <w:color w:val="505050"/>
      </w:rPr>
      <w:t>1</w:t>
    </w:r>
    <w:r w:rsidRPr="00575AC5">
      <w:rPr>
        <w:color w:val="505050"/>
      </w:rPr>
      <w:fldChar w:fldCharType="end"/>
    </w:r>
  </w:p>
  <w:p w14:paraId="0798AB74" w14:textId="77777777" w:rsidR="004F64B0" w:rsidRPr="00A5474E" w:rsidRDefault="004F64B0" w:rsidP="00A547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7EC56" w14:textId="77777777" w:rsidR="004F64B0" w:rsidRPr="00A5474E" w:rsidRDefault="004F64B0" w:rsidP="00A5474E">
    <w:pPr>
      <w:pStyle w:val="Footer"/>
    </w:pPr>
    <w:r>
      <w:rPr>
        <w:noProof/>
      </w:rPr>
      <w:drawing>
        <wp:inline distT="0" distB="0" distL="0" distR="0" wp14:anchorId="28D29860" wp14:editId="322C64FB">
          <wp:extent cx="3483864" cy="249613"/>
          <wp:effectExtent l="0" t="0" r="0" b="0"/>
          <wp:docPr id="24" name="Picture 24" title="Australian communications and Media Authority tagline – communicating, facilitating, regul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M_A4Letterhead_Strapline.jpg"/>
                  <pic:cNvPicPr/>
                </pic:nvPicPr>
                <pic:blipFill>
                  <a:blip r:embed="rId1">
                    <a:extLst>
                      <a:ext uri="{28A0092B-C50C-407E-A947-70E740481C1C}">
                        <a14:useLocalDpi xmlns:a14="http://schemas.microsoft.com/office/drawing/2010/main" val="0"/>
                      </a:ext>
                    </a:extLst>
                  </a:blip>
                  <a:stretch>
                    <a:fillRect/>
                  </a:stretch>
                </pic:blipFill>
                <pic:spPr>
                  <a:xfrm>
                    <a:off x="0" y="0"/>
                    <a:ext cx="3483864" cy="24961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B3E03" w14:textId="77777777" w:rsidR="003C5960" w:rsidRDefault="003C596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8F256" w14:textId="77777777" w:rsidR="004F64B0" w:rsidRDefault="004F64B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C3DC7" w14:textId="77777777" w:rsidR="004F64B0" w:rsidRDefault="004F64B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B0170" w14:textId="77777777" w:rsidR="004F64B0" w:rsidRPr="00A5474E" w:rsidRDefault="004F64B0" w:rsidP="00A5474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95691" w14:textId="77777777" w:rsidR="004F64B0" w:rsidRPr="00A5474E" w:rsidRDefault="004F64B0" w:rsidP="00A5474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6167D" w14:textId="77777777" w:rsidR="004F64B0" w:rsidRPr="00622A3B" w:rsidRDefault="004F64B0"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rPr>
      <w:t>a</w:t>
    </w:r>
    <w:r w:rsidRPr="00622A3B">
      <w:rPr>
        <w:rFonts w:cs="Arial"/>
        <w:b/>
        <w:noProof/>
        <w:spacing w:val="-15"/>
        <w:sz w:val="20"/>
      </w:rPr>
      <w:t>c</w:t>
    </w:r>
    <w:r w:rsidRPr="00622A3B">
      <w:rPr>
        <w:rFonts w:cs="Arial"/>
        <w:b/>
        <w:noProof/>
        <w:spacing w:val="-16"/>
        <w:sz w:val="20"/>
      </w:rPr>
      <w:t>m</w:t>
    </w:r>
    <w:r w:rsidRPr="00622A3B">
      <w:rPr>
        <w:rFonts w:cs="Arial"/>
        <w:b/>
        <w:noProof/>
        <w:spacing w:val="-14"/>
        <w:sz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891F5A">
      <w:rPr>
        <w:noProof/>
        <w:color w:val="505050"/>
      </w:rPr>
      <w:t>iii</w:t>
    </w:r>
    <w:r w:rsidRPr="002E4DDC">
      <w:rPr>
        <w:color w:val="505050"/>
      </w:rPr>
      <w:fldChar w:fldCharType="end"/>
    </w:r>
  </w:p>
  <w:p w14:paraId="7739A65A" w14:textId="77777777" w:rsidR="004F64B0" w:rsidRPr="00A5474E" w:rsidRDefault="004F64B0" w:rsidP="00A5474E">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EF874" w14:textId="77777777" w:rsidR="004F64B0" w:rsidRPr="00622A3B" w:rsidRDefault="004F64B0"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891F5A">
      <w:rPr>
        <w:noProof/>
      </w:rPr>
      <w:t>14</w:t>
    </w:r>
    <w:r w:rsidRPr="00575AC5">
      <w:fldChar w:fldCharType="end"/>
    </w:r>
    <w:r w:rsidRPr="0094078F">
      <w:tab/>
    </w:r>
    <w:r w:rsidRPr="00622A3B">
      <w:t>|</w:t>
    </w:r>
    <w:r>
      <w:tab/>
    </w:r>
    <w:r w:rsidRPr="00622A3B">
      <w:rPr>
        <w:b/>
        <w:noProof/>
        <w:spacing w:val="-16"/>
        <w:sz w:val="20"/>
      </w:rPr>
      <w:t>a</w:t>
    </w:r>
    <w:r w:rsidRPr="00622A3B">
      <w:rPr>
        <w:b/>
        <w:noProof/>
        <w:spacing w:val="-15"/>
        <w:sz w:val="20"/>
      </w:rPr>
      <w:t>c</w:t>
    </w:r>
    <w:r w:rsidRPr="00622A3B">
      <w:rPr>
        <w:b/>
        <w:noProof/>
        <w:spacing w:val="-16"/>
        <w:sz w:val="20"/>
      </w:rPr>
      <w:t>m</w:t>
    </w:r>
    <w:r w:rsidRPr="00622A3B">
      <w:rPr>
        <w:b/>
        <w:noProof/>
        <w:spacing w:val="-14"/>
        <w:sz w:val="20"/>
      </w:rPr>
      <w:t>a</w:t>
    </w:r>
  </w:p>
  <w:p w14:paraId="59BE5B52" w14:textId="77777777" w:rsidR="004F64B0" w:rsidRPr="00A5474E" w:rsidRDefault="004F64B0" w:rsidP="00A547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D773C" w14:textId="77777777" w:rsidR="004F64B0" w:rsidRDefault="004F64B0">
      <w:r>
        <w:separator/>
      </w:r>
    </w:p>
  </w:footnote>
  <w:footnote w:type="continuationSeparator" w:id="0">
    <w:p w14:paraId="36838672" w14:textId="77777777" w:rsidR="004F64B0" w:rsidRDefault="004F64B0">
      <w:r>
        <w:continuationSeparator/>
      </w:r>
    </w:p>
  </w:footnote>
  <w:footnote w:id="1">
    <w:p w14:paraId="40C1A0FD" w14:textId="6C6B755D" w:rsidR="004F64B0" w:rsidRDefault="004F64B0" w:rsidP="00955AAA">
      <w:pPr>
        <w:pStyle w:val="FootnoteText"/>
      </w:pPr>
      <w:r>
        <w:rPr>
          <w:rStyle w:val="FootnoteReference"/>
        </w:rPr>
        <w:footnoteRef/>
      </w:r>
      <w:r>
        <w:t xml:space="preserve"> On 1 July 2015, the ACMA will cease to have responsibility for online content, with the function transferring to the newly created Office of the Children’s eSafety Commissioner. </w:t>
      </w:r>
    </w:p>
  </w:footnote>
  <w:footnote w:id="2">
    <w:p w14:paraId="0AE7B5ED" w14:textId="5315D7B8" w:rsidR="004F64B0" w:rsidRDefault="004F64B0">
      <w:pPr>
        <w:pStyle w:val="FootnoteText"/>
      </w:pPr>
      <w:r>
        <w:rPr>
          <w:rStyle w:val="FootnoteReference"/>
        </w:rPr>
        <w:footnoteRef/>
      </w:r>
      <w:r>
        <w:t xml:space="preserve"> </w:t>
      </w:r>
      <w:r w:rsidRPr="00266AA1">
        <w:t>Centre for International Economics</w:t>
      </w:r>
      <w:r>
        <w:t xml:space="preserve">, </w:t>
      </w:r>
      <w:r w:rsidRPr="00F81AEA">
        <w:rPr>
          <w:i/>
        </w:rPr>
        <w:t>The economic value of spectrum</w:t>
      </w:r>
      <w:r>
        <w:t xml:space="preserve">, January 2015. </w:t>
      </w:r>
      <w:r w:rsidRPr="00266AA1">
        <w:t xml:space="preserve">Research report prepared for the </w:t>
      </w:r>
      <w:r>
        <w:t>Department</w:t>
      </w:r>
      <w:r w:rsidRPr="00266AA1">
        <w:t xml:space="preserve"> </w:t>
      </w:r>
      <w:r>
        <w:t xml:space="preserve">of Communications and cited in the department’s report of its </w:t>
      </w:r>
      <w:hyperlink r:id="rId1" w:history="1">
        <w:r>
          <w:rPr>
            <w:rStyle w:val="Hyperlink"/>
          </w:rPr>
          <w:t>spectrum r</w:t>
        </w:r>
        <w:r w:rsidRPr="00367CB5">
          <w:rPr>
            <w:rStyle w:val="Hyperlink"/>
          </w:rPr>
          <w:t>eview</w:t>
        </w:r>
      </w:hyperlink>
      <w:r>
        <w:t>, March 2015.</w:t>
      </w:r>
    </w:p>
  </w:footnote>
  <w:footnote w:id="3">
    <w:p w14:paraId="17EF1A65" w14:textId="7A95FD79" w:rsidR="004F64B0" w:rsidRDefault="004F64B0" w:rsidP="00DD1EC9">
      <w:pPr>
        <w:pStyle w:val="FootnoteText"/>
      </w:pPr>
      <w:r>
        <w:rPr>
          <w:rStyle w:val="FootnoteReference"/>
        </w:rPr>
        <w:footnoteRef/>
      </w:r>
      <w:r>
        <w:t xml:space="preserve"> </w:t>
      </w:r>
      <w:r w:rsidRPr="00BB0542">
        <w:rPr>
          <w:rFonts w:cs="Arial"/>
        </w:rPr>
        <w:t xml:space="preserve">The ITU is the United Nations agency </w:t>
      </w:r>
      <w:r>
        <w:rPr>
          <w:rFonts w:cs="Arial"/>
        </w:rPr>
        <w:t>that</w:t>
      </w:r>
      <w:r w:rsidRPr="00BB0542">
        <w:rPr>
          <w:rFonts w:cs="Arial"/>
        </w:rPr>
        <w:t xml:space="preserve"> deals with the frequency coordination of satellites, among other duties. The ITU only deals with administrations, not with satellite operators. Australia is a signatory to ITU treaty-level arrangements.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58221" w14:textId="77777777" w:rsidR="003C5960" w:rsidRDefault="003C59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A1493" w14:textId="1FD05098" w:rsidR="004F64B0" w:rsidRPr="00A5474E" w:rsidRDefault="004F64B0" w:rsidP="00A5474E">
    <w:pPr>
      <w:pStyle w:val="Header"/>
    </w:pPr>
    <w:r>
      <w:rPr>
        <w:noProof/>
      </w:rPr>
      <w:drawing>
        <wp:inline distT="0" distB="0" distL="0" distR="0" wp14:anchorId="5A4A0B18" wp14:editId="65988FD4">
          <wp:extent cx="6388100" cy="520700"/>
          <wp:effectExtent l="0" t="0" r="0" b="12700"/>
          <wp:docPr id="4" name="Picture 4" title="Australian Communications and Media Authority logo 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extLst>
                      <a:ext uri="{28A0092B-C50C-407E-A947-70E740481C1C}">
                        <a14:useLocalDpi xmlns:a14="http://schemas.microsoft.com/office/drawing/2010/main" val="0"/>
                      </a:ext>
                    </a:extLst>
                  </a:blip>
                  <a:stretch>
                    <a:fillRect/>
                  </a:stretch>
                </pic:blipFill>
                <pic:spPr>
                  <a:xfrm>
                    <a:off x="0" y="0"/>
                    <a:ext cx="6388100" cy="5207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59FA0" w14:textId="57E6FB9B" w:rsidR="004F64B0" w:rsidRPr="00A5474E" w:rsidRDefault="004F64B0" w:rsidP="00594E9C">
    <w:pPr>
      <w:pStyle w:val="TOCHeading"/>
    </w:pPr>
    <w:r w:rsidRPr="0029593B">
      <w:t>Contents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D1647" w14:textId="77777777" w:rsidR="004F64B0" w:rsidRDefault="004F64B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1C997" w14:textId="77777777" w:rsidR="004F64B0" w:rsidRDefault="004F64B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FDE1B" w14:textId="77777777" w:rsidR="004F64B0" w:rsidRPr="00A5474E" w:rsidRDefault="004F64B0" w:rsidP="00A5474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C352C" w14:textId="77777777" w:rsidR="004F64B0" w:rsidRPr="00A5474E" w:rsidRDefault="004F64B0" w:rsidP="00A5474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2E451" w14:textId="23FF5862" w:rsidR="004F64B0" w:rsidRDefault="004F64B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416CE" w14:textId="6306920C" w:rsidR="004F64B0" w:rsidRDefault="004F64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2B4CD74"/>
    <w:lvl w:ilvl="0">
      <w:start w:val="1"/>
      <w:numFmt w:val="decimal"/>
      <w:lvlText w:val="%1."/>
      <w:lvlJc w:val="left"/>
      <w:pPr>
        <w:tabs>
          <w:tab w:val="num" w:pos="1492"/>
        </w:tabs>
        <w:ind w:left="1492" w:hanging="360"/>
      </w:pPr>
    </w:lvl>
  </w:abstractNum>
  <w:abstractNum w:abstractNumId="1">
    <w:nsid w:val="FFFFFF7F"/>
    <w:multiLevelType w:val="singleLevel"/>
    <w:tmpl w:val="418CE660"/>
    <w:lvl w:ilvl="0">
      <w:start w:val="1"/>
      <w:numFmt w:val="decimal"/>
      <w:pStyle w:val="ListNumber2"/>
      <w:lvlText w:val="%1."/>
      <w:lvlJc w:val="left"/>
      <w:pPr>
        <w:ind w:left="360" w:hanging="360"/>
      </w:pPr>
      <w:rPr>
        <w:rFonts w:hint="default"/>
      </w:rPr>
    </w:lvl>
  </w:abstractNum>
  <w:abstractNum w:abstractNumId="2">
    <w:nsid w:val="FFFFFF83"/>
    <w:multiLevelType w:val="singleLevel"/>
    <w:tmpl w:val="7A8486C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3">
    <w:nsid w:val="FFFFFF88"/>
    <w:multiLevelType w:val="singleLevel"/>
    <w:tmpl w:val="EA6A9366"/>
    <w:lvl w:ilvl="0">
      <w:start w:val="1"/>
      <w:numFmt w:val="decimal"/>
      <w:pStyle w:val="ListNumber"/>
      <w:lvlText w:val="%1."/>
      <w:lvlJc w:val="left"/>
      <w:pPr>
        <w:ind w:left="360" w:hanging="360"/>
      </w:pPr>
      <w:rPr>
        <w:rFonts w:hint="default"/>
        <w:caps/>
        <w:sz w:val="20"/>
      </w:rPr>
    </w:lvl>
  </w:abstractNum>
  <w:abstractNum w:abstractNumId="4">
    <w:nsid w:val="FFFFFF89"/>
    <w:multiLevelType w:val="singleLevel"/>
    <w:tmpl w:val="676E7F6E"/>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5">
    <w:nsid w:val="026E64D3"/>
    <w:multiLevelType w:val="hybridMultilevel"/>
    <w:tmpl w:val="7C123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BC47EE3"/>
    <w:multiLevelType w:val="hybridMultilevel"/>
    <w:tmpl w:val="7A520EDE"/>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0BCE1F62"/>
    <w:multiLevelType w:val="hybridMultilevel"/>
    <w:tmpl w:val="F940A19E"/>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28B22E7"/>
    <w:multiLevelType w:val="hybridMultilevel"/>
    <w:tmpl w:val="5516A8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12D111F3"/>
    <w:multiLevelType w:val="hybridMultilevel"/>
    <w:tmpl w:val="676C2D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A834635"/>
    <w:multiLevelType w:val="hybridMultilevel"/>
    <w:tmpl w:val="04F8119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23470616"/>
    <w:multiLevelType w:val="hybridMultilevel"/>
    <w:tmpl w:val="7410FA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27243F0C"/>
    <w:multiLevelType w:val="hybridMultilevel"/>
    <w:tmpl w:val="BCCC6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81D1869"/>
    <w:multiLevelType w:val="hybridMultilevel"/>
    <w:tmpl w:val="7F0A2796"/>
    <w:lvl w:ilvl="0" w:tplc="B9DA8F32">
      <w:start w:val="1"/>
      <w:numFmt w:val="decimal"/>
      <w:pStyle w:val="ACMANumberedList"/>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nsid w:val="2F5A5080"/>
    <w:multiLevelType w:val="hybridMultilevel"/>
    <w:tmpl w:val="C10A466E"/>
    <w:lvl w:ilvl="0" w:tplc="2668C79A">
      <w:start w:val="1"/>
      <w:numFmt w:val="bullet"/>
      <w:pStyle w:val="ACMABulletLevel1"/>
      <w:lvlText w:val="●"/>
      <w:lvlJc w:val="left"/>
      <w:pPr>
        <w:tabs>
          <w:tab w:val="num" w:pos="-31680"/>
        </w:tabs>
        <w:ind w:left="357" w:hanging="357"/>
      </w:pPr>
      <w:rPr>
        <w:rFonts w:ascii="Times New Roman" w:hAnsi="Times New Roman" w:cs="Times New Roman" w:hint="default"/>
      </w:rPr>
    </w:lvl>
    <w:lvl w:ilvl="1" w:tplc="0C090001">
      <w:start w:val="1"/>
      <w:numFmt w:val="bullet"/>
      <w:lvlText w:val=""/>
      <w:lvlJc w:val="left"/>
      <w:pPr>
        <w:tabs>
          <w:tab w:val="num" w:pos="1728"/>
        </w:tabs>
        <w:ind w:left="1728" w:hanging="360"/>
      </w:pPr>
      <w:rPr>
        <w:rFonts w:ascii="Symbol" w:hAnsi="Symbol"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6">
    <w:nsid w:val="3D1929DF"/>
    <w:multiLevelType w:val="hybridMultilevel"/>
    <w:tmpl w:val="0E66BD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B81657D"/>
    <w:multiLevelType w:val="multilevel"/>
    <w:tmpl w:val="8F7C1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AA21F0"/>
    <w:multiLevelType w:val="hybridMultilevel"/>
    <w:tmpl w:val="06AC6452"/>
    <w:lvl w:ilvl="0" w:tplc="075A84B2">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771EF8"/>
    <w:multiLevelType w:val="hybridMultilevel"/>
    <w:tmpl w:val="6FEAFA86"/>
    <w:lvl w:ilvl="0" w:tplc="8064E184">
      <w:start w:val="1"/>
      <w:numFmt w:val="decimal"/>
      <w:lvlText w:val="%1."/>
      <w:lvlJc w:val="left"/>
      <w:pPr>
        <w:ind w:left="360" w:hanging="360"/>
      </w:pPr>
      <w:rPr>
        <w:rFonts w:hint="default"/>
        <w:b/>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071478"/>
    <w:multiLevelType w:val="hybridMultilevel"/>
    <w:tmpl w:val="4560EABA"/>
    <w:lvl w:ilvl="0" w:tplc="01D2533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14"/>
  </w:num>
  <w:num w:numId="6">
    <w:abstractNumId w:val="21"/>
  </w:num>
  <w:num w:numId="7">
    <w:abstractNumId w:val="18"/>
  </w:num>
  <w:num w:numId="8">
    <w:abstractNumId w:val="20"/>
  </w:num>
  <w:num w:numId="9">
    <w:abstractNumId w:val="22"/>
  </w:num>
  <w:num w:numId="10">
    <w:abstractNumId w:val="11"/>
  </w:num>
  <w:num w:numId="11">
    <w:abstractNumId w:val="15"/>
  </w:num>
  <w:num w:numId="12">
    <w:abstractNumId w:val="13"/>
  </w:num>
  <w:num w:numId="13">
    <w:abstractNumId w:val="6"/>
  </w:num>
  <w:num w:numId="14">
    <w:abstractNumId w:val="7"/>
  </w:num>
  <w:num w:numId="15">
    <w:abstractNumId w:val="8"/>
  </w:num>
  <w:num w:numId="16">
    <w:abstractNumId w:val="16"/>
  </w:num>
  <w:num w:numId="17">
    <w:abstractNumId w:val="19"/>
  </w:num>
  <w:num w:numId="18">
    <w:abstractNumId w:val="9"/>
  </w:num>
  <w:num w:numId="19">
    <w:abstractNumId w:val="5"/>
  </w:num>
  <w:num w:numId="20">
    <w:abstractNumId w:val="4"/>
  </w:num>
  <w:num w:numId="21">
    <w:abstractNumId w:val="10"/>
  </w:num>
  <w:num w:numId="22">
    <w:abstractNumId w:val="4"/>
  </w:num>
  <w:num w:numId="23">
    <w:abstractNumId w:val="12"/>
  </w:num>
  <w:num w:numId="24">
    <w:abstractNumId w:val="17"/>
  </w:num>
  <w:num w:numId="25">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284"/>
  <w:evenAndOddHeaders/>
  <w:drawingGridHorizontalSpacing w:val="100"/>
  <w:displayHorizontalDrawingGridEvery w:val="2"/>
  <w:characterSpacingControl w:val="doNotCompress"/>
  <w:hdrShapeDefaults>
    <o:shapedefaults v:ext="edit" spidmax="10241">
      <o:colormru v:ext="edit" colors="red,#4d4d4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9A5"/>
    <w:rsid w:val="00006977"/>
    <w:rsid w:val="000105EB"/>
    <w:rsid w:val="00010667"/>
    <w:rsid w:val="000129D5"/>
    <w:rsid w:val="00015AE7"/>
    <w:rsid w:val="00016D05"/>
    <w:rsid w:val="00016E21"/>
    <w:rsid w:val="0001719C"/>
    <w:rsid w:val="000216D5"/>
    <w:rsid w:val="00023955"/>
    <w:rsid w:val="00024A40"/>
    <w:rsid w:val="00026F91"/>
    <w:rsid w:val="000271C9"/>
    <w:rsid w:val="00031A13"/>
    <w:rsid w:val="00033DB2"/>
    <w:rsid w:val="0004157C"/>
    <w:rsid w:val="00041E40"/>
    <w:rsid w:val="00044A64"/>
    <w:rsid w:val="00045697"/>
    <w:rsid w:val="0005011A"/>
    <w:rsid w:val="0005045A"/>
    <w:rsid w:val="00050A5F"/>
    <w:rsid w:val="00051C1E"/>
    <w:rsid w:val="00051DBC"/>
    <w:rsid w:val="00052A33"/>
    <w:rsid w:val="000539F9"/>
    <w:rsid w:val="00054C27"/>
    <w:rsid w:val="00055D69"/>
    <w:rsid w:val="00055EC3"/>
    <w:rsid w:val="00056163"/>
    <w:rsid w:val="000563CE"/>
    <w:rsid w:val="000659B6"/>
    <w:rsid w:val="0006722A"/>
    <w:rsid w:val="00072012"/>
    <w:rsid w:val="000732CF"/>
    <w:rsid w:val="000737FD"/>
    <w:rsid w:val="0007574A"/>
    <w:rsid w:val="00075B96"/>
    <w:rsid w:val="0008196A"/>
    <w:rsid w:val="0008394B"/>
    <w:rsid w:val="00085133"/>
    <w:rsid w:val="00085C30"/>
    <w:rsid w:val="00090300"/>
    <w:rsid w:val="000915ED"/>
    <w:rsid w:val="0009209D"/>
    <w:rsid w:val="000969BD"/>
    <w:rsid w:val="000969BF"/>
    <w:rsid w:val="00096F65"/>
    <w:rsid w:val="000A0C22"/>
    <w:rsid w:val="000A20F8"/>
    <w:rsid w:val="000A3C43"/>
    <w:rsid w:val="000A4A51"/>
    <w:rsid w:val="000A5D2B"/>
    <w:rsid w:val="000A7012"/>
    <w:rsid w:val="000A7645"/>
    <w:rsid w:val="000B5DE3"/>
    <w:rsid w:val="000C0A57"/>
    <w:rsid w:val="000C230C"/>
    <w:rsid w:val="000C3BC1"/>
    <w:rsid w:val="000C6774"/>
    <w:rsid w:val="000D42C6"/>
    <w:rsid w:val="000D5429"/>
    <w:rsid w:val="000D71D9"/>
    <w:rsid w:val="000D76E0"/>
    <w:rsid w:val="000D7E8B"/>
    <w:rsid w:val="000E07B4"/>
    <w:rsid w:val="000E1838"/>
    <w:rsid w:val="000E3836"/>
    <w:rsid w:val="000E4449"/>
    <w:rsid w:val="000E5222"/>
    <w:rsid w:val="000E6097"/>
    <w:rsid w:val="000E7A31"/>
    <w:rsid w:val="000F2FEC"/>
    <w:rsid w:val="000F319F"/>
    <w:rsid w:val="000F6F4B"/>
    <w:rsid w:val="001035ED"/>
    <w:rsid w:val="00103829"/>
    <w:rsid w:val="00103A95"/>
    <w:rsid w:val="00106272"/>
    <w:rsid w:val="00107F9A"/>
    <w:rsid w:val="00111FCE"/>
    <w:rsid w:val="001204E4"/>
    <w:rsid w:val="001229A5"/>
    <w:rsid w:val="0012489B"/>
    <w:rsid w:val="00125190"/>
    <w:rsid w:val="00130017"/>
    <w:rsid w:val="00130F91"/>
    <w:rsid w:val="001321A6"/>
    <w:rsid w:val="00133379"/>
    <w:rsid w:val="00137424"/>
    <w:rsid w:val="00140318"/>
    <w:rsid w:val="0014074A"/>
    <w:rsid w:val="00141AD9"/>
    <w:rsid w:val="00146CE6"/>
    <w:rsid w:val="001519DE"/>
    <w:rsid w:val="00152648"/>
    <w:rsid w:val="00152903"/>
    <w:rsid w:val="001543E9"/>
    <w:rsid w:val="0015614F"/>
    <w:rsid w:val="001577C2"/>
    <w:rsid w:val="001633C4"/>
    <w:rsid w:val="001637C4"/>
    <w:rsid w:val="00163C5B"/>
    <w:rsid w:val="00171591"/>
    <w:rsid w:val="00173981"/>
    <w:rsid w:val="00174320"/>
    <w:rsid w:val="00175B38"/>
    <w:rsid w:val="0017719D"/>
    <w:rsid w:val="00180D57"/>
    <w:rsid w:val="00182ACF"/>
    <w:rsid w:val="001832FC"/>
    <w:rsid w:val="00184AB0"/>
    <w:rsid w:val="00184D05"/>
    <w:rsid w:val="00185CAB"/>
    <w:rsid w:val="001875B7"/>
    <w:rsid w:val="001877D3"/>
    <w:rsid w:val="00187CB3"/>
    <w:rsid w:val="0019050A"/>
    <w:rsid w:val="001910D4"/>
    <w:rsid w:val="00191B2C"/>
    <w:rsid w:val="00194F41"/>
    <w:rsid w:val="00195550"/>
    <w:rsid w:val="001976E3"/>
    <w:rsid w:val="001A328D"/>
    <w:rsid w:val="001A44EC"/>
    <w:rsid w:val="001B1EDE"/>
    <w:rsid w:val="001B409B"/>
    <w:rsid w:val="001B58AA"/>
    <w:rsid w:val="001B650F"/>
    <w:rsid w:val="001B7E48"/>
    <w:rsid w:val="001C0F7E"/>
    <w:rsid w:val="001C17CE"/>
    <w:rsid w:val="001C36CA"/>
    <w:rsid w:val="001C44D1"/>
    <w:rsid w:val="001C6AEE"/>
    <w:rsid w:val="001C7630"/>
    <w:rsid w:val="001D3C05"/>
    <w:rsid w:val="001D6D15"/>
    <w:rsid w:val="001D722C"/>
    <w:rsid w:val="001E0252"/>
    <w:rsid w:val="001E35BF"/>
    <w:rsid w:val="001F67CD"/>
    <w:rsid w:val="001F7558"/>
    <w:rsid w:val="002006FB"/>
    <w:rsid w:val="00201B10"/>
    <w:rsid w:val="00205B57"/>
    <w:rsid w:val="00206906"/>
    <w:rsid w:val="00210794"/>
    <w:rsid w:val="00211738"/>
    <w:rsid w:val="002153E1"/>
    <w:rsid w:val="002157E0"/>
    <w:rsid w:val="00215DC4"/>
    <w:rsid w:val="00216A57"/>
    <w:rsid w:val="002201B0"/>
    <w:rsid w:val="0022334F"/>
    <w:rsid w:val="00225B4E"/>
    <w:rsid w:val="00226819"/>
    <w:rsid w:val="00233101"/>
    <w:rsid w:val="00233817"/>
    <w:rsid w:val="00234DEB"/>
    <w:rsid w:val="002367FF"/>
    <w:rsid w:val="00240BC6"/>
    <w:rsid w:val="00240CE9"/>
    <w:rsid w:val="00243300"/>
    <w:rsid w:val="002434BA"/>
    <w:rsid w:val="00245CE1"/>
    <w:rsid w:val="00246089"/>
    <w:rsid w:val="00246093"/>
    <w:rsid w:val="00246702"/>
    <w:rsid w:val="00247C59"/>
    <w:rsid w:val="00247F2E"/>
    <w:rsid w:val="00250ADC"/>
    <w:rsid w:val="00250B07"/>
    <w:rsid w:val="0025321C"/>
    <w:rsid w:val="00257553"/>
    <w:rsid w:val="00257B2F"/>
    <w:rsid w:val="00260170"/>
    <w:rsid w:val="00260FB2"/>
    <w:rsid w:val="00262128"/>
    <w:rsid w:val="00262448"/>
    <w:rsid w:val="002715B7"/>
    <w:rsid w:val="0027165D"/>
    <w:rsid w:val="002720E8"/>
    <w:rsid w:val="002731A5"/>
    <w:rsid w:val="00273CEB"/>
    <w:rsid w:val="00277047"/>
    <w:rsid w:val="002779A4"/>
    <w:rsid w:val="00281368"/>
    <w:rsid w:val="00281C89"/>
    <w:rsid w:val="0028282F"/>
    <w:rsid w:val="002945B5"/>
    <w:rsid w:val="0029593B"/>
    <w:rsid w:val="002976B7"/>
    <w:rsid w:val="00297FC5"/>
    <w:rsid w:val="002A0417"/>
    <w:rsid w:val="002A0B7D"/>
    <w:rsid w:val="002A16D8"/>
    <w:rsid w:val="002A1BC8"/>
    <w:rsid w:val="002A3EF2"/>
    <w:rsid w:val="002A40C2"/>
    <w:rsid w:val="002B093B"/>
    <w:rsid w:val="002B0DED"/>
    <w:rsid w:val="002B1663"/>
    <w:rsid w:val="002B19A2"/>
    <w:rsid w:val="002B2C3E"/>
    <w:rsid w:val="002B381A"/>
    <w:rsid w:val="002B4FCC"/>
    <w:rsid w:val="002B7408"/>
    <w:rsid w:val="002B7CFD"/>
    <w:rsid w:val="002C10BF"/>
    <w:rsid w:val="002C210F"/>
    <w:rsid w:val="002C3801"/>
    <w:rsid w:val="002D0E66"/>
    <w:rsid w:val="002D3600"/>
    <w:rsid w:val="002D4C53"/>
    <w:rsid w:val="002D60F0"/>
    <w:rsid w:val="002E1C91"/>
    <w:rsid w:val="002E3A0D"/>
    <w:rsid w:val="002E4A82"/>
    <w:rsid w:val="002E4DDC"/>
    <w:rsid w:val="002E5E5C"/>
    <w:rsid w:val="002F2927"/>
    <w:rsid w:val="002F5CA5"/>
    <w:rsid w:val="002F75FA"/>
    <w:rsid w:val="00302480"/>
    <w:rsid w:val="00304B5A"/>
    <w:rsid w:val="0030707A"/>
    <w:rsid w:val="003103EA"/>
    <w:rsid w:val="00311340"/>
    <w:rsid w:val="00311EC4"/>
    <w:rsid w:val="0031402D"/>
    <w:rsid w:val="003165E6"/>
    <w:rsid w:val="00320E99"/>
    <w:rsid w:val="003221CF"/>
    <w:rsid w:val="00323034"/>
    <w:rsid w:val="003233ED"/>
    <w:rsid w:val="00324D9F"/>
    <w:rsid w:val="00326A74"/>
    <w:rsid w:val="00327948"/>
    <w:rsid w:val="0033000F"/>
    <w:rsid w:val="00332011"/>
    <w:rsid w:val="00332518"/>
    <w:rsid w:val="00332925"/>
    <w:rsid w:val="003332ED"/>
    <w:rsid w:val="003368DC"/>
    <w:rsid w:val="0034033A"/>
    <w:rsid w:val="00340D18"/>
    <w:rsid w:val="00341D38"/>
    <w:rsid w:val="00345927"/>
    <w:rsid w:val="00350584"/>
    <w:rsid w:val="00351857"/>
    <w:rsid w:val="00351897"/>
    <w:rsid w:val="00352F9B"/>
    <w:rsid w:val="003610E1"/>
    <w:rsid w:val="00361AF6"/>
    <w:rsid w:val="003627EF"/>
    <w:rsid w:val="003671BE"/>
    <w:rsid w:val="00367CB5"/>
    <w:rsid w:val="00371949"/>
    <w:rsid w:val="00372485"/>
    <w:rsid w:val="00373200"/>
    <w:rsid w:val="00374416"/>
    <w:rsid w:val="00375EF5"/>
    <w:rsid w:val="0037602C"/>
    <w:rsid w:val="003767A5"/>
    <w:rsid w:val="00385254"/>
    <w:rsid w:val="00390127"/>
    <w:rsid w:val="00392CE6"/>
    <w:rsid w:val="00394F3E"/>
    <w:rsid w:val="0039767E"/>
    <w:rsid w:val="003A1729"/>
    <w:rsid w:val="003A5F5B"/>
    <w:rsid w:val="003A789A"/>
    <w:rsid w:val="003B0B5F"/>
    <w:rsid w:val="003B12EC"/>
    <w:rsid w:val="003B28A4"/>
    <w:rsid w:val="003C1431"/>
    <w:rsid w:val="003C33C3"/>
    <w:rsid w:val="003C582A"/>
    <w:rsid w:val="003C5960"/>
    <w:rsid w:val="003C77E0"/>
    <w:rsid w:val="003C7F7F"/>
    <w:rsid w:val="003D026C"/>
    <w:rsid w:val="003D17D7"/>
    <w:rsid w:val="003D1879"/>
    <w:rsid w:val="003D2678"/>
    <w:rsid w:val="003D6057"/>
    <w:rsid w:val="003D6485"/>
    <w:rsid w:val="003D6D16"/>
    <w:rsid w:val="003D71A3"/>
    <w:rsid w:val="003E161E"/>
    <w:rsid w:val="003E17EB"/>
    <w:rsid w:val="003E2B8A"/>
    <w:rsid w:val="003E3C64"/>
    <w:rsid w:val="003F10EE"/>
    <w:rsid w:val="003F16F6"/>
    <w:rsid w:val="003F4DC7"/>
    <w:rsid w:val="003F5235"/>
    <w:rsid w:val="003F6C09"/>
    <w:rsid w:val="003F7609"/>
    <w:rsid w:val="004009B0"/>
    <w:rsid w:val="004027E4"/>
    <w:rsid w:val="0040526D"/>
    <w:rsid w:val="00407149"/>
    <w:rsid w:val="00407849"/>
    <w:rsid w:val="0041071D"/>
    <w:rsid w:val="00414AFC"/>
    <w:rsid w:val="00414D48"/>
    <w:rsid w:val="004151A7"/>
    <w:rsid w:val="00415310"/>
    <w:rsid w:val="004158AA"/>
    <w:rsid w:val="00416F3F"/>
    <w:rsid w:val="00417793"/>
    <w:rsid w:val="00421709"/>
    <w:rsid w:val="00422166"/>
    <w:rsid w:val="00423763"/>
    <w:rsid w:val="004246AF"/>
    <w:rsid w:val="00424E94"/>
    <w:rsid w:val="00425231"/>
    <w:rsid w:val="0042762F"/>
    <w:rsid w:val="00427DC7"/>
    <w:rsid w:val="00427EC9"/>
    <w:rsid w:val="00431613"/>
    <w:rsid w:val="00431792"/>
    <w:rsid w:val="0043297A"/>
    <w:rsid w:val="00432EB2"/>
    <w:rsid w:val="00434587"/>
    <w:rsid w:val="0043714F"/>
    <w:rsid w:val="00437E68"/>
    <w:rsid w:val="004438B5"/>
    <w:rsid w:val="0044453E"/>
    <w:rsid w:val="004450D5"/>
    <w:rsid w:val="00447037"/>
    <w:rsid w:val="0045124D"/>
    <w:rsid w:val="0045221B"/>
    <w:rsid w:val="00452F9E"/>
    <w:rsid w:val="00454596"/>
    <w:rsid w:val="00454877"/>
    <w:rsid w:val="0045605D"/>
    <w:rsid w:val="0046135B"/>
    <w:rsid w:val="00463829"/>
    <w:rsid w:val="00463D27"/>
    <w:rsid w:val="00464B92"/>
    <w:rsid w:val="004711A4"/>
    <w:rsid w:val="004718CC"/>
    <w:rsid w:val="0047376C"/>
    <w:rsid w:val="00481695"/>
    <w:rsid w:val="0048221C"/>
    <w:rsid w:val="00482C14"/>
    <w:rsid w:val="00484BD3"/>
    <w:rsid w:val="00487D53"/>
    <w:rsid w:val="00492413"/>
    <w:rsid w:val="00492FAC"/>
    <w:rsid w:val="00495989"/>
    <w:rsid w:val="004959D8"/>
    <w:rsid w:val="00495A96"/>
    <w:rsid w:val="004A2783"/>
    <w:rsid w:val="004A2A37"/>
    <w:rsid w:val="004A56BB"/>
    <w:rsid w:val="004B1751"/>
    <w:rsid w:val="004B232A"/>
    <w:rsid w:val="004B2C01"/>
    <w:rsid w:val="004B3771"/>
    <w:rsid w:val="004B6A4C"/>
    <w:rsid w:val="004B7003"/>
    <w:rsid w:val="004B7101"/>
    <w:rsid w:val="004C0253"/>
    <w:rsid w:val="004C135C"/>
    <w:rsid w:val="004C2E92"/>
    <w:rsid w:val="004C57D4"/>
    <w:rsid w:val="004C6227"/>
    <w:rsid w:val="004D1145"/>
    <w:rsid w:val="004D1FB6"/>
    <w:rsid w:val="004D56FF"/>
    <w:rsid w:val="004E39D3"/>
    <w:rsid w:val="004E508A"/>
    <w:rsid w:val="004E616D"/>
    <w:rsid w:val="004F1BDE"/>
    <w:rsid w:val="004F2CEE"/>
    <w:rsid w:val="004F4320"/>
    <w:rsid w:val="004F556E"/>
    <w:rsid w:val="004F64B0"/>
    <w:rsid w:val="004F7F44"/>
    <w:rsid w:val="0050097F"/>
    <w:rsid w:val="005011B5"/>
    <w:rsid w:val="005037B4"/>
    <w:rsid w:val="0050485F"/>
    <w:rsid w:val="005079BF"/>
    <w:rsid w:val="005110B0"/>
    <w:rsid w:val="0051579F"/>
    <w:rsid w:val="00516745"/>
    <w:rsid w:val="005174B2"/>
    <w:rsid w:val="00521653"/>
    <w:rsid w:val="005219E7"/>
    <w:rsid w:val="00530287"/>
    <w:rsid w:val="00531B9A"/>
    <w:rsid w:val="00531D15"/>
    <w:rsid w:val="0053497B"/>
    <w:rsid w:val="00537604"/>
    <w:rsid w:val="005403FD"/>
    <w:rsid w:val="00542377"/>
    <w:rsid w:val="00551782"/>
    <w:rsid w:val="00553749"/>
    <w:rsid w:val="00555E3C"/>
    <w:rsid w:val="00556B8C"/>
    <w:rsid w:val="00563EF1"/>
    <w:rsid w:val="00566AB4"/>
    <w:rsid w:val="00566C82"/>
    <w:rsid w:val="00571501"/>
    <w:rsid w:val="00574C63"/>
    <w:rsid w:val="00575AC5"/>
    <w:rsid w:val="0057605D"/>
    <w:rsid w:val="005760D1"/>
    <w:rsid w:val="00581347"/>
    <w:rsid w:val="00581A82"/>
    <w:rsid w:val="00581AC9"/>
    <w:rsid w:val="005849F8"/>
    <w:rsid w:val="005864B4"/>
    <w:rsid w:val="005876B8"/>
    <w:rsid w:val="00590DC4"/>
    <w:rsid w:val="005938DF"/>
    <w:rsid w:val="00594E9C"/>
    <w:rsid w:val="005973D2"/>
    <w:rsid w:val="005A0115"/>
    <w:rsid w:val="005A099B"/>
    <w:rsid w:val="005A24DC"/>
    <w:rsid w:val="005A2D01"/>
    <w:rsid w:val="005A2D9C"/>
    <w:rsid w:val="005A3E81"/>
    <w:rsid w:val="005A51D1"/>
    <w:rsid w:val="005A55FE"/>
    <w:rsid w:val="005A6A11"/>
    <w:rsid w:val="005B069B"/>
    <w:rsid w:val="005B100B"/>
    <w:rsid w:val="005B1C25"/>
    <w:rsid w:val="005B6A8F"/>
    <w:rsid w:val="005B722D"/>
    <w:rsid w:val="005C09B2"/>
    <w:rsid w:val="005C14EE"/>
    <w:rsid w:val="005C2611"/>
    <w:rsid w:val="005C5A4A"/>
    <w:rsid w:val="005C7F4F"/>
    <w:rsid w:val="005D1CF7"/>
    <w:rsid w:val="005D2502"/>
    <w:rsid w:val="005D2F1E"/>
    <w:rsid w:val="005D47F3"/>
    <w:rsid w:val="005D49BF"/>
    <w:rsid w:val="005D5482"/>
    <w:rsid w:val="005D6676"/>
    <w:rsid w:val="005D6F4E"/>
    <w:rsid w:val="005E3ACD"/>
    <w:rsid w:val="005E7226"/>
    <w:rsid w:val="005E7A57"/>
    <w:rsid w:val="005F24B0"/>
    <w:rsid w:val="005F2925"/>
    <w:rsid w:val="006007EF"/>
    <w:rsid w:val="00603113"/>
    <w:rsid w:val="00604315"/>
    <w:rsid w:val="00604E26"/>
    <w:rsid w:val="00604EAB"/>
    <w:rsid w:val="006052CF"/>
    <w:rsid w:val="0060752C"/>
    <w:rsid w:val="00607B8D"/>
    <w:rsid w:val="006100F2"/>
    <w:rsid w:val="00611F5C"/>
    <w:rsid w:val="00614461"/>
    <w:rsid w:val="00616E09"/>
    <w:rsid w:val="0062074A"/>
    <w:rsid w:val="0062227F"/>
    <w:rsid w:val="00622A3B"/>
    <w:rsid w:val="0062396C"/>
    <w:rsid w:val="00623FF9"/>
    <w:rsid w:val="00627D4E"/>
    <w:rsid w:val="00631340"/>
    <w:rsid w:val="00634478"/>
    <w:rsid w:val="00636E26"/>
    <w:rsid w:val="00643CFE"/>
    <w:rsid w:val="00644373"/>
    <w:rsid w:val="006451A2"/>
    <w:rsid w:val="00645915"/>
    <w:rsid w:val="006519C3"/>
    <w:rsid w:val="00652B30"/>
    <w:rsid w:val="00654532"/>
    <w:rsid w:val="00656345"/>
    <w:rsid w:val="00656DC6"/>
    <w:rsid w:val="006616B6"/>
    <w:rsid w:val="0066179B"/>
    <w:rsid w:val="00664110"/>
    <w:rsid w:val="0066476C"/>
    <w:rsid w:val="00664D17"/>
    <w:rsid w:val="006652D8"/>
    <w:rsid w:val="00666520"/>
    <w:rsid w:val="0066795B"/>
    <w:rsid w:val="00667C5B"/>
    <w:rsid w:val="00674F07"/>
    <w:rsid w:val="00684813"/>
    <w:rsid w:val="006865A4"/>
    <w:rsid w:val="006865C2"/>
    <w:rsid w:val="0069181C"/>
    <w:rsid w:val="00692CDE"/>
    <w:rsid w:val="00693073"/>
    <w:rsid w:val="00696723"/>
    <w:rsid w:val="006977FF"/>
    <w:rsid w:val="00697C2D"/>
    <w:rsid w:val="00697E9A"/>
    <w:rsid w:val="006A01FA"/>
    <w:rsid w:val="006A0E9D"/>
    <w:rsid w:val="006A0E9E"/>
    <w:rsid w:val="006A25C7"/>
    <w:rsid w:val="006A3301"/>
    <w:rsid w:val="006A4AAD"/>
    <w:rsid w:val="006A6498"/>
    <w:rsid w:val="006A6DA2"/>
    <w:rsid w:val="006A7844"/>
    <w:rsid w:val="006A7AB2"/>
    <w:rsid w:val="006B5717"/>
    <w:rsid w:val="006B582F"/>
    <w:rsid w:val="006B7B05"/>
    <w:rsid w:val="006C0CEB"/>
    <w:rsid w:val="006C298C"/>
    <w:rsid w:val="006C3B1E"/>
    <w:rsid w:val="006C3EB4"/>
    <w:rsid w:val="006C45FF"/>
    <w:rsid w:val="006C47FD"/>
    <w:rsid w:val="006C70A0"/>
    <w:rsid w:val="006D0771"/>
    <w:rsid w:val="006D12F1"/>
    <w:rsid w:val="006D1CA5"/>
    <w:rsid w:val="006D27CB"/>
    <w:rsid w:val="006D2A68"/>
    <w:rsid w:val="006D2F08"/>
    <w:rsid w:val="006D4320"/>
    <w:rsid w:val="006D4935"/>
    <w:rsid w:val="006D576C"/>
    <w:rsid w:val="006D5865"/>
    <w:rsid w:val="006D6212"/>
    <w:rsid w:val="006E2608"/>
    <w:rsid w:val="006E4B1B"/>
    <w:rsid w:val="006E502B"/>
    <w:rsid w:val="006E5445"/>
    <w:rsid w:val="006E60A9"/>
    <w:rsid w:val="006E7AE6"/>
    <w:rsid w:val="006E7D93"/>
    <w:rsid w:val="006F1BBC"/>
    <w:rsid w:val="006F2D59"/>
    <w:rsid w:val="006F40AF"/>
    <w:rsid w:val="006F55ED"/>
    <w:rsid w:val="006F5FA8"/>
    <w:rsid w:val="006F6A3F"/>
    <w:rsid w:val="006F7D01"/>
    <w:rsid w:val="007029A3"/>
    <w:rsid w:val="00705EC2"/>
    <w:rsid w:val="00706E4E"/>
    <w:rsid w:val="0070791C"/>
    <w:rsid w:val="00712B5E"/>
    <w:rsid w:val="0071383C"/>
    <w:rsid w:val="007141A7"/>
    <w:rsid w:val="00720761"/>
    <w:rsid w:val="00721B55"/>
    <w:rsid w:val="00722309"/>
    <w:rsid w:val="007257AB"/>
    <w:rsid w:val="00726CE4"/>
    <w:rsid w:val="00734143"/>
    <w:rsid w:val="00734B79"/>
    <w:rsid w:val="00735484"/>
    <w:rsid w:val="00737E47"/>
    <w:rsid w:val="00740EAC"/>
    <w:rsid w:val="007447D3"/>
    <w:rsid w:val="00744956"/>
    <w:rsid w:val="00745A5C"/>
    <w:rsid w:val="0074605F"/>
    <w:rsid w:val="0074698F"/>
    <w:rsid w:val="00747E94"/>
    <w:rsid w:val="00762221"/>
    <w:rsid w:val="007639E0"/>
    <w:rsid w:val="0076486B"/>
    <w:rsid w:val="00766749"/>
    <w:rsid w:val="00766927"/>
    <w:rsid w:val="00767C1B"/>
    <w:rsid w:val="007714A9"/>
    <w:rsid w:val="00771E03"/>
    <w:rsid w:val="00774114"/>
    <w:rsid w:val="00774F88"/>
    <w:rsid w:val="00774FDB"/>
    <w:rsid w:val="00776CBE"/>
    <w:rsid w:val="00777BA2"/>
    <w:rsid w:val="0078039B"/>
    <w:rsid w:val="00781408"/>
    <w:rsid w:val="007829CE"/>
    <w:rsid w:val="00784F7F"/>
    <w:rsid w:val="00785F46"/>
    <w:rsid w:val="00787370"/>
    <w:rsid w:val="0079391A"/>
    <w:rsid w:val="007950E7"/>
    <w:rsid w:val="00796F25"/>
    <w:rsid w:val="007A2E98"/>
    <w:rsid w:val="007A3BA3"/>
    <w:rsid w:val="007A6CC0"/>
    <w:rsid w:val="007B1499"/>
    <w:rsid w:val="007B1BBF"/>
    <w:rsid w:val="007B2960"/>
    <w:rsid w:val="007B3516"/>
    <w:rsid w:val="007B355D"/>
    <w:rsid w:val="007B513E"/>
    <w:rsid w:val="007B604C"/>
    <w:rsid w:val="007B6A3C"/>
    <w:rsid w:val="007B7980"/>
    <w:rsid w:val="007C4139"/>
    <w:rsid w:val="007C5D5A"/>
    <w:rsid w:val="007C607F"/>
    <w:rsid w:val="007C79DD"/>
    <w:rsid w:val="007C7AB0"/>
    <w:rsid w:val="007D1A97"/>
    <w:rsid w:val="007D2161"/>
    <w:rsid w:val="007D2CD6"/>
    <w:rsid w:val="007D3063"/>
    <w:rsid w:val="007D3CEB"/>
    <w:rsid w:val="007D5F01"/>
    <w:rsid w:val="007E3EF4"/>
    <w:rsid w:val="007E7147"/>
    <w:rsid w:val="007E7683"/>
    <w:rsid w:val="007F0DA3"/>
    <w:rsid w:val="007F3681"/>
    <w:rsid w:val="007F3722"/>
    <w:rsid w:val="007F45A5"/>
    <w:rsid w:val="007F49FA"/>
    <w:rsid w:val="007F54C4"/>
    <w:rsid w:val="007F6024"/>
    <w:rsid w:val="007F6E9A"/>
    <w:rsid w:val="008019DB"/>
    <w:rsid w:val="00802051"/>
    <w:rsid w:val="008044D4"/>
    <w:rsid w:val="00810AB4"/>
    <w:rsid w:val="008112A1"/>
    <w:rsid w:val="00813A51"/>
    <w:rsid w:val="00814F6D"/>
    <w:rsid w:val="008151F2"/>
    <w:rsid w:val="00816D93"/>
    <w:rsid w:val="00817B56"/>
    <w:rsid w:val="008202A5"/>
    <w:rsid w:val="00821A88"/>
    <w:rsid w:val="0082495D"/>
    <w:rsid w:val="008264FF"/>
    <w:rsid w:val="0082682E"/>
    <w:rsid w:val="00827479"/>
    <w:rsid w:val="00830585"/>
    <w:rsid w:val="00831AC3"/>
    <w:rsid w:val="00832E7B"/>
    <w:rsid w:val="0084054E"/>
    <w:rsid w:val="008419AC"/>
    <w:rsid w:val="008476B4"/>
    <w:rsid w:val="008511C0"/>
    <w:rsid w:val="0085196A"/>
    <w:rsid w:val="00851F3F"/>
    <w:rsid w:val="00853A16"/>
    <w:rsid w:val="00856EDC"/>
    <w:rsid w:val="00857C9C"/>
    <w:rsid w:val="008623B5"/>
    <w:rsid w:val="00863781"/>
    <w:rsid w:val="00864873"/>
    <w:rsid w:val="00865A33"/>
    <w:rsid w:val="00866D5C"/>
    <w:rsid w:val="00870ABA"/>
    <w:rsid w:val="008710E1"/>
    <w:rsid w:val="008716E5"/>
    <w:rsid w:val="00872192"/>
    <w:rsid w:val="00872905"/>
    <w:rsid w:val="00881CA9"/>
    <w:rsid w:val="00883628"/>
    <w:rsid w:val="00884588"/>
    <w:rsid w:val="00885544"/>
    <w:rsid w:val="0088593E"/>
    <w:rsid w:val="00886029"/>
    <w:rsid w:val="008862AF"/>
    <w:rsid w:val="0088634E"/>
    <w:rsid w:val="00890551"/>
    <w:rsid w:val="00891F5A"/>
    <w:rsid w:val="00893AB8"/>
    <w:rsid w:val="00894DF8"/>
    <w:rsid w:val="008961E0"/>
    <w:rsid w:val="008A04C8"/>
    <w:rsid w:val="008A0BA8"/>
    <w:rsid w:val="008A1BE1"/>
    <w:rsid w:val="008A440A"/>
    <w:rsid w:val="008A6913"/>
    <w:rsid w:val="008B2950"/>
    <w:rsid w:val="008B70F3"/>
    <w:rsid w:val="008B76DF"/>
    <w:rsid w:val="008C10F4"/>
    <w:rsid w:val="008D32A7"/>
    <w:rsid w:val="008D5C18"/>
    <w:rsid w:val="008E4767"/>
    <w:rsid w:val="008E71FA"/>
    <w:rsid w:val="008E7A8C"/>
    <w:rsid w:val="008F4608"/>
    <w:rsid w:val="008F47C3"/>
    <w:rsid w:val="00903285"/>
    <w:rsid w:val="00904BCB"/>
    <w:rsid w:val="009051EA"/>
    <w:rsid w:val="00906F40"/>
    <w:rsid w:val="0090731E"/>
    <w:rsid w:val="009151BF"/>
    <w:rsid w:val="00915B1C"/>
    <w:rsid w:val="009174F3"/>
    <w:rsid w:val="0091797D"/>
    <w:rsid w:val="00917B21"/>
    <w:rsid w:val="00923CBA"/>
    <w:rsid w:val="00926703"/>
    <w:rsid w:val="00927691"/>
    <w:rsid w:val="00927A5F"/>
    <w:rsid w:val="00934422"/>
    <w:rsid w:val="00935B63"/>
    <w:rsid w:val="00936907"/>
    <w:rsid w:val="0094078F"/>
    <w:rsid w:val="00940FA3"/>
    <w:rsid w:val="00941815"/>
    <w:rsid w:val="00941D0A"/>
    <w:rsid w:val="00941FB0"/>
    <w:rsid w:val="0094247D"/>
    <w:rsid w:val="009426D4"/>
    <w:rsid w:val="00947F25"/>
    <w:rsid w:val="00950159"/>
    <w:rsid w:val="009543BA"/>
    <w:rsid w:val="0095490B"/>
    <w:rsid w:val="00955AAA"/>
    <w:rsid w:val="00960976"/>
    <w:rsid w:val="00964180"/>
    <w:rsid w:val="00972154"/>
    <w:rsid w:val="00974363"/>
    <w:rsid w:val="00975607"/>
    <w:rsid w:val="00981898"/>
    <w:rsid w:val="00981F5D"/>
    <w:rsid w:val="00983D4B"/>
    <w:rsid w:val="0098664E"/>
    <w:rsid w:val="009910FA"/>
    <w:rsid w:val="009934FE"/>
    <w:rsid w:val="0099577C"/>
    <w:rsid w:val="00996360"/>
    <w:rsid w:val="00997CB2"/>
    <w:rsid w:val="009B0A72"/>
    <w:rsid w:val="009B0ADF"/>
    <w:rsid w:val="009B42C2"/>
    <w:rsid w:val="009B4E9E"/>
    <w:rsid w:val="009B5A1E"/>
    <w:rsid w:val="009B6891"/>
    <w:rsid w:val="009C1690"/>
    <w:rsid w:val="009C2794"/>
    <w:rsid w:val="009C37D5"/>
    <w:rsid w:val="009C47E7"/>
    <w:rsid w:val="009C6881"/>
    <w:rsid w:val="009C6B7B"/>
    <w:rsid w:val="009C7085"/>
    <w:rsid w:val="009C7759"/>
    <w:rsid w:val="009D043D"/>
    <w:rsid w:val="009D35C2"/>
    <w:rsid w:val="009D4CC9"/>
    <w:rsid w:val="009D6C71"/>
    <w:rsid w:val="009D7492"/>
    <w:rsid w:val="009D7FF3"/>
    <w:rsid w:val="009E0631"/>
    <w:rsid w:val="009E06BE"/>
    <w:rsid w:val="009E16D0"/>
    <w:rsid w:val="009E2726"/>
    <w:rsid w:val="009E38FD"/>
    <w:rsid w:val="009E7BBE"/>
    <w:rsid w:val="009F13D6"/>
    <w:rsid w:val="009F366C"/>
    <w:rsid w:val="009F428D"/>
    <w:rsid w:val="009F4C6B"/>
    <w:rsid w:val="009F78A8"/>
    <w:rsid w:val="00A00A3F"/>
    <w:rsid w:val="00A02AD6"/>
    <w:rsid w:val="00A063A5"/>
    <w:rsid w:val="00A07096"/>
    <w:rsid w:val="00A07318"/>
    <w:rsid w:val="00A11370"/>
    <w:rsid w:val="00A14571"/>
    <w:rsid w:val="00A16113"/>
    <w:rsid w:val="00A201FD"/>
    <w:rsid w:val="00A224CE"/>
    <w:rsid w:val="00A22522"/>
    <w:rsid w:val="00A23ACE"/>
    <w:rsid w:val="00A24AFD"/>
    <w:rsid w:val="00A24E97"/>
    <w:rsid w:val="00A24F5C"/>
    <w:rsid w:val="00A277D2"/>
    <w:rsid w:val="00A31785"/>
    <w:rsid w:val="00A319A2"/>
    <w:rsid w:val="00A32F96"/>
    <w:rsid w:val="00A36A54"/>
    <w:rsid w:val="00A40871"/>
    <w:rsid w:val="00A40FE0"/>
    <w:rsid w:val="00A412AB"/>
    <w:rsid w:val="00A412C1"/>
    <w:rsid w:val="00A4193E"/>
    <w:rsid w:val="00A440E0"/>
    <w:rsid w:val="00A4647A"/>
    <w:rsid w:val="00A4665C"/>
    <w:rsid w:val="00A51C2F"/>
    <w:rsid w:val="00A5418D"/>
    <w:rsid w:val="00A5474E"/>
    <w:rsid w:val="00A55E55"/>
    <w:rsid w:val="00A560CF"/>
    <w:rsid w:val="00A56166"/>
    <w:rsid w:val="00A61258"/>
    <w:rsid w:val="00A705A1"/>
    <w:rsid w:val="00A70ADF"/>
    <w:rsid w:val="00A71466"/>
    <w:rsid w:val="00A74032"/>
    <w:rsid w:val="00A74B5E"/>
    <w:rsid w:val="00A76965"/>
    <w:rsid w:val="00A81BED"/>
    <w:rsid w:val="00A81EC4"/>
    <w:rsid w:val="00A854CD"/>
    <w:rsid w:val="00A90A71"/>
    <w:rsid w:val="00A90C5E"/>
    <w:rsid w:val="00A914FB"/>
    <w:rsid w:val="00A91E11"/>
    <w:rsid w:val="00A95839"/>
    <w:rsid w:val="00A95D14"/>
    <w:rsid w:val="00A967FD"/>
    <w:rsid w:val="00AA2550"/>
    <w:rsid w:val="00AB156C"/>
    <w:rsid w:val="00AB3B91"/>
    <w:rsid w:val="00AB483A"/>
    <w:rsid w:val="00AB6814"/>
    <w:rsid w:val="00AC04BA"/>
    <w:rsid w:val="00AC0E39"/>
    <w:rsid w:val="00AC1E16"/>
    <w:rsid w:val="00AC6BC3"/>
    <w:rsid w:val="00AD3082"/>
    <w:rsid w:val="00AD3C75"/>
    <w:rsid w:val="00AD473E"/>
    <w:rsid w:val="00AD4AD0"/>
    <w:rsid w:val="00AD5232"/>
    <w:rsid w:val="00AD5436"/>
    <w:rsid w:val="00AD60CD"/>
    <w:rsid w:val="00AD65BD"/>
    <w:rsid w:val="00AD6C8C"/>
    <w:rsid w:val="00AD7451"/>
    <w:rsid w:val="00AE091D"/>
    <w:rsid w:val="00AE0D48"/>
    <w:rsid w:val="00AE0E32"/>
    <w:rsid w:val="00AE3267"/>
    <w:rsid w:val="00AE3B60"/>
    <w:rsid w:val="00AE4A45"/>
    <w:rsid w:val="00AE53A1"/>
    <w:rsid w:val="00AF2484"/>
    <w:rsid w:val="00AF63E7"/>
    <w:rsid w:val="00AF6582"/>
    <w:rsid w:val="00B0165D"/>
    <w:rsid w:val="00B031F3"/>
    <w:rsid w:val="00B052A4"/>
    <w:rsid w:val="00B05484"/>
    <w:rsid w:val="00B125DE"/>
    <w:rsid w:val="00B13DD7"/>
    <w:rsid w:val="00B13FDD"/>
    <w:rsid w:val="00B13FEA"/>
    <w:rsid w:val="00B161CC"/>
    <w:rsid w:val="00B20861"/>
    <w:rsid w:val="00B20B0F"/>
    <w:rsid w:val="00B22EB2"/>
    <w:rsid w:val="00B23097"/>
    <w:rsid w:val="00B24292"/>
    <w:rsid w:val="00B2588A"/>
    <w:rsid w:val="00B26EB0"/>
    <w:rsid w:val="00B27442"/>
    <w:rsid w:val="00B27EA5"/>
    <w:rsid w:val="00B31167"/>
    <w:rsid w:val="00B329D8"/>
    <w:rsid w:val="00B32BB9"/>
    <w:rsid w:val="00B33AE1"/>
    <w:rsid w:val="00B37C38"/>
    <w:rsid w:val="00B40C21"/>
    <w:rsid w:val="00B4288C"/>
    <w:rsid w:val="00B43262"/>
    <w:rsid w:val="00B44100"/>
    <w:rsid w:val="00B44614"/>
    <w:rsid w:val="00B448A6"/>
    <w:rsid w:val="00B46CBA"/>
    <w:rsid w:val="00B46F94"/>
    <w:rsid w:val="00B5260C"/>
    <w:rsid w:val="00B56C32"/>
    <w:rsid w:val="00B60145"/>
    <w:rsid w:val="00B60F6A"/>
    <w:rsid w:val="00B61F03"/>
    <w:rsid w:val="00B626E4"/>
    <w:rsid w:val="00B72F4A"/>
    <w:rsid w:val="00B7323B"/>
    <w:rsid w:val="00B774E1"/>
    <w:rsid w:val="00B837BD"/>
    <w:rsid w:val="00B83C27"/>
    <w:rsid w:val="00B847E5"/>
    <w:rsid w:val="00B84BC3"/>
    <w:rsid w:val="00B84BDD"/>
    <w:rsid w:val="00B90201"/>
    <w:rsid w:val="00B92281"/>
    <w:rsid w:val="00B92812"/>
    <w:rsid w:val="00B92EC1"/>
    <w:rsid w:val="00B96551"/>
    <w:rsid w:val="00BA1C60"/>
    <w:rsid w:val="00BA30E8"/>
    <w:rsid w:val="00BA578C"/>
    <w:rsid w:val="00BB0542"/>
    <w:rsid w:val="00BB45A1"/>
    <w:rsid w:val="00BB6546"/>
    <w:rsid w:val="00BB7686"/>
    <w:rsid w:val="00BB7E68"/>
    <w:rsid w:val="00BC1D43"/>
    <w:rsid w:val="00BC23F9"/>
    <w:rsid w:val="00BC3421"/>
    <w:rsid w:val="00BC732C"/>
    <w:rsid w:val="00BD714A"/>
    <w:rsid w:val="00BE2580"/>
    <w:rsid w:val="00BE266D"/>
    <w:rsid w:val="00BE3938"/>
    <w:rsid w:val="00BE4C11"/>
    <w:rsid w:val="00BE5857"/>
    <w:rsid w:val="00BE67C4"/>
    <w:rsid w:val="00BE6CD2"/>
    <w:rsid w:val="00BE71C0"/>
    <w:rsid w:val="00BF22EF"/>
    <w:rsid w:val="00BF2960"/>
    <w:rsid w:val="00BF29CF"/>
    <w:rsid w:val="00BF610C"/>
    <w:rsid w:val="00C0060B"/>
    <w:rsid w:val="00C0096D"/>
    <w:rsid w:val="00C0277D"/>
    <w:rsid w:val="00C046FF"/>
    <w:rsid w:val="00C053A1"/>
    <w:rsid w:val="00C068A5"/>
    <w:rsid w:val="00C15177"/>
    <w:rsid w:val="00C16198"/>
    <w:rsid w:val="00C2083D"/>
    <w:rsid w:val="00C20980"/>
    <w:rsid w:val="00C23949"/>
    <w:rsid w:val="00C24A53"/>
    <w:rsid w:val="00C31B02"/>
    <w:rsid w:val="00C3313C"/>
    <w:rsid w:val="00C4032F"/>
    <w:rsid w:val="00C4193B"/>
    <w:rsid w:val="00C42473"/>
    <w:rsid w:val="00C44047"/>
    <w:rsid w:val="00C45155"/>
    <w:rsid w:val="00C46819"/>
    <w:rsid w:val="00C5055B"/>
    <w:rsid w:val="00C514D8"/>
    <w:rsid w:val="00C52E78"/>
    <w:rsid w:val="00C5498F"/>
    <w:rsid w:val="00C55235"/>
    <w:rsid w:val="00C6129E"/>
    <w:rsid w:val="00C6145F"/>
    <w:rsid w:val="00C62E09"/>
    <w:rsid w:val="00C64CD0"/>
    <w:rsid w:val="00C65FE5"/>
    <w:rsid w:val="00C6684F"/>
    <w:rsid w:val="00C66AB3"/>
    <w:rsid w:val="00C709F5"/>
    <w:rsid w:val="00C70E70"/>
    <w:rsid w:val="00C71A44"/>
    <w:rsid w:val="00C74338"/>
    <w:rsid w:val="00C74E4D"/>
    <w:rsid w:val="00C75F8D"/>
    <w:rsid w:val="00C77380"/>
    <w:rsid w:val="00C80CAC"/>
    <w:rsid w:val="00C8146C"/>
    <w:rsid w:val="00C82207"/>
    <w:rsid w:val="00C829E7"/>
    <w:rsid w:val="00C8638E"/>
    <w:rsid w:val="00C91DE8"/>
    <w:rsid w:val="00C95668"/>
    <w:rsid w:val="00C95C45"/>
    <w:rsid w:val="00C97260"/>
    <w:rsid w:val="00C97736"/>
    <w:rsid w:val="00CA1E93"/>
    <w:rsid w:val="00CA345A"/>
    <w:rsid w:val="00CA37B3"/>
    <w:rsid w:val="00CA4DC5"/>
    <w:rsid w:val="00CA66CF"/>
    <w:rsid w:val="00CA773A"/>
    <w:rsid w:val="00CA7E97"/>
    <w:rsid w:val="00CB0128"/>
    <w:rsid w:val="00CB1E82"/>
    <w:rsid w:val="00CB2F60"/>
    <w:rsid w:val="00CB319F"/>
    <w:rsid w:val="00CB4BA8"/>
    <w:rsid w:val="00CB52D7"/>
    <w:rsid w:val="00CC23B2"/>
    <w:rsid w:val="00CC6732"/>
    <w:rsid w:val="00CC6856"/>
    <w:rsid w:val="00CD0CFD"/>
    <w:rsid w:val="00CD12D5"/>
    <w:rsid w:val="00CD2BE5"/>
    <w:rsid w:val="00CE3C96"/>
    <w:rsid w:val="00CE51A8"/>
    <w:rsid w:val="00CE67C4"/>
    <w:rsid w:val="00CF369B"/>
    <w:rsid w:val="00D00E28"/>
    <w:rsid w:val="00D01219"/>
    <w:rsid w:val="00D0265E"/>
    <w:rsid w:val="00D0269E"/>
    <w:rsid w:val="00D033CA"/>
    <w:rsid w:val="00D143BD"/>
    <w:rsid w:val="00D15810"/>
    <w:rsid w:val="00D168BB"/>
    <w:rsid w:val="00D16D4E"/>
    <w:rsid w:val="00D16FE3"/>
    <w:rsid w:val="00D17ACF"/>
    <w:rsid w:val="00D17D5D"/>
    <w:rsid w:val="00D22473"/>
    <w:rsid w:val="00D2310E"/>
    <w:rsid w:val="00D2431A"/>
    <w:rsid w:val="00D2650C"/>
    <w:rsid w:val="00D27F41"/>
    <w:rsid w:val="00D32A6E"/>
    <w:rsid w:val="00D34B0C"/>
    <w:rsid w:val="00D36441"/>
    <w:rsid w:val="00D4064E"/>
    <w:rsid w:val="00D417F7"/>
    <w:rsid w:val="00D41B58"/>
    <w:rsid w:val="00D44E9B"/>
    <w:rsid w:val="00D4510C"/>
    <w:rsid w:val="00D45459"/>
    <w:rsid w:val="00D50DB9"/>
    <w:rsid w:val="00D52C43"/>
    <w:rsid w:val="00D53EDF"/>
    <w:rsid w:val="00D64542"/>
    <w:rsid w:val="00D6507F"/>
    <w:rsid w:val="00D65686"/>
    <w:rsid w:val="00D70691"/>
    <w:rsid w:val="00D706BB"/>
    <w:rsid w:val="00D722FD"/>
    <w:rsid w:val="00D725AA"/>
    <w:rsid w:val="00D730BC"/>
    <w:rsid w:val="00D733BB"/>
    <w:rsid w:val="00D73912"/>
    <w:rsid w:val="00D746D2"/>
    <w:rsid w:val="00D8107B"/>
    <w:rsid w:val="00D82F23"/>
    <w:rsid w:val="00D85226"/>
    <w:rsid w:val="00D87B94"/>
    <w:rsid w:val="00D92D49"/>
    <w:rsid w:val="00D92EC1"/>
    <w:rsid w:val="00D93496"/>
    <w:rsid w:val="00D96DEA"/>
    <w:rsid w:val="00DA0727"/>
    <w:rsid w:val="00DA4E41"/>
    <w:rsid w:val="00DA6096"/>
    <w:rsid w:val="00DA7C51"/>
    <w:rsid w:val="00DB117A"/>
    <w:rsid w:val="00DB1F23"/>
    <w:rsid w:val="00DB2F8A"/>
    <w:rsid w:val="00DB5173"/>
    <w:rsid w:val="00DB5436"/>
    <w:rsid w:val="00DB64A4"/>
    <w:rsid w:val="00DB7873"/>
    <w:rsid w:val="00DC187B"/>
    <w:rsid w:val="00DC4A87"/>
    <w:rsid w:val="00DD1258"/>
    <w:rsid w:val="00DD1EC9"/>
    <w:rsid w:val="00DD415E"/>
    <w:rsid w:val="00DD53EF"/>
    <w:rsid w:val="00DD73C2"/>
    <w:rsid w:val="00DD7737"/>
    <w:rsid w:val="00DE050D"/>
    <w:rsid w:val="00DE1FE3"/>
    <w:rsid w:val="00DE319B"/>
    <w:rsid w:val="00DE3CCF"/>
    <w:rsid w:val="00DF240A"/>
    <w:rsid w:val="00DF34FE"/>
    <w:rsid w:val="00DF4D1C"/>
    <w:rsid w:val="00DF56AA"/>
    <w:rsid w:val="00DF5E71"/>
    <w:rsid w:val="00DF78E7"/>
    <w:rsid w:val="00E023B4"/>
    <w:rsid w:val="00E034E4"/>
    <w:rsid w:val="00E07BC7"/>
    <w:rsid w:val="00E110E0"/>
    <w:rsid w:val="00E15371"/>
    <w:rsid w:val="00E15F21"/>
    <w:rsid w:val="00E22C14"/>
    <w:rsid w:val="00E22CB0"/>
    <w:rsid w:val="00E24104"/>
    <w:rsid w:val="00E276A0"/>
    <w:rsid w:val="00E32527"/>
    <w:rsid w:val="00E35707"/>
    <w:rsid w:val="00E36AA1"/>
    <w:rsid w:val="00E41ECB"/>
    <w:rsid w:val="00E45989"/>
    <w:rsid w:val="00E50486"/>
    <w:rsid w:val="00E50CF9"/>
    <w:rsid w:val="00E5392C"/>
    <w:rsid w:val="00E53CB6"/>
    <w:rsid w:val="00E54FDB"/>
    <w:rsid w:val="00E5617D"/>
    <w:rsid w:val="00E563D7"/>
    <w:rsid w:val="00E57189"/>
    <w:rsid w:val="00E57430"/>
    <w:rsid w:val="00E60E89"/>
    <w:rsid w:val="00E651CA"/>
    <w:rsid w:val="00E663F4"/>
    <w:rsid w:val="00E666F2"/>
    <w:rsid w:val="00E66DD4"/>
    <w:rsid w:val="00E67A00"/>
    <w:rsid w:val="00E710AC"/>
    <w:rsid w:val="00E748CC"/>
    <w:rsid w:val="00E75300"/>
    <w:rsid w:val="00E75415"/>
    <w:rsid w:val="00E768FD"/>
    <w:rsid w:val="00E77222"/>
    <w:rsid w:val="00E775B1"/>
    <w:rsid w:val="00E778E1"/>
    <w:rsid w:val="00E8152A"/>
    <w:rsid w:val="00E8376D"/>
    <w:rsid w:val="00E90F93"/>
    <w:rsid w:val="00E91533"/>
    <w:rsid w:val="00E930FB"/>
    <w:rsid w:val="00E93629"/>
    <w:rsid w:val="00E93B5C"/>
    <w:rsid w:val="00E94CEC"/>
    <w:rsid w:val="00E9525B"/>
    <w:rsid w:val="00E9604F"/>
    <w:rsid w:val="00EA04EF"/>
    <w:rsid w:val="00EA106D"/>
    <w:rsid w:val="00EA6313"/>
    <w:rsid w:val="00EA66A6"/>
    <w:rsid w:val="00EA6F19"/>
    <w:rsid w:val="00EB2A99"/>
    <w:rsid w:val="00EB51F5"/>
    <w:rsid w:val="00EB7090"/>
    <w:rsid w:val="00EC1BBE"/>
    <w:rsid w:val="00EC2EC4"/>
    <w:rsid w:val="00EC3773"/>
    <w:rsid w:val="00EC4C14"/>
    <w:rsid w:val="00EC548D"/>
    <w:rsid w:val="00EC57C1"/>
    <w:rsid w:val="00EC57F9"/>
    <w:rsid w:val="00EC5CD7"/>
    <w:rsid w:val="00ED1DC4"/>
    <w:rsid w:val="00ED4D86"/>
    <w:rsid w:val="00ED636D"/>
    <w:rsid w:val="00ED6F08"/>
    <w:rsid w:val="00EE3B19"/>
    <w:rsid w:val="00EE5F2B"/>
    <w:rsid w:val="00EE5FB3"/>
    <w:rsid w:val="00EE7F79"/>
    <w:rsid w:val="00EF06D8"/>
    <w:rsid w:val="00EF28CF"/>
    <w:rsid w:val="00EF715A"/>
    <w:rsid w:val="00EF7ECB"/>
    <w:rsid w:val="00F015D7"/>
    <w:rsid w:val="00F032B8"/>
    <w:rsid w:val="00F03801"/>
    <w:rsid w:val="00F03A4F"/>
    <w:rsid w:val="00F06CE1"/>
    <w:rsid w:val="00F06E14"/>
    <w:rsid w:val="00F07495"/>
    <w:rsid w:val="00F07ABA"/>
    <w:rsid w:val="00F10547"/>
    <w:rsid w:val="00F12D99"/>
    <w:rsid w:val="00F12E56"/>
    <w:rsid w:val="00F164CA"/>
    <w:rsid w:val="00F1720F"/>
    <w:rsid w:val="00F175B8"/>
    <w:rsid w:val="00F17984"/>
    <w:rsid w:val="00F179D4"/>
    <w:rsid w:val="00F234EF"/>
    <w:rsid w:val="00F23737"/>
    <w:rsid w:val="00F23AE5"/>
    <w:rsid w:val="00F26503"/>
    <w:rsid w:val="00F30E5C"/>
    <w:rsid w:val="00F33C56"/>
    <w:rsid w:val="00F347C7"/>
    <w:rsid w:val="00F34848"/>
    <w:rsid w:val="00F3773D"/>
    <w:rsid w:val="00F42D46"/>
    <w:rsid w:val="00F4496C"/>
    <w:rsid w:val="00F44F3A"/>
    <w:rsid w:val="00F46A9B"/>
    <w:rsid w:val="00F46DEC"/>
    <w:rsid w:val="00F51CF4"/>
    <w:rsid w:val="00F51F10"/>
    <w:rsid w:val="00F529A5"/>
    <w:rsid w:val="00F56BE9"/>
    <w:rsid w:val="00F60F00"/>
    <w:rsid w:val="00F614C0"/>
    <w:rsid w:val="00F71F86"/>
    <w:rsid w:val="00F7628C"/>
    <w:rsid w:val="00F80CFC"/>
    <w:rsid w:val="00F815C7"/>
    <w:rsid w:val="00F81AEA"/>
    <w:rsid w:val="00F83848"/>
    <w:rsid w:val="00F845DC"/>
    <w:rsid w:val="00F943DE"/>
    <w:rsid w:val="00F975E9"/>
    <w:rsid w:val="00FA1B7D"/>
    <w:rsid w:val="00FA546B"/>
    <w:rsid w:val="00FA73B9"/>
    <w:rsid w:val="00FA7A6F"/>
    <w:rsid w:val="00FB179F"/>
    <w:rsid w:val="00FB504C"/>
    <w:rsid w:val="00FB7548"/>
    <w:rsid w:val="00FC0348"/>
    <w:rsid w:val="00FC07B9"/>
    <w:rsid w:val="00FC413E"/>
    <w:rsid w:val="00FC4E21"/>
    <w:rsid w:val="00FC59C3"/>
    <w:rsid w:val="00FC5F6D"/>
    <w:rsid w:val="00FD2C2F"/>
    <w:rsid w:val="00FD3B31"/>
    <w:rsid w:val="00FD3CCA"/>
    <w:rsid w:val="00FD4256"/>
    <w:rsid w:val="00FD577F"/>
    <w:rsid w:val="00FD6085"/>
    <w:rsid w:val="00FD6975"/>
    <w:rsid w:val="00FD6EB9"/>
    <w:rsid w:val="00FE1823"/>
    <w:rsid w:val="00FE487A"/>
    <w:rsid w:val="00FE68DF"/>
    <w:rsid w:val="00FE7FD0"/>
    <w:rsid w:val="00FF0569"/>
    <w:rsid w:val="00FF206E"/>
    <w:rsid w:val="00FF3A7C"/>
    <w:rsid w:val="00FF3C69"/>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colormru v:ext="edit" colors="red,#4d4d4f"/>
    </o:shapedefaults>
    <o:shapelayout v:ext="edit">
      <o:idmap v:ext="edit" data="1"/>
    </o:shapelayout>
  </w:shapeDefaults>
  <w:decimalSymbol w:val="."/>
  <w:listSeparator w:val=","/>
  <w14:docId w14:val="4BFFE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AU" w:eastAsia="en-AU" w:bidi="ar-SA"/>
      </w:rPr>
    </w:rPrDefault>
    <w:pPrDefault>
      <w:pPr>
        <w:spacing w:line="240" w:lineRule="atLeast"/>
      </w:pPr>
    </w:pPrDefault>
  </w:docDefaults>
  <w:latentStyles w:defLockedState="0" w:defUIPriority="0" w:defSemiHidden="0" w:defUnhideWhenUsed="0" w:defQFormat="0" w:count="371">
    <w:lsdException w:name="Normal" w:qFormat="1"/>
    <w:lsdException w:name="heading 2" w:qFormat="1"/>
    <w:lsdException w:name="heading 3"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222"/>
    <w:pPr>
      <w:spacing w:after="240"/>
    </w:pPr>
    <w:rPr>
      <w:szCs w:val="24"/>
    </w:rPr>
  </w:style>
  <w:style w:type="paragraph" w:styleId="Heading1">
    <w:name w:val="heading 1"/>
    <w:basedOn w:val="Normal"/>
    <w:next w:val="Normal"/>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Normal"/>
    <w:qFormat/>
    <w:rsid w:val="00C55235"/>
    <w:pPr>
      <w:keepNext/>
      <w:spacing w:before="320" w:after="60"/>
      <w:outlineLvl w:val="1"/>
    </w:pPr>
    <w:rPr>
      <w:rFonts w:cs="Arial"/>
      <w:b/>
      <w:bCs/>
      <w:iCs/>
      <w:sz w:val="28"/>
      <w:szCs w:val="28"/>
    </w:rPr>
  </w:style>
  <w:style w:type="paragraph" w:styleId="Heading3">
    <w:name w:val="heading 3"/>
    <w:basedOn w:val="Normal"/>
    <w:next w:val="Normal"/>
    <w:qFormat/>
    <w:rsid w:val="00C55235"/>
    <w:pPr>
      <w:keepNext/>
      <w:spacing w:before="60" w:after="60"/>
      <w:outlineLvl w:val="2"/>
    </w:pPr>
    <w:rPr>
      <w:rFonts w:cs="Arial"/>
      <w:b/>
      <w:bCs/>
      <w:szCs w:val="26"/>
    </w:rPr>
  </w:style>
  <w:style w:type="paragraph" w:styleId="Heading4">
    <w:name w:val="heading 4"/>
    <w:basedOn w:val="Normal"/>
    <w:next w:val="Normal"/>
    <w:semiHidden/>
    <w:qFormat/>
    <w:rsid w:val="00AD5436"/>
    <w:pPr>
      <w:keepNext/>
      <w:numPr>
        <w:ilvl w:val="3"/>
        <w:numId w:val="5"/>
      </w:numPr>
      <w:spacing w:before="240" w:after="60"/>
      <w:outlineLvl w:val="3"/>
    </w:pPr>
    <w:rPr>
      <w:rFonts w:ascii="Times New Roman" w:hAnsi="Times New Roman"/>
      <w:b/>
      <w:bCs/>
      <w:sz w:val="28"/>
      <w:szCs w:val="28"/>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0791C"/>
    <w:pPr>
      <w:tabs>
        <w:tab w:val="center" w:pos="4153"/>
        <w:tab w:val="right" w:pos="8306"/>
      </w:tabs>
      <w:spacing w:line="240" w:lineRule="auto"/>
    </w:pPr>
    <w:rPr>
      <w:sz w:val="16"/>
    </w:rPr>
  </w:style>
  <w:style w:type="paragraph" w:styleId="Footer">
    <w:name w:val="footer"/>
    <w:basedOn w:val="Normal"/>
    <w:link w:val="FooterChar"/>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rsid w:val="0094078F"/>
    <w:rPr>
      <w:rFonts w:ascii="Arial" w:hAnsi="Arial"/>
      <w:color w:val="323232"/>
      <w:sz w:val="16"/>
    </w:rPr>
  </w:style>
  <w:style w:type="paragraph" w:customStyle="1" w:styleId="ACMAReportTitle">
    <w:name w:val="ACMA_ReportTitle"/>
    <w:basedOn w:val="Normal"/>
    <w:qFormat/>
    <w:rsid w:val="00246093"/>
    <w:pPr>
      <w:spacing w:line="560" w:lineRule="exact"/>
    </w:pPr>
    <w:rPr>
      <w:b/>
      <w:spacing w:val="-28"/>
      <w:sz w:val="53"/>
    </w:rPr>
  </w:style>
  <w:style w:type="paragraph" w:customStyle="1" w:styleId="ACMAReportSubTitle">
    <w:name w:val="ACMA_ReportSubTitle"/>
    <w:basedOn w:val="Normal"/>
    <w:qFormat/>
    <w:rsid w:val="00950159"/>
    <w:pPr>
      <w:spacing w:after="200" w:line="560" w:lineRule="exact"/>
    </w:pPr>
    <w:rPr>
      <w:color w:val="323232"/>
      <w:spacing w:val="-28"/>
      <w:sz w:val="53"/>
    </w:rPr>
  </w:style>
  <w:style w:type="table" w:styleId="TableGrid">
    <w:name w:val="Table Grid"/>
    <w:basedOn w:val="TableNormal"/>
    <w:uiPriority w:val="59"/>
    <w:rsid w:val="002268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MAReportDate">
    <w:name w:val="ACMA_ReportDate"/>
    <w:basedOn w:val="ACMAReportSubTitle"/>
    <w:qFormat/>
    <w:rsid w:val="00950159"/>
    <w:pPr>
      <w:spacing w:after="1200" w:line="240" w:lineRule="auto"/>
    </w:pPr>
    <w:rPr>
      <w:caps/>
      <w:spacing w:val="-10"/>
      <w:sz w:val="20"/>
    </w:rPr>
  </w:style>
  <w:style w:type="paragraph" w:customStyle="1" w:styleId="TableHeading">
    <w:name w:val="Table Heading"/>
    <w:basedOn w:val="Normal"/>
    <w:qFormat/>
    <w:rsid w:val="003A1729"/>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qFormat/>
    <w:rsid w:val="00950159"/>
    <w:pPr>
      <w:spacing w:before="1200" w:line="240" w:lineRule="auto"/>
    </w:pPr>
    <w:rPr>
      <w:b/>
      <w:color w:val="323232"/>
      <w:spacing w:val="-28"/>
      <w:sz w:val="53"/>
    </w:rPr>
  </w:style>
  <w:style w:type="paragraph" w:styleId="Caption">
    <w:name w:val="caption"/>
    <w:aliases w:val="Caption table"/>
    <w:basedOn w:val="Normal"/>
    <w:next w:val="Normal"/>
    <w:qFormat/>
    <w:rsid w:val="00E8152A"/>
    <w:pPr>
      <w:numPr>
        <w:numId w:val="9"/>
      </w:numPr>
    </w:pPr>
    <w:rPr>
      <w:b/>
      <w:bCs/>
      <w:color w:val="323232"/>
    </w:rPr>
  </w:style>
  <w:style w:type="paragraph" w:customStyle="1" w:styleId="BodySubHeader">
    <w:name w:val="BodySubHeader"/>
    <w:basedOn w:val="Normal"/>
    <w:next w:val="Normal"/>
    <w:qFormat/>
    <w:rsid w:val="003A1729"/>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qFormat/>
    <w:rsid w:val="001C6AEE"/>
    <w:pPr>
      <w:numPr>
        <w:numId w:val="2"/>
      </w:numPr>
      <w:spacing w:after="80"/>
    </w:pPr>
  </w:style>
  <w:style w:type="paragraph" w:styleId="ListNumber">
    <w:name w:val="List Number"/>
    <w:basedOn w:val="Normal"/>
    <w:qFormat/>
    <w:rsid w:val="00C24A53"/>
    <w:pPr>
      <w:numPr>
        <w:numId w:val="3"/>
      </w:numPr>
      <w:spacing w:after="80"/>
    </w:pPr>
  </w:style>
  <w:style w:type="paragraph" w:styleId="ListNumber2">
    <w:name w:val="List Number 2"/>
    <w:basedOn w:val="Normal"/>
    <w:qFormat/>
    <w:rsid w:val="00247C59"/>
    <w:pPr>
      <w:numPr>
        <w:numId w:val="4"/>
      </w:numPr>
      <w:spacing w:after="80"/>
      <w:ind w:left="845" w:hanging="544"/>
    </w:pPr>
  </w:style>
  <w:style w:type="paragraph" w:customStyle="1" w:styleId="URLEmail">
    <w:name w:val="URL/Email"/>
    <w:basedOn w:val="Normal"/>
    <w:semiHidden/>
    <w:rsid w:val="00302480"/>
    <w:rPr>
      <w:color w:val="4D4D4F"/>
      <w:spacing w:val="4"/>
    </w:rPr>
  </w:style>
  <w:style w:type="paragraph" w:customStyle="1" w:styleId="ACMAExecSummaryHeading">
    <w:name w:val="ACMA_ExecSummaryHeading"/>
    <w:basedOn w:val="Normal"/>
    <w:qFormat/>
    <w:rsid w:val="00950159"/>
    <w:pPr>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BalloonText">
    <w:name w:val="Balloon Text"/>
    <w:basedOn w:val="Normal"/>
    <w:link w:val="BalloonTextChar"/>
    <w:semiHidden/>
    <w:rsid w:val="009F4C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A6DA2"/>
    <w:rPr>
      <w:rFonts w:ascii="Tahoma" w:hAnsi="Tahoma" w:cs="Tahoma"/>
      <w:sz w:val="16"/>
      <w:szCs w:val="16"/>
    </w:r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3A5F5B"/>
    <w:rPr>
      <w:color w:val="0000FF"/>
      <w:u w:val="single"/>
    </w:rPr>
  </w:style>
  <w:style w:type="character" w:styleId="FootnoteReference">
    <w:name w:val="footnote reference"/>
    <w:basedOn w:val="DefaultParagraphFont"/>
    <w:uiPriority w:val="99"/>
    <w:semiHidden/>
    <w:rsid w:val="00566AB4"/>
    <w:rPr>
      <w:rFonts w:ascii="Arial" w:hAnsi="Arial"/>
      <w:vertAlign w:val="superscript"/>
    </w:rPr>
  </w:style>
  <w:style w:type="paragraph" w:styleId="FootnoteText">
    <w:name w:val="footnote text"/>
    <w:aliases w:val="ACMA Footnote Text"/>
    <w:basedOn w:val="Normal"/>
    <w:link w:val="FootnoteTextChar"/>
    <w:uiPriority w:val="99"/>
    <w:rsid w:val="00566AB4"/>
    <w:rPr>
      <w:sz w:val="16"/>
      <w:szCs w:val="16"/>
    </w:rPr>
  </w:style>
  <w:style w:type="paragraph" w:customStyle="1" w:styleId="TableBody">
    <w:name w:val="Table Body"/>
    <w:basedOn w:val="Normal"/>
    <w:qFormat/>
    <w:rsid w:val="003A1729"/>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semiHidden/>
    <w:rsid w:val="00EE7F79"/>
    <w:pPr>
      <w:spacing w:line="240" w:lineRule="auto"/>
    </w:pPr>
  </w:style>
  <w:style w:type="character" w:customStyle="1" w:styleId="CommentTextChar">
    <w:name w:val="Comment Text Char"/>
    <w:basedOn w:val="DefaultParagraphFont"/>
    <w:link w:val="CommentText"/>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character" w:styleId="Strong">
    <w:name w:val="Strong"/>
    <w:basedOn w:val="DefaultParagraphFont"/>
    <w:semiHidden/>
    <w:qFormat/>
    <w:rsid w:val="0005011A"/>
    <w:rPr>
      <w:b/>
      <w:bCs/>
    </w:rPr>
  </w:style>
  <w:style w:type="paragraph" w:customStyle="1" w:styleId="ACMACorporateAddressHeader">
    <w:name w:val="ACMA_CorporateAddressHeader"/>
    <w:basedOn w:val="Normal"/>
    <w:next w:val="ACMACorporateAddresses"/>
    <w:qFormat/>
    <w:rsid w:val="003A1729"/>
    <w:pPr>
      <w:tabs>
        <w:tab w:val="left" w:pos="142"/>
      </w:tabs>
      <w:spacing w:before="240" w:after="0" w:line="140" w:lineRule="exact"/>
    </w:pPr>
    <w:rPr>
      <w:b/>
      <w:sz w:val="13"/>
    </w:rPr>
  </w:style>
  <w:style w:type="paragraph" w:customStyle="1" w:styleId="ACMACorporateAddresses">
    <w:name w:val="ACMA_CorporateAddresses"/>
    <w:basedOn w:val="ACMACorporateAddressHeader"/>
    <w:qFormat/>
    <w:rsid w:val="003A1729"/>
    <w:pPr>
      <w:spacing w:before="0" w:after="120"/>
    </w:pPr>
    <w:rPr>
      <w:b w:val="0"/>
    </w:rPr>
  </w:style>
  <w:style w:type="paragraph" w:customStyle="1" w:styleId="ACMACopyrightHeader">
    <w:name w:val="ACMA_CopyrightHeader"/>
    <w:basedOn w:val="ACMACorporateAddressHeader"/>
    <w:qFormat/>
    <w:rsid w:val="00950159"/>
    <w:pPr>
      <w:spacing w:before="3000"/>
    </w:pPr>
  </w:style>
  <w:style w:type="paragraph" w:customStyle="1" w:styleId="ACMACClogo">
    <w:name w:val="ACMA_CClogo"/>
    <w:qFormat/>
    <w:rsid w:val="00623FF9"/>
    <w:pPr>
      <w:spacing w:before="160" w:after="120"/>
    </w:pPr>
    <w:rPr>
      <w:b/>
      <w:sz w:val="13"/>
    </w:rPr>
  </w:style>
  <w:style w:type="paragraph" w:customStyle="1" w:styleId="ListBulletLast">
    <w:name w:val="List Bullet Last"/>
    <w:basedOn w:val="ListBullet"/>
    <w:qFormat/>
    <w:rsid w:val="00146CE6"/>
    <w:pPr>
      <w:spacing w:after="240"/>
    </w:pPr>
    <w:rPr>
      <w:rFonts w:cs="Arial"/>
    </w:rPr>
  </w:style>
  <w:style w:type="paragraph" w:customStyle="1" w:styleId="ListNumberLast">
    <w:name w:val="List Number Last"/>
    <w:basedOn w:val="ListNumber"/>
    <w:qFormat/>
    <w:rsid w:val="00C16198"/>
    <w:pPr>
      <w:spacing w:after="240"/>
      <w:ind w:left="357" w:hanging="357"/>
    </w:pPr>
    <w:rPr>
      <w:rFonts w:cs="Arial"/>
    </w:rPr>
  </w:style>
  <w:style w:type="paragraph" w:customStyle="1" w:styleId="ACMATableHeader">
    <w:name w:val="ACMA_TableHeader"/>
    <w:qFormat/>
    <w:rsid w:val="003F10EE"/>
    <w:pPr>
      <w:numPr>
        <w:numId w:val="7"/>
      </w:numPr>
      <w:spacing w:after="160"/>
    </w:pPr>
    <w:rPr>
      <w:b/>
      <w:bCs/>
      <w:color w:val="323232"/>
    </w:rPr>
  </w:style>
  <w:style w:type="paragraph" w:customStyle="1" w:styleId="ACMANotes">
    <w:name w:val="ACMA_Notes"/>
    <w:qFormat/>
    <w:rsid w:val="003A1729"/>
    <w:pPr>
      <w:spacing w:before="80" w:line="240" w:lineRule="auto"/>
    </w:pPr>
    <w:rPr>
      <w:rFonts w:cs="Arial"/>
      <w:i/>
      <w:sz w:val="16"/>
      <w:szCs w:val="24"/>
    </w:rPr>
  </w:style>
  <w:style w:type="paragraph" w:customStyle="1" w:styleId="ACMANormalTabbed">
    <w:name w:val="ACMA_NormalTabbed"/>
    <w:basedOn w:val="Normal"/>
    <w:qFormat/>
    <w:rsid w:val="005E7226"/>
    <w:pPr>
      <w:tabs>
        <w:tab w:val="left" w:pos="1134"/>
      </w:tabs>
    </w:pPr>
  </w:style>
  <w:style w:type="character" w:styleId="Emphasis">
    <w:name w:val="Emphasis"/>
    <w:basedOn w:val="DefaultParagraphFont"/>
    <w:uiPriority w:val="20"/>
    <w:qFormat/>
    <w:rsid w:val="006D576C"/>
    <w:rPr>
      <w:i/>
      <w:iCs/>
    </w:rPr>
  </w:style>
  <w:style w:type="paragraph" w:customStyle="1" w:styleId="ListNumber2Last">
    <w:name w:val="List Number 2 Last"/>
    <w:basedOn w:val="ListNumber2"/>
    <w:qFormat/>
    <w:rsid w:val="00E35707"/>
    <w:pPr>
      <w:spacing w:after="240"/>
      <w:ind w:left="907"/>
    </w:pPr>
    <w:rPr>
      <w:rFonts w:cs="Arial"/>
    </w:rPr>
  </w:style>
  <w:style w:type="paragraph" w:customStyle="1" w:styleId="ACMASpaceaftertable">
    <w:name w:val="ACMA_Space after table"/>
    <w:basedOn w:val="Normal"/>
    <w:qFormat/>
    <w:rsid w:val="00C2083D"/>
    <w:rPr>
      <w:rFonts w:cs="Arial"/>
    </w:rPr>
  </w:style>
  <w:style w:type="paragraph" w:customStyle="1" w:styleId="FooterLeft">
    <w:name w:val="Footer Left"/>
    <w:basedOn w:val="Footer"/>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qFormat/>
    <w:rsid w:val="003F10EE"/>
    <w:pPr>
      <w:numPr>
        <w:numId w:val="6"/>
      </w:numPr>
      <w:spacing w:after="160"/>
    </w:pPr>
    <w:rPr>
      <w:b/>
      <w:bCs/>
      <w:color w:val="323232"/>
    </w:rPr>
  </w:style>
  <w:style w:type="paragraph" w:customStyle="1" w:styleId="Captionfigure">
    <w:name w:val="Caption figure"/>
    <w:basedOn w:val="Caption"/>
    <w:qFormat/>
    <w:rsid w:val="00E8152A"/>
    <w:pPr>
      <w:keepNext/>
      <w:numPr>
        <w:numId w:val="8"/>
      </w:numPr>
    </w:pPr>
    <w:rPr>
      <w:rFonts w:cs="Arial"/>
    </w:rPr>
  </w:style>
  <w:style w:type="paragraph" w:customStyle="1" w:styleId="ACMALinecover">
    <w:name w:val="ACMA_Line cover"/>
    <w:basedOn w:val="Normal"/>
    <w:qFormat/>
    <w:rsid w:val="00E034E4"/>
    <w:pPr>
      <w:pBdr>
        <w:bottom w:val="single" w:sz="4" w:space="1" w:color="auto"/>
      </w:pBdr>
      <w:spacing w:after="600"/>
    </w:pPr>
    <w:rPr>
      <w:rFonts w:cs="Arial"/>
    </w:rPr>
  </w:style>
  <w:style w:type="paragraph" w:customStyle="1" w:styleId="Researchquote">
    <w:name w:val="Research quote"/>
    <w:basedOn w:val="Normal"/>
    <w:qFormat/>
    <w:rsid w:val="00E034E4"/>
    <w:pPr>
      <w:spacing w:before="120" w:after="120"/>
      <w:ind w:left="680" w:right="567"/>
    </w:pPr>
    <w:rPr>
      <w:rFonts w:cs="Arial"/>
      <w:sz w:val="18"/>
      <w:szCs w:val="18"/>
    </w:rPr>
  </w:style>
  <w:style w:type="paragraph" w:styleId="Quote">
    <w:name w:val="Quote"/>
    <w:basedOn w:val="Normal"/>
    <w:next w:val="Normal"/>
    <w:link w:val="QuoteChar"/>
    <w:rsid w:val="00E034E4"/>
    <w:rPr>
      <w:i/>
      <w:iCs/>
      <w:color w:val="000000" w:themeColor="text1"/>
    </w:rPr>
  </w:style>
  <w:style w:type="character" w:customStyle="1" w:styleId="QuoteChar">
    <w:name w:val="Quote Char"/>
    <w:basedOn w:val="DefaultParagraphFont"/>
    <w:link w:val="Quote"/>
    <w:rsid w:val="00E034E4"/>
    <w:rPr>
      <w:rFonts w:ascii="Arial" w:hAnsi="Arial"/>
      <w:i/>
      <w:iCs/>
      <w:color w:val="000000" w:themeColor="text1"/>
      <w:sz w:val="20"/>
    </w:rPr>
  </w:style>
  <w:style w:type="character" w:styleId="BookTitle">
    <w:name w:val="Book Title"/>
    <w:basedOn w:val="DefaultParagraphFont"/>
    <w:rsid w:val="00F06CE1"/>
    <w:rPr>
      <w:b/>
      <w:bCs/>
      <w:i/>
      <w:iCs/>
      <w:spacing w:val="5"/>
    </w:rPr>
  </w:style>
  <w:style w:type="paragraph" w:styleId="NormalWeb">
    <w:name w:val="Normal (Web)"/>
    <w:basedOn w:val="Normal"/>
    <w:uiPriority w:val="99"/>
    <w:rsid w:val="00E75300"/>
    <w:pPr>
      <w:spacing w:before="100" w:beforeAutospacing="1" w:after="100" w:afterAutospacing="1" w:line="240" w:lineRule="auto"/>
    </w:pPr>
    <w:rPr>
      <w:rFonts w:ascii="Times New Roman" w:hAnsi="Times New Roman"/>
      <w:sz w:val="24"/>
    </w:rPr>
  </w:style>
  <w:style w:type="character" w:customStyle="1" w:styleId="FootnoteTextChar">
    <w:name w:val="Footnote Text Char"/>
    <w:aliases w:val="ACMA Footnote Text Char"/>
    <w:basedOn w:val="DefaultParagraphFont"/>
    <w:link w:val="FootnoteText"/>
    <w:uiPriority w:val="99"/>
    <w:rsid w:val="006C298C"/>
    <w:rPr>
      <w:sz w:val="16"/>
      <w:szCs w:val="16"/>
    </w:rPr>
  </w:style>
  <w:style w:type="paragraph" w:styleId="ListParagraph">
    <w:name w:val="List Paragraph"/>
    <w:basedOn w:val="Normal"/>
    <w:uiPriority w:val="34"/>
    <w:qFormat/>
    <w:rsid w:val="009543BA"/>
    <w:pPr>
      <w:spacing w:after="0"/>
      <w:ind w:left="720"/>
      <w:contextualSpacing/>
    </w:pPr>
    <w:rPr>
      <w:rFonts w:ascii="HelveticaNeueLT Std Lt" w:hAnsi="HelveticaNeueLT Std Lt"/>
    </w:rPr>
  </w:style>
  <w:style w:type="paragraph" w:customStyle="1" w:styleId="ACMABodyText">
    <w:name w:val="ACMA Body Text"/>
    <w:link w:val="ACMABodyTextChar"/>
    <w:rsid w:val="00487D53"/>
    <w:pPr>
      <w:suppressAutoHyphens/>
      <w:spacing w:before="80" w:after="120" w:line="280" w:lineRule="atLeast"/>
    </w:pPr>
    <w:rPr>
      <w:rFonts w:ascii="Times New Roman" w:hAnsi="Times New Roman"/>
      <w:snapToGrid w:val="0"/>
      <w:sz w:val="24"/>
      <w:lang w:eastAsia="en-US"/>
    </w:rPr>
  </w:style>
  <w:style w:type="character" w:customStyle="1" w:styleId="ACMABodyTextChar">
    <w:name w:val="ACMA Body Text Char"/>
    <w:basedOn w:val="DefaultParagraphFont"/>
    <w:link w:val="ACMABodyText"/>
    <w:rsid w:val="00487D53"/>
    <w:rPr>
      <w:rFonts w:ascii="Times New Roman" w:hAnsi="Times New Roman"/>
      <w:snapToGrid w:val="0"/>
      <w:sz w:val="24"/>
      <w:lang w:eastAsia="en-US"/>
    </w:rPr>
  </w:style>
  <w:style w:type="paragraph" w:customStyle="1" w:styleId="ACMABulletLevel1">
    <w:name w:val="ACMA Bullet Level 1"/>
    <w:rsid w:val="009B0ADF"/>
    <w:pPr>
      <w:numPr>
        <w:numId w:val="11"/>
      </w:numPr>
      <w:spacing w:after="120" w:line="240" w:lineRule="auto"/>
    </w:pPr>
    <w:rPr>
      <w:rFonts w:ascii="Times New Roman" w:hAnsi="Times New Roman"/>
      <w:sz w:val="24"/>
      <w:lang w:eastAsia="en-US"/>
    </w:rPr>
  </w:style>
  <w:style w:type="paragraph" w:customStyle="1" w:styleId="ACMABodyText0">
    <w:name w:val="ACMA_BodyText"/>
    <w:qFormat/>
    <w:rsid w:val="00184D05"/>
    <w:pPr>
      <w:suppressAutoHyphens/>
      <w:spacing w:after="80" w:line="280" w:lineRule="atLeast"/>
    </w:pPr>
    <w:rPr>
      <w:snapToGrid w:val="0"/>
      <w:sz w:val="19"/>
      <w:lang w:eastAsia="en-US"/>
    </w:rPr>
  </w:style>
  <w:style w:type="paragraph" w:styleId="PlainText">
    <w:name w:val="Plain Text"/>
    <w:basedOn w:val="Normal"/>
    <w:link w:val="PlainTextChar"/>
    <w:uiPriority w:val="99"/>
    <w:unhideWhenUsed/>
    <w:rsid w:val="00BD714A"/>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BD714A"/>
    <w:rPr>
      <w:rFonts w:ascii="Consolas" w:eastAsiaTheme="minorHAnsi" w:hAnsi="Consolas" w:cs="Consolas"/>
      <w:sz w:val="21"/>
      <w:szCs w:val="21"/>
    </w:rPr>
  </w:style>
  <w:style w:type="paragraph" w:customStyle="1" w:styleId="Default">
    <w:name w:val="Default"/>
    <w:rsid w:val="00E53CB6"/>
    <w:pPr>
      <w:autoSpaceDE w:val="0"/>
      <w:autoSpaceDN w:val="0"/>
      <w:adjustRightInd w:val="0"/>
      <w:spacing w:line="240" w:lineRule="auto"/>
    </w:pPr>
    <w:rPr>
      <w:rFonts w:cs="Arial"/>
      <w:color w:val="000000"/>
      <w:sz w:val="24"/>
      <w:szCs w:val="24"/>
    </w:rPr>
  </w:style>
  <w:style w:type="paragraph" w:customStyle="1" w:styleId="ACMANumberedList">
    <w:name w:val="ACMA Numbered List"/>
    <w:rsid w:val="003F6C09"/>
    <w:pPr>
      <w:numPr>
        <w:numId w:val="12"/>
      </w:numPr>
      <w:spacing w:before="20" w:after="20" w:line="240" w:lineRule="auto"/>
    </w:pPr>
    <w:rPr>
      <w:rFonts w:ascii="Times New Roman" w:hAnsi="Times New Roman"/>
      <w:sz w:val="24"/>
      <w:lang w:eastAsia="en-US"/>
    </w:rPr>
  </w:style>
  <w:style w:type="paragraph" w:styleId="Revision">
    <w:name w:val="Revision"/>
    <w:hidden/>
    <w:semiHidden/>
    <w:rsid w:val="00F12E56"/>
    <w:pPr>
      <w:spacing w:line="240" w:lineRule="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33563">
      <w:bodyDiv w:val="1"/>
      <w:marLeft w:val="0"/>
      <w:marRight w:val="0"/>
      <w:marTop w:val="0"/>
      <w:marBottom w:val="0"/>
      <w:divBdr>
        <w:top w:val="none" w:sz="0" w:space="0" w:color="auto"/>
        <w:left w:val="none" w:sz="0" w:space="0" w:color="auto"/>
        <w:bottom w:val="none" w:sz="0" w:space="0" w:color="auto"/>
        <w:right w:val="none" w:sz="0" w:space="0" w:color="auto"/>
      </w:divBdr>
      <w:divsChild>
        <w:div w:id="2016765682">
          <w:marLeft w:val="0"/>
          <w:marRight w:val="0"/>
          <w:marTop w:val="0"/>
          <w:marBottom w:val="0"/>
          <w:divBdr>
            <w:top w:val="none" w:sz="0" w:space="0" w:color="auto"/>
            <w:left w:val="none" w:sz="0" w:space="0" w:color="auto"/>
            <w:bottom w:val="none" w:sz="0" w:space="0" w:color="auto"/>
            <w:right w:val="none" w:sz="0" w:space="0" w:color="auto"/>
          </w:divBdr>
          <w:divsChild>
            <w:div w:id="1730960981">
              <w:marLeft w:val="0"/>
              <w:marRight w:val="0"/>
              <w:marTop w:val="0"/>
              <w:marBottom w:val="0"/>
              <w:divBdr>
                <w:top w:val="none" w:sz="0" w:space="0" w:color="auto"/>
                <w:left w:val="none" w:sz="0" w:space="0" w:color="auto"/>
                <w:bottom w:val="none" w:sz="0" w:space="0" w:color="auto"/>
                <w:right w:val="none" w:sz="0" w:space="0" w:color="auto"/>
              </w:divBdr>
              <w:divsChild>
                <w:div w:id="1611738988">
                  <w:marLeft w:val="0"/>
                  <w:marRight w:val="0"/>
                  <w:marTop w:val="0"/>
                  <w:marBottom w:val="0"/>
                  <w:divBdr>
                    <w:top w:val="none" w:sz="0" w:space="0" w:color="auto"/>
                    <w:left w:val="none" w:sz="0" w:space="0" w:color="auto"/>
                    <w:bottom w:val="none" w:sz="0" w:space="0" w:color="auto"/>
                    <w:right w:val="none" w:sz="0" w:space="0" w:color="auto"/>
                  </w:divBdr>
                  <w:divsChild>
                    <w:div w:id="180513935">
                      <w:marLeft w:val="0"/>
                      <w:marRight w:val="0"/>
                      <w:marTop w:val="0"/>
                      <w:marBottom w:val="0"/>
                      <w:divBdr>
                        <w:top w:val="none" w:sz="0" w:space="0" w:color="auto"/>
                        <w:left w:val="none" w:sz="0" w:space="0" w:color="auto"/>
                        <w:bottom w:val="none" w:sz="0" w:space="0" w:color="auto"/>
                        <w:right w:val="none" w:sz="0" w:space="0" w:color="auto"/>
                      </w:divBdr>
                      <w:divsChild>
                        <w:div w:id="1193491090">
                          <w:marLeft w:val="0"/>
                          <w:marRight w:val="12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05604">
      <w:bodyDiv w:val="1"/>
      <w:marLeft w:val="0"/>
      <w:marRight w:val="0"/>
      <w:marTop w:val="0"/>
      <w:marBottom w:val="0"/>
      <w:divBdr>
        <w:top w:val="none" w:sz="0" w:space="0" w:color="auto"/>
        <w:left w:val="none" w:sz="0" w:space="0" w:color="auto"/>
        <w:bottom w:val="none" w:sz="0" w:space="0" w:color="auto"/>
        <w:right w:val="none" w:sz="0" w:space="0" w:color="auto"/>
      </w:divBdr>
      <w:divsChild>
        <w:div w:id="2114477489">
          <w:marLeft w:val="0"/>
          <w:marRight w:val="0"/>
          <w:marTop w:val="0"/>
          <w:marBottom w:val="0"/>
          <w:divBdr>
            <w:top w:val="none" w:sz="0" w:space="0" w:color="auto"/>
            <w:left w:val="none" w:sz="0" w:space="0" w:color="auto"/>
            <w:bottom w:val="none" w:sz="0" w:space="0" w:color="auto"/>
            <w:right w:val="none" w:sz="0" w:space="0" w:color="auto"/>
          </w:divBdr>
          <w:divsChild>
            <w:div w:id="369574319">
              <w:marLeft w:val="0"/>
              <w:marRight w:val="0"/>
              <w:marTop w:val="0"/>
              <w:marBottom w:val="0"/>
              <w:divBdr>
                <w:top w:val="none" w:sz="0" w:space="0" w:color="auto"/>
                <w:left w:val="none" w:sz="0" w:space="0" w:color="auto"/>
                <w:bottom w:val="none" w:sz="0" w:space="0" w:color="auto"/>
                <w:right w:val="none" w:sz="0" w:space="0" w:color="auto"/>
              </w:divBdr>
              <w:divsChild>
                <w:div w:id="1095828704">
                  <w:marLeft w:val="0"/>
                  <w:marRight w:val="0"/>
                  <w:marTop w:val="0"/>
                  <w:marBottom w:val="0"/>
                  <w:divBdr>
                    <w:top w:val="none" w:sz="0" w:space="0" w:color="auto"/>
                    <w:left w:val="none" w:sz="0" w:space="0" w:color="auto"/>
                    <w:bottom w:val="none" w:sz="0" w:space="0" w:color="auto"/>
                    <w:right w:val="none" w:sz="0" w:space="0" w:color="auto"/>
                  </w:divBdr>
                  <w:divsChild>
                    <w:div w:id="938371057">
                      <w:marLeft w:val="0"/>
                      <w:marRight w:val="0"/>
                      <w:marTop w:val="0"/>
                      <w:marBottom w:val="0"/>
                      <w:divBdr>
                        <w:top w:val="none" w:sz="0" w:space="0" w:color="auto"/>
                        <w:left w:val="none" w:sz="0" w:space="0" w:color="auto"/>
                        <w:bottom w:val="none" w:sz="0" w:space="0" w:color="auto"/>
                        <w:right w:val="none" w:sz="0" w:space="0" w:color="auto"/>
                      </w:divBdr>
                      <w:divsChild>
                        <w:div w:id="660237074">
                          <w:marLeft w:val="0"/>
                          <w:marRight w:val="12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55476">
      <w:bodyDiv w:val="1"/>
      <w:marLeft w:val="0"/>
      <w:marRight w:val="0"/>
      <w:marTop w:val="0"/>
      <w:marBottom w:val="0"/>
      <w:divBdr>
        <w:top w:val="none" w:sz="0" w:space="0" w:color="auto"/>
        <w:left w:val="none" w:sz="0" w:space="0" w:color="auto"/>
        <w:bottom w:val="none" w:sz="0" w:space="0" w:color="auto"/>
        <w:right w:val="none" w:sz="0" w:space="0" w:color="auto"/>
      </w:divBdr>
      <w:divsChild>
        <w:div w:id="584529934">
          <w:marLeft w:val="0"/>
          <w:marRight w:val="0"/>
          <w:marTop w:val="0"/>
          <w:marBottom w:val="0"/>
          <w:divBdr>
            <w:top w:val="none" w:sz="0" w:space="0" w:color="auto"/>
            <w:left w:val="none" w:sz="0" w:space="0" w:color="auto"/>
            <w:bottom w:val="none" w:sz="0" w:space="0" w:color="auto"/>
            <w:right w:val="none" w:sz="0" w:space="0" w:color="auto"/>
          </w:divBdr>
          <w:divsChild>
            <w:div w:id="1806238414">
              <w:marLeft w:val="0"/>
              <w:marRight w:val="0"/>
              <w:marTop w:val="0"/>
              <w:marBottom w:val="0"/>
              <w:divBdr>
                <w:top w:val="none" w:sz="0" w:space="0" w:color="auto"/>
                <w:left w:val="none" w:sz="0" w:space="0" w:color="auto"/>
                <w:bottom w:val="none" w:sz="0" w:space="0" w:color="auto"/>
                <w:right w:val="none" w:sz="0" w:space="0" w:color="auto"/>
              </w:divBdr>
              <w:divsChild>
                <w:div w:id="1456631021">
                  <w:marLeft w:val="0"/>
                  <w:marRight w:val="0"/>
                  <w:marTop w:val="0"/>
                  <w:marBottom w:val="0"/>
                  <w:divBdr>
                    <w:top w:val="none" w:sz="0" w:space="0" w:color="auto"/>
                    <w:left w:val="none" w:sz="0" w:space="0" w:color="auto"/>
                    <w:bottom w:val="none" w:sz="0" w:space="0" w:color="auto"/>
                    <w:right w:val="none" w:sz="0" w:space="0" w:color="auto"/>
                  </w:divBdr>
                  <w:divsChild>
                    <w:div w:id="1359694388">
                      <w:marLeft w:val="0"/>
                      <w:marRight w:val="0"/>
                      <w:marTop w:val="0"/>
                      <w:marBottom w:val="0"/>
                      <w:divBdr>
                        <w:top w:val="none" w:sz="0" w:space="0" w:color="auto"/>
                        <w:left w:val="none" w:sz="0" w:space="0" w:color="auto"/>
                        <w:bottom w:val="none" w:sz="0" w:space="0" w:color="auto"/>
                        <w:right w:val="none" w:sz="0" w:space="0" w:color="auto"/>
                      </w:divBdr>
                      <w:divsChild>
                        <w:div w:id="914898296">
                          <w:marLeft w:val="0"/>
                          <w:marRight w:val="12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577121">
      <w:bodyDiv w:val="1"/>
      <w:marLeft w:val="0"/>
      <w:marRight w:val="0"/>
      <w:marTop w:val="0"/>
      <w:marBottom w:val="0"/>
      <w:divBdr>
        <w:top w:val="none" w:sz="0" w:space="0" w:color="auto"/>
        <w:left w:val="none" w:sz="0" w:space="0" w:color="auto"/>
        <w:bottom w:val="none" w:sz="0" w:space="0" w:color="auto"/>
        <w:right w:val="none" w:sz="0" w:space="0" w:color="auto"/>
      </w:divBdr>
      <w:divsChild>
        <w:div w:id="1916553319">
          <w:marLeft w:val="0"/>
          <w:marRight w:val="0"/>
          <w:marTop w:val="0"/>
          <w:marBottom w:val="0"/>
          <w:divBdr>
            <w:top w:val="none" w:sz="0" w:space="0" w:color="auto"/>
            <w:left w:val="none" w:sz="0" w:space="0" w:color="auto"/>
            <w:bottom w:val="none" w:sz="0" w:space="0" w:color="auto"/>
            <w:right w:val="none" w:sz="0" w:space="0" w:color="auto"/>
          </w:divBdr>
          <w:divsChild>
            <w:div w:id="924538919">
              <w:marLeft w:val="0"/>
              <w:marRight w:val="0"/>
              <w:marTop w:val="0"/>
              <w:marBottom w:val="0"/>
              <w:divBdr>
                <w:top w:val="none" w:sz="0" w:space="0" w:color="auto"/>
                <w:left w:val="none" w:sz="0" w:space="0" w:color="auto"/>
                <w:bottom w:val="none" w:sz="0" w:space="0" w:color="auto"/>
                <w:right w:val="none" w:sz="0" w:space="0" w:color="auto"/>
              </w:divBdr>
              <w:divsChild>
                <w:div w:id="446196201">
                  <w:marLeft w:val="0"/>
                  <w:marRight w:val="0"/>
                  <w:marTop w:val="0"/>
                  <w:marBottom w:val="0"/>
                  <w:divBdr>
                    <w:top w:val="none" w:sz="0" w:space="0" w:color="auto"/>
                    <w:left w:val="none" w:sz="0" w:space="0" w:color="auto"/>
                    <w:bottom w:val="none" w:sz="0" w:space="0" w:color="auto"/>
                    <w:right w:val="none" w:sz="0" w:space="0" w:color="auto"/>
                  </w:divBdr>
                  <w:divsChild>
                    <w:div w:id="1075971980">
                      <w:marLeft w:val="0"/>
                      <w:marRight w:val="0"/>
                      <w:marTop w:val="0"/>
                      <w:marBottom w:val="0"/>
                      <w:divBdr>
                        <w:top w:val="none" w:sz="0" w:space="0" w:color="auto"/>
                        <w:left w:val="none" w:sz="0" w:space="0" w:color="auto"/>
                        <w:bottom w:val="none" w:sz="0" w:space="0" w:color="auto"/>
                        <w:right w:val="none" w:sz="0" w:space="0" w:color="auto"/>
                      </w:divBdr>
                      <w:divsChild>
                        <w:div w:id="1927618273">
                          <w:marLeft w:val="0"/>
                          <w:marRight w:val="12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915188">
      <w:bodyDiv w:val="1"/>
      <w:marLeft w:val="0"/>
      <w:marRight w:val="0"/>
      <w:marTop w:val="0"/>
      <w:marBottom w:val="0"/>
      <w:divBdr>
        <w:top w:val="none" w:sz="0" w:space="0" w:color="auto"/>
        <w:left w:val="none" w:sz="0" w:space="0" w:color="auto"/>
        <w:bottom w:val="none" w:sz="0" w:space="0" w:color="auto"/>
        <w:right w:val="none" w:sz="0" w:space="0" w:color="auto"/>
      </w:divBdr>
      <w:divsChild>
        <w:div w:id="1083573439">
          <w:marLeft w:val="0"/>
          <w:marRight w:val="0"/>
          <w:marTop w:val="0"/>
          <w:marBottom w:val="0"/>
          <w:divBdr>
            <w:top w:val="none" w:sz="0" w:space="0" w:color="auto"/>
            <w:left w:val="none" w:sz="0" w:space="0" w:color="auto"/>
            <w:bottom w:val="none" w:sz="0" w:space="0" w:color="auto"/>
            <w:right w:val="none" w:sz="0" w:space="0" w:color="auto"/>
          </w:divBdr>
          <w:divsChild>
            <w:div w:id="364721658">
              <w:marLeft w:val="0"/>
              <w:marRight w:val="0"/>
              <w:marTop w:val="0"/>
              <w:marBottom w:val="0"/>
              <w:divBdr>
                <w:top w:val="none" w:sz="0" w:space="0" w:color="auto"/>
                <w:left w:val="none" w:sz="0" w:space="0" w:color="auto"/>
                <w:bottom w:val="none" w:sz="0" w:space="0" w:color="auto"/>
                <w:right w:val="none" w:sz="0" w:space="0" w:color="auto"/>
              </w:divBdr>
              <w:divsChild>
                <w:div w:id="547453988">
                  <w:marLeft w:val="0"/>
                  <w:marRight w:val="0"/>
                  <w:marTop w:val="0"/>
                  <w:marBottom w:val="0"/>
                  <w:divBdr>
                    <w:top w:val="none" w:sz="0" w:space="0" w:color="auto"/>
                    <w:left w:val="none" w:sz="0" w:space="0" w:color="auto"/>
                    <w:bottom w:val="none" w:sz="0" w:space="0" w:color="auto"/>
                    <w:right w:val="none" w:sz="0" w:space="0" w:color="auto"/>
                  </w:divBdr>
                  <w:divsChild>
                    <w:div w:id="743649091">
                      <w:marLeft w:val="0"/>
                      <w:marRight w:val="0"/>
                      <w:marTop w:val="0"/>
                      <w:marBottom w:val="0"/>
                      <w:divBdr>
                        <w:top w:val="none" w:sz="0" w:space="0" w:color="auto"/>
                        <w:left w:val="none" w:sz="0" w:space="0" w:color="auto"/>
                        <w:bottom w:val="none" w:sz="0" w:space="0" w:color="auto"/>
                        <w:right w:val="none" w:sz="0" w:space="0" w:color="auto"/>
                      </w:divBdr>
                      <w:divsChild>
                        <w:div w:id="170342772">
                          <w:marLeft w:val="0"/>
                          <w:marRight w:val="12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24820">
      <w:bodyDiv w:val="1"/>
      <w:marLeft w:val="0"/>
      <w:marRight w:val="0"/>
      <w:marTop w:val="0"/>
      <w:marBottom w:val="0"/>
      <w:divBdr>
        <w:top w:val="none" w:sz="0" w:space="0" w:color="auto"/>
        <w:left w:val="none" w:sz="0" w:space="0" w:color="auto"/>
        <w:bottom w:val="none" w:sz="0" w:space="0" w:color="auto"/>
        <w:right w:val="none" w:sz="0" w:space="0" w:color="auto"/>
      </w:divBdr>
      <w:divsChild>
        <w:div w:id="1512448347">
          <w:marLeft w:val="0"/>
          <w:marRight w:val="0"/>
          <w:marTop w:val="0"/>
          <w:marBottom w:val="0"/>
          <w:divBdr>
            <w:top w:val="none" w:sz="0" w:space="0" w:color="auto"/>
            <w:left w:val="none" w:sz="0" w:space="0" w:color="auto"/>
            <w:bottom w:val="none" w:sz="0" w:space="0" w:color="auto"/>
            <w:right w:val="none" w:sz="0" w:space="0" w:color="auto"/>
          </w:divBdr>
          <w:divsChild>
            <w:div w:id="1919095568">
              <w:marLeft w:val="0"/>
              <w:marRight w:val="0"/>
              <w:marTop w:val="0"/>
              <w:marBottom w:val="0"/>
              <w:divBdr>
                <w:top w:val="none" w:sz="0" w:space="0" w:color="auto"/>
                <w:left w:val="none" w:sz="0" w:space="0" w:color="auto"/>
                <w:bottom w:val="none" w:sz="0" w:space="0" w:color="auto"/>
                <w:right w:val="none" w:sz="0" w:space="0" w:color="auto"/>
              </w:divBdr>
              <w:divsChild>
                <w:div w:id="1746881608">
                  <w:marLeft w:val="0"/>
                  <w:marRight w:val="0"/>
                  <w:marTop w:val="0"/>
                  <w:marBottom w:val="0"/>
                  <w:divBdr>
                    <w:top w:val="none" w:sz="0" w:space="0" w:color="auto"/>
                    <w:left w:val="none" w:sz="0" w:space="0" w:color="auto"/>
                    <w:bottom w:val="none" w:sz="0" w:space="0" w:color="auto"/>
                    <w:right w:val="none" w:sz="0" w:space="0" w:color="auto"/>
                  </w:divBdr>
                  <w:divsChild>
                    <w:div w:id="600337849">
                      <w:marLeft w:val="0"/>
                      <w:marRight w:val="0"/>
                      <w:marTop w:val="0"/>
                      <w:marBottom w:val="0"/>
                      <w:divBdr>
                        <w:top w:val="none" w:sz="0" w:space="0" w:color="auto"/>
                        <w:left w:val="none" w:sz="0" w:space="0" w:color="auto"/>
                        <w:bottom w:val="none" w:sz="0" w:space="0" w:color="auto"/>
                        <w:right w:val="none" w:sz="0" w:space="0" w:color="auto"/>
                      </w:divBdr>
                      <w:divsChild>
                        <w:div w:id="966546252">
                          <w:marLeft w:val="0"/>
                          <w:marRight w:val="12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925626">
      <w:bodyDiv w:val="1"/>
      <w:marLeft w:val="0"/>
      <w:marRight w:val="0"/>
      <w:marTop w:val="0"/>
      <w:marBottom w:val="0"/>
      <w:divBdr>
        <w:top w:val="none" w:sz="0" w:space="0" w:color="auto"/>
        <w:left w:val="none" w:sz="0" w:space="0" w:color="auto"/>
        <w:bottom w:val="none" w:sz="0" w:space="0" w:color="auto"/>
        <w:right w:val="none" w:sz="0" w:space="0" w:color="auto"/>
      </w:divBdr>
      <w:divsChild>
        <w:div w:id="147133443">
          <w:marLeft w:val="0"/>
          <w:marRight w:val="0"/>
          <w:marTop w:val="0"/>
          <w:marBottom w:val="0"/>
          <w:divBdr>
            <w:top w:val="none" w:sz="0" w:space="0" w:color="auto"/>
            <w:left w:val="none" w:sz="0" w:space="0" w:color="auto"/>
            <w:bottom w:val="none" w:sz="0" w:space="0" w:color="auto"/>
            <w:right w:val="none" w:sz="0" w:space="0" w:color="auto"/>
          </w:divBdr>
          <w:divsChild>
            <w:div w:id="1313750477">
              <w:marLeft w:val="0"/>
              <w:marRight w:val="0"/>
              <w:marTop w:val="0"/>
              <w:marBottom w:val="0"/>
              <w:divBdr>
                <w:top w:val="none" w:sz="0" w:space="0" w:color="auto"/>
                <w:left w:val="none" w:sz="0" w:space="0" w:color="auto"/>
                <w:bottom w:val="none" w:sz="0" w:space="0" w:color="auto"/>
                <w:right w:val="none" w:sz="0" w:space="0" w:color="auto"/>
              </w:divBdr>
              <w:divsChild>
                <w:div w:id="370542001">
                  <w:marLeft w:val="0"/>
                  <w:marRight w:val="0"/>
                  <w:marTop w:val="0"/>
                  <w:marBottom w:val="0"/>
                  <w:divBdr>
                    <w:top w:val="none" w:sz="0" w:space="0" w:color="auto"/>
                    <w:left w:val="none" w:sz="0" w:space="0" w:color="auto"/>
                    <w:bottom w:val="none" w:sz="0" w:space="0" w:color="auto"/>
                    <w:right w:val="none" w:sz="0" w:space="0" w:color="auto"/>
                  </w:divBdr>
                  <w:divsChild>
                    <w:div w:id="520629008">
                      <w:marLeft w:val="0"/>
                      <w:marRight w:val="0"/>
                      <w:marTop w:val="0"/>
                      <w:marBottom w:val="0"/>
                      <w:divBdr>
                        <w:top w:val="none" w:sz="0" w:space="0" w:color="auto"/>
                        <w:left w:val="none" w:sz="0" w:space="0" w:color="auto"/>
                        <w:bottom w:val="none" w:sz="0" w:space="0" w:color="auto"/>
                        <w:right w:val="none" w:sz="0" w:space="0" w:color="auto"/>
                      </w:divBdr>
                      <w:divsChild>
                        <w:div w:id="1861435347">
                          <w:marLeft w:val="0"/>
                          <w:marRight w:val="1200"/>
                          <w:marTop w:val="300"/>
                          <w:marBottom w:val="0"/>
                          <w:divBdr>
                            <w:top w:val="none" w:sz="0" w:space="0" w:color="auto"/>
                            <w:left w:val="none" w:sz="0" w:space="0" w:color="auto"/>
                            <w:bottom w:val="none" w:sz="0" w:space="0" w:color="auto"/>
                            <w:right w:val="none" w:sz="0" w:space="0" w:color="auto"/>
                          </w:divBdr>
                          <w:divsChild>
                            <w:div w:id="117356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729214">
      <w:bodyDiv w:val="1"/>
      <w:marLeft w:val="0"/>
      <w:marRight w:val="0"/>
      <w:marTop w:val="0"/>
      <w:marBottom w:val="0"/>
      <w:divBdr>
        <w:top w:val="none" w:sz="0" w:space="0" w:color="auto"/>
        <w:left w:val="none" w:sz="0" w:space="0" w:color="auto"/>
        <w:bottom w:val="none" w:sz="0" w:space="0" w:color="auto"/>
        <w:right w:val="none" w:sz="0" w:space="0" w:color="auto"/>
      </w:divBdr>
      <w:divsChild>
        <w:div w:id="1535847088">
          <w:marLeft w:val="0"/>
          <w:marRight w:val="0"/>
          <w:marTop w:val="0"/>
          <w:marBottom w:val="0"/>
          <w:divBdr>
            <w:top w:val="none" w:sz="0" w:space="0" w:color="auto"/>
            <w:left w:val="none" w:sz="0" w:space="0" w:color="auto"/>
            <w:bottom w:val="none" w:sz="0" w:space="0" w:color="auto"/>
            <w:right w:val="none" w:sz="0" w:space="0" w:color="auto"/>
          </w:divBdr>
          <w:divsChild>
            <w:div w:id="1746798948">
              <w:marLeft w:val="0"/>
              <w:marRight w:val="0"/>
              <w:marTop w:val="0"/>
              <w:marBottom w:val="0"/>
              <w:divBdr>
                <w:top w:val="none" w:sz="0" w:space="0" w:color="auto"/>
                <w:left w:val="none" w:sz="0" w:space="0" w:color="auto"/>
                <w:bottom w:val="none" w:sz="0" w:space="0" w:color="auto"/>
                <w:right w:val="none" w:sz="0" w:space="0" w:color="auto"/>
              </w:divBdr>
              <w:divsChild>
                <w:div w:id="1797212331">
                  <w:marLeft w:val="0"/>
                  <w:marRight w:val="0"/>
                  <w:marTop w:val="0"/>
                  <w:marBottom w:val="0"/>
                  <w:divBdr>
                    <w:top w:val="none" w:sz="0" w:space="0" w:color="auto"/>
                    <w:left w:val="none" w:sz="0" w:space="0" w:color="auto"/>
                    <w:bottom w:val="none" w:sz="0" w:space="0" w:color="auto"/>
                    <w:right w:val="none" w:sz="0" w:space="0" w:color="auto"/>
                  </w:divBdr>
                  <w:divsChild>
                    <w:div w:id="515386043">
                      <w:marLeft w:val="0"/>
                      <w:marRight w:val="0"/>
                      <w:marTop w:val="0"/>
                      <w:marBottom w:val="0"/>
                      <w:divBdr>
                        <w:top w:val="none" w:sz="0" w:space="0" w:color="auto"/>
                        <w:left w:val="none" w:sz="0" w:space="0" w:color="auto"/>
                        <w:bottom w:val="none" w:sz="0" w:space="0" w:color="auto"/>
                        <w:right w:val="none" w:sz="0" w:space="0" w:color="auto"/>
                      </w:divBdr>
                      <w:divsChild>
                        <w:div w:id="841117004">
                          <w:marLeft w:val="0"/>
                          <w:marRight w:val="1200"/>
                          <w:marTop w:val="300"/>
                          <w:marBottom w:val="0"/>
                          <w:divBdr>
                            <w:top w:val="none" w:sz="0" w:space="0" w:color="auto"/>
                            <w:left w:val="none" w:sz="0" w:space="0" w:color="auto"/>
                            <w:bottom w:val="none" w:sz="0" w:space="0" w:color="auto"/>
                            <w:right w:val="none" w:sz="0" w:space="0" w:color="auto"/>
                          </w:divBdr>
                          <w:divsChild>
                            <w:div w:id="60411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2900081">
      <w:bodyDiv w:val="1"/>
      <w:marLeft w:val="0"/>
      <w:marRight w:val="0"/>
      <w:marTop w:val="0"/>
      <w:marBottom w:val="0"/>
      <w:divBdr>
        <w:top w:val="none" w:sz="0" w:space="0" w:color="auto"/>
        <w:left w:val="none" w:sz="0" w:space="0" w:color="auto"/>
        <w:bottom w:val="none" w:sz="0" w:space="0" w:color="auto"/>
        <w:right w:val="none" w:sz="0" w:space="0" w:color="auto"/>
      </w:divBdr>
      <w:divsChild>
        <w:div w:id="73288387">
          <w:marLeft w:val="0"/>
          <w:marRight w:val="0"/>
          <w:marTop w:val="0"/>
          <w:marBottom w:val="0"/>
          <w:divBdr>
            <w:top w:val="none" w:sz="0" w:space="0" w:color="auto"/>
            <w:left w:val="none" w:sz="0" w:space="0" w:color="auto"/>
            <w:bottom w:val="none" w:sz="0" w:space="0" w:color="auto"/>
            <w:right w:val="none" w:sz="0" w:space="0" w:color="auto"/>
          </w:divBdr>
          <w:divsChild>
            <w:div w:id="1469588833">
              <w:marLeft w:val="0"/>
              <w:marRight w:val="0"/>
              <w:marTop w:val="0"/>
              <w:marBottom w:val="0"/>
              <w:divBdr>
                <w:top w:val="none" w:sz="0" w:space="0" w:color="auto"/>
                <w:left w:val="none" w:sz="0" w:space="0" w:color="auto"/>
                <w:bottom w:val="none" w:sz="0" w:space="0" w:color="auto"/>
                <w:right w:val="none" w:sz="0" w:space="0" w:color="auto"/>
              </w:divBdr>
              <w:divsChild>
                <w:div w:id="385304333">
                  <w:marLeft w:val="0"/>
                  <w:marRight w:val="0"/>
                  <w:marTop w:val="0"/>
                  <w:marBottom w:val="0"/>
                  <w:divBdr>
                    <w:top w:val="none" w:sz="0" w:space="0" w:color="auto"/>
                    <w:left w:val="none" w:sz="0" w:space="0" w:color="auto"/>
                    <w:bottom w:val="none" w:sz="0" w:space="0" w:color="auto"/>
                    <w:right w:val="none" w:sz="0" w:space="0" w:color="auto"/>
                  </w:divBdr>
                  <w:divsChild>
                    <w:div w:id="2111854005">
                      <w:marLeft w:val="0"/>
                      <w:marRight w:val="0"/>
                      <w:marTop w:val="0"/>
                      <w:marBottom w:val="0"/>
                      <w:divBdr>
                        <w:top w:val="none" w:sz="0" w:space="0" w:color="auto"/>
                        <w:left w:val="none" w:sz="0" w:space="0" w:color="auto"/>
                        <w:bottom w:val="none" w:sz="0" w:space="0" w:color="auto"/>
                        <w:right w:val="none" w:sz="0" w:space="0" w:color="auto"/>
                      </w:divBdr>
                      <w:divsChild>
                        <w:div w:id="118841224">
                          <w:marLeft w:val="0"/>
                          <w:marRight w:val="12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477638">
      <w:bodyDiv w:val="1"/>
      <w:marLeft w:val="0"/>
      <w:marRight w:val="0"/>
      <w:marTop w:val="0"/>
      <w:marBottom w:val="0"/>
      <w:divBdr>
        <w:top w:val="none" w:sz="0" w:space="0" w:color="auto"/>
        <w:left w:val="none" w:sz="0" w:space="0" w:color="auto"/>
        <w:bottom w:val="none" w:sz="0" w:space="0" w:color="auto"/>
        <w:right w:val="none" w:sz="0" w:space="0" w:color="auto"/>
      </w:divBdr>
      <w:divsChild>
        <w:div w:id="1822884802">
          <w:marLeft w:val="0"/>
          <w:marRight w:val="0"/>
          <w:marTop w:val="0"/>
          <w:marBottom w:val="0"/>
          <w:divBdr>
            <w:top w:val="none" w:sz="0" w:space="0" w:color="auto"/>
            <w:left w:val="none" w:sz="0" w:space="0" w:color="auto"/>
            <w:bottom w:val="none" w:sz="0" w:space="0" w:color="auto"/>
            <w:right w:val="none" w:sz="0" w:space="0" w:color="auto"/>
          </w:divBdr>
          <w:divsChild>
            <w:div w:id="1897735066">
              <w:marLeft w:val="0"/>
              <w:marRight w:val="0"/>
              <w:marTop w:val="0"/>
              <w:marBottom w:val="0"/>
              <w:divBdr>
                <w:top w:val="none" w:sz="0" w:space="0" w:color="auto"/>
                <w:left w:val="none" w:sz="0" w:space="0" w:color="auto"/>
                <w:bottom w:val="none" w:sz="0" w:space="0" w:color="auto"/>
                <w:right w:val="none" w:sz="0" w:space="0" w:color="auto"/>
              </w:divBdr>
              <w:divsChild>
                <w:div w:id="723218603">
                  <w:marLeft w:val="0"/>
                  <w:marRight w:val="0"/>
                  <w:marTop w:val="0"/>
                  <w:marBottom w:val="0"/>
                  <w:divBdr>
                    <w:top w:val="none" w:sz="0" w:space="0" w:color="auto"/>
                    <w:left w:val="none" w:sz="0" w:space="0" w:color="auto"/>
                    <w:bottom w:val="none" w:sz="0" w:space="0" w:color="auto"/>
                    <w:right w:val="none" w:sz="0" w:space="0" w:color="auto"/>
                  </w:divBdr>
                  <w:divsChild>
                    <w:div w:id="1019161761">
                      <w:marLeft w:val="0"/>
                      <w:marRight w:val="0"/>
                      <w:marTop w:val="0"/>
                      <w:marBottom w:val="0"/>
                      <w:divBdr>
                        <w:top w:val="none" w:sz="0" w:space="0" w:color="auto"/>
                        <w:left w:val="none" w:sz="0" w:space="0" w:color="auto"/>
                        <w:bottom w:val="none" w:sz="0" w:space="0" w:color="auto"/>
                        <w:right w:val="none" w:sz="0" w:space="0" w:color="auto"/>
                      </w:divBdr>
                      <w:divsChild>
                        <w:div w:id="1694723932">
                          <w:marLeft w:val="0"/>
                          <w:marRight w:val="12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676189">
      <w:bodyDiv w:val="1"/>
      <w:marLeft w:val="0"/>
      <w:marRight w:val="0"/>
      <w:marTop w:val="0"/>
      <w:marBottom w:val="0"/>
      <w:divBdr>
        <w:top w:val="none" w:sz="0" w:space="0" w:color="auto"/>
        <w:left w:val="none" w:sz="0" w:space="0" w:color="auto"/>
        <w:bottom w:val="none" w:sz="0" w:space="0" w:color="auto"/>
        <w:right w:val="none" w:sz="0" w:space="0" w:color="auto"/>
      </w:divBdr>
      <w:divsChild>
        <w:div w:id="481889443">
          <w:marLeft w:val="0"/>
          <w:marRight w:val="0"/>
          <w:marTop w:val="0"/>
          <w:marBottom w:val="0"/>
          <w:divBdr>
            <w:top w:val="none" w:sz="0" w:space="0" w:color="auto"/>
            <w:left w:val="none" w:sz="0" w:space="0" w:color="auto"/>
            <w:bottom w:val="none" w:sz="0" w:space="0" w:color="auto"/>
            <w:right w:val="none" w:sz="0" w:space="0" w:color="auto"/>
          </w:divBdr>
          <w:divsChild>
            <w:div w:id="1436823192">
              <w:marLeft w:val="0"/>
              <w:marRight w:val="0"/>
              <w:marTop w:val="0"/>
              <w:marBottom w:val="0"/>
              <w:divBdr>
                <w:top w:val="none" w:sz="0" w:space="0" w:color="auto"/>
                <w:left w:val="none" w:sz="0" w:space="0" w:color="auto"/>
                <w:bottom w:val="none" w:sz="0" w:space="0" w:color="auto"/>
                <w:right w:val="none" w:sz="0" w:space="0" w:color="auto"/>
              </w:divBdr>
              <w:divsChild>
                <w:div w:id="1218593378">
                  <w:marLeft w:val="0"/>
                  <w:marRight w:val="0"/>
                  <w:marTop w:val="0"/>
                  <w:marBottom w:val="0"/>
                  <w:divBdr>
                    <w:top w:val="none" w:sz="0" w:space="0" w:color="auto"/>
                    <w:left w:val="none" w:sz="0" w:space="0" w:color="auto"/>
                    <w:bottom w:val="none" w:sz="0" w:space="0" w:color="auto"/>
                    <w:right w:val="none" w:sz="0" w:space="0" w:color="auto"/>
                  </w:divBdr>
                  <w:divsChild>
                    <w:div w:id="1444223196">
                      <w:marLeft w:val="0"/>
                      <w:marRight w:val="0"/>
                      <w:marTop w:val="0"/>
                      <w:marBottom w:val="0"/>
                      <w:divBdr>
                        <w:top w:val="none" w:sz="0" w:space="0" w:color="auto"/>
                        <w:left w:val="none" w:sz="0" w:space="0" w:color="auto"/>
                        <w:bottom w:val="none" w:sz="0" w:space="0" w:color="auto"/>
                        <w:right w:val="none" w:sz="0" w:space="0" w:color="auto"/>
                      </w:divBdr>
                      <w:divsChild>
                        <w:div w:id="554589716">
                          <w:marLeft w:val="0"/>
                          <w:marRight w:val="12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8507">
      <w:bodyDiv w:val="1"/>
      <w:marLeft w:val="0"/>
      <w:marRight w:val="0"/>
      <w:marTop w:val="0"/>
      <w:marBottom w:val="0"/>
      <w:divBdr>
        <w:top w:val="none" w:sz="0" w:space="0" w:color="auto"/>
        <w:left w:val="none" w:sz="0" w:space="0" w:color="auto"/>
        <w:bottom w:val="none" w:sz="0" w:space="0" w:color="auto"/>
        <w:right w:val="none" w:sz="0" w:space="0" w:color="auto"/>
      </w:divBdr>
      <w:divsChild>
        <w:div w:id="2002270514">
          <w:marLeft w:val="0"/>
          <w:marRight w:val="0"/>
          <w:marTop w:val="0"/>
          <w:marBottom w:val="0"/>
          <w:divBdr>
            <w:top w:val="none" w:sz="0" w:space="0" w:color="auto"/>
            <w:left w:val="none" w:sz="0" w:space="0" w:color="auto"/>
            <w:bottom w:val="none" w:sz="0" w:space="0" w:color="auto"/>
            <w:right w:val="none" w:sz="0" w:space="0" w:color="auto"/>
          </w:divBdr>
          <w:divsChild>
            <w:div w:id="1264847269">
              <w:marLeft w:val="0"/>
              <w:marRight w:val="0"/>
              <w:marTop w:val="0"/>
              <w:marBottom w:val="0"/>
              <w:divBdr>
                <w:top w:val="none" w:sz="0" w:space="0" w:color="auto"/>
                <w:left w:val="none" w:sz="0" w:space="0" w:color="auto"/>
                <w:bottom w:val="none" w:sz="0" w:space="0" w:color="auto"/>
                <w:right w:val="none" w:sz="0" w:space="0" w:color="auto"/>
              </w:divBdr>
              <w:divsChild>
                <w:div w:id="1533690413">
                  <w:marLeft w:val="0"/>
                  <w:marRight w:val="0"/>
                  <w:marTop w:val="0"/>
                  <w:marBottom w:val="0"/>
                  <w:divBdr>
                    <w:top w:val="none" w:sz="0" w:space="0" w:color="auto"/>
                    <w:left w:val="none" w:sz="0" w:space="0" w:color="auto"/>
                    <w:bottom w:val="none" w:sz="0" w:space="0" w:color="auto"/>
                    <w:right w:val="none" w:sz="0" w:space="0" w:color="auto"/>
                  </w:divBdr>
                  <w:divsChild>
                    <w:div w:id="1092824690">
                      <w:marLeft w:val="0"/>
                      <w:marRight w:val="0"/>
                      <w:marTop w:val="0"/>
                      <w:marBottom w:val="0"/>
                      <w:divBdr>
                        <w:top w:val="none" w:sz="0" w:space="0" w:color="auto"/>
                        <w:left w:val="none" w:sz="0" w:space="0" w:color="auto"/>
                        <w:bottom w:val="none" w:sz="0" w:space="0" w:color="auto"/>
                        <w:right w:val="none" w:sz="0" w:space="0" w:color="auto"/>
                      </w:divBdr>
                      <w:divsChild>
                        <w:div w:id="1980454753">
                          <w:marLeft w:val="0"/>
                          <w:marRight w:val="1200"/>
                          <w:marTop w:val="300"/>
                          <w:marBottom w:val="0"/>
                          <w:divBdr>
                            <w:top w:val="none" w:sz="0" w:space="0" w:color="auto"/>
                            <w:left w:val="none" w:sz="0" w:space="0" w:color="auto"/>
                            <w:bottom w:val="none" w:sz="0" w:space="0" w:color="auto"/>
                            <w:right w:val="none" w:sz="0" w:space="0" w:color="auto"/>
                          </w:divBdr>
                          <w:divsChild>
                            <w:div w:id="1522431868">
                              <w:marLeft w:val="0"/>
                              <w:marRight w:val="0"/>
                              <w:marTop w:val="0"/>
                              <w:marBottom w:val="0"/>
                              <w:divBdr>
                                <w:top w:val="none" w:sz="0" w:space="0" w:color="auto"/>
                                <w:left w:val="none" w:sz="0" w:space="0" w:color="auto"/>
                                <w:bottom w:val="none" w:sz="0" w:space="0" w:color="auto"/>
                                <w:right w:val="none" w:sz="0" w:space="0" w:color="auto"/>
                              </w:divBdr>
                            </w:div>
                            <w:div w:id="1133061416">
                              <w:marLeft w:val="0"/>
                              <w:marRight w:val="0"/>
                              <w:marTop w:val="0"/>
                              <w:marBottom w:val="0"/>
                              <w:divBdr>
                                <w:top w:val="none" w:sz="0" w:space="0" w:color="auto"/>
                                <w:left w:val="none" w:sz="0" w:space="0" w:color="auto"/>
                                <w:bottom w:val="none" w:sz="0" w:space="0" w:color="auto"/>
                                <w:right w:val="none" w:sz="0" w:space="0" w:color="auto"/>
                              </w:divBdr>
                            </w:div>
                            <w:div w:id="127802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234470">
      <w:bodyDiv w:val="1"/>
      <w:marLeft w:val="0"/>
      <w:marRight w:val="0"/>
      <w:marTop w:val="0"/>
      <w:marBottom w:val="0"/>
      <w:divBdr>
        <w:top w:val="none" w:sz="0" w:space="0" w:color="auto"/>
        <w:left w:val="none" w:sz="0" w:space="0" w:color="auto"/>
        <w:bottom w:val="none" w:sz="0" w:space="0" w:color="auto"/>
        <w:right w:val="none" w:sz="0" w:space="0" w:color="auto"/>
      </w:divBdr>
      <w:divsChild>
        <w:div w:id="1437943468">
          <w:marLeft w:val="0"/>
          <w:marRight w:val="0"/>
          <w:marTop w:val="0"/>
          <w:marBottom w:val="0"/>
          <w:divBdr>
            <w:top w:val="none" w:sz="0" w:space="0" w:color="auto"/>
            <w:left w:val="none" w:sz="0" w:space="0" w:color="auto"/>
            <w:bottom w:val="none" w:sz="0" w:space="0" w:color="auto"/>
            <w:right w:val="none" w:sz="0" w:space="0" w:color="auto"/>
          </w:divBdr>
          <w:divsChild>
            <w:div w:id="25909723">
              <w:marLeft w:val="0"/>
              <w:marRight w:val="0"/>
              <w:marTop w:val="0"/>
              <w:marBottom w:val="0"/>
              <w:divBdr>
                <w:top w:val="none" w:sz="0" w:space="0" w:color="auto"/>
                <w:left w:val="none" w:sz="0" w:space="0" w:color="auto"/>
                <w:bottom w:val="none" w:sz="0" w:space="0" w:color="auto"/>
                <w:right w:val="none" w:sz="0" w:space="0" w:color="auto"/>
              </w:divBdr>
              <w:divsChild>
                <w:div w:id="1922450784">
                  <w:marLeft w:val="0"/>
                  <w:marRight w:val="0"/>
                  <w:marTop w:val="0"/>
                  <w:marBottom w:val="0"/>
                  <w:divBdr>
                    <w:top w:val="none" w:sz="0" w:space="0" w:color="auto"/>
                    <w:left w:val="none" w:sz="0" w:space="0" w:color="auto"/>
                    <w:bottom w:val="none" w:sz="0" w:space="0" w:color="auto"/>
                    <w:right w:val="none" w:sz="0" w:space="0" w:color="auto"/>
                  </w:divBdr>
                  <w:divsChild>
                    <w:div w:id="740179078">
                      <w:marLeft w:val="0"/>
                      <w:marRight w:val="0"/>
                      <w:marTop w:val="0"/>
                      <w:marBottom w:val="0"/>
                      <w:divBdr>
                        <w:top w:val="none" w:sz="0" w:space="0" w:color="auto"/>
                        <w:left w:val="none" w:sz="0" w:space="0" w:color="auto"/>
                        <w:bottom w:val="none" w:sz="0" w:space="0" w:color="auto"/>
                        <w:right w:val="none" w:sz="0" w:space="0" w:color="auto"/>
                      </w:divBdr>
                      <w:divsChild>
                        <w:div w:id="216936412">
                          <w:marLeft w:val="0"/>
                          <w:marRight w:val="12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982508">
      <w:bodyDiv w:val="1"/>
      <w:marLeft w:val="0"/>
      <w:marRight w:val="0"/>
      <w:marTop w:val="0"/>
      <w:marBottom w:val="0"/>
      <w:divBdr>
        <w:top w:val="none" w:sz="0" w:space="0" w:color="auto"/>
        <w:left w:val="none" w:sz="0" w:space="0" w:color="auto"/>
        <w:bottom w:val="none" w:sz="0" w:space="0" w:color="auto"/>
        <w:right w:val="none" w:sz="0" w:space="0" w:color="auto"/>
      </w:divBdr>
      <w:divsChild>
        <w:div w:id="1513370637">
          <w:marLeft w:val="0"/>
          <w:marRight w:val="0"/>
          <w:marTop w:val="0"/>
          <w:marBottom w:val="0"/>
          <w:divBdr>
            <w:top w:val="none" w:sz="0" w:space="0" w:color="auto"/>
            <w:left w:val="none" w:sz="0" w:space="0" w:color="auto"/>
            <w:bottom w:val="none" w:sz="0" w:space="0" w:color="auto"/>
            <w:right w:val="none" w:sz="0" w:space="0" w:color="auto"/>
          </w:divBdr>
          <w:divsChild>
            <w:div w:id="814105794">
              <w:marLeft w:val="0"/>
              <w:marRight w:val="0"/>
              <w:marTop w:val="0"/>
              <w:marBottom w:val="0"/>
              <w:divBdr>
                <w:top w:val="none" w:sz="0" w:space="0" w:color="auto"/>
                <w:left w:val="none" w:sz="0" w:space="0" w:color="auto"/>
                <w:bottom w:val="none" w:sz="0" w:space="0" w:color="auto"/>
                <w:right w:val="none" w:sz="0" w:space="0" w:color="auto"/>
              </w:divBdr>
              <w:divsChild>
                <w:div w:id="1681467566">
                  <w:marLeft w:val="0"/>
                  <w:marRight w:val="0"/>
                  <w:marTop w:val="0"/>
                  <w:marBottom w:val="0"/>
                  <w:divBdr>
                    <w:top w:val="none" w:sz="0" w:space="0" w:color="auto"/>
                    <w:left w:val="none" w:sz="0" w:space="0" w:color="auto"/>
                    <w:bottom w:val="none" w:sz="0" w:space="0" w:color="auto"/>
                    <w:right w:val="none" w:sz="0" w:space="0" w:color="auto"/>
                  </w:divBdr>
                  <w:divsChild>
                    <w:div w:id="1193572370">
                      <w:marLeft w:val="0"/>
                      <w:marRight w:val="0"/>
                      <w:marTop w:val="0"/>
                      <w:marBottom w:val="0"/>
                      <w:divBdr>
                        <w:top w:val="none" w:sz="0" w:space="0" w:color="auto"/>
                        <w:left w:val="none" w:sz="0" w:space="0" w:color="auto"/>
                        <w:bottom w:val="none" w:sz="0" w:space="0" w:color="auto"/>
                        <w:right w:val="none" w:sz="0" w:space="0" w:color="auto"/>
                      </w:divBdr>
                      <w:divsChild>
                        <w:div w:id="1080760937">
                          <w:marLeft w:val="0"/>
                          <w:marRight w:val="12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629011">
      <w:bodyDiv w:val="1"/>
      <w:marLeft w:val="0"/>
      <w:marRight w:val="0"/>
      <w:marTop w:val="0"/>
      <w:marBottom w:val="0"/>
      <w:divBdr>
        <w:top w:val="none" w:sz="0" w:space="0" w:color="auto"/>
        <w:left w:val="none" w:sz="0" w:space="0" w:color="auto"/>
        <w:bottom w:val="none" w:sz="0" w:space="0" w:color="auto"/>
        <w:right w:val="none" w:sz="0" w:space="0" w:color="auto"/>
      </w:divBdr>
      <w:divsChild>
        <w:div w:id="375472829">
          <w:marLeft w:val="0"/>
          <w:marRight w:val="0"/>
          <w:marTop w:val="0"/>
          <w:marBottom w:val="0"/>
          <w:divBdr>
            <w:top w:val="none" w:sz="0" w:space="0" w:color="auto"/>
            <w:left w:val="none" w:sz="0" w:space="0" w:color="auto"/>
            <w:bottom w:val="none" w:sz="0" w:space="0" w:color="auto"/>
            <w:right w:val="none" w:sz="0" w:space="0" w:color="auto"/>
          </w:divBdr>
          <w:divsChild>
            <w:div w:id="1971469240">
              <w:marLeft w:val="0"/>
              <w:marRight w:val="0"/>
              <w:marTop w:val="0"/>
              <w:marBottom w:val="0"/>
              <w:divBdr>
                <w:top w:val="none" w:sz="0" w:space="0" w:color="auto"/>
                <w:left w:val="none" w:sz="0" w:space="0" w:color="auto"/>
                <w:bottom w:val="none" w:sz="0" w:space="0" w:color="auto"/>
                <w:right w:val="none" w:sz="0" w:space="0" w:color="auto"/>
              </w:divBdr>
              <w:divsChild>
                <w:div w:id="1000154388">
                  <w:marLeft w:val="0"/>
                  <w:marRight w:val="0"/>
                  <w:marTop w:val="0"/>
                  <w:marBottom w:val="0"/>
                  <w:divBdr>
                    <w:top w:val="none" w:sz="0" w:space="0" w:color="auto"/>
                    <w:left w:val="none" w:sz="0" w:space="0" w:color="auto"/>
                    <w:bottom w:val="none" w:sz="0" w:space="0" w:color="auto"/>
                    <w:right w:val="none" w:sz="0" w:space="0" w:color="auto"/>
                  </w:divBdr>
                  <w:divsChild>
                    <w:div w:id="821774669">
                      <w:marLeft w:val="0"/>
                      <w:marRight w:val="0"/>
                      <w:marTop w:val="0"/>
                      <w:marBottom w:val="0"/>
                      <w:divBdr>
                        <w:top w:val="none" w:sz="0" w:space="0" w:color="auto"/>
                        <w:left w:val="none" w:sz="0" w:space="0" w:color="auto"/>
                        <w:bottom w:val="none" w:sz="0" w:space="0" w:color="auto"/>
                        <w:right w:val="none" w:sz="0" w:space="0" w:color="auto"/>
                      </w:divBdr>
                      <w:divsChild>
                        <w:div w:id="522473502">
                          <w:marLeft w:val="0"/>
                          <w:marRight w:val="12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mailto:candinfo@acma.gov.au" TargetMode="External"/><Relationship Id="rId26" Type="http://schemas.openxmlformats.org/officeDocument/2006/relationships/footer" Target="footer7.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creativecommons.org/licenses/by/3.0/au/" TargetMode="External"/><Relationship Id="rId25" Type="http://schemas.openxmlformats.org/officeDocument/2006/relationships/footer" Target="footer6.xml"/><Relationship Id="rId33" Type="http://schemas.openxmlformats.org/officeDocument/2006/relationships/hyperlink" Target="https://www.donotcall.gov.a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5.xml"/><Relationship Id="rId29" Type="http://schemas.openxmlformats.org/officeDocument/2006/relationships/hyperlink" Target="http://www.acma.gov.au/Citizen/Stay-protected/My-privacy-world/Reduce-unwanted-calls/do-not-call-register-information-for-the-public-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hyperlink" Target="http://www.acma.gov.au/~/media/Unsolicited%20Communications%20Compliance/Report/Word%20Document/Spam%20International%20Cooperation%20The%20London%20Action%20Plan.rtf" TargetMode="External"/><Relationship Id="rId37"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yperlink" Target="http://i.creativecommons.org/l/by/3.0/88x31.png" TargetMode="External"/><Relationship Id="rId23" Type="http://schemas.openxmlformats.org/officeDocument/2006/relationships/header" Target="header6.xml"/><Relationship Id="rId28" Type="http://schemas.openxmlformats.org/officeDocument/2006/relationships/hyperlink" Target="http://www.acma.gov.au/Industry/Marketers/Do-not-call-register/How-to-comply-with-the-Do-Not-Call-Register/media-release-312011-24-march-the-acma-targets-computer-virus-telemarketers" TargetMode="External"/><Relationship Id="rId36"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hyperlink" Target="http://www.inhope.org/tns/news-and-events/news/14-04-16/INHOPE_launches_its_2013_statistics_and_infographics.asp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hyperlink" Target="http://ec.europa.eu/dgs/home-affairs/what-we-do/policies/organized-crime-and-human-trafficking/global-alliance-against-child-abuse/index_en.htm" TargetMode="External"/><Relationship Id="rId35" Type="http://schemas.openxmlformats.org/officeDocument/2006/relationships/header" Target="header9.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www.communications.gov.au/consultation_and_submissions/spectrum_review"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1F024-CDC8-4A46-8899-C93BEB7F1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6496</Words>
  <Characters>37033</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43443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2015-06-24T05:11:00Z</dcterms:created>
  <dcterms:modified xsi:type="dcterms:W3CDTF">2015-06-24T05:51:00Z</dcterms:modified>
  <cp:category/>
</cp:coreProperties>
</file>