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DDE93" w14:textId="14F2419F" w:rsidR="00E034E4" w:rsidRDefault="00E034E4" w:rsidP="00E034E4">
      <w:pPr>
        <w:pStyle w:val="ACMALinecover"/>
      </w:pPr>
      <w:r>
        <w:rPr>
          <w:noProof/>
        </w:rPr>
        <w:drawing>
          <wp:inline distT="0" distB="0" distL="0" distR="0" wp14:anchorId="670A48BB" wp14:editId="10950D9F">
            <wp:extent cx="1718945" cy="597535"/>
            <wp:effectExtent l="0" t="0" r="8255" b="12065"/>
            <wp:docPr id="3" name="Picture 24" descr="Research ACMA. Evidence that informs." title="Research 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59753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a:graphicData>
            </a:graphic>
          </wp:inline>
        </w:drawing>
      </w:r>
    </w:p>
    <w:p w14:paraId="4A3284DD" w14:textId="13D8538A" w:rsidR="00D865E5" w:rsidRDefault="006977DC" w:rsidP="00EF06D8">
      <w:pPr>
        <w:pStyle w:val="ACMAReportTitle"/>
        <w:spacing w:after="0"/>
      </w:pPr>
      <w:r>
        <w:t xml:space="preserve">The </w:t>
      </w:r>
      <w:r w:rsidR="00880A11">
        <w:t xml:space="preserve">Internet of </w:t>
      </w:r>
      <w:r w:rsidR="00572D7C">
        <w:t>T</w:t>
      </w:r>
      <w:r w:rsidR="00880A11">
        <w:t>hings</w:t>
      </w:r>
      <w:r w:rsidR="006B3975">
        <w:t xml:space="preserve"> and the</w:t>
      </w:r>
      <w:r w:rsidR="002B705D">
        <w:br/>
      </w:r>
      <w:r w:rsidR="00BA6BF6">
        <w:t>ACMA’s areas of focus</w:t>
      </w:r>
    </w:p>
    <w:p w14:paraId="57E093D4" w14:textId="4AADECF6" w:rsidR="00F06E14" w:rsidRDefault="00DB60FE" w:rsidP="00EF06D8">
      <w:pPr>
        <w:pStyle w:val="ACMAReportTitle"/>
        <w:spacing w:after="0"/>
      </w:pPr>
      <w:r w:rsidRPr="00D865E5">
        <w:rPr>
          <w:b w:val="0"/>
        </w:rPr>
        <w:t>E</w:t>
      </w:r>
      <w:r w:rsidR="00107F9D" w:rsidRPr="00D865E5">
        <w:rPr>
          <w:b w:val="0"/>
        </w:rPr>
        <w:t>merging issues</w:t>
      </w:r>
      <w:r w:rsidR="00D865E5">
        <w:rPr>
          <w:b w:val="0"/>
        </w:rPr>
        <w:t xml:space="preserve"> in media and</w:t>
      </w:r>
      <w:r w:rsidR="007210ED">
        <w:rPr>
          <w:b w:val="0"/>
        </w:rPr>
        <w:t xml:space="preserve"> </w:t>
      </w:r>
      <w:r w:rsidR="00D865E5">
        <w:rPr>
          <w:b w:val="0"/>
        </w:rPr>
        <w:t>communications</w:t>
      </w:r>
    </w:p>
    <w:p w14:paraId="5D941178" w14:textId="77777777" w:rsidR="00F06E14" w:rsidRDefault="00107F9D" w:rsidP="00F06E14">
      <w:pPr>
        <w:pStyle w:val="ACMAReportSubTitle"/>
      </w:pPr>
      <w:r>
        <w:t xml:space="preserve">Occasional </w:t>
      </w:r>
      <w:r w:rsidR="00880A11">
        <w:t>paper</w:t>
      </w:r>
    </w:p>
    <w:p w14:paraId="146F0030" w14:textId="5E7C7D03" w:rsidR="00F06E14" w:rsidRDefault="00D865E5" w:rsidP="00492413">
      <w:pPr>
        <w:pStyle w:val="ACMAReportDate"/>
        <w:spacing w:after="720"/>
      </w:pPr>
      <w:r>
        <w:t>November</w:t>
      </w:r>
      <w:r w:rsidR="00880A11">
        <w:t xml:space="preserve"> 2015</w:t>
      </w:r>
    </w:p>
    <w:p w14:paraId="1182CDEF" w14:textId="77777777" w:rsidR="009C26FF" w:rsidRDefault="009C26FF" w:rsidP="00492413">
      <w:pPr>
        <w:pStyle w:val="ACMAReportDate"/>
        <w:spacing w:after="720"/>
      </w:pPr>
    </w:p>
    <w:p w14:paraId="62231221" w14:textId="77777777" w:rsidR="009C26FF" w:rsidRDefault="009C26FF" w:rsidP="00492413">
      <w:pPr>
        <w:pStyle w:val="ACMAReportDate"/>
        <w:spacing w:after="720"/>
      </w:pPr>
    </w:p>
    <w:p w14:paraId="18A93713" w14:textId="77777777" w:rsidR="00C97736" w:rsidRPr="000D76E0" w:rsidRDefault="00C97736" w:rsidP="0041071D">
      <w:pPr>
        <w:rPr>
          <w:rFonts w:cs="Arial"/>
        </w:rPr>
      </w:pPr>
    </w:p>
    <w:p w14:paraId="2EB28B80" w14:textId="77777777" w:rsidR="00C97736" w:rsidRPr="000D76E0" w:rsidRDefault="00C97736" w:rsidP="0041071D">
      <w:pPr>
        <w:rPr>
          <w:rFonts w:cs="Arial"/>
        </w:rPr>
        <w:sectPr w:rsidR="00C97736" w:rsidRPr="000D76E0" w:rsidSect="004F556E">
          <w:headerReference w:type="even" r:id="rId9"/>
          <w:headerReference w:type="default" r:id="rId10"/>
          <w:footerReference w:type="even" r:id="rId11"/>
          <w:footerReference w:type="default" r:id="rId12"/>
          <w:headerReference w:type="first" r:id="rId13"/>
          <w:footerReference w:type="first" r:id="rId14"/>
          <w:pgSz w:w="11906" w:h="16838" w:code="9"/>
          <w:pgMar w:top="3924" w:right="1797" w:bottom="1440" w:left="1134" w:header="709" w:footer="454" w:gutter="0"/>
          <w:cols w:space="708"/>
          <w:docGrid w:linePitch="360"/>
        </w:sectPr>
      </w:pPr>
    </w:p>
    <w:p w14:paraId="129E7ECD" w14:textId="77777777" w:rsidR="0005011A" w:rsidRPr="00F44F3A" w:rsidRDefault="0005011A" w:rsidP="00FC07B9">
      <w:pPr>
        <w:pStyle w:val="ACMACorporateAddressHeader"/>
      </w:pPr>
      <w:r w:rsidRPr="00F44F3A">
        <w:lastRenderedPageBreak/>
        <w:t>Canberra</w:t>
      </w:r>
    </w:p>
    <w:p w14:paraId="6573350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FC5E3A6" w14:textId="77777777" w:rsidR="0005011A" w:rsidRPr="00FC07B9" w:rsidRDefault="0005011A" w:rsidP="00FC07B9">
      <w:pPr>
        <w:pStyle w:val="ACMACorporateAddresses"/>
      </w:pPr>
      <w:r w:rsidRPr="00FC07B9">
        <w:t>PO Box 78</w:t>
      </w:r>
      <w:r w:rsidRPr="00FC07B9">
        <w:br/>
        <w:t>Belconnen ACT 2616</w:t>
      </w:r>
    </w:p>
    <w:p w14:paraId="35BB212F"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6F4E5A8" w14:textId="77777777" w:rsidR="0005011A" w:rsidRPr="00F44F3A" w:rsidRDefault="0005011A" w:rsidP="00FC07B9">
      <w:pPr>
        <w:pStyle w:val="ACMACorporateAddressHeader"/>
      </w:pPr>
      <w:r w:rsidRPr="00F44F3A">
        <w:t>Melbourne</w:t>
      </w:r>
    </w:p>
    <w:p w14:paraId="5C1B5936"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03A5E23"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A3A1F4E"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2CFF530" w14:textId="77777777" w:rsidR="0005011A" w:rsidRPr="00F44F3A" w:rsidRDefault="0005011A" w:rsidP="00FC07B9">
      <w:pPr>
        <w:pStyle w:val="ACMACorporateAddressHeader"/>
      </w:pPr>
      <w:r w:rsidRPr="00F44F3A">
        <w:t>Sydney</w:t>
      </w:r>
    </w:p>
    <w:p w14:paraId="1EFE040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1ED9FB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4141BA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2757AAE" w14:textId="77777777" w:rsidR="00140318" w:rsidRPr="006D46E5" w:rsidRDefault="00140318" w:rsidP="00FC07B9">
      <w:pPr>
        <w:pStyle w:val="ACMACopyrightHeader"/>
      </w:pPr>
      <w:r w:rsidRPr="00140318">
        <w:t>Copyright notice</w:t>
      </w:r>
    </w:p>
    <w:p w14:paraId="1FF05B13" w14:textId="77777777" w:rsidR="00140318" w:rsidRPr="006D46E5" w:rsidRDefault="00623FF9" w:rsidP="00623FF9">
      <w:pPr>
        <w:pStyle w:val="ACMACClogo"/>
      </w:pPr>
      <w:r w:rsidRPr="00623FF9">
        <w:rPr>
          <w:noProof/>
        </w:rPr>
        <w:drawing>
          <wp:inline distT="0" distB="0" distL="0" distR="0" wp14:anchorId="41383E84" wp14:editId="25C318CF">
            <wp:extent cx="838200" cy="295275"/>
            <wp:effectExtent l="0" t="0" r="0" b="0"/>
            <wp:docPr id="1" name="Picture 1"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5"/>
                    </pic:cNvPr>
                    <pic:cNvPicPr>
                      <a:picLocks noChangeAspect="1" noChangeArrowheads="1"/>
                    </pic:cNvPicPr>
                  </pic:nvPicPr>
                  <pic:blipFill>
                    <a:blip r:embed="rId16" cstate="print"/>
                    <a:srcRect/>
                    <a:stretch>
                      <a:fillRect/>
                    </a:stretch>
                  </pic:blipFill>
                  <pic:spPr bwMode="auto">
                    <a:xfrm>
                      <a:off x="0" y="0"/>
                      <a:ext cx="838200" cy="295275"/>
                    </a:xfrm>
                    <a:prstGeom prst="rect">
                      <a:avLst/>
                    </a:prstGeom>
                    <a:noFill/>
                  </pic:spPr>
                </pic:pic>
              </a:graphicData>
            </a:graphic>
          </wp:inline>
        </w:drawing>
      </w:r>
    </w:p>
    <w:p w14:paraId="62E2B71A" w14:textId="77777777" w:rsidR="00140318" w:rsidRPr="00431792" w:rsidRDefault="00EB3A24" w:rsidP="00FC07B9">
      <w:pPr>
        <w:pStyle w:val="ACMACorporateAddresses"/>
        <w:rPr>
          <w:rStyle w:val="Hyperlink"/>
        </w:rPr>
      </w:pPr>
      <w:hyperlink r:id="rId17" w:tooltip="Creative Commons Licenses" w:history="1">
        <w:r w:rsidR="00140318" w:rsidRPr="00431792">
          <w:rPr>
            <w:rStyle w:val="Hyperlink"/>
          </w:rPr>
          <w:t>http://creativecommons.org/licenses/by/3.0/au/</w:t>
        </w:r>
      </w:hyperlink>
    </w:p>
    <w:p w14:paraId="2E973A10"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7A9B3493" w14:textId="77777777" w:rsidR="00140318" w:rsidRPr="006D46E5" w:rsidRDefault="00140318" w:rsidP="00FC07B9">
      <w:pPr>
        <w:pStyle w:val="ACMACorporateAddresses"/>
      </w:pPr>
      <w:r w:rsidRPr="006D46E5">
        <w:t>We request attribution as: © Commonwealth of Australia (Australian Communic</w:t>
      </w:r>
      <w:r>
        <w:t>ations and Media Autho</w:t>
      </w:r>
      <w:r w:rsidR="00262448">
        <w:t>rity) 2015</w:t>
      </w:r>
      <w:r w:rsidRPr="006D46E5">
        <w:t>.</w:t>
      </w:r>
    </w:p>
    <w:p w14:paraId="2F3CF785" w14:textId="77777777" w:rsidR="00140318" w:rsidRPr="006D46E5" w:rsidRDefault="00140318" w:rsidP="00FC07B9">
      <w:pPr>
        <w:pStyle w:val="ACMACorporateAddresses"/>
      </w:pPr>
      <w:r>
        <w:t>All other rights are reserved.</w:t>
      </w:r>
    </w:p>
    <w:p w14:paraId="50F07691"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4017CEE" w14:textId="77777777" w:rsidR="00140318" w:rsidRPr="006D46E5" w:rsidRDefault="00140318" w:rsidP="00FC07B9">
      <w:pPr>
        <w:pStyle w:val="ACMACorporateAddresses"/>
      </w:pPr>
      <w:r w:rsidRPr="006D46E5">
        <w:t>Written enquiries may be sent to:</w:t>
      </w:r>
    </w:p>
    <w:p w14:paraId="382291A6"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8" w:history="1">
        <w:r w:rsidRPr="00431792">
          <w:rPr>
            <w:rStyle w:val="Hyperlink"/>
          </w:rPr>
          <w:t>candinfo@acma.gov.au</w:t>
        </w:r>
      </w:hyperlink>
    </w:p>
    <w:p w14:paraId="213A6952" w14:textId="77777777" w:rsidR="00D16FE3" w:rsidRDefault="00D16FE3" w:rsidP="00D16FE3">
      <w:pPr>
        <w:pStyle w:val="ACMACorporateAddresses"/>
        <w:rPr>
          <w:rStyle w:val="Hyperlink"/>
        </w:rPr>
      </w:pPr>
    </w:p>
    <w:p w14:paraId="58E7245D" w14:textId="77777777" w:rsidR="00D16FE3" w:rsidRPr="00D16FE3" w:rsidRDefault="00D16FE3" w:rsidP="00D16FE3">
      <w:pPr>
        <w:pStyle w:val="ACMACorporateAddresses"/>
        <w:sectPr w:rsidR="00D16FE3" w:rsidRPr="00D16FE3">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081DE729" w14:textId="77777777" w:rsidR="008148EE" w:rsidRDefault="004E0F8C" w:rsidP="008616D1">
      <w:pPr>
        <w:pStyle w:val="TOC1"/>
        <w:spacing w:before="240"/>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35079468" w:history="1">
        <w:r w:rsidR="008148EE" w:rsidRPr="0065012D">
          <w:rPr>
            <w:rStyle w:val="Hyperlink"/>
          </w:rPr>
          <w:t>Executive summary</w:t>
        </w:r>
        <w:r w:rsidR="008148EE">
          <w:rPr>
            <w:webHidden/>
          </w:rPr>
          <w:tab/>
        </w:r>
        <w:r w:rsidR="008148EE">
          <w:rPr>
            <w:webHidden/>
          </w:rPr>
          <w:fldChar w:fldCharType="begin"/>
        </w:r>
        <w:r w:rsidR="008148EE">
          <w:rPr>
            <w:webHidden/>
          </w:rPr>
          <w:instrText xml:space="preserve"> PAGEREF _Toc435079468 \h </w:instrText>
        </w:r>
        <w:r w:rsidR="008148EE">
          <w:rPr>
            <w:webHidden/>
          </w:rPr>
        </w:r>
        <w:r w:rsidR="008148EE">
          <w:rPr>
            <w:webHidden/>
          </w:rPr>
          <w:fldChar w:fldCharType="separate"/>
        </w:r>
        <w:r w:rsidR="008600B8">
          <w:rPr>
            <w:webHidden/>
          </w:rPr>
          <w:t>1</w:t>
        </w:r>
        <w:r w:rsidR="008148EE">
          <w:rPr>
            <w:webHidden/>
          </w:rPr>
          <w:fldChar w:fldCharType="end"/>
        </w:r>
      </w:hyperlink>
    </w:p>
    <w:p w14:paraId="7E39D38D" w14:textId="77777777" w:rsidR="008148EE" w:rsidRDefault="00EB3A24">
      <w:pPr>
        <w:pStyle w:val="TOC2"/>
        <w:rPr>
          <w:rFonts w:asciiTheme="minorHAnsi" w:eastAsiaTheme="minorEastAsia" w:hAnsiTheme="minorHAnsi" w:cstheme="minorBidi"/>
          <w:spacing w:val="0"/>
          <w:sz w:val="22"/>
          <w:szCs w:val="22"/>
        </w:rPr>
      </w:pPr>
      <w:hyperlink w:anchor="_Toc435079469" w:history="1">
        <w:r w:rsidR="008148EE" w:rsidRPr="0065012D">
          <w:rPr>
            <w:rStyle w:val="Hyperlink"/>
          </w:rPr>
          <w:t>Feedback—tell us what you think</w:t>
        </w:r>
        <w:r w:rsidR="008148EE">
          <w:rPr>
            <w:webHidden/>
          </w:rPr>
          <w:tab/>
        </w:r>
        <w:r w:rsidR="008148EE">
          <w:rPr>
            <w:webHidden/>
          </w:rPr>
          <w:fldChar w:fldCharType="begin"/>
        </w:r>
        <w:r w:rsidR="008148EE">
          <w:rPr>
            <w:webHidden/>
          </w:rPr>
          <w:instrText xml:space="preserve"> PAGEREF _Toc435079469 \h </w:instrText>
        </w:r>
        <w:r w:rsidR="008148EE">
          <w:rPr>
            <w:webHidden/>
          </w:rPr>
        </w:r>
        <w:r w:rsidR="008148EE">
          <w:rPr>
            <w:webHidden/>
          </w:rPr>
          <w:fldChar w:fldCharType="separate"/>
        </w:r>
        <w:r w:rsidR="008600B8">
          <w:rPr>
            <w:webHidden/>
          </w:rPr>
          <w:t>2</w:t>
        </w:r>
        <w:r w:rsidR="008148EE">
          <w:rPr>
            <w:webHidden/>
          </w:rPr>
          <w:fldChar w:fldCharType="end"/>
        </w:r>
      </w:hyperlink>
    </w:p>
    <w:p w14:paraId="0B75C941" w14:textId="77777777" w:rsidR="008148EE" w:rsidRDefault="00EB3A24">
      <w:pPr>
        <w:pStyle w:val="TOC3"/>
        <w:rPr>
          <w:rFonts w:asciiTheme="minorHAnsi" w:eastAsiaTheme="minorEastAsia" w:hAnsiTheme="minorHAnsi" w:cstheme="minorBidi"/>
        </w:rPr>
      </w:pPr>
      <w:hyperlink w:anchor="_Toc435079470" w:history="1">
        <w:r w:rsidR="008148EE" w:rsidRPr="0065012D">
          <w:rPr>
            <w:rStyle w:val="Hyperlink"/>
          </w:rPr>
          <w:t>How to provide feedback</w:t>
        </w:r>
        <w:r w:rsidR="008148EE">
          <w:rPr>
            <w:webHidden/>
          </w:rPr>
          <w:tab/>
        </w:r>
        <w:r w:rsidR="008148EE">
          <w:rPr>
            <w:webHidden/>
          </w:rPr>
          <w:fldChar w:fldCharType="begin"/>
        </w:r>
        <w:r w:rsidR="008148EE">
          <w:rPr>
            <w:webHidden/>
          </w:rPr>
          <w:instrText xml:space="preserve"> PAGEREF _Toc435079470 \h </w:instrText>
        </w:r>
        <w:r w:rsidR="008148EE">
          <w:rPr>
            <w:webHidden/>
          </w:rPr>
        </w:r>
        <w:r w:rsidR="008148EE">
          <w:rPr>
            <w:webHidden/>
          </w:rPr>
          <w:fldChar w:fldCharType="separate"/>
        </w:r>
        <w:r w:rsidR="008600B8">
          <w:rPr>
            <w:webHidden/>
          </w:rPr>
          <w:t>2</w:t>
        </w:r>
        <w:r w:rsidR="008148EE">
          <w:rPr>
            <w:webHidden/>
          </w:rPr>
          <w:fldChar w:fldCharType="end"/>
        </w:r>
      </w:hyperlink>
    </w:p>
    <w:p w14:paraId="40B66DFF" w14:textId="77777777" w:rsidR="008148EE" w:rsidRDefault="00EB3A24" w:rsidP="008616D1">
      <w:pPr>
        <w:pStyle w:val="TOC1"/>
        <w:spacing w:before="240"/>
        <w:rPr>
          <w:rFonts w:asciiTheme="minorHAnsi" w:eastAsiaTheme="minorEastAsia" w:hAnsiTheme="minorHAnsi" w:cstheme="minorBidi"/>
          <w:b w:val="0"/>
          <w:spacing w:val="0"/>
          <w:sz w:val="22"/>
          <w:szCs w:val="22"/>
        </w:rPr>
      </w:pPr>
      <w:hyperlink w:anchor="_Toc435079471" w:history="1">
        <w:r w:rsidR="008148EE" w:rsidRPr="0065012D">
          <w:rPr>
            <w:rStyle w:val="Hyperlink"/>
          </w:rPr>
          <w:t>About the research</w:t>
        </w:r>
        <w:r w:rsidR="008148EE">
          <w:rPr>
            <w:webHidden/>
          </w:rPr>
          <w:tab/>
        </w:r>
        <w:r w:rsidR="008148EE">
          <w:rPr>
            <w:webHidden/>
          </w:rPr>
          <w:fldChar w:fldCharType="begin"/>
        </w:r>
        <w:r w:rsidR="008148EE">
          <w:rPr>
            <w:webHidden/>
          </w:rPr>
          <w:instrText xml:space="preserve"> PAGEREF _Toc435079471 \h </w:instrText>
        </w:r>
        <w:r w:rsidR="008148EE">
          <w:rPr>
            <w:webHidden/>
          </w:rPr>
        </w:r>
        <w:r w:rsidR="008148EE">
          <w:rPr>
            <w:webHidden/>
          </w:rPr>
          <w:fldChar w:fldCharType="separate"/>
        </w:r>
        <w:r w:rsidR="008600B8">
          <w:rPr>
            <w:webHidden/>
          </w:rPr>
          <w:t>3</w:t>
        </w:r>
        <w:r w:rsidR="008148EE">
          <w:rPr>
            <w:webHidden/>
          </w:rPr>
          <w:fldChar w:fldCharType="end"/>
        </w:r>
      </w:hyperlink>
    </w:p>
    <w:p w14:paraId="31A6AFFF" w14:textId="77777777" w:rsidR="008148EE" w:rsidRDefault="00EB3A24">
      <w:pPr>
        <w:pStyle w:val="TOC2"/>
        <w:rPr>
          <w:rFonts w:asciiTheme="minorHAnsi" w:eastAsiaTheme="minorEastAsia" w:hAnsiTheme="minorHAnsi" w:cstheme="minorBidi"/>
          <w:spacing w:val="0"/>
          <w:sz w:val="22"/>
          <w:szCs w:val="22"/>
        </w:rPr>
      </w:pPr>
      <w:hyperlink w:anchor="_Toc435079472" w:history="1">
        <w:r w:rsidR="008148EE" w:rsidRPr="0065012D">
          <w:rPr>
            <w:rStyle w:val="Hyperlink"/>
          </w:rPr>
          <w:t>researchacma</w:t>
        </w:r>
        <w:r w:rsidR="008148EE">
          <w:rPr>
            <w:webHidden/>
          </w:rPr>
          <w:tab/>
        </w:r>
        <w:r w:rsidR="008148EE">
          <w:rPr>
            <w:webHidden/>
          </w:rPr>
          <w:fldChar w:fldCharType="begin"/>
        </w:r>
        <w:r w:rsidR="008148EE">
          <w:rPr>
            <w:webHidden/>
          </w:rPr>
          <w:instrText xml:space="preserve"> PAGEREF _Toc435079472 \h </w:instrText>
        </w:r>
        <w:r w:rsidR="008148EE">
          <w:rPr>
            <w:webHidden/>
          </w:rPr>
        </w:r>
        <w:r w:rsidR="008148EE">
          <w:rPr>
            <w:webHidden/>
          </w:rPr>
          <w:fldChar w:fldCharType="separate"/>
        </w:r>
        <w:r w:rsidR="008600B8">
          <w:rPr>
            <w:webHidden/>
          </w:rPr>
          <w:t>3</w:t>
        </w:r>
        <w:r w:rsidR="008148EE">
          <w:rPr>
            <w:webHidden/>
          </w:rPr>
          <w:fldChar w:fldCharType="end"/>
        </w:r>
      </w:hyperlink>
    </w:p>
    <w:p w14:paraId="62BA93BD" w14:textId="77777777" w:rsidR="008148EE" w:rsidRDefault="00EB3A24" w:rsidP="008616D1">
      <w:pPr>
        <w:pStyle w:val="TOC1"/>
        <w:spacing w:before="240"/>
        <w:rPr>
          <w:rFonts w:asciiTheme="minorHAnsi" w:eastAsiaTheme="minorEastAsia" w:hAnsiTheme="minorHAnsi" w:cstheme="minorBidi"/>
          <w:b w:val="0"/>
          <w:spacing w:val="0"/>
          <w:sz w:val="22"/>
          <w:szCs w:val="22"/>
        </w:rPr>
      </w:pPr>
      <w:hyperlink w:anchor="_Toc435079473" w:history="1">
        <w:r w:rsidR="008148EE" w:rsidRPr="008616D1">
          <w:rPr>
            <w:rStyle w:val="Hyperlink"/>
          </w:rPr>
          <w:t>Introduction</w:t>
        </w:r>
        <w:r w:rsidR="008148EE">
          <w:rPr>
            <w:webHidden/>
          </w:rPr>
          <w:tab/>
        </w:r>
        <w:r w:rsidR="008148EE">
          <w:rPr>
            <w:webHidden/>
          </w:rPr>
          <w:fldChar w:fldCharType="begin"/>
        </w:r>
        <w:r w:rsidR="008148EE">
          <w:rPr>
            <w:webHidden/>
          </w:rPr>
          <w:instrText xml:space="preserve"> PAGEREF _Toc435079473 \h </w:instrText>
        </w:r>
        <w:r w:rsidR="008148EE">
          <w:rPr>
            <w:webHidden/>
          </w:rPr>
        </w:r>
        <w:r w:rsidR="008148EE">
          <w:rPr>
            <w:webHidden/>
          </w:rPr>
          <w:fldChar w:fldCharType="separate"/>
        </w:r>
        <w:r w:rsidR="008600B8">
          <w:rPr>
            <w:webHidden/>
          </w:rPr>
          <w:t>5</w:t>
        </w:r>
        <w:r w:rsidR="008148EE">
          <w:rPr>
            <w:webHidden/>
          </w:rPr>
          <w:fldChar w:fldCharType="end"/>
        </w:r>
      </w:hyperlink>
    </w:p>
    <w:p w14:paraId="2AC2AC27" w14:textId="77777777" w:rsidR="008148EE" w:rsidRDefault="00EB3A24" w:rsidP="008616D1">
      <w:pPr>
        <w:pStyle w:val="TOC1"/>
        <w:spacing w:before="240"/>
        <w:rPr>
          <w:rFonts w:asciiTheme="minorHAnsi" w:eastAsiaTheme="minorEastAsia" w:hAnsiTheme="minorHAnsi" w:cstheme="minorBidi"/>
          <w:b w:val="0"/>
          <w:spacing w:val="0"/>
          <w:sz w:val="22"/>
          <w:szCs w:val="22"/>
        </w:rPr>
      </w:pPr>
      <w:hyperlink w:anchor="_Toc435079474" w:history="1">
        <w:r w:rsidR="008148EE" w:rsidRPr="0065012D">
          <w:rPr>
            <w:rStyle w:val="Hyperlink"/>
          </w:rPr>
          <w:t>Part 1—A practical roadmap</w:t>
        </w:r>
        <w:r w:rsidR="008148EE">
          <w:rPr>
            <w:webHidden/>
          </w:rPr>
          <w:tab/>
        </w:r>
        <w:r w:rsidR="008148EE">
          <w:rPr>
            <w:webHidden/>
          </w:rPr>
          <w:fldChar w:fldCharType="begin"/>
        </w:r>
        <w:r w:rsidR="008148EE">
          <w:rPr>
            <w:webHidden/>
          </w:rPr>
          <w:instrText xml:space="preserve"> PAGEREF _Toc435079474 \h </w:instrText>
        </w:r>
        <w:r w:rsidR="008148EE">
          <w:rPr>
            <w:webHidden/>
          </w:rPr>
        </w:r>
        <w:r w:rsidR="008148EE">
          <w:rPr>
            <w:webHidden/>
          </w:rPr>
          <w:fldChar w:fldCharType="separate"/>
        </w:r>
        <w:r w:rsidR="008600B8">
          <w:rPr>
            <w:webHidden/>
          </w:rPr>
          <w:t>8</w:t>
        </w:r>
        <w:r w:rsidR="008148EE">
          <w:rPr>
            <w:webHidden/>
          </w:rPr>
          <w:fldChar w:fldCharType="end"/>
        </w:r>
      </w:hyperlink>
    </w:p>
    <w:p w14:paraId="09531CA1" w14:textId="77777777" w:rsidR="008148EE" w:rsidRDefault="00EB3A24">
      <w:pPr>
        <w:pStyle w:val="TOC2"/>
        <w:rPr>
          <w:rFonts w:asciiTheme="minorHAnsi" w:eastAsiaTheme="minorEastAsia" w:hAnsiTheme="minorHAnsi" w:cstheme="minorBidi"/>
          <w:spacing w:val="0"/>
          <w:sz w:val="22"/>
          <w:szCs w:val="22"/>
        </w:rPr>
      </w:pPr>
      <w:hyperlink w:anchor="_Toc435079475" w:history="1">
        <w:r w:rsidR="008148EE" w:rsidRPr="0065012D">
          <w:rPr>
            <w:rStyle w:val="Hyperlink"/>
          </w:rPr>
          <w:t>The ACMA’s current focus</w:t>
        </w:r>
        <w:r w:rsidR="008148EE">
          <w:rPr>
            <w:webHidden/>
          </w:rPr>
          <w:tab/>
        </w:r>
        <w:r w:rsidR="008148EE">
          <w:rPr>
            <w:webHidden/>
          </w:rPr>
          <w:fldChar w:fldCharType="begin"/>
        </w:r>
        <w:r w:rsidR="008148EE">
          <w:rPr>
            <w:webHidden/>
          </w:rPr>
          <w:instrText xml:space="preserve"> PAGEREF _Toc435079475 \h </w:instrText>
        </w:r>
        <w:r w:rsidR="008148EE">
          <w:rPr>
            <w:webHidden/>
          </w:rPr>
        </w:r>
        <w:r w:rsidR="008148EE">
          <w:rPr>
            <w:webHidden/>
          </w:rPr>
          <w:fldChar w:fldCharType="separate"/>
        </w:r>
        <w:r w:rsidR="008600B8">
          <w:rPr>
            <w:webHidden/>
          </w:rPr>
          <w:t>8</w:t>
        </w:r>
        <w:r w:rsidR="008148EE">
          <w:rPr>
            <w:webHidden/>
          </w:rPr>
          <w:fldChar w:fldCharType="end"/>
        </w:r>
      </w:hyperlink>
    </w:p>
    <w:p w14:paraId="547DF267" w14:textId="77777777" w:rsidR="008148EE" w:rsidRDefault="00EB3A24">
      <w:pPr>
        <w:pStyle w:val="TOC3"/>
        <w:rPr>
          <w:rFonts w:asciiTheme="minorHAnsi" w:eastAsiaTheme="minorEastAsia" w:hAnsiTheme="minorHAnsi" w:cstheme="minorBidi"/>
        </w:rPr>
      </w:pPr>
      <w:hyperlink w:anchor="_Toc435079476" w:history="1">
        <w:r w:rsidR="008148EE" w:rsidRPr="0065012D">
          <w:rPr>
            <w:rStyle w:val="Hyperlink"/>
          </w:rPr>
          <w:t>Telephone numbers as an infrastructure enabler</w:t>
        </w:r>
        <w:r w:rsidR="008148EE">
          <w:rPr>
            <w:webHidden/>
          </w:rPr>
          <w:tab/>
        </w:r>
        <w:r w:rsidR="008148EE">
          <w:rPr>
            <w:webHidden/>
          </w:rPr>
          <w:fldChar w:fldCharType="begin"/>
        </w:r>
        <w:r w:rsidR="008148EE">
          <w:rPr>
            <w:webHidden/>
          </w:rPr>
          <w:instrText xml:space="preserve"> PAGEREF _Toc435079476 \h </w:instrText>
        </w:r>
        <w:r w:rsidR="008148EE">
          <w:rPr>
            <w:webHidden/>
          </w:rPr>
        </w:r>
        <w:r w:rsidR="008148EE">
          <w:rPr>
            <w:webHidden/>
          </w:rPr>
          <w:fldChar w:fldCharType="separate"/>
        </w:r>
        <w:r w:rsidR="008600B8">
          <w:rPr>
            <w:webHidden/>
          </w:rPr>
          <w:t>8</w:t>
        </w:r>
        <w:r w:rsidR="008148EE">
          <w:rPr>
            <w:webHidden/>
          </w:rPr>
          <w:fldChar w:fldCharType="end"/>
        </w:r>
      </w:hyperlink>
    </w:p>
    <w:p w14:paraId="7EC92FCF" w14:textId="77777777" w:rsidR="008148EE" w:rsidRDefault="00EB3A24">
      <w:pPr>
        <w:pStyle w:val="TOC3"/>
        <w:rPr>
          <w:rFonts w:asciiTheme="minorHAnsi" w:eastAsiaTheme="minorEastAsia" w:hAnsiTheme="minorHAnsi" w:cstheme="minorBidi"/>
        </w:rPr>
      </w:pPr>
      <w:hyperlink w:anchor="_Toc435079477" w:history="1">
        <w:r w:rsidR="008148EE" w:rsidRPr="0065012D">
          <w:rPr>
            <w:rStyle w:val="Hyperlink"/>
          </w:rPr>
          <w:t>Spectrum as an infrastructure and device enabler for IoT</w:t>
        </w:r>
        <w:r w:rsidR="008148EE">
          <w:rPr>
            <w:webHidden/>
          </w:rPr>
          <w:tab/>
        </w:r>
        <w:r w:rsidR="008148EE">
          <w:rPr>
            <w:webHidden/>
          </w:rPr>
          <w:fldChar w:fldCharType="begin"/>
        </w:r>
        <w:r w:rsidR="008148EE">
          <w:rPr>
            <w:webHidden/>
          </w:rPr>
          <w:instrText xml:space="preserve"> PAGEREF _Toc435079477 \h </w:instrText>
        </w:r>
        <w:r w:rsidR="008148EE">
          <w:rPr>
            <w:webHidden/>
          </w:rPr>
        </w:r>
        <w:r w:rsidR="008148EE">
          <w:rPr>
            <w:webHidden/>
          </w:rPr>
          <w:fldChar w:fldCharType="separate"/>
        </w:r>
        <w:r w:rsidR="008600B8">
          <w:rPr>
            <w:webHidden/>
          </w:rPr>
          <w:t>8</w:t>
        </w:r>
        <w:r w:rsidR="008148EE">
          <w:rPr>
            <w:webHidden/>
          </w:rPr>
          <w:fldChar w:fldCharType="end"/>
        </w:r>
      </w:hyperlink>
    </w:p>
    <w:p w14:paraId="073C029A" w14:textId="77777777" w:rsidR="008148EE" w:rsidRDefault="00EB3A24">
      <w:pPr>
        <w:pStyle w:val="TOC3"/>
        <w:rPr>
          <w:rFonts w:asciiTheme="minorHAnsi" w:eastAsiaTheme="minorEastAsia" w:hAnsiTheme="minorHAnsi" w:cstheme="minorBidi"/>
        </w:rPr>
      </w:pPr>
      <w:hyperlink w:anchor="_Toc435079478" w:history="1">
        <w:r w:rsidR="008148EE" w:rsidRPr="0065012D">
          <w:rPr>
            <w:rStyle w:val="Hyperlink"/>
          </w:rPr>
          <w:t>Enabling seamless information exchange for digital data</w:t>
        </w:r>
        <w:r w:rsidR="008148EE">
          <w:rPr>
            <w:webHidden/>
          </w:rPr>
          <w:tab/>
        </w:r>
        <w:r w:rsidR="008148EE">
          <w:rPr>
            <w:webHidden/>
          </w:rPr>
          <w:fldChar w:fldCharType="begin"/>
        </w:r>
        <w:r w:rsidR="008148EE">
          <w:rPr>
            <w:webHidden/>
          </w:rPr>
          <w:instrText xml:space="preserve"> PAGEREF _Toc435079478 \h </w:instrText>
        </w:r>
        <w:r w:rsidR="008148EE">
          <w:rPr>
            <w:webHidden/>
          </w:rPr>
        </w:r>
        <w:r w:rsidR="008148EE">
          <w:rPr>
            <w:webHidden/>
          </w:rPr>
          <w:fldChar w:fldCharType="separate"/>
        </w:r>
        <w:r w:rsidR="008600B8">
          <w:rPr>
            <w:webHidden/>
          </w:rPr>
          <w:t>10</w:t>
        </w:r>
        <w:r w:rsidR="008148EE">
          <w:rPr>
            <w:webHidden/>
          </w:rPr>
          <w:fldChar w:fldCharType="end"/>
        </w:r>
      </w:hyperlink>
    </w:p>
    <w:p w14:paraId="243C7EBA" w14:textId="77777777" w:rsidR="008148EE" w:rsidRDefault="00EB3A24">
      <w:pPr>
        <w:pStyle w:val="TOC3"/>
        <w:rPr>
          <w:rFonts w:asciiTheme="minorHAnsi" w:eastAsiaTheme="minorEastAsia" w:hAnsiTheme="minorHAnsi" w:cstheme="minorBidi"/>
        </w:rPr>
      </w:pPr>
      <w:hyperlink w:anchor="_Toc435079479" w:history="1">
        <w:r w:rsidR="008148EE" w:rsidRPr="0065012D">
          <w:rPr>
            <w:rStyle w:val="Hyperlink"/>
          </w:rPr>
          <w:t>Developing citizen’s and consumer’s digital capabilities</w:t>
        </w:r>
        <w:r w:rsidR="008148EE">
          <w:rPr>
            <w:webHidden/>
          </w:rPr>
          <w:tab/>
        </w:r>
        <w:r w:rsidR="008148EE">
          <w:rPr>
            <w:webHidden/>
          </w:rPr>
          <w:fldChar w:fldCharType="begin"/>
        </w:r>
        <w:r w:rsidR="008148EE">
          <w:rPr>
            <w:webHidden/>
          </w:rPr>
          <w:instrText xml:space="preserve"> PAGEREF _Toc435079479 \h </w:instrText>
        </w:r>
        <w:r w:rsidR="008148EE">
          <w:rPr>
            <w:webHidden/>
          </w:rPr>
        </w:r>
        <w:r w:rsidR="008148EE">
          <w:rPr>
            <w:webHidden/>
          </w:rPr>
          <w:fldChar w:fldCharType="separate"/>
        </w:r>
        <w:r w:rsidR="008600B8">
          <w:rPr>
            <w:webHidden/>
          </w:rPr>
          <w:t>10</w:t>
        </w:r>
        <w:r w:rsidR="008148EE">
          <w:rPr>
            <w:webHidden/>
          </w:rPr>
          <w:fldChar w:fldCharType="end"/>
        </w:r>
      </w:hyperlink>
    </w:p>
    <w:p w14:paraId="3FD66290" w14:textId="77777777" w:rsidR="008148EE" w:rsidRDefault="00EB3A24">
      <w:pPr>
        <w:pStyle w:val="TOC2"/>
        <w:rPr>
          <w:rFonts w:asciiTheme="minorHAnsi" w:eastAsiaTheme="minorEastAsia" w:hAnsiTheme="minorHAnsi" w:cstheme="minorBidi"/>
          <w:spacing w:val="0"/>
          <w:sz w:val="22"/>
          <w:szCs w:val="22"/>
        </w:rPr>
      </w:pPr>
      <w:hyperlink w:anchor="_Toc435079480" w:history="1">
        <w:r w:rsidR="008148EE" w:rsidRPr="0065012D">
          <w:rPr>
            <w:rStyle w:val="Hyperlink"/>
          </w:rPr>
          <w:t>The ACMA’s medium-term focus—the next two to five years</w:t>
        </w:r>
        <w:r w:rsidR="008148EE">
          <w:rPr>
            <w:webHidden/>
          </w:rPr>
          <w:tab/>
        </w:r>
        <w:r w:rsidR="008148EE">
          <w:rPr>
            <w:webHidden/>
          </w:rPr>
          <w:fldChar w:fldCharType="begin"/>
        </w:r>
        <w:r w:rsidR="008148EE">
          <w:rPr>
            <w:webHidden/>
          </w:rPr>
          <w:instrText xml:space="preserve"> PAGEREF _Toc435079480 \h </w:instrText>
        </w:r>
        <w:r w:rsidR="008148EE">
          <w:rPr>
            <w:webHidden/>
          </w:rPr>
        </w:r>
        <w:r w:rsidR="008148EE">
          <w:rPr>
            <w:webHidden/>
          </w:rPr>
          <w:fldChar w:fldCharType="separate"/>
        </w:r>
        <w:r w:rsidR="008600B8">
          <w:rPr>
            <w:webHidden/>
          </w:rPr>
          <w:t>11</w:t>
        </w:r>
        <w:r w:rsidR="008148EE">
          <w:rPr>
            <w:webHidden/>
          </w:rPr>
          <w:fldChar w:fldCharType="end"/>
        </w:r>
      </w:hyperlink>
    </w:p>
    <w:p w14:paraId="1E90029C" w14:textId="77777777" w:rsidR="008148EE" w:rsidRDefault="00EB3A24">
      <w:pPr>
        <w:pStyle w:val="TOC2"/>
        <w:rPr>
          <w:rFonts w:asciiTheme="minorHAnsi" w:eastAsiaTheme="minorEastAsia" w:hAnsiTheme="minorHAnsi" w:cstheme="minorBidi"/>
          <w:spacing w:val="0"/>
          <w:sz w:val="22"/>
          <w:szCs w:val="22"/>
        </w:rPr>
      </w:pPr>
      <w:hyperlink w:anchor="_Toc435079481" w:history="1">
        <w:r w:rsidR="008148EE" w:rsidRPr="0065012D">
          <w:rPr>
            <w:rStyle w:val="Hyperlink"/>
          </w:rPr>
          <w:t>The ACMA’s longer-term focus—five+ years</w:t>
        </w:r>
        <w:r w:rsidR="008148EE">
          <w:rPr>
            <w:webHidden/>
          </w:rPr>
          <w:tab/>
        </w:r>
        <w:r w:rsidR="008148EE">
          <w:rPr>
            <w:webHidden/>
          </w:rPr>
          <w:fldChar w:fldCharType="begin"/>
        </w:r>
        <w:r w:rsidR="008148EE">
          <w:rPr>
            <w:webHidden/>
          </w:rPr>
          <w:instrText xml:space="preserve"> PAGEREF _Toc435079481 \h </w:instrText>
        </w:r>
        <w:r w:rsidR="008148EE">
          <w:rPr>
            <w:webHidden/>
          </w:rPr>
        </w:r>
        <w:r w:rsidR="008148EE">
          <w:rPr>
            <w:webHidden/>
          </w:rPr>
          <w:fldChar w:fldCharType="separate"/>
        </w:r>
        <w:r w:rsidR="008600B8">
          <w:rPr>
            <w:webHidden/>
          </w:rPr>
          <w:t>12</w:t>
        </w:r>
        <w:r w:rsidR="008148EE">
          <w:rPr>
            <w:webHidden/>
          </w:rPr>
          <w:fldChar w:fldCharType="end"/>
        </w:r>
      </w:hyperlink>
    </w:p>
    <w:p w14:paraId="15C0DB6A" w14:textId="77777777" w:rsidR="008148EE" w:rsidRDefault="00EB3A24" w:rsidP="008616D1">
      <w:pPr>
        <w:pStyle w:val="TOC1"/>
        <w:spacing w:before="240"/>
        <w:rPr>
          <w:rFonts w:asciiTheme="minorHAnsi" w:eastAsiaTheme="minorEastAsia" w:hAnsiTheme="minorHAnsi" w:cstheme="minorBidi"/>
          <w:b w:val="0"/>
          <w:spacing w:val="0"/>
          <w:sz w:val="22"/>
          <w:szCs w:val="22"/>
        </w:rPr>
      </w:pPr>
      <w:hyperlink w:anchor="_Toc435079482" w:history="1">
        <w:r w:rsidR="008148EE" w:rsidRPr="0065012D">
          <w:rPr>
            <w:rStyle w:val="Hyperlink"/>
          </w:rPr>
          <w:t>Part 2—Enabling the Internet of Things</w:t>
        </w:r>
        <w:r w:rsidR="008148EE">
          <w:rPr>
            <w:webHidden/>
          </w:rPr>
          <w:tab/>
        </w:r>
        <w:r w:rsidR="008148EE">
          <w:rPr>
            <w:webHidden/>
          </w:rPr>
          <w:fldChar w:fldCharType="begin"/>
        </w:r>
        <w:r w:rsidR="008148EE">
          <w:rPr>
            <w:webHidden/>
          </w:rPr>
          <w:instrText xml:space="preserve"> PAGEREF _Toc435079482 \h </w:instrText>
        </w:r>
        <w:r w:rsidR="008148EE">
          <w:rPr>
            <w:webHidden/>
          </w:rPr>
        </w:r>
        <w:r w:rsidR="008148EE">
          <w:rPr>
            <w:webHidden/>
          </w:rPr>
          <w:fldChar w:fldCharType="separate"/>
        </w:r>
        <w:r w:rsidR="008600B8">
          <w:rPr>
            <w:webHidden/>
          </w:rPr>
          <w:t>13</w:t>
        </w:r>
        <w:r w:rsidR="008148EE">
          <w:rPr>
            <w:webHidden/>
          </w:rPr>
          <w:fldChar w:fldCharType="end"/>
        </w:r>
      </w:hyperlink>
    </w:p>
    <w:p w14:paraId="22AE2297" w14:textId="77777777" w:rsidR="008148EE" w:rsidRDefault="00EB3A24">
      <w:pPr>
        <w:pStyle w:val="TOC2"/>
        <w:rPr>
          <w:rFonts w:asciiTheme="minorHAnsi" w:eastAsiaTheme="minorEastAsia" w:hAnsiTheme="minorHAnsi" w:cstheme="minorBidi"/>
          <w:spacing w:val="0"/>
          <w:sz w:val="22"/>
          <w:szCs w:val="22"/>
        </w:rPr>
      </w:pPr>
      <w:hyperlink w:anchor="_Toc435079483" w:history="1">
        <w:r w:rsidR="008148EE" w:rsidRPr="0065012D">
          <w:rPr>
            <w:rStyle w:val="Hyperlink"/>
          </w:rPr>
          <w:t>Enablers of the Internet of Things</w:t>
        </w:r>
        <w:r w:rsidR="008148EE">
          <w:rPr>
            <w:webHidden/>
          </w:rPr>
          <w:tab/>
        </w:r>
        <w:r w:rsidR="008148EE">
          <w:rPr>
            <w:webHidden/>
          </w:rPr>
          <w:fldChar w:fldCharType="begin"/>
        </w:r>
        <w:r w:rsidR="008148EE">
          <w:rPr>
            <w:webHidden/>
          </w:rPr>
          <w:instrText xml:space="preserve"> PAGEREF _Toc435079483 \h </w:instrText>
        </w:r>
        <w:r w:rsidR="008148EE">
          <w:rPr>
            <w:webHidden/>
          </w:rPr>
        </w:r>
        <w:r w:rsidR="008148EE">
          <w:rPr>
            <w:webHidden/>
          </w:rPr>
          <w:fldChar w:fldCharType="separate"/>
        </w:r>
        <w:r w:rsidR="008600B8">
          <w:rPr>
            <w:webHidden/>
          </w:rPr>
          <w:t>13</w:t>
        </w:r>
        <w:r w:rsidR="008148EE">
          <w:rPr>
            <w:webHidden/>
          </w:rPr>
          <w:fldChar w:fldCharType="end"/>
        </w:r>
      </w:hyperlink>
    </w:p>
    <w:p w14:paraId="0D71AD5C" w14:textId="77777777" w:rsidR="008148EE" w:rsidRDefault="00EB3A24">
      <w:pPr>
        <w:pStyle w:val="TOC2"/>
        <w:rPr>
          <w:rFonts w:asciiTheme="minorHAnsi" w:eastAsiaTheme="minorEastAsia" w:hAnsiTheme="minorHAnsi" w:cstheme="minorBidi"/>
          <w:spacing w:val="0"/>
          <w:sz w:val="22"/>
          <w:szCs w:val="22"/>
        </w:rPr>
      </w:pPr>
      <w:hyperlink w:anchor="_Toc435079484" w:history="1">
        <w:r w:rsidR="008148EE" w:rsidRPr="0065012D">
          <w:rPr>
            <w:rStyle w:val="Hyperlink"/>
          </w:rPr>
          <w:t>Enabling infrastructure</w:t>
        </w:r>
        <w:r w:rsidR="008148EE">
          <w:rPr>
            <w:webHidden/>
          </w:rPr>
          <w:tab/>
        </w:r>
        <w:r w:rsidR="008148EE">
          <w:rPr>
            <w:webHidden/>
          </w:rPr>
          <w:fldChar w:fldCharType="begin"/>
        </w:r>
        <w:r w:rsidR="008148EE">
          <w:rPr>
            <w:webHidden/>
          </w:rPr>
          <w:instrText xml:space="preserve"> PAGEREF _Toc435079484 \h </w:instrText>
        </w:r>
        <w:r w:rsidR="008148EE">
          <w:rPr>
            <w:webHidden/>
          </w:rPr>
        </w:r>
        <w:r w:rsidR="008148EE">
          <w:rPr>
            <w:webHidden/>
          </w:rPr>
          <w:fldChar w:fldCharType="separate"/>
        </w:r>
        <w:r w:rsidR="008600B8">
          <w:rPr>
            <w:webHidden/>
          </w:rPr>
          <w:t>14</w:t>
        </w:r>
        <w:r w:rsidR="008148EE">
          <w:rPr>
            <w:webHidden/>
          </w:rPr>
          <w:fldChar w:fldCharType="end"/>
        </w:r>
      </w:hyperlink>
    </w:p>
    <w:p w14:paraId="5D14663B" w14:textId="77777777" w:rsidR="008148EE" w:rsidRDefault="00EB3A24">
      <w:pPr>
        <w:pStyle w:val="TOC3"/>
        <w:rPr>
          <w:rFonts w:asciiTheme="minorHAnsi" w:eastAsiaTheme="minorEastAsia" w:hAnsiTheme="minorHAnsi" w:cstheme="minorBidi"/>
        </w:rPr>
      </w:pPr>
      <w:hyperlink w:anchor="_Toc435079485" w:history="1">
        <w:r w:rsidR="008148EE" w:rsidRPr="0065012D">
          <w:rPr>
            <w:rStyle w:val="Hyperlink"/>
          </w:rPr>
          <w:t>Network digitalisation and increasingly higher bandwidth</w:t>
        </w:r>
        <w:r w:rsidR="008148EE">
          <w:rPr>
            <w:webHidden/>
          </w:rPr>
          <w:tab/>
        </w:r>
        <w:r w:rsidR="008148EE">
          <w:rPr>
            <w:webHidden/>
          </w:rPr>
          <w:fldChar w:fldCharType="begin"/>
        </w:r>
        <w:r w:rsidR="008148EE">
          <w:rPr>
            <w:webHidden/>
          </w:rPr>
          <w:instrText xml:space="preserve"> PAGEREF _Toc435079485 \h </w:instrText>
        </w:r>
        <w:r w:rsidR="008148EE">
          <w:rPr>
            <w:webHidden/>
          </w:rPr>
        </w:r>
        <w:r w:rsidR="008148EE">
          <w:rPr>
            <w:webHidden/>
          </w:rPr>
          <w:fldChar w:fldCharType="separate"/>
        </w:r>
        <w:r w:rsidR="008600B8">
          <w:rPr>
            <w:webHidden/>
          </w:rPr>
          <w:t>14</w:t>
        </w:r>
        <w:r w:rsidR="008148EE">
          <w:rPr>
            <w:webHidden/>
          </w:rPr>
          <w:fldChar w:fldCharType="end"/>
        </w:r>
      </w:hyperlink>
    </w:p>
    <w:p w14:paraId="72A2CE08" w14:textId="77777777" w:rsidR="008148EE" w:rsidRDefault="00EB3A24">
      <w:pPr>
        <w:pStyle w:val="TOC3"/>
        <w:rPr>
          <w:rFonts w:asciiTheme="minorHAnsi" w:eastAsiaTheme="minorEastAsia" w:hAnsiTheme="minorHAnsi" w:cstheme="minorBidi"/>
        </w:rPr>
      </w:pPr>
      <w:hyperlink w:anchor="_Toc435079486" w:history="1">
        <w:r w:rsidR="008148EE" w:rsidRPr="0065012D">
          <w:rPr>
            <w:rStyle w:val="Hyperlink"/>
          </w:rPr>
          <w:t>Addressing and numbering</w:t>
        </w:r>
        <w:r w:rsidR="008148EE">
          <w:rPr>
            <w:webHidden/>
          </w:rPr>
          <w:tab/>
        </w:r>
        <w:r w:rsidR="008148EE">
          <w:rPr>
            <w:webHidden/>
          </w:rPr>
          <w:fldChar w:fldCharType="begin"/>
        </w:r>
        <w:r w:rsidR="008148EE">
          <w:rPr>
            <w:webHidden/>
          </w:rPr>
          <w:instrText xml:space="preserve"> PAGEREF _Toc435079486 \h </w:instrText>
        </w:r>
        <w:r w:rsidR="008148EE">
          <w:rPr>
            <w:webHidden/>
          </w:rPr>
        </w:r>
        <w:r w:rsidR="008148EE">
          <w:rPr>
            <w:webHidden/>
          </w:rPr>
          <w:fldChar w:fldCharType="separate"/>
        </w:r>
        <w:r w:rsidR="008600B8">
          <w:rPr>
            <w:webHidden/>
          </w:rPr>
          <w:t>15</w:t>
        </w:r>
        <w:r w:rsidR="008148EE">
          <w:rPr>
            <w:webHidden/>
          </w:rPr>
          <w:fldChar w:fldCharType="end"/>
        </w:r>
      </w:hyperlink>
    </w:p>
    <w:p w14:paraId="6AC6F89F" w14:textId="77777777" w:rsidR="008148EE" w:rsidRDefault="00EB3A24">
      <w:pPr>
        <w:pStyle w:val="TOC3"/>
        <w:rPr>
          <w:rFonts w:asciiTheme="minorHAnsi" w:eastAsiaTheme="minorEastAsia" w:hAnsiTheme="minorHAnsi" w:cstheme="minorBidi"/>
        </w:rPr>
      </w:pPr>
      <w:hyperlink w:anchor="_Toc435079487" w:history="1">
        <w:r w:rsidR="008148EE" w:rsidRPr="0065012D">
          <w:rPr>
            <w:rStyle w:val="Hyperlink"/>
          </w:rPr>
          <w:t>Appropriate spectrum availability</w:t>
        </w:r>
        <w:r w:rsidR="008148EE">
          <w:rPr>
            <w:webHidden/>
          </w:rPr>
          <w:tab/>
        </w:r>
        <w:r w:rsidR="008148EE">
          <w:rPr>
            <w:webHidden/>
          </w:rPr>
          <w:fldChar w:fldCharType="begin"/>
        </w:r>
        <w:r w:rsidR="008148EE">
          <w:rPr>
            <w:webHidden/>
          </w:rPr>
          <w:instrText xml:space="preserve"> PAGEREF _Toc435079487 \h </w:instrText>
        </w:r>
        <w:r w:rsidR="008148EE">
          <w:rPr>
            <w:webHidden/>
          </w:rPr>
        </w:r>
        <w:r w:rsidR="008148EE">
          <w:rPr>
            <w:webHidden/>
          </w:rPr>
          <w:fldChar w:fldCharType="separate"/>
        </w:r>
        <w:r w:rsidR="008600B8">
          <w:rPr>
            <w:webHidden/>
          </w:rPr>
          <w:t>16</w:t>
        </w:r>
        <w:r w:rsidR="008148EE">
          <w:rPr>
            <w:webHidden/>
          </w:rPr>
          <w:fldChar w:fldCharType="end"/>
        </w:r>
      </w:hyperlink>
    </w:p>
    <w:p w14:paraId="6E3CE55E" w14:textId="77777777" w:rsidR="008148EE" w:rsidRDefault="00EB3A24">
      <w:pPr>
        <w:pStyle w:val="TOC3"/>
        <w:rPr>
          <w:rFonts w:asciiTheme="minorHAnsi" w:eastAsiaTheme="minorEastAsia" w:hAnsiTheme="minorHAnsi" w:cstheme="minorBidi"/>
        </w:rPr>
      </w:pPr>
      <w:hyperlink w:anchor="_Toc435079488" w:history="1">
        <w:r w:rsidR="008148EE" w:rsidRPr="0065012D">
          <w:rPr>
            <w:rStyle w:val="Hyperlink"/>
          </w:rPr>
          <w:t>Increased device functionality</w:t>
        </w:r>
        <w:r w:rsidR="008148EE">
          <w:rPr>
            <w:webHidden/>
          </w:rPr>
          <w:tab/>
        </w:r>
        <w:r w:rsidR="008148EE">
          <w:rPr>
            <w:webHidden/>
          </w:rPr>
          <w:fldChar w:fldCharType="begin"/>
        </w:r>
        <w:r w:rsidR="008148EE">
          <w:rPr>
            <w:webHidden/>
          </w:rPr>
          <w:instrText xml:space="preserve"> PAGEREF _Toc435079488 \h </w:instrText>
        </w:r>
        <w:r w:rsidR="008148EE">
          <w:rPr>
            <w:webHidden/>
          </w:rPr>
        </w:r>
        <w:r w:rsidR="008148EE">
          <w:rPr>
            <w:webHidden/>
          </w:rPr>
          <w:fldChar w:fldCharType="separate"/>
        </w:r>
        <w:r w:rsidR="008600B8">
          <w:rPr>
            <w:webHidden/>
          </w:rPr>
          <w:t>17</w:t>
        </w:r>
        <w:r w:rsidR="008148EE">
          <w:rPr>
            <w:webHidden/>
          </w:rPr>
          <w:fldChar w:fldCharType="end"/>
        </w:r>
      </w:hyperlink>
    </w:p>
    <w:p w14:paraId="31383FDC" w14:textId="77777777" w:rsidR="008148EE" w:rsidRDefault="00EB3A24">
      <w:pPr>
        <w:pStyle w:val="TOC3"/>
        <w:rPr>
          <w:rFonts w:asciiTheme="minorHAnsi" w:eastAsiaTheme="minorEastAsia" w:hAnsiTheme="minorHAnsi" w:cstheme="minorBidi"/>
        </w:rPr>
      </w:pPr>
      <w:hyperlink w:anchor="_Toc435079489" w:history="1">
        <w:r w:rsidR="008148EE" w:rsidRPr="0065012D">
          <w:rPr>
            <w:rStyle w:val="Hyperlink"/>
          </w:rPr>
          <w:t>Privacy, reliability and interoperability</w:t>
        </w:r>
        <w:r w:rsidR="008148EE">
          <w:rPr>
            <w:webHidden/>
          </w:rPr>
          <w:tab/>
        </w:r>
        <w:r w:rsidR="008148EE">
          <w:rPr>
            <w:webHidden/>
          </w:rPr>
          <w:fldChar w:fldCharType="begin"/>
        </w:r>
        <w:r w:rsidR="008148EE">
          <w:rPr>
            <w:webHidden/>
          </w:rPr>
          <w:instrText xml:space="preserve"> PAGEREF _Toc435079489 \h </w:instrText>
        </w:r>
        <w:r w:rsidR="008148EE">
          <w:rPr>
            <w:webHidden/>
          </w:rPr>
        </w:r>
        <w:r w:rsidR="008148EE">
          <w:rPr>
            <w:webHidden/>
          </w:rPr>
          <w:fldChar w:fldCharType="separate"/>
        </w:r>
        <w:r w:rsidR="008600B8">
          <w:rPr>
            <w:webHidden/>
          </w:rPr>
          <w:t>18</w:t>
        </w:r>
        <w:r w:rsidR="008148EE">
          <w:rPr>
            <w:webHidden/>
          </w:rPr>
          <w:fldChar w:fldCharType="end"/>
        </w:r>
      </w:hyperlink>
    </w:p>
    <w:p w14:paraId="55F6A660" w14:textId="77777777" w:rsidR="008148EE" w:rsidRDefault="00EB3A24">
      <w:pPr>
        <w:pStyle w:val="TOC2"/>
        <w:rPr>
          <w:rFonts w:asciiTheme="minorHAnsi" w:eastAsiaTheme="minorEastAsia" w:hAnsiTheme="minorHAnsi" w:cstheme="minorBidi"/>
          <w:spacing w:val="0"/>
          <w:sz w:val="22"/>
          <w:szCs w:val="22"/>
        </w:rPr>
      </w:pPr>
      <w:hyperlink w:anchor="_Toc435079490" w:history="1">
        <w:r w:rsidR="008148EE" w:rsidRPr="0065012D">
          <w:rPr>
            <w:rStyle w:val="Hyperlink"/>
          </w:rPr>
          <w:t>Digital data and cloud storage</w:t>
        </w:r>
        <w:r w:rsidR="008148EE">
          <w:rPr>
            <w:webHidden/>
          </w:rPr>
          <w:tab/>
        </w:r>
        <w:r w:rsidR="008148EE">
          <w:rPr>
            <w:webHidden/>
          </w:rPr>
          <w:fldChar w:fldCharType="begin"/>
        </w:r>
        <w:r w:rsidR="008148EE">
          <w:rPr>
            <w:webHidden/>
          </w:rPr>
          <w:instrText xml:space="preserve"> PAGEREF _Toc435079490 \h </w:instrText>
        </w:r>
        <w:r w:rsidR="008148EE">
          <w:rPr>
            <w:webHidden/>
          </w:rPr>
        </w:r>
        <w:r w:rsidR="008148EE">
          <w:rPr>
            <w:webHidden/>
          </w:rPr>
          <w:fldChar w:fldCharType="separate"/>
        </w:r>
        <w:r w:rsidR="008600B8">
          <w:rPr>
            <w:webHidden/>
          </w:rPr>
          <w:t>19</w:t>
        </w:r>
        <w:r w:rsidR="008148EE">
          <w:rPr>
            <w:webHidden/>
          </w:rPr>
          <w:fldChar w:fldCharType="end"/>
        </w:r>
      </w:hyperlink>
    </w:p>
    <w:p w14:paraId="72598757" w14:textId="77777777" w:rsidR="008148EE" w:rsidRDefault="00EB3A24">
      <w:pPr>
        <w:pStyle w:val="TOC2"/>
        <w:rPr>
          <w:rFonts w:asciiTheme="minorHAnsi" w:eastAsiaTheme="minorEastAsia" w:hAnsiTheme="minorHAnsi" w:cstheme="minorBidi"/>
          <w:spacing w:val="0"/>
          <w:sz w:val="22"/>
          <w:szCs w:val="22"/>
        </w:rPr>
      </w:pPr>
      <w:hyperlink w:anchor="_Toc435079491" w:history="1">
        <w:r w:rsidR="008148EE" w:rsidRPr="0065012D">
          <w:rPr>
            <w:rStyle w:val="Hyperlink"/>
          </w:rPr>
          <w:t>Citizens and consumers making complex connections</w:t>
        </w:r>
        <w:r w:rsidR="008148EE">
          <w:rPr>
            <w:webHidden/>
          </w:rPr>
          <w:tab/>
        </w:r>
        <w:r w:rsidR="008148EE">
          <w:rPr>
            <w:webHidden/>
          </w:rPr>
          <w:fldChar w:fldCharType="begin"/>
        </w:r>
        <w:r w:rsidR="008148EE">
          <w:rPr>
            <w:webHidden/>
          </w:rPr>
          <w:instrText xml:space="preserve"> PAGEREF _Toc435079491 \h </w:instrText>
        </w:r>
        <w:r w:rsidR="008148EE">
          <w:rPr>
            <w:webHidden/>
          </w:rPr>
        </w:r>
        <w:r w:rsidR="008148EE">
          <w:rPr>
            <w:webHidden/>
          </w:rPr>
          <w:fldChar w:fldCharType="separate"/>
        </w:r>
        <w:r w:rsidR="008600B8">
          <w:rPr>
            <w:webHidden/>
          </w:rPr>
          <w:t>20</w:t>
        </w:r>
        <w:r w:rsidR="008148EE">
          <w:rPr>
            <w:webHidden/>
          </w:rPr>
          <w:fldChar w:fldCharType="end"/>
        </w:r>
      </w:hyperlink>
    </w:p>
    <w:p w14:paraId="6FAA05F8" w14:textId="77777777" w:rsidR="008148EE" w:rsidRDefault="00EB3A24">
      <w:pPr>
        <w:pStyle w:val="TOC2"/>
        <w:rPr>
          <w:rFonts w:asciiTheme="minorHAnsi" w:eastAsiaTheme="minorEastAsia" w:hAnsiTheme="minorHAnsi" w:cstheme="minorBidi"/>
          <w:spacing w:val="0"/>
          <w:sz w:val="22"/>
          <w:szCs w:val="22"/>
        </w:rPr>
      </w:pPr>
      <w:hyperlink w:anchor="_Toc435079492" w:history="1">
        <w:r w:rsidR="008148EE" w:rsidRPr="0065012D">
          <w:rPr>
            <w:rStyle w:val="Hyperlink"/>
          </w:rPr>
          <w:t>Key enabling strategies</w:t>
        </w:r>
        <w:r w:rsidR="008148EE">
          <w:rPr>
            <w:webHidden/>
          </w:rPr>
          <w:tab/>
        </w:r>
        <w:r w:rsidR="008148EE">
          <w:rPr>
            <w:webHidden/>
          </w:rPr>
          <w:fldChar w:fldCharType="begin"/>
        </w:r>
        <w:r w:rsidR="008148EE">
          <w:rPr>
            <w:webHidden/>
          </w:rPr>
          <w:instrText xml:space="preserve"> PAGEREF _Toc435079492 \h </w:instrText>
        </w:r>
        <w:r w:rsidR="008148EE">
          <w:rPr>
            <w:webHidden/>
          </w:rPr>
        </w:r>
        <w:r w:rsidR="008148EE">
          <w:rPr>
            <w:webHidden/>
          </w:rPr>
          <w:fldChar w:fldCharType="separate"/>
        </w:r>
        <w:r w:rsidR="008600B8">
          <w:rPr>
            <w:webHidden/>
          </w:rPr>
          <w:t>21</w:t>
        </w:r>
        <w:r w:rsidR="008148EE">
          <w:rPr>
            <w:webHidden/>
          </w:rPr>
          <w:fldChar w:fldCharType="end"/>
        </w:r>
      </w:hyperlink>
    </w:p>
    <w:p w14:paraId="68B3F48D" w14:textId="77777777" w:rsidR="008148EE" w:rsidRDefault="00EB3A24">
      <w:pPr>
        <w:pStyle w:val="TOC2"/>
        <w:rPr>
          <w:rFonts w:asciiTheme="minorHAnsi" w:eastAsiaTheme="minorEastAsia" w:hAnsiTheme="minorHAnsi" w:cstheme="minorBidi"/>
          <w:spacing w:val="0"/>
          <w:sz w:val="22"/>
          <w:szCs w:val="22"/>
        </w:rPr>
      </w:pPr>
      <w:hyperlink w:anchor="_Toc435079493" w:history="1">
        <w:r w:rsidR="008148EE" w:rsidRPr="0065012D">
          <w:rPr>
            <w:rStyle w:val="Hyperlink"/>
          </w:rPr>
          <w:t>Problem-solving strategies</w:t>
        </w:r>
        <w:r w:rsidR="008148EE">
          <w:rPr>
            <w:webHidden/>
          </w:rPr>
          <w:tab/>
        </w:r>
        <w:r w:rsidR="008148EE">
          <w:rPr>
            <w:webHidden/>
          </w:rPr>
          <w:fldChar w:fldCharType="begin"/>
        </w:r>
        <w:r w:rsidR="008148EE">
          <w:rPr>
            <w:webHidden/>
          </w:rPr>
          <w:instrText xml:space="preserve"> PAGEREF _Toc435079493 \h </w:instrText>
        </w:r>
        <w:r w:rsidR="008148EE">
          <w:rPr>
            <w:webHidden/>
          </w:rPr>
        </w:r>
        <w:r w:rsidR="008148EE">
          <w:rPr>
            <w:webHidden/>
          </w:rPr>
          <w:fldChar w:fldCharType="separate"/>
        </w:r>
        <w:r w:rsidR="008600B8">
          <w:rPr>
            <w:webHidden/>
          </w:rPr>
          <w:t>22</w:t>
        </w:r>
        <w:r w:rsidR="008148EE">
          <w:rPr>
            <w:webHidden/>
          </w:rPr>
          <w:fldChar w:fldCharType="end"/>
        </w:r>
      </w:hyperlink>
    </w:p>
    <w:p w14:paraId="5AB9AFFF" w14:textId="77777777" w:rsidR="008148EE" w:rsidRDefault="00EB3A24" w:rsidP="008616D1">
      <w:pPr>
        <w:pStyle w:val="TOC1"/>
        <w:spacing w:before="240"/>
        <w:rPr>
          <w:rFonts w:asciiTheme="minorHAnsi" w:eastAsiaTheme="minorEastAsia" w:hAnsiTheme="minorHAnsi" w:cstheme="minorBidi"/>
          <w:b w:val="0"/>
          <w:spacing w:val="0"/>
          <w:sz w:val="22"/>
          <w:szCs w:val="22"/>
        </w:rPr>
      </w:pPr>
      <w:hyperlink w:anchor="_Toc435079494" w:history="1">
        <w:r w:rsidR="008148EE" w:rsidRPr="0065012D">
          <w:rPr>
            <w:rStyle w:val="Hyperlink"/>
          </w:rPr>
          <w:t>Part 3—Areas for regulatory attention</w:t>
        </w:r>
        <w:r w:rsidR="008148EE">
          <w:rPr>
            <w:webHidden/>
          </w:rPr>
          <w:tab/>
        </w:r>
        <w:r w:rsidR="008148EE">
          <w:rPr>
            <w:webHidden/>
          </w:rPr>
          <w:fldChar w:fldCharType="begin"/>
        </w:r>
        <w:r w:rsidR="008148EE">
          <w:rPr>
            <w:webHidden/>
          </w:rPr>
          <w:instrText xml:space="preserve"> PAGEREF _Toc435079494 \h </w:instrText>
        </w:r>
        <w:r w:rsidR="008148EE">
          <w:rPr>
            <w:webHidden/>
          </w:rPr>
        </w:r>
        <w:r w:rsidR="008148EE">
          <w:rPr>
            <w:webHidden/>
          </w:rPr>
          <w:fldChar w:fldCharType="separate"/>
        </w:r>
        <w:r w:rsidR="008600B8">
          <w:rPr>
            <w:webHidden/>
          </w:rPr>
          <w:t>24</w:t>
        </w:r>
        <w:r w:rsidR="008148EE">
          <w:rPr>
            <w:webHidden/>
          </w:rPr>
          <w:fldChar w:fldCharType="end"/>
        </w:r>
      </w:hyperlink>
    </w:p>
    <w:p w14:paraId="20A19D42" w14:textId="77777777" w:rsidR="008148EE" w:rsidRDefault="00EB3A24">
      <w:pPr>
        <w:pStyle w:val="TOC2"/>
        <w:rPr>
          <w:rFonts w:asciiTheme="minorHAnsi" w:eastAsiaTheme="minorEastAsia" w:hAnsiTheme="minorHAnsi" w:cstheme="minorBidi"/>
          <w:spacing w:val="0"/>
          <w:sz w:val="22"/>
          <w:szCs w:val="22"/>
        </w:rPr>
      </w:pPr>
      <w:hyperlink w:anchor="_Toc435079495" w:history="1">
        <w:r w:rsidR="008148EE" w:rsidRPr="0065012D">
          <w:rPr>
            <w:rStyle w:val="Hyperlink"/>
          </w:rPr>
          <w:t>Implications of IoT developments for the sectors the ACMA regulates</w:t>
        </w:r>
        <w:r w:rsidR="008148EE">
          <w:rPr>
            <w:webHidden/>
          </w:rPr>
          <w:tab/>
        </w:r>
        <w:r w:rsidR="008148EE">
          <w:rPr>
            <w:webHidden/>
          </w:rPr>
          <w:fldChar w:fldCharType="begin"/>
        </w:r>
        <w:r w:rsidR="008148EE">
          <w:rPr>
            <w:webHidden/>
          </w:rPr>
          <w:instrText xml:space="preserve"> PAGEREF _Toc435079495 \h </w:instrText>
        </w:r>
        <w:r w:rsidR="008148EE">
          <w:rPr>
            <w:webHidden/>
          </w:rPr>
        </w:r>
        <w:r w:rsidR="008148EE">
          <w:rPr>
            <w:webHidden/>
          </w:rPr>
          <w:fldChar w:fldCharType="separate"/>
        </w:r>
        <w:r w:rsidR="008600B8">
          <w:rPr>
            <w:webHidden/>
          </w:rPr>
          <w:t>24</w:t>
        </w:r>
        <w:r w:rsidR="008148EE">
          <w:rPr>
            <w:webHidden/>
          </w:rPr>
          <w:fldChar w:fldCharType="end"/>
        </w:r>
      </w:hyperlink>
    </w:p>
    <w:p w14:paraId="731ABBB9" w14:textId="77777777" w:rsidR="008148EE" w:rsidRDefault="00EB3A24">
      <w:pPr>
        <w:pStyle w:val="TOC2"/>
        <w:rPr>
          <w:rFonts w:asciiTheme="minorHAnsi" w:eastAsiaTheme="minorEastAsia" w:hAnsiTheme="minorHAnsi" w:cstheme="minorBidi"/>
          <w:spacing w:val="0"/>
          <w:sz w:val="22"/>
          <w:szCs w:val="22"/>
        </w:rPr>
      </w:pPr>
      <w:hyperlink w:anchor="_Toc435079496" w:history="1">
        <w:r w:rsidR="008148EE" w:rsidRPr="0065012D">
          <w:rPr>
            <w:rStyle w:val="Hyperlink"/>
          </w:rPr>
          <w:t>A framework for analysis</w:t>
        </w:r>
        <w:r w:rsidR="008148EE">
          <w:rPr>
            <w:webHidden/>
          </w:rPr>
          <w:tab/>
        </w:r>
        <w:r w:rsidR="008148EE">
          <w:rPr>
            <w:webHidden/>
          </w:rPr>
          <w:fldChar w:fldCharType="begin"/>
        </w:r>
        <w:r w:rsidR="008148EE">
          <w:rPr>
            <w:webHidden/>
          </w:rPr>
          <w:instrText xml:space="preserve"> PAGEREF _Toc435079496 \h </w:instrText>
        </w:r>
        <w:r w:rsidR="008148EE">
          <w:rPr>
            <w:webHidden/>
          </w:rPr>
        </w:r>
        <w:r w:rsidR="008148EE">
          <w:rPr>
            <w:webHidden/>
          </w:rPr>
          <w:fldChar w:fldCharType="separate"/>
        </w:r>
        <w:r w:rsidR="008600B8">
          <w:rPr>
            <w:webHidden/>
          </w:rPr>
          <w:t>25</w:t>
        </w:r>
        <w:r w:rsidR="008148EE">
          <w:rPr>
            <w:webHidden/>
          </w:rPr>
          <w:fldChar w:fldCharType="end"/>
        </w:r>
      </w:hyperlink>
    </w:p>
    <w:p w14:paraId="63A0A4BC" w14:textId="77777777" w:rsidR="008148EE" w:rsidRDefault="00EB3A24" w:rsidP="008616D1">
      <w:pPr>
        <w:pStyle w:val="TOC1"/>
        <w:spacing w:before="240"/>
        <w:rPr>
          <w:rFonts w:asciiTheme="minorHAnsi" w:eastAsiaTheme="minorEastAsia" w:hAnsiTheme="minorHAnsi" w:cstheme="minorBidi"/>
          <w:b w:val="0"/>
          <w:spacing w:val="0"/>
          <w:sz w:val="22"/>
          <w:szCs w:val="22"/>
        </w:rPr>
      </w:pPr>
      <w:hyperlink w:anchor="_Toc435079497" w:history="1">
        <w:r w:rsidR="008148EE" w:rsidRPr="008616D1">
          <w:rPr>
            <w:rStyle w:val="Hyperlink"/>
          </w:rPr>
          <w:t>Conclusion</w:t>
        </w:r>
        <w:r w:rsidR="008148EE">
          <w:rPr>
            <w:webHidden/>
          </w:rPr>
          <w:tab/>
        </w:r>
        <w:r w:rsidR="008148EE">
          <w:rPr>
            <w:webHidden/>
          </w:rPr>
          <w:fldChar w:fldCharType="begin"/>
        </w:r>
        <w:r w:rsidR="008148EE">
          <w:rPr>
            <w:webHidden/>
          </w:rPr>
          <w:instrText xml:space="preserve"> PAGEREF _Toc435079497 \h </w:instrText>
        </w:r>
        <w:r w:rsidR="008148EE">
          <w:rPr>
            <w:webHidden/>
          </w:rPr>
        </w:r>
        <w:r w:rsidR="008148EE">
          <w:rPr>
            <w:webHidden/>
          </w:rPr>
          <w:fldChar w:fldCharType="separate"/>
        </w:r>
        <w:r w:rsidR="008600B8">
          <w:rPr>
            <w:webHidden/>
          </w:rPr>
          <w:t>31</w:t>
        </w:r>
        <w:r w:rsidR="008148EE">
          <w:rPr>
            <w:webHidden/>
          </w:rPr>
          <w:fldChar w:fldCharType="end"/>
        </w:r>
      </w:hyperlink>
    </w:p>
    <w:p w14:paraId="260E22EC" w14:textId="73FCB6E6" w:rsidR="000A4A51" w:rsidRPr="000D76E0" w:rsidRDefault="004E0F8C" w:rsidP="007C2903">
      <w:pPr>
        <w:pStyle w:val="TOC2"/>
        <w:ind w:left="0" w:firstLine="0"/>
        <w:rPr>
          <w:rFonts w:cs="Arial"/>
        </w:rPr>
      </w:pPr>
      <w:r>
        <w:rPr>
          <w:rFonts w:cs="Arial"/>
          <w:sz w:val="28"/>
          <w:szCs w:val="24"/>
        </w:rPr>
        <w:fldChar w:fldCharType="end"/>
      </w:r>
    </w:p>
    <w:p w14:paraId="075E8A4F" w14:textId="77777777" w:rsidR="004D56FF" w:rsidRPr="000D76E0" w:rsidRDefault="004D56FF">
      <w:pPr>
        <w:rPr>
          <w:rFonts w:cs="Arial"/>
        </w:rPr>
        <w:sectPr w:rsidR="004D56FF" w:rsidRPr="000D76E0" w:rsidSect="008616D1">
          <w:headerReference w:type="even" r:id="rId23"/>
          <w:headerReference w:type="default" r:id="rId24"/>
          <w:footerReference w:type="even" r:id="rId25"/>
          <w:footerReference w:type="default" r:id="rId26"/>
          <w:footerReference w:type="first" r:id="rId27"/>
          <w:pgSz w:w="11906" w:h="16838" w:code="9"/>
          <w:pgMar w:top="3544" w:right="3101" w:bottom="1134" w:left="1134" w:header="709" w:footer="119" w:gutter="0"/>
          <w:cols w:space="708"/>
          <w:titlePg/>
          <w:docGrid w:linePitch="360"/>
        </w:sectPr>
      </w:pPr>
    </w:p>
    <w:p w14:paraId="50ECB29E" w14:textId="77777777" w:rsidR="009D6C71" w:rsidRPr="009174F3" w:rsidRDefault="009D6C71" w:rsidP="009174F3">
      <w:pPr>
        <w:pStyle w:val="ACMAExecSummaryHeading"/>
      </w:pPr>
      <w:bookmarkStart w:id="0" w:name="_Toc435079468"/>
      <w:r w:rsidRPr="009174F3">
        <w:lastRenderedPageBreak/>
        <w:t>Executive summary</w:t>
      </w:r>
      <w:bookmarkEnd w:id="0"/>
      <w:r w:rsidR="007E7683" w:rsidRPr="009174F3">
        <w:t xml:space="preserve"> </w:t>
      </w:r>
    </w:p>
    <w:p w14:paraId="7D1EDFE9" w14:textId="19889A92" w:rsidR="00A21A4D" w:rsidRDefault="00A21A4D" w:rsidP="00A21A4D">
      <w:r>
        <w:t>The Internet of Things (I</w:t>
      </w:r>
      <w:r w:rsidR="002100BB">
        <w:t>o</w:t>
      </w:r>
      <w:r>
        <w:t xml:space="preserve">T) refers to the inter-connection of many devices and objects utilising internet protocols, and it </w:t>
      </w:r>
      <w:r w:rsidR="00572D7C">
        <w:t xml:space="preserve">is </w:t>
      </w:r>
      <w:r w:rsidR="00BA6BF6">
        <w:t xml:space="preserve">yet another phase </w:t>
      </w:r>
      <w:r>
        <w:t xml:space="preserve">in the convergence of communications </w:t>
      </w:r>
      <w:r w:rsidR="00A53EDB">
        <w:t xml:space="preserve">and its role as a fundamental enabler </w:t>
      </w:r>
      <w:r>
        <w:t xml:space="preserve">within the wider economy. </w:t>
      </w:r>
    </w:p>
    <w:p w14:paraId="2480E9A7" w14:textId="5F9D2C0C" w:rsidR="00A21A4D" w:rsidRDefault="00A21A4D" w:rsidP="00A21A4D">
      <w:r>
        <w:t>While there are many different projections about the likely number of connected devices in Australia, there is a growing industry consensus that I</w:t>
      </w:r>
      <w:r w:rsidR="002100BB">
        <w:t>o</w:t>
      </w:r>
      <w:r>
        <w:t>T will be characterised by a rapid increase in the number of connected devices and a rapid evolution in the range of associated applications and services on offer as a consequence.</w:t>
      </w:r>
    </w:p>
    <w:p w14:paraId="009076D3" w14:textId="10DC376E" w:rsidR="00A21A4D" w:rsidRDefault="00A21A4D" w:rsidP="00A21A4D">
      <w:r>
        <w:t>Significant productivity benefits are also expected to be realised, with a recent McKinsey &amp; Company report estimat</w:t>
      </w:r>
      <w:r w:rsidR="00437A98">
        <w:t>ing</w:t>
      </w:r>
      <w:r>
        <w:t xml:space="preserve"> a potential global economic impact of I</w:t>
      </w:r>
      <w:r w:rsidR="002100BB">
        <w:t>o</w:t>
      </w:r>
      <w:r>
        <w:t>T applications of $11.1 trillion (USD) per year in 2025</w:t>
      </w:r>
      <w:r w:rsidR="007B79C4">
        <w:t>.</w:t>
      </w:r>
      <w:r>
        <w:rPr>
          <w:rStyle w:val="FootnoteReference"/>
        </w:rPr>
        <w:footnoteReference w:id="1"/>
      </w:r>
    </w:p>
    <w:p w14:paraId="412B373F" w14:textId="289E80E6" w:rsidR="00A21A4D" w:rsidRDefault="00A21A4D" w:rsidP="00A21A4D">
      <w:r>
        <w:t xml:space="preserve">Australia is well placed to realise a share of these potential productivity gains, with the Australian communications and digital information industries demonstrating significant capacity over many years in leading and responding to change. Australian consumers </w:t>
      </w:r>
      <w:r w:rsidR="00A53EDB">
        <w:t xml:space="preserve">and citizens </w:t>
      </w:r>
      <w:r w:rsidR="007F0330">
        <w:t xml:space="preserve">have </w:t>
      </w:r>
      <w:r>
        <w:t>also shown a similar appetite for embracing new forms of communications technology and adapting their communications practices.</w:t>
      </w:r>
    </w:p>
    <w:p w14:paraId="31F34760" w14:textId="0CFE0B3A" w:rsidR="00A21A4D" w:rsidRDefault="00A21A4D" w:rsidP="00A21A4D">
      <w:r>
        <w:t>As the regulator for communications and media, the Australian Communications and Media Authority (</w:t>
      </w:r>
      <w:r w:rsidR="007F0330">
        <w:t xml:space="preserve">the </w:t>
      </w:r>
      <w:r>
        <w:t>ACMA) is assessing how existing regulation can be used to facilitate and enable Australian businesses and citizens to benefit from I</w:t>
      </w:r>
      <w:r w:rsidR="002100BB">
        <w:t>o</w:t>
      </w:r>
      <w:r>
        <w:t xml:space="preserve">T innovations. To date, the ACMA </w:t>
      </w:r>
      <w:r w:rsidR="00BA6BF6">
        <w:t xml:space="preserve">has responded </w:t>
      </w:r>
      <w:r>
        <w:t xml:space="preserve">to requests by </w:t>
      </w:r>
      <w:r w:rsidR="00657E9D">
        <w:t>i</w:t>
      </w:r>
      <w:r>
        <w:t>ndustry participants seeking clarification about spectrum availability to support I</w:t>
      </w:r>
      <w:r w:rsidR="002100BB">
        <w:t>o</w:t>
      </w:r>
      <w:r>
        <w:t xml:space="preserve">T applications. This has prompted the ACMA </w:t>
      </w:r>
      <w:r w:rsidR="00A53EDB">
        <w:t xml:space="preserve">to therefore </w:t>
      </w:r>
      <w:r>
        <w:t>consider more broadly the other aspects of its regulatory remit that may be used to facilitate I</w:t>
      </w:r>
      <w:r w:rsidR="002100BB">
        <w:t>o</w:t>
      </w:r>
      <w:r>
        <w:t>T developments in Australia.</w:t>
      </w:r>
    </w:p>
    <w:p w14:paraId="5D060ADC" w14:textId="786EE816" w:rsidR="00A21A4D" w:rsidRDefault="00A21A4D" w:rsidP="002B705D">
      <w:pPr>
        <w:spacing w:after="80"/>
      </w:pPr>
      <w:r>
        <w:t>In this paper</w:t>
      </w:r>
      <w:r w:rsidR="00657E9D">
        <w:t>,</w:t>
      </w:r>
      <w:r>
        <w:t xml:space="preserve"> the ACMA has focused on aspects of its regulatory remit that support the following enablers of the IoT:</w:t>
      </w:r>
    </w:p>
    <w:p w14:paraId="4BDB83B8" w14:textId="51CA8A27" w:rsidR="00A21A4D" w:rsidRDefault="00A21A4D" w:rsidP="00A21A4D">
      <w:pPr>
        <w:pStyle w:val="ListBullet"/>
      </w:pPr>
      <w:r w:rsidRPr="002E49E5">
        <w:rPr>
          <w:b/>
        </w:rPr>
        <w:t>infrastructure connectivity</w:t>
      </w:r>
      <w:r w:rsidR="00657E9D">
        <w:t>,</w:t>
      </w:r>
      <w:r>
        <w:t xml:space="preserve"> using telephone numbers and spectrum</w:t>
      </w:r>
    </w:p>
    <w:p w14:paraId="3F5915F7" w14:textId="77777777" w:rsidR="00A21A4D" w:rsidRDefault="00A21A4D" w:rsidP="00A21A4D">
      <w:pPr>
        <w:pStyle w:val="ListBullet"/>
      </w:pPr>
      <w:r w:rsidRPr="002E49E5">
        <w:rPr>
          <w:b/>
        </w:rPr>
        <w:t>devices</w:t>
      </w:r>
      <w:r>
        <w:t>, including device standards</w:t>
      </w:r>
    </w:p>
    <w:p w14:paraId="57AC82B0" w14:textId="5B12418D" w:rsidR="00A21A4D" w:rsidRDefault="00A21A4D" w:rsidP="00A21A4D">
      <w:pPr>
        <w:pStyle w:val="ListBullet"/>
      </w:pPr>
      <w:r w:rsidRPr="002E49E5">
        <w:rPr>
          <w:b/>
        </w:rPr>
        <w:t>digital data</w:t>
      </w:r>
      <w:r>
        <w:t xml:space="preserve"> and </w:t>
      </w:r>
      <w:r w:rsidRPr="002E49E5">
        <w:rPr>
          <w:b/>
        </w:rPr>
        <w:t>information</w:t>
      </w:r>
      <w:r>
        <w:t xml:space="preserve"> </w:t>
      </w:r>
    </w:p>
    <w:p w14:paraId="3F1968A6" w14:textId="637726A2" w:rsidR="00BA6BF6" w:rsidRDefault="00A21A4D" w:rsidP="002B705D">
      <w:pPr>
        <w:pStyle w:val="ListBullet"/>
        <w:spacing w:after="240"/>
      </w:pPr>
      <w:r>
        <w:t xml:space="preserve">the </w:t>
      </w:r>
      <w:r w:rsidRPr="00BA6BF6">
        <w:rPr>
          <w:b/>
        </w:rPr>
        <w:t>capabilities</w:t>
      </w:r>
      <w:r>
        <w:t xml:space="preserve"> of Australian businesses</w:t>
      </w:r>
      <w:r w:rsidR="00D865E5">
        <w:t xml:space="preserve">, </w:t>
      </w:r>
      <w:r>
        <w:t xml:space="preserve">consumers </w:t>
      </w:r>
      <w:r w:rsidR="00D865E5">
        <w:t xml:space="preserve">and citizens </w:t>
      </w:r>
      <w:r>
        <w:t>to manage multiple devices, connections and information</w:t>
      </w:r>
      <w:r w:rsidR="00BA6BF6">
        <w:t>.</w:t>
      </w:r>
    </w:p>
    <w:p w14:paraId="7FC4777D" w14:textId="090162CD" w:rsidR="00A21A4D" w:rsidRDefault="00BA6BF6" w:rsidP="00BA6BF6">
      <w:pPr>
        <w:pStyle w:val="ListBulletLast"/>
        <w:numPr>
          <w:ilvl w:val="0"/>
          <w:numId w:val="0"/>
        </w:numPr>
      </w:pPr>
      <w:r>
        <w:t xml:space="preserve">The </w:t>
      </w:r>
      <w:r w:rsidR="00A21A4D">
        <w:t>analysis looks at the likely sources of regulatory pressure that will arise in an environment characterised by multiple and complex conne</w:t>
      </w:r>
      <w:bookmarkStart w:id="1" w:name="_GoBack"/>
      <w:bookmarkEnd w:id="1"/>
      <w:r w:rsidR="00A21A4D">
        <w:t>ctions of devices</w:t>
      </w:r>
      <w:r w:rsidR="00A53EDB">
        <w:t>, such as machine-to-machine (M2M) connections</w:t>
      </w:r>
      <w:r w:rsidR="00A21A4D">
        <w:t xml:space="preserve"> a</w:t>
      </w:r>
      <w:r w:rsidR="00A53EDB">
        <w:t xml:space="preserve">s well as the connection of </w:t>
      </w:r>
      <w:r w:rsidR="00A21A4D">
        <w:t>digital information.</w:t>
      </w:r>
      <w:r w:rsidR="002100BB">
        <w:t xml:space="preserve"> </w:t>
      </w:r>
      <w:r w:rsidR="00A21A4D">
        <w:t>It examines the existing regulatory settings and underpinning</w:t>
      </w:r>
      <w:r w:rsidR="007B1AA8">
        <w:t xml:space="preserve">s of </w:t>
      </w:r>
      <w:r w:rsidR="00A21A4D">
        <w:lastRenderedPageBreak/>
        <w:t>regulatory concepts that have an ongoing utility in supporting the complex connections of an I</w:t>
      </w:r>
      <w:r w:rsidR="002100BB">
        <w:t>o</w:t>
      </w:r>
      <w:r w:rsidR="00A21A4D">
        <w:t>T environment.</w:t>
      </w:r>
      <w:r w:rsidR="002100BB">
        <w:t xml:space="preserve"> </w:t>
      </w:r>
    </w:p>
    <w:p w14:paraId="2F28FF9B" w14:textId="227AAC34" w:rsidR="00A21A4D" w:rsidRDefault="00A21A4D" w:rsidP="00A21A4D">
      <w:pPr>
        <w:pStyle w:val="ListBullet"/>
        <w:numPr>
          <w:ilvl w:val="0"/>
          <w:numId w:val="0"/>
        </w:numPr>
      </w:pPr>
      <w:r>
        <w:t>This paper also identifies some priority areas for regulatory attention that will be important in facilitating I</w:t>
      </w:r>
      <w:r w:rsidR="002100BB">
        <w:t>o</w:t>
      </w:r>
      <w:r>
        <w:t xml:space="preserve">T developments in the </w:t>
      </w:r>
      <w:r w:rsidR="00EF3484">
        <w:t>near</w:t>
      </w:r>
      <w:r>
        <w:t>, medium and longer term.</w:t>
      </w:r>
      <w:r w:rsidR="002100BB">
        <w:t xml:space="preserve"> </w:t>
      </w:r>
      <w:r>
        <w:t>These suggested priority areas include:</w:t>
      </w:r>
    </w:p>
    <w:p w14:paraId="52E2A743" w14:textId="463ED749" w:rsidR="00A21A4D" w:rsidRDefault="00A21A4D" w:rsidP="005B2B43">
      <w:pPr>
        <w:pStyle w:val="ListBullet"/>
      </w:pPr>
      <w:r>
        <w:t xml:space="preserve">resource allocation such as spectrum and telephone numbers needed for communications infrastructure </w:t>
      </w:r>
    </w:p>
    <w:p w14:paraId="5C3799E4" w14:textId="73D5F3BE" w:rsidR="00A21A4D" w:rsidRDefault="00A21A4D" w:rsidP="005B2B43">
      <w:pPr>
        <w:pStyle w:val="ListBullet"/>
      </w:pPr>
      <w:r>
        <w:t>managing network security and integrity</w:t>
      </w:r>
    </w:p>
    <w:p w14:paraId="5C17B6E3" w14:textId="77777777" w:rsidR="00A21A4D" w:rsidRDefault="00A21A4D" w:rsidP="005B2B43">
      <w:pPr>
        <w:pStyle w:val="ListBullet"/>
      </w:pPr>
      <w:r>
        <w:t>supporting the interoperability of devices and information through standards-setting</w:t>
      </w:r>
    </w:p>
    <w:p w14:paraId="14D0145C" w14:textId="153804D4" w:rsidR="00A21A4D" w:rsidRDefault="00A21A4D" w:rsidP="005B2B43">
      <w:pPr>
        <w:pStyle w:val="ListBulletLast"/>
      </w:pPr>
      <w:r>
        <w:t>supporting Australian business</w:t>
      </w:r>
      <w:r w:rsidR="00A53EDB">
        <w:t xml:space="preserve">, citizens </w:t>
      </w:r>
      <w:r>
        <w:t xml:space="preserve">and consumers to develop stronger digital technical capabilities and literacy to interact constructively with devices and </w:t>
      </w:r>
      <w:r w:rsidR="00A53EDB">
        <w:t xml:space="preserve">mediate their way through </w:t>
      </w:r>
      <w:r>
        <w:t>the increasing</w:t>
      </w:r>
      <w:r w:rsidRPr="0024548F">
        <w:t xml:space="preserve"> </w:t>
      </w:r>
      <w:r>
        <w:t xml:space="preserve">complexity of digital information. </w:t>
      </w:r>
    </w:p>
    <w:p w14:paraId="6A74343B" w14:textId="77777777" w:rsidR="007A72BF" w:rsidRDefault="00A21A4D" w:rsidP="002B705D">
      <w:pPr>
        <w:rPr>
          <w:bCs/>
        </w:rPr>
      </w:pPr>
      <w:r>
        <w:t xml:space="preserve">This initial analysis also indicates that the </w:t>
      </w:r>
      <w:r w:rsidRPr="00BB2155">
        <w:t xml:space="preserve">balance of regulatory interventions in the future is likely to skew more towards </w:t>
      </w:r>
      <w:r>
        <w:t>the enabling strategies of facilitation and communication—strategies that aim to encourage innovation and the adoption of IoT applications.</w:t>
      </w:r>
    </w:p>
    <w:p w14:paraId="5961B7B9" w14:textId="77777777" w:rsidR="00914D9F" w:rsidRPr="003317E5" w:rsidRDefault="00914D9F" w:rsidP="00914D9F">
      <w:pPr>
        <w:pStyle w:val="Heading2"/>
      </w:pPr>
      <w:bookmarkStart w:id="2" w:name="_Toc435079469"/>
      <w:bookmarkStart w:id="3" w:name="_Toc285789710"/>
      <w:bookmarkStart w:id="4" w:name="_Toc285791789"/>
      <w:r w:rsidRPr="003317E5">
        <w:t>Feedback—tell us what you think</w:t>
      </w:r>
      <w:bookmarkEnd w:id="2"/>
    </w:p>
    <w:p w14:paraId="14D229FF" w14:textId="77777777" w:rsidR="00914D9F" w:rsidRDefault="00914D9F" w:rsidP="00B547DA">
      <w:r>
        <w:t>I</w:t>
      </w:r>
      <w:r w:rsidRPr="00CB29BF">
        <w:t xml:space="preserve">n this paper, the ACMA is looking at Australia’s state of readiness for a transition to the IoT and asking </w:t>
      </w:r>
      <w:r>
        <w:t xml:space="preserve">is </w:t>
      </w:r>
      <w:r w:rsidRPr="00CB29BF">
        <w:t>there more that needs to be done by industry, citizens and by the regulator to facilitate the devel</w:t>
      </w:r>
      <w:r>
        <w:t xml:space="preserve">opment of the IoT in Australia? </w:t>
      </w:r>
    </w:p>
    <w:p w14:paraId="5DA1E3CB" w14:textId="45A3BAEA" w:rsidR="00914D9F" w:rsidRPr="002B705D" w:rsidRDefault="00914D9F" w:rsidP="00914D9F">
      <w:pPr>
        <w:spacing w:after="80"/>
        <w:rPr>
          <w:bCs/>
        </w:rPr>
      </w:pPr>
      <w:r>
        <w:t>The ACMA welcomes comments and feedback in response to</w:t>
      </w:r>
      <w:r w:rsidR="00A37D27">
        <w:t>:</w:t>
      </w:r>
      <w:r>
        <w:t xml:space="preserve"> </w:t>
      </w:r>
    </w:p>
    <w:p w14:paraId="26ACB984" w14:textId="13FB79AD" w:rsidR="00914D9F" w:rsidRPr="00CB29BF" w:rsidRDefault="00914D9F" w:rsidP="00914D9F">
      <w:pPr>
        <w:pStyle w:val="ListNumber"/>
      </w:pPr>
      <w:r w:rsidRPr="00CB29BF">
        <w:t>The ACMA would welcome any proposals from industry around the need for the designation of a discrete numbering range for M2M or IoT</w:t>
      </w:r>
      <w:r w:rsidR="00A53EDB">
        <w:t xml:space="preserve"> applications</w:t>
      </w:r>
      <w:r w:rsidRPr="00CB29BF">
        <w:t>.</w:t>
      </w:r>
    </w:p>
    <w:p w14:paraId="4B55BD77" w14:textId="77777777" w:rsidR="00914D9F" w:rsidRDefault="00914D9F" w:rsidP="00914D9F">
      <w:pPr>
        <w:pStyle w:val="ListNumber"/>
      </w:pPr>
      <w:r w:rsidRPr="00CB29BF">
        <w:t>The ACMA would welcome views from industry about future spectrum requirements to support M2M and IoT applications.</w:t>
      </w:r>
    </w:p>
    <w:p w14:paraId="6F229F69" w14:textId="49FF6086" w:rsidR="00C935FE" w:rsidRDefault="00C935FE" w:rsidP="00C935FE">
      <w:pPr>
        <w:pStyle w:val="ListNumber"/>
      </w:pPr>
      <w:r w:rsidRPr="00806FD6">
        <w:t xml:space="preserve">The ACMA would welcome </w:t>
      </w:r>
      <w:r>
        <w:t xml:space="preserve">input from industry as to how cooperative models of information sharing and action by industry, citizens and regulators might be adapted to address newer forms of digital information harms. </w:t>
      </w:r>
    </w:p>
    <w:p w14:paraId="33526722" w14:textId="211DEEE4" w:rsidR="00914D9F" w:rsidRPr="00CB29BF" w:rsidRDefault="00914D9F" w:rsidP="00914D9F">
      <w:pPr>
        <w:pStyle w:val="ListNumber"/>
      </w:pPr>
      <w:r w:rsidRPr="00CB29BF">
        <w:t xml:space="preserve">Are there any additional issues that should be included as priorities for </w:t>
      </w:r>
      <w:r w:rsidR="00A53EDB">
        <w:t>the regulator’s</w:t>
      </w:r>
      <w:r w:rsidRPr="00CB29BF">
        <w:t xml:space="preserve"> attention that have not yet been identified in this paper?</w:t>
      </w:r>
    </w:p>
    <w:p w14:paraId="7B4B4237" w14:textId="14626B4F" w:rsidR="00914D9F" w:rsidRPr="00CB29BF" w:rsidRDefault="00914D9F" w:rsidP="00914D9F">
      <w:pPr>
        <w:pStyle w:val="ListNumber"/>
        <w:spacing w:after="240"/>
      </w:pPr>
      <w:r w:rsidRPr="00CB29BF">
        <w:t>Has the ACMA correctly identified the near-, medium- and longer-term priorities for attention</w:t>
      </w:r>
      <w:r w:rsidR="00A53EDB">
        <w:t xml:space="preserve"> by the regulator</w:t>
      </w:r>
      <w:r w:rsidRPr="00CB29BF">
        <w:t xml:space="preserve">? </w:t>
      </w:r>
    </w:p>
    <w:p w14:paraId="11382108" w14:textId="77777777" w:rsidR="00914D9F" w:rsidRPr="008616D1" w:rsidRDefault="00914D9F" w:rsidP="00914D9F">
      <w:pPr>
        <w:pStyle w:val="Heading3"/>
        <w:rPr>
          <w:szCs w:val="20"/>
        </w:rPr>
      </w:pPr>
      <w:bookmarkStart w:id="5" w:name="_Toc435079470"/>
      <w:r w:rsidRPr="008616D1">
        <w:rPr>
          <w:szCs w:val="20"/>
        </w:rPr>
        <w:t>How to provide feedback</w:t>
      </w:r>
      <w:bookmarkEnd w:id="5"/>
    </w:p>
    <w:p w14:paraId="3157FCDC" w14:textId="77777777" w:rsidR="00914D9F" w:rsidRPr="008616D1" w:rsidRDefault="00914D9F" w:rsidP="00914D9F">
      <w:pPr>
        <w:pStyle w:val="ListParagraph"/>
        <w:numPr>
          <w:ilvl w:val="0"/>
          <w:numId w:val="31"/>
        </w:numPr>
        <w:spacing w:after="160" w:line="259" w:lineRule="auto"/>
        <w:ind w:left="426" w:hanging="426"/>
        <w:contextualSpacing/>
        <w:rPr>
          <w:rFonts w:ascii="Arial" w:hAnsi="Arial" w:cs="Arial"/>
          <w:color w:val="1F497D"/>
          <w:sz w:val="20"/>
          <w:szCs w:val="20"/>
        </w:rPr>
      </w:pPr>
      <w:r w:rsidRPr="008616D1">
        <w:rPr>
          <w:rFonts w:ascii="Arial" w:hAnsi="Arial" w:cs="Arial"/>
          <w:b/>
          <w:sz w:val="20"/>
          <w:szCs w:val="20"/>
        </w:rPr>
        <w:t>By email</w:t>
      </w:r>
      <w:r w:rsidRPr="008616D1">
        <w:rPr>
          <w:rFonts w:ascii="Arial" w:hAnsi="Arial" w:cs="Arial"/>
          <w:sz w:val="20"/>
          <w:szCs w:val="20"/>
        </w:rPr>
        <w:t>—please email</w:t>
      </w:r>
      <w:r w:rsidRPr="008616D1">
        <w:rPr>
          <w:rFonts w:ascii="Arial" w:hAnsi="Arial" w:cs="Arial"/>
          <w:color w:val="1F497D"/>
          <w:sz w:val="20"/>
          <w:szCs w:val="20"/>
        </w:rPr>
        <w:t xml:space="preserve"> </w:t>
      </w:r>
      <w:hyperlink r:id="rId28" w:history="1">
        <w:r w:rsidRPr="008616D1">
          <w:rPr>
            <w:rStyle w:val="Hyperlink"/>
            <w:rFonts w:ascii="Arial" w:hAnsi="Arial" w:cs="Arial"/>
            <w:sz w:val="20"/>
            <w:szCs w:val="20"/>
          </w:rPr>
          <w:t>research.analysis@acma.gov.au</w:t>
        </w:r>
      </w:hyperlink>
      <w:r w:rsidRPr="008616D1">
        <w:rPr>
          <w:rFonts w:ascii="Arial" w:hAnsi="Arial" w:cs="Arial"/>
          <w:color w:val="1F497D"/>
          <w:sz w:val="20"/>
          <w:szCs w:val="20"/>
        </w:rPr>
        <w:t>.</w:t>
      </w:r>
    </w:p>
    <w:p w14:paraId="178C4C4E" w14:textId="77777777" w:rsidR="00914D9F" w:rsidRPr="008616D1" w:rsidRDefault="00914D9F" w:rsidP="00914D9F">
      <w:pPr>
        <w:pStyle w:val="ListParagraph"/>
        <w:numPr>
          <w:ilvl w:val="0"/>
          <w:numId w:val="31"/>
        </w:numPr>
        <w:spacing w:before="240" w:after="160" w:line="259" w:lineRule="auto"/>
        <w:ind w:left="426" w:hanging="426"/>
        <w:contextualSpacing/>
        <w:rPr>
          <w:rFonts w:ascii="Arial" w:hAnsi="Arial" w:cs="Arial"/>
          <w:sz w:val="20"/>
          <w:szCs w:val="20"/>
        </w:rPr>
      </w:pPr>
      <w:r w:rsidRPr="008616D1">
        <w:rPr>
          <w:rFonts w:ascii="Arial" w:hAnsi="Arial" w:cs="Arial"/>
          <w:b/>
          <w:sz w:val="20"/>
          <w:szCs w:val="20"/>
        </w:rPr>
        <w:t>Online</w:t>
      </w:r>
      <w:r w:rsidRPr="008616D1">
        <w:rPr>
          <w:rFonts w:ascii="Arial" w:hAnsi="Arial" w:cs="Arial"/>
          <w:color w:val="1F497D"/>
          <w:sz w:val="20"/>
          <w:szCs w:val="20"/>
        </w:rPr>
        <w:t>—</w:t>
      </w:r>
      <w:r w:rsidRPr="008616D1">
        <w:rPr>
          <w:rFonts w:ascii="Arial" w:hAnsi="Arial" w:cs="Arial"/>
          <w:sz w:val="20"/>
          <w:szCs w:val="20"/>
        </w:rPr>
        <w:t>use our new beta online consultation facility to provide comments and answers to the questions above.</w:t>
      </w:r>
    </w:p>
    <w:p w14:paraId="7E2231A6" w14:textId="77777777" w:rsidR="00E034E4" w:rsidRDefault="00E034E4" w:rsidP="00E034E4">
      <w:pPr>
        <w:pStyle w:val="Heading1"/>
      </w:pPr>
      <w:bookmarkStart w:id="6" w:name="_Toc435079471"/>
      <w:r>
        <w:lastRenderedPageBreak/>
        <w:t>About the research</w:t>
      </w:r>
      <w:bookmarkEnd w:id="3"/>
      <w:bookmarkEnd w:id="4"/>
      <w:bookmarkEnd w:id="6"/>
    </w:p>
    <w:p w14:paraId="3E410A70" w14:textId="107B8046" w:rsidR="00FD261C" w:rsidRDefault="00107F9D" w:rsidP="00A21A4D">
      <w:r>
        <w:t xml:space="preserve">The </w:t>
      </w:r>
      <w:r w:rsidR="005545DC">
        <w:t>I</w:t>
      </w:r>
      <w:r w:rsidR="005E1BCC">
        <w:t>nternet of Things</w:t>
      </w:r>
      <w:r>
        <w:t xml:space="preserve"> </w:t>
      </w:r>
      <w:r w:rsidR="007C2903">
        <w:t xml:space="preserve">(IoT) </w:t>
      </w:r>
      <w:r>
        <w:t xml:space="preserve">refers to the </w:t>
      </w:r>
      <w:r w:rsidR="005E1BCC">
        <w:t>inter-</w:t>
      </w:r>
      <w:r>
        <w:t xml:space="preserve">connection of </w:t>
      </w:r>
      <w:r w:rsidR="005E1BCC">
        <w:t xml:space="preserve">many </w:t>
      </w:r>
      <w:r>
        <w:t xml:space="preserve">devices and objects </w:t>
      </w:r>
      <w:r w:rsidR="005E1BCC">
        <w:t>utilising</w:t>
      </w:r>
      <w:r>
        <w:t xml:space="preserve"> internet</w:t>
      </w:r>
      <w:r w:rsidR="00861565">
        <w:t xml:space="preserve"> </w:t>
      </w:r>
      <w:r w:rsidR="005E1BCC">
        <w:t>protocols</w:t>
      </w:r>
      <w:r w:rsidR="00512BEB">
        <w:t xml:space="preserve"> that can occur with or without the active involvement of individuals using the devices</w:t>
      </w:r>
      <w:r w:rsidR="00BC7FE3">
        <w:t xml:space="preserve">. </w:t>
      </w:r>
      <w:r w:rsidR="00A21A4D">
        <w:t xml:space="preserve">The IoT is the aggregation of many </w:t>
      </w:r>
      <w:r w:rsidR="007F0330">
        <w:t>machine-to-machine</w:t>
      </w:r>
      <w:r w:rsidR="00A21A4D">
        <w:t xml:space="preserve"> (M2M) connections</w:t>
      </w:r>
      <w:r w:rsidR="00A9204F">
        <w:t xml:space="preserve"> (see Figure 1).</w:t>
      </w:r>
    </w:p>
    <w:p w14:paraId="47D225CF" w14:textId="77777777" w:rsidR="00A9204F" w:rsidRPr="00851668" w:rsidRDefault="00A9204F" w:rsidP="00A9204F">
      <w:pPr>
        <w:pStyle w:val="ACMAFigureHeader"/>
      </w:pPr>
      <w:r>
        <w:t>M2M and the IoT</w:t>
      </w:r>
    </w:p>
    <w:p w14:paraId="6401568E" w14:textId="77777777" w:rsidR="00A9204F" w:rsidRDefault="00A9204F" w:rsidP="00A9204F">
      <w:pPr>
        <w:pStyle w:val="ACMANotes"/>
        <w:spacing w:after="240"/>
      </w:pPr>
      <w:r w:rsidRPr="00511B15">
        <w:object w:dxaOrig="12436" w:dyaOrig="1950" w14:anchorId="447B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veryday object + communications device + internet = internet of things." style="width:483.75pt;height:75.75pt" o:ole="">
            <v:imagedata r:id="rId29" o:title=""/>
          </v:shape>
          <o:OLEObject Type="Embed" ProgID="Visio.Drawing.15" ShapeID="_x0000_i1025" DrawAspect="Content" ObjectID="_1508844418" r:id="rId30"/>
        </w:object>
      </w:r>
      <w:r>
        <w:t xml:space="preserve">Source: ACMA </w:t>
      </w:r>
      <w:r w:rsidRPr="00A3786D">
        <w:rPr>
          <w:i w:val="0"/>
        </w:rPr>
        <w:t>Five-year spectrum outlook 2015–19</w:t>
      </w:r>
      <w:r>
        <w:rPr>
          <w:i w:val="0"/>
        </w:rPr>
        <w:t>.</w:t>
      </w:r>
    </w:p>
    <w:p w14:paraId="6F35BEF3" w14:textId="6CF4A570" w:rsidR="00A21A4D" w:rsidRDefault="00512BEB" w:rsidP="00A21A4D">
      <w:r>
        <w:t>A more expansive definition encompasses the Internet of Everything (</w:t>
      </w:r>
      <w:r w:rsidR="00950060">
        <w:t>IoE</w:t>
      </w:r>
      <w:r>
        <w:t>)</w:t>
      </w:r>
      <w:r w:rsidR="007F0330">
        <w:t>,</w:t>
      </w:r>
      <w:r>
        <w:t xml:space="preserve"> which reflects that the </w:t>
      </w:r>
      <w:r w:rsidR="00950060">
        <w:t xml:space="preserve">IoT </w:t>
      </w:r>
      <w:r w:rsidR="00A21A4D">
        <w:t>is not limited to communications, but includes big data analysis, cloud computing</w:t>
      </w:r>
      <w:r w:rsidR="00950060">
        <w:t>,</w:t>
      </w:r>
      <w:r w:rsidR="00A21A4D">
        <w:t xml:space="preserve"> and sensors and actuators that</w:t>
      </w:r>
      <w:r w:rsidR="00B335FA">
        <w:t>,</w:t>
      </w:r>
      <w:r w:rsidR="00A21A4D">
        <w:t xml:space="preserve"> in combination, can efficiently run autonomous machines and intelligent systems.</w:t>
      </w:r>
      <w:r w:rsidR="00A21A4D">
        <w:rPr>
          <w:rStyle w:val="FootnoteReference"/>
        </w:rPr>
        <w:footnoteReference w:id="2"/>
      </w:r>
    </w:p>
    <w:p w14:paraId="15CED8C9" w14:textId="21ACD165" w:rsidR="00A21A4D" w:rsidRDefault="00BC7FE3" w:rsidP="00BA6BF6">
      <w:pPr>
        <w:keepNext/>
        <w:keepLines/>
        <w:spacing w:after="80"/>
      </w:pPr>
      <w:r>
        <w:t>As the communications and media regulator</w:t>
      </w:r>
      <w:r w:rsidR="00913356">
        <w:t>,</w:t>
      </w:r>
      <w:r>
        <w:t xml:space="preserve"> the ACMA has documented </w:t>
      </w:r>
      <w:r w:rsidR="00913356">
        <w:t xml:space="preserve">over time </w:t>
      </w:r>
      <w:r>
        <w:t>the impact of convergence pressures on the communications and media sectors</w:t>
      </w:r>
      <w:r w:rsidR="00814CD3">
        <w:t xml:space="preserve">. </w:t>
      </w:r>
      <w:r w:rsidR="00A21A4D">
        <w:t>In this occasional paper, the ACMA:</w:t>
      </w:r>
    </w:p>
    <w:p w14:paraId="420DCE69" w14:textId="498AD458" w:rsidR="00F53102" w:rsidRDefault="00F53102" w:rsidP="005B2B43">
      <w:pPr>
        <w:pStyle w:val="ListBullet"/>
        <w:keepNext/>
        <w:keepLines/>
      </w:pPr>
      <w:r w:rsidRPr="0023255F">
        <w:t>identif</w:t>
      </w:r>
      <w:r>
        <w:t>ies</w:t>
      </w:r>
      <w:r w:rsidRPr="0023255F">
        <w:t xml:space="preserve"> how the ACMA </w:t>
      </w:r>
      <w:r>
        <w:t>will</w:t>
      </w:r>
      <w:r w:rsidRPr="0023255F">
        <w:t xml:space="preserve"> facilitat</w:t>
      </w:r>
      <w:r>
        <w:t>e</w:t>
      </w:r>
      <w:r w:rsidRPr="0023255F">
        <w:t xml:space="preserve"> M2M and IoT innovations within the scope of its existing regulatory remit over the next five </w:t>
      </w:r>
      <w:r>
        <w:t>to 10 years</w:t>
      </w:r>
      <w:r w:rsidRPr="0023255F">
        <w:t xml:space="preserve"> </w:t>
      </w:r>
    </w:p>
    <w:p w14:paraId="3B5F61E0" w14:textId="572CFBCA" w:rsidR="00A21A4D" w:rsidRPr="0023255F" w:rsidRDefault="00F53102" w:rsidP="005B2B43">
      <w:pPr>
        <w:pStyle w:val="ListBullet"/>
        <w:keepNext/>
        <w:keepLines/>
      </w:pPr>
      <w:r>
        <w:t xml:space="preserve">provides additional supporting analysis </w:t>
      </w:r>
      <w:r w:rsidR="00A21A4D" w:rsidRPr="0023255F">
        <w:t>examin</w:t>
      </w:r>
      <w:r>
        <w:t>ing</w:t>
      </w:r>
      <w:r w:rsidR="004E0F8C">
        <w:t xml:space="preserve"> </w:t>
      </w:r>
      <w:r>
        <w:t>a range of issues in</w:t>
      </w:r>
      <w:r w:rsidR="00A21A4D" w:rsidRPr="0023255F">
        <w:t xml:space="preserve"> Australia’s transition to M2M communications and the </w:t>
      </w:r>
      <w:r w:rsidR="00A21A4D">
        <w:t>IoT</w:t>
      </w:r>
      <w:r w:rsidR="00A21A4D" w:rsidRPr="0023255F">
        <w:t xml:space="preserve"> </w:t>
      </w:r>
    </w:p>
    <w:p w14:paraId="553A9375" w14:textId="19E9508D" w:rsidR="00A21A4D" w:rsidRDefault="00A21A4D" w:rsidP="005B2B43">
      <w:pPr>
        <w:pStyle w:val="ListBullet"/>
        <w:keepNext/>
        <w:keepLines/>
      </w:pPr>
      <w:r w:rsidRPr="0023255F">
        <w:t>undertak</w:t>
      </w:r>
      <w:r>
        <w:t>es</w:t>
      </w:r>
      <w:r w:rsidRPr="0023255F">
        <w:t xml:space="preserve"> an initial review of existing regulatory settings to identify relevant</w:t>
      </w:r>
      <w:r w:rsidR="002100BB">
        <w:t xml:space="preserve"> </w:t>
      </w:r>
      <w:r w:rsidRPr="0023255F">
        <w:t xml:space="preserve">regulatory tools and strategies that </w:t>
      </w:r>
      <w:r w:rsidR="00A53EDB">
        <w:t xml:space="preserve">might better </w:t>
      </w:r>
      <w:r w:rsidRPr="0023255F">
        <w:t>facilitate M2M and IoT</w:t>
      </w:r>
      <w:r w:rsidR="00F53102">
        <w:t>.</w:t>
      </w:r>
    </w:p>
    <w:p w14:paraId="6B287CFE" w14:textId="4D453CCE" w:rsidR="00E034E4" w:rsidRDefault="00E034E4" w:rsidP="00E034E4">
      <w:pPr>
        <w:pStyle w:val="Heading2"/>
      </w:pPr>
      <w:bookmarkStart w:id="7" w:name="_Toc285789711"/>
      <w:bookmarkStart w:id="8" w:name="_Toc285791790"/>
      <w:bookmarkStart w:id="9" w:name="_Toc435079472"/>
      <w:r w:rsidRPr="00A84172">
        <w:rPr>
          <w:b w:val="0"/>
        </w:rPr>
        <w:t>research</w:t>
      </w:r>
      <w:r>
        <w:t>acma</w:t>
      </w:r>
      <w:bookmarkEnd w:id="7"/>
      <w:bookmarkEnd w:id="8"/>
      <w:bookmarkEnd w:id="9"/>
    </w:p>
    <w:p w14:paraId="0B500148" w14:textId="0E8EF1B0" w:rsidR="00E034E4" w:rsidRDefault="00E034E4" w:rsidP="00E034E4">
      <w:r>
        <w:t>Our research program—</w:t>
      </w:r>
      <w:r w:rsidRPr="00693B15">
        <w:t>research</w:t>
      </w:r>
      <w:r w:rsidRPr="00187942">
        <w:rPr>
          <w:rStyle w:val="Strong"/>
        </w:rPr>
        <w:t>acma</w:t>
      </w:r>
      <w:r>
        <w:rPr>
          <w:b/>
        </w:rPr>
        <w:t>—</w:t>
      </w:r>
      <w:r w:rsidRPr="00693B15">
        <w:t xml:space="preserve">underpins </w:t>
      </w:r>
      <w:r w:rsidR="003209CA">
        <w:t xml:space="preserve">the ACMA’s </w:t>
      </w:r>
      <w:r w:rsidRPr="00693B15">
        <w:t>work and decisions as an evidence-</w:t>
      </w:r>
      <w:r>
        <w:t>informed</w:t>
      </w:r>
      <w:r w:rsidRPr="00693B15">
        <w:t xml:space="preserve"> regulator. </w:t>
      </w:r>
      <w:r>
        <w:t>It</w:t>
      </w:r>
      <w:r w:rsidRPr="00693B15">
        <w:t xml:space="preserve"> </w:t>
      </w:r>
      <w:r>
        <w:t>contributes to</w:t>
      </w:r>
      <w:r w:rsidRPr="00693B15">
        <w:t xml:space="preserve"> </w:t>
      </w:r>
      <w:r w:rsidR="003209CA">
        <w:t>the ACMA’s</w:t>
      </w:r>
      <w:r>
        <w:t xml:space="preserve"> </w:t>
      </w:r>
      <w:r w:rsidRPr="00693B15">
        <w:t xml:space="preserve">strategic policy development, regulatory reviews and investigations, and helps </w:t>
      </w:r>
      <w:r w:rsidR="00BA6BF6">
        <w:t>staff better understand the agency’s role in fulfilling its strategic intent</w:t>
      </w:r>
      <w:r w:rsidRPr="00693B15">
        <w:t xml:space="preserve"> to make media and communications work for all Australians.</w:t>
      </w:r>
    </w:p>
    <w:p w14:paraId="174DE07B" w14:textId="77777777" w:rsidR="00E034E4" w:rsidRPr="00187942" w:rsidRDefault="00E034E4" w:rsidP="002006FB">
      <w:pPr>
        <w:spacing w:after="80"/>
      </w:pPr>
      <w:r w:rsidRPr="00187942">
        <w:t>research</w:t>
      </w:r>
      <w:r w:rsidRPr="00187942">
        <w:rPr>
          <w:rStyle w:val="Strong"/>
        </w:rPr>
        <w:t>acma</w:t>
      </w:r>
      <w:r w:rsidRPr="00187942">
        <w:t xml:space="preserve"> has five broad areas of interest: </w:t>
      </w:r>
    </w:p>
    <w:p w14:paraId="21A98070" w14:textId="77777777" w:rsidR="00E034E4" w:rsidRDefault="00E034E4" w:rsidP="00E034E4">
      <w:pPr>
        <w:pStyle w:val="ListBullet"/>
      </w:pPr>
      <w:r>
        <w:t xml:space="preserve">market developments </w:t>
      </w:r>
    </w:p>
    <w:p w14:paraId="7EB1138A" w14:textId="77777777" w:rsidR="00E034E4" w:rsidRDefault="00E034E4" w:rsidP="00E034E4">
      <w:pPr>
        <w:pStyle w:val="ListBullet"/>
      </w:pPr>
      <w:r>
        <w:t xml:space="preserve">media content and culture </w:t>
      </w:r>
    </w:p>
    <w:p w14:paraId="6A478094" w14:textId="77777777" w:rsidR="00262448" w:rsidRDefault="00262448" w:rsidP="00262448">
      <w:pPr>
        <w:pStyle w:val="ListBullet"/>
      </w:pPr>
      <w:r>
        <w:t>social and economic participation</w:t>
      </w:r>
    </w:p>
    <w:p w14:paraId="541C99E3" w14:textId="77777777" w:rsidR="00E034E4" w:rsidRDefault="00E034E4" w:rsidP="00E034E4">
      <w:pPr>
        <w:pStyle w:val="ListBullet"/>
      </w:pPr>
      <w:r>
        <w:t xml:space="preserve">citizen and consumer safeguards </w:t>
      </w:r>
    </w:p>
    <w:p w14:paraId="6848776C" w14:textId="77777777" w:rsidR="00E034E4" w:rsidRDefault="00E034E4" w:rsidP="00E034E4">
      <w:pPr>
        <w:pStyle w:val="ListBulletLast"/>
      </w:pPr>
      <w:r>
        <w:t xml:space="preserve">regulatory best practice and development. </w:t>
      </w:r>
    </w:p>
    <w:p w14:paraId="3F1A61E5" w14:textId="77C1C770" w:rsidR="00107F9D" w:rsidRDefault="00E034E4" w:rsidP="00107F9D">
      <w:r w:rsidRPr="00D861F1">
        <w:t>This research contributes to the ACMA’s</w:t>
      </w:r>
      <w:r w:rsidR="00107F9D">
        <w:t xml:space="preserve"> market developments and regulatory best practice</w:t>
      </w:r>
      <w:r w:rsidR="00107F9D" w:rsidRPr="00D861F1">
        <w:t xml:space="preserve"> </w:t>
      </w:r>
      <w:r w:rsidR="005545DC">
        <w:t xml:space="preserve">and development </w:t>
      </w:r>
      <w:r w:rsidR="0085334B">
        <w:t>research themes</w:t>
      </w:r>
      <w:r w:rsidR="00A53EDB">
        <w:t xml:space="preserve">, reflecting the importance of </w:t>
      </w:r>
      <w:r w:rsidR="00B335FA">
        <w:t xml:space="preserve">IoT </w:t>
      </w:r>
      <w:r w:rsidR="00A53EDB">
        <w:t xml:space="preserve">as an </w:t>
      </w:r>
      <w:r w:rsidR="00841C5C">
        <w:t>enabling</w:t>
      </w:r>
      <w:r w:rsidR="00B335FA">
        <w:t xml:space="preserve"> technology development</w:t>
      </w:r>
      <w:r w:rsidR="00A53EDB">
        <w:t xml:space="preserve">. </w:t>
      </w:r>
      <w:r w:rsidR="00B335FA">
        <w:t>Consequently, this paper offers some insights into how future regulatory arrangements could be designed</w:t>
      </w:r>
      <w:r w:rsidR="00646ED4">
        <w:t xml:space="preserve"> to further facilitate IoT applications</w:t>
      </w:r>
      <w:r w:rsidR="00B335FA">
        <w:t>.</w:t>
      </w:r>
    </w:p>
    <w:p w14:paraId="722A6B1A" w14:textId="1CDAA091" w:rsidR="00107F9D" w:rsidRPr="00107F9D" w:rsidRDefault="00107F9D" w:rsidP="005B2B43">
      <w:pPr>
        <w:spacing w:after="80"/>
        <w:rPr>
          <w:b/>
          <w:lang w:val="en-US"/>
        </w:rPr>
      </w:pPr>
      <w:r>
        <w:t xml:space="preserve">This paper continues the ACMA’s </w:t>
      </w:r>
      <w:r w:rsidR="00BA6BF6">
        <w:t xml:space="preserve">recent </w:t>
      </w:r>
      <w:r>
        <w:t>focus on emerging issues in media and communications. Past papers in this series include:</w:t>
      </w:r>
    </w:p>
    <w:p w14:paraId="605BA746" w14:textId="75552C64" w:rsidR="00107F9D" w:rsidRPr="005B2B43" w:rsidRDefault="00EB3A24" w:rsidP="00107F9D">
      <w:pPr>
        <w:pStyle w:val="ListBullet"/>
        <w:rPr>
          <w:lang w:val="en-US"/>
        </w:rPr>
      </w:pPr>
      <w:hyperlink r:id="rId31" w:history="1">
        <w:r w:rsidR="00107F9D" w:rsidRPr="005B2B43">
          <w:rPr>
            <w:rStyle w:val="Hyperlink"/>
            <w:i/>
          </w:rPr>
          <w:t>Mobile apps</w:t>
        </w:r>
        <w:r w:rsidR="00E47ECF" w:rsidRPr="005B2B43">
          <w:rPr>
            <w:rStyle w:val="Hyperlink"/>
            <w:i/>
          </w:rPr>
          <w:t>—Emerging issues in media and communications, occasional paper 1</w:t>
        </w:r>
      </w:hyperlink>
      <w:r w:rsidR="00107F9D" w:rsidRPr="00DB60FE">
        <w:rPr>
          <w:color w:val="0000FF"/>
          <w:lang w:val="en-US"/>
        </w:rPr>
        <w:t xml:space="preserve"> </w:t>
      </w:r>
      <w:r w:rsidR="00107F9D" w:rsidRPr="005B2B43">
        <w:t>(May 2013)</w:t>
      </w:r>
    </w:p>
    <w:p w14:paraId="372D18C0" w14:textId="0A4E93ED" w:rsidR="00107F9D" w:rsidRPr="005B2B43" w:rsidRDefault="00EB3A24" w:rsidP="00E47ECF">
      <w:pPr>
        <w:pStyle w:val="ListBullet"/>
        <w:rPr>
          <w:lang w:val="en-US"/>
        </w:rPr>
      </w:pPr>
      <w:hyperlink r:id="rId32" w:history="1">
        <w:r w:rsidR="00107F9D" w:rsidRPr="005B2B43">
          <w:rPr>
            <w:i/>
            <w:color w:val="0000FF"/>
            <w:u w:val="single"/>
            <w:lang w:val="en-US"/>
          </w:rPr>
          <w:t>Near-field communications</w:t>
        </w:r>
      </w:hyperlink>
      <w:r w:rsidR="00E47ECF" w:rsidRPr="005B2B43">
        <w:rPr>
          <w:i/>
          <w:color w:val="0000FF"/>
          <w:u w:val="single"/>
          <w:lang w:val="en-US"/>
        </w:rPr>
        <w:t>—Emerging issues in media and communications, occasional paper 2</w:t>
      </w:r>
      <w:r w:rsidR="00107F9D" w:rsidRPr="005B2B43">
        <w:rPr>
          <w:color w:val="0000FF"/>
          <w:lang w:val="en-US"/>
        </w:rPr>
        <w:t xml:space="preserve"> </w:t>
      </w:r>
      <w:r w:rsidR="00107F9D" w:rsidRPr="005B2B43">
        <w:t>(May 2013)</w:t>
      </w:r>
    </w:p>
    <w:p w14:paraId="581B3BF0" w14:textId="69BBCE13" w:rsidR="00107F9D" w:rsidRPr="005B2B43" w:rsidRDefault="00EB3A24" w:rsidP="00107F9D">
      <w:pPr>
        <w:pStyle w:val="ListBullet"/>
      </w:pPr>
      <w:hyperlink r:id="rId33" w:history="1">
        <w:r w:rsidR="00E47ECF" w:rsidRPr="005B2B43">
          <w:rPr>
            <w:i/>
            <w:color w:val="0000FF"/>
            <w:u w:val="single"/>
            <w:lang w:val="en-US"/>
          </w:rPr>
          <w:t>The cloud: services, computing and digital data</w:t>
        </w:r>
        <w:r w:rsidR="00E47ECF">
          <w:rPr>
            <w:i/>
            <w:color w:val="0000FF"/>
            <w:u w:val="single"/>
            <w:lang w:val="en-US"/>
          </w:rPr>
          <w:t>—</w:t>
        </w:r>
        <w:r w:rsidR="00E47ECF" w:rsidRPr="005B2B43">
          <w:rPr>
            <w:i/>
            <w:color w:val="0000FF"/>
            <w:u w:val="single"/>
            <w:lang w:val="en-US"/>
          </w:rPr>
          <w:t>Emerging issues in media and communications, occasional paper 3</w:t>
        </w:r>
      </w:hyperlink>
      <w:r w:rsidR="00107F9D" w:rsidRPr="00DB60FE">
        <w:rPr>
          <w:color w:val="0000FF"/>
          <w:lang w:val="en-US"/>
        </w:rPr>
        <w:t xml:space="preserve"> </w:t>
      </w:r>
      <w:r w:rsidR="00107F9D" w:rsidRPr="005B2B43">
        <w:t>(June 2013)</w:t>
      </w:r>
    </w:p>
    <w:p w14:paraId="27D75D40" w14:textId="64BE52E7" w:rsidR="00107F9D" w:rsidRPr="005B2B43" w:rsidRDefault="00EB3A24" w:rsidP="00107F9D">
      <w:pPr>
        <w:pStyle w:val="ListBullet"/>
        <w:rPr>
          <w:lang w:val="en-US"/>
        </w:rPr>
      </w:pPr>
      <w:hyperlink r:id="rId34" w:history="1">
        <w:r w:rsidR="00E47ECF" w:rsidRPr="005B2B43">
          <w:rPr>
            <w:i/>
            <w:color w:val="0000FF"/>
            <w:u w:val="single"/>
            <w:lang w:val="en-US"/>
          </w:rPr>
          <w:t>Privacy and personal data—Emerging issues in media and communications, occasional paper 4</w:t>
        </w:r>
      </w:hyperlink>
      <w:r w:rsidR="00107F9D" w:rsidRPr="00DB60FE">
        <w:rPr>
          <w:color w:val="0000FF"/>
          <w:lang w:val="en-US"/>
        </w:rPr>
        <w:t xml:space="preserve"> </w:t>
      </w:r>
      <w:r w:rsidR="00107F9D" w:rsidRPr="005B2B43">
        <w:t>(June 2013)</w:t>
      </w:r>
    </w:p>
    <w:p w14:paraId="0C212BC8" w14:textId="5EF32A25" w:rsidR="00107F9D" w:rsidRPr="00107F9D" w:rsidRDefault="00EB3A24" w:rsidP="005B2B43">
      <w:pPr>
        <w:pStyle w:val="ListBullet"/>
        <w:spacing w:after="240"/>
        <w:rPr>
          <w:lang w:val="en-US"/>
        </w:rPr>
      </w:pPr>
      <w:hyperlink r:id="rId35" w:history="1">
        <w:r w:rsidR="00107F9D" w:rsidRPr="005B2B43">
          <w:rPr>
            <w:i/>
            <w:color w:val="0000FF"/>
            <w:u w:val="single"/>
            <w:lang w:val="en-US"/>
          </w:rPr>
          <w:t>Six emerging trends in media &amp; communications</w:t>
        </w:r>
      </w:hyperlink>
      <w:r w:rsidR="00107F9D" w:rsidRPr="005B2B43">
        <w:rPr>
          <w:b/>
          <w:i/>
          <w:color w:val="0000FF"/>
        </w:rPr>
        <w:t xml:space="preserve"> </w:t>
      </w:r>
      <w:r w:rsidR="00107F9D" w:rsidRPr="00107F9D">
        <w:rPr>
          <w:lang w:val="en-US"/>
        </w:rPr>
        <w:t>(November 2014)</w:t>
      </w:r>
      <w:r w:rsidR="00775C33">
        <w:rPr>
          <w:lang w:val="en-US"/>
        </w:rPr>
        <w:t>.</w:t>
      </w:r>
    </w:p>
    <w:p w14:paraId="6F994EBA" w14:textId="3CA004B7" w:rsidR="00107F9D" w:rsidRDefault="00913356" w:rsidP="00913356">
      <w:r>
        <w:t xml:space="preserve">A forthcoming paper in the </w:t>
      </w:r>
      <w:r w:rsidR="00841C5C" w:rsidRPr="00841C5C">
        <w:rPr>
          <w:i/>
        </w:rPr>
        <w:t>Emerging i</w:t>
      </w:r>
      <w:r w:rsidR="00646ED4" w:rsidRPr="00841C5C">
        <w:rPr>
          <w:i/>
        </w:rPr>
        <w:t>ssues</w:t>
      </w:r>
      <w:r w:rsidR="00646ED4">
        <w:t xml:space="preserve"> </w:t>
      </w:r>
      <w:r>
        <w:t>series will examine 5G mobile technology developments.</w:t>
      </w:r>
    </w:p>
    <w:p w14:paraId="676E22D0" w14:textId="77777777" w:rsidR="00107F9D" w:rsidRPr="007E0D48" w:rsidRDefault="00107F9D" w:rsidP="00C2551C">
      <w:pPr>
        <w:pStyle w:val="Heading1"/>
      </w:pPr>
      <w:bookmarkStart w:id="10" w:name="_Toc435079473"/>
      <w:r w:rsidRPr="007E0D48">
        <w:lastRenderedPageBreak/>
        <w:t>Introduction</w:t>
      </w:r>
      <w:bookmarkEnd w:id="10"/>
      <w:r>
        <w:t xml:space="preserve"> </w:t>
      </w:r>
    </w:p>
    <w:p w14:paraId="6A390CBC" w14:textId="007BB9BF" w:rsidR="00D87B51" w:rsidRDefault="00D87B51" w:rsidP="00D87B51">
      <w:pPr>
        <w:rPr>
          <w:bCs/>
        </w:rPr>
      </w:pPr>
      <w:r w:rsidRPr="00E16A11">
        <w:rPr>
          <w:bCs/>
        </w:rPr>
        <w:t xml:space="preserve">Over the past 10 years, communications and media in Australia has undergone a period of </w:t>
      </w:r>
      <w:r w:rsidR="000E5DAE">
        <w:rPr>
          <w:bCs/>
        </w:rPr>
        <w:t>massive</w:t>
      </w:r>
      <w:r w:rsidRPr="00E16A11">
        <w:rPr>
          <w:bCs/>
        </w:rPr>
        <w:t xml:space="preserve"> innovation, with </w:t>
      </w:r>
      <w:r>
        <w:rPr>
          <w:bCs/>
        </w:rPr>
        <w:t xml:space="preserve">accompanying </w:t>
      </w:r>
      <w:r w:rsidRPr="00E16A11">
        <w:rPr>
          <w:bCs/>
        </w:rPr>
        <w:t xml:space="preserve">disruption to existing business models and industry structures. These changes have been documented </w:t>
      </w:r>
      <w:r>
        <w:rPr>
          <w:bCs/>
        </w:rPr>
        <w:t xml:space="preserve">by the ACMA’s </w:t>
      </w:r>
      <w:r w:rsidRPr="00E16A11">
        <w:rPr>
          <w:bCs/>
        </w:rPr>
        <w:t xml:space="preserve">tracking </w:t>
      </w:r>
      <w:r>
        <w:rPr>
          <w:bCs/>
        </w:rPr>
        <w:t xml:space="preserve">studies of </w:t>
      </w:r>
      <w:r w:rsidRPr="00E16A11">
        <w:rPr>
          <w:bCs/>
        </w:rPr>
        <w:t>market and technology developments and longitudinal studies of Australian’s changing media and communications practices</w:t>
      </w:r>
      <w:r w:rsidR="00800DF7">
        <w:rPr>
          <w:bCs/>
        </w:rPr>
        <w:t>.</w:t>
      </w:r>
      <w:r>
        <w:rPr>
          <w:rStyle w:val="FootnoteReference"/>
          <w:bCs/>
        </w:rPr>
        <w:footnoteReference w:id="3"/>
      </w:r>
    </w:p>
    <w:p w14:paraId="2FB3CB68" w14:textId="3E45E607" w:rsidR="00437A98" w:rsidRPr="00E41C4E" w:rsidRDefault="00437A98" w:rsidP="00B547DA">
      <w:pPr>
        <w:spacing w:after="80"/>
        <w:rPr>
          <w:bCs/>
        </w:rPr>
      </w:pPr>
      <w:r w:rsidRPr="00E41C4E">
        <w:rPr>
          <w:bCs/>
        </w:rPr>
        <w:t xml:space="preserve">The Pew Research Center (as part of a sustained effort throughout 2014 to mark the 25th anniversary of the creation of the World Wide Web) </w:t>
      </w:r>
      <w:r w:rsidR="009302E7">
        <w:rPr>
          <w:bCs/>
        </w:rPr>
        <w:t>examined</w:t>
      </w:r>
      <w:r w:rsidRPr="00E41C4E">
        <w:rPr>
          <w:bCs/>
        </w:rPr>
        <w:t xml:space="preserve"> the future of the </w:t>
      </w:r>
      <w:r w:rsidR="007F0330">
        <w:rPr>
          <w:bCs/>
        </w:rPr>
        <w:t>i</w:t>
      </w:r>
      <w:r w:rsidRPr="00E41C4E">
        <w:rPr>
          <w:bCs/>
        </w:rPr>
        <w:t xml:space="preserve">nternet, the </w:t>
      </w:r>
      <w:r w:rsidR="007F0330">
        <w:rPr>
          <w:bCs/>
        </w:rPr>
        <w:t>w</w:t>
      </w:r>
      <w:r w:rsidRPr="00E41C4E">
        <w:rPr>
          <w:bCs/>
        </w:rPr>
        <w:t>eb, and other digital activities. They canvassed 2,558 experts and technology builders about where we will stand by the year 2025 and found striking patterns in their predictions</w:t>
      </w:r>
      <w:r w:rsidR="007F0330">
        <w:rPr>
          <w:bCs/>
        </w:rPr>
        <w:t>.</w:t>
      </w:r>
      <w:r w:rsidRPr="00E41C4E">
        <w:rPr>
          <w:bCs/>
          <w:vertAlign w:val="superscript"/>
        </w:rPr>
        <w:footnoteReference w:id="4"/>
      </w:r>
      <w:r w:rsidRPr="00E41C4E">
        <w:rPr>
          <w:bCs/>
        </w:rPr>
        <w:t xml:space="preserve"> To a notable extent, these experts agreed on the technology change that lies ahead, even though they disagree about its ramifications. Most believe there will be: </w:t>
      </w:r>
    </w:p>
    <w:p w14:paraId="1F8F1F43" w14:textId="16890178" w:rsidR="00437A98" w:rsidRPr="00E41C4E" w:rsidRDefault="007F0330" w:rsidP="000F4F8B">
      <w:pPr>
        <w:pStyle w:val="ListBullet"/>
      </w:pPr>
      <w:r>
        <w:t>‘</w:t>
      </w:r>
      <w:r w:rsidR="001523B9">
        <w:t>a</w:t>
      </w:r>
      <w:r w:rsidR="00437A98" w:rsidRPr="00E41C4E">
        <w:t>ugmented reality</w:t>
      </w:r>
      <w:r>
        <w:t>’</w:t>
      </w:r>
      <w:r w:rsidR="00437A98" w:rsidRPr="00E41C4E">
        <w:t xml:space="preserve"> enhancements to real world displays that people perceive through the use of portable/wearable/implantable technologies </w:t>
      </w:r>
    </w:p>
    <w:p w14:paraId="50AF15F2" w14:textId="528623D7" w:rsidR="00437A98" w:rsidRPr="00E41C4E" w:rsidRDefault="001523B9" w:rsidP="000F4F8B">
      <w:pPr>
        <w:pStyle w:val="ListBullet"/>
      </w:pPr>
      <w:r>
        <w:t>d</w:t>
      </w:r>
      <w:r w:rsidR="00437A98" w:rsidRPr="00E41C4E">
        <w:t xml:space="preserve">isruption of business models established in the 20th century (most notably impacting finance, entertainment, publishers of all sorts, and education) </w:t>
      </w:r>
    </w:p>
    <w:p w14:paraId="67E9BF20" w14:textId="210A1BA8" w:rsidR="00437A98" w:rsidRPr="00E41C4E" w:rsidRDefault="001523B9" w:rsidP="000F4F8B">
      <w:pPr>
        <w:pStyle w:val="ListBullet"/>
      </w:pPr>
      <w:r>
        <w:t>t</w:t>
      </w:r>
      <w:r w:rsidR="00437A98" w:rsidRPr="00E41C4E">
        <w:t>agging, databasing, and intelligent analytical mapping of the physical and social realms</w:t>
      </w:r>
    </w:p>
    <w:p w14:paraId="0D562324" w14:textId="3961F4D3" w:rsidR="00437A98" w:rsidRPr="00E41C4E" w:rsidRDefault="001523B9" w:rsidP="00B547DA">
      <w:pPr>
        <w:pStyle w:val="ListBulletLast"/>
      </w:pPr>
      <w:r>
        <w:t>a</w:t>
      </w:r>
      <w:r w:rsidR="00437A98" w:rsidRPr="00E41C4E">
        <w:t xml:space="preserve"> global, immersive, invisible, ambient networked computing environment built through the continued proliferation of smart sensors, cameras, software, databases, and massive data centers in a world-spanning information fabric known as the ‘Internet of Things’ (IoT). </w:t>
      </w:r>
    </w:p>
    <w:p w14:paraId="50554E62" w14:textId="26455A44" w:rsidR="00437A98" w:rsidRPr="00F1305F" w:rsidRDefault="00437A98" w:rsidP="00B547DA">
      <w:pPr>
        <w:spacing w:after="120"/>
        <w:rPr>
          <w:bCs/>
        </w:rPr>
      </w:pPr>
      <w:r w:rsidRPr="00F1305F">
        <w:rPr>
          <w:bCs/>
        </w:rPr>
        <w:t xml:space="preserve">The IoT and other developments such as those chronicled above by Pew Research are unleashing what is often discussed as </w:t>
      </w:r>
      <w:r w:rsidR="007F0330">
        <w:rPr>
          <w:bCs/>
        </w:rPr>
        <w:t>‘</w:t>
      </w:r>
      <w:r w:rsidRPr="00F1305F">
        <w:rPr>
          <w:bCs/>
        </w:rPr>
        <w:t>forces of disruption</w:t>
      </w:r>
      <w:r w:rsidR="007F0330">
        <w:rPr>
          <w:bCs/>
        </w:rPr>
        <w:t>’</w:t>
      </w:r>
      <w:r w:rsidRPr="00F1305F">
        <w:rPr>
          <w:bCs/>
        </w:rPr>
        <w:t xml:space="preserve">. Catherine Livingstone, Chair </w:t>
      </w:r>
      <w:r w:rsidR="001523B9">
        <w:rPr>
          <w:bCs/>
        </w:rPr>
        <w:t>of Telstra, Australia’s major telecommunications company</w:t>
      </w:r>
      <w:r w:rsidRPr="00F1305F">
        <w:rPr>
          <w:bCs/>
        </w:rPr>
        <w:t>, put it this way in a recent address:</w:t>
      </w:r>
    </w:p>
    <w:p w14:paraId="73ACE61B" w14:textId="77777777" w:rsidR="00437A98" w:rsidRPr="002B705D" w:rsidRDefault="00437A98" w:rsidP="002B705D">
      <w:pPr>
        <w:spacing w:after="120"/>
        <w:ind w:left="568"/>
        <w:rPr>
          <w:bCs/>
          <w:sz w:val="18"/>
          <w:szCs w:val="18"/>
        </w:rPr>
      </w:pPr>
      <w:r w:rsidRPr="002B705D">
        <w:rPr>
          <w:bCs/>
          <w:sz w:val="18"/>
          <w:szCs w:val="18"/>
        </w:rPr>
        <w:t>At the heart of this disruption is connectivity. Mass connectivity.</w:t>
      </w:r>
    </w:p>
    <w:p w14:paraId="4B049836" w14:textId="77777777" w:rsidR="00437A98" w:rsidRPr="002B705D" w:rsidRDefault="00437A98" w:rsidP="002B705D">
      <w:pPr>
        <w:spacing w:after="120"/>
        <w:ind w:left="568"/>
        <w:rPr>
          <w:bCs/>
          <w:sz w:val="18"/>
          <w:szCs w:val="18"/>
        </w:rPr>
      </w:pPr>
      <w:r w:rsidRPr="002B705D">
        <w:rPr>
          <w:bCs/>
          <w:sz w:val="18"/>
          <w:szCs w:val="18"/>
        </w:rPr>
        <w:t>This connectivity has enabled human generated data, and now machine generated data, to flood through our global networks of fibre and copper. Combined with orders of magnitude increases in computing power, what and who is possible to know is almost limitless. And in real time.</w:t>
      </w:r>
    </w:p>
    <w:p w14:paraId="0A5039F2" w14:textId="097AE5E2" w:rsidR="00437A98" w:rsidRPr="00F1305F" w:rsidRDefault="00437A98" w:rsidP="002B705D">
      <w:pPr>
        <w:ind w:left="568"/>
        <w:rPr>
          <w:bCs/>
        </w:rPr>
      </w:pPr>
      <w:r w:rsidRPr="002B705D">
        <w:rPr>
          <w:bCs/>
          <w:sz w:val="18"/>
          <w:szCs w:val="18"/>
        </w:rPr>
        <w:t>We thought that the connectivity enabled in the mid-nineties by the fixed line Internet and browser technology was disruptive; that was before 2007, when the mobile internet became a reality with the first smartphone. But that is nothing compared with the disruption we will see with the advent of the ‘internet of things.</w:t>
      </w:r>
      <w:r w:rsidRPr="00F1305F">
        <w:rPr>
          <w:bCs/>
        </w:rPr>
        <w:t>’</w:t>
      </w:r>
      <w:r w:rsidR="001523B9">
        <w:rPr>
          <w:rStyle w:val="FootnoteReference"/>
          <w:bCs/>
        </w:rPr>
        <w:footnoteReference w:id="5"/>
      </w:r>
    </w:p>
    <w:p w14:paraId="42CBA2B9" w14:textId="600D0F3E" w:rsidR="00437A98" w:rsidRPr="00F1305F" w:rsidRDefault="00437A98" w:rsidP="00437A98">
      <w:pPr>
        <w:rPr>
          <w:bCs/>
        </w:rPr>
      </w:pPr>
      <w:r w:rsidRPr="00F1305F">
        <w:rPr>
          <w:bCs/>
        </w:rPr>
        <w:t>There are a number of other ingredients feeding into the mix headlined by the IoT</w:t>
      </w:r>
      <w:r w:rsidR="007F0330">
        <w:rPr>
          <w:bCs/>
        </w:rPr>
        <w:t>—c</w:t>
      </w:r>
      <w:r w:rsidRPr="00F1305F">
        <w:rPr>
          <w:bCs/>
        </w:rPr>
        <w:t xml:space="preserve">loud computing, ‘deep learning’ algorithms fed by big data, the smart devices in the hands of </w:t>
      </w:r>
      <w:r w:rsidR="0019699B">
        <w:rPr>
          <w:bCs/>
        </w:rPr>
        <w:t xml:space="preserve">consumers and </w:t>
      </w:r>
      <w:r w:rsidRPr="00F1305F">
        <w:rPr>
          <w:bCs/>
        </w:rPr>
        <w:t>citizens</w:t>
      </w:r>
      <w:r w:rsidR="007F0330">
        <w:rPr>
          <w:bCs/>
        </w:rPr>
        <w:t>,</w:t>
      </w:r>
      <w:r w:rsidRPr="00F1305F">
        <w:rPr>
          <w:bCs/>
        </w:rPr>
        <w:t xml:space="preserve"> and the connectivity platforms </w:t>
      </w:r>
      <w:r w:rsidR="007F0330">
        <w:rPr>
          <w:bCs/>
        </w:rPr>
        <w:t>that</w:t>
      </w:r>
      <w:r w:rsidR="007F0330" w:rsidRPr="00F1305F">
        <w:rPr>
          <w:bCs/>
        </w:rPr>
        <w:t xml:space="preserve"> </w:t>
      </w:r>
      <w:r w:rsidRPr="00F1305F">
        <w:rPr>
          <w:bCs/>
        </w:rPr>
        <w:t xml:space="preserve">support disruptive business models currently </w:t>
      </w:r>
      <w:r w:rsidR="0019699B">
        <w:rPr>
          <w:bCs/>
        </w:rPr>
        <w:t>challenging</w:t>
      </w:r>
      <w:r w:rsidRPr="00F1305F">
        <w:rPr>
          <w:bCs/>
        </w:rPr>
        <w:t xml:space="preserve"> many established industries. </w:t>
      </w:r>
    </w:p>
    <w:p w14:paraId="3F46B48E" w14:textId="16B17838" w:rsidR="009A039A" w:rsidRDefault="00D87B51" w:rsidP="009A039A">
      <w:pPr>
        <w:rPr>
          <w:bCs/>
        </w:rPr>
      </w:pPr>
      <w:r>
        <w:rPr>
          <w:bCs/>
        </w:rPr>
        <w:lastRenderedPageBreak/>
        <w:t xml:space="preserve">The growing reach of the </w:t>
      </w:r>
      <w:r w:rsidR="008C3A2A">
        <w:rPr>
          <w:bCs/>
        </w:rPr>
        <w:t>IoT</w:t>
      </w:r>
      <w:r>
        <w:rPr>
          <w:bCs/>
        </w:rPr>
        <w:t xml:space="preserve"> and the emerging </w:t>
      </w:r>
      <w:r w:rsidR="005E1BCC">
        <w:rPr>
          <w:bCs/>
        </w:rPr>
        <w:t>I</w:t>
      </w:r>
      <w:r>
        <w:rPr>
          <w:bCs/>
        </w:rPr>
        <w:t xml:space="preserve">nternet of </w:t>
      </w:r>
      <w:r w:rsidR="005E1BCC">
        <w:rPr>
          <w:bCs/>
        </w:rPr>
        <w:t>E</w:t>
      </w:r>
      <w:r>
        <w:rPr>
          <w:bCs/>
        </w:rPr>
        <w:t xml:space="preserve">verything </w:t>
      </w:r>
      <w:r w:rsidR="005E1BCC">
        <w:rPr>
          <w:bCs/>
        </w:rPr>
        <w:t xml:space="preserve">(IoE) </w:t>
      </w:r>
      <w:r>
        <w:rPr>
          <w:bCs/>
        </w:rPr>
        <w:t>is likely to involve a step</w:t>
      </w:r>
      <w:r w:rsidR="00437A98">
        <w:rPr>
          <w:bCs/>
        </w:rPr>
        <w:t>-</w:t>
      </w:r>
      <w:r>
        <w:rPr>
          <w:bCs/>
        </w:rPr>
        <w:t>change</w:t>
      </w:r>
      <w:r w:rsidR="00950060">
        <w:rPr>
          <w:bCs/>
        </w:rPr>
        <w:t xml:space="preserve"> </w:t>
      </w:r>
      <w:r>
        <w:rPr>
          <w:bCs/>
        </w:rPr>
        <w:t xml:space="preserve">not only </w:t>
      </w:r>
      <w:r w:rsidR="00437A98">
        <w:rPr>
          <w:bCs/>
        </w:rPr>
        <w:t xml:space="preserve">for </w:t>
      </w:r>
      <w:r>
        <w:rPr>
          <w:bCs/>
        </w:rPr>
        <w:t>industry and innovation</w:t>
      </w:r>
      <w:r w:rsidR="00800DF7">
        <w:rPr>
          <w:bCs/>
        </w:rPr>
        <w:t>,</w:t>
      </w:r>
      <w:r>
        <w:rPr>
          <w:bCs/>
        </w:rPr>
        <w:t xml:space="preserve"> but </w:t>
      </w:r>
      <w:r w:rsidR="00950060">
        <w:rPr>
          <w:bCs/>
        </w:rPr>
        <w:t xml:space="preserve">is </w:t>
      </w:r>
      <w:r>
        <w:rPr>
          <w:bCs/>
        </w:rPr>
        <w:t>also</w:t>
      </w:r>
      <w:r w:rsidR="000E5DAE">
        <w:rPr>
          <w:bCs/>
        </w:rPr>
        <w:t xml:space="preserve"> equally</w:t>
      </w:r>
      <w:r>
        <w:rPr>
          <w:bCs/>
        </w:rPr>
        <w:t xml:space="preserve"> likely </w:t>
      </w:r>
      <w:r w:rsidR="000E5DAE">
        <w:rPr>
          <w:bCs/>
        </w:rPr>
        <w:t xml:space="preserve">to </w:t>
      </w:r>
      <w:r>
        <w:rPr>
          <w:bCs/>
        </w:rPr>
        <w:t>drive significant behavioural changes in the way Australians interact with each other, with machines</w:t>
      </w:r>
      <w:r w:rsidR="00800DF7">
        <w:rPr>
          <w:bCs/>
        </w:rPr>
        <w:t>,</w:t>
      </w:r>
      <w:r>
        <w:rPr>
          <w:bCs/>
        </w:rPr>
        <w:t xml:space="preserve"> and with networked digital information.</w:t>
      </w:r>
      <w:r w:rsidR="00A8742C">
        <w:rPr>
          <w:bCs/>
        </w:rPr>
        <w:t xml:space="preserve"> </w:t>
      </w:r>
      <w:r w:rsidR="009A039A">
        <w:rPr>
          <w:bCs/>
        </w:rPr>
        <w:t xml:space="preserve">Many of the building blocks to support mass connectivity are in place. However, the ACMA’s observation is that industry segments and sectors, along with individual consumers and citizens, are at different stages in transitioning towards that densely connected world of an internet-enabled everything. </w:t>
      </w:r>
    </w:p>
    <w:p w14:paraId="3B532C99" w14:textId="3E59B4BD" w:rsidR="00437A98" w:rsidRPr="002C53DA" w:rsidRDefault="009A039A" w:rsidP="00841C5C">
      <w:r>
        <w:t xml:space="preserve">Identifying where there are barriers to innovation, or where confidence in undertaking new activities needs bolstering, will be important in ensuring that Australia derives maximum benefit in a hyper-connected environment. </w:t>
      </w:r>
    </w:p>
    <w:p w14:paraId="06D632A8" w14:textId="10CCA638" w:rsidR="00F759D2" w:rsidRDefault="00107F9D" w:rsidP="00841C5C">
      <w:r>
        <w:t xml:space="preserve">The capacity </w:t>
      </w:r>
      <w:r w:rsidR="009A039A">
        <w:t>of the Australian communications industry sector to</w:t>
      </w:r>
      <w:r w:rsidR="003E3CF2">
        <w:t xml:space="preserve"> address these barriers</w:t>
      </w:r>
      <w:r w:rsidR="00841C5C">
        <w:t xml:space="preserve"> </w:t>
      </w:r>
      <w:r>
        <w:t xml:space="preserve">has direct consequences for Australia’s economic productivity and prosperity. </w:t>
      </w:r>
    </w:p>
    <w:p w14:paraId="0C6FE177" w14:textId="57C8E0FB" w:rsidR="00107F9D" w:rsidRDefault="00107F9D" w:rsidP="00107F9D">
      <w:r>
        <w:t>According to the recent Australian Infrastructure Audit, the direct economic contribution of communications services across Australia was $21 billion in 2011</w:t>
      </w:r>
      <w:r w:rsidR="0065410A">
        <w:rPr>
          <w:b/>
        </w:rPr>
        <w:t>—</w:t>
      </w:r>
      <w:r>
        <w:t>the highest contribution of any of the infrastructure sectors. Growth projections estimate that the direct economic contribution of communications is expected to grow to approximately $42 billion by 2031</w:t>
      </w:r>
      <w:r w:rsidR="00800DF7">
        <w:t>.</w:t>
      </w:r>
      <w:r>
        <w:rPr>
          <w:rStyle w:val="FootnoteReference"/>
        </w:rPr>
        <w:footnoteReference w:id="6"/>
      </w:r>
      <w:r>
        <w:t xml:space="preserve"> This estimate only covers communications and does not take account of the contribution of digital content and media. Nor does </w:t>
      </w:r>
      <w:r w:rsidR="00516E7E">
        <w:t>this estimate</w:t>
      </w:r>
      <w:r>
        <w:t xml:space="preserve"> model the non-linear effects that occur from major disruptive technol</w:t>
      </w:r>
      <w:r w:rsidR="00380D53">
        <w:t>ogy, market or social changes.</w:t>
      </w:r>
    </w:p>
    <w:p w14:paraId="463FC3E4" w14:textId="5365AB7D" w:rsidR="00F759D2" w:rsidRDefault="00107F9D" w:rsidP="00841C5C">
      <w:r>
        <w:t xml:space="preserve">Australian communications and content industries have demonstrated significant capacity over many years in leading and responding to change. Australian </w:t>
      </w:r>
      <w:r w:rsidR="0019699B">
        <w:t xml:space="preserve">citizens and </w:t>
      </w:r>
      <w:r>
        <w:t>consumers</w:t>
      </w:r>
      <w:r w:rsidR="00D87B51">
        <w:t xml:space="preserve"> have</w:t>
      </w:r>
      <w:r>
        <w:t xml:space="preserve"> also shown a similar appetite </w:t>
      </w:r>
      <w:r w:rsidR="00D87B51">
        <w:t>to</w:t>
      </w:r>
      <w:r>
        <w:t xml:space="preserve"> embrac</w:t>
      </w:r>
      <w:r w:rsidR="00D87B51">
        <w:t>e</w:t>
      </w:r>
      <w:r>
        <w:t xml:space="preserve"> new technologies</w:t>
      </w:r>
      <w:r w:rsidR="00516E7E">
        <w:t xml:space="preserve"> and communications practices</w:t>
      </w:r>
      <w:r w:rsidR="00380D53">
        <w:t>.</w:t>
      </w:r>
    </w:p>
    <w:p w14:paraId="2E4B647F" w14:textId="77777777" w:rsidR="005B3A2F" w:rsidRPr="005B3A2F" w:rsidRDefault="00107F9D" w:rsidP="005B3A2F">
      <w:pPr>
        <w:rPr>
          <w:bCs/>
          <w:lang w:val="en"/>
        </w:rPr>
      </w:pPr>
      <w:r>
        <w:t xml:space="preserve">However, the cautionary note struck in </w:t>
      </w:r>
      <w:r w:rsidR="00D87B51">
        <w:t>the</w:t>
      </w:r>
      <w:r w:rsidR="0019699B">
        <w:t>se industry commentators’</w:t>
      </w:r>
      <w:r w:rsidR="00841C5C">
        <w:t xml:space="preserve"> </w:t>
      </w:r>
      <w:r w:rsidR="00A9204F">
        <w:t xml:space="preserve">observations </w:t>
      </w:r>
      <w:r>
        <w:t xml:space="preserve">highlights the importance of </w:t>
      </w:r>
      <w:r w:rsidR="00E24C8D">
        <w:t xml:space="preserve">having in place </w:t>
      </w:r>
      <w:r>
        <w:t xml:space="preserve">the appropriate regulatory settings that will enable </w:t>
      </w:r>
      <w:r w:rsidR="00516E7E">
        <w:t>M2M</w:t>
      </w:r>
      <w:r>
        <w:t xml:space="preserve"> and IoT developments</w:t>
      </w:r>
      <w:r w:rsidR="0019699B">
        <w:t xml:space="preserve"> to flourish</w:t>
      </w:r>
      <w:r w:rsidR="00800DF7">
        <w:t>,</w:t>
      </w:r>
      <w:r>
        <w:t xml:space="preserve"> as well as mitigate any potential harms.</w:t>
      </w:r>
      <w:r w:rsidR="00944180">
        <w:t xml:space="preserve"> </w:t>
      </w:r>
      <w:r w:rsidR="005B3A2F">
        <w:t xml:space="preserve"> </w:t>
      </w:r>
      <w:r w:rsidR="005B3A2F" w:rsidRPr="005B3A2F">
        <w:rPr>
          <w:bCs/>
        </w:rPr>
        <w:t xml:space="preserve">This point is noted in the report from </w:t>
      </w:r>
      <w:r w:rsidR="005B3A2F" w:rsidRPr="005B3A2F">
        <w:rPr>
          <w:bCs/>
          <w:lang w:val="en"/>
        </w:rPr>
        <w:t xml:space="preserve">The McKinsey Global Institute (MGI) in its comprehensive assessment </w:t>
      </w:r>
      <w:r w:rsidR="005B3A2F" w:rsidRPr="005B3A2F">
        <w:rPr>
          <w:bCs/>
          <w:i/>
          <w:lang w:val="en"/>
        </w:rPr>
        <w:t>The Internet of Things: Mapping the Value Beyond the Hype,</w:t>
      </w:r>
      <w:r w:rsidR="005B3A2F" w:rsidRPr="005B3A2F">
        <w:rPr>
          <w:bCs/>
          <w:lang w:val="en"/>
        </w:rPr>
        <w:t xml:space="preserve"> which examines the impact of IoT across nine environments: homes, offices, factories, worksites (mining, oil and gas, and construction), retail environments, cities, vehicles, and the outdoors. MGI noted that:</w:t>
      </w:r>
    </w:p>
    <w:p w14:paraId="0D237511" w14:textId="56DD5AC2" w:rsidR="00545B27" w:rsidRPr="000F4F8B" w:rsidRDefault="005B3A2F" w:rsidP="008616D1">
      <w:pPr>
        <w:ind w:left="568"/>
        <w:rPr>
          <w:bCs/>
        </w:rPr>
      </w:pPr>
      <w:r w:rsidRPr="005B3A2F">
        <w:rPr>
          <w:bCs/>
          <w:sz w:val="18"/>
          <w:szCs w:val="18"/>
        </w:rPr>
        <w:t>… policy makers and governments will have to ensure that these new systems are safe and that IoT data is not being stolen or abused. They can help to balance the needs for privacy and protection of private data and intellectual property with the demands of national security. With vital infrastructure connected to the Internet, security threats will multiply, which governments will need to address. Policy makers also have an important role in enabling the Internet of Things by leading and encouraging standards that will make interoperability and widespread adoption possible</w:t>
      </w:r>
      <w:r w:rsidRPr="005B3A2F">
        <w:rPr>
          <w:bCs/>
        </w:rPr>
        <w:t>.</w:t>
      </w:r>
      <w:r>
        <w:rPr>
          <w:rStyle w:val="FootnoteReference"/>
          <w:bCs/>
        </w:rPr>
        <w:footnoteReference w:id="7"/>
      </w:r>
    </w:p>
    <w:p w14:paraId="5007A81C" w14:textId="123104EA" w:rsidR="00437A98" w:rsidRPr="007A72BF" w:rsidRDefault="0019699B" w:rsidP="00841C5C">
      <w:r>
        <w:lastRenderedPageBreak/>
        <w:t>A</w:t>
      </w:r>
      <w:r w:rsidR="0008441B" w:rsidRPr="007A72BF">
        <w:t xml:space="preserve">s one </w:t>
      </w:r>
      <w:r w:rsidR="00437A98" w:rsidRPr="007A72BF">
        <w:t xml:space="preserve">of the relevant regulators in the Australian context, </w:t>
      </w:r>
      <w:r w:rsidR="00346D14" w:rsidRPr="007A72BF">
        <w:t>the ACMA</w:t>
      </w:r>
      <w:r w:rsidR="00BB03D4" w:rsidRPr="007A72BF">
        <w:t xml:space="preserve"> </w:t>
      </w:r>
      <w:r w:rsidR="00437A98" w:rsidRPr="007A72BF">
        <w:t xml:space="preserve">can </w:t>
      </w:r>
      <w:r w:rsidR="00346D14" w:rsidRPr="007A72BF">
        <w:t>work with industry to</w:t>
      </w:r>
      <w:r w:rsidR="00437A98" w:rsidRPr="007A72BF">
        <w:t xml:space="preserve"> </w:t>
      </w:r>
      <w:r>
        <w:t xml:space="preserve">better </w:t>
      </w:r>
      <w:r w:rsidR="00437A98" w:rsidRPr="007A72BF">
        <w:t xml:space="preserve">resolve impediments to </w:t>
      </w:r>
      <w:r w:rsidR="00545B27" w:rsidRPr="007A72BF">
        <w:t xml:space="preserve">the </w:t>
      </w:r>
      <w:r w:rsidR="00437A98" w:rsidRPr="007A72BF">
        <w:t xml:space="preserve">development of </w:t>
      </w:r>
      <w:r w:rsidR="00545B27" w:rsidRPr="007A72BF">
        <w:t xml:space="preserve">IoT </w:t>
      </w:r>
      <w:r w:rsidR="00BB03D4" w:rsidRPr="007A72BF">
        <w:t xml:space="preserve">by explicitly forbearing on regulation or by </w:t>
      </w:r>
      <w:r>
        <w:t xml:space="preserve">the </w:t>
      </w:r>
      <w:r w:rsidR="00BB03D4" w:rsidRPr="007A72BF">
        <w:t xml:space="preserve">use of targeted </w:t>
      </w:r>
      <w:r w:rsidR="00437A98" w:rsidRPr="007A72BF">
        <w:t>regulatory interventions</w:t>
      </w:r>
      <w:r w:rsidR="00841C5C">
        <w:t>.</w:t>
      </w:r>
    </w:p>
    <w:p w14:paraId="4F6D9140" w14:textId="46077E2E" w:rsidR="00407904" w:rsidRDefault="001A554D" w:rsidP="00841C5C">
      <w:r w:rsidRPr="00692FDA">
        <w:t>Accordingly,</w:t>
      </w:r>
      <w:r w:rsidR="00083270" w:rsidRPr="00692FDA">
        <w:t xml:space="preserve"> </w:t>
      </w:r>
      <w:r w:rsidR="00F53102">
        <w:t xml:space="preserve">in the first part of this paper, </w:t>
      </w:r>
      <w:r w:rsidR="00083270" w:rsidRPr="00692FDA">
        <w:t xml:space="preserve">the ACMA has developed an IoT roadmap to chart a practical course in the context of its existing legislative remit to engage with this aspect </w:t>
      </w:r>
      <w:r w:rsidR="00B3517D">
        <w:t xml:space="preserve">of </w:t>
      </w:r>
      <w:r w:rsidR="00083270" w:rsidRPr="00692FDA">
        <w:t>communications innovation</w:t>
      </w:r>
      <w:r w:rsidR="00380D53">
        <w:t>.</w:t>
      </w:r>
    </w:p>
    <w:p w14:paraId="3386DBF0" w14:textId="28807AA9" w:rsidR="00F53102" w:rsidRDefault="00F53102" w:rsidP="00841C5C">
      <w:pPr>
        <w:rPr>
          <w:bCs/>
        </w:rPr>
      </w:pPr>
      <w:r>
        <w:rPr>
          <w:bCs/>
        </w:rPr>
        <w:t xml:space="preserve">In the second part of the paper, the ACMA provides </w:t>
      </w:r>
      <w:r w:rsidR="00304622">
        <w:rPr>
          <w:bCs/>
        </w:rPr>
        <w:t>additional</w:t>
      </w:r>
      <w:r w:rsidR="00B95AF6">
        <w:rPr>
          <w:bCs/>
        </w:rPr>
        <w:t xml:space="preserve"> </w:t>
      </w:r>
      <w:r>
        <w:rPr>
          <w:bCs/>
        </w:rPr>
        <w:t xml:space="preserve">analysis supporting </w:t>
      </w:r>
      <w:r w:rsidR="00304622">
        <w:rPr>
          <w:bCs/>
        </w:rPr>
        <w:t xml:space="preserve">the prioritisation of </w:t>
      </w:r>
      <w:r>
        <w:rPr>
          <w:bCs/>
        </w:rPr>
        <w:t xml:space="preserve">the areas identified in the roadmap </w:t>
      </w:r>
      <w:r w:rsidR="00B3517D">
        <w:rPr>
          <w:bCs/>
        </w:rPr>
        <w:t>for attention and facilitation by the regulator</w:t>
      </w:r>
      <w:r>
        <w:rPr>
          <w:bCs/>
        </w:rPr>
        <w:t xml:space="preserve">, and the </w:t>
      </w:r>
      <w:r w:rsidR="00D865E5">
        <w:rPr>
          <w:bCs/>
        </w:rPr>
        <w:t xml:space="preserve">third part of the </w:t>
      </w:r>
      <w:r>
        <w:rPr>
          <w:bCs/>
        </w:rPr>
        <w:t xml:space="preserve">paper provides further guidance on </w:t>
      </w:r>
      <w:r w:rsidR="00B3517D">
        <w:rPr>
          <w:bCs/>
        </w:rPr>
        <w:t>the ACMA’s</w:t>
      </w:r>
      <w:r w:rsidR="001C30C6">
        <w:rPr>
          <w:bCs/>
        </w:rPr>
        <w:t xml:space="preserve"> framework for </w:t>
      </w:r>
      <w:r w:rsidR="00B3517D">
        <w:rPr>
          <w:bCs/>
        </w:rPr>
        <w:t xml:space="preserve">regulatory </w:t>
      </w:r>
      <w:r w:rsidR="001C30C6">
        <w:rPr>
          <w:bCs/>
        </w:rPr>
        <w:t>analysis</w:t>
      </w:r>
      <w:r w:rsidR="00B3517D">
        <w:rPr>
          <w:bCs/>
        </w:rPr>
        <w:t>.</w:t>
      </w:r>
    </w:p>
    <w:p w14:paraId="52D5D463" w14:textId="6ACD3070" w:rsidR="00F05EFF" w:rsidRPr="00FE5A80" w:rsidRDefault="00407904" w:rsidP="00F05EFF">
      <w:pPr>
        <w:pStyle w:val="Heading1"/>
      </w:pPr>
      <w:bookmarkStart w:id="11" w:name="_Toc435079474"/>
      <w:r>
        <w:lastRenderedPageBreak/>
        <w:t>Part 1</w:t>
      </w:r>
      <w:r w:rsidR="002B705D">
        <w:t>—</w:t>
      </w:r>
      <w:r w:rsidR="00F05EFF">
        <w:t>A practical roadmap</w:t>
      </w:r>
      <w:bookmarkEnd w:id="11"/>
    </w:p>
    <w:p w14:paraId="7041CE1A" w14:textId="606BCA05" w:rsidR="00F05EFF" w:rsidRDefault="00F05EFF" w:rsidP="00F05EFF">
      <w:r>
        <w:t xml:space="preserve">This </w:t>
      </w:r>
      <w:r w:rsidR="00D865E5">
        <w:t>part</w:t>
      </w:r>
      <w:r>
        <w:t xml:space="preserve"> looks at the practical responses under development by the ACMA in the context of its existing legislative remit. </w:t>
      </w:r>
      <w:r w:rsidR="009302E7">
        <w:t xml:space="preserve">This analysis </w:t>
      </w:r>
      <w:r>
        <w:t>is primarily concerned with identifying where and when the ACMA can act t</w:t>
      </w:r>
      <w:r w:rsidR="00304622">
        <w:t>o assist industry and consumers in the development and adoption of IoT applications.</w:t>
      </w:r>
    </w:p>
    <w:p w14:paraId="278CAA1E" w14:textId="4B3EBCF3" w:rsidR="00F05EFF" w:rsidRPr="00A10FBD" w:rsidRDefault="00F05EFF" w:rsidP="00F05EFF">
      <w:pPr>
        <w:pStyle w:val="Heading2"/>
      </w:pPr>
      <w:bookmarkStart w:id="12" w:name="_Toc435079475"/>
      <w:r w:rsidRPr="00A10FBD">
        <w:t>The ACMA’s current focus</w:t>
      </w:r>
      <w:bookmarkEnd w:id="12"/>
    </w:p>
    <w:p w14:paraId="44F8B035" w14:textId="2A6244CD" w:rsidR="00076BAF" w:rsidRDefault="00F05EFF" w:rsidP="00076BAF">
      <w:r>
        <w:t xml:space="preserve">The ACMA’s </w:t>
      </w:r>
      <w:r w:rsidR="002E770D">
        <w:t>current</w:t>
      </w:r>
      <w:r>
        <w:t xml:space="preserve"> focus</w:t>
      </w:r>
      <w:r w:rsidR="001A554D">
        <w:t>,</w:t>
      </w:r>
      <w:r>
        <w:t xml:space="preserve"> </w:t>
      </w:r>
      <w:r w:rsidR="002E770D">
        <w:t xml:space="preserve">as outlined in its </w:t>
      </w:r>
      <w:hyperlink r:id="rId36" w:history="1">
        <w:r w:rsidR="00841C5C">
          <w:rPr>
            <w:rStyle w:val="Hyperlink"/>
          </w:rPr>
          <w:t>Corporate p</w:t>
        </w:r>
        <w:r w:rsidR="002E770D" w:rsidRPr="002E770D">
          <w:rPr>
            <w:rStyle w:val="Hyperlink"/>
          </w:rPr>
          <w:t>lan</w:t>
        </w:r>
      </w:hyperlink>
      <w:r w:rsidR="001A554D">
        <w:rPr>
          <w:rStyle w:val="Hyperlink"/>
        </w:rPr>
        <w:t>,</w:t>
      </w:r>
      <w:r w:rsidR="002E770D">
        <w:t xml:space="preserve"> </w:t>
      </w:r>
      <w:r>
        <w:t>is directed towards facilitative actions to establish the conditions and settings that will support M2M and IoT developments, as well as identify potential inhibitors to those developments</w:t>
      </w:r>
      <w:r w:rsidR="001A554D">
        <w:t>.</w:t>
      </w:r>
      <w:r w:rsidR="002E770D">
        <w:rPr>
          <w:rStyle w:val="FootnoteReference"/>
        </w:rPr>
        <w:footnoteReference w:id="8"/>
      </w:r>
      <w:r>
        <w:t xml:space="preserve"> The ACMA has examined the regulatory settings of the different enabling aspects of M2M and IoT through its previous work looking at short-range mobile network applications such as near</w:t>
      </w:r>
      <w:r w:rsidR="009C62E0">
        <w:t>-</w:t>
      </w:r>
      <w:r>
        <w:t xml:space="preserve">field communications, big data and cloud computing. As part of its ongoing resource planning activities, the ACMA has also looked at the immediate industry requirements for access to spectrum and telephone number resources. </w:t>
      </w:r>
      <w:r w:rsidR="00076BAF" w:rsidRPr="003D1CF2">
        <w:t>The ACMA is engaged in discussion with industry stakeholders about reviewing existing regulatory settings to identify regulatory tools and strategies that will further facilitate M2M and IoT</w:t>
      </w:r>
      <w:r w:rsidR="009C62E0">
        <w:t xml:space="preserve"> applications</w:t>
      </w:r>
      <w:r w:rsidR="00076BAF" w:rsidRPr="003D1CF2">
        <w:t>.</w:t>
      </w:r>
      <w:r w:rsidR="00076BAF" w:rsidRPr="008C0F15">
        <w:t xml:space="preserve"> </w:t>
      </w:r>
    </w:p>
    <w:p w14:paraId="3C5D85AA" w14:textId="77777777" w:rsidR="00F05EFF" w:rsidRDefault="00F05EFF" w:rsidP="00F05EFF">
      <w:pPr>
        <w:pStyle w:val="Heading3"/>
      </w:pPr>
      <w:bookmarkStart w:id="13" w:name="_Toc435079476"/>
      <w:r>
        <w:t>Telephone numbers as an infrastructure enabler</w:t>
      </w:r>
      <w:bookmarkEnd w:id="13"/>
    </w:p>
    <w:p w14:paraId="6ADDB049" w14:textId="40DC0EDE" w:rsidR="00F05EFF" w:rsidRDefault="00F05EFF" w:rsidP="00F05EFF">
      <w:r>
        <w:t>As an area of immediate focus, the ACMA is continuing to cater for growth in M2M and IoT applications by making telephone numbers and spectrum available</w:t>
      </w:r>
      <w:r w:rsidR="009C62E0">
        <w:t>.</w:t>
      </w:r>
      <w:r>
        <w:t xml:space="preserve"> </w:t>
      </w:r>
    </w:p>
    <w:p w14:paraId="05AB392F" w14:textId="24C60DC8" w:rsidR="00701CD8" w:rsidRDefault="00F05EFF" w:rsidP="00701CD8">
      <w:r>
        <w:t>M2M</w:t>
      </w:r>
      <w:r w:rsidRPr="007D72A3">
        <w:t xml:space="preserve"> reliance on mobile networks is expected to continue in the short term, </w:t>
      </w:r>
      <w:r w:rsidR="00637CB3">
        <w:t xml:space="preserve">reflecting the easy availability of </w:t>
      </w:r>
      <w:r w:rsidRPr="007D72A3">
        <w:t>mobile network technolog</w:t>
      </w:r>
      <w:r w:rsidR="00841C5C">
        <w:t>ies.</w:t>
      </w:r>
      <w:r w:rsidRPr="007D72A3">
        <w:t xml:space="preserve"> </w:t>
      </w:r>
      <w:r>
        <w:t>In the context of its Numbering Work Program, the ACMA considered the effect of M2M on the demand for mobile numbers. At the time (2011), the early estimates suggested a r</w:t>
      </w:r>
      <w:r w:rsidRPr="007D72A3">
        <w:t xml:space="preserve">equirement for numbers for </w:t>
      </w:r>
      <w:r>
        <w:t>M2M</w:t>
      </w:r>
      <w:r w:rsidRPr="007D72A3">
        <w:t xml:space="preserve"> communications of between 5.8 and 61.9 million by 2020.</w:t>
      </w:r>
      <w:r w:rsidRPr="007D72A3">
        <w:rPr>
          <w:rStyle w:val="FootnoteReference"/>
        </w:rPr>
        <w:footnoteReference w:id="9"/>
      </w:r>
      <w:r>
        <w:t xml:space="preserve"> In responding to this expected demand for new mobile numbers, in 2012 the ACMA made available a new mobile number range (05 range) to supplement the existing (04) mobile number range. The ACMA will continue to monitor changes in demand for mobile numbers used in M2M communications.</w:t>
      </w:r>
    </w:p>
    <w:p w14:paraId="4B19C24F" w14:textId="5C5C0516" w:rsidR="008E25E0" w:rsidRDefault="00701CD8" w:rsidP="008616D1">
      <w:pPr>
        <w:pBdr>
          <w:top w:val="single" w:sz="4" w:space="1" w:color="auto"/>
          <w:left w:val="single" w:sz="4" w:space="4" w:color="auto"/>
          <w:bottom w:val="single" w:sz="4" w:space="1" w:color="auto"/>
          <w:right w:val="single" w:sz="4" w:space="4" w:color="auto"/>
        </w:pBdr>
        <w:spacing w:after="120"/>
        <w:rPr>
          <w:b/>
        </w:rPr>
      </w:pPr>
      <w:r>
        <w:rPr>
          <w:b/>
        </w:rPr>
        <w:t>Invitation to comment:</w:t>
      </w:r>
    </w:p>
    <w:p w14:paraId="2FF22D64" w14:textId="36401D21" w:rsidR="00701CD8" w:rsidRPr="00334F8D" w:rsidRDefault="00701CD8" w:rsidP="00701CD8">
      <w:pPr>
        <w:pBdr>
          <w:top w:val="single" w:sz="4" w:space="1" w:color="auto"/>
          <w:left w:val="single" w:sz="4" w:space="4" w:color="auto"/>
          <w:bottom w:val="single" w:sz="4" w:space="1" w:color="auto"/>
          <w:right w:val="single" w:sz="4" w:space="4" w:color="auto"/>
        </w:pBdr>
        <w:rPr>
          <w:b/>
        </w:rPr>
      </w:pPr>
      <w:r>
        <w:rPr>
          <w:b/>
        </w:rPr>
        <w:t xml:space="preserve">1. </w:t>
      </w:r>
      <w:r w:rsidRPr="005B2B43">
        <w:rPr>
          <w:b/>
        </w:rPr>
        <w:t>The ACMA would welcome any proposals from industry around the need for the designation of a discrete numbering range for M2M or IoT.</w:t>
      </w:r>
    </w:p>
    <w:p w14:paraId="5E6F4518" w14:textId="77777777" w:rsidR="00F05EFF" w:rsidRDefault="00F05EFF" w:rsidP="002B705D">
      <w:pPr>
        <w:pStyle w:val="Heading3"/>
      </w:pPr>
      <w:bookmarkStart w:id="14" w:name="_Toc435079477"/>
      <w:r>
        <w:t>Spectrum as an infrastructure and device enabler for IoT</w:t>
      </w:r>
      <w:bookmarkEnd w:id="14"/>
    </w:p>
    <w:p w14:paraId="4B232E9E" w14:textId="49D95FA8" w:rsidR="009C62E0" w:rsidRDefault="00F05EFF" w:rsidP="009C62E0">
      <w:r>
        <w:t xml:space="preserve">Similarly, the immediate focus in spectrum planning is concerned with accommodating M2M and IoT applications within the existing licensing framework and the identification of candidate spectrum bands to address expected future demand. </w:t>
      </w:r>
      <w:r w:rsidR="009C62E0">
        <w:t>This spectrum planning approach is out</w:t>
      </w:r>
      <w:r w:rsidR="00841C5C">
        <w:t>lined in</w:t>
      </w:r>
      <w:r w:rsidR="009C62E0">
        <w:t xml:space="preserve"> the ACMA’s </w:t>
      </w:r>
      <w:hyperlink r:id="rId37" w:history="1">
        <w:r w:rsidR="009C62E0" w:rsidRPr="00CC4080">
          <w:rPr>
            <w:rStyle w:val="Hyperlink"/>
          </w:rPr>
          <w:t>Five</w:t>
        </w:r>
        <w:r w:rsidR="009C62E0">
          <w:rPr>
            <w:rStyle w:val="Hyperlink"/>
          </w:rPr>
          <w:t>-y</w:t>
        </w:r>
        <w:r w:rsidR="009C62E0" w:rsidRPr="00CC4080">
          <w:rPr>
            <w:rStyle w:val="Hyperlink"/>
          </w:rPr>
          <w:t xml:space="preserve">ear </w:t>
        </w:r>
        <w:r w:rsidR="009C62E0">
          <w:rPr>
            <w:rStyle w:val="Hyperlink"/>
          </w:rPr>
          <w:t>s</w:t>
        </w:r>
        <w:r w:rsidR="009C62E0" w:rsidRPr="00CC4080">
          <w:rPr>
            <w:rStyle w:val="Hyperlink"/>
          </w:rPr>
          <w:t xml:space="preserve">pectrum </w:t>
        </w:r>
        <w:r w:rsidR="009C62E0">
          <w:rPr>
            <w:rStyle w:val="Hyperlink"/>
          </w:rPr>
          <w:t>o</w:t>
        </w:r>
        <w:r w:rsidR="009C62E0" w:rsidRPr="00CC4080">
          <w:rPr>
            <w:rStyle w:val="Hyperlink"/>
          </w:rPr>
          <w:t>utlook</w:t>
        </w:r>
      </w:hyperlink>
      <w:r w:rsidR="00841C5C">
        <w:t>.</w:t>
      </w:r>
    </w:p>
    <w:p w14:paraId="08CA5CAA" w14:textId="4E7D1F03" w:rsidR="00701CD8" w:rsidRDefault="006C1DCA" w:rsidP="002B705D">
      <w:pPr>
        <w:keepNext/>
      </w:pPr>
      <w:r>
        <w:lastRenderedPageBreak/>
        <w:t xml:space="preserve">When it comes to the designation of particular spectrum bands to support M2M and IoT applications, a mix of licensing arrangements and variety of spectrum bands may be required to support different IoT use cases (see Figure </w:t>
      </w:r>
      <w:r w:rsidR="003C370C">
        <w:t>2</w:t>
      </w:r>
      <w:r w:rsidR="00380D53">
        <w:t>).</w:t>
      </w:r>
    </w:p>
    <w:p w14:paraId="064045CC" w14:textId="77777777" w:rsidR="006C1DCA" w:rsidRDefault="006C1DCA" w:rsidP="002B705D">
      <w:pPr>
        <w:pStyle w:val="ACMAFigureHeader"/>
        <w:keepNext/>
      </w:pPr>
      <w:r>
        <w:t>Spectrum identified for IoT applications</w:t>
      </w:r>
    </w:p>
    <w:p w14:paraId="6AC25F6D" w14:textId="77777777" w:rsidR="006C1DCA" w:rsidRDefault="006C1DCA" w:rsidP="006C1DCA">
      <w:pPr>
        <w:keepNext/>
        <w:keepLines/>
        <w:spacing w:after="120"/>
      </w:pPr>
      <w:r>
        <w:rPr>
          <w:noProof/>
        </w:rPr>
        <w:drawing>
          <wp:inline distT="0" distB="0" distL="0" distR="0" wp14:anchorId="7EB615BE" wp14:editId="2A6D1475">
            <wp:extent cx="5819775" cy="3698902"/>
            <wp:effectExtent l="0" t="0" r="0" b="0"/>
            <wp:docPr id="8" name="Picture 8" descr="Shows spectrum identified for IoT applications including dedicated spectrum, shared spectrum, some characteristics and examples of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25521" cy="3702554"/>
                    </a:xfrm>
                    <a:prstGeom prst="rect">
                      <a:avLst/>
                    </a:prstGeom>
                    <a:noFill/>
                    <a:ln>
                      <a:noFill/>
                    </a:ln>
                  </pic:spPr>
                </pic:pic>
              </a:graphicData>
            </a:graphic>
          </wp:inline>
        </w:drawing>
      </w:r>
    </w:p>
    <w:p w14:paraId="0EB4DFDA" w14:textId="0902B112" w:rsidR="007A72BF" w:rsidRPr="00C5055F" w:rsidRDefault="006C1DCA" w:rsidP="00C5055F">
      <w:pPr>
        <w:pStyle w:val="ListBullet"/>
        <w:numPr>
          <w:ilvl w:val="0"/>
          <w:numId w:val="0"/>
        </w:numPr>
        <w:spacing w:after="240"/>
      </w:pPr>
      <w:r w:rsidRPr="00B547DA">
        <w:rPr>
          <w:rStyle w:val="EndnoteReference"/>
          <w:i/>
          <w:sz w:val="16"/>
          <w:szCs w:val="16"/>
          <w:vertAlign w:val="baseline"/>
        </w:rPr>
        <w:t>Source: ACMA</w:t>
      </w:r>
      <w:r w:rsidRPr="00B547DA">
        <w:rPr>
          <w:i/>
          <w:sz w:val="16"/>
          <w:szCs w:val="16"/>
        </w:rPr>
        <w:t xml:space="preserve">, based on Ofcom model </w:t>
      </w:r>
      <w:r w:rsidR="00841C5C">
        <w:rPr>
          <w:i/>
          <w:sz w:val="16"/>
          <w:szCs w:val="16"/>
        </w:rPr>
        <w:t xml:space="preserve">2015, </w:t>
      </w:r>
      <w:r w:rsidRPr="00B547DA">
        <w:rPr>
          <w:i/>
          <w:sz w:val="16"/>
          <w:szCs w:val="16"/>
        </w:rPr>
        <w:t>updated for Australian spectrum band plans.</w:t>
      </w:r>
    </w:p>
    <w:p w14:paraId="76830856" w14:textId="2C0B436A" w:rsidR="00076BAF" w:rsidRDefault="006C1DCA" w:rsidP="00076BAF">
      <w:r w:rsidRPr="000A61C6">
        <w:rPr>
          <w:rFonts w:cs="Arial"/>
        </w:rPr>
        <w:t xml:space="preserve">The ACMA has licensing arrangements in place that encourage innovation in </w:t>
      </w:r>
      <w:r>
        <w:rPr>
          <w:rFonts w:cs="Arial"/>
        </w:rPr>
        <w:t xml:space="preserve">M2M and IoT </w:t>
      </w:r>
      <w:r w:rsidRPr="000A61C6">
        <w:rPr>
          <w:rFonts w:cs="Arial"/>
        </w:rPr>
        <w:t>via the class-licensing regime</w:t>
      </w:r>
      <w:r>
        <w:rPr>
          <w:rFonts w:cs="Arial"/>
        </w:rPr>
        <w:t xml:space="preserve">. </w:t>
      </w:r>
      <w:r w:rsidR="00076BAF" w:rsidRPr="003D1CF2">
        <w:t xml:space="preserve">To some extent, M2M and IoT applications </w:t>
      </w:r>
      <w:r w:rsidR="00076BAF">
        <w:t xml:space="preserve">may </w:t>
      </w:r>
      <w:r w:rsidR="00076BAF" w:rsidRPr="003D1CF2">
        <w:t>utilise existing class licensed spectrum (that is, spectrum ‘commons</w:t>
      </w:r>
      <w:r w:rsidR="00076BAF" w:rsidRPr="00B8355A">
        <w:t xml:space="preserve">). </w:t>
      </w:r>
      <w:r w:rsidR="00076BAF" w:rsidRPr="00B8355A">
        <w:rPr>
          <w:lang w:val="en"/>
        </w:rPr>
        <w:t>Class licences authorise users of designated segments of spectrum to operate on a shared basis. A class licence is not issued to an individual user and does not incur licence fees. Unlike other forms of spectrum licensing (</w:t>
      </w:r>
      <w:r w:rsidR="00637CB3">
        <w:rPr>
          <w:lang w:val="en"/>
        </w:rPr>
        <w:t xml:space="preserve">namely, </w:t>
      </w:r>
      <w:r w:rsidR="00076BAF" w:rsidRPr="00B8355A">
        <w:rPr>
          <w:lang w:val="en"/>
        </w:rPr>
        <w:t>apparatus and spectrum licences)</w:t>
      </w:r>
      <w:r w:rsidR="00076BAF">
        <w:rPr>
          <w:lang w:val="en"/>
        </w:rPr>
        <w:t xml:space="preserve"> that are issued and used on an individual basis</w:t>
      </w:r>
      <w:r w:rsidR="00076BAF" w:rsidRPr="00B8355A">
        <w:rPr>
          <w:lang w:val="en"/>
        </w:rPr>
        <w:t xml:space="preserve">, </w:t>
      </w:r>
      <w:r w:rsidR="00076BAF">
        <w:rPr>
          <w:lang w:val="en"/>
        </w:rPr>
        <w:t>u</w:t>
      </w:r>
      <w:r w:rsidR="00076BAF" w:rsidRPr="00AA5F2C">
        <w:t>se of this type of ‘unlicensed’ spectrum does</w:t>
      </w:r>
      <w:r w:rsidR="00076BAF">
        <w:t>,</w:t>
      </w:r>
      <w:r w:rsidR="00076BAF" w:rsidRPr="00AA5F2C">
        <w:t xml:space="preserve"> however</w:t>
      </w:r>
      <w:r w:rsidR="00076BAF">
        <w:t>,</w:t>
      </w:r>
      <w:r w:rsidR="00076BAF" w:rsidRPr="00AA5F2C">
        <w:t xml:space="preserve"> come with the cost of a higher likelihood of in</w:t>
      </w:r>
      <w:r w:rsidR="00076BAF">
        <w:t>ter</w:t>
      </w:r>
      <w:r w:rsidR="00076BAF" w:rsidRPr="00AA5F2C">
        <w:t>ference.</w:t>
      </w:r>
      <w:r w:rsidR="00076BAF">
        <w:t xml:space="preserve"> </w:t>
      </w:r>
    </w:p>
    <w:p w14:paraId="54AA38F4" w14:textId="07C6D3B0" w:rsidR="008E25E0" w:rsidRPr="00683670" w:rsidRDefault="00076BAF" w:rsidP="006C1DCA">
      <w:pPr>
        <w:rPr>
          <w:rFonts w:cs="Arial"/>
          <w:szCs w:val="20"/>
        </w:rPr>
      </w:pPr>
      <w:r>
        <w:rPr>
          <w:rFonts w:cs="Arial"/>
          <w:szCs w:val="20"/>
        </w:rPr>
        <w:t>C</w:t>
      </w:r>
      <w:r w:rsidR="006C1DCA" w:rsidRPr="00461F70">
        <w:rPr>
          <w:rFonts w:cs="Arial"/>
          <w:szCs w:val="20"/>
        </w:rPr>
        <w:t>urrently</w:t>
      </w:r>
      <w:r w:rsidR="006C1DCA">
        <w:rPr>
          <w:rFonts w:cs="Arial"/>
          <w:szCs w:val="20"/>
        </w:rPr>
        <w:t>,</w:t>
      </w:r>
      <w:r w:rsidR="006C1DCA" w:rsidRPr="00461F70">
        <w:rPr>
          <w:rFonts w:cs="Arial"/>
          <w:szCs w:val="20"/>
        </w:rPr>
        <w:t xml:space="preserve"> spectrum that is globally available at a low cost (or free</w:t>
      </w:r>
      <w:r w:rsidR="004F313C">
        <w:rPr>
          <w:rFonts w:cs="Arial"/>
          <w:szCs w:val="20"/>
        </w:rPr>
        <w:t xml:space="preserve"> as class licensed spectrum</w:t>
      </w:r>
      <w:r w:rsidR="006C1DCA" w:rsidRPr="00461F70">
        <w:rPr>
          <w:rFonts w:cs="Arial"/>
          <w:szCs w:val="20"/>
        </w:rPr>
        <w:t>) is</w:t>
      </w:r>
      <w:r w:rsidR="006C1DCA">
        <w:rPr>
          <w:rFonts w:cs="Arial"/>
          <w:szCs w:val="20"/>
        </w:rPr>
        <w:t xml:space="preserve"> in</w:t>
      </w:r>
      <w:r w:rsidR="006C1DCA" w:rsidRPr="00461F70">
        <w:rPr>
          <w:rFonts w:cs="Arial"/>
          <w:szCs w:val="20"/>
        </w:rPr>
        <w:t xml:space="preserve"> the Industrial Scientific Medical (ISM) bands</w:t>
      </w:r>
      <w:r w:rsidR="006C1DCA">
        <w:rPr>
          <w:rFonts w:cs="Arial"/>
          <w:szCs w:val="20"/>
        </w:rPr>
        <w:t xml:space="preserve">, which include </w:t>
      </w:r>
      <w:r w:rsidR="006C1DCA" w:rsidRPr="00683670">
        <w:rPr>
          <w:rFonts w:cs="Arial"/>
          <w:szCs w:val="20"/>
        </w:rPr>
        <w:t>the 900</w:t>
      </w:r>
      <w:r w:rsidR="00841C5C">
        <w:rPr>
          <w:rFonts w:cs="Arial"/>
          <w:szCs w:val="20"/>
        </w:rPr>
        <w:t> </w:t>
      </w:r>
      <w:r w:rsidR="006C1DCA" w:rsidRPr="00683670">
        <w:rPr>
          <w:rFonts w:cs="Arial"/>
          <w:szCs w:val="20"/>
        </w:rPr>
        <w:t xml:space="preserve">MHz band, the 2.4 GHz band and the 5.6 GHz band. </w:t>
      </w:r>
    </w:p>
    <w:p w14:paraId="22364153" w14:textId="1A7A84A5" w:rsidR="006C1DCA" w:rsidRDefault="006C1DCA" w:rsidP="006C1DCA">
      <w:pPr>
        <w:spacing w:after="80"/>
        <w:rPr>
          <w:rFonts w:cs="Arial"/>
        </w:rPr>
      </w:pPr>
      <w:r>
        <w:rPr>
          <w:rFonts w:cs="Arial"/>
        </w:rPr>
        <w:t xml:space="preserve">In relation to </w:t>
      </w:r>
      <w:r w:rsidR="004F313C">
        <w:rPr>
          <w:rFonts w:cs="Arial"/>
        </w:rPr>
        <w:t xml:space="preserve">other </w:t>
      </w:r>
      <w:r>
        <w:rPr>
          <w:rFonts w:cs="Arial"/>
        </w:rPr>
        <w:t xml:space="preserve">specific spectrum bands under review during 2015–16: </w:t>
      </w:r>
    </w:p>
    <w:p w14:paraId="1674D0E4" w14:textId="474FAE72" w:rsidR="006C1DCA" w:rsidRDefault="006C1DCA" w:rsidP="006C1DCA">
      <w:pPr>
        <w:pStyle w:val="ListBullet"/>
      </w:pPr>
      <w:r w:rsidRPr="00112189">
        <w:rPr>
          <w:rFonts w:cs="Arial"/>
        </w:rPr>
        <w:t>the</w:t>
      </w:r>
      <w:r>
        <w:rPr>
          <w:rFonts w:cs="Arial"/>
        </w:rPr>
        <w:t xml:space="preserve"> scheduled r</w:t>
      </w:r>
      <w:r>
        <w:t xml:space="preserve">eview of the 803–960 MHz band will explore future opportunities as a candidate band for mobile broadband and M2M </w:t>
      </w:r>
    </w:p>
    <w:p w14:paraId="2B0BB607" w14:textId="1FDF2D1E" w:rsidR="00076BAF" w:rsidRPr="002B705D" w:rsidRDefault="006C1DCA" w:rsidP="00076BAF">
      <w:pPr>
        <w:pStyle w:val="ListBullet"/>
        <w:spacing w:after="240"/>
      </w:pPr>
      <w:r>
        <w:t xml:space="preserve">the review of the 5.9 GHz band for intelligent transport systems applications is also </w:t>
      </w:r>
      <w:r w:rsidR="00C5055F">
        <w:t>relevant</w:t>
      </w:r>
      <w:r>
        <w:t xml:space="preserve"> as intelligent transport systems represent one of many IoT applications.</w:t>
      </w:r>
    </w:p>
    <w:p w14:paraId="5F0788EE" w14:textId="3F1CFF08" w:rsidR="008E25E0" w:rsidRDefault="00076BAF" w:rsidP="00076BAF">
      <w:pPr>
        <w:pBdr>
          <w:top w:val="single" w:sz="4" w:space="1" w:color="auto"/>
          <w:left w:val="single" w:sz="4" w:space="4" w:color="auto"/>
          <w:bottom w:val="single" w:sz="4" w:space="1" w:color="auto"/>
          <w:right w:val="single" w:sz="4" w:space="4" w:color="auto"/>
        </w:pBdr>
        <w:spacing w:after="120"/>
        <w:rPr>
          <w:b/>
        </w:rPr>
      </w:pPr>
      <w:r>
        <w:rPr>
          <w:b/>
        </w:rPr>
        <w:t>Invitation to comment:</w:t>
      </w:r>
    </w:p>
    <w:p w14:paraId="6C587850" w14:textId="65B0C30F" w:rsidR="006C1DCA" w:rsidRDefault="00076BAF" w:rsidP="002B705D">
      <w:pPr>
        <w:pBdr>
          <w:top w:val="single" w:sz="4" w:space="1" w:color="auto"/>
          <w:left w:val="single" w:sz="4" w:space="4" w:color="auto"/>
          <w:bottom w:val="single" w:sz="4" w:space="1" w:color="auto"/>
          <w:right w:val="single" w:sz="4" w:space="4" w:color="auto"/>
        </w:pBdr>
      </w:pPr>
      <w:r>
        <w:rPr>
          <w:b/>
        </w:rPr>
        <w:t xml:space="preserve">2. </w:t>
      </w:r>
      <w:r w:rsidRPr="00806FD6">
        <w:rPr>
          <w:b/>
        </w:rPr>
        <w:t xml:space="preserve">The ACMA would welcome </w:t>
      </w:r>
      <w:r>
        <w:rPr>
          <w:b/>
        </w:rPr>
        <w:t xml:space="preserve">views from industry about future spectrum requirements to support M2M and IoT applications. </w:t>
      </w:r>
    </w:p>
    <w:p w14:paraId="3893399F" w14:textId="0CAF6DD3" w:rsidR="00F05EFF" w:rsidRDefault="00F05EFF" w:rsidP="002B705D">
      <w:pPr>
        <w:pStyle w:val="Heading3"/>
        <w:spacing w:before="240"/>
      </w:pPr>
      <w:bookmarkStart w:id="15" w:name="_Toc435079478"/>
      <w:r>
        <w:lastRenderedPageBreak/>
        <w:t xml:space="preserve">Enabling seamless information exchange </w:t>
      </w:r>
      <w:r w:rsidR="002E770D">
        <w:t>for digital data</w:t>
      </w:r>
      <w:bookmarkEnd w:id="15"/>
      <w:r w:rsidR="002E770D">
        <w:t xml:space="preserve"> </w:t>
      </w:r>
    </w:p>
    <w:p w14:paraId="031656C4" w14:textId="71B3BE4F" w:rsidR="00F05EFF" w:rsidRDefault="00F05EFF" w:rsidP="00F05EFF">
      <w:r>
        <w:t xml:space="preserve">In other jurisdictions, the ACMA is observing strong interest in the network and information security and reliability issues that arise in the </w:t>
      </w:r>
      <w:r w:rsidR="006F7A91">
        <w:t xml:space="preserve">IoT environment in the </w:t>
      </w:r>
      <w:r>
        <w:t>connections between people, devices and data</w:t>
      </w:r>
      <w:r w:rsidR="006F7A91">
        <w:t>.</w:t>
      </w:r>
      <w:r>
        <w:t xml:space="preserve"> </w:t>
      </w:r>
    </w:p>
    <w:p w14:paraId="0B0B540E" w14:textId="27932609" w:rsidR="00F05EFF" w:rsidRDefault="00971E4D" w:rsidP="00F05EFF">
      <w:r>
        <w:t>T</w:t>
      </w:r>
      <w:r w:rsidR="00F05EFF">
        <w:t>he need for seamless information and data exchange</w:t>
      </w:r>
      <w:r w:rsidR="00076BAF">
        <w:t>,</w:t>
      </w:r>
      <w:r w:rsidR="00F05EFF">
        <w:t xml:space="preserve"> between machines and machines, and people and machines</w:t>
      </w:r>
      <w:r w:rsidR="00076BAF">
        <w:t>,</w:t>
      </w:r>
      <w:r w:rsidR="00F05EFF">
        <w:t xml:space="preserve"> may be facilitated by industry development of protocols for managing data portability and interoperability standards dealing with information exchange.</w:t>
      </w:r>
    </w:p>
    <w:p w14:paraId="4CA44F11" w14:textId="2ED78B1F" w:rsidR="00F05EFF" w:rsidRPr="00B77043" w:rsidRDefault="00F05EFF" w:rsidP="00F05EFF">
      <w:pPr>
        <w:rPr>
          <w:i/>
        </w:rPr>
      </w:pPr>
      <w:r>
        <w:t xml:space="preserve">The other element of providing confidence in regulatory settings to </w:t>
      </w:r>
      <w:r w:rsidR="006F7A91">
        <w:t xml:space="preserve">further </w:t>
      </w:r>
      <w:r>
        <w:t>enable IoT requires a mechanism to address concerns with information security risks. There are existing models in use that may provide some design insights where additional interventions are required.</w:t>
      </w:r>
    </w:p>
    <w:p w14:paraId="567A0F90" w14:textId="77777777" w:rsidR="00F05EFF" w:rsidRDefault="00F05EFF" w:rsidP="00F05EFF">
      <w:r>
        <w:t xml:space="preserve">Currently, some internet security risk concerns are addressed via the Australian Internet Security Initiative (AISI), which is a co-operative program between the ACMA, internet service providers and citizens. The AISI was developed with the objective of protecting Australian internet users from malware (malicious software).and cybersecurity threats on the internet. </w:t>
      </w:r>
    </w:p>
    <w:p w14:paraId="23B3F469" w14:textId="311B9F97" w:rsidR="00F05EFF" w:rsidRDefault="00F05EFF" w:rsidP="00F05EFF">
      <w:r>
        <w:t>This program model relies on information</w:t>
      </w:r>
      <w:r w:rsidR="006F7A91">
        <w:t>-</w:t>
      </w:r>
      <w:r>
        <w:t xml:space="preserve">sharing and action by industry, citizens and the regulator. The ACMA collects infection data from a variety of sources and feeds this into the AISI. Daily infection reports are then provided to participating Australian internet providers, </w:t>
      </w:r>
      <w:r w:rsidR="00C5055F">
        <w:t xml:space="preserve">that </w:t>
      </w:r>
      <w:r>
        <w:t>include internet service providers (ISPs) and other organisations such as universities that have been allocated IP (internet protocol) ranges and manage their own networks. These reports identify IP addresses that have been infected in the previous 24-hour period. Internet providers correlate their customer data with the IP address information provided through the AISI to determine the customers associated with the infection, and then inform them of the infection. Internet providers are also expected to advise their customers on how to remove the infection and help prevent future infections from occurring. This not only helps protect the internet user from the consequences of the infection, but also prevents the infected computer from undertaking further malicious activities on the internet. The AISI has been strongly supported by Australian internet providers, with 1</w:t>
      </w:r>
      <w:r w:rsidR="006F7A91">
        <w:t>24</w:t>
      </w:r>
      <w:r>
        <w:t xml:space="preserve"> ISPs and 1</w:t>
      </w:r>
      <w:r w:rsidR="006F7A91">
        <w:t>8 educational institutions</w:t>
      </w:r>
      <w:r>
        <w:t xml:space="preserve"> currently participating—representing well over 95 per cent of Australian residential internet users.</w:t>
      </w:r>
    </w:p>
    <w:p w14:paraId="49B4259A" w14:textId="5326FC76" w:rsidR="00F05EFF" w:rsidRDefault="00F05EFF" w:rsidP="00F05EFF">
      <w:r>
        <w:t xml:space="preserve">This co-operative model may provide useful insights as a way to address other forms of networked harms that may </w:t>
      </w:r>
      <w:r w:rsidR="00076BAF">
        <w:t>arise</w:t>
      </w:r>
      <w:r>
        <w:t xml:space="preserve"> in the IoT environment.</w:t>
      </w:r>
    </w:p>
    <w:p w14:paraId="1246B3FA" w14:textId="77777777" w:rsidR="006F7A91" w:rsidRDefault="006F7A91" w:rsidP="006F7A91">
      <w:pPr>
        <w:pBdr>
          <w:top w:val="single" w:sz="4" w:space="1" w:color="auto"/>
          <w:left w:val="single" w:sz="4" w:space="4" w:color="auto"/>
          <w:bottom w:val="single" w:sz="4" w:space="1" w:color="auto"/>
          <w:right w:val="single" w:sz="4" w:space="4" w:color="auto"/>
        </w:pBdr>
        <w:spacing w:after="120"/>
        <w:rPr>
          <w:b/>
        </w:rPr>
      </w:pPr>
      <w:r>
        <w:rPr>
          <w:b/>
        </w:rPr>
        <w:t>Invitation to comment:</w:t>
      </w:r>
    </w:p>
    <w:p w14:paraId="195FFBAC" w14:textId="6B88B834" w:rsidR="006F7A91" w:rsidRDefault="006F7A91" w:rsidP="00841C5C">
      <w:pPr>
        <w:pBdr>
          <w:top w:val="single" w:sz="4" w:space="1" w:color="auto"/>
          <w:left w:val="single" w:sz="4" w:space="4" w:color="auto"/>
          <w:bottom w:val="single" w:sz="4" w:space="1" w:color="auto"/>
          <w:right w:val="single" w:sz="4" w:space="4" w:color="auto"/>
        </w:pBdr>
        <w:spacing w:after="120"/>
      </w:pPr>
      <w:r>
        <w:rPr>
          <w:b/>
        </w:rPr>
        <w:t xml:space="preserve">3. </w:t>
      </w:r>
      <w:r w:rsidRPr="00806FD6">
        <w:rPr>
          <w:b/>
        </w:rPr>
        <w:t xml:space="preserve">The ACMA would welcome </w:t>
      </w:r>
      <w:r>
        <w:rPr>
          <w:b/>
        </w:rPr>
        <w:t xml:space="preserve">input from industry as to how cooperative models of information sharing and action by industry, citizens and regulators might be adapted to address newer forms of digital information harms. </w:t>
      </w:r>
    </w:p>
    <w:p w14:paraId="770F98AD" w14:textId="77777777" w:rsidR="00841C5C" w:rsidRDefault="00841C5C" w:rsidP="008F5813">
      <w:pPr>
        <w:pStyle w:val="ACMASpaceaftertable"/>
      </w:pPr>
    </w:p>
    <w:p w14:paraId="1F136D66" w14:textId="6DB62D16" w:rsidR="00F05EFF" w:rsidRDefault="00F05EFF" w:rsidP="00841C5C">
      <w:pPr>
        <w:pStyle w:val="Heading3"/>
        <w:spacing w:before="0"/>
      </w:pPr>
      <w:bookmarkStart w:id="16" w:name="_Toc435079479"/>
      <w:r>
        <w:t xml:space="preserve">Developing </w:t>
      </w:r>
      <w:r w:rsidR="002E770D">
        <w:t xml:space="preserve">citizen’s and </w:t>
      </w:r>
      <w:r>
        <w:t>consumer’s digital capabilities</w:t>
      </w:r>
      <w:bookmarkEnd w:id="16"/>
      <w:r>
        <w:t xml:space="preserve"> </w:t>
      </w:r>
    </w:p>
    <w:p w14:paraId="47589D79" w14:textId="4DC9B7E4" w:rsidR="00F05EFF" w:rsidRDefault="00F05EFF" w:rsidP="00F05EFF">
      <w:r>
        <w:t>The ACMA is also directing its attention to monitoring marketplace changes so that there is an evidence base available to inform industry and policy makers about the speed of changes occurring in the market and in citizen and consu</w:t>
      </w:r>
      <w:r w:rsidR="00380D53">
        <w:t>mer communications behaviours.</w:t>
      </w:r>
    </w:p>
    <w:p w14:paraId="7FCD2BFF" w14:textId="0425BECE" w:rsidR="00020A6C" w:rsidRDefault="00020A6C" w:rsidP="00020A6C">
      <w:r>
        <w:lastRenderedPageBreak/>
        <w:t>The available evidence indicates an increased fragmentation of</w:t>
      </w:r>
      <w:r w:rsidRPr="0079487B">
        <w:t xml:space="preserve"> audience and consumer behaviours</w:t>
      </w:r>
      <w:r>
        <w:t>,</w:t>
      </w:r>
      <w:r w:rsidRPr="0079487B">
        <w:t xml:space="preserve"> </w:t>
      </w:r>
      <w:r>
        <w:t>which</w:t>
      </w:r>
      <w:r w:rsidRPr="0079487B">
        <w:t xml:space="preserve"> pose particular challenges </w:t>
      </w:r>
      <w:r>
        <w:t xml:space="preserve">for the future when </w:t>
      </w:r>
      <w:r w:rsidRPr="0079487B">
        <w:t xml:space="preserve">regulatory design </w:t>
      </w:r>
      <w:r>
        <w:t>is often based upon</w:t>
      </w:r>
      <w:r w:rsidRPr="0079487B">
        <w:t xml:space="preserve"> uniform regulatory solutions.</w:t>
      </w:r>
    </w:p>
    <w:p w14:paraId="7EB2844B" w14:textId="77777777" w:rsidR="00020A6C" w:rsidRDefault="00020A6C" w:rsidP="00020A6C">
      <w:r>
        <w:t xml:space="preserve">Despite increasing levels of </w:t>
      </w:r>
      <w:r w:rsidRPr="00C7285E">
        <w:t>digital engagement</w:t>
      </w:r>
      <w:r>
        <w:t xml:space="preserve"> and increasing complexity in the number of devices and connections made</w:t>
      </w:r>
      <w:r w:rsidRPr="00C7285E">
        <w:t xml:space="preserve">, </w:t>
      </w:r>
      <w:r>
        <w:t xml:space="preserve">over one </w:t>
      </w:r>
      <w:r w:rsidRPr="00C7285E">
        <w:t xml:space="preserve">million Australians </w:t>
      </w:r>
      <w:r>
        <w:t>(around six</w:t>
      </w:r>
      <w:r w:rsidRPr="00C7285E">
        <w:t xml:space="preserve"> per cent) have never accessed the internet.</w:t>
      </w:r>
      <w:r>
        <w:t xml:space="preserve"> This group of unconnected Australians, while reducing over time, poses a significant challenge for how Australia will manage the transition to IoT, where there are very different levels of experience, skills and confidence in using communications technologies across the community. </w:t>
      </w:r>
    </w:p>
    <w:p w14:paraId="218A36D8" w14:textId="5F01B622" w:rsidR="00020A6C" w:rsidRDefault="00020A6C" w:rsidP="00020A6C">
      <w:r>
        <w:t xml:space="preserve">For connected Australians, there may be additional challenges in fully utilising IoT connections due to network access issues, managing device compatibility </w:t>
      </w:r>
      <w:r w:rsidR="006F7A91">
        <w:t xml:space="preserve">issues </w:t>
      </w:r>
      <w:r>
        <w:t>or having the skills to undertake the necessary software upgrades to manage network and device connections.</w:t>
      </w:r>
    </w:p>
    <w:p w14:paraId="7D1DC25B" w14:textId="5FB522EC" w:rsidR="00020A6C" w:rsidRDefault="00020A6C" w:rsidP="00020A6C">
      <w:r>
        <w:t xml:space="preserve">There is an opportunity in this innovative environment to also focus on the development of the necessary skills and confidence of </w:t>
      </w:r>
      <w:r w:rsidR="006F7A91">
        <w:t xml:space="preserve">citizens and </w:t>
      </w:r>
      <w:r>
        <w:t>consumers so that they can operate productively in shaping their connections and information exchange for IoT applications.</w:t>
      </w:r>
    </w:p>
    <w:p w14:paraId="0A4BE683" w14:textId="1CD6F414" w:rsidR="008E25E0" w:rsidRDefault="00020A6C" w:rsidP="00020A6C">
      <w:pPr>
        <w:pBdr>
          <w:top w:val="single" w:sz="4" w:space="1" w:color="auto"/>
          <w:left w:val="single" w:sz="4" w:space="4" w:color="auto"/>
          <w:bottom w:val="single" w:sz="4" w:space="1" w:color="auto"/>
          <w:right w:val="single" w:sz="4" w:space="4" w:color="auto"/>
        </w:pBdr>
        <w:spacing w:after="120"/>
        <w:rPr>
          <w:b/>
        </w:rPr>
      </w:pPr>
      <w:r>
        <w:rPr>
          <w:b/>
        </w:rPr>
        <w:t>Invitation to comment:</w:t>
      </w:r>
    </w:p>
    <w:p w14:paraId="03B95740" w14:textId="0EB1F77E" w:rsidR="00020A6C" w:rsidRPr="002B705D" w:rsidRDefault="006F7A91" w:rsidP="002B705D">
      <w:pPr>
        <w:pBdr>
          <w:top w:val="single" w:sz="4" w:space="1" w:color="auto"/>
          <w:left w:val="single" w:sz="4" w:space="4" w:color="auto"/>
          <w:bottom w:val="single" w:sz="4" w:space="1" w:color="auto"/>
          <w:right w:val="single" w:sz="4" w:space="4" w:color="auto"/>
        </w:pBdr>
        <w:rPr>
          <w:b/>
        </w:rPr>
      </w:pPr>
      <w:r>
        <w:rPr>
          <w:b/>
        </w:rPr>
        <w:t>4</w:t>
      </w:r>
      <w:r w:rsidR="00020A6C">
        <w:rPr>
          <w:b/>
        </w:rPr>
        <w:t xml:space="preserve">. </w:t>
      </w:r>
      <w:r w:rsidR="00020A6C" w:rsidRPr="00D66959">
        <w:rPr>
          <w:b/>
        </w:rPr>
        <w:t>Are there any additional issues that should be included as priorities for regulatory attention that have not yet been identified in this paper?</w:t>
      </w:r>
    </w:p>
    <w:p w14:paraId="22673511" w14:textId="77777777" w:rsidR="00F05EFF" w:rsidRDefault="00F05EFF" w:rsidP="00F05EFF">
      <w:pPr>
        <w:pStyle w:val="Heading2"/>
        <w:keepLines/>
      </w:pPr>
      <w:bookmarkStart w:id="17" w:name="_Toc435079480"/>
      <w:r>
        <w:t>The ACMA’s medium-term focus—the next two to five years</w:t>
      </w:r>
      <w:bookmarkEnd w:id="17"/>
    </w:p>
    <w:p w14:paraId="6C6B9CBF" w14:textId="77777777" w:rsidR="00F05EFF" w:rsidRDefault="00F05EFF" w:rsidP="00F05EFF">
      <w:pPr>
        <w:keepNext/>
        <w:keepLines/>
      </w:pPr>
      <w:r>
        <w:t>Over the next two to five years, progress in the take-up and use of M2M applications and the transition to IoT will give more clarity on the demand for resources and the overall capability of business and citizens in using IoT applications. Facilitating and enabling the use of M2M and IoT is expected to remain an important focus for the ACMA.</w:t>
      </w:r>
    </w:p>
    <w:p w14:paraId="776947D7" w14:textId="77777777" w:rsidR="00F05EFF" w:rsidRDefault="00F05EFF" w:rsidP="00F05EFF">
      <w:r>
        <w:t xml:space="preserve">In relation to telephone numbers, it is likely that M2M communications will broaden from current technologies reliant on mobile numbers, to be supplemented by IP-based communications using IP addresses (IPv6), as mobile broadband and next generation network fixed technologies become ubiquitous in this period. </w:t>
      </w:r>
    </w:p>
    <w:p w14:paraId="1CF5F812" w14:textId="7CCD661F" w:rsidR="00F05EFF" w:rsidRDefault="00F05EFF" w:rsidP="00F05EFF">
      <w:r>
        <w:t>Spectrum band planning will continue to review bands that will support M2M and IoT applications</w:t>
      </w:r>
      <w:r w:rsidR="00616A14">
        <w:t xml:space="preserve">, </w:t>
      </w:r>
      <w:r w:rsidR="001851FB">
        <w:t xml:space="preserve">within the time frames and </w:t>
      </w:r>
      <w:r w:rsidR="00616A14">
        <w:t xml:space="preserve">band planning </w:t>
      </w:r>
      <w:r w:rsidR="001851FB">
        <w:t xml:space="preserve">outlined in the </w:t>
      </w:r>
      <w:hyperlink r:id="rId39" w:history="1">
        <w:r w:rsidR="00616A14" w:rsidRPr="00CC4080">
          <w:rPr>
            <w:rStyle w:val="Hyperlink"/>
          </w:rPr>
          <w:t>Five</w:t>
        </w:r>
        <w:r w:rsidR="00616A14">
          <w:rPr>
            <w:rStyle w:val="Hyperlink"/>
          </w:rPr>
          <w:t>-y</w:t>
        </w:r>
        <w:r w:rsidR="00616A14" w:rsidRPr="00CC4080">
          <w:rPr>
            <w:rStyle w:val="Hyperlink"/>
          </w:rPr>
          <w:t xml:space="preserve">ear </w:t>
        </w:r>
        <w:r w:rsidR="00616A14">
          <w:rPr>
            <w:rStyle w:val="Hyperlink"/>
          </w:rPr>
          <w:t>s</w:t>
        </w:r>
        <w:r w:rsidR="00616A14" w:rsidRPr="00CC4080">
          <w:rPr>
            <w:rStyle w:val="Hyperlink"/>
          </w:rPr>
          <w:t xml:space="preserve">pectrum </w:t>
        </w:r>
        <w:r w:rsidR="00616A14">
          <w:rPr>
            <w:rStyle w:val="Hyperlink"/>
          </w:rPr>
          <w:t>o</w:t>
        </w:r>
        <w:r w:rsidR="00616A14" w:rsidRPr="00CC4080">
          <w:rPr>
            <w:rStyle w:val="Hyperlink"/>
          </w:rPr>
          <w:t>utlook</w:t>
        </w:r>
      </w:hyperlink>
      <w:r w:rsidR="00380D53">
        <w:t>.</w:t>
      </w:r>
    </w:p>
    <w:p w14:paraId="233A92D9" w14:textId="470C56D8" w:rsidR="00F05EFF" w:rsidRDefault="00F05EFF" w:rsidP="00F05EFF">
      <w:pPr>
        <w:rPr>
          <w:rFonts w:eastAsiaTheme="minorHAnsi" w:cs="Arial"/>
          <w:szCs w:val="20"/>
          <w:lang w:eastAsia="en-US"/>
        </w:rPr>
      </w:pPr>
      <w:r>
        <w:t xml:space="preserve">In this time frame, work in international forums </w:t>
      </w:r>
      <w:r w:rsidR="006F7A91">
        <w:t>(</w:t>
      </w:r>
      <w:r>
        <w:t>such as the ITU-R World Radiocommunication Conference 2018/19</w:t>
      </w:r>
      <w:r w:rsidR="006F7A91">
        <w:t>)</w:t>
      </w:r>
      <w:r>
        <w:t xml:space="preserve"> will be important in considering future spectrum needs f</w:t>
      </w:r>
      <w:r w:rsidR="006F7A91">
        <w:t>or</w:t>
      </w:r>
      <w:r>
        <w:t xml:space="preserve"> a broad range of services. Some of these may accommodate IoT applications, in particular the consideration of spectrum for IMT above 6 GHz and for intelligent transport systems.</w:t>
      </w:r>
    </w:p>
    <w:p w14:paraId="19204D2D" w14:textId="598DBDF6" w:rsidR="00F05EFF" w:rsidRPr="00645554" w:rsidRDefault="00F05EFF" w:rsidP="00F05EFF">
      <w:r>
        <w:rPr>
          <w:rFonts w:eastAsiaTheme="minorHAnsi" w:cs="Arial"/>
          <w:szCs w:val="20"/>
          <w:lang w:eastAsia="en-US"/>
        </w:rPr>
        <w:t xml:space="preserve">Planning processes </w:t>
      </w:r>
      <w:r w:rsidRPr="00645554">
        <w:t xml:space="preserve">for </w:t>
      </w:r>
      <w:r>
        <w:t xml:space="preserve">the </w:t>
      </w:r>
      <w:r w:rsidRPr="00645554">
        <w:t xml:space="preserve">international </w:t>
      </w:r>
      <w:r>
        <w:t>standardisation</w:t>
      </w:r>
      <w:r w:rsidRPr="00645554">
        <w:t xml:space="preserve"> of 5G technologies</w:t>
      </w:r>
      <w:r>
        <w:t xml:space="preserve"> </w:t>
      </w:r>
      <w:r w:rsidRPr="00645554">
        <w:t xml:space="preserve">that will support the </w:t>
      </w:r>
      <w:r w:rsidR="00C5055F">
        <w:t>‘</w:t>
      </w:r>
      <w:r>
        <w:t>a</w:t>
      </w:r>
      <w:r w:rsidRPr="00645554">
        <w:t xml:space="preserve">nytime, </w:t>
      </w:r>
      <w:r>
        <w:t>a</w:t>
      </w:r>
      <w:r w:rsidRPr="00645554">
        <w:t>nywhere</w:t>
      </w:r>
      <w:r>
        <w:t>,</w:t>
      </w:r>
      <w:r w:rsidRPr="00645554">
        <w:t xml:space="preserve"> </w:t>
      </w:r>
      <w:r>
        <w:t>a</w:t>
      </w:r>
      <w:r w:rsidRPr="00645554">
        <w:t xml:space="preserve">nyone and </w:t>
      </w:r>
      <w:r>
        <w:t>a</w:t>
      </w:r>
      <w:r w:rsidRPr="00645554">
        <w:t>nything</w:t>
      </w:r>
      <w:r w:rsidR="00C5055F">
        <w:t>’</w:t>
      </w:r>
      <w:r w:rsidRPr="00645554">
        <w:t xml:space="preserve"> capability needed for the </w:t>
      </w:r>
      <w:r>
        <w:t>IoT will continue through this period</w:t>
      </w:r>
      <w:r w:rsidRPr="00645554">
        <w:t>.</w:t>
      </w:r>
    </w:p>
    <w:p w14:paraId="073D6F9F" w14:textId="3FAFFE9D" w:rsidR="00F05EFF" w:rsidRDefault="00F05EFF" w:rsidP="00F05EFF">
      <w:r>
        <w:lastRenderedPageBreak/>
        <w:t>Tracking the take</w:t>
      </w:r>
      <w:r w:rsidR="00542FA4">
        <w:t>-</w:t>
      </w:r>
      <w:r>
        <w:t xml:space="preserve">up and use of IoT applications, and identifying where there are emerging areas of concern by business or the community, will inform whether there is a need </w:t>
      </w:r>
      <w:r w:rsidR="00542FA4">
        <w:t>for any further action</w:t>
      </w:r>
      <w:r w:rsidR="00380D53">
        <w:t>.</w:t>
      </w:r>
    </w:p>
    <w:p w14:paraId="5AEFEA0C" w14:textId="7D1E9EC5" w:rsidR="00F05EFF" w:rsidRPr="00EF4CEF" w:rsidRDefault="00F05EFF" w:rsidP="00F05EFF">
      <w:r>
        <w:t xml:space="preserve">One of the key reasons to </w:t>
      </w:r>
      <w:r w:rsidR="00ED6755">
        <w:t>measure</w:t>
      </w:r>
      <w:r w:rsidR="00542FA4">
        <w:t xml:space="preserve"> </w:t>
      </w:r>
      <w:r>
        <w:t>the speed and scale of change occurri</w:t>
      </w:r>
      <w:r w:rsidR="00ED6755">
        <w:t>ng in Australian communications</w:t>
      </w:r>
      <w:r>
        <w:t xml:space="preserve"> is to assess whether existing regulatory settings inhibit</w:t>
      </w:r>
      <w:r w:rsidR="00542FA4">
        <w:t xml:space="preserve"> or facilitate the new developments occurring </w:t>
      </w:r>
      <w:r w:rsidR="00841C5C">
        <w:t xml:space="preserve">and </w:t>
      </w:r>
      <w:r>
        <w:t>Australia’s adoption of IoT</w:t>
      </w:r>
      <w:r w:rsidR="00542FA4">
        <w:t xml:space="preserve"> applications</w:t>
      </w:r>
      <w:r w:rsidR="00841C5C">
        <w:t>.</w:t>
      </w:r>
    </w:p>
    <w:p w14:paraId="40F2AC8B" w14:textId="77777777" w:rsidR="00F05EFF" w:rsidRDefault="00F05EFF" w:rsidP="00F05EFF">
      <w:pPr>
        <w:pStyle w:val="Heading2"/>
      </w:pPr>
      <w:bookmarkStart w:id="18" w:name="_Toc435079481"/>
      <w:r>
        <w:t>The ACMA’s longer-term focus—five+ years</w:t>
      </w:r>
      <w:bookmarkEnd w:id="18"/>
    </w:p>
    <w:p w14:paraId="18A7FC8E" w14:textId="77777777" w:rsidR="00542FA4" w:rsidRDefault="00F05EFF" w:rsidP="00F05EFF">
      <w:pPr>
        <w:rPr>
          <w:lang w:val="en-US"/>
        </w:rPr>
      </w:pPr>
      <w:r>
        <w:rPr>
          <w:lang w:val="en-US"/>
        </w:rPr>
        <w:t xml:space="preserve">Beyond a five-year time frame, if forecasts of the number of connected devices come to fruition, then </w:t>
      </w:r>
      <w:r w:rsidR="00616A14">
        <w:rPr>
          <w:lang w:val="en-US"/>
        </w:rPr>
        <w:t xml:space="preserve">Australia </w:t>
      </w:r>
      <w:r>
        <w:rPr>
          <w:lang w:val="en-US"/>
        </w:rPr>
        <w:t xml:space="preserve">can expect a very different communications environment. </w:t>
      </w:r>
    </w:p>
    <w:p w14:paraId="38D236B3" w14:textId="7F909931" w:rsidR="00F05EFF" w:rsidRDefault="00F05EFF" w:rsidP="00F05EFF">
      <w:pPr>
        <w:rPr>
          <w:lang w:val="en-US"/>
        </w:rPr>
      </w:pPr>
      <w:r>
        <w:rPr>
          <w:lang w:val="en-US"/>
        </w:rPr>
        <w:t xml:space="preserve">However, the key components needed to make IoT work remain relevant and offer a basis to inform where industry, citizens and regulators may need to invest attention. </w:t>
      </w:r>
    </w:p>
    <w:p w14:paraId="73894193" w14:textId="7FEB9A43" w:rsidR="00F05EFF" w:rsidRDefault="00F05EFF" w:rsidP="00F05EFF">
      <w:pPr>
        <w:rPr>
          <w:lang w:val="en-US"/>
        </w:rPr>
      </w:pPr>
      <w:r>
        <w:rPr>
          <w:lang w:val="en-US"/>
        </w:rPr>
        <w:t xml:space="preserve">Communications infrastructure planning </w:t>
      </w:r>
      <w:r w:rsidR="00ED6755">
        <w:rPr>
          <w:lang w:val="en-US"/>
        </w:rPr>
        <w:t>has tended historically</w:t>
      </w:r>
      <w:r w:rsidR="00D719B5">
        <w:rPr>
          <w:lang w:val="en-US"/>
        </w:rPr>
        <w:t xml:space="preserve"> </w:t>
      </w:r>
      <w:r>
        <w:rPr>
          <w:lang w:val="en-US"/>
        </w:rPr>
        <w:t>to occur over long (10 to 15 years+) time frames, reflecting the need for international harmonisation of technology and device standards that then informs demand and the identification of particular spectrum bands for release for IoT applications. Even if the expected planning cycle truncates further in future, elements of the design standards specification and international harmonisation of spectrum bands remain important components in providing a more certain investment environment IoT applications.</w:t>
      </w:r>
    </w:p>
    <w:p w14:paraId="73A5885B" w14:textId="4CB90F4F" w:rsidR="00F05EFF" w:rsidRDefault="00F05EFF" w:rsidP="00F05EFF">
      <w:pPr>
        <w:rPr>
          <w:lang w:val="en-US"/>
        </w:rPr>
      </w:pPr>
      <w:r>
        <w:rPr>
          <w:lang w:val="en-US"/>
        </w:rPr>
        <w:t>With the autonomous machines of M2M and IoT, there is a heightened awareness of the importance of the integrity of network security and reliability</w:t>
      </w:r>
      <w:r w:rsidR="00C5055F">
        <w:rPr>
          <w:lang w:val="en-US"/>
        </w:rPr>
        <w:t>,</w:t>
      </w:r>
      <w:r>
        <w:rPr>
          <w:lang w:val="en-US"/>
        </w:rPr>
        <w:t xml:space="preserve"> along with device and information security. With information and digital data being another key enabler of IoT, information standards, including protocols related to personal information and information portability, are likely to become more important </w:t>
      </w:r>
      <w:r w:rsidR="00380D53">
        <w:rPr>
          <w:lang w:val="en-US"/>
        </w:rPr>
        <w:t>to effective IoT applications.</w:t>
      </w:r>
    </w:p>
    <w:p w14:paraId="306CF0E3" w14:textId="2C512E88" w:rsidR="00F05EFF" w:rsidRDefault="00F05EFF" w:rsidP="00F05EFF">
      <w:pPr>
        <w:rPr>
          <w:lang w:val="en-US"/>
        </w:rPr>
      </w:pPr>
      <w:r>
        <w:rPr>
          <w:lang w:val="en-US"/>
        </w:rPr>
        <w:t>Finally, the capabilities of Australian businesses and consumers to manage their networks, devices and information with confidence and security will be crucial to Australia’s capacity to garner the productivity bene</w:t>
      </w:r>
      <w:r w:rsidR="00380D53">
        <w:rPr>
          <w:lang w:val="en-US"/>
        </w:rPr>
        <w:t>fits of IoT.</w:t>
      </w:r>
    </w:p>
    <w:p w14:paraId="5E62089C" w14:textId="6C8A8A03" w:rsidR="00F05EFF" w:rsidRDefault="00F05EFF" w:rsidP="00F05EFF">
      <w:r>
        <w:t>The role that regulatory settings play in contributing to confidence and enabling the development of innovative IoT applications will inevitably involve a reassessment of the relevant supporting policy objectives and whether they can continue to be met by lessening, or extending regulation, or applying the existing suite of regulatory tools and int</w:t>
      </w:r>
      <w:r w:rsidR="00380D53">
        <w:t>erventions in a different way.</w:t>
      </w:r>
    </w:p>
    <w:p w14:paraId="4AABEE6D" w14:textId="77777777" w:rsidR="00F05EFF" w:rsidRDefault="00F05EFF" w:rsidP="00F05EFF">
      <w:pPr>
        <w:pBdr>
          <w:top w:val="single" w:sz="4" w:space="1" w:color="auto"/>
          <w:left w:val="single" w:sz="4" w:space="4" w:color="auto"/>
          <w:bottom w:val="single" w:sz="4" w:space="1" w:color="auto"/>
          <w:right w:val="single" w:sz="4" w:space="4" w:color="auto"/>
        </w:pBdr>
        <w:spacing w:after="120"/>
        <w:rPr>
          <w:b/>
        </w:rPr>
      </w:pPr>
      <w:r>
        <w:rPr>
          <w:b/>
        </w:rPr>
        <w:t>Invitation to comment:</w:t>
      </w:r>
    </w:p>
    <w:p w14:paraId="40E6A3CA" w14:textId="2C4CBDE2" w:rsidR="00F05EFF" w:rsidRDefault="00D719B5" w:rsidP="00F05EFF">
      <w:pPr>
        <w:pBdr>
          <w:top w:val="single" w:sz="4" w:space="1" w:color="auto"/>
          <w:left w:val="single" w:sz="4" w:space="4" w:color="auto"/>
          <w:bottom w:val="single" w:sz="4" w:space="1" w:color="auto"/>
          <w:right w:val="single" w:sz="4" w:space="4" w:color="auto"/>
        </w:pBdr>
      </w:pPr>
      <w:r>
        <w:rPr>
          <w:b/>
        </w:rPr>
        <w:t>5</w:t>
      </w:r>
      <w:r w:rsidR="00F05EFF">
        <w:rPr>
          <w:b/>
        </w:rPr>
        <w:t>. H</w:t>
      </w:r>
      <w:r w:rsidR="00F05EFF" w:rsidRPr="008F1255">
        <w:rPr>
          <w:b/>
        </w:rPr>
        <w:t>as the ACMA correctly identified the near, medium</w:t>
      </w:r>
      <w:r w:rsidR="00F05EFF">
        <w:rPr>
          <w:b/>
        </w:rPr>
        <w:t>-</w:t>
      </w:r>
      <w:r w:rsidR="00F05EFF" w:rsidRPr="008F1255">
        <w:rPr>
          <w:b/>
        </w:rPr>
        <w:t xml:space="preserve"> and longer</w:t>
      </w:r>
      <w:r w:rsidR="00F05EFF">
        <w:rPr>
          <w:b/>
        </w:rPr>
        <w:t>-</w:t>
      </w:r>
      <w:r w:rsidR="00F05EFF" w:rsidRPr="008F1255">
        <w:rPr>
          <w:b/>
        </w:rPr>
        <w:t xml:space="preserve">term priorities for regulatory attention? </w:t>
      </w:r>
    </w:p>
    <w:p w14:paraId="4BBD1E86" w14:textId="07A74223" w:rsidR="00107F9D" w:rsidRDefault="00407904" w:rsidP="00C2551C">
      <w:pPr>
        <w:pStyle w:val="Heading1"/>
      </w:pPr>
      <w:bookmarkStart w:id="19" w:name="_Toc435079482"/>
      <w:r>
        <w:lastRenderedPageBreak/>
        <w:t>Part 2</w:t>
      </w:r>
      <w:r w:rsidR="002B705D">
        <w:t>—</w:t>
      </w:r>
      <w:r w:rsidR="00A9204F">
        <w:t xml:space="preserve">Enabling </w:t>
      </w:r>
      <w:r w:rsidR="00F77AA0">
        <w:t xml:space="preserve">the Internet of </w:t>
      </w:r>
      <w:r w:rsidR="00800DF7">
        <w:t>T</w:t>
      </w:r>
      <w:r w:rsidR="00F77AA0">
        <w:t>hings</w:t>
      </w:r>
      <w:bookmarkEnd w:id="19"/>
      <w:r w:rsidR="00107F9D" w:rsidRPr="00FE5A80">
        <w:t xml:space="preserve"> </w:t>
      </w:r>
    </w:p>
    <w:p w14:paraId="6CF8FF9E" w14:textId="77777777" w:rsidR="0068221D" w:rsidRDefault="00B95AF6" w:rsidP="00B95AF6">
      <w:pPr>
        <w:rPr>
          <w:bCs/>
        </w:rPr>
      </w:pPr>
      <w:r>
        <w:rPr>
          <w:bCs/>
        </w:rPr>
        <w:t>This second part of the paper looks in more detail at the areas of activity that are expected to enable M2M and IoT applications</w:t>
      </w:r>
      <w:r w:rsidR="0068221D">
        <w:rPr>
          <w:bCs/>
        </w:rPr>
        <w:t>.</w:t>
      </w:r>
    </w:p>
    <w:p w14:paraId="56FA373E" w14:textId="5B1894F4" w:rsidR="00B95AF6" w:rsidRDefault="00D865E5" w:rsidP="00B95AF6">
      <w:r>
        <w:rPr>
          <w:bCs/>
        </w:rPr>
        <w:t>It</w:t>
      </w:r>
      <w:r w:rsidR="0068221D">
        <w:rPr>
          <w:bCs/>
        </w:rPr>
        <w:t xml:space="preserve"> examines relevant and exi</w:t>
      </w:r>
      <w:r w:rsidR="00B95AF6">
        <w:rPr>
          <w:bCs/>
        </w:rPr>
        <w:t xml:space="preserve">sting regulatory strategies and tools can be used to support these technology and industry developments. </w:t>
      </w:r>
    </w:p>
    <w:p w14:paraId="3148DD96" w14:textId="573BDE76" w:rsidR="00107F9D" w:rsidRDefault="00C2714F" w:rsidP="00C2551C">
      <w:pPr>
        <w:pStyle w:val="Heading2"/>
      </w:pPr>
      <w:bookmarkStart w:id="20" w:name="_Toc435079483"/>
      <w:r>
        <w:t xml:space="preserve">Enablers of the </w:t>
      </w:r>
      <w:r w:rsidR="00800DF7">
        <w:t>I</w:t>
      </w:r>
      <w:r>
        <w:t xml:space="preserve">nternet of </w:t>
      </w:r>
      <w:r w:rsidR="00800DF7">
        <w:t>T</w:t>
      </w:r>
      <w:r>
        <w:t>hings</w:t>
      </w:r>
      <w:bookmarkEnd w:id="20"/>
    </w:p>
    <w:p w14:paraId="4E915895" w14:textId="49A23937" w:rsidR="00BD289A" w:rsidRDefault="00A9204F" w:rsidP="00D87B51">
      <w:pPr>
        <w:rPr>
          <w:bCs/>
        </w:rPr>
      </w:pPr>
      <w:r>
        <w:t xml:space="preserve">According to the Organisation for Economic Co-operation and Development (OECD), the main enablers of IoT include sensors that provide an interface between the physical world and a device, big data, M2M and cloud computing (Figure </w:t>
      </w:r>
      <w:r w:rsidR="00294090">
        <w:t>3</w:t>
      </w:r>
      <w:r w:rsidR="00380D53">
        <w:t>).</w:t>
      </w:r>
    </w:p>
    <w:p w14:paraId="09D039F2" w14:textId="77777777" w:rsidR="002C53DA" w:rsidRDefault="002C53DA" w:rsidP="002C53DA">
      <w:pPr>
        <w:pStyle w:val="ACMAFigureHeader"/>
      </w:pPr>
      <w:r>
        <w:t>Main enablers of the IoT</w:t>
      </w:r>
    </w:p>
    <w:p w14:paraId="144BB203" w14:textId="77777777" w:rsidR="002C53DA" w:rsidRDefault="002C53DA" w:rsidP="002C53DA">
      <w:pPr>
        <w:keepNext/>
        <w:keepLines/>
      </w:pPr>
      <w:r>
        <w:rPr>
          <w:noProof/>
        </w:rPr>
        <w:drawing>
          <wp:inline distT="0" distB="0" distL="0" distR="0" wp14:anchorId="04C1C131" wp14:editId="181D38C3">
            <wp:extent cx="4347568" cy="2775156"/>
            <wp:effectExtent l="0" t="0" r="0" b="6350"/>
            <wp:docPr id="6" name="Picture 6" descr="Relationship between autonomous machines, intelligent systems, machibne learning and remote control. Includes sensors, data, M2M an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78940" cy="2795181"/>
                    </a:xfrm>
                    <a:prstGeom prst="rect">
                      <a:avLst/>
                    </a:prstGeom>
                    <a:noFill/>
                    <a:ln>
                      <a:noFill/>
                    </a:ln>
                  </pic:spPr>
                </pic:pic>
              </a:graphicData>
            </a:graphic>
          </wp:inline>
        </w:drawing>
      </w:r>
    </w:p>
    <w:p w14:paraId="36F8E04D" w14:textId="77777777" w:rsidR="002C53DA" w:rsidRDefault="002C53DA" w:rsidP="008F5813">
      <w:pPr>
        <w:pStyle w:val="ACMANotes"/>
      </w:pPr>
      <w:r>
        <w:t xml:space="preserve">Source: OECD Digital </w:t>
      </w:r>
      <w:r w:rsidRPr="002C53DA">
        <w:t>Economy</w:t>
      </w:r>
      <w:r>
        <w:t xml:space="preserve"> Outlook Chapter 5: Emerging Issues: The Internet of Things, p. 8.</w:t>
      </w:r>
    </w:p>
    <w:p w14:paraId="1D6ED203" w14:textId="77777777" w:rsidR="008F5813" w:rsidRDefault="008F5813" w:rsidP="008F5813">
      <w:pPr>
        <w:pStyle w:val="ACMASpaceaftertable"/>
      </w:pPr>
    </w:p>
    <w:p w14:paraId="277310F6" w14:textId="55E56D3B" w:rsidR="008E25E0" w:rsidRDefault="00A9204F" w:rsidP="002B705D">
      <w:r>
        <w:t>Many of these enabling elements feature in Australians’ current communications practices, with the ACMA having considered the implications for regulation of a number of these developments.</w:t>
      </w:r>
      <w:r>
        <w:rPr>
          <w:rStyle w:val="FootnoteReference"/>
        </w:rPr>
        <w:footnoteReference w:id="10"/>
      </w:r>
      <w:r>
        <w:t> </w:t>
      </w:r>
    </w:p>
    <w:p w14:paraId="70D85795" w14:textId="4764D1E9" w:rsidR="00DC7196" w:rsidRPr="00F77D8B" w:rsidRDefault="00DC7196" w:rsidP="005B2B43">
      <w:pPr>
        <w:spacing w:after="80"/>
      </w:pPr>
      <w:r w:rsidRPr="00F77D8B">
        <w:t xml:space="preserve">Examples of existing and </w:t>
      </w:r>
      <w:r w:rsidR="007B79C4">
        <w:t xml:space="preserve">potential </w:t>
      </w:r>
      <w:r w:rsidR="005E1BCC">
        <w:t xml:space="preserve">M2M </w:t>
      </w:r>
      <w:r w:rsidRPr="00F77D8B">
        <w:t>applications include:</w:t>
      </w:r>
    </w:p>
    <w:p w14:paraId="6D9E82BB" w14:textId="77777777" w:rsidR="00DC7196" w:rsidRPr="00F77D8B" w:rsidRDefault="00DC7196" w:rsidP="00DC7196">
      <w:pPr>
        <w:pStyle w:val="ListBullet"/>
      </w:pPr>
      <w:r w:rsidRPr="00F77D8B">
        <w:t>vending machines and parking meters (to signal that a particular product is depleted or the machine requires service)</w:t>
      </w:r>
    </w:p>
    <w:p w14:paraId="750A3378" w14:textId="77777777" w:rsidR="00DC7196" w:rsidRPr="00F77D8B" w:rsidRDefault="00DC7196" w:rsidP="00DC7196">
      <w:pPr>
        <w:pStyle w:val="ListBullet"/>
      </w:pPr>
      <w:r w:rsidRPr="00F77D8B">
        <w:lastRenderedPageBreak/>
        <w:t>monitoring of smart meters by electricity, gas and water utilities</w:t>
      </w:r>
    </w:p>
    <w:p w14:paraId="23658665" w14:textId="77777777" w:rsidR="00DC7196" w:rsidRPr="00F77D8B" w:rsidRDefault="00DC7196" w:rsidP="00DC7196">
      <w:pPr>
        <w:pStyle w:val="ListBullet"/>
      </w:pPr>
      <w:r w:rsidRPr="00F77D8B">
        <w:t>automatic notification by vehicles to emergency service organisations of serious road accidents</w:t>
      </w:r>
      <w:r w:rsidRPr="00F77D8B">
        <w:rPr>
          <w:rStyle w:val="FootnoteReference"/>
        </w:rPr>
        <w:footnoteReference w:id="11"/>
      </w:r>
    </w:p>
    <w:p w14:paraId="08E197A7" w14:textId="77777777" w:rsidR="00DC7196" w:rsidRPr="00F77D8B" w:rsidRDefault="00DC7196" w:rsidP="00DC7196">
      <w:pPr>
        <w:pStyle w:val="ListBullet"/>
      </w:pPr>
      <w:r w:rsidRPr="00F77D8B">
        <w:t>tracking of assets such as fleet vehicles, trucks, ships, trailers, containers and expensive medical equipment</w:t>
      </w:r>
    </w:p>
    <w:p w14:paraId="518395AB" w14:textId="77777777" w:rsidR="00DC7196" w:rsidRPr="00F77D8B" w:rsidRDefault="00DC7196" w:rsidP="00DC7196">
      <w:pPr>
        <w:pStyle w:val="ListBullet"/>
      </w:pPr>
      <w:r w:rsidRPr="00F77D8B">
        <w:t>security alarms</w:t>
      </w:r>
    </w:p>
    <w:p w14:paraId="697DB3C6" w14:textId="1761D6AA" w:rsidR="0009187D" w:rsidRDefault="00DC7196" w:rsidP="00DD787E">
      <w:pPr>
        <w:pStyle w:val="ListBulletLast"/>
      </w:pPr>
      <w:r w:rsidRPr="00F77D8B">
        <w:t>supervision and surveillance systems.</w:t>
      </w:r>
    </w:p>
    <w:p w14:paraId="01D5A400" w14:textId="77777777" w:rsidR="007B79C4" w:rsidRDefault="00D87B51" w:rsidP="00B547DA">
      <w:r>
        <w:t>Taken together</w:t>
      </w:r>
      <w:r w:rsidR="00CB4FF7">
        <w:t>,</w:t>
      </w:r>
      <w:r>
        <w:t xml:space="preserve"> these separate developments form part of Australia’s ongoing transition towards increasingly complex </w:t>
      </w:r>
      <w:r w:rsidR="00CB4FF7">
        <w:t>connections—</w:t>
      </w:r>
      <w:r>
        <w:t xml:space="preserve">enabled initially by the digitalisation of networks and content, being accelerated through M2M communications and expanding exponentially under the </w:t>
      </w:r>
      <w:r w:rsidR="00CB4FF7">
        <w:t>IoT</w:t>
      </w:r>
      <w:r>
        <w:t>.</w:t>
      </w:r>
    </w:p>
    <w:p w14:paraId="40F6EA9C" w14:textId="4564CF0F" w:rsidR="008E3ADD" w:rsidRDefault="007B79C4" w:rsidP="005B2B43">
      <w:pPr>
        <w:spacing w:after="120"/>
        <w:rPr>
          <w:rFonts w:cs="Arial"/>
        </w:rPr>
      </w:pPr>
      <w:r>
        <w:rPr>
          <w:rFonts w:cs="Arial"/>
        </w:rPr>
        <w:t>T</w:t>
      </w:r>
      <w:r w:rsidR="00D87B51" w:rsidRPr="000A61C6">
        <w:rPr>
          <w:rFonts w:cs="Arial"/>
        </w:rPr>
        <w:t>he O</w:t>
      </w:r>
      <w:r w:rsidR="00697463">
        <w:rPr>
          <w:rFonts w:cs="Arial"/>
        </w:rPr>
        <w:t xml:space="preserve">ECD </w:t>
      </w:r>
      <w:r w:rsidR="00D87B51" w:rsidRPr="000A61C6">
        <w:rPr>
          <w:rFonts w:cs="Arial"/>
        </w:rPr>
        <w:t>noted that the pace of developments in the IoT may be much faster than that of the mobile phone services over the past two decades</w:t>
      </w:r>
      <w:r w:rsidR="0077384A">
        <w:rPr>
          <w:rFonts w:cs="Arial"/>
        </w:rPr>
        <w:t>, with suggestions that</w:t>
      </w:r>
      <w:r w:rsidR="002100BB">
        <w:rPr>
          <w:rFonts w:cs="Arial"/>
        </w:rPr>
        <w:t xml:space="preserve">: </w:t>
      </w:r>
    </w:p>
    <w:p w14:paraId="39BC0851" w14:textId="476840D3" w:rsidR="008E3ADD" w:rsidRPr="005B2B43" w:rsidRDefault="00D87B51" w:rsidP="00CB4FF7">
      <w:pPr>
        <w:ind w:left="709"/>
        <w:rPr>
          <w:rFonts w:cs="Arial"/>
          <w:i/>
          <w:sz w:val="18"/>
          <w:szCs w:val="18"/>
        </w:rPr>
      </w:pPr>
      <w:r w:rsidRPr="000F4F8B">
        <w:rPr>
          <w:sz w:val="18"/>
          <w:szCs w:val="18"/>
          <w:lang w:val="en"/>
        </w:rPr>
        <w:t xml:space="preserve">The number of connected devices in a house in OECD countries is expected to be </w:t>
      </w:r>
      <w:r w:rsidR="006B002D" w:rsidRPr="000F4F8B">
        <w:rPr>
          <w:sz w:val="18"/>
          <w:szCs w:val="18"/>
          <w:lang w:val="en"/>
        </w:rPr>
        <w:t>14</w:t>
      </w:r>
      <w:r w:rsidR="006B002D">
        <w:rPr>
          <w:sz w:val="18"/>
          <w:szCs w:val="18"/>
          <w:lang w:val="en"/>
        </w:rPr>
        <w:t> </w:t>
      </w:r>
      <w:r w:rsidRPr="000F4F8B">
        <w:rPr>
          <w:sz w:val="18"/>
          <w:szCs w:val="18"/>
          <w:lang w:val="en"/>
        </w:rPr>
        <w:t>billion by 2022</w:t>
      </w:r>
      <w:r w:rsidR="00CB4FF7" w:rsidRPr="000F4F8B">
        <w:rPr>
          <w:sz w:val="18"/>
          <w:szCs w:val="18"/>
          <w:lang w:val="en"/>
        </w:rPr>
        <w:t>—</w:t>
      </w:r>
      <w:r w:rsidRPr="000F4F8B">
        <w:rPr>
          <w:sz w:val="18"/>
          <w:szCs w:val="18"/>
          <w:lang w:val="en"/>
        </w:rPr>
        <w:t>up from around 1.4 billion in 2012</w:t>
      </w:r>
      <w:r w:rsidR="00CB4FF7" w:rsidRPr="005B2B43">
        <w:rPr>
          <w:rStyle w:val="QuoteChar"/>
          <w:i w:val="0"/>
          <w:sz w:val="18"/>
          <w:szCs w:val="18"/>
        </w:rPr>
        <w:t>.</w:t>
      </w:r>
      <w:r w:rsidRPr="005B2B43">
        <w:rPr>
          <w:rStyle w:val="FootnoteReference"/>
          <w:rFonts w:cs="Arial"/>
          <w:sz w:val="18"/>
          <w:szCs w:val="18"/>
        </w:rPr>
        <w:footnoteReference w:id="12"/>
      </w:r>
      <w:r w:rsidR="008104DA" w:rsidRPr="005B2B43">
        <w:rPr>
          <w:rFonts w:cs="Arial"/>
          <w:sz w:val="18"/>
          <w:szCs w:val="18"/>
        </w:rPr>
        <w:t xml:space="preserve"> </w:t>
      </w:r>
    </w:p>
    <w:p w14:paraId="003791A5" w14:textId="04092975" w:rsidR="005A032D" w:rsidRDefault="00FD5B21" w:rsidP="008104DA">
      <w:pPr>
        <w:rPr>
          <w:rFonts w:cs="Arial"/>
        </w:rPr>
      </w:pPr>
      <w:r>
        <w:rPr>
          <w:rFonts w:cs="Arial"/>
        </w:rPr>
        <w:t xml:space="preserve">On a global scale, </w:t>
      </w:r>
      <w:r w:rsidR="005A032D">
        <w:rPr>
          <w:rFonts w:cs="Arial"/>
        </w:rPr>
        <w:t xml:space="preserve">Gartner’s </w:t>
      </w:r>
      <w:r>
        <w:rPr>
          <w:rFonts w:cs="Arial"/>
        </w:rPr>
        <w:t>most recent prediction suggests 6.4 billion connected things in use worldwide in 2016, with an estimated rate of 5.5 million new device connections occurring every day.</w:t>
      </w:r>
      <w:r>
        <w:rPr>
          <w:rStyle w:val="FootnoteReference"/>
          <w:rFonts w:cs="Arial"/>
        </w:rPr>
        <w:footnoteReference w:id="13"/>
      </w:r>
    </w:p>
    <w:p w14:paraId="6995FFD0" w14:textId="6EDB16D1" w:rsidR="00D87B51" w:rsidRPr="008104DA" w:rsidRDefault="002151C7" w:rsidP="008104DA">
      <w:r>
        <w:rPr>
          <w:rFonts w:cs="Arial"/>
        </w:rPr>
        <w:t>E</w:t>
      </w:r>
      <w:r w:rsidR="008104DA">
        <w:rPr>
          <w:rFonts w:cs="Arial"/>
        </w:rPr>
        <w:t>ven the most conservative assessments indicate a rapid increase in the number of connections and rapid evolution of IoT applications and services on offer.</w:t>
      </w:r>
      <w:r w:rsidR="009B4080">
        <w:rPr>
          <w:rFonts w:cs="Arial"/>
        </w:rPr>
        <w:t xml:space="preserve"> </w:t>
      </w:r>
    </w:p>
    <w:p w14:paraId="3A83ABEC" w14:textId="1540E653" w:rsidR="00D87B51" w:rsidRDefault="00F759D2" w:rsidP="00E11C50">
      <w:pPr>
        <w:rPr>
          <w:bCs/>
        </w:rPr>
      </w:pPr>
      <w:r>
        <w:t xml:space="preserve">While </w:t>
      </w:r>
      <w:r w:rsidR="00D87B51">
        <w:t>Australia has many important building blocks in place to support increased connectivity, it remains unclear how the expected exponential increase in connections between humans and machines</w:t>
      </w:r>
      <w:r>
        <w:t>,</w:t>
      </w:r>
      <w:r w:rsidR="00D87B51">
        <w:t xml:space="preserve"> and then connections without human interaction</w:t>
      </w:r>
      <w:r>
        <w:t>,</w:t>
      </w:r>
      <w:r w:rsidR="00697463">
        <w:t xml:space="preserve"> </w:t>
      </w:r>
      <w:r w:rsidR="00D87B51">
        <w:t>will alter economic and social structures and practices.</w:t>
      </w:r>
    </w:p>
    <w:p w14:paraId="62CF64D7" w14:textId="292030C6" w:rsidR="00BB0FF5" w:rsidRDefault="00BB0FF5" w:rsidP="00C2551C">
      <w:pPr>
        <w:pStyle w:val="Heading2"/>
      </w:pPr>
      <w:bookmarkStart w:id="21" w:name="_Toc435079484"/>
      <w:r>
        <w:t>Enabling infrastructure</w:t>
      </w:r>
      <w:bookmarkEnd w:id="21"/>
    </w:p>
    <w:p w14:paraId="05D471A4" w14:textId="2E58EF43" w:rsidR="00107F9D" w:rsidRDefault="00107F9D" w:rsidP="00DC7196">
      <w:pPr>
        <w:pStyle w:val="Heading3"/>
      </w:pPr>
      <w:bookmarkStart w:id="22" w:name="_Toc435079485"/>
      <w:r>
        <w:t>Network digitalisation and increasing</w:t>
      </w:r>
      <w:r w:rsidR="00F759D2">
        <w:t>ly</w:t>
      </w:r>
      <w:r>
        <w:t xml:space="preserve"> higher bandwidth</w:t>
      </w:r>
      <w:bookmarkEnd w:id="22"/>
    </w:p>
    <w:p w14:paraId="4ED5B533" w14:textId="6BD2FD6A" w:rsidR="00F759D2" w:rsidRDefault="00107F9D" w:rsidP="00733693">
      <w:pPr>
        <w:rPr>
          <w:lang w:val="en-US"/>
        </w:rPr>
      </w:pPr>
      <w:r>
        <w:rPr>
          <w:lang w:val="en-US"/>
        </w:rPr>
        <w:t xml:space="preserve">Engaging in the </w:t>
      </w:r>
      <w:r w:rsidR="00CB4FF7">
        <w:rPr>
          <w:lang w:val="en-US"/>
        </w:rPr>
        <w:t>IoT</w:t>
      </w:r>
      <w:r>
        <w:rPr>
          <w:lang w:val="en-US"/>
        </w:rPr>
        <w:t xml:space="preserve"> is premised on access to IP-enabled </w:t>
      </w:r>
      <w:r w:rsidR="00733693">
        <w:rPr>
          <w:lang w:val="en-US"/>
        </w:rPr>
        <w:t xml:space="preserve">wired and wireless </w:t>
      </w:r>
      <w:r>
        <w:rPr>
          <w:lang w:val="en-US"/>
        </w:rPr>
        <w:t>networks that are capable of exchanging and storing large amounts of information.</w:t>
      </w:r>
      <w:r w:rsidR="00BD289A">
        <w:rPr>
          <w:lang w:val="en-US"/>
        </w:rPr>
        <w:t xml:space="preserve"> </w:t>
      </w:r>
    </w:p>
    <w:p w14:paraId="4218661D" w14:textId="043FBADB" w:rsidR="00733693" w:rsidRDefault="00107F9D" w:rsidP="00733693">
      <w:pPr>
        <w:rPr>
          <w:lang w:val="en-US"/>
        </w:rPr>
      </w:pPr>
      <w:r>
        <w:rPr>
          <w:lang w:val="en-US"/>
        </w:rPr>
        <w:t>Since the 1980s</w:t>
      </w:r>
      <w:r w:rsidR="00D057BD">
        <w:rPr>
          <w:lang w:val="en-US"/>
        </w:rPr>
        <w:t>,</w:t>
      </w:r>
      <w:r>
        <w:rPr>
          <w:lang w:val="en-US"/>
        </w:rPr>
        <w:t xml:space="preserve"> Australia has undergone a significant transformation </w:t>
      </w:r>
      <w:r w:rsidR="00D057BD">
        <w:rPr>
          <w:lang w:val="en-US"/>
        </w:rPr>
        <w:t xml:space="preserve">at </w:t>
      </w:r>
      <w:r>
        <w:rPr>
          <w:lang w:val="en-US"/>
        </w:rPr>
        <w:t xml:space="preserve">the network infrastructure </w:t>
      </w:r>
      <w:r w:rsidR="00D057BD">
        <w:rPr>
          <w:lang w:val="en-US"/>
        </w:rPr>
        <w:t xml:space="preserve">layer </w:t>
      </w:r>
      <w:r>
        <w:rPr>
          <w:lang w:val="en-US"/>
        </w:rPr>
        <w:t>with the digitali</w:t>
      </w:r>
      <w:r w:rsidR="00CB4FF7">
        <w:rPr>
          <w:lang w:val="en-US"/>
        </w:rPr>
        <w:t>s</w:t>
      </w:r>
      <w:r>
        <w:rPr>
          <w:lang w:val="en-US"/>
        </w:rPr>
        <w:t>ation of telecommunications and broadcasting networks. Broadcasting digitali</w:t>
      </w:r>
      <w:r w:rsidR="00CB4FF7">
        <w:rPr>
          <w:lang w:val="en-US"/>
        </w:rPr>
        <w:t>s</w:t>
      </w:r>
      <w:r>
        <w:rPr>
          <w:lang w:val="en-US"/>
        </w:rPr>
        <w:t>ation was completed as recently as 2013.</w:t>
      </w:r>
      <w:r w:rsidR="003B783C">
        <w:rPr>
          <w:lang w:val="en-US"/>
        </w:rPr>
        <w:t xml:space="preserve"> </w:t>
      </w:r>
      <w:r>
        <w:rPr>
          <w:lang w:val="en-US"/>
        </w:rPr>
        <w:t>Digitalisation of fixed</w:t>
      </w:r>
      <w:r w:rsidR="00CB4FF7">
        <w:rPr>
          <w:lang w:val="en-US"/>
        </w:rPr>
        <w:t>-</w:t>
      </w:r>
      <w:r>
        <w:rPr>
          <w:lang w:val="en-US"/>
        </w:rPr>
        <w:t xml:space="preserve">line telecommunications networks commenced in the 1980s but has had a longer maturation path, with the upgrade of the last mile </w:t>
      </w:r>
      <w:r w:rsidR="003451ED">
        <w:rPr>
          <w:lang w:val="en-US"/>
        </w:rPr>
        <w:t>a work in progress as</w:t>
      </w:r>
      <w:r>
        <w:rPr>
          <w:lang w:val="en-US"/>
        </w:rPr>
        <w:t xml:space="preserve"> the National Broadband Network</w:t>
      </w:r>
      <w:r w:rsidR="00F81098">
        <w:rPr>
          <w:lang w:val="en-US"/>
        </w:rPr>
        <w:t xml:space="preserve"> (</w:t>
      </w:r>
      <w:r w:rsidR="006B002D">
        <w:rPr>
          <w:lang w:val="en-US"/>
        </w:rPr>
        <w:t>nbn</w:t>
      </w:r>
      <w:r w:rsidR="00F81098">
        <w:rPr>
          <w:lang w:val="en-US"/>
        </w:rPr>
        <w:t>)</w:t>
      </w:r>
      <w:r>
        <w:rPr>
          <w:lang w:val="en-US"/>
        </w:rPr>
        <w:t xml:space="preserve"> </w:t>
      </w:r>
      <w:r w:rsidR="00841C5C">
        <w:rPr>
          <w:lang w:val="en-US"/>
        </w:rPr>
        <w:t>is rolled out.</w:t>
      </w:r>
    </w:p>
    <w:p w14:paraId="3D122F97" w14:textId="171D4452" w:rsidR="00F77D8B" w:rsidRDefault="00107F9D" w:rsidP="00733693">
      <w:pPr>
        <w:rPr>
          <w:rFonts w:cs="Arial"/>
          <w:i/>
          <w:lang w:val="en"/>
        </w:rPr>
      </w:pPr>
      <w:r>
        <w:rPr>
          <w:lang w:val="en-US"/>
        </w:rPr>
        <w:t>Australia has benefited from the progressive addition of mobile broadband capacity, first with 2G networks</w:t>
      </w:r>
      <w:r w:rsidR="00CB4FF7">
        <w:rPr>
          <w:lang w:val="en-US"/>
        </w:rPr>
        <w:t>,</w:t>
      </w:r>
      <w:r>
        <w:rPr>
          <w:lang w:val="en-US"/>
        </w:rPr>
        <w:t xml:space="preserve"> through to the current </w:t>
      </w:r>
      <w:r w:rsidR="00D719B5">
        <w:rPr>
          <w:lang w:val="en-US"/>
        </w:rPr>
        <w:t xml:space="preserve">ongoing </w:t>
      </w:r>
      <w:r>
        <w:rPr>
          <w:lang w:val="en-US"/>
        </w:rPr>
        <w:t xml:space="preserve">rollout of 4G networks. </w:t>
      </w:r>
      <w:r w:rsidR="00D719B5">
        <w:rPr>
          <w:lang w:val="en-US"/>
        </w:rPr>
        <w:lastRenderedPageBreak/>
        <w:t>Theoretical p</w:t>
      </w:r>
      <w:r>
        <w:rPr>
          <w:lang w:val="en-US"/>
        </w:rPr>
        <w:t xml:space="preserve">lanning for 5G spectrum capabilities is already underway internationally and in Australia, noting that the </w:t>
      </w:r>
      <w:r w:rsidR="00FF61DC">
        <w:rPr>
          <w:lang w:val="en-US"/>
        </w:rPr>
        <w:t>‘</w:t>
      </w:r>
      <w:r w:rsidR="00CB4FF7">
        <w:rPr>
          <w:lang w:val="en-US"/>
        </w:rPr>
        <w:t>a</w:t>
      </w:r>
      <w:r>
        <w:rPr>
          <w:lang w:val="en-US"/>
        </w:rPr>
        <w:t xml:space="preserve">nytime, </w:t>
      </w:r>
      <w:r w:rsidR="00CB4FF7">
        <w:rPr>
          <w:lang w:val="en-US"/>
        </w:rPr>
        <w:t>a</w:t>
      </w:r>
      <w:r>
        <w:rPr>
          <w:lang w:val="en-US"/>
        </w:rPr>
        <w:t xml:space="preserve">nywhere, </w:t>
      </w:r>
      <w:r w:rsidR="00CB4FF7">
        <w:rPr>
          <w:lang w:val="en-US"/>
        </w:rPr>
        <w:t>a</w:t>
      </w:r>
      <w:r>
        <w:rPr>
          <w:lang w:val="en-US"/>
        </w:rPr>
        <w:t xml:space="preserve">nyone and </w:t>
      </w:r>
      <w:r w:rsidR="00CB4FF7">
        <w:rPr>
          <w:lang w:val="en-US"/>
        </w:rPr>
        <w:t>a</w:t>
      </w:r>
      <w:r>
        <w:rPr>
          <w:lang w:val="en-US"/>
        </w:rPr>
        <w:t>nything</w:t>
      </w:r>
      <w:r w:rsidR="00FF61DC">
        <w:rPr>
          <w:lang w:val="en-US"/>
        </w:rPr>
        <w:t>’</w:t>
      </w:r>
      <w:r>
        <w:rPr>
          <w:lang w:val="en-US"/>
        </w:rPr>
        <w:t xml:space="preserve"> capability of 5G will be critical to underpin increased </w:t>
      </w:r>
      <w:r w:rsidR="00733693">
        <w:rPr>
          <w:lang w:val="en-US"/>
        </w:rPr>
        <w:t>M</w:t>
      </w:r>
      <w:r>
        <w:rPr>
          <w:lang w:val="en-US"/>
        </w:rPr>
        <w:t>2</w:t>
      </w:r>
      <w:r w:rsidR="00733693">
        <w:rPr>
          <w:lang w:val="en-US"/>
        </w:rPr>
        <w:t>M</w:t>
      </w:r>
      <w:r>
        <w:rPr>
          <w:lang w:val="en-US"/>
        </w:rPr>
        <w:t xml:space="preserve"> and IoT capabilities in Australia.</w:t>
      </w:r>
      <w:r w:rsidR="00733693" w:rsidRPr="00733693">
        <w:rPr>
          <w:rFonts w:cs="Arial"/>
          <w:i/>
          <w:lang w:val="en"/>
        </w:rPr>
        <w:t xml:space="preserve"> </w:t>
      </w:r>
    </w:p>
    <w:p w14:paraId="666BD600" w14:textId="31ED8325" w:rsidR="00BD289A" w:rsidRDefault="00733693" w:rsidP="00DC7196">
      <w:pPr>
        <w:rPr>
          <w:rFonts w:cs="Arial"/>
          <w:lang w:val="en"/>
        </w:rPr>
      </w:pPr>
      <w:r w:rsidRPr="00733693">
        <w:rPr>
          <w:rFonts w:cs="Arial"/>
          <w:lang w:val="en"/>
        </w:rPr>
        <w:t>However</w:t>
      </w:r>
      <w:r w:rsidR="003451ED">
        <w:rPr>
          <w:rFonts w:cs="Arial"/>
          <w:lang w:val="en"/>
        </w:rPr>
        <w:t>,</w:t>
      </w:r>
      <w:r w:rsidRPr="00733693">
        <w:rPr>
          <w:rFonts w:cs="Arial"/>
          <w:lang w:val="en"/>
        </w:rPr>
        <w:t xml:space="preserve"> it is still too early to characteri</w:t>
      </w:r>
      <w:r w:rsidR="00CB4FF7">
        <w:rPr>
          <w:rFonts w:cs="Arial"/>
          <w:lang w:val="en"/>
        </w:rPr>
        <w:t>s</w:t>
      </w:r>
      <w:r w:rsidRPr="00733693">
        <w:rPr>
          <w:rFonts w:cs="Arial"/>
          <w:lang w:val="en"/>
        </w:rPr>
        <w:t>e where the next improvements will occur in the still-evolving definition of 5G technologies.</w:t>
      </w:r>
      <w:r w:rsidR="000C5EEC">
        <w:rPr>
          <w:rFonts w:cs="Arial"/>
          <w:lang w:val="en"/>
        </w:rPr>
        <w:t xml:space="preserve"> </w:t>
      </w:r>
      <w:r w:rsidRPr="00733693">
        <w:rPr>
          <w:rFonts w:cs="Arial"/>
          <w:lang w:val="en"/>
        </w:rPr>
        <w:t xml:space="preserve">There is significant </w:t>
      </w:r>
      <w:r w:rsidR="007428FA">
        <w:rPr>
          <w:rFonts w:cs="Arial"/>
          <w:lang w:val="en"/>
        </w:rPr>
        <w:t xml:space="preserve">ongoing </w:t>
      </w:r>
      <w:r w:rsidRPr="00733693">
        <w:rPr>
          <w:rFonts w:cs="Arial"/>
          <w:lang w:val="en"/>
        </w:rPr>
        <w:t>research into improvements in wireless technology</w:t>
      </w:r>
      <w:r w:rsidR="00CB4FF7">
        <w:rPr>
          <w:rFonts w:cs="Arial"/>
          <w:lang w:val="en"/>
        </w:rPr>
        <w:t>,</w:t>
      </w:r>
      <w:r w:rsidRPr="00733693">
        <w:rPr>
          <w:rFonts w:cs="Arial"/>
          <w:lang w:val="en"/>
        </w:rPr>
        <w:t xml:space="preserve"> but </w:t>
      </w:r>
      <w:r>
        <w:rPr>
          <w:rFonts w:cs="Arial"/>
          <w:lang w:val="en"/>
        </w:rPr>
        <w:t>there is no industry consensus yet on how 5G technologies will support IoT.</w:t>
      </w:r>
    </w:p>
    <w:p w14:paraId="16356421" w14:textId="746D598B" w:rsidR="00FF61DC" w:rsidRDefault="00733693" w:rsidP="0080435B">
      <w:pPr>
        <w:rPr>
          <w:rFonts w:cs="Arial"/>
          <w:lang w:val="en"/>
        </w:rPr>
      </w:pPr>
      <w:r>
        <w:rPr>
          <w:rFonts w:cs="Arial"/>
          <w:lang w:val="en"/>
        </w:rPr>
        <w:t xml:space="preserve">Some </w:t>
      </w:r>
      <w:r w:rsidRPr="00733693">
        <w:rPr>
          <w:rFonts w:cs="Arial"/>
          <w:lang w:val="en"/>
        </w:rPr>
        <w:t xml:space="preserve">industry </w:t>
      </w:r>
      <w:r>
        <w:rPr>
          <w:rFonts w:cs="Arial"/>
          <w:lang w:val="en"/>
        </w:rPr>
        <w:t xml:space="preserve">participants regard </w:t>
      </w:r>
      <w:r w:rsidRPr="00733693">
        <w:rPr>
          <w:rFonts w:cs="Arial"/>
          <w:lang w:val="en"/>
        </w:rPr>
        <w:t xml:space="preserve">the next wireless technology developments as </w:t>
      </w:r>
      <w:r w:rsidR="001F52CE">
        <w:rPr>
          <w:rFonts w:cs="Arial"/>
          <w:lang w:val="en"/>
        </w:rPr>
        <w:t>‘</w:t>
      </w:r>
      <w:r w:rsidRPr="00733693">
        <w:rPr>
          <w:rFonts w:cs="Arial"/>
          <w:lang w:val="en"/>
        </w:rPr>
        <w:t>evolutionary</w:t>
      </w:r>
      <w:r w:rsidR="001F52CE">
        <w:rPr>
          <w:rFonts w:cs="Arial"/>
          <w:lang w:val="en"/>
        </w:rPr>
        <w:t>’</w:t>
      </w:r>
      <w:r w:rsidRPr="00733693">
        <w:rPr>
          <w:rFonts w:cs="Arial"/>
          <w:lang w:val="en"/>
        </w:rPr>
        <w:t xml:space="preserve"> improvements to t</w:t>
      </w:r>
      <w:r>
        <w:rPr>
          <w:rFonts w:cs="Arial"/>
          <w:lang w:val="en"/>
        </w:rPr>
        <w:t xml:space="preserve">he existing wireless parameters, providing </w:t>
      </w:r>
      <w:r w:rsidRPr="00733693">
        <w:rPr>
          <w:rFonts w:cs="Arial"/>
          <w:lang w:val="en"/>
        </w:rPr>
        <w:t>improved coverage, r</w:t>
      </w:r>
      <w:r>
        <w:rPr>
          <w:rFonts w:cs="Arial"/>
          <w:lang w:val="en"/>
        </w:rPr>
        <w:t xml:space="preserve">eliability and network density. </w:t>
      </w:r>
    </w:p>
    <w:p w14:paraId="5D229936" w14:textId="6F79D881" w:rsidR="00107F9D" w:rsidRPr="00F77D8B" w:rsidRDefault="00733693" w:rsidP="0080435B">
      <w:r>
        <w:rPr>
          <w:rFonts w:cs="Arial"/>
          <w:lang w:val="en"/>
        </w:rPr>
        <w:t xml:space="preserve">Other industry participants consider that </w:t>
      </w:r>
      <w:r w:rsidRPr="00733693">
        <w:rPr>
          <w:rFonts w:cs="Arial"/>
          <w:lang w:val="en"/>
        </w:rPr>
        <w:t xml:space="preserve">improved data rates and </w:t>
      </w:r>
      <w:r w:rsidR="00D719B5">
        <w:rPr>
          <w:rFonts w:cs="Arial"/>
          <w:lang w:val="en"/>
        </w:rPr>
        <w:t xml:space="preserve">the </w:t>
      </w:r>
      <w:r w:rsidRPr="00733693">
        <w:rPr>
          <w:rFonts w:cs="Arial"/>
          <w:lang w:val="en"/>
        </w:rPr>
        <w:t xml:space="preserve">lower latency </w:t>
      </w:r>
      <w:r>
        <w:rPr>
          <w:rFonts w:cs="Arial"/>
          <w:lang w:val="en"/>
        </w:rPr>
        <w:t xml:space="preserve">of 5G </w:t>
      </w:r>
      <w:r w:rsidRPr="00733693">
        <w:rPr>
          <w:rFonts w:cs="Arial"/>
          <w:lang w:val="en"/>
        </w:rPr>
        <w:t xml:space="preserve">will </w:t>
      </w:r>
      <w:r>
        <w:rPr>
          <w:rFonts w:cs="Arial"/>
          <w:lang w:val="en"/>
        </w:rPr>
        <w:t>provide</w:t>
      </w:r>
      <w:r w:rsidRPr="00733693">
        <w:rPr>
          <w:rFonts w:cs="Arial"/>
          <w:lang w:val="en"/>
        </w:rPr>
        <w:t xml:space="preserve"> a </w:t>
      </w:r>
      <w:r w:rsidR="001F52CE">
        <w:rPr>
          <w:rFonts w:cs="Arial"/>
          <w:lang w:val="en"/>
        </w:rPr>
        <w:t>‘</w:t>
      </w:r>
      <w:r w:rsidRPr="00733693">
        <w:rPr>
          <w:rFonts w:cs="Arial"/>
          <w:lang w:val="en"/>
        </w:rPr>
        <w:t>revolutionary</w:t>
      </w:r>
      <w:r w:rsidR="001F52CE">
        <w:rPr>
          <w:rFonts w:cs="Arial"/>
          <w:lang w:val="en"/>
        </w:rPr>
        <w:t>’</w:t>
      </w:r>
      <w:r w:rsidRPr="00733693">
        <w:rPr>
          <w:rFonts w:cs="Arial"/>
          <w:lang w:val="en"/>
        </w:rPr>
        <w:t xml:space="preserve"> leap forward </w:t>
      </w:r>
      <w:r>
        <w:rPr>
          <w:rFonts w:cs="Arial"/>
          <w:lang w:val="en"/>
        </w:rPr>
        <w:t xml:space="preserve">that will support </w:t>
      </w:r>
      <w:r w:rsidR="0080435B">
        <w:rPr>
          <w:rFonts w:cs="Arial"/>
          <w:lang w:val="en"/>
        </w:rPr>
        <w:t>ubiquitous</w:t>
      </w:r>
      <w:r w:rsidRPr="00733693">
        <w:rPr>
          <w:rFonts w:cs="Arial"/>
          <w:lang w:val="en"/>
        </w:rPr>
        <w:t xml:space="preserve"> </w:t>
      </w:r>
      <w:r w:rsidR="00593EC4">
        <w:rPr>
          <w:rFonts w:cs="Arial"/>
          <w:lang w:val="en"/>
        </w:rPr>
        <w:t>IoT</w:t>
      </w:r>
      <w:r w:rsidR="00F81098">
        <w:rPr>
          <w:rFonts w:cs="Arial"/>
          <w:lang w:val="en"/>
        </w:rPr>
        <w:t>. This</w:t>
      </w:r>
      <w:r w:rsidRPr="00733693">
        <w:rPr>
          <w:rFonts w:cs="Arial"/>
          <w:lang w:val="en"/>
        </w:rPr>
        <w:t xml:space="preserve"> </w:t>
      </w:r>
      <w:r w:rsidR="00F81098" w:rsidRPr="00733693">
        <w:rPr>
          <w:rFonts w:cs="Arial"/>
          <w:lang w:val="en"/>
        </w:rPr>
        <w:t>includ</w:t>
      </w:r>
      <w:r w:rsidR="00F81098">
        <w:rPr>
          <w:rFonts w:cs="Arial"/>
          <w:lang w:val="en"/>
        </w:rPr>
        <w:t xml:space="preserve">es </w:t>
      </w:r>
      <w:r w:rsidR="003451ED">
        <w:rPr>
          <w:rFonts w:cs="Arial"/>
          <w:lang w:val="en"/>
        </w:rPr>
        <w:t xml:space="preserve">the capacity to support many connected devices under </w:t>
      </w:r>
      <w:r w:rsidRPr="00733693">
        <w:rPr>
          <w:rFonts w:cs="Arial"/>
          <w:lang w:val="en"/>
        </w:rPr>
        <w:t xml:space="preserve">M2M, </w:t>
      </w:r>
      <w:r w:rsidR="003451ED">
        <w:rPr>
          <w:rFonts w:cs="Arial"/>
          <w:lang w:val="en"/>
        </w:rPr>
        <w:t xml:space="preserve">increased data storage for </w:t>
      </w:r>
      <w:r w:rsidRPr="00733693">
        <w:rPr>
          <w:rFonts w:cs="Arial"/>
          <w:lang w:val="en"/>
        </w:rPr>
        <w:t>cloud computing</w:t>
      </w:r>
      <w:r w:rsidR="00F81098">
        <w:rPr>
          <w:rFonts w:cs="Arial"/>
          <w:lang w:val="en"/>
        </w:rPr>
        <w:t>,</w:t>
      </w:r>
      <w:r w:rsidRPr="00733693">
        <w:rPr>
          <w:rFonts w:cs="Arial"/>
          <w:lang w:val="en"/>
        </w:rPr>
        <w:t xml:space="preserve"> and </w:t>
      </w:r>
      <w:r w:rsidR="003451ED">
        <w:rPr>
          <w:rFonts w:cs="Arial"/>
          <w:lang w:val="en"/>
        </w:rPr>
        <w:t xml:space="preserve">anywhere and anytime connections needed for </w:t>
      </w:r>
      <w:r w:rsidRPr="00733693">
        <w:rPr>
          <w:rFonts w:cs="Arial"/>
          <w:lang w:val="en"/>
        </w:rPr>
        <w:t>connected cars</w:t>
      </w:r>
      <w:r w:rsidR="003451ED">
        <w:rPr>
          <w:rFonts w:cs="Arial"/>
          <w:lang w:val="en"/>
        </w:rPr>
        <w:t>,</w:t>
      </w:r>
      <w:r w:rsidRPr="00733693">
        <w:rPr>
          <w:rFonts w:cs="Arial"/>
          <w:lang w:val="en"/>
        </w:rPr>
        <w:t xml:space="preserve"> </w:t>
      </w:r>
      <w:r w:rsidR="00FF61DC">
        <w:rPr>
          <w:rFonts w:cs="Arial"/>
          <w:lang w:val="en"/>
        </w:rPr>
        <w:t xml:space="preserve">all of </w:t>
      </w:r>
      <w:r w:rsidRPr="00733693">
        <w:rPr>
          <w:rFonts w:cs="Arial"/>
          <w:lang w:val="en"/>
        </w:rPr>
        <w:t xml:space="preserve">which </w:t>
      </w:r>
      <w:r w:rsidR="00FF61DC">
        <w:rPr>
          <w:rFonts w:cs="Arial"/>
          <w:lang w:val="en"/>
        </w:rPr>
        <w:t xml:space="preserve">are </w:t>
      </w:r>
      <w:r w:rsidR="003451ED">
        <w:rPr>
          <w:rFonts w:cs="Arial"/>
          <w:lang w:val="en"/>
        </w:rPr>
        <w:t>considered</w:t>
      </w:r>
      <w:r w:rsidRPr="00733693">
        <w:rPr>
          <w:rFonts w:cs="Arial"/>
          <w:lang w:val="en"/>
        </w:rPr>
        <w:t xml:space="preserve"> </w:t>
      </w:r>
      <w:r w:rsidR="00FF61DC">
        <w:rPr>
          <w:rFonts w:cs="Arial"/>
          <w:lang w:val="en"/>
        </w:rPr>
        <w:t xml:space="preserve">by some to be </w:t>
      </w:r>
      <w:r w:rsidRPr="00733693">
        <w:rPr>
          <w:rFonts w:cs="Arial"/>
          <w:lang w:val="en"/>
        </w:rPr>
        <w:t>unachievable u</w:t>
      </w:r>
      <w:r w:rsidR="003451ED">
        <w:rPr>
          <w:rFonts w:cs="Arial"/>
          <w:lang w:val="en"/>
        </w:rPr>
        <w:t>sing</w:t>
      </w:r>
      <w:r w:rsidRPr="00733693">
        <w:rPr>
          <w:rFonts w:cs="Arial"/>
          <w:lang w:val="en"/>
        </w:rPr>
        <w:t xml:space="preserve"> current wireless generation technologies.</w:t>
      </w:r>
    </w:p>
    <w:p w14:paraId="2D49EFCD" w14:textId="77777777" w:rsidR="00DC7196" w:rsidRDefault="00DC7196" w:rsidP="0084237B">
      <w:pPr>
        <w:pStyle w:val="Heading3"/>
      </w:pPr>
      <w:bookmarkStart w:id="23" w:name="_Toc435079486"/>
      <w:r>
        <w:t>Addressing and numbering</w:t>
      </w:r>
      <w:bookmarkEnd w:id="23"/>
      <w:r>
        <w:t xml:space="preserve"> </w:t>
      </w:r>
    </w:p>
    <w:p w14:paraId="44749A9B" w14:textId="6643EED9" w:rsidR="003F73C5" w:rsidRDefault="00C9661B" w:rsidP="0049623E">
      <w:bookmarkStart w:id="24" w:name="IP_addresses_ref"/>
      <w:r>
        <w:t xml:space="preserve">Network addressing that connects devices currently relies on telephone numbers </w:t>
      </w:r>
      <w:r w:rsidR="00FF61DC">
        <w:t xml:space="preserve">(for devices connected via cellular telephony networks) </w:t>
      </w:r>
      <w:r w:rsidR="00380D53">
        <w:t>or internet addresses.</w:t>
      </w:r>
    </w:p>
    <w:p w14:paraId="4425DA37" w14:textId="572EEB13" w:rsidR="000C5EEC" w:rsidRDefault="000C5EEC" w:rsidP="005B2B43">
      <w:r>
        <w:t xml:space="preserve">While </w:t>
      </w:r>
      <w:r w:rsidRPr="00F77D8B">
        <w:t xml:space="preserve">estimates of the growth of </w:t>
      </w:r>
      <w:r>
        <w:t>M2M</w:t>
      </w:r>
      <w:r w:rsidRPr="00F77D8B">
        <w:t xml:space="preserve"> communications vary significantly</w:t>
      </w:r>
      <w:r>
        <w:t xml:space="preserve">, Cisco’s Visual Networking Index estimated some 115.7 million connected devices in Australia in </w:t>
      </w:r>
      <w:r w:rsidR="001F52CE">
        <w:t>2014, which</w:t>
      </w:r>
      <w:r>
        <w:t xml:space="preserve"> is forecast to rise in five years to 219 million.</w:t>
      </w:r>
      <w:r>
        <w:rPr>
          <w:rStyle w:val="FootnoteReference"/>
        </w:rPr>
        <w:footnoteReference w:id="14"/>
      </w:r>
    </w:p>
    <w:p w14:paraId="0084BB8A" w14:textId="54214B9E" w:rsidR="000C5EEC" w:rsidRDefault="003F73C5" w:rsidP="0078269A">
      <w:r w:rsidRPr="00461F70">
        <w:rPr>
          <w:rFonts w:cs="Arial"/>
          <w:szCs w:val="20"/>
        </w:rPr>
        <w:t>In Australia</w:t>
      </w:r>
      <w:r w:rsidR="001E2249">
        <w:rPr>
          <w:rFonts w:cs="Arial"/>
          <w:szCs w:val="20"/>
        </w:rPr>
        <w:t>,</w:t>
      </w:r>
      <w:r>
        <w:rPr>
          <w:rFonts w:cs="Arial"/>
          <w:szCs w:val="20"/>
        </w:rPr>
        <w:t xml:space="preserve"> t</w:t>
      </w:r>
      <w:r w:rsidR="00003201">
        <w:rPr>
          <w:rFonts w:cs="Arial"/>
          <w:szCs w:val="20"/>
        </w:rPr>
        <w:t>he t</w:t>
      </w:r>
      <w:r>
        <w:rPr>
          <w:rFonts w:cs="Arial"/>
          <w:szCs w:val="20"/>
        </w:rPr>
        <w:t xml:space="preserve">elephone numbering resource </w:t>
      </w:r>
      <w:r w:rsidR="00003201">
        <w:rPr>
          <w:rFonts w:cs="Arial"/>
          <w:szCs w:val="20"/>
        </w:rPr>
        <w:t xml:space="preserve">is </w:t>
      </w:r>
      <w:r>
        <w:rPr>
          <w:rFonts w:cs="Arial"/>
          <w:szCs w:val="20"/>
        </w:rPr>
        <w:t xml:space="preserve">managed by the ACMA. </w:t>
      </w:r>
      <w:r w:rsidR="00003201">
        <w:rPr>
          <w:rFonts w:cs="Arial"/>
          <w:szCs w:val="20"/>
        </w:rPr>
        <w:t xml:space="preserve">Digital </w:t>
      </w:r>
      <w:r w:rsidRPr="00461F70">
        <w:rPr>
          <w:rFonts w:cs="Arial"/>
          <w:szCs w:val="20"/>
        </w:rPr>
        <w:t>mobile number</w:t>
      </w:r>
      <w:r w:rsidR="00003201">
        <w:rPr>
          <w:rFonts w:cs="Arial"/>
          <w:szCs w:val="20"/>
        </w:rPr>
        <w:t>s</w:t>
      </w:r>
      <w:r w:rsidRPr="00461F70">
        <w:rPr>
          <w:rFonts w:cs="Arial"/>
          <w:szCs w:val="20"/>
        </w:rPr>
        <w:t xml:space="preserve"> </w:t>
      </w:r>
      <w:r w:rsidR="00003201">
        <w:rPr>
          <w:rFonts w:cs="Arial"/>
          <w:szCs w:val="20"/>
        </w:rPr>
        <w:t>are</w:t>
      </w:r>
      <w:r w:rsidRPr="00461F70">
        <w:rPr>
          <w:rFonts w:cs="Arial"/>
          <w:szCs w:val="20"/>
        </w:rPr>
        <w:t xml:space="preserve"> </w:t>
      </w:r>
      <w:r w:rsidR="00E82CEE">
        <w:rPr>
          <w:rFonts w:cs="Arial"/>
          <w:szCs w:val="20"/>
        </w:rPr>
        <w:t>use</w:t>
      </w:r>
      <w:r w:rsidR="006B55DB">
        <w:rPr>
          <w:rFonts w:cs="Arial"/>
          <w:szCs w:val="20"/>
        </w:rPr>
        <w:t>d</w:t>
      </w:r>
      <w:r w:rsidR="00E82CEE">
        <w:rPr>
          <w:rFonts w:cs="Arial"/>
          <w:szCs w:val="20"/>
        </w:rPr>
        <w:t xml:space="preserve"> in connection with </w:t>
      </w:r>
      <w:r>
        <w:rPr>
          <w:rFonts w:cs="Arial"/>
          <w:szCs w:val="20"/>
        </w:rPr>
        <w:t>M2M communications.</w:t>
      </w:r>
      <w:r w:rsidR="00003201">
        <w:rPr>
          <w:rFonts w:cs="Arial"/>
          <w:szCs w:val="20"/>
        </w:rPr>
        <w:t xml:space="preserve"> Based on current demand forecasts, the ACMA estimates</w:t>
      </w:r>
      <w:r w:rsidR="00BD289A">
        <w:rPr>
          <w:rFonts w:cs="Arial"/>
          <w:szCs w:val="20"/>
        </w:rPr>
        <w:t xml:space="preserve"> </w:t>
      </w:r>
      <w:r w:rsidR="00003201">
        <w:rPr>
          <w:rFonts w:cs="Arial"/>
          <w:szCs w:val="20"/>
        </w:rPr>
        <w:t>there is approximately seven</w:t>
      </w:r>
      <w:r w:rsidR="00003201" w:rsidRPr="00461F70">
        <w:rPr>
          <w:rFonts w:cs="Arial"/>
          <w:szCs w:val="20"/>
        </w:rPr>
        <w:t xml:space="preserve"> years</w:t>
      </w:r>
      <w:r w:rsidR="00F81098">
        <w:rPr>
          <w:rFonts w:cs="Arial"/>
          <w:szCs w:val="20"/>
        </w:rPr>
        <w:t>’</w:t>
      </w:r>
      <w:r w:rsidR="00003201" w:rsidRPr="00461F70">
        <w:rPr>
          <w:rFonts w:cs="Arial"/>
          <w:szCs w:val="20"/>
        </w:rPr>
        <w:t xml:space="preserve"> supply </w:t>
      </w:r>
      <w:r w:rsidR="00003201">
        <w:rPr>
          <w:rFonts w:cs="Arial"/>
          <w:szCs w:val="20"/>
        </w:rPr>
        <w:t>i</w:t>
      </w:r>
      <w:r>
        <w:rPr>
          <w:rFonts w:cs="Arial"/>
          <w:szCs w:val="20"/>
        </w:rPr>
        <w:t xml:space="preserve">n the (04) digital mobile number </w:t>
      </w:r>
      <w:r w:rsidR="00003201">
        <w:rPr>
          <w:rFonts w:cs="Arial"/>
          <w:szCs w:val="20"/>
        </w:rPr>
        <w:t>range</w:t>
      </w:r>
      <w:r>
        <w:rPr>
          <w:rFonts w:cs="Arial"/>
          <w:szCs w:val="20"/>
        </w:rPr>
        <w:t xml:space="preserve">. </w:t>
      </w:r>
      <w:r w:rsidR="00003201">
        <w:rPr>
          <w:rFonts w:cs="Arial"/>
          <w:szCs w:val="20"/>
        </w:rPr>
        <w:t xml:space="preserve">In </w:t>
      </w:r>
      <w:r w:rsidR="001F52CE" w:rsidRPr="00461F70">
        <w:rPr>
          <w:rFonts w:cs="Arial"/>
          <w:szCs w:val="20"/>
        </w:rPr>
        <w:t>2012,</w:t>
      </w:r>
      <w:r w:rsidRPr="00461F70">
        <w:rPr>
          <w:rFonts w:cs="Arial"/>
          <w:szCs w:val="20"/>
        </w:rPr>
        <w:t xml:space="preserve"> </w:t>
      </w:r>
      <w:r>
        <w:rPr>
          <w:rFonts w:cs="Arial"/>
          <w:szCs w:val="20"/>
        </w:rPr>
        <w:t xml:space="preserve">the </w:t>
      </w:r>
      <w:r w:rsidRPr="00461F70">
        <w:rPr>
          <w:rFonts w:cs="Arial"/>
          <w:szCs w:val="20"/>
        </w:rPr>
        <w:t xml:space="preserve">ACMA </w:t>
      </w:r>
      <w:r w:rsidR="00003201">
        <w:rPr>
          <w:rFonts w:cs="Arial"/>
          <w:szCs w:val="20"/>
        </w:rPr>
        <w:t>specified additional capacity</w:t>
      </w:r>
      <w:r w:rsidR="001F52CE">
        <w:rPr>
          <w:rFonts w:cs="Arial"/>
          <w:szCs w:val="20"/>
        </w:rPr>
        <w:t>—</w:t>
      </w:r>
      <w:r w:rsidRPr="00461F70">
        <w:rPr>
          <w:rFonts w:cs="Arial"/>
          <w:szCs w:val="20"/>
        </w:rPr>
        <w:t>the 05</w:t>
      </w:r>
      <w:r w:rsidR="00003201">
        <w:rPr>
          <w:rStyle w:val="FootnoteReference"/>
          <w:rFonts w:cs="Arial"/>
          <w:szCs w:val="20"/>
        </w:rPr>
        <w:footnoteReference w:id="15"/>
      </w:r>
      <w:r w:rsidRPr="00461F70">
        <w:rPr>
          <w:rFonts w:cs="Arial"/>
          <w:szCs w:val="20"/>
        </w:rPr>
        <w:t xml:space="preserve"> </w:t>
      </w:r>
      <w:r w:rsidR="00003201">
        <w:rPr>
          <w:rFonts w:cs="Arial"/>
          <w:szCs w:val="20"/>
        </w:rPr>
        <w:t xml:space="preserve">number </w:t>
      </w:r>
      <w:r w:rsidRPr="00461F70">
        <w:rPr>
          <w:rFonts w:cs="Arial"/>
          <w:szCs w:val="20"/>
        </w:rPr>
        <w:t>range</w:t>
      </w:r>
      <w:r w:rsidR="001F52CE">
        <w:rPr>
          <w:rFonts w:cs="Arial"/>
          <w:szCs w:val="20"/>
        </w:rPr>
        <w:t>—</w:t>
      </w:r>
      <w:r w:rsidRPr="00461F70">
        <w:rPr>
          <w:rFonts w:cs="Arial"/>
          <w:szCs w:val="20"/>
        </w:rPr>
        <w:t xml:space="preserve">to cater for </w:t>
      </w:r>
      <w:r w:rsidR="00043DA8">
        <w:rPr>
          <w:rFonts w:cs="Arial"/>
          <w:szCs w:val="20"/>
        </w:rPr>
        <w:t>anticipated</w:t>
      </w:r>
      <w:r w:rsidR="00043DA8" w:rsidRPr="00461F70">
        <w:rPr>
          <w:rFonts w:cs="Arial"/>
          <w:szCs w:val="20"/>
        </w:rPr>
        <w:t xml:space="preserve"> </w:t>
      </w:r>
      <w:r w:rsidRPr="00461F70">
        <w:rPr>
          <w:rFonts w:cs="Arial"/>
          <w:szCs w:val="20"/>
        </w:rPr>
        <w:t xml:space="preserve">demand for </w:t>
      </w:r>
      <w:r w:rsidR="00E82CEE">
        <w:rPr>
          <w:rFonts w:cs="Arial"/>
          <w:szCs w:val="20"/>
        </w:rPr>
        <w:t xml:space="preserve">digital </w:t>
      </w:r>
      <w:r w:rsidRPr="00461F70">
        <w:rPr>
          <w:rFonts w:cs="Arial"/>
          <w:szCs w:val="20"/>
        </w:rPr>
        <w:t>mobile numbers</w:t>
      </w:r>
      <w:r w:rsidR="00043DA8">
        <w:rPr>
          <w:rFonts w:cs="Arial"/>
          <w:szCs w:val="20"/>
        </w:rPr>
        <w:t>. Specification of the 05 number range</w:t>
      </w:r>
      <w:r>
        <w:rPr>
          <w:rFonts w:cs="Arial"/>
          <w:szCs w:val="20"/>
        </w:rPr>
        <w:t xml:space="preserve"> provid</w:t>
      </w:r>
      <w:r w:rsidR="00043DA8">
        <w:rPr>
          <w:rFonts w:cs="Arial"/>
          <w:szCs w:val="20"/>
        </w:rPr>
        <w:t>es</w:t>
      </w:r>
      <w:r>
        <w:rPr>
          <w:rFonts w:cs="Arial"/>
          <w:szCs w:val="20"/>
        </w:rPr>
        <w:t xml:space="preserve"> a</w:t>
      </w:r>
      <w:r w:rsidRPr="00461F70">
        <w:rPr>
          <w:rFonts w:cs="Arial"/>
          <w:szCs w:val="20"/>
        </w:rPr>
        <w:t xml:space="preserve">n additional 99 million numbers that can be used </w:t>
      </w:r>
      <w:r w:rsidR="00043DA8">
        <w:rPr>
          <w:rFonts w:cs="Arial"/>
          <w:szCs w:val="20"/>
        </w:rPr>
        <w:t xml:space="preserve">in connection with </w:t>
      </w:r>
      <w:r w:rsidR="006B55DB">
        <w:rPr>
          <w:rFonts w:cs="Arial"/>
          <w:szCs w:val="20"/>
        </w:rPr>
        <w:t xml:space="preserve">digital mobile </w:t>
      </w:r>
      <w:r w:rsidR="00D20E3B">
        <w:rPr>
          <w:rFonts w:cs="Arial"/>
          <w:szCs w:val="20"/>
        </w:rPr>
        <w:t>services including</w:t>
      </w:r>
      <w:r w:rsidR="00043DA8" w:rsidRPr="00461F70">
        <w:rPr>
          <w:rFonts w:cs="Arial"/>
          <w:szCs w:val="20"/>
        </w:rPr>
        <w:t xml:space="preserve"> </w:t>
      </w:r>
      <w:r w:rsidRPr="00461F70">
        <w:rPr>
          <w:rFonts w:cs="Arial"/>
          <w:szCs w:val="20"/>
        </w:rPr>
        <w:t>M2M.</w:t>
      </w:r>
    </w:p>
    <w:p w14:paraId="65E4136F" w14:textId="312E313B" w:rsidR="007B79C4" w:rsidRDefault="00003201" w:rsidP="005B2B43">
      <w:r>
        <w:t>In</w:t>
      </w:r>
      <w:r w:rsidR="003F73C5">
        <w:t xml:space="preserve"> the short term</w:t>
      </w:r>
      <w:r w:rsidR="00E82CEE">
        <w:t xml:space="preserve">, while </w:t>
      </w:r>
      <w:r w:rsidR="003F73C5">
        <w:t xml:space="preserve">there </w:t>
      </w:r>
      <w:r w:rsidR="00FF61DC">
        <w:t xml:space="preserve">are </w:t>
      </w:r>
      <w:r w:rsidR="003F73C5">
        <w:t xml:space="preserve">not expected to be immediate concerns with </w:t>
      </w:r>
      <w:r w:rsidR="00D719B5">
        <w:t xml:space="preserve">the </w:t>
      </w:r>
      <w:r w:rsidR="003F73C5">
        <w:t>number supply, the ACM</w:t>
      </w:r>
      <w:r w:rsidR="001E2249">
        <w:t>A will</w:t>
      </w:r>
      <w:r w:rsidR="0080435B">
        <w:t xml:space="preserve"> need to</w:t>
      </w:r>
      <w:r w:rsidR="001E2249">
        <w:t xml:space="preserve"> </w:t>
      </w:r>
      <w:r w:rsidR="003F73C5">
        <w:t xml:space="preserve">continue to </w:t>
      </w:r>
      <w:r w:rsidR="003F73C5" w:rsidRPr="00461F70">
        <w:t xml:space="preserve">monitor </w:t>
      </w:r>
      <w:r w:rsidR="001E2249">
        <w:t xml:space="preserve">demand for </w:t>
      </w:r>
      <w:r w:rsidR="00212081">
        <w:t xml:space="preserve">digital mobile </w:t>
      </w:r>
      <w:r w:rsidR="001E2249">
        <w:t>numbers as M2</w:t>
      </w:r>
      <w:r w:rsidR="00380D53">
        <w:t>M and IoT applications develop.</w:t>
      </w:r>
    </w:p>
    <w:p w14:paraId="331C6AEE" w14:textId="1C9B5EAE" w:rsidR="003F73C5" w:rsidRDefault="003F73C5" w:rsidP="0049623E">
      <w:r>
        <w:t xml:space="preserve">Internet addressing schemes </w:t>
      </w:r>
      <w:r w:rsidR="001E2249">
        <w:t>are also used for M2M and IoT communications. In Australia,</w:t>
      </w:r>
      <w:r w:rsidR="0080435B">
        <w:t xml:space="preserve"> the</w:t>
      </w:r>
      <w:r w:rsidR="001E2249">
        <w:t xml:space="preserve"> internet addressing </w:t>
      </w:r>
      <w:r w:rsidR="001E2249" w:rsidRPr="00604698">
        <w:t xml:space="preserve">registry </w:t>
      </w:r>
      <w:r w:rsidR="001E2249">
        <w:t xml:space="preserve">is managed by </w:t>
      </w:r>
      <w:r w:rsidR="001E2249" w:rsidRPr="00604698">
        <w:t>the Asia</w:t>
      </w:r>
      <w:r w:rsidR="001E2249">
        <w:t>–</w:t>
      </w:r>
      <w:r w:rsidR="001E2249" w:rsidRPr="00604698">
        <w:t>Pacific Network Information Centre</w:t>
      </w:r>
      <w:r w:rsidR="001E2249">
        <w:t xml:space="preserve"> (APNIC)</w:t>
      </w:r>
      <w:r w:rsidR="001E2249" w:rsidRPr="001E2249">
        <w:t xml:space="preserve"> </w:t>
      </w:r>
      <w:r w:rsidR="001E2249">
        <w:t>with</w:t>
      </w:r>
      <w:r w:rsidR="001E2249" w:rsidRPr="00604698">
        <w:t xml:space="preserve"> global coordinat</w:t>
      </w:r>
      <w:r w:rsidR="001E2249">
        <w:t>ion undertaken by the</w:t>
      </w:r>
      <w:r w:rsidR="001E2249" w:rsidRPr="00604698">
        <w:t xml:space="preserve"> Internet Corporation for Assigned Names and Numbers (ICANN), in accordance with </w:t>
      </w:r>
      <w:r w:rsidR="001E2249">
        <w:t xml:space="preserve">guidelines </w:t>
      </w:r>
      <w:r w:rsidR="001E2249" w:rsidRPr="00604698">
        <w:t>made by the Internet Engineering Taskforce.</w:t>
      </w:r>
      <w:r w:rsidR="001E2249">
        <w:rPr>
          <w:rStyle w:val="FootnoteReference"/>
        </w:rPr>
        <w:footnoteReference w:id="16"/>
      </w:r>
      <w:r w:rsidR="005B420A">
        <w:t xml:space="preserve"> Australia, </w:t>
      </w:r>
      <w:r w:rsidR="00920DCC">
        <w:t xml:space="preserve">consistent with global practice, </w:t>
      </w:r>
      <w:r w:rsidR="005B420A">
        <w:t>is transitioning from internet protocol version four (IPv4)</w:t>
      </w:r>
      <w:r w:rsidR="001F52CE">
        <w:t>,</w:t>
      </w:r>
      <w:r w:rsidR="005B420A">
        <w:t xml:space="preserve"> which uses </w:t>
      </w:r>
      <w:r w:rsidR="005B420A">
        <w:lastRenderedPageBreak/>
        <w:t>32-bit addresses, to internet protocol version six (IPv6)</w:t>
      </w:r>
      <w:r w:rsidR="001F52CE">
        <w:t>,</w:t>
      </w:r>
      <w:r w:rsidR="005B420A">
        <w:t xml:space="preserve"> which uses 128-bit addresses. IPv4 addresses are predicted to </w:t>
      </w:r>
      <w:r w:rsidR="00920DCC">
        <w:t xml:space="preserve">reach </w:t>
      </w:r>
      <w:r w:rsidR="005B420A">
        <w:t>exhaust</w:t>
      </w:r>
      <w:r w:rsidR="00920DCC">
        <w:t>ion</w:t>
      </w:r>
      <w:r w:rsidR="005B420A">
        <w:t xml:space="preserve"> in the near term. IPv6 addresses offer a number of advantages over IPv4 addresses, including enhanced security.</w:t>
      </w:r>
    </w:p>
    <w:bookmarkEnd w:id="24"/>
    <w:p w14:paraId="1EC1486F" w14:textId="77777777" w:rsidR="00FF61DC" w:rsidRDefault="002F5A2F" w:rsidP="001E2249">
      <w:r>
        <w:t xml:space="preserve">It is unclear </w:t>
      </w:r>
      <w:r w:rsidR="00920DCC">
        <w:t>to the ACMA (</w:t>
      </w:r>
      <w:r>
        <w:t>and there is some debate internationally</w:t>
      </w:r>
      <w:r w:rsidR="00920DCC">
        <w:t>)</w:t>
      </w:r>
      <w:r>
        <w:t xml:space="preserve"> when and if internet names and addresses and application-specific identifiers will replace telephone numbers for all M2M and IoT communications</w:t>
      </w:r>
      <w:r w:rsidR="00B77043">
        <w:t xml:space="preserve">. </w:t>
      </w:r>
    </w:p>
    <w:p w14:paraId="4703C0CD" w14:textId="3857AC4C" w:rsidR="002F5A2F" w:rsidRDefault="00385674" w:rsidP="001E2249">
      <w:r>
        <w:t xml:space="preserve">The ACMA has undertaken an extensive review of the administration of telephone numbering arrangements and </w:t>
      </w:r>
      <w:r w:rsidR="00872367">
        <w:t xml:space="preserve">examined </w:t>
      </w:r>
      <w:r>
        <w:t>the future direction of telephone numbers and the complementary role of internet addresses and identifiers</w:t>
      </w:r>
      <w:r w:rsidR="006B002D">
        <w:t>.</w:t>
      </w:r>
      <w:r>
        <w:rPr>
          <w:rStyle w:val="FootnoteReference"/>
        </w:rPr>
        <w:footnoteReference w:id="17"/>
      </w:r>
      <w:r>
        <w:t xml:space="preserve"> </w:t>
      </w:r>
      <w:r w:rsidR="00920DCC">
        <w:t>I</w:t>
      </w:r>
      <w:r w:rsidR="00BB1544">
        <w:t>n the short to medium term</w:t>
      </w:r>
      <w:r w:rsidR="002F5A2F">
        <w:t xml:space="preserve"> in Australia</w:t>
      </w:r>
      <w:r w:rsidR="00BB1544">
        <w:t xml:space="preserve">, the ACMA </w:t>
      </w:r>
      <w:r w:rsidR="00D910E3">
        <w:t xml:space="preserve">nonetheless </w:t>
      </w:r>
      <w:r w:rsidR="00F74A95">
        <w:t>considers</w:t>
      </w:r>
      <w:r w:rsidR="00BB1544">
        <w:t xml:space="preserve"> that use of internet names and addresses and application-specific identifiers for a diverse array of communication</w:t>
      </w:r>
      <w:r w:rsidR="00920DCC">
        <w:t>s</w:t>
      </w:r>
      <w:r w:rsidR="00BB1544">
        <w:t xml:space="preserve"> services will grow, </w:t>
      </w:r>
      <w:r w:rsidR="00593EC4">
        <w:t xml:space="preserve">with </w:t>
      </w:r>
      <w:r w:rsidR="00BB1544">
        <w:t>telephone numbers</w:t>
      </w:r>
      <w:r w:rsidR="00593EC4">
        <w:t xml:space="preserve"> remaining useful for niche deployments of IoT applications</w:t>
      </w:r>
      <w:r w:rsidR="00872367">
        <w:t>,</w:t>
      </w:r>
      <w:r w:rsidR="00593EC4">
        <w:t xml:space="preserve"> but largely complementary to internet addressing</w:t>
      </w:r>
      <w:r w:rsidR="00F74A95">
        <w:t>.</w:t>
      </w:r>
    </w:p>
    <w:p w14:paraId="502BB2F2" w14:textId="088169BC" w:rsidR="00A959D1" w:rsidRPr="003A3DB8" w:rsidRDefault="00A959D1" w:rsidP="0084237B">
      <w:pPr>
        <w:pStyle w:val="Heading3"/>
      </w:pPr>
      <w:bookmarkStart w:id="25" w:name="_Toc435079487"/>
      <w:r>
        <w:t>Appropriate s</w:t>
      </w:r>
      <w:r w:rsidRPr="003A3DB8">
        <w:t>pectrum</w:t>
      </w:r>
      <w:r>
        <w:t xml:space="preserve"> availability</w:t>
      </w:r>
      <w:bookmarkEnd w:id="25"/>
    </w:p>
    <w:p w14:paraId="7CABDE6A" w14:textId="59173F6A" w:rsidR="00E925F1" w:rsidRDefault="00332A8C" w:rsidP="005B2B43">
      <w:r>
        <w:t>In Australia</w:t>
      </w:r>
      <w:r w:rsidR="001F52CE">
        <w:t>,</w:t>
      </w:r>
      <w:r>
        <w:t xml:space="preserve"> Cisco estimates that 35 per cent </w:t>
      </w:r>
      <w:r w:rsidR="00593EC4">
        <w:t>o</w:t>
      </w:r>
      <w:r>
        <w:t>f all networked devices will be mobile-connected by 2019</w:t>
      </w:r>
      <w:r w:rsidR="006B002D">
        <w:t>.</w:t>
      </w:r>
      <w:r w:rsidR="00E925F1">
        <w:rPr>
          <w:rStyle w:val="FootnoteReference"/>
          <w:rFonts w:cs="Arial"/>
          <w:sz w:val="18"/>
          <w:szCs w:val="18"/>
        </w:rPr>
        <w:footnoteReference w:id="18"/>
      </w:r>
      <w:r w:rsidR="00E925F1" w:rsidRPr="00E925F1">
        <w:t xml:space="preserve"> </w:t>
      </w:r>
      <w:r w:rsidR="00E925F1">
        <w:t>Industry and consumer demand for and use of devices and services on mobile networks are key drivers for increasing mobile traffic. Increases in mobile traffic and congestion can be responded to in several ways by mobile network owner</w:t>
      </w:r>
      <w:r w:rsidR="003C25D3">
        <w:t>s</w:t>
      </w:r>
      <w:r w:rsidR="00E925F1">
        <w:t>, by adopting more spectrally efficient technologies, deploying additional network infrastructure or acquiring more spectrum.</w:t>
      </w:r>
      <w:r w:rsidR="00E925F1">
        <w:rPr>
          <w:rStyle w:val="FootnoteReference"/>
        </w:rPr>
        <w:footnoteReference w:id="19"/>
      </w:r>
    </w:p>
    <w:p w14:paraId="377CCAFA" w14:textId="3A55B288" w:rsidR="00107F9D" w:rsidRDefault="00E925F1" w:rsidP="00107F9D">
      <w:r>
        <w:t>This may lead to d</w:t>
      </w:r>
      <w:r w:rsidR="00F77D8B">
        <w:t xml:space="preserve">emand for the </w:t>
      </w:r>
      <w:r w:rsidR="00107F9D">
        <w:t>designation of particular spectrum bands for</w:t>
      </w:r>
      <w:r>
        <w:t xml:space="preserve"> particular types of </w:t>
      </w:r>
      <w:r w:rsidR="00107F9D">
        <w:t>IoT applications</w:t>
      </w:r>
      <w:r w:rsidR="001F52CE">
        <w:t>,</w:t>
      </w:r>
      <w:r w:rsidR="00107F9D">
        <w:t xml:space="preserve"> such as intelligent transport systems, infrastructure and environmental monitoring</w:t>
      </w:r>
      <w:r w:rsidR="0080435B">
        <w:t>,</w:t>
      </w:r>
      <w:r w:rsidR="00107F9D">
        <w:t xml:space="preserve"> building automation</w:t>
      </w:r>
      <w:r>
        <w:t xml:space="preserve">. </w:t>
      </w:r>
    </w:p>
    <w:p w14:paraId="5B416C92" w14:textId="3196D90F" w:rsidR="006B002D" w:rsidRDefault="008C0F15" w:rsidP="008C0F15">
      <w:r>
        <w:t>However, t</w:t>
      </w:r>
      <w:r w:rsidRPr="003D1CF2">
        <w:t xml:space="preserve">he impact of traffic growth in M2M-like applications is somewhat </w:t>
      </w:r>
      <w:r w:rsidR="004C1DD7">
        <w:t xml:space="preserve">more </w:t>
      </w:r>
      <w:r w:rsidRPr="003D1CF2">
        <w:t xml:space="preserve">difficult to quantify. While it is likely that there may eventually be many more M2M connections than traditional mobile broadband type devices/connections, some of these connections will be for low data rate applications and </w:t>
      </w:r>
      <w:r w:rsidR="004C1DD7">
        <w:t xml:space="preserve">can </w:t>
      </w:r>
      <w:r w:rsidRPr="003D1CF2">
        <w:t xml:space="preserve">tolerate high latencies. </w:t>
      </w:r>
    </w:p>
    <w:p w14:paraId="78467EBF" w14:textId="24DB0FF9" w:rsidR="008C0F15" w:rsidRDefault="008C0F15" w:rsidP="008C0F15">
      <w:r w:rsidRPr="003D1CF2">
        <w:t>Therefore, many M2M connections may be able to operate in ‘off peak’ periods where demands on the mobile broadband network are low. Further, some M2M traffic will be carried over other networks (for example, low power, low duty cycle dedicated networks) rather than mobile broadband networks</w:t>
      </w:r>
      <w:r w:rsidR="00ED6755">
        <w:t>.</w:t>
      </w:r>
      <w:r w:rsidRPr="003D1CF2">
        <w:t xml:space="preserve"> In both cases, this may mean that the impact of network capacity demands from M2M will be less than for traditional mobile broadband connections</w:t>
      </w:r>
      <w:r w:rsidR="004C1DD7">
        <w:t>.</w:t>
      </w:r>
    </w:p>
    <w:p w14:paraId="2C7D8DFE" w14:textId="0CB394C8" w:rsidR="008045AB" w:rsidRDefault="00E925F1" w:rsidP="00AA5F2C">
      <w:r>
        <w:t xml:space="preserve">Demand for devices to support M2M and IoT applications </w:t>
      </w:r>
      <w:r w:rsidR="008C0F15">
        <w:t xml:space="preserve">is nonetheless expected to </w:t>
      </w:r>
      <w:r w:rsidR="008045AB">
        <w:t>increase pressure on industry operators to achieve</w:t>
      </w:r>
      <w:r w:rsidR="00AA5F2C" w:rsidRPr="00AA5F2C">
        <w:t xml:space="preserve"> low unit acquisition, implementation and operation cost for </w:t>
      </w:r>
      <w:r w:rsidR="008045AB">
        <w:t xml:space="preserve">such </w:t>
      </w:r>
      <w:r w:rsidR="00AA5F2C" w:rsidRPr="00AA5F2C">
        <w:t>devices</w:t>
      </w:r>
      <w:r w:rsidR="008045AB">
        <w:t xml:space="preserve">. </w:t>
      </w:r>
      <w:r w:rsidR="00AA5F2C" w:rsidRPr="00AA5F2C">
        <w:t xml:space="preserve">Globally harmonised standards </w:t>
      </w:r>
      <w:r w:rsidR="00C73A42">
        <w:t>are</w:t>
      </w:r>
      <w:r w:rsidR="008045AB">
        <w:t xml:space="preserve"> </w:t>
      </w:r>
      <w:r w:rsidR="00C73A42">
        <w:t>a</w:t>
      </w:r>
      <w:r w:rsidR="008045AB">
        <w:t xml:space="preserve"> key way to realise manufacturing economies of scale and </w:t>
      </w:r>
      <w:r w:rsidR="00AA5F2C" w:rsidRPr="00AA5F2C">
        <w:t>allow a single IoT device</w:t>
      </w:r>
      <w:r w:rsidR="009D6D94">
        <w:t xml:space="preserve"> type</w:t>
      </w:r>
      <w:r w:rsidR="00AA5F2C" w:rsidRPr="00AA5F2C">
        <w:t xml:space="preserve"> to be manufactured for multiple markets</w:t>
      </w:r>
      <w:r w:rsidR="009D6D94">
        <w:t xml:space="preserve"> to achieve a lower unit cost per device</w:t>
      </w:r>
      <w:r w:rsidR="008045AB">
        <w:t>.</w:t>
      </w:r>
    </w:p>
    <w:p w14:paraId="28837AA7" w14:textId="145D35FC" w:rsidR="00FF61DC" w:rsidRDefault="0029785A" w:rsidP="00B8355A">
      <w:r w:rsidRPr="00AA5F2C">
        <w:lastRenderedPageBreak/>
        <w:t>Current development</w:t>
      </w:r>
      <w:r w:rsidR="005E4FDF">
        <w:t>s</w:t>
      </w:r>
      <w:r w:rsidRPr="00AA5F2C">
        <w:t xml:space="preserve"> of IoT focus on spectrum </w:t>
      </w:r>
      <w:r w:rsidR="005E4FDF">
        <w:t xml:space="preserve">use </w:t>
      </w:r>
      <w:r w:rsidRPr="00AA5F2C">
        <w:t>where that spectrum is globally available currently at a low cost (or free)</w:t>
      </w:r>
      <w:r w:rsidR="005E4FDF">
        <w:t xml:space="preserve">. </w:t>
      </w:r>
      <w:r w:rsidR="008045AB">
        <w:t>T</w:t>
      </w:r>
      <w:r w:rsidR="005E4FDF">
        <w:t xml:space="preserve">his is </w:t>
      </w:r>
      <w:r w:rsidR="008045AB">
        <w:t xml:space="preserve">currently </w:t>
      </w:r>
      <w:r w:rsidRPr="00AA5F2C">
        <w:t xml:space="preserve">the Industrial Scientific Medical (ISM) bands. </w:t>
      </w:r>
    </w:p>
    <w:p w14:paraId="4B5645A8" w14:textId="7BA0BDEB" w:rsidR="008C0F15" w:rsidRPr="00AA5F2C" w:rsidRDefault="008C0F15" w:rsidP="008C0F15">
      <w:r w:rsidRPr="00AA5F2C">
        <w:t>ISM bands are to a large degree globally harmonised</w:t>
      </w:r>
      <w:r>
        <w:t>. I</w:t>
      </w:r>
      <w:r w:rsidRPr="00AA5F2C">
        <w:t>n Australia</w:t>
      </w:r>
      <w:r>
        <w:t>,</w:t>
      </w:r>
      <w:r w:rsidRPr="00AA5F2C">
        <w:t xml:space="preserve"> access to these bands is governed by the Radiocommunications (Low Interference Potential Device Class licence) 2000, known as the LIPD Class licence. </w:t>
      </w:r>
      <w:r w:rsidR="003C25D3">
        <w:t>T</w:t>
      </w:r>
      <w:r w:rsidRPr="00AA5F2C">
        <w:t>he LIPD Class licence has over 50 items that would permit M2M or IoT type operations</w:t>
      </w:r>
      <w:r w:rsidR="008F35C4">
        <w:t>,</w:t>
      </w:r>
      <w:r w:rsidRPr="00AA5F2C">
        <w:t xml:space="preserve"> including for high latency, low power, low data rate devices requiring high </w:t>
      </w:r>
      <w:r w:rsidR="00380D53">
        <w:t>reliability.</w:t>
      </w:r>
    </w:p>
    <w:p w14:paraId="6A6DC76F" w14:textId="05D52CEB" w:rsidR="0029785A" w:rsidRPr="00AA5F2C" w:rsidRDefault="008C0F15" w:rsidP="008C0F15">
      <w:r>
        <w:t xml:space="preserve">Other </w:t>
      </w:r>
      <w:r w:rsidR="0029785A" w:rsidRPr="005256A1">
        <w:t xml:space="preserve">potential options for low power, low duty cycle devices </w:t>
      </w:r>
      <w:r>
        <w:t xml:space="preserve">are </w:t>
      </w:r>
      <w:r w:rsidR="0029785A">
        <w:t xml:space="preserve">in </w:t>
      </w:r>
      <w:r w:rsidR="0029785A" w:rsidRPr="005256A1">
        <w:t>the 900 MHz class licensed band</w:t>
      </w:r>
      <w:r>
        <w:t>,</w:t>
      </w:r>
      <w:r w:rsidR="0029785A">
        <w:t xml:space="preserve"> as well as </w:t>
      </w:r>
      <w:r w:rsidR="0029785A" w:rsidRPr="00AA5F2C">
        <w:t>the 2.4 GHz band and the 5.6 GHz band.</w:t>
      </w:r>
      <w:r w:rsidR="00FF61DC">
        <w:t xml:space="preserve"> </w:t>
      </w:r>
    </w:p>
    <w:p w14:paraId="6B25B1C6" w14:textId="0F801FE5" w:rsidR="0029785A" w:rsidRDefault="0029785A" w:rsidP="0029785A">
      <w:pPr>
        <w:rPr>
          <w:rFonts w:cs="Arial"/>
          <w:szCs w:val="20"/>
        </w:rPr>
      </w:pPr>
      <w:r>
        <w:t xml:space="preserve">While </w:t>
      </w:r>
      <w:r w:rsidRPr="00461F70">
        <w:rPr>
          <w:rFonts w:cs="Arial"/>
          <w:szCs w:val="20"/>
        </w:rPr>
        <w:t xml:space="preserve">IoT applications </w:t>
      </w:r>
      <w:r>
        <w:rPr>
          <w:rFonts w:cs="Arial"/>
          <w:szCs w:val="20"/>
        </w:rPr>
        <w:t xml:space="preserve">are expected to </w:t>
      </w:r>
      <w:r w:rsidRPr="00461F70">
        <w:rPr>
          <w:rFonts w:cs="Arial"/>
          <w:szCs w:val="20"/>
        </w:rPr>
        <w:t xml:space="preserve">flourish in the existing spectrum commons, </w:t>
      </w:r>
      <w:r>
        <w:rPr>
          <w:rFonts w:cs="Arial"/>
          <w:szCs w:val="20"/>
        </w:rPr>
        <w:t xml:space="preserve">some industry operators are expected to seek </w:t>
      </w:r>
      <w:r w:rsidRPr="00461F70">
        <w:rPr>
          <w:rFonts w:cs="Arial"/>
          <w:szCs w:val="20"/>
        </w:rPr>
        <w:t>greater certainty in their use of the spectrum</w:t>
      </w:r>
      <w:r w:rsidR="008C0F15">
        <w:rPr>
          <w:rFonts w:cs="Arial"/>
          <w:szCs w:val="20"/>
        </w:rPr>
        <w:t xml:space="preserve"> through apparatus and spectrum licensing.</w:t>
      </w:r>
      <w:r w:rsidRPr="00461F70">
        <w:rPr>
          <w:rFonts w:cs="Arial"/>
          <w:szCs w:val="20"/>
        </w:rPr>
        <w:t xml:space="preserve"> </w:t>
      </w:r>
    </w:p>
    <w:p w14:paraId="2DE14A1E" w14:textId="2CB109E7" w:rsidR="008C0F15" w:rsidRDefault="008C0F15" w:rsidP="0029785A">
      <w:r>
        <w:t xml:space="preserve">An immediate planning priority identified in the </w:t>
      </w:r>
      <w:hyperlink r:id="rId41" w:history="1">
        <w:r w:rsidRPr="00930001">
          <w:rPr>
            <w:rStyle w:val="Hyperlink"/>
          </w:rPr>
          <w:t>ACMA’s Five</w:t>
        </w:r>
        <w:r>
          <w:rPr>
            <w:rStyle w:val="Hyperlink"/>
          </w:rPr>
          <w:t>-y</w:t>
        </w:r>
        <w:r w:rsidRPr="00930001">
          <w:rPr>
            <w:rStyle w:val="Hyperlink"/>
          </w:rPr>
          <w:t xml:space="preserve">ear </w:t>
        </w:r>
        <w:r>
          <w:rPr>
            <w:rStyle w:val="Hyperlink"/>
          </w:rPr>
          <w:t>s</w:t>
        </w:r>
        <w:r w:rsidRPr="00930001">
          <w:rPr>
            <w:rStyle w:val="Hyperlink"/>
          </w:rPr>
          <w:t xml:space="preserve">pectrum </w:t>
        </w:r>
        <w:r>
          <w:rPr>
            <w:rStyle w:val="Hyperlink"/>
          </w:rPr>
          <w:t>o</w:t>
        </w:r>
        <w:r w:rsidRPr="00930001">
          <w:rPr>
            <w:rStyle w:val="Hyperlink"/>
          </w:rPr>
          <w:t>utlook</w:t>
        </w:r>
      </w:hyperlink>
      <w:r>
        <w:t xml:space="preserve"> is the review of the 803–960 MHz band, which is examining current mobile broadband spectrum planning arrangements, in addition to the potential frequency arrangements for M2M communications.</w:t>
      </w:r>
      <w:r>
        <w:rPr>
          <w:rStyle w:val="FootnoteReference"/>
        </w:rPr>
        <w:footnoteReference w:id="20"/>
      </w:r>
      <w:r>
        <w:t xml:space="preserve"> The </w:t>
      </w:r>
      <w:r w:rsidRPr="003D1CF2">
        <w:t xml:space="preserve">ACMA </w:t>
      </w:r>
      <w:r>
        <w:t xml:space="preserve">also </w:t>
      </w:r>
      <w:r w:rsidRPr="003D1CF2">
        <w:t xml:space="preserve">continues to monitor international developments in intelligent transport systems (ITS) in the 5.9 GHz band, waiting for </w:t>
      </w:r>
      <w:r w:rsidR="00B547DA">
        <w:t>an</w:t>
      </w:r>
      <w:r w:rsidRPr="003D1CF2">
        <w:t xml:space="preserve"> opportune time to establish a regime in Australia that will build on a pre-existing</w:t>
      </w:r>
      <w:r>
        <w:t xml:space="preserve"> </w:t>
      </w:r>
      <w:r w:rsidRPr="003D1CF2">
        <w:t>trial</w:t>
      </w:r>
      <w:r>
        <w:t>.</w:t>
      </w:r>
      <w:r w:rsidR="00E15C55">
        <w:rPr>
          <w:rStyle w:val="FootnoteReference"/>
        </w:rPr>
        <w:footnoteReference w:id="21"/>
      </w:r>
    </w:p>
    <w:p w14:paraId="75DA58FA" w14:textId="694E2F84" w:rsidR="00B547DA" w:rsidRDefault="0029785A" w:rsidP="00334F8D">
      <w:r>
        <w:t xml:space="preserve">In planning for future spectrum needs, the </w:t>
      </w:r>
      <w:r w:rsidRPr="009C5DAA">
        <w:t xml:space="preserve">ACMA continues to monitor international developments </w:t>
      </w:r>
      <w:r>
        <w:t>and is working within the ITU</w:t>
      </w:r>
      <w:r w:rsidR="006B3EBB">
        <w:t>-R</w:t>
      </w:r>
      <w:r>
        <w:t xml:space="preserve"> World Radio</w:t>
      </w:r>
      <w:r w:rsidR="006B3EBB">
        <w:t>communication</w:t>
      </w:r>
      <w:r>
        <w:t xml:space="preserve"> Con</w:t>
      </w:r>
      <w:r w:rsidR="00DB6C52">
        <w:t>ference</w:t>
      </w:r>
      <w:r>
        <w:t xml:space="preserve"> planning processes for international harmonisation of 5G technologies that will support the </w:t>
      </w:r>
      <w:r w:rsidR="002C320A">
        <w:t>‘</w:t>
      </w:r>
      <w:r w:rsidR="001F52CE">
        <w:t>a</w:t>
      </w:r>
      <w:r>
        <w:t xml:space="preserve">nytime, </w:t>
      </w:r>
      <w:r w:rsidR="001F52CE">
        <w:t>a</w:t>
      </w:r>
      <w:r>
        <w:t>nywhere</w:t>
      </w:r>
      <w:r w:rsidR="00DB6C52">
        <w:t>,</w:t>
      </w:r>
      <w:r>
        <w:t xml:space="preserve"> </w:t>
      </w:r>
      <w:r w:rsidR="001F52CE">
        <w:t>a</w:t>
      </w:r>
      <w:r>
        <w:t xml:space="preserve">nyone and </w:t>
      </w:r>
      <w:r w:rsidR="001F52CE">
        <w:t>a</w:t>
      </w:r>
      <w:r>
        <w:t>nything</w:t>
      </w:r>
      <w:r w:rsidR="002C320A">
        <w:t>’</w:t>
      </w:r>
      <w:r>
        <w:t xml:space="preserve"> capability needed for the </w:t>
      </w:r>
      <w:r w:rsidR="001F52CE">
        <w:t>IoT</w:t>
      </w:r>
      <w:r w:rsidR="002653CC">
        <w:t>.</w:t>
      </w:r>
    </w:p>
    <w:p w14:paraId="3910A0BC" w14:textId="549453BF" w:rsidR="00107F9D" w:rsidRDefault="00107F9D" w:rsidP="00B547DA">
      <w:pPr>
        <w:pStyle w:val="Heading3"/>
      </w:pPr>
      <w:bookmarkStart w:id="26" w:name="_Toc435079488"/>
      <w:r>
        <w:t xml:space="preserve">Increased </w:t>
      </w:r>
      <w:r w:rsidRPr="001F52CE">
        <w:t>device</w:t>
      </w:r>
      <w:r>
        <w:t xml:space="preserve"> functionality</w:t>
      </w:r>
      <w:bookmarkEnd w:id="26"/>
      <w:r>
        <w:t xml:space="preserve"> </w:t>
      </w:r>
    </w:p>
    <w:p w14:paraId="09776D8F" w14:textId="6E7CAE72" w:rsidR="00332A8C" w:rsidRDefault="00107F9D" w:rsidP="005B2B43">
      <w:pPr>
        <w:rPr>
          <w:rFonts w:cs="Arial"/>
          <w:b/>
          <w:bCs/>
          <w:sz w:val="18"/>
          <w:szCs w:val="18"/>
        </w:rPr>
      </w:pPr>
      <w:r>
        <w:t>Connected devices are the lynchpin</w:t>
      </w:r>
      <w:r w:rsidR="009457C5">
        <w:t xml:space="preserve"> </w:t>
      </w:r>
      <w:r w:rsidR="002C320A">
        <w:t>of</w:t>
      </w:r>
      <w:r>
        <w:t xml:space="preserve"> the </w:t>
      </w:r>
      <w:r w:rsidR="009457C5">
        <w:t>M</w:t>
      </w:r>
      <w:r>
        <w:t>2</w:t>
      </w:r>
      <w:r w:rsidR="009457C5">
        <w:t>M</w:t>
      </w:r>
      <w:r>
        <w:t xml:space="preserve"> and IoT environment</w:t>
      </w:r>
      <w:r w:rsidR="00057F64">
        <w:t>,</w:t>
      </w:r>
      <w:r>
        <w:t xml:space="preserve"> linking people </w:t>
      </w:r>
      <w:r w:rsidR="008541DB">
        <w:t xml:space="preserve">and machines </w:t>
      </w:r>
      <w:r>
        <w:t>with</w:t>
      </w:r>
      <w:r w:rsidR="00476E9E">
        <w:t xml:space="preserve"> each other and with</w:t>
      </w:r>
      <w:r w:rsidR="00380D53">
        <w:t xml:space="preserve"> information.</w:t>
      </w:r>
    </w:p>
    <w:p w14:paraId="4DF32AEE" w14:textId="3DF6F9F7" w:rsidR="00107F9D" w:rsidRPr="00593EC4" w:rsidRDefault="00107F9D" w:rsidP="00107F9D">
      <w:pPr>
        <w:rPr>
          <w:szCs w:val="20"/>
        </w:rPr>
      </w:pPr>
      <w:r>
        <w:t>Currently</w:t>
      </w:r>
      <w:r w:rsidR="00057F64">
        <w:t>,</w:t>
      </w:r>
      <w:r>
        <w:t xml:space="preserve"> it is estimated that there are </w:t>
      </w:r>
      <w:r w:rsidR="00332A8C">
        <w:t>14</w:t>
      </w:r>
      <w:r>
        <w:t xml:space="preserve"> billion IoT devices in use globally</w:t>
      </w:r>
      <w:r w:rsidR="001F52CE">
        <w:t>.</w:t>
      </w:r>
      <w:r w:rsidR="00332A8C">
        <w:rPr>
          <w:rStyle w:val="FootnoteReference"/>
        </w:rPr>
        <w:footnoteReference w:id="22"/>
      </w:r>
      <w:r>
        <w:t xml:space="preserve"> </w:t>
      </w:r>
      <w:r w:rsidR="00CC32EA" w:rsidRPr="00CC32EA">
        <w:t>Forecast worldwide growth has varied considerably, with earlier Cisco</w:t>
      </w:r>
      <w:r w:rsidR="00CC32EA" w:rsidRPr="00CC32EA">
        <w:rPr>
          <w:vertAlign w:val="superscript"/>
        </w:rPr>
        <w:footnoteReference w:id="23"/>
      </w:r>
      <w:r w:rsidR="00CC32EA" w:rsidRPr="00CC32EA">
        <w:t xml:space="preserve"> and Ericsson</w:t>
      </w:r>
      <w:r w:rsidR="00CC32EA" w:rsidRPr="00CC32EA">
        <w:rPr>
          <w:vertAlign w:val="superscript"/>
        </w:rPr>
        <w:footnoteReference w:id="24"/>
      </w:r>
      <w:r w:rsidR="00CC32EA" w:rsidRPr="00CC32EA">
        <w:t xml:space="preserve"> estimates predicting </w:t>
      </w:r>
      <w:r w:rsidR="002C320A">
        <w:t xml:space="preserve">that </w:t>
      </w:r>
      <w:r w:rsidR="00CC32EA" w:rsidRPr="00CC32EA">
        <w:t>the number of networked devices would reach 50 billion by 2020. More recent predictions by Cisco, Ericsson and Gartner</w:t>
      </w:r>
      <w:r w:rsidR="00CC32EA" w:rsidRPr="00CC32EA">
        <w:rPr>
          <w:vertAlign w:val="superscript"/>
        </w:rPr>
        <w:footnoteReference w:id="25"/>
      </w:r>
      <w:r w:rsidR="00CC32EA" w:rsidRPr="00CC32EA">
        <w:t xml:space="preserve">, estimate the growth of networked devices to reach </w:t>
      </w:r>
      <w:r w:rsidR="00FD5B21">
        <w:t xml:space="preserve">20 </w:t>
      </w:r>
      <w:r w:rsidR="003C25D3">
        <w:t xml:space="preserve">to </w:t>
      </w:r>
      <w:r w:rsidR="00CC32EA" w:rsidRPr="00CC32EA">
        <w:t xml:space="preserve">26 billion by 2020. </w:t>
      </w:r>
      <w:r w:rsidR="00B3317F">
        <w:t xml:space="preserve">In Australia in 2014, the figure </w:t>
      </w:r>
      <w:r w:rsidR="00B3317F">
        <w:lastRenderedPageBreak/>
        <w:t>was 115.7 million networked devices</w:t>
      </w:r>
      <w:r w:rsidR="00F81098">
        <w:t>,</w:t>
      </w:r>
      <w:r w:rsidR="00E258AB">
        <w:t xml:space="preserve"> which is expected to grow </w:t>
      </w:r>
      <w:r w:rsidR="00E258AB" w:rsidRPr="00593EC4">
        <w:rPr>
          <w:szCs w:val="20"/>
        </w:rPr>
        <w:t>to</w:t>
      </w:r>
      <w:r w:rsidR="00B3317F" w:rsidRPr="00593EC4">
        <w:rPr>
          <w:szCs w:val="20"/>
        </w:rPr>
        <w:t xml:space="preserve"> </w:t>
      </w:r>
      <w:r w:rsidR="00E258AB" w:rsidRPr="00FA4E9A">
        <w:rPr>
          <w:rFonts w:cs="Arial"/>
          <w:szCs w:val="20"/>
        </w:rPr>
        <w:t>219.6 million networked devices within five years.</w:t>
      </w:r>
    </w:p>
    <w:p w14:paraId="397267BB" w14:textId="44CE15C3" w:rsidR="003D1CF2" w:rsidRDefault="00107F9D" w:rsidP="00B57B27">
      <w:r>
        <w:t>Each recent improvement made in network capacity has been accompanied by increased functionality across a range of devices. In the personal device market, the introduction of smartphones in Australia</w:t>
      </w:r>
      <w:r w:rsidR="001F52CE">
        <w:t xml:space="preserve">, followed by </w:t>
      </w:r>
      <w:r>
        <w:t>tablets</w:t>
      </w:r>
      <w:r w:rsidR="002C320A">
        <w:t>,</w:t>
      </w:r>
      <w:r>
        <w:t xml:space="preserve"> has seen progressive increases in the amount of information downloaded by Australians. </w:t>
      </w:r>
      <w:r w:rsidR="009457C5">
        <w:t>Smartphone functionality bring</w:t>
      </w:r>
      <w:r w:rsidR="007428FA">
        <w:t>s the</w:t>
      </w:r>
      <w:r w:rsidR="009457C5">
        <w:t xml:space="preserve"> IoT closer to the individual consumer. </w:t>
      </w:r>
      <w:r w:rsidR="00B57B27" w:rsidRPr="00E93B67">
        <w:t>Australians have significantly increased their use of portable internet devices</w:t>
      </w:r>
      <w:r w:rsidR="00207EFE">
        <w:t xml:space="preserve"> </w:t>
      </w:r>
      <w:r w:rsidR="00057F64">
        <w:t>(</w:t>
      </w:r>
      <w:r w:rsidR="00B57B27" w:rsidRPr="00E93B67">
        <w:t>such as mobile phones and tablet computers</w:t>
      </w:r>
      <w:r w:rsidR="00057F64">
        <w:t>)</w:t>
      </w:r>
      <w:r w:rsidR="003C25D3">
        <w:t>,</w:t>
      </w:r>
      <w:r w:rsidR="00B57B27" w:rsidRPr="00E93B67">
        <w:t xml:space="preserve"> with </w:t>
      </w:r>
      <w:r w:rsidR="00057F64">
        <w:t xml:space="preserve">the </w:t>
      </w:r>
      <w:r w:rsidR="00B57B27" w:rsidRPr="00E93B67">
        <w:t xml:space="preserve">take-up of these devices increasing by </w:t>
      </w:r>
      <w:r w:rsidR="00A8604B">
        <w:t xml:space="preserve">three and four </w:t>
      </w:r>
      <w:r w:rsidR="00B57B27" w:rsidRPr="00E93B67">
        <w:t xml:space="preserve">percentage points </w:t>
      </w:r>
      <w:r w:rsidR="00ED6755">
        <w:t>respectively</w:t>
      </w:r>
      <w:r w:rsidR="00E03D4A">
        <w:t xml:space="preserve"> in the </w:t>
      </w:r>
      <w:r w:rsidR="00207EFE">
        <w:t>12-month</w:t>
      </w:r>
      <w:r w:rsidR="00E03D4A">
        <w:t xml:space="preserve"> period to May 201</w:t>
      </w:r>
      <w:r w:rsidR="00A8604B">
        <w:t>5</w:t>
      </w:r>
      <w:r w:rsidR="00B57B27" w:rsidRPr="00E93B67">
        <w:t>.</w:t>
      </w:r>
      <w:r w:rsidR="00B57B27">
        <w:t xml:space="preserve"> </w:t>
      </w:r>
    </w:p>
    <w:p w14:paraId="04C2D61D" w14:textId="72CBC5B7" w:rsidR="00B57B27" w:rsidRDefault="00B57B27" w:rsidP="00B57B27">
      <w:r>
        <w:t>Another feature of the mobility of devices and information is the rapidly</w:t>
      </w:r>
      <w:r w:rsidR="00057F64">
        <w:t>-</w:t>
      </w:r>
      <w:r w:rsidRPr="005738CB">
        <w:t>growing number of internet-accessible</w:t>
      </w:r>
      <w:r>
        <w:t xml:space="preserve"> wearable</w:t>
      </w:r>
      <w:r w:rsidRPr="005738CB">
        <w:t xml:space="preserve"> devices</w:t>
      </w:r>
      <w:r>
        <w:t xml:space="preserve"> that allow individuals to track their activities. </w:t>
      </w:r>
      <w:r w:rsidR="00635950">
        <w:t>Real-time continuous information on a range of personal indicators can offer numerous benefits, including improved health monitoring and increased productivity.</w:t>
      </w:r>
    </w:p>
    <w:p w14:paraId="7172C9E3" w14:textId="04BA7C18" w:rsidR="00043F8A" w:rsidRDefault="00107F9D" w:rsidP="005B2B43">
      <w:r w:rsidRPr="009D25B5">
        <w:t>A</w:t>
      </w:r>
      <w:r w:rsidR="008A7DA7">
        <w:t>s a</w:t>
      </w:r>
      <w:r w:rsidRPr="009D25B5">
        <w:t>t May 201</w:t>
      </w:r>
      <w:r w:rsidR="00A8604B">
        <w:t>5</w:t>
      </w:r>
      <w:r w:rsidR="00057F64">
        <w:t>,</w:t>
      </w:r>
      <w:r>
        <w:t xml:space="preserve"> </w:t>
      </w:r>
      <w:r w:rsidRPr="006C65A0">
        <w:t>approximately half of all Australian homes had more than five devices connected to the internet via a home network</w:t>
      </w:r>
      <w:r w:rsidR="00447A7F">
        <w:t>.</w:t>
      </w:r>
      <w:r w:rsidR="00B3317F">
        <w:rPr>
          <w:rStyle w:val="FootnoteReference"/>
        </w:rPr>
        <w:footnoteReference w:id="26"/>
      </w:r>
      <w:r>
        <w:t xml:space="preserve"> </w:t>
      </w:r>
      <w:r w:rsidR="001F6B3F">
        <w:t xml:space="preserve">Forecasts predict an increase in this figure to nearly </w:t>
      </w:r>
      <w:r w:rsidR="00447A7F">
        <w:t xml:space="preserve">nine </w:t>
      </w:r>
      <w:r w:rsidR="001F6B3F">
        <w:t xml:space="preserve">networked devices per person by 2019. </w:t>
      </w:r>
    </w:p>
    <w:p w14:paraId="419CCE5B" w14:textId="695CB014" w:rsidR="00107F9D" w:rsidRDefault="001F6B3F" w:rsidP="005B2B43">
      <w:pPr>
        <w:rPr>
          <w:i/>
        </w:rPr>
      </w:pPr>
      <w:r>
        <w:t>As the</w:t>
      </w:r>
      <w:r w:rsidR="00635950">
        <w:t xml:space="preserve"> </w:t>
      </w:r>
      <w:r w:rsidR="00107F9D" w:rsidRPr="00635950">
        <w:t>number of terminal devices an</w:t>
      </w:r>
      <w:r w:rsidR="00635950" w:rsidRPr="00635950">
        <w:t>d services typically found in an Australian home today</w:t>
      </w:r>
      <w:r w:rsidR="00107F9D" w:rsidRPr="00635950">
        <w:t>—personal and portable computers, tablets, smartphones, games consoles, security and home automation systems, connected appliances, central storage and backup systems—</w:t>
      </w:r>
      <w:r>
        <w:t>connect in</w:t>
      </w:r>
      <w:r w:rsidR="002151C7">
        <w:t xml:space="preserve"> </w:t>
      </w:r>
      <w:r w:rsidR="00635950" w:rsidRPr="00635950">
        <w:t>the M2M and IoT environment, the complexity of Australians</w:t>
      </w:r>
      <w:r w:rsidR="00476E9E">
        <w:t>’</w:t>
      </w:r>
      <w:r w:rsidR="00635950" w:rsidRPr="00635950">
        <w:t xml:space="preserve"> </w:t>
      </w:r>
      <w:r w:rsidR="00107F9D" w:rsidRPr="00635950">
        <w:t>connected home environment</w:t>
      </w:r>
      <w:r>
        <w:t xml:space="preserve"> and the complexity of personal information exchanged and stored</w:t>
      </w:r>
      <w:r w:rsidR="003C25D3">
        <w:t xml:space="preserve"> is expected to </w:t>
      </w:r>
      <w:r w:rsidR="003C25D3" w:rsidRPr="00635950">
        <w:t>significantly increas</w:t>
      </w:r>
      <w:r w:rsidR="003C25D3">
        <w:t>e</w:t>
      </w:r>
      <w:r w:rsidR="00107F9D" w:rsidRPr="00635950">
        <w:t>.</w:t>
      </w:r>
      <w:r w:rsidR="00107F9D">
        <w:rPr>
          <w:i/>
        </w:rPr>
        <w:t xml:space="preserve"> </w:t>
      </w:r>
    </w:p>
    <w:p w14:paraId="719A73E8" w14:textId="58CA4E0E" w:rsidR="00043F8A" w:rsidRDefault="00043F8A" w:rsidP="00235736">
      <w:pPr>
        <w:pStyle w:val="Heading3"/>
      </w:pPr>
      <w:bookmarkStart w:id="27" w:name="_Toc435079489"/>
      <w:r>
        <w:t xml:space="preserve">Privacy, reliability and </w:t>
      </w:r>
      <w:r w:rsidRPr="00235736">
        <w:t>interoperability</w:t>
      </w:r>
      <w:bookmarkEnd w:id="27"/>
    </w:p>
    <w:p w14:paraId="455181A9" w14:textId="49E9A458" w:rsidR="00476E9E" w:rsidRDefault="00107F9D" w:rsidP="00107F9D">
      <w:r>
        <w:t>There is a</w:t>
      </w:r>
      <w:r w:rsidR="00635950">
        <w:t xml:space="preserve">lready a </w:t>
      </w:r>
      <w:r>
        <w:t>growing interest in privacy and security management as</w:t>
      </w:r>
      <w:r w:rsidR="00F81098">
        <w:t xml:space="preserve"> smart devices generate</w:t>
      </w:r>
      <w:r>
        <w:t xml:space="preserve"> increasing amounts of pers</w:t>
      </w:r>
      <w:r w:rsidR="00635950">
        <w:t>onal data</w:t>
      </w:r>
      <w:r>
        <w:t>.</w:t>
      </w:r>
      <w:r w:rsidR="00D10903">
        <w:t xml:space="preserve"> </w:t>
      </w:r>
      <w:r w:rsidR="00497644">
        <w:t xml:space="preserve">IoT applications are expected to </w:t>
      </w:r>
      <w:r w:rsidR="00476E9E">
        <w:t xml:space="preserve">dramatically </w:t>
      </w:r>
      <w:r w:rsidR="00497644">
        <w:t>increase the amount of information and data</w:t>
      </w:r>
      <w:r>
        <w:t xml:space="preserve"> moving between machines and devices</w:t>
      </w:r>
      <w:r w:rsidR="00447A7F">
        <w:t>,</w:t>
      </w:r>
      <w:r w:rsidR="00497644">
        <w:t xml:space="preserve"> and between individuals and devices. </w:t>
      </w:r>
    </w:p>
    <w:p w14:paraId="5567F99E" w14:textId="62E81D0A" w:rsidR="00D10903" w:rsidRDefault="00D10903" w:rsidP="00107F9D">
      <w:r>
        <w:t>As data and information becomes more highly networked, it elevates network reliability and security considerations as an important underpinning design element for IoT applications.</w:t>
      </w:r>
    </w:p>
    <w:p w14:paraId="02BD1812" w14:textId="01BA8B66" w:rsidR="00476E9E" w:rsidRDefault="00FE07E5" w:rsidP="00FE07E5">
      <w:r>
        <w:t xml:space="preserve">Some aspects of M2M and IoT will involve the </w:t>
      </w:r>
      <w:r w:rsidR="00447A7F">
        <w:t>machine-initiated</w:t>
      </w:r>
      <w:r>
        <w:t xml:space="preserve"> exchange of digital data generated by or about individuals, particularly under </w:t>
      </w:r>
      <w:r w:rsidR="00447A7F">
        <w:t>person-to-person</w:t>
      </w:r>
      <w:r>
        <w:t xml:space="preserve"> and machine</w:t>
      </w:r>
      <w:r w:rsidR="00447A7F">
        <w:t>-</w:t>
      </w:r>
      <w:r>
        <w:t>to</w:t>
      </w:r>
      <w:r w:rsidR="00447A7F">
        <w:t>-</w:t>
      </w:r>
      <w:r w:rsidR="00380D53">
        <w:t>person connections.</w:t>
      </w:r>
    </w:p>
    <w:p w14:paraId="528ED6CC" w14:textId="46BEAD0D" w:rsidR="008E25E0" w:rsidRPr="00E02FED" w:rsidRDefault="00476E9E" w:rsidP="005B2B43">
      <w:pPr>
        <w:spacing w:after="80"/>
        <w:rPr>
          <w:rFonts w:cs="Arial"/>
        </w:rPr>
      </w:pPr>
      <w:r>
        <w:t>While t</w:t>
      </w:r>
      <w:r w:rsidR="00FE07E5">
        <w:t>here are well-established privacy rules that govern the disclosure, collection and storage of personal information</w:t>
      </w:r>
      <w:r w:rsidR="00FE07E5" w:rsidRPr="00E02FED">
        <w:rPr>
          <w:rFonts w:cs="Arial"/>
          <w:vertAlign w:val="superscript"/>
        </w:rPr>
        <w:footnoteReference w:id="27"/>
      </w:r>
      <w:r>
        <w:t>,</w:t>
      </w:r>
      <w:r w:rsidR="00FE07E5">
        <w:t xml:space="preserve"> </w:t>
      </w:r>
      <w:r>
        <w:t xml:space="preserve">a </w:t>
      </w:r>
      <w:r w:rsidR="00FE07E5">
        <w:t>new challenge posed by IoT</w:t>
      </w:r>
      <w:r w:rsidR="00A8604B">
        <w:t xml:space="preserve"> will </w:t>
      </w:r>
      <w:r w:rsidR="00FE07E5">
        <w:t>centre on the management of notice and consent for communications that do not involve individuals in the information exchange</w:t>
      </w:r>
      <w:r>
        <w:t>,</w:t>
      </w:r>
      <w:r w:rsidR="00FE07E5">
        <w:t xml:space="preserve"> but which rely on personal information disclosed in other circumstances. For </w:t>
      </w:r>
      <w:r w:rsidR="00447A7F">
        <w:t>example,</w:t>
      </w:r>
      <w:r w:rsidR="00FE07E5">
        <w:t xml:space="preserve"> a</w:t>
      </w:r>
      <w:r w:rsidR="00FE07E5" w:rsidRPr="00E02FED">
        <w:rPr>
          <w:rFonts w:cs="Arial"/>
        </w:rPr>
        <w:t xml:space="preserve">ny given online activity is likely to involve disclosure of </w:t>
      </w:r>
      <w:r w:rsidR="00FE07E5" w:rsidRPr="00E02FED">
        <w:rPr>
          <w:rFonts w:cs="Arial"/>
        </w:rPr>
        <w:lastRenderedPageBreak/>
        <w:t>numerous types of personal data, sometimes over an extended or continuous period. The data collected through these activities is likely to be stored for an extended period and may be put to a variety of uses in the future</w:t>
      </w:r>
      <w:r w:rsidR="00447A7F">
        <w:rPr>
          <w:rFonts w:cs="Arial"/>
        </w:rPr>
        <w:t>.</w:t>
      </w:r>
      <w:r w:rsidR="00FE07E5" w:rsidRPr="00E02FED">
        <w:rPr>
          <w:rFonts w:cs="Arial"/>
          <w:vertAlign w:val="superscript"/>
        </w:rPr>
        <w:footnoteReference w:id="28"/>
      </w:r>
      <w:r w:rsidR="00FE07E5" w:rsidRPr="00E02FED">
        <w:rPr>
          <w:rFonts w:cs="Arial"/>
        </w:rPr>
        <w:t xml:space="preserve"> Digital data that underpins this information can be categorised </w:t>
      </w:r>
      <w:r w:rsidR="00A8604B">
        <w:rPr>
          <w:rFonts w:cs="Arial"/>
        </w:rPr>
        <w:t>as</w:t>
      </w:r>
      <w:r>
        <w:rPr>
          <w:rFonts w:cs="Arial"/>
        </w:rPr>
        <w:t xml:space="preserve"> </w:t>
      </w:r>
      <w:r w:rsidR="00FE07E5" w:rsidRPr="00E02FED">
        <w:rPr>
          <w:rFonts w:cs="Arial"/>
        </w:rPr>
        <w:t>three main types:</w:t>
      </w:r>
    </w:p>
    <w:p w14:paraId="47FBDE64" w14:textId="77777777" w:rsidR="00FE07E5" w:rsidRPr="00E02FED" w:rsidRDefault="00FE07E5" w:rsidP="00FE07E5">
      <w:pPr>
        <w:pStyle w:val="ListBullet"/>
      </w:pPr>
      <w:r w:rsidRPr="005B2B43">
        <w:rPr>
          <w:b/>
        </w:rPr>
        <w:t>volunteered</w:t>
      </w:r>
      <w:r w:rsidRPr="00E02FED">
        <w:t>—that is, data created and explicitly shared by the individual, such as data posted on social networking services (SNSs)</w:t>
      </w:r>
    </w:p>
    <w:p w14:paraId="248F6F35" w14:textId="77777777" w:rsidR="00FE07E5" w:rsidRPr="00E02FED" w:rsidRDefault="00FE07E5" w:rsidP="00FE07E5">
      <w:pPr>
        <w:pStyle w:val="ListBullet"/>
      </w:pPr>
      <w:r w:rsidRPr="005B2B43">
        <w:rPr>
          <w:b/>
        </w:rPr>
        <w:t>observed</w:t>
      </w:r>
      <w:r w:rsidRPr="00E02FED">
        <w:t>—includes data harvested about an individual, such as their current location, or data harvested from third parties, such as an individual’s purchasing history</w:t>
      </w:r>
    </w:p>
    <w:p w14:paraId="2DAA05AB" w14:textId="77777777" w:rsidR="00FE07E5" w:rsidRPr="00E02FED" w:rsidRDefault="00FE07E5" w:rsidP="005B2B43">
      <w:pPr>
        <w:pStyle w:val="ListBullet"/>
        <w:spacing w:after="240"/>
      </w:pPr>
      <w:r w:rsidRPr="005B2B43">
        <w:rPr>
          <w:b/>
        </w:rPr>
        <w:t>inferred</w:t>
      </w:r>
      <w:r w:rsidRPr="00E02FED">
        <w:t>—individuals volunteered and observed data that is processed to produce a new source of information and anonymised data that relates to groups of individuals, such as groups of individuals who ‘like’ the same activity.</w:t>
      </w:r>
    </w:p>
    <w:p w14:paraId="175CDA9A" w14:textId="23C5A7C7" w:rsidR="00722230" w:rsidRDefault="00FE07E5" w:rsidP="005B2B43">
      <w:r w:rsidRPr="00E02FED">
        <w:t>Current data practices now support</w:t>
      </w:r>
      <w:r w:rsidR="00722230">
        <w:t xml:space="preserve"> the collection of</w:t>
      </w:r>
      <w:r w:rsidRPr="00E02FED">
        <w:t xml:space="preserve"> inferred information about personal behaviour and preferences. This does not directly or indirectly identify a person and </w:t>
      </w:r>
      <w:r w:rsidR="00EE7A53">
        <w:t xml:space="preserve">inferred data </w:t>
      </w:r>
      <w:r w:rsidRPr="00E02FED">
        <w:t xml:space="preserve">is a category of digital data </w:t>
      </w:r>
      <w:r>
        <w:t xml:space="preserve">that </w:t>
      </w:r>
      <w:r w:rsidRPr="00E02FED">
        <w:t>has ambiguous status within the privacy regulatory framework</w:t>
      </w:r>
      <w:r w:rsidR="00EE7A53">
        <w:t xml:space="preserve">, compared with volunteered and observed data practices that have a more established history under existing regulation. </w:t>
      </w:r>
    </w:p>
    <w:p w14:paraId="6EA83A8C" w14:textId="6576BFFE" w:rsidR="00FE07E5" w:rsidRDefault="00FE07E5" w:rsidP="005B2B43">
      <w:r w:rsidRPr="00E02FED">
        <w:t>Some types of personal data activity do not appear to be covered by existing protections, because of the type of data being collected, the characteristics of the entity collecting the data, or other circumstances associated with an activity’s supply chain.</w:t>
      </w:r>
      <w:r>
        <w:t xml:space="preserve"> Clarity around applicable regulation for digital data and the responsibilities of entities involved in information collection, storage and transfer will be important </w:t>
      </w:r>
      <w:r w:rsidR="00447A7F">
        <w:t xml:space="preserve">in </w:t>
      </w:r>
      <w:r>
        <w:t>establishing confidence in the regulatory settings for IoT and M2M communications.</w:t>
      </w:r>
    </w:p>
    <w:p w14:paraId="3E0A948A" w14:textId="6728628B" w:rsidR="002151C7" w:rsidRDefault="00D10903" w:rsidP="00D10903">
      <w:r>
        <w:t>Another consequence of the changed nature of communications in an IoT environment is that M</w:t>
      </w:r>
      <w:r w:rsidR="00497644">
        <w:t xml:space="preserve">2M communication </w:t>
      </w:r>
      <w:r w:rsidR="00722230">
        <w:t>requires no</w:t>
      </w:r>
      <w:r>
        <w:t xml:space="preserve"> </w:t>
      </w:r>
      <w:r w:rsidR="00107F9D">
        <w:t xml:space="preserve">human interaction </w:t>
      </w:r>
      <w:r w:rsidR="00497644">
        <w:t xml:space="preserve">in a communications chain. </w:t>
      </w:r>
      <w:r w:rsidR="00430BE0">
        <w:t>Regulation has traditionally relied on an individual or an entity to be responsible for particular behaviours or outcomes. M2M communication challenges the effectiveness of existing regulatory constructs that rely on individuals to take action to mitigate particular harms.</w:t>
      </w:r>
      <w:r w:rsidR="00107F9D" w:rsidRPr="00430BE0">
        <w:t xml:space="preserve"> </w:t>
      </w:r>
      <w:r w:rsidR="001F6B3F" w:rsidRPr="00430BE0">
        <w:t xml:space="preserve">This may </w:t>
      </w:r>
      <w:r w:rsidR="001258EC" w:rsidRPr="00430BE0">
        <w:t xml:space="preserve">have the effect of elevating </w:t>
      </w:r>
      <w:r w:rsidR="00430BE0">
        <w:t xml:space="preserve">the importance of design standards, as a way to build in desirable </w:t>
      </w:r>
      <w:r w:rsidR="001F6B3F" w:rsidRPr="00430BE0">
        <w:t>network reliability and</w:t>
      </w:r>
      <w:r w:rsidR="00722230">
        <w:t xml:space="preserve"> address</w:t>
      </w:r>
      <w:r w:rsidR="001F6B3F" w:rsidRPr="00430BE0">
        <w:t xml:space="preserve"> information security</w:t>
      </w:r>
      <w:r w:rsidR="00430BE0">
        <w:t xml:space="preserve"> concerns.</w:t>
      </w:r>
    </w:p>
    <w:p w14:paraId="630C4882" w14:textId="15F0853E" w:rsidR="001258EC" w:rsidRDefault="001258EC" w:rsidP="00107F9D">
      <w:r>
        <w:t>Interoperability of devices and the information exchanged between devices is identified as</w:t>
      </w:r>
      <w:r w:rsidR="008C75E2">
        <w:t xml:space="preserve"> one of the important success </w:t>
      </w:r>
      <w:r w:rsidR="00C935FE">
        <w:t xml:space="preserve">(or value-unlocking) </w:t>
      </w:r>
      <w:r w:rsidR="008C75E2">
        <w:t>factors for IoT. McKinsey &amp; Company, in their analysis of global IoT developments, suggested that interoperability of devices and IoT systems is needed to unlock approximately 40 per cent of the potential value of IoT applications.</w:t>
      </w:r>
      <w:r w:rsidR="008C75E2">
        <w:rPr>
          <w:rStyle w:val="FootnoteReference"/>
        </w:rPr>
        <w:footnoteReference w:id="29"/>
      </w:r>
    </w:p>
    <w:p w14:paraId="3B347334" w14:textId="223583A6" w:rsidR="001258EC" w:rsidRDefault="001258EC" w:rsidP="00107F9D">
      <w:r>
        <w:t xml:space="preserve">Regulatory settings have traditionally facilitated interoperability through </w:t>
      </w:r>
      <w:r w:rsidR="001C2A59">
        <w:t xml:space="preserve">registration of standards that are generally developed by industry groups. In Australia, this industry-led model has been successfully adopted in the past to address interoperability requirements of voice and data services. </w:t>
      </w:r>
      <w:r w:rsidR="00C935FE">
        <w:t xml:space="preserve">Drawing on this experience provides a platform for </w:t>
      </w:r>
      <w:r w:rsidR="001C2A59">
        <w:t>industry operators in the IoT environment to</w:t>
      </w:r>
      <w:r w:rsidR="00C935FE">
        <w:t xml:space="preserve"> further develop interoperability requirements for information and devices.</w:t>
      </w:r>
    </w:p>
    <w:p w14:paraId="5FA549C7" w14:textId="72A55212" w:rsidR="001258EC" w:rsidRDefault="00417A7E" w:rsidP="00107F9D">
      <w:pPr>
        <w:rPr>
          <w:b/>
          <w:bCs/>
        </w:rPr>
      </w:pPr>
      <w:r>
        <w:t xml:space="preserve">Solving privacy, reliability and interoperability concerns </w:t>
      </w:r>
      <w:r w:rsidR="00F07E5D">
        <w:t xml:space="preserve">may </w:t>
      </w:r>
      <w:r>
        <w:t>elevate</w:t>
      </w:r>
      <w:r w:rsidR="001F6B3F">
        <w:t xml:space="preserve"> </w:t>
      </w:r>
      <w:r w:rsidR="00107F9D">
        <w:t>the importance of standards</w:t>
      </w:r>
      <w:r w:rsidR="00447A7F">
        <w:t>-</w:t>
      </w:r>
      <w:r w:rsidR="00107F9D">
        <w:t>setting and design controls</w:t>
      </w:r>
      <w:r w:rsidR="00447A7F">
        <w:t>—</w:t>
      </w:r>
      <w:r w:rsidR="00633B3E">
        <w:t xml:space="preserve">not only for devices, but also for information </w:t>
      </w:r>
      <w:r w:rsidR="00633B3E">
        <w:lastRenderedPageBreak/>
        <w:t xml:space="preserve">exchanged between machines, </w:t>
      </w:r>
      <w:r w:rsidR="00633B3E" w:rsidRPr="001C2A59">
        <w:t>a</w:t>
      </w:r>
      <w:r w:rsidR="001C2A59" w:rsidRPr="001C2A59">
        <w:t>s c</w:t>
      </w:r>
      <w:r w:rsidR="00633B3E" w:rsidRPr="001C2A59">
        <w:t>ritical component</w:t>
      </w:r>
      <w:r w:rsidRPr="001C2A59">
        <w:t>s</w:t>
      </w:r>
      <w:r>
        <w:t xml:space="preserve"> in a successfully functioning </w:t>
      </w:r>
      <w:r w:rsidR="00107F9D">
        <w:t>highly</w:t>
      </w:r>
      <w:r w:rsidR="001C2A59">
        <w:t>-</w:t>
      </w:r>
      <w:r w:rsidR="00107F9D">
        <w:t>connected networked environment.</w:t>
      </w:r>
    </w:p>
    <w:p w14:paraId="7400D8E8" w14:textId="0D549AE5" w:rsidR="00DC7196" w:rsidRDefault="00911C5C" w:rsidP="0023255F">
      <w:pPr>
        <w:pStyle w:val="Heading2"/>
      </w:pPr>
      <w:bookmarkStart w:id="28" w:name="_Toc435079490"/>
      <w:r>
        <w:t>Digital data and cloud storage</w:t>
      </w:r>
      <w:bookmarkEnd w:id="28"/>
    </w:p>
    <w:p w14:paraId="292811AA" w14:textId="5E9F9ECE" w:rsidR="008070DC" w:rsidRDefault="00F07E5D" w:rsidP="002B705D">
      <w:r>
        <w:t>T</w:t>
      </w:r>
      <w:r w:rsidR="00911C5C">
        <w:t xml:space="preserve">he capacity of cloud computing for data storage </w:t>
      </w:r>
      <w:r>
        <w:t>is</w:t>
      </w:r>
      <w:r w:rsidR="00911C5C">
        <w:t xml:space="preserve"> </w:t>
      </w:r>
      <w:r>
        <w:t>an</w:t>
      </w:r>
      <w:r w:rsidR="00911C5C">
        <w:t xml:space="preserve">other </w:t>
      </w:r>
      <w:r w:rsidR="008070DC">
        <w:t>pre-requisite</w:t>
      </w:r>
      <w:r w:rsidR="00911C5C">
        <w:t xml:space="preserve"> for IoT applications</w:t>
      </w:r>
      <w:r w:rsidR="00E03D4A">
        <w:t>, but with the utility of cloud storage</w:t>
      </w:r>
      <w:r w:rsidR="007E6F1E">
        <w:t xml:space="preserve"> predicated on the availability of h</w:t>
      </w:r>
      <w:r w:rsidR="007E6F1E" w:rsidRPr="00E02FED">
        <w:t xml:space="preserve">igh-capacity fixed and mobile networks </w:t>
      </w:r>
      <w:r w:rsidR="007E6F1E">
        <w:t xml:space="preserve">to </w:t>
      </w:r>
      <w:r w:rsidR="007E6F1E" w:rsidRPr="00E02FED">
        <w:t>enable</w:t>
      </w:r>
      <w:r w:rsidR="008070DC">
        <w:t xml:space="preserve"> the </w:t>
      </w:r>
      <w:r w:rsidR="007E6F1E" w:rsidRPr="00E02FED">
        <w:t xml:space="preserve">near continuous collection and transmission of data from connected devices. </w:t>
      </w:r>
    </w:p>
    <w:p w14:paraId="41764CC5" w14:textId="2C9C1B61" w:rsidR="0084237B" w:rsidRPr="00911C5C" w:rsidRDefault="008070DC" w:rsidP="002B705D">
      <w:r>
        <w:t xml:space="preserve">In Australia to date, there has been continued growth in the amount </w:t>
      </w:r>
      <w:r w:rsidR="007E6F1E">
        <w:t>of digital data generated and downloaded by individuals</w:t>
      </w:r>
      <w:r w:rsidR="00C32C90">
        <w:t>,</w:t>
      </w:r>
      <w:r>
        <w:t xml:space="preserve"> and an increasing take-up of cloud computing services. </w:t>
      </w:r>
      <w:r w:rsidRPr="00911C5C">
        <w:t>In the six months to May 2014, 14.2 million adult Australians (</w:t>
      </w:r>
      <w:r w:rsidR="00447A7F" w:rsidRPr="00911C5C">
        <w:t>79</w:t>
      </w:r>
      <w:r w:rsidR="00447A7F">
        <w:t> </w:t>
      </w:r>
      <w:r w:rsidRPr="00911C5C">
        <w:t>per cent) used a cloud service</w:t>
      </w:r>
      <w:r w:rsidR="001968F4">
        <w:t xml:space="preserve"> and an increasing range </w:t>
      </w:r>
      <w:r w:rsidRPr="00911C5C">
        <w:t xml:space="preserve">of </w:t>
      </w:r>
      <w:r w:rsidR="008A006C">
        <w:t>cloud-based</w:t>
      </w:r>
      <w:r w:rsidR="001968F4">
        <w:t xml:space="preserve"> services</w:t>
      </w:r>
      <w:r w:rsidR="00F81098">
        <w:t xml:space="preserve"> is also being used</w:t>
      </w:r>
      <w:r w:rsidRPr="00911C5C">
        <w:t>.</w:t>
      </w:r>
      <w:r w:rsidRPr="00911C5C">
        <w:rPr>
          <w:vertAlign w:val="superscript"/>
        </w:rPr>
        <w:footnoteReference w:id="30"/>
      </w:r>
    </w:p>
    <w:p w14:paraId="530B5182" w14:textId="7F8DFB6E" w:rsidR="00385E87" w:rsidRDefault="007E6F1E" w:rsidP="0084237B">
      <w:r>
        <w:t>M2</w:t>
      </w:r>
      <w:r w:rsidR="008070DC">
        <w:t>M</w:t>
      </w:r>
      <w:r>
        <w:t xml:space="preserve"> </w:t>
      </w:r>
      <w:r w:rsidR="008070DC">
        <w:t xml:space="preserve">communications </w:t>
      </w:r>
      <w:r>
        <w:t xml:space="preserve">and IoT </w:t>
      </w:r>
      <w:r w:rsidR="008070DC">
        <w:t xml:space="preserve">applications will </w:t>
      </w:r>
      <w:r>
        <w:t>add to this volume with data generated between devices</w:t>
      </w:r>
      <w:r w:rsidR="001968F4">
        <w:t xml:space="preserve"> and machines</w:t>
      </w:r>
      <w:r w:rsidR="00385E87">
        <w:t xml:space="preserve">. The capacity to transfer and store large amounts of data between different device types may be better facilitated by standards that establish common protocols for the </w:t>
      </w:r>
      <w:r w:rsidR="00B77043">
        <w:t xml:space="preserve">transfer and </w:t>
      </w:r>
      <w:r w:rsidR="00385E87">
        <w:t>portability of data</w:t>
      </w:r>
      <w:r w:rsidR="00C32C90">
        <w:t>, than by any direct regulatory approach</w:t>
      </w:r>
      <w:r w:rsidR="00385E87">
        <w:t xml:space="preserve">. Telecommunications industry participants in Australia have experience in establishing porting arrangements for other services, so may have valuable </w:t>
      </w:r>
      <w:r w:rsidR="00C32C90">
        <w:t xml:space="preserve">experience to bring in </w:t>
      </w:r>
      <w:r w:rsidR="00385E87">
        <w:t xml:space="preserve">establishing </w:t>
      </w:r>
      <w:r w:rsidR="00F07E5D">
        <w:t xml:space="preserve">an optimal </w:t>
      </w:r>
      <w:r w:rsidR="00385E87">
        <w:t>IoT environment.</w:t>
      </w:r>
    </w:p>
    <w:p w14:paraId="5E445DE3" w14:textId="270483B2" w:rsidR="00107F9D" w:rsidRDefault="00107F9D" w:rsidP="0023255F">
      <w:pPr>
        <w:pStyle w:val="Heading2"/>
      </w:pPr>
      <w:bookmarkStart w:id="29" w:name="_Toc435079491"/>
      <w:r>
        <w:t>C</w:t>
      </w:r>
      <w:r w:rsidR="00C935FE">
        <w:t>itizens and c</w:t>
      </w:r>
      <w:r>
        <w:t>onsumers making complex connections</w:t>
      </w:r>
      <w:bookmarkEnd w:id="29"/>
      <w:r>
        <w:t xml:space="preserve"> </w:t>
      </w:r>
    </w:p>
    <w:p w14:paraId="7FD2B16A" w14:textId="02AD0DA0" w:rsidR="00107F9D" w:rsidRDefault="00107F9D" w:rsidP="00107F9D">
      <w:r>
        <w:t xml:space="preserve">ACMA research has documented </w:t>
      </w:r>
      <w:r w:rsidR="00186277">
        <w:t xml:space="preserve">the </w:t>
      </w:r>
      <w:r>
        <w:t>changing digital practices</w:t>
      </w:r>
      <w:r w:rsidR="00186277">
        <w:t xml:space="preserve"> of Australians</w:t>
      </w:r>
      <w:r>
        <w:t xml:space="preserve">. </w:t>
      </w:r>
      <w:r w:rsidR="00186277">
        <w:t>E</w:t>
      </w:r>
      <w:r>
        <w:t xml:space="preserve">ngagement with digital communications and content has intensified over the past </w:t>
      </w:r>
      <w:r w:rsidR="009D7B5D">
        <w:t>10 </w:t>
      </w:r>
      <w:r>
        <w:t xml:space="preserve">years, as people download increasing amounts of data, actively embrace cloud services for data storage, conduct more activities online, and connect as digital workers and digital consumers. </w:t>
      </w:r>
    </w:p>
    <w:p w14:paraId="439185FE" w14:textId="3BE996D3" w:rsidR="002041F5" w:rsidRDefault="00F07E5D" w:rsidP="00107F9D">
      <w:pPr>
        <w:rPr>
          <w:i/>
        </w:rPr>
      </w:pPr>
      <w:r>
        <w:t>T</w:t>
      </w:r>
      <w:r w:rsidR="00107F9D" w:rsidRPr="0079487B">
        <w:t>he ACMA is observing the continued evolution of media and communications transitioning to over</w:t>
      </w:r>
      <w:r w:rsidR="00186277">
        <w:t>-</w:t>
      </w:r>
      <w:r w:rsidR="00107F9D" w:rsidRPr="0079487B">
        <w:t>the</w:t>
      </w:r>
      <w:r w:rsidR="00186277">
        <w:t>-</w:t>
      </w:r>
      <w:r w:rsidR="00107F9D" w:rsidRPr="0079487B">
        <w:t>top (OTT) content and communications services. This is accompanied by strong differences emerging in consumer</w:t>
      </w:r>
      <w:r>
        <w:t xml:space="preserve"> and citizen</w:t>
      </w:r>
      <w:r w:rsidR="00107F9D" w:rsidRPr="0079487B">
        <w:t xml:space="preserve"> behaviour between different demographic segments, in particular reflecting the high take-up of new and emerging communications and content services by younger age groups.</w:t>
      </w:r>
      <w:r w:rsidR="00107F9D" w:rsidRPr="00DC15DE">
        <w:rPr>
          <w:i/>
        </w:rPr>
        <w:t xml:space="preserve"> </w:t>
      </w:r>
    </w:p>
    <w:p w14:paraId="20FEF34B" w14:textId="733D151C" w:rsidR="00FE07E5" w:rsidRDefault="00FE07E5" w:rsidP="00FE07E5">
      <w:r>
        <w:rPr>
          <w:lang w:val="en-US"/>
        </w:rPr>
        <w:t>Another development enabled by IP networks and devices is the capacity for individual consumers to initiate decentralized modes of network connection. T</w:t>
      </w:r>
      <w:r>
        <w:t>he expanding take-up of OTT services is enabling consumers to use the communications ‘building blocks’ at network, service and device levels</w:t>
      </w:r>
      <w:r w:rsidR="00186277">
        <w:t>,</w:t>
      </w:r>
      <w:r>
        <w:t xml:space="preserve"> to construct their own communication access pathways. C</w:t>
      </w:r>
      <w:r w:rsidR="00C935FE">
        <w:t>itizens and c</w:t>
      </w:r>
      <w:r>
        <w:t xml:space="preserve">onsumers can often choose a different option if one service is not working, effectively building additional redundancy and robustness through self-management of their communications network and service access. These decentralised modes of connection mean </w:t>
      </w:r>
      <w:r w:rsidR="00F07E5D">
        <w:t xml:space="preserve">industry, government and regulators </w:t>
      </w:r>
      <w:r>
        <w:t>may need to address the existing public interest outcomes</w:t>
      </w:r>
      <w:r w:rsidR="00186277">
        <w:t>,</w:t>
      </w:r>
      <w:r>
        <w:t xml:space="preserve"> such as end-to-end connectivity and universal service in new ways</w:t>
      </w:r>
      <w:r w:rsidR="00186277">
        <w:t>.</w:t>
      </w:r>
      <w:r>
        <w:rPr>
          <w:rStyle w:val="FootnoteReference"/>
        </w:rPr>
        <w:footnoteReference w:id="31"/>
      </w:r>
    </w:p>
    <w:p w14:paraId="5CBAD86A" w14:textId="77777777" w:rsidR="008E25E0" w:rsidRDefault="00107F9D" w:rsidP="009D2DFF">
      <w:r w:rsidRPr="00195D0B">
        <w:lastRenderedPageBreak/>
        <w:t xml:space="preserve">The </w:t>
      </w:r>
      <w:r>
        <w:t>method of accessing the internet is also changing</w:t>
      </w:r>
      <w:r w:rsidR="00186277">
        <w:t>,</w:t>
      </w:r>
      <w:r>
        <w:t xml:space="preserve"> with 70 per cent of Australians using a mobile phone to go online and 50 per cent using a tablet</w:t>
      </w:r>
      <w:r w:rsidR="00186277">
        <w:t>.</w:t>
      </w:r>
      <w:r>
        <w:rPr>
          <w:rStyle w:val="FootnoteReference"/>
        </w:rPr>
        <w:footnoteReference w:id="32"/>
      </w:r>
      <w:r>
        <w:t xml:space="preserve"> While the</w:t>
      </w:r>
      <w:r w:rsidRPr="001146D2">
        <w:t xml:space="preserve"> home is stil</w:t>
      </w:r>
      <w:r>
        <w:t>l the preferred place to connect to the internet</w:t>
      </w:r>
      <w:r w:rsidRPr="001146D2">
        <w:t xml:space="preserve">, </w:t>
      </w:r>
      <w:r>
        <w:rPr>
          <w:lang w:val="en"/>
        </w:rPr>
        <w:t>increasingly Australians</w:t>
      </w:r>
      <w:r w:rsidRPr="001146D2">
        <w:rPr>
          <w:lang w:val="en"/>
        </w:rPr>
        <w:t xml:space="preserve"> </w:t>
      </w:r>
      <w:r>
        <w:rPr>
          <w:lang w:val="en"/>
        </w:rPr>
        <w:t xml:space="preserve">are </w:t>
      </w:r>
      <w:r w:rsidRPr="001146D2">
        <w:rPr>
          <w:lang w:val="en"/>
        </w:rPr>
        <w:t>go</w:t>
      </w:r>
      <w:r>
        <w:rPr>
          <w:lang w:val="en"/>
        </w:rPr>
        <w:t>ing</w:t>
      </w:r>
      <w:r w:rsidRPr="001146D2">
        <w:rPr>
          <w:lang w:val="en"/>
        </w:rPr>
        <w:t xml:space="preserve"> online from alternative </w:t>
      </w:r>
      <w:r w:rsidRPr="003E54AE">
        <w:rPr>
          <w:lang w:val="en"/>
        </w:rPr>
        <w:t xml:space="preserve">locations such as the workplace, wireless hotspots </w:t>
      </w:r>
      <w:r>
        <w:rPr>
          <w:lang w:val="en"/>
        </w:rPr>
        <w:t xml:space="preserve">or </w:t>
      </w:r>
      <w:r w:rsidRPr="003E54AE">
        <w:rPr>
          <w:lang w:val="en"/>
        </w:rPr>
        <w:t xml:space="preserve">a friend’s </w:t>
      </w:r>
      <w:r>
        <w:rPr>
          <w:lang w:val="en"/>
        </w:rPr>
        <w:t>place</w:t>
      </w:r>
      <w:r>
        <w:t xml:space="preserve">. </w:t>
      </w:r>
    </w:p>
    <w:p w14:paraId="6E88136A" w14:textId="45D75154" w:rsidR="00FD5B21" w:rsidRDefault="00107F9D" w:rsidP="009D2DFF">
      <w:r w:rsidRPr="003E54AE">
        <w:t xml:space="preserve">In managing multiple devices </w:t>
      </w:r>
      <w:r>
        <w:t>at</w:t>
      </w:r>
      <w:r w:rsidRPr="003E54AE">
        <w:t xml:space="preserve"> home, there is a trend towards more complex home networks, as multiple devices co</w:t>
      </w:r>
      <w:r>
        <w:t>nnect to the internet by fixed line and</w:t>
      </w:r>
      <w:r w:rsidRPr="003E54AE">
        <w:t xml:space="preserve"> Wi</w:t>
      </w:r>
      <w:r>
        <w:t>-</w:t>
      </w:r>
      <w:r w:rsidRPr="003E54AE">
        <w:t>Fi</w:t>
      </w:r>
      <w:r>
        <w:t xml:space="preserve"> networks. </w:t>
      </w:r>
      <w:r w:rsidR="00B77043">
        <w:t>While there are some challenges in managing the interaction of complex device connections, the building of such skills and familiarity with smart home IoT applications like energy management</w:t>
      </w:r>
      <w:r w:rsidR="00186277">
        <w:t>,</w:t>
      </w:r>
      <w:r w:rsidR="00B77043">
        <w:t xml:space="preserve"> may build the confidence of individuals in managing additional IoT applications</w:t>
      </w:r>
      <w:r w:rsidR="00F07E5D">
        <w:t xml:space="preserve"> more generally</w:t>
      </w:r>
      <w:r w:rsidR="008F5813">
        <w:t>.</w:t>
      </w:r>
    </w:p>
    <w:p w14:paraId="328A9B5E" w14:textId="0ED55E1B" w:rsidR="00107F9D" w:rsidRDefault="00107F9D" w:rsidP="00107F9D">
      <w:r>
        <w:t>There is also eviden</w:t>
      </w:r>
      <w:r w:rsidR="00780E9D">
        <w:t>ce of</w:t>
      </w:r>
      <w:r>
        <w:t xml:space="preserve"> an increasing fragmentation of activity, with Australians of different ages using the internet in markedly different ways. </w:t>
      </w:r>
      <w:r w:rsidRPr="009F2B96">
        <w:t xml:space="preserve">More than nine in </w:t>
      </w:r>
      <w:r>
        <w:t>10</w:t>
      </w:r>
      <w:r w:rsidRPr="009F2B96">
        <w:t xml:space="preserve"> (</w:t>
      </w:r>
      <w:r w:rsidR="00186277" w:rsidRPr="009F2B96">
        <w:t>92</w:t>
      </w:r>
      <w:r w:rsidR="00186277">
        <w:t> </w:t>
      </w:r>
      <w:r w:rsidRPr="009F2B96">
        <w:t>per cent) adult Australians used the internet in the</w:t>
      </w:r>
      <w:r>
        <w:t xml:space="preserve"> six months to May 2014, including 100 per cent of the 18–44 age group</w:t>
      </w:r>
      <w:r w:rsidR="00ED6755">
        <w:t>,</w:t>
      </w:r>
      <w:r>
        <w:t xml:space="preserve"> </w:t>
      </w:r>
      <w:r w:rsidR="00186277">
        <w:t>w</w:t>
      </w:r>
      <w:r>
        <w:t>hile younger adults (18</w:t>
      </w:r>
      <w:r w:rsidR="00186277">
        <w:t>–</w:t>
      </w:r>
      <w:r>
        <w:t xml:space="preserve">24 years) are the most active digital citizens and </w:t>
      </w:r>
      <w:r w:rsidR="00186277">
        <w:t xml:space="preserve">are </w:t>
      </w:r>
      <w:r>
        <w:t xml:space="preserve">much more likely to share files and content online. </w:t>
      </w:r>
    </w:p>
    <w:p w14:paraId="44A310E0" w14:textId="77777777" w:rsidR="00CB4C67" w:rsidRPr="00337574" w:rsidRDefault="00CB4C67" w:rsidP="00CB4C67">
      <w:pPr>
        <w:pStyle w:val="Heading2"/>
      </w:pPr>
      <w:bookmarkStart w:id="30" w:name="_Toc435079492"/>
      <w:r w:rsidRPr="00337574">
        <w:t>Key enabling strategies</w:t>
      </w:r>
      <w:bookmarkEnd w:id="30"/>
    </w:p>
    <w:p w14:paraId="20A2A88F" w14:textId="42F983AE" w:rsidR="00CB4C67" w:rsidRDefault="00CB4C67" w:rsidP="002B705D">
      <w:pPr>
        <w:spacing w:after="80"/>
      </w:pPr>
      <w:r>
        <w:t>Given these key enabling characteristics of IoT as a global connection of things, people and data, it is likely that enabling or facilitative regulatory strategies will be more appropriate in circumstances where the intended outcomes are to:</w:t>
      </w:r>
    </w:p>
    <w:p w14:paraId="406170E4" w14:textId="77777777" w:rsidR="00CB4C67" w:rsidRDefault="00CB4C67" w:rsidP="000F4F8B">
      <w:pPr>
        <w:pStyle w:val="ListBullet"/>
      </w:pPr>
      <w:r>
        <w:t xml:space="preserve"> improve service standards</w:t>
      </w:r>
    </w:p>
    <w:p w14:paraId="71ED6EF5" w14:textId="793D919C" w:rsidR="00CB4C67" w:rsidRDefault="00CB4C67" w:rsidP="000F4F8B">
      <w:pPr>
        <w:pStyle w:val="ListBullet"/>
      </w:pPr>
      <w:r>
        <w:t>understand obligations</w:t>
      </w:r>
    </w:p>
    <w:p w14:paraId="3ECB4328" w14:textId="23DBE4E8" w:rsidR="00CB4C67" w:rsidRDefault="00CB4C67" w:rsidP="0087654E">
      <w:pPr>
        <w:pStyle w:val="ListBulletLast"/>
      </w:pPr>
      <w:r>
        <w:t xml:space="preserve">provide incentives for behavioural change by industry participants or citizens and where the regulatory framework remains unchanged or outdated. </w:t>
      </w:r>
    </w:p>
    <w:p w14:paraId="16DC30F2" w14:textId="77777777" w:rsidR="00CB4C67" w:rsidRDefault="00CB4C67" w:rsidP="00CB4C67">
      <w:pPr>
        <w:spacing w:after="80"/>
      </w:pPr>
      <w:r>
        <w:t>Intrinsic to the adoption of enabling strategies is an acknowledgement that regulatory arrangements should be supportive of innovation and create deterrents to risky or harmful behaviours. Key strategies that are expected to be useful in this context include the following:</w:t>
      </w:r>
    </w:p>
    <w:p w14:paraId="184E7E78" w14:textId="77777777" w:rsidR="00CB4C67" w:rsidRDefault="00CB4C67" w:rsidP="00CB4C67">
      <w:pPr>
        <w:pStyle w:val="ListNumber"/>
        <w:numPr>
          <w:ilvl w:val="0"/>
          <w:numId w:val="15"/>
        </w:numPr>
      </w:pPr>
      <w:r w:rsidRPr="00C2551C">
        <w:rPr>
          <w:b/>
        </w:rPr>
        <w:t>Harmonisation</w:t>
      </w:r>
      <w:r w:rsidRPr="00E02FED">
        <w:t>—</w:t>
      </w:r>
      <w:r>
        <w:t xml:space="preserve">the global connection of things, people and data underscores the importance of international frameworks to the development of any national regulatory arrangements. Harmonisation can be an effective strategy on a number of levels. </w:t>
      </w:r>
    </w:p>
    <w:p w14:paraId="1656912C" w14:textId="77777777" w:rsidR="00CB4C67" w:rsidRDefault="00CB4C67" w:rsidP="00CB4C67">
      <w:pPr>
        <w:pStyle w:val="ListNumber"/>
        <w:numPr>
          <w:ilvl w:val="0"/>
          <w:numId w:val="0"/>
        </w:numPr>
        <w:ind w:left="360"/>
      </w:pPr>
      <w:r>
        <w:t>Participation in international standards making bodies</w:t>
      </w:r>
      <w:r w:rsidRPr="00FB6F72">
        <w:t xml:space="preserve"> </w:t>
      </w:r>
      <w:r>
        <w:t xml:space="preserve">can develop a more certain operating environment to allow M2M and IoT applications to develop. For example, Australia participates in ITU-R World Radiocommunication Conferences that identify and plan for harmonised spectrum bands that may be used for M2M and IoT applications, and also monitors the International Telecommunications Union Telecommunications standards groups that establish communications protocols. </w:t>
      </w:r>
    </w:p>
    <w:p w14:paraId="120BF4B8" w14:textId="77777777" w:rsidR="00CB4C67" w:rsidRDefault="00CB4C67" w:rsidP="00CB4C67">
      <w:pPr>
        <w:pStyle w:val="ListNumber"/>
        <w:numPr>
          <w:ilvl w:val="0"/>
          <w:numId w:val="0"/>
        </w:numPr>
        <w:ind w:left="360"/>
      </w:pPr>
      <w:r>
        <w:t>Another aspect of harmonisation relies on the sh</w:t>
      </w:r>
      <w:r w:rsidRPr="00757603">
        <w:t xml:space="preserve">aring knowledge and experience with </w:t>
      </w:r>
      <w:r>
        <w:t xml:space="preserve">and between </w:t>
      </w:r>
      <w:r w:rsidRPr="00757603">
        <w:t>other regulators, law enforcement and industry groups to build cooperative mechanisms and identify best</w:t>
      </w:r>
      <w:r>
        <w:t>-</w:t>
      </w:r>
      <w:r w:rsidRPr="00757603">
        <w:t>practice approaches</w:t>
      </w:r>
      <w:r>
        <w:t xml:space="preserve"> that may include non-regulatory as well as regulatory responses</w:t>
      </w:r>
      <w:r w:rsidRPr="00757603">
        <w:t xml:space="preserve">. </w:t>
      </w:r>
    </w:p>
    <w:p w14:paraId="6FB7DF01" w14:textId="77777777" w:rsidR="00CB4C67" w:rsidRDefault="00CB4C67" w:rsidP="0087654E">
      <w:pPr>
        <w:pStyle w:val="ListNumber"/>
        <w:numPr>
          <w:ilvl w:val="0"/>
          <w:numId w:val="0"/>
        </w:numPr>
        <w:spacing w:after="240"/>
        <w:ind w:left="360"/>
      </w:pPr>
      <w:r>
        <w:lastRenderedPageBreak/>
        <w:t>Together, these various harmonisation activities help build certainty in the operating environment for emerging applications such as IoT.</w:t>
      </w:r>
    </w:p>
    <w:p w14:paraId="7BF310FC" w14:textId="77777777" w:rsidR="00CB4C67" w:rsidRPr="00C2551C" w:rsidRDefault="00CB4C67" w:rsidP="00CB4C67">
      <w:pPr>
        <w:pStyle w:val="ListNumber"/>
        <w:numPr>
          <w:ilvl w:val="0"/>
          <w:numId w:val="15"/>
        </w:numPr>
        <w:rPr>
          <w:rFonts w:cs="Arial"/>
          <w:b/>
          <w:szCs w:val="20"/>
        </w:rPr>
      </w:pPr>
      <w:r w:rsidRPr="00C2551C">
        <w:rPr>
          <w:rFonts w:cs="Arial"/>
          <w:b/>
          <w:szCs w:val="20"/>
        </w:rPr>
        <w:t>Forbearance</w:t>
      </w:r>
      <w:r w:rsidRPr="00E02FED">
        <w:t>—</w:t>
      </w:r>
      <w:r>
        <w:rPr>
          <w:rFonts w:cs="Arial"/>
          <w:szCs w:val="20"/>
        </w:rPr>
        <w:t>i</w:t>
      </w:r>
      <w:r w:rsidRPr="00C2551C">
        <w:rPr>
          <w:rFonts w:cs="Arial"/>
          <w:szCs w:val="20"/>
        </w:rPr>
        <w:t>n an environment where the market is rapidly changing, where a problem may be temporary, or where the costs of intervention are uncertain relative to the intended benefits, a decision to not take regulatory action or forbear can be important to removing an impediment to action</w:t>
      </w:r>
      <w:r>
        <w:rPr>
          <w:rFonts w:cs="Arial"/>
          <w:szCs w:val="20"/>
        </w:rPr>
        <w:t>,</w:t>
      </w:r>
      <w:r w:rsidRPr="00C2551C">
        <w:rPr>
          <w:rFonts w:cs="Arial"/>
          <w:szCs w:val="20"/>
        </w:rPr>
        <w:t xml:space="preserve"> as well as providing the opportunity for industry participants to develop a solution to an issue.</w:t>
      </w:r>
    </w:p>
    <w:p w14:paraId="36DF9BD8" w14:textId="63AA6F03" w:rsidR="00CB4C67" w:rsidRPr="00C2551C" w:rsidRDefault="00CB4C67" w:rsidP="00B547DA">
      <w:pPr>
        <w:pStyle w:val="ListNumber"/>
        <w:numPr>
          <w:ilvl w:val="0"/>
          <w:numId w:val="0"/>
        </w:numPr>
        <w:spacing w:after="240"/>
        <w:ind w:left="360"/>
        <w:rPr>
          <w:rFonts w:cs="Arial"/>
          <w:b/>
          <w:szCs w:val="20"/>
        </w:rPr>
      </w:pPr>
      <w:r w:rsidRPr="00C2551C">
        <w:rPr>
          <w:rFonts w:cs="Arial"/>
          <w:szCs w:val="20"/>
        </w:rPr>
        <w:t>Forbearance can be understood in two ways—first, as a regulatory policy position</w:t>
      </w:r>
      <w:r>
        <w:rPr>
          <w:rFonts w:cs="Arial"/>
          <w:szCs w:val="20"/>
        </w:rPr>
        <w:t>,</w:t>
      </w:r>
      <w:r w:rsidRPr="00C2551C">
        <w:rPr>
          <w:rFonts w:cs="Arial"/>
          <w:szCs w:val="20"/>
        </w:rPr>
        <w:t xml:space="preserve"> and second, as a response to an individual breach of applicable law.</w:t>
      </w:r>
      <w:r w:rsidRPr="00C2551C" w:rsidDel="00E14F6F">
        <w:rPr>
          <w:rFonts w:cs="Arial"/>
          <w:szCs w:val="20"/>
        </w:rPr>
        <w:t xml:space="preserve"> </w:t>
      </w:r>
      <w:r w:rsidRPr="00C2551C">
        <w:rPr>
          <w:rFonts w:cs="Arial"/>
          <w:szCs w:val="20"/>
        </w:rPr>
        <w:t>Regulatory forbearance</w:t>
      </w:r>
      <w:r w:rsidRPr="00C2551C" w:rsidDel="00E14F6F">
        <w:rPr>
          <w:rFonts w:cs="Arial"/>
          <w:szCs w:val="20"/>
        </w:rPr>
        <w:t xml:space="preserve"> </w:t>
      </w:r>
      <w:r w:rsidRPr="00C2551C">
        <w:rPr>
          <w:rFonts w:cs="Arial"/>
          <w:szCs w:val="20"/>
        </w:rPr>
        <w:t>may be</w:t>
      </w:r>
      <w:r w:rsidRPr="00C2551C" w:rsidDel="00E14F6F">
        <w:rPr>
          <w:rFonts w:cs="Arial"/>
          <w:szCs w:val="20"/>
        </w:rPr>
        <w:t xml:space="preserve"> adopted as a short-term measure while other legislative solutions or regulatory approaches are being developed, or to allow industry time to come to terms with new obligations. There may also be other circumstances where such an approach makes sense for reasons of proportionality, including fairness and the costs and benefits of undertaking enforcement action.</w:t>
      </w:r>
      <w:r w:rsidRPr="00C2551C">
        <w:rPr>
          <w:rFonts w:cs="Arial"/>
          <w:szCs w:val="20"/>
        </w:rPr>
        <w:t xml:space="preserve"> A key benefit of this approach is the c</w:t>
      </w:r>
      <w:r>
        <w:rPr>
          <w:rFonts w:cs="Arial"/>
          <w:szCs w:val="20"/>
        </w:rPr>
        <w:t>larity</w:t>
      </w:r>
      <w:r w:rsidRPr="00C2551C">
        <w:rPr>
          <w:rFonts w:cs="Arial"/>
          <w:szCs w:val="20"/>
        </w:rPr>
        <w:t xml:space="preserve"> it can provide to a developing industry about the </w:t>
      </w:r>
      <w:r>
        <w:rPr>
          <w:rFonts w:cs="Arial"/>
          <w:szCs w:val="20"/>
        </w:rPr>
        <w:t xml:space="preserve">scope of </w:t>
      </w:r>
      <w:r w:rsidR="00380D53">
        <w:rPr>
          <w:rFonts w:cs="Arial"/>
          <w:szCs w:val="20"/>
        </w:rPr>
        <w:t>application of regulation.</w:t>
      </w:r>
    </w:p>
    <w:p w14:paraId="3B6A7088" w14:textId="4FF9E926" w:rsidR="00CB4C67" w:rsidRDefault="00CB4C67" w:rsidP="00CB4C67">
      <w:pPr>
        <w:pStyle w:val="ListNumber"/>
        <w:numPr>
          <w:ilvl w:val="0"/>
          <w:numId w:val="15"/>
        </w:numPr>
      </w:pPr>
      <w:r w:rsidRPr="00C2551C">
        <w:rPr>
          <w:b/>
        </w:rPr>
        <w:t>Use of alternative</w:t>
      </w:r>
      <w:r>
        <w:rPr>
          <w:b/>
        </w:rPr>
        <w:t>s</w:t>
      </w:r>
      <w:r w:rsidRPr="00C2551C">
        <w:rPr>
          <w:b/>
        </w:rPr>
        <w:t xml:space="preserve"> to direct regulation</w:t>
      </w:r>
      <w:r w:rsidRPr="00E02FED">
        <w:t>—</w:t>
      </w:r>
      <w:r>
        <w:t>in the communications and media regulatory framework, the explicit recognition given to industry co- and self-regulatory arrangements provides a key mechanism for addressing issues of concern to industry participant</w:t>
      </w:r>
      <w:r w:rsidR="00380D53">
        <w:t>s in an environment of change.</w:t>
      </w:r>
    </w:p>
    <w:p w14:paraId="7D6BDAAF" w14:textId="532E8DB8" w:rsidR="00CB4C67" w:rsidRDefault="00CB4C67" w:rsidP="00CB4C67">
      <w:pPr>
        <w:pStyle w:val="ListNumber"/>
        <w:numPr>
          <w:ilvl w:val="0"/>
          <w:numId w:val="0"/>
        </w:numPr>
        <w:ind w:left="360"/>
      </w:pPr>
      <w:r>
        <w:t>Strategies such as program-based responses may be developed by industry participants or industry participants working in conjunction with the regulator. Program-based responses have been particularly useful in the past in addressing aspects of citizens’ internet-based activity</w:t>
      </w:r>
      <w:r w:rsidR="0087654E">
        <w:t>—f</w:t>
      </w:r>
      <w:r>
        <w:t>or example</w:t>
      </w:r>
      <w:r w:rsidR="0087654E">
        <w:t>,</w:t>
      </w:r>
      <w:r>
        <w:t xml:space="preserve"> the Australian Internet Security Initiative</w:t>
      </w:r>
      <w:r w:rsidR="0087654E">
        <w:t>,</w:t>
      </w:r>
      <w:r>
        <w:t xml:space="preserve"> which addresses network security risks arising from malware infected computers. This type of program-based response may provide a useful template as a way of addressing harms that require some form of industry or citizen behavio</w:t>
      </w:r>
      <w:r w:rsidR="00380D53">
        <w:t>ural change to mitigate a risk.</w:t>
      </w:r>
    </w:p>
    <w:p w14:paraId="2DB15E24" w14:textId="77777777" w:rsidR="00CB4C67" w:rsidRDefault="00CB4C67" w:rsidP="00CB4C67">
      <w:pPr>
        <w:pStyle w:val="ListNumber"/>
        <w:numPr>
          <w:ilvl w:val="0"/>
          <w:numId w:val="0"/>
        </w:numPr>
        <w:spacing w:after="240"/>
        <w:ind w:left="360"/>
      </w:pPr>
      <w:r>
        <w:t>Similarly, market-based strategies using incentives may be helpful where the desired outcome is to promote or deter particular forms of industry or citizen behaviour. Market-based strategies may be developed by the regulator but equally, could be developed by industry participants using the current co- and self-regulatory constructs of the Australian regulatory framework.</w:t>
      </w:r>
    </w:p>
    <w:p w14:paraId="08755A95" w14:textId="77777777" w:rsidR="00CB4C67" w:rsidRDefault="00CB4C67" w:rsidP="00CB4C67">
      <w:pPr>
        <w:pStyle w:val="ListNumber"/>
        <w:numPr>
          <w:ilvl w:val="0"/>
          <w:numId w:val="15"/>
        </w:numPr>
      </w:pPr>
      <w:r w:rsidRPr="00C2551C">
        <w:rPr>
          <w:b/>
        </w:rPr>
        <w:t>Communication and information provision</w:t>
      </w:r>
      <w:r w:rsidRPr="00E02FED">
        <w:t>—</w:t>
      </w:r>
      <w:r>
        <w:t xml:space="preserve">communication strategies are particularly useful where improvements in knowledge, or industry and citizen behaviours are the intended outcome, and they provide a flexible response to addressing emerging issues. </w:t>
      </w:r>
    </w:p>
    <w:p w14:paraId="1920AEE5" w14:textId="59AC3A6F" w:rsidR="00CB4C67" w:rsidRDefault="00CB4C67" w:rsidP="00CB4C67">
      <w:pPr>
        <w:pStyle w:val="ListNumber"/>
        <w:numPr>
          <w:ilvl w:val="0"/>
          <w:numId w:val="0"/>
        </w:numPr>
        <w:ind w:left="360"/>
      </w:pPr>
      <w:r>
        <w:t>In the IoT environment of complex connections, one of the chief benefits of using communication strategies is that they clearly recognise the role of citizens and industry participants as problem-solvers in a globally</w:t>
      </w:r>
      <w:r w:rsidR="00380D53">
        <w:t xml:space="preserve"> connected online environment.</w:t>
      </w:r>
    </w:p>
    <w:p w14:paraId="15E2337A" w14:textId="2D0592DC" w:rsidR="00CB4C67" w:rsidRDefault="00CB4C67" w:rsidP="00CB4C67">
      <w:pPr>
        <w:pStyle w:val="ListNumber"/>
        <w:numPr>
          <w:ilvl w:val="0"/>
          <w:numId w:val="0"/>
        </w:numPr>
        <w:ind w:left="360"/>
      </w:pPr>
      <w:r>
        <w:t>Communication activities also provide a feedback mechanism from industry and the community about emerging issues of concern or risk, and have the benefit of allowing for a highly-targeted intervention to a partic</w:t>
      </w:r>
      <w:r w:rsidR="00380D53">
        <w:t>ular segment of the population.</w:t>
      </w:r>
    </w:p>
    <w:p w14:paraId="702F7ECB" w14:textId="283E84B5" w:rsidR="008E25E0" w:rsidRDefault="00CB4C67" w:rsidP="002B705D">
      <w:pPr>
        <w:pStyle w:val="ListNumber"/>
        <w:numPr>
          <w:ilvl w:val="0"/>
          <w:numId w:val="0"/>
        </w:numPr>
        <w:spacing w:after="240"/>
        <w:ind w:left="360"/>
      </w:pPr>
      <w:r>
        <w:t xml:space="preserve">The type of strategies that may be used include public information and education campaigns, which are useful when the problem to be addressed concerns a lack of knowledge. Information disclosure is another more targeted strategy directed to the provision of standardised information or guidelines, usually concerning a </w:t>
      </w:r>
      <w:r w:rsidR="00380D53">
        <w:t>particular product or activity.</w:t>
      </w:r>
    </w:p>
    <w:p w14:paraId="4BF226A2" w14:textId="77777777" w:rsidR="00CB4C67" w:rsidRDefault="00CB4C67" w:rsidP="00CB4C67">
      <w:pPr>
        <w:pStyle w:val="Heading2"/>
      </w:pPr>
      <w:bookmarkStart w:id="31" w:name="_Toc435079493"/>
      <w:r>
        <w:lastRenderedPageBreak/>
        <w:t>P</w:t>
      </w:r>
      <w:r w:rsidRPr="00E14E73">
        <w:t>roblem</w:t>
      </w:r>
      <w:r>
        <w:t>-</w:t>
      </w:r>
      <w:r w:rsidRPr="00E14E73">
        <w:t>solving strategies</w:t>
      </w:r>
      <w:bookmarkEnd w:id="31"/>
    </w:p>
    <w:p w14:paraId="4CD32EE5" w14:textId="230ED783" w:rsidR="008E25E0" w:rsidRDefault="00CB4C67" w:rsidP="00CB4C67">
      <w:pPr>
        <w:spacing w:after="80"/>
      </w:pPr>
      <w:r>
        <w:t>As M2M and IoT applications become more widely available and used, more evidence will become available of the benefits of IoT, as well as a clearer view of where the potential inhibitors to supply and use may be, or where areas of risk are emerging. The highly dynamic nature of IoT communications means that an effective response often requires finite resources to be directed to the issues posing most risk or those having the most significant impact on business and citizens—that is, systemic risks. There are a number of relevant strategies that assist in identifying the nature of the problem that may require attention. These include:</w:t>
      </w:r>
    </w:p>
    <w:p w14:paraId="755DC643" w14:textId="4E999F93" w:rsidR="00FD5B21" w:rsidRDefault="00CB4C67" w:rsidP="008F5813">
      <w:pPr>
        <w:pStyle w:val="ListNumber"/>
        <w:numPr>
          <w:ilvl w:val="0"/>
          <w:numId w:val="14"/>
        </w:numPr>
      </w:pPr>
      <w:r w:rsidRPr="00C2551C">
        <w:rPr>
          <w:b/>
        </w:rPr>
        <w:t>Conducting research</w:t>
      </w:r>
      <w:r w:rsidRPr="00E02FED">
        <w:t>—</w:t>
      </w:r>
      <w:r>
        <w:t>Identifying the scope and scale of an issue, while simple in theory, is expected to become more difficult with complex connections and information flows under IoT. Research (either by policy departments, the regulator or by industry participants) to establish the dimensions of an issue and its risk profile, will be an important first step in any problem solving approach. Determining whether an issue requires regulatory attention is informed b</w:t>
      </w:r>
      <w:r w:rsidR="008F5813">
        <w:t>y whether the issue:</w:t>
      </w:r>
    </w:p>
    <w:p w14:paraId="67C2C24B" w14:textId="77777777" w:rsidR="00CB4C67" w:rsidRDefault="00CB4C67" w:rsidP="00CB4C67">
      <w:pPr>
        <w:pStyle w:val="ListBullet2"/>
        <w:ind w:hanging="419"/>
      </w:pPr>
      <w:r>
        <w:t>is regarded as significant</w:t>
      </w:r>
    </w:p>
    <w:p w14:paraId="35A4A41E" w14:textId="77777777" w:rsidR="00CB4C67" w:rsidRDefault="00CB4C67" w:rsidP="00CB4C67">
      <w:pPr>
        <w:pStyle w:val="ListBullet2"/>
        <w:ind w:hanging="419"/>
      </w:pPr>
      <w:r>
        <w:t>is clearly established</w:t>
      </w:r>
    </w:p>
    <w:p w14:paraId="0838E9D2" w14:textId="77777777" w:rsidR="00CB4C67" w:rsidRDefault="00CB4C67" w:rsidP="00CB4C67">
      <w:pPr>
        <w:pStyle w:val="ListBullet2"/>
        <w:ind w:hanging="419"/>
      </w:pPr>
      <w:r>
        <w:t>may be solved by market-based solutions in time</w:t>
      </w:r>
    </w:p>
    <w:p w14:paraId="0A6EC561" w14:textId="77777777" w:rsidR="00CB4C67" w:rsidRDefault="00CB4C67" w:rsidP="00B547DA">
      <w:pPr>
        <w:pStyle w:val="ListBullet2"/>
        <w:keepNext/>
        <w:ind w:hanging="420"/>
      </w:pPr>
      <w:r>
        <w:t xml:space="preserve">interferes with market incentives </w:t>
      </w:r>
    </w:p>
    <w:p w14:paraId="5696D488" w14:textId="77777777" w:rsidR="00CB4C67" w:rsidRDefault="00CB4C67" w:rsidP="00B547DA">
      <w:pPr>
        <w:pStyle w:val="ListBullet2"/>
        <w:spacing w:after="240"/>
        <w:ind w:hanging="419"/>
      </w:pPr>
      <w:r>
        <w:t>raises costs of intervention that outweigh the identified benefits.</w:t>
      </w:r>
      <w:r>
        <w:rPr>
          <w:rStyle w:val="FootnoteReference"/>
        </w:rPr>
        <w:footnoteReference w:id="33"/>
      </w:r>
    </w:p>
    <w:p w14:paraId="73644B61" w14:textId="77777777" w:rsidR="00CB4C67" w:rsidRDefault="00CB4C67" w:rsidP="00B547DA">
      <w:pPr>
        <w:pStyle w:val="ListNumber"/>
        <w:numPr>
          <w:ilvl w:val="0"/>
          <w:numId w:val="14"/>
        </w:numPr>
        <w:spacing w:after="240"/>
      </w:pPr>
      <w:r w:rsidRPr="00C2551C">
        <w:rPr>
          <w:b/>
        </w:rPr>
        <w:t>Conducting inquiries</w:t>
      </w:r>
      <w:r w:rsidRPr="00E02FED">
        <w:t>—</w:t>
      </w:r>
      <w:r>
        <w:t xml:space="preserve">this is another strategy available to a regulator to build evidence and inform stakeholders about the type of response to an issue that may be required. </w:t>
      </w:r>
    </w:p>
    <w:p w14:paraId="69ACD09B" w14:textId="77777777" w:rsidR="00CB4C67" w:rsidRDefault="00CB4C67" w:rsidP="00B547DA">
      <w:pPr>
        <w:pStyle w:val="ListNumber"/>
        <w:numPr>
          <w:ilvl w:val="0"/>
          <w:numId w:val="14"/>
        </w:numPr>
        <w:spacing w:after="240"/>
      </w:pPr>
      <w:r w:rsidRPr="00C2551C">
        <w:rPr>
          <w:b/>
        </w:rPr>
        <w:t>Collaborative partnerships</w:t>
      </w:r>
      <w:r w:rsidRPr="00E02FED">
        <w:t>—</w:t>
      </w:r>
      <w:r>
        <w:rPr>
          <w:rFonts w:cs="Arial"/>
        </w:rPr>
        <w:t>i</w:t>
      </w:r>
      <w:r w:rsidRPr="00C2551C">
        <w:rPr>
          <w:rFonts w:cs="Arial"/>
        </w:rPr>
        <w:t>n the complex connected environment of IoT, problem</w:t>
      </w:r>
      <w:r>
        <w:rPr>
          <w:rFonts w:cs="Arial"/>
        </w:rPr>
        <w:t>-</w:t>
      </w:r>
      <w:r w:rsidRPr="00C2551C">
        <w:rPr>
          <w:rFonts w:cs="Arial"/>
        </w:rPr>
        <w:t>solving strategies will also necessarily rely on a mix of participants. For this reason, collaborative partnerships between industry, government, citizen or consumer stakeholders will be increasingly important to the design of any regulatory or non-regulatory initiatives.</w:t>
      </w:r>
      <w:r>
        <w:rPr>
          <w:rFonts w:cs="Arial"/>
        </w:rPr>
        <w:t xml:space="preserve"> </w:t>
      </w:r>
      <w:r w:rsidRPr="00C2551C">
        <w:rPr>
          <w:rFonts w:cs="Arial"/>
        </w:rPr>
        <w:t>This approach is designed to develop effective intervention by engaging multiple parties, undertaking collaborative agenda-setting, using moral persuasion</w:t>
      </w:r>
      <w:r>
        <w:rPr>
          <w:rFonts w:cs="Arial"/>
        </w:rPr>
        <w:t>,</w:t>
      </w:r>
      <w:r w:rsidRPr="00C2551C">
        <w:rPr>
          <w:rFonts w:cs="Arial"/>
        </w:rPr>
        <w:t xml:space="preserve"> and designing an effective intervention that takes account of the self-interest of the industry or citizen participants.</w:t>
      </w:r>
      <w:r w:rsidRPr="00186EB7">
        <w:t xml:space="preserve"> </w:t>
      </w:r>
    </w:p>
    <w:p w14:paraId="25CBBAA1" w14:textId="6F11ED4A" w:rsidR="00CB4C67" w:rsidRDefault="00CB4C67" w:rsidP="00CB4C67">
      <w:pPr>
        <w:pStyle w:val="ListNumber"/>
        <w:numPr>
          <w:ilvl w:val="0"/>
          <w:numId w:val="14"/>
        </w:numPr>
      </w:pPr>
      <w:r w:rsidRPr="002D6FEE">
        <w:rPr>
          <w:b/>
        </w:rPr>
        <w:t>Better use of existing regulation</w:t>
      </w:r>
      <w:r w:rsidRPr="00E02FED">
        <w:t>—</w:t>
      </w:r>
      <w:r>
        <w:t xml:space="preserve">internationally, regulators are reviewing regulatory frameworks in light of market and technology developments. In the United States, </w:t>
      </w:r>
      <w:r w:rsidRPr="00CE5B96">
        <w:t>the Federal Trade</w:t>
      </w:r>
      <w:r>
        <w:t xml:space="preserve"> Commission has focused on the demand-side consumer aspects of network security and user privacy policies relevant to the IoT environment. The recent net neutrality rules announced by the US Federal Communications Commission focus on the supply-side rules for an open internet that will support IoT. In the United Kingdom, Ofcom has signalled an interest in the enabling infrastructure policy initiatives in spectrum and addressing policy that support M2M and IoT communications. A common thread evident from these various initiatives is the focus on the better use of existing regulatory provisions that incorporate different aspects of the following response strategies</w:t>
      </w:r>
      <w:r w:rsidR="0087654E">
        <w:t xml:space="preserve">. This includes </w:t>
      </w:r>
      <w:r>
        <w:t>an assessment of whether:</w:t>
      </w:r>
    </w:p>
    <w:p w14:paraId="13C370AF" w14:textId="77777777" w:rsidR="00CB4C67" w:rsidRDefault="00CB4C67" w:rsidP="00CB4C67">
      <w:pPr>
        <w:pStyle w:val="ListBullet2"/>
        <w:ind w:hanging="419"/>
      </w:pPr>
      <w:r>
        <w:t>existing regulation can be extended to apply to the new market circumstances</w:t>
      </w:r>
    </w:p>
    <w:p w14:paraId="4BC693E9" w14:textId="77777777" w:rsidR="00CB4C67" w:rsidRDefault="00CB4C67" w:rsidP="00CB4C67">
      <w:pPr>
        <w:pStyle w:val="ListBullet2"/>
        <w:ind w:hanging="419"/>
      </w:pPr>
      <w:r>
        <w:lastRenderedPageBreak/>
        <w:t>existing regulatory tools can be repurposed to accommodate a change of emphasis or application to a different set of market activity or industry participants</w:t>
      </w:r>
    </w:p>
    <w:p w14:paraId="1C251D2D" w14:textId="77777777" w:rsidR="00CB4C67" w:rsidRDefault="00CB4C67" w:rsidP="00CB4C67">
      <w:pPr>
        <w:pStyle w:val="ListBullet2"/>
        <w:ind w:hanging="419"/>
      </w:pPr>
      <w:r>
        <w:t>regulation needs to be removed</w:t>
      </w:r>
    </w:p>
    <w:p w14:paraId="56DCFE6B" w14:textId="77777777" w:rsidR="00CB4C67" w:rsidRDefault="00CB4C67" w:rsidP="00CB4C67">
      <w:pPr>
        <w:pStyle w:val="ListBullet2"/>
        <w:spacing w:after="240"/>
        <w:ind w:hanging="419"/>
      </w:pPr>
      <w:r>
        <w:t>there is a need for a complete redesign of regulatory frameworks and tools.</w:t>
      </w:r>
    </w:p>
    <w:p w14:paraId="77193C1D" w14:textId="77777777" w:rsidR="00CB4C67" w:rsidRDefault="00CB4C67" w:rsidP="00CB4C67">
      <w:r>
        <w:t>The hyper-connectivity envisaged by the IoT is expected to further test existing regulatory structures and the toolkit available to industry participants and to the regulator to facilitate and respond to the emerging issues associated with M2M and IoT adoption</w:t>
      </w:r>
      <w:r w:rsidRPr="00BB2155">
        <w:t xml:space="preserve">. </w:t>
      </w:r>
      <w:r>
        <w:t>While enabling and problem-solving strategies are expected to form an important part of the future toolkit for IoT, there will need to be a longer-term consideration of whether regulatory structures remain fit-for-purpose for an IoT environment.</w:t>
      </w:r>
    </w:p>
    <w:p w14:paraId="1B99C99C" w14:textId="00AA3423" w:rsidR="00107F9D" w:rsidRPr="00FE5A80" w:rsidRDefault="00D865E5" w:rsidP="00C2551C">
      <w:pPr>
        <w:pStyle w:val="Heading1"/>
      </w:pPr>
      <w:bookmarkStart w:id="32" w:name="_Toc435079494"/>
      <w:r>
        <w:lastRenderedPageBreak/>
        <w:t>Part 3</w:t>
      </w:r>
      <w:r w:rsidR="002B705D">
        <w:t>—</w:t>
      </w:r>
      <w:r w:rsidR="00294090">
        <w:t>Areas for regulatory attention</w:t>
      </w:r>
      <w:bookmarkEnd w:id="32"/>
      <w:r w:rsidR="00107F9D" w:rsidRPr="00FE5A80">
        <w:t xml:space="preserve"> </w:t>
      </w:r>
    </w:p>
    <w:p w14:paraId="7E5DB791" w14:textId="1DC91530" w:rsidR="00107F9D" w:rsidRDefault="00107F9D" w:rsidP="00107F9D">
      <w:r>
        <w:t xml:space="preserve">This </w:t>
      </w:r>
      <w:r w:rsidR="00D865E5">
        <w:t>part</w:t>
      </w:r>
      <w:r>
        <w:t xml:space="preserve"> looks at the implications of IoT developments for the sectors regulated by the ACMA and</w:t>
      </w:r>
      <w:r w:rsidRPr="00613B6B">
        <w:t xml:space="preserve"> assesses the key policy settings or enduring concepts relevant to facilitate productivity benefits from IoT</w:t>
      </w:r>
      <w:r w:rsidR="00186277">
        <w:t xml:space="preserve">, including </w:t>
      </w:r>
      <w:r w:rsidRPr="00613B6B">
        <w:t>whether they remain fit for purpose</w:t>
      </w:r>
      <w:r w:rsidR="00CB4C67">
        <w:t xml:space="preserve">. It is intended to offer a </w:t>
      </w:r>
      <w:r w:rsidR="00CB4C67">
        <w:rPr>
          <w:bCs/>
        </w:rPr>
        <w:t xml:space="preserve">framework for analysis when </w:t>
      </w:r>
      <w:r w:rsidR="00D865E5">
        <w:rPr>
          <w:bCs/>
        </w:rPr>
        <w:t>considering whether existing regulatory settings either support or potentially inhibit developments in M2M and IoT. This style of analysis may prove helpful when considering whether any regulatory intervention is necessary.</w:t>
      </w:r>
    </w:p>
    <w:p w14:paraId="6C583F04" w14:textId="77777777" w:rsidR="00107F9D" w:rsidRDefault="00107F9D" w:rsidP="00C2551C">
      <w:pPr>
        <w:pStyle w:val="Heading2"/>
      </w:pPr>
      <w:bookmarkStart w:id="33" w:name="_Toc435079495"/>
      <w:r>
        <w:t>Implications of IoT developments for the sectors the ACMA regulates</w:t>
      </w:r>
      <w:bookmarkEnd w:id="33"/>
      <w:r>
        <w:t xml:space="preserve"> </w:t>
      </w:r>
    </w:p>
    <w:p w14:paraId="10767AB6" w14:textId="23653AB0" w:rsidR="00107F9D" w:rsidRDefault="00107F9D" w:rsidP="00107F9D">
      <w:pPr>
        <w:rPr>
          <w:lang w:val="en-US"/>
        </w:rPr>
      </w:pPr>
      <w:r>
        <w:rPr>
          <w:lang w:val="en-US"/>
        </w:rPr>
        <w:t>T</w:t>
      </w:r>
      <w:r w:rsidRPr="00BB2155">
        <w:rPr>
          <w:lang w:val="en-US"/>
        </w:rPr>
        <w:t>he ACMA’s experience is that each</w:t>
      </w:r>
      <w:r>
        <w:rPr>
          <w:lang w:val="en-US"/>
        </w:rPr>
        <w:t xml:space="preserve"> of the </w:t>
      </w:r>
      <w:r w:rsidR="00F81098">
        <w:rPr>
          <w:lang w:val="en-US"/>
        </w:rPr>
        <w:t xml:space="preserve">four </w:t>
      </w:r>
      <w:r>
        <w:rPr>
          <w:lang w:val="en-US"/>
        </w:rPr>
        <w:t xml:space="preserve">sectors it regulates is facing </w:t>
      </w:r>
      <w:r w:rsidRPr="00BB2155">
        <w:rPr>
          <w:lang w:val="en-US"/>
        </w:rPr>
        <w:t xml:space="preserve">different </w:t>
      </w:r>
      <w:r>
        <w:rPr>
          <w:lang w:val="en-US"/>
        </w:rPr>
        <w:t>p</w:t>
      </w:r>
      <w:r w:rsidRPr="00BB2155">
        <w:rPr>
          <w:lang w:val="en-US"/>
        </w:rPr>
        <w:t>ressures</w:t>
      </w:r>
      <w:r w:rsidR="00CE5B96">
        <w:rPr>
          <w:lang w:val="en-US"/>
        </w:rPr>
        <w:t>,</w:t>
      </w:r>
      <w:r w:rsidRPr="00BB2155">
        <w:rPr>
          <w:lang w:val="en-US"/>
        </w:rPr>
        <w:t xml:space="preserve"> </w:t>
      </w:r>
      <w:r w:rsidR="00E4412A">
        <w:rPr>
          <w:lang w:val="en-US"/>
        </w:rPr>
        <w:t xml:space="preserve">as </w:t>
      </w:r>
      <w:r>
        <w:rPr>
          <w:lang w:val="en-US"/>
        </w:rPr>
        <w:t>IP-enabled communications and content</w:t>
      </w:r>
      <w:r w:rsidR="00E4412A">
        <w:rPr>
          <w:lang w:val="en-US"/>
        </w:rPr>
        <w:t xml:space="preserve"> evolve</w:t>
      </w:r>
      <w:r w:rsidR="00380D53">
        <w:rPr>
          <w:lang w:val="en-US"/>
        </w:rPr>
        <w:t>.</w:t>
      </w:r>
    </w:p>
    <w:p w14:paraId="2C4E4E24" w14:textId="456E022A" w:rsidR="00107F9D" w:rsidRDefault="00186277" w:rsidP="00107F9D">
      <w:r>
        <w:rPr>
          <w:lang w:val="en-US"/>
        </w:rPr>
        <w:t xml:space="preserve">In </w:t>
      </w:r>
      <w:r w:rsidR="00107F9D" w:rsidRPr="005B2B43">
        <w:rPr>
          <w:b/>
        </w:rPr>
        <w:t>telecommunications</w:t>
      </w:r>
      <w:r w:rsidR="00107F9D" w:rsidRPr="00BB2155">
        <w:t xml:space="preserve">, the growing shift to mobile and data-driven communications, together with the changes in market structure that will flow from the </w:t>
      </w:r>
      <w:r w:rsidR="009D7B5D">
        <w:t>nbn</w:t>
      </w:r>
      <w:r w:rsidR="00107F9D" w:rsidRPr="00BB2155">
        <w:t xml:space="preserve">, </w:t>
      </w:r>
      <w:r w:rsidR="00107F9D">
        <w:t xml:space="preserve">is providing a network and device capability that will underpin </w:t>
      </w:r>
      <w:r w:rsidR="002041F5">
        <w:t>M</w:t>
      </w:r>
      <w:r w:rsidR="00107F9D">
        <w:t>2</w:t>
      </w:r>
      <w:r w:rsidR="002041F5">
        <w:t>M</w:t>
      </w:r>
      <w:r w:rsidR="00107F9D">
        <w:t xml:space="preserve"> and IoT developments. </w:t>
      </w:r>
      <w:r w:rsidR="00F81098">
        <w:t>This</w:t>
      </w:r>
      <w:r w:rsidR="00107F9D">
        <w:t xml:space="preserve"> also </w:t>
      </w:r>
      <w:r w:rsidR="00107F9D" w:rsidRPr="00BB2155">
        <w:t>mean</w:t>
      </w:r>
      <w:r w:rsidR="00107F9D">
        <w:t>s</w:t>
      </w:r>
      <w:r w:rsidR="00107F9D" w:rsidRPr="00BB2155">
        <w:t xml:space="preserve"> that many aspects of Australia’s existing fixed</w:t>
      </w:r>
      <w:r>
        <w:t>-</w:t>
      </w:r>
      <w:r w:rsidR="00107F9D" w:rsidRPr="00BB2155">
        <w:t xml:space="preserve">voice regulation are increasingly </w:t>
      </w:r>
      <w:r w:rsidR="00107F9D">
        <w:t xml:space="preserve">concerned with </w:t>
      </w:r>
      <w:r w:rsidR="00107F9D" w:rsidRPr="00BB2155">
        <w:t xml:space="preserve">solving </w:t>
      </w:r>
      <w:r w:rsidR="00107F9D">
        <w:t>legacy</w:t>
      </w:r>
      <w:r w:rsidR="00107F9D" w:rsidRPr="00BB2155">
        <w:t xml:space="preserve"> problems. </w:t>
      </w:r>
      <w:r w:rsidR="00107F9D">
        <w:t xml:space="preserve">As telecommunications devices evolve, we could expect increased attention </w:t>
      </w:r>
      <w:r w:rsidR="006138EA">
        <w:t xml:space="preserve">focussed </w:t>
      </w:r>
      <w:r w:rsidR="00107F9D">
        <w:t xml:space="preserve">on telephone numbers that support </w:t>
      </w:r>
      <w:r w:rsidR="00F60D53">
        <w:t>M</w:t>
      </w:r>
      <w:r w:rsidR="00107F9D">
        <w:t>2</w:t>
      </w:r>
      <w:r w:rsidR="00F60D53">
        <w:t>M</w:t>
      </w:r>
      <w:r w:rsidR="00107F9D">
        <w:t xml:space="preserve"> and the telecommunications standards and protocols that will set the design features enabling IoT. </w:t>
      </w:r>
    </w:p>
    <w:p w14:paraId="5318937E" w14:textId="5C1E1BCF" w:rsidR="00107F9D" w:rsidRPr="00BB2155" w:rsidRDefault="006138EA" w:rsidP="00107F9D">
      <w:pPr>
        <w:rPr>
          <w:lang w:val="en-US"/>
        </w:rPr>
      </w:pPr>
      <w:r>
        <w:t>I</w:t>
      </w:r>
      <w:r w:rsidRPr="00BB2155">
        <w:t xml:space="preserve">n the </w:t>
      </w:r>
      <w:r w:rsidRPr="005B2B43">
        <w:rPr>
          <w:b/>
        </w:rPr>
        <w:t>broadcasting</w:t>
      </w:r>
      <w:r w:rsidRPr="00BB2155">
        <w:t xml:space="preserve"> </w:t>
      </w:r>
      <w:r>
        <w:t>sector, t</w:t>
      </w:r>
      <w:r w:rsidR="00107F9D" w:rsidRPr="00BB2155">
        <w:t xml:space="preserve">here are </w:t>
      </w:r>
      <w:r>
        <w:t>new</w:t>
      </w:r>
      <w:r w:rsidRPr="00BB2155">
        <w:t xml:space="preserve"> </w:t>
      </w:r>
      <w:r w:rsidR="00107F9D" w:rsidRPr="00BB2155">
        <w:t xml:space="preserve">regulatory challenges </w:t>
      </w:r>
      <w:r w:rsidR="00107F9D">
        <w:t>now that the digitalisation of broadcasting networks is complete. T</w:t>
      </w:r>
      <w:r w:rsidR="00107F9D" w:rsidRPr="00BB2155">
        <w:t xml:space="preserve">he digitalisation of content and </w:t>
      </w:r>
      <w:r w:rsidR="00E4412A">
        <w:t xml:space="preserve">the </w:t>
      </w:r>
      <w:r w:rsidR="00107F9D" w:rsidRPr="00BB2155">
        <w:t xml:space="preserve">shift to online content delivery models, with increasing potential substitution between print, broadcast and online content, </w:t>
      </w:r>
      <w:r w:rsidR="00107F9D">
        <w:t xml:space="preserve">raises a fundamental challenge </w:t>
      </w:r>
      <w:r w:rsidR="00E4412A">
        <w:t>in</w:t>
      </w:r>
      <w:r w:rsidR="00107F9D">
        <w:t xml:space="preserve"> consider</w:t>
      </w:r>
      <w:r w:rsidR="00E4412A">
        <w:t>ing</w:t>
      </w:r>
      <w:r w:rsidR="00107F9D">
        <w:t xml:space="preserve"> whether </w:t>
      </w:r>
      <w:r w:rsidR="00107F9D" w:rsidRPr="00BB2155">
        <w:t xml:space="preserve">content safeguards </w:t>
      </w:r>
      <w:r w:rsidR="00107F9D">
        <w:t>remain relevant</w:t>
      </w:r>
      <w:r w:rsidR="0087654E">
        <w:t>,</w:t>
      </w:r>
      <w:r w:rsidR="00107F9D">
        <w:t xml:space="preserve"> and whether and how c</w:t>
      </w:r>
      <w:r w:rsidR="00107F9D" w:rsidRPr="00BB2155">
        <w:t xml:space="preserve">ontent production support models </w:t>
      </w:r>
      <w:r w:rsidR="00107F9D">
        <w:t xml:space="preserve">can be maintained </w:t>
      </w:r>
      <w:r w:rsidR="00107F9D" w:rsidRPr="00BB2155">
        <w:t xml:space="preserve">in a more contestable digital content environment. </w:t>
      </w:r>
    </w:p>
    <w:p w14:paraId="70DF2F7F" w14:textId="0D9898A5" w:rsidR="00107F9D" w:rsidRPr="00BB2155" w:rsidRDefault="00107F9D" w:rsidP="00107F9D">
      <w:r w:rsidRPr="00BB2155">
        <w:t xml:space="preserve">In </w:t>
      </w:r>
      <w:r w:rsidRPr="005B2B43">
        <w:rPr>
          <w:b/>
        </w:rPr>
        <w:t>radiocommunications</w:t>
      </w:r>
      <w:r w:rsidRPr="00BB2155">
        <w:t xml:space="preserve">, </w:t>
      </w:r>
      <w:r>
        <w:t xml:space="preserve">the recommendations from the Spectrum Review provide a path for modernising Australia’s spectrum management framework, including the simplification of the licensing framework. Spectrum’s enabling role as a key input to </w:t>
      </w:r>
      <w:r w:rsidR="00F60D53">
        <w:t>M</w:t>
      </w:r>
      <w:r>
        <w:t>2</w:t>
      </w:r>
      <w:r w:rsidR="00F60D53">
        <w:t>M</w:t>
      </w:r>
      <w:r>
        <w:t xml:space="preserve"> and IoT applications is expected to generate increased attention in international planning </w:t>
      </w:r>
      <w:r w:rsidR="006138EA">
        <w:t xml:space="preserve">forums </w:t>
      </w:r>
      <w:r>
        <w:t xml:space="preserve">like the </w:t>
      </w:r>
      <w:r w:rsidR="006B3EBB">
        <w:t xml:space="preserve">ITU-R </w:t>
      </w:r>
      <w:r>
        <w:t>World Radio</w:t>
      </w:r>
      <w:r w:rsidR="006B3EBB">
        <w:t>communication</w:t>
      </w:r>
      <w:r>
        <w:t xml:space="preserve"> Con</w:t>
      </w:r>
      <w:r w:rsidR="00DB6C52">
        <w:t>ferences</w:t>
      </w:r>
      <w:r w:rsidR="00E4412A">
        <w:t xml:space="preserve">. At </w:t>
      </w:r>
      <w:r>
        <w:t>the domestic level</w:t>
      </w:r>
      <w:r w:rsidR="00E4412A">
        <w:t>, pressure</w:t>
      </w:r>
      <w:r>
        <w:t xml:space="preserve"> from those seeking access to </w:t>
      </w:r>
      <w:r w:rsidR="00E4412A">
        <w:t xml:space="preserve">already utilised </w:t>
      </w:r>
      <w:r>
        <w:t xml:space="preserve">spectrum </w:t>
      </w:r>
      <w:r w:rsidR="00E4412A">
        <w:t xml:space="preserve">will </w:t>
      </w:r>
      <w:r w:rsidR="006138EA">
        <w:t xml:space="preserve">likely </w:t>
      </w:r>
      <w:r w:rsidR="00E4412A">
        <w:t xml:space="preserve">see a </w:t>
      </w:r>
      <w:r w:rsidR="006138EA">
        <w:t xml:space="preserve">continued </w:t>
      </w:r>
      <w:r w:rsidR="00E4412A">
        <w:t>need for r</w:t>
      </w:r>
      <w:r>
        <w:t>egulator involvement in band replanning and allocation.</w:t>
      </w:r>
    </w:p>
    <w:p w14:paraId="3D2E1C77" w14:textId="4291E7A5" w:rsidR="00107F9D" w:rsidRDefault="00107F9D" w:rsidP="00107F9D">
      <w:r w:rsidRPr="00BB2155">
        <w:t xml:space="preserve">In the </w:t>
      </w:r>
      <w:r w:rsidRPr="005B2B43">
        <w:rPr>
          <w:b/>
        </w:rPr>
        <w:t>online environment</w:t>
      </w:r>
      <w:r w:rsidRPr="00BB2155">
        <w:t>,</w:t>
      </w:r>
      <w:r w:rsidR="00F60D53">
        <w:t xml:space="preserve"> M</w:t>
      </w:r>
      <w:r>
        <w:t>2</w:t>
      </w:r>
      <w:r w:rsidR="00F60D53">
        <w:t>M</w:t>
      </w:r>
      <w:r>
        <w:t xml:space="preserve"> and IoT is expected to accelerate many of the current challenges experienced by </w:t>
      </w:r>
      <w:r w:rsidRPr="00BB2155">
        <w:t>citizens and regulator</w:t>
      </w:r>
      <w:r w:rsidR="00593EC4">
        <w:t>s</w:t>
      </w:r>
      <w:r w:rsidRPr="00BB2155">
        <w:t xml:space="preserve"> that</w:t>
      </w:r>
      <w:r>
        <w:t xml:space="preserve"> </w:t>
      </w:r>
      <w:r w:rsidRPr="00BB2155">
        <w:t xml:space="preserve">arise from global information flows and rapidly changing user behaviours. </w:t>
      </w:r>
      <w:r w:rsidR="006138EA">
        <w:t>T</w:t>
      </w:r>
      <w:r>
        <w:t xml:space="preserve">he ACMA’s experience is that </w:t>
      </w:r>
      <w:r w:rsidRPr="00BB2155">
        <w:t xml:space="preserve">direct regulation at a national level </w:t>
      </w:r>
      <w:r w:rsidR="006138EA">
        <w:t>has</w:t>
      </w:r>
      <w:r w:rsidR="006138EA" w:rsidRPr="00BB2155">
        <w:t xml:space="preserve"> </w:t>
      </w:r>
      <w:r w:rsidRPr="00BB2155">
        <w:t xml:space="preserve">limited capacity to respond to multi-national information flows. </w:t>
      </w:r>
      <w:r w:rsidR="006138EA">
        <w:t>Maintaining</w:t>
      </w:r>
      <w:r>
        <w:t xml:space="preserve"> international engagement and building </w:t>
      </w:r>
      <w:r w:rsidRPr="00BB2155">
        <w:t xml:space="preserve">multinational partnerships </w:t>
      </w:r>
      <w:r>
        <w:t xml:space="preserve">are key strategies </w:t>
      </w:r>
      <w:r w:rsidRPr="00BB2155">
        <w:t xml:space="preserve">that assist </w:t>
      </w:r>
      <w:r>
        <w:t xml:space="preserve">the ACMA </w:t>
      </w:r>
      <w:r w:rsidRPr="00BB2155">
        <w:t xml:space="preserve">and industry to take collaborative action </w:t>
      </w:r>
      <w:r>
        <w:t>in relation to online</w:t>
      </w:r>
      <w:r w:rsidRPr="00BB2155">
        <w:t xml:space="preserve"> issues. Educating and informing citizens and business about productive engagement </w:t>
      </w:r>
      <w:r>
        <w:t>within the IoT environment is also expected to remain an important response strategy.</w:t>
      </w:r>
    </w:p>
    <w:p w14:paraId="2D06C87D" w14:textId="29E18FEA" w:rsidR="00630B9E" w:rsidRDefault="00107F9D" w:rsidP="00107F9D">
      <w:pPr>
        <w:rPr>
          <w:bCs/>
        </w:rPr>
      </w:pPr>
      <w:r w:rsidRPr="00A66E30">
        <w:rPr>
          <w:bCs/>
        </w:rPr>
        <w:lastRenderedPageBreak/>
        <w:t xml:space="preserve">There are many uncertainties about how the impact of </w:t>
      </w:r>
      <w:r w:rsidR="006138EA">
        <w:rPr>
          <w:bCs/>
        </w:rPr>
        <w:t xml:space="preserve">the </w:t>
      </w:r>
      <w:r w:rsidRPr="00A66E30">
        <w:rPr>
          <w:bCs/>
        </w:rPr>
        <w:t xml:space="preserve">scale of mass connectivity and speed of change will affect the Australian communications and media sectors and the regulatory environment. </w:t>
      </w:r>
    </w:p>
    <w:p w14:paraId="4DCAD0F1" w14:textId="5096A6F0" w:rsidR="00FE7B3D" w:rsidRDefault="00630B9E" w:rsidP="00107F9D">
      <w:pPr>
        <w:rPr>
          <w:lang w:val="en-US"/>
        </w:rPr>
      </w:pPr>
      <w:r>
        <w:rPr>
          <w:bCs/>
        </w:rPr>
        <w:t xml:space="preserve">One of the key challenges arising from the mass global connectivity envisaged under IoT and </w:t>
      </w:r>
      <w:r w:rsidR="00FA4E9A">
        <w:rPr>
          <w:bCs/>
        </w:rPr>
        <w:t>IoE</w:t>
      </w:r>
      <w:r>
        <w:rPr>
          <w:bCs/>
        </w:rPr>
        <w:t xml:space="preserve"> is that the network, device, information and people ecos</w:t>
      </w:r>
      <w:r w:rsidRPr="00EF4CEF">
        <w:rPr>
          <w:bCs/>
        </w:rPr>
        <w:t>ystem</w:t>
      </w:r>
      <w:r>
        <w:rPr>
          <w:bCs/>
        </w:rPr>
        <w:t xml:space="preserve"> is</w:t>
      </w:r>
      <w:r w:rsidRPr="00EF4CEF">
        <w:rPr>
          <w:bCs/>
        </w:rPr>
        <w:t xml:space="preserve"> no longer closed</w:t>
      </w:r>
      <w:r w:rsidR="00156FD3">
        <w:rPr>
          <w:bCs/>
        </w:rPr>
        <w:t>—</w:t>
      </w:r>
      <w:r>
        <w:rPr>
          <w:bCs/>
        </w:rPr>
        <w:t xml:space="preserve">in practical terms, </w:t>
      </w:r>
      <w:r w:rsidRPr="00EF4CEF">
        <w:rPr>
          <w:bCs/>
        </w:rPr>
        <w:t xml:space="preserve">expanding </w:t>
      </w:r>
      <w:r>
        <w:rPr>
          <w:bCs/>
        </w:rPr>
        <w:t>the field of unregulated activity.</w:t>
      </w:r>
      <w:r w:rsidRPr="00AA0938">
        <w:rPr>
          <w:bCs/>
        </w:rPr>
        <w:t xml:space="preserve"> </w:t>
      </w:r>
      <w:r>
        <w:rPr>
          <w:bCs/>
        </w:rPr>
        <w:t>While this may pose no immediate reason for regulatory attention, it is important to be aware of the impacts on current regulation</w:t>
      </w:r>
      <w:r w:rsidR="00156FD3">
        <w:rPr>
          <w:bCs/>
        </w:rPr>
        <w:t>,</w:t>
      </w:r>
      <w:r>
        <w:rPr>
          <w:bCs/>
        </w:rPr>
        <w:t xml:space="preserve"> and whether this has the effect of facilitating or hindering innovation.</w:t>
      </w:r>
      <w:r w:rsidR="007D37B4" w:rsidRPr="007D37B4">
        <w:rPr>
          <w:lang w:val="en-US"/>
        </w:rPr>
        <w:t xml:space="preserve"> </w:t>
      </w:r>
    </w:p>
    <w:p w14:paraId="7C3910EE" w14:textId="17497751" w:rsidR="000161B4" w:rsidRDefault="007D37B4" w:rsidP="00107F9D">
      <w:pPr>
        <w:rPr>
          <w:bCs/>
        </w:rPr>
      </w:pPr>
      <w:r>
        <w:rPr>
          <w:lang w:val="en-US"/>
        </w:rPr>
        <w:t xml:space="preserve">In general terms, existing regulatory structures have relied on relatively </w:t>
      </w:r>
      <w:r w:rsidRPr="00EF4CEF">
        <w:rPr>
          <w:bCs/>
        </w:rPr>
        <w:t>‘closed’ system</w:t>
      </w:r>
      <w:r>
        <w:rPr>
          <w:bCs/>
        </w:rPr>
        <w:t>s identifying known industry participants (mainly using licensing</w:t>
      </w:r>
      <w:r w:rsidR="006138EA">
        <w:rPr>
          <w:bCs/>
        </w:rPr>
        <w:t xml:space="preserve"> systems</w:t>
      </w:r>
      <w:r>
        <w:rPr>
          <w:bCs/>
        </w:rPr>
        <w:t xml:space="preserve">) to deliver specific policy outcomes. </w:t>
      </w:r>
      <w:r w:rsidR="00630B9E">
        <w:rPr>
          <w:bCs/>
        </w:rPr>
        <w:t>The globally</w:t>
      </w:r>
      <w:r w:rsidR="00156FD3">
        <w:rPr>
          <w:bCs/>
        </w:rPr>
        <w:t>-</w:t>
      </w:r>
      <w:r w:rsidR="00630B9E">
        <w:rPr>
          <w:bCs/>
        </w:rPr>
        <w:t xml:space="preserve">connected nature of information, devices and people under </w:t>
      </w:r>
      <w:r w:rsidR="00F60D53">
        <w:rPr>
          <w:bCs/>
        </w:rPr>
        <w:t>M</w:t>
      </w:r>
      <w:r w:rsidR="00630B9E">
        <w:rPr>
          <w:bCs/>
        </w:rPr>
        <w:t>2</w:t>
      </w:r>
      <w:r w:rsidR="00F60D53">
        <w:rPr>
          <w:bCs/>
        </w:rPr>
        <w:t>M</w:t>
      </w:r>
      <w:r w:rsidR="00630B9E">
        <w:rPr>
          <w:bCs/>
        </w:rPr>
        <w:t xml:space="preserve"> and IoT </w:t>
      </w:r>
      <w:r w:rsidR="00F60D53">
        <w:rPr>
          <w:bCs/>
        </w:rPr>
        <w:t xml:space="preserve">also </w:t>
      </w:r>
      <w:r w:rsidR="00630B9E">
        <w:rPr>
          <w:bCs/>
        </w:rPr>
        <w:t>erodes the effectiveness of any nationally</w:t>
      </w:r>
      <w:r w:rsidR="00156FD3">
        <w:rPr>
          <w:bCs/>
        </w:rPr>
        <w:t>-</w:t>
      </w:r>
      <w:r w:rsidR="00630B9E">
        <w:rPr>
          <w:bCs/>
        </w:rPr>
        <w:t>based regulatory schemes</w:t>
      </w:r>
      <w:r w:rsidR="00F60D53">
        <w:rPr>
          <w:bCs/>
        </w:rPr>
        <w:t>, pointing to the need for increased international cooperation to achieve specific outcomes</w:t>
      </w:r>
      <w:r w:rsidR="00630B9E">
        <w:rPr>
          <w:bCs/>
        </w:rPr>
        <w:t xml:space="preserve">. </w:t>
      </w:r>
    </w:p>
    <w:p w14:paraId="382A431F" w14:textId="131C5D49" w:rsidR="00107F9D" w:rsidRDefault="00107F9D" w:rsidP="00107F9D">
      <w:r>
        <w:t xml:space="preserve">At this stage of Australia’s transition to IoT, it is useful to examine whether existing regulatory settings are likely to assist </w:t>
      </w:r>
      <w:r w:rsidR="00F60D53">
        <w:t>or hinder the wider adoption of M</w:t>
      </w:r>
      <w:r>
        <w:t>2</w:t>
      </w:r>
      <w:r w:rsidR="00F60D53">
        <w:t>M</w:t>
      </w:r>
      <w:r w:rsidR="00380D53">
        <w:t xml:space="preserve"> and IoT.</w:t>
      </w:r>
    </w:p>
    <w:p w14:paraId="485DE0BE" w14:textId="77777777" w:rsidR="00107F9D" w:rsidRPr="00252290" w:rsidRDefault="00107F9D" w:rsidP="00C2551C">
      <w:pPr>
        <w:pStyle w:val="Heading2"/>
      </w:pPr>
      <w:bookmarkStart w:id="34" w:name="_Toc435079496"/>
      <w:r>
        <w:t>A framework for analysis</w:t>
      </w:r>
      <w:bookmarkEnd w:id="34"/>
      <w:r>
        <w:t xml:space="preserve"> </w:t>
      </w:r>
    </w:p>
    <w:p w14:paraId="5483A2C0" w14:textId="4B64B33D" w:rsidR="00107F9D" w:rsidRDefault="00107F9D" w:rsidP="00107F9D">
      <w:r>
        <w:t>To further inform this analysis</w:t>
      </w:r>
      <w:r w:rsidR="00156FD3">
        <w:t>,</w:t>
      </w:r>
      <w:r>
        <w:t xml:space="preserve"> the ACMA has looked at the conceptual underpinnings for regulatory responses in communications and media markets. The ACMA’s earlier analysis of convergence impacts on communications and media regulation set out in </w:t>
      </w:r>
      <w:hyperlink r:id="rId42" w:history="1">
        <w:r w:rsidRPr="00306571">
          <w:rPr>
            <w:rStyle w:val="Hyperlink"/>
            <w:i/>
          </w:rPr>
          <w:t xml:space="preserve">Enduring </w:t>
        </w:r>
        <w:r w:rsidR="00156FD3">
          <w:rPr>
            <w:rStyle w:val="Hyperlink"/>
            <w:i/>
          </w:rPr>
          <w:t>c</w:t>
        </w:r>
        <w:r w:rsidRPr="00306571">
          <w:rPr>
            <w:rStyle w:val="Hyperlink"/>
            <w:i/>
          </w:rPr>
          <w:t>oncepts</w:t>
        </w:r>
      </w:hyperlink>
      <w:r>
        <w:t xml:space="preserve"> sought to identify those concepts of ongoing importance </w:t>
      </w:r>
      <w:r w:rsidR="006138EA">
        <w:t xml:space="preserve">in </w:t>
      </w:r>
      <w:r>
        <w:t>media and communications in Australia. It considered the fundamental concepts that describe the policy objectives for present regulatory intervention in communications and media</w:t>
      </w:r>
      <w:r w:rsidR="00156FD3">
        <w:t>,</w:t>
      </w:r>
      <w:r>
        <w:t xml:space="preserve"> and assessed whether they inform the basi</w:t>
      </w:r>
      <w:r w:rsidR="00380D53">
        <w:t>s for any future intervention.</w:t>
      </w:r>
    </w:p>
    <w:p w14:paraId="590795C3" w14:textId="2EB27E0A" w:rsidR="00107F9D" w:rsidRDefault="00107F9D" w:rsidP="005B2B43">
      <w:pPr>
        <w:spacing w:after="80"/>
      </w:pPr>
      <w:r>
        <w:t>This style of analysis can also be applied to assess</w:t>
      </w:r>
      <w:r w:rsidR="006138EA">
        <w:t>ing</w:t>
      </w:r>
      <w:r>
        <w:t xml:space="preserve"> how existing regulatory settings sup</w:t>
      </w:r>
      <w:r w:rsidR="00F60D53">
        <w:t>port or inhibit developments in M</w:t>
      </w:r>
      <w:r>
        <w:t>2</w:t>
      </w:r>
      <w:r w:rsidR="00F60D53">
        <w:t>M and Io</w:t>
      </w:r>
      <w:r>
        <w:t>T:</w:t>
      </w:r>
    </w:p>
    <w:p w14:paraId="130936E7" w14:textId="109A19C8" w:rsidR="00107F9D" w:rsidRDefault="00107F9D" w:rsidP="00E03D4A">
      <w:pPr>
        <w:pStyle w:val="ListNumber"/>
        <w:numPr>
          <w:ilvl w:val="0"/>
          <w:numId w:val="25"/>
        </w:numPr>
      </w:pPr>
      <w:r>
        <w:t>What is the public interest to be served or the problem to be solved by a particular objective or intervention</w:t>
      </w:r>
      <w:r w:rsidR="006138EA">
        <w:t>?</w:t>
      </w:r>
    </w:p>
    <w:p w14:paraId="0DDB5FCB" w14:textId="77777777" w:rsidR="00107F9D" w:rsidRDefault="00107F9D" w:rsidP="00C2551C">
      <w:pPr>
        <w:pStyle w:val="ListNumber"/>
      </w:pPr>
      <w:r>
        <w:t>What is the current method employed to serve the public interest or solve the problem?</w:t>
      </w:r>
    </w:p>
    <w:p w14:paraId="33F6A6B8" w14:textId="6989E6C9" w:rsidR="00107F9D" w:rsidRDefault="00107F9D" w:rsidP="005B2B43">
      <w:pPr>
        <w:pStyle w:val="ListNumber"/>
        <w:spacing w:after="240"/>
      </w:pPr>
      <w:r>
        <w:t>Does the public policy good</w:t>
      </w:r>
      <w:r w:rsidR="006138EA">
        <w:t xml:space="preserve"> still warrant support or the</w:t>
      </w:r>
      <w:r w:rsidR="00CC1E0E">
        <w:t xml:space="preserve"> </w:t>
      </w:r>
      <w:r>
        <w:t>problem still need solving?</w:t>
      </w:r>
    </w:p>
    <w:p w14:paraId="3645D212" w14:textId="389907F8" w:rsidR="00107F9D" w:rsidRDefault="00107F9D" w:rsidP="005B2B43">
      <w:pPr>
        <w:spacing w:after="80" w:line="256" w:lineRule="auto"/>
        <w:contextualSpacing/>
      </w:pPr>
      <w:r>
        <w:t xml:space="preserve">To identify the sorts of practical outcomes that may need to be delivered to support </w:t>
      </w:r>
      <w:r w:rsidR="006138EA">
        <w:t>M</w:t>
      </w:r>
      <w:r>
        <w:t>2</w:t>
      </w:r>
      <w:r w:rsidR="006138EA">
        <w:t>M</w:t>
      </w:r>
      <w:r>
        <w:t xml:space="preserve"> and IoT in the future</w:t>
      </w:r>
      <w:r w:rsidR="00156FD3">
        <w:t>,</w:t>
      </w:r>
      <w:r>
        <w:t xml:space="preserve"> a further que</w:t>
      </w:r>
      <w:r w:rsidR="00F21126">
        <w:t>ry arises</w:t>
      </w:r>
      <w:r>
        <w:t xml:space="preserve">: </w:t>
      </w:r>
    </w:p>
    <w:p w14:paraId="2F98BAE1" w14:textId="61D3803F" w:rsidR="00107F9D" w:rsidRDefault="00107F9D" w:rsidP="00C2551C">
      <w:pPr>
        <w:pStyle w:val="ListNumber"/>
      </w:pPr>
      <w:r>
        <w:t>Whether the capacity to achieve the policy objective can continue in an IoT environment, including whether</w:t>
      </w:r>
      <w:r w:rsidR="00156FD3">
        <w:t>:</w:t>
      </w:r>
    </w:p>
    <w:p w14:paraId="11462860" w14:textId="77777777" w:rsidR="00107F9D" w:rsidRDefault="00107F9D" w:rsidP="00C2551C">
      <w:pPr>
        <w:pStyle w:val="ListBullet2"/>
      </w:pPr>
      <w:r>
        <w:t>existing interventions could be extended to IoT</w:t>
      </w:r>
    </w:p>
    <w:p w14:paraId="4B87AE29" w14:textId="77777777" w:rsidR="00107F9D" w:rsidRDefault="00107F9D" w:rsidP="00C2551C">
      <w:pPr>
        <w:pStyle w:val="ListBullet2"/>
      </w:pPr>
      <w:r>
        <w:t xml:space="preserve">existing interventions should be lessened on entities utilising application of IoT or other related market participants (data miners, analytics marketing/advertising companies) </w:t>
      </w:r>
    </w:p>
    <w:p w14:paraId="2F313915" w14:textId="09EBD1D9" w:rsidR="00107F9D" w:rsidRDefault="00107F9D" w:rsidP="005B2B43">
      <w:pPr>
        <w:pStyle w:val="ListBullet2"/>
        <w:spacing w:after="240"/>
      </w:pPr>
      <w:r>
        <w:t>existing interventions should be applied in different ways to remain an effective problem</w:t>
      </w:r>
      <w:r w:rsidR="00F21126">
        <w:t>-</w:t>
      </w:r>
      <w:r>
        <w:t>solving intervention.</w:t>
      </w:r>
    </w:p>
    <w:p w14:paraId="1FB1E998" w14:textId="718DE466" w:rsidR="00E03D4A" w:rsidRDefault="00107F9D" w:rsidP="005B2B43">
      <w:pPr>
        <w:spacing w:after="80"/>
      </w:pPr>
      <w:r>
        <w:t>To illustrate some of the types of regulatory design issues</w:t>
      </w:r>
      <w:r w:rsidR="006138EA">
        <w:t xml:space="preserve"> that arise</w:t>
      </w:r>
      <w:r>
        <w:t xml:space="preserve">, this analysis has focused on the </w:t>
      </w:r>
      <w:r w:rsidR="00156FD3">
        <w:t>‘e</w:t>
      </w:r>
      <w:r>
        <w:t xml:space="preserve">nduring </w:t>
      </w:r>
      <w:r w:rsidR="00156FD3">
        <w:t>c</w:t>
      </w:r>
      <w:r>
        <w:t>oncepts</w:t>
      </w:r>
      <w:r w:rsidR="00156FD3">
        <w:t>’</w:t>
      </w:r>
      <w:r>
        <w:t xml:space="preserve"> regarded as of most relevance to the mass connectivity of </w:t>
      </w:r>
      <w:r w:rsidR="00FA4E9A">
        <w:t>M</w:t>
      </w:r>
      <w:r>
        <w:t>2</w:t>
      </w:r>
      <w:r w:rsidR="00FA4E9A">
        <w:t>M</w:t>
      </w:r>
      <w:r>
        <w:t xml:space="preserve"> and IoT, namely:</w:t>
      </w:r>
    </w:p>
    <w:p w14:paraId="379DBE24" w14:textId="46C9447F" w:rsidR="00107F9D" w:rsidRDefault="00156FD3" w:rsidP="00C2551C">
      <w:pPr>
        <w:pStyle w:val="ListBullet"/>
      </w:pPr>
      <w:r>
        <w:lastRenderedPageBreak/>
        <w:t>m</w:t>
      </w:r>
      <w:r w:rsidR="00107F9D">
        <w:t>arket standards (competition, quality, redress and efficiency)</w:t>
      </w:r>
    </w:p>
    <w:p w14:paraId="39944F08" w14:textId="3255929B" w:rsidR="00107F9D" w:rsidRDefault="00156FD3" w:rsidP="00C2551C">
      <w:pPr>
        <w:pStyle w:val="ListBullet"/>
      </w:pPr>
      <w:r>
        <w:t>s</w:t>
      </w:r>
      <w:r w:rsidR="00107F9D">
        <w:t>ocial and economic participation (access, confidence and digital citizenship)</w:t>
      </w:r>
    </w:p>
    <w:p w14:paraId="09A8CB96" w14:textId="17E60F51" w:rsidR="00107F9D" w:rsidRDefault="00156FD3" w:rsidP="002B705D">
      <w:pPr>
        <w:pStyle w:val="ListBullet"/>
        <w:spacing w:after="240"/>
      </w:pPr>
      <w:r>
        <w:t>s</w:t>
      </w:r>
      <w:r w:rsidR="00107F9D">
        <w:t>afeguards (protection of the public, digital information managem</w:t>
      </w:r>
      <w:r w:rsidR="00F60D53">
        <w:t>e</w:t>
      </w:r>
      <w:r w:rsidR="00107F9D">
        <w:t>nt and national interest objectives).</w:t>
      </w:r>
    </w:p>
    <w:p w14:paraId="5AD97790" w14:textId="6FA8605B" w:rsidR="00107F9D" w:rsidRPr="00E719CA" w:rsidRDefault="00107F9D" w:rsidP="00107F9D">
      <w:r>
        <w:t>T</w:t>
      </w:r>
      <w:r w:rsidRPr="00E719CA">
        <w:t xml:space="preserve">he ACMA’s previous analysis also identified </w:t>
      </w:r>
      <w:r w:rsidR="006138EA">
        <w:t>five</w:t>
      </w:r>
      <w:r w:rsidR="00F617AC">
        <w:t xml:space="preserve"> </w:t>
      </w:r>
      <w:r w:rsidRPr="00E719CA">
        <w:t xml:space="preserve">regulatory concepts related to content and cultural values </w:t>
      </w:r>
      <w:r>
        <w:t xml:space="preserve">(diversity of voices, Australian identity, community values, localism and ethical standards </w:t>
      </w:r>
      <w:r w:rsidR="00DC180D">
        <w:t>and the safeguards related to protection of children from age inappropriate content</w:t>
      </w:r>
      <w:r w:rsidR="00F21126">
        <w:t>)</w:t>
      </w:r>
      <w:r w:rsidR="00F617AC">
        <w:t xml:space="preserve">. These regulatory concepts </w:t>
      </w:r>
      <w:r>
        <w:t>reflect different aspects of Australian cultural values</w:t>
      </w:r>
      <w:r w:rsidR="00DC180D">
        <w:t xml:space="preserve"> that are</w:t>
      </w:r>
      <w:r w:rsidR="00F617AC">
        <w:t xml:space="preserve"> less relevant in the context of</w:t>
      </w:r>
      <w:r w:rsidR="00DC180D">
        <w:t xml:space="preserve"> </w:t>
      </w:r>
      <w:r w:rsidRPr="00E719CA">
        <w:t xml:space="preserve">IoT communications, and </w:t>
      </w:r>
      <w:r w:rsidR="00F617AC">
        <w:t>so they are</w:t>
      </w:r>
      <w:r w:rsidRPr="00E719CA">
        <w:t xml:space="preserve"> not considered further here for this analysis.</w:t>
      </w:r>
    </w:p>
    <w:p w14:paraId="5DE747C0" w14:textId="3C3AFF72" w:rsidR="006277E9" w:rsidRDefault="000161B4" w:rsidP="00107F9D">
      <w:r>
        <w:t>T</w:t>
      </w:r>
      <w:r w:rsidR="00107F9D">
        <w:t>he analysis identified that the main public policy objectives that underpin market standards, social and economic participation and safeguards remain relevant in an IoT environment characterised by complex connections, highly distributed and adaptive networks</w:t>
      </w:r>
      <w:r w:rsidR="00156FD3">
        <w:t>,</w:t>
      </w:r>
      <w:r w:rsidR="00107F9D">
        <w:t xml:space="preserve"> and </w:t>
      </w:r>
      <w:r w:rsidR="006277E9">
        <w:t>rich data</w:t>
      </w:r>
      <w:r w:rsidR="00107F9D">
        <w:t xml:space="preserve">. </w:t>
      </w:r>
    </w:p>
    <w:p w14:paraId="6C73A7CC" w14:textId="00B0829C" w:rsidR="00BE069C" w:rsidRDefault="00BE069C" w:rsidP="00BE069C">
      <w:r>
        <w:t xml:space="preserve">However, the method for achieving these objectives is likely to require revision to rebalance the focus of regulatory attention in a way that will provide more effective support for M2M and IoT developments. For example, efficient allocation of spectrum and telephone numbers to promote access to innovative services, </w:t>
      </w:r>
      <w:r w:rsidR="00156FD3">
        <w:t xml:space="preserve">enhancing </w:t>
      </w:r>
      <w:r>
        <w:t>quality standards through a focus on network reliability and device standards specification, support</w:t>
      </w:r>
      <w:r w:rsidR="00156FD3">
        <w:t>ing</w:t>
      </w:r>
      <w:r>
        <w:t xml:space="preserve"> effective participation through business and consumer skills development and safeguard</w:t>
      </w:r>
      <w:r w:rsidR="00156FD3">
        <w:t>ing</w:t>
      </w:r>
      <w:r>
        <w:t xml:space="preserve"> the security of digital information to encourage confidence in the IoT environment. </w:t>
      </w:r>
    </w:p>
    <w:p w14:paraId="7AE014BF" w14:textId="4BDBEF58" w:rsidR="00880CA1" w:rsidRDefault="00BE069C" w:rsidP="00107F9D">
      <w:r>
        <w:t xml:space="preserve">A rebalancing of focus within the regulatory framework to support mass connectivity is not to suggest that every intervention is </w:t>
      </w:r>
      <w:r w:rsidR="00000391">
        <w:t xml:space="preserve">necessary or </w:t>
      </w:r>
      <w:r>
        <w:t xml:space="preserve">necessarily a regulatory one, but detailed analysis of </w:t>
      </w:r>
      <w:r w:rsidRPr="00BB2155">
        <w:t>where the appropriate future balance lies between direct regulation, industry co</w:t>
      </w:r>
      <w:r w:rsidR="00156FD3">
        <w:t>-</w:t>
      </w:r>
      <w:r w:rsidRPr="00BB2155">
        <w:t xml:space="preserve"> and self-regulation</w:t>
      </w:r>
      <w:r w:rsidR="00156FD3">
        <w:t>,</w:t>
      </w:r>
      <w:r w:rsidRPr="00BB2155">
        <w:t xml:space="preserve"> and non-regulatory responses</w:t>
      </w:r>
      <w:r w:rsidR="00000391">
        <w:t xml:space="preserve"> is required</w:t>
      </w:r>
      <w:r w:rsidR="00380D53">
        <w:t>.</w:t>
      </w:r>
    </w:p>
    <w:p w14:paraId="1CB533CF" w14:textId="7AD64D09" w:rsidR="006277E9" w:rsidRDefault="009066B3" w:rsidP="003742BA">
      <w:pPr>
        <w:pStyle w:val="ACMATableHeader"/>
        <w:keepNext/>
      </w:pPr>
      <w:r>
        <w:lastRenderedPageBreak/>
        <w:t>Enduring communications policy objectives relevant to IoT</w:t>
      </w:r>
    </w:p>
    <w:tbl>
      <w:tblPr>
        <w:tblW w:w="8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393"/>
        <w:gridCol w:w="5245"/>
      </w:tblGrid>
      <w:tr w:rsidR="009066B3" w:rsidRPr="006D46E5" w14:paraId="23289391" w14:textId="77777777" w:rsidTr="000F4F8B">
        <w:trPr>
          <w:cantSplit/>
          <w:tblHeader/>
        </w:trPr>
        <w:tc>
          <w:tcPr>
            <w:tcW w:w="1455" w:type="dxa"/>
            <w:shd w:val="clear" w:color="auto" w:fill="404040" w:themeFill="text1" w:themeFillTint="BF"/>
          </w:tcPr>
          <w:p w14:paraId="09BBEF0D" w14:textId="623542E8" w:rsidR="009066B3" w:rsidRPr="00BF7DB8" w:rsidRDefault="009066B3" w:rsidP="00BF7DB8">
            <w:pPr>
              <w:pStyle w:val="TableHeading"/>
              <w:rPr>
                <w:color w:val="FFFFFF" w:themeColor="background1"/>
              </w:rPr>
            </w:pPr>
            <w:r w:rsidRPr="00BF7DB8">
              <w:rPr>
                <w:color w:val="FFFFFF" w:themeColor="background1"/>
              </w:rPr>
              <w:t xml:space="preserve">IoT </w:t>
            </w:r>
            <w:r w:rsidR="00010504">
              <w:rPr>
                <w:color w:val="FFFFFF" w:themeColor="background1"/>
              </w:rPr>
              <w:br/>
            </w:r>
            <w:r w:rsidR="00CE5B96">
              <w:rPr>
                <w:color w:val="FFFFFF" w:themeColor="background1"/>
              </w:rPr>
              <w:t>e</w:t>
            </w:r>
            <w:r w:rsidRPr="00BF7DB8">
              <w:rPr>
                <w:color w:val="FFFFFF" w:themeColor="background1"/>
              </w:rPr>
              <w:t>nablers</w:t>
            </w:r>
          </w:p>
        </w:tc>
        <w:tc>
          <w:tcPr>
            <w:tcW w:w="1393" w:type="dxa"/>
            <w:shd w:val="clear" w:color="auto" w:fill="404040" w:themeFill="text1" w:themeFillTint="BF"/>
          </w:tcPr>
          <w:p w14:paraId="09CE8677" w14:textId="1A6F515A" w:rsidR="009066B3" w:rsidRPr="00BF7DB8" w:rsidRDefault="009066B3" w:rsidP="00BF7DB8">
            <w:pPr>
              <w:pStyle w:val="TableHeading"/>
              <w:rPr>
                <w:color w:val="FFFFFF" w:themeColor="background1"/>
              </w:rPr>
            </w:pPr>
            <w:r w:rsidRPr="00BF7DB8">
              <w:rPr>
                <w:color w:val="FFFFFF" w:themeColor="background1"/>
              </w:rPr>
              <w:t>Relevant concepts</w:t>
            </w:r>
          </w:p>
        </w:tc>
        <w:tc>
          <w:tcPr>
            <w:tcW w:w="5245" w:type="dxa"/>
            <w:shd w:val="clear" w:color="auto" w:fill="404040" w:themeFill="text1" w:themeFillTint="BF"/>
          </w:tcPr>
          <w:p w14:paraId="5309344F" w14:textId="3731D946" w:rsidR="009066B3" w:rsidRPr="00BF7DB8" w:rsidRDefault="009066B3" w:rsidP="00BF7DB8">
            <w:pPr>
              <w:pStyle w:val="TableHeading"/>
              <w:rPr>
                <w:color w:val="FFFFFF" w:themeColor="background1"/>
              </w:rPr>
            </w:pPr>
            <w:r w:rsidRPr="00BF7DB8">
              <w:rPr>
                <w:color w:val="FFFFFF" w:themeColor="background1"/>
              </w:rPr>
              <w:t xml:space="preserve">Can the objective continue to be met in </w:t>
            </w:r>
            <w:r w:rsidR="00CE5B96">
              <w:rPr>
                <w:color w:val="FFFFFF" w:themeColor="background1"/>
              </w:rPr>
              <w:t xml:space="preserve">the </w:t>
            </w:r>
            <w:r w:rsidRPr="00BF7DB8">
              <w:rPr>
                <w:color w:val="FFFFFF" w:themeColor="background1"/>
              </w:rPr>
              <w:t>IoT environment</w:t>
            </w:r>
            <w:r w:rsidR="00BF7DB8">
              <w:rPr>
                <w:color w:val="FFFFFF" w:themeColor="background1"/>
              </w:rPr>
              <w:t>?</w:t>
            </w:r>
          </w:p>
        </w:tc>
      </w:tr>
      <w:tr w:rsidR="009066B3" w:rsidRPr="006D46E5" w14:paraId="184E2991" w14:textId="77777777" w:rsidTr="000F4F8B">
        <w:trPr>
          <w:cantSplit/>
        </w:trPr>
        <w:tc>
          <w:tcPr>
            <w:tcW w:w="1455" w:type="dxa"/>
            <w:shd w:val="clear" w:color="auto" w:fill="auto"/>
          </w:tcPr>
          <w:p w14:paraId="66B1E57C" w14:textId="6B801A42" w:rsidR="009066B3" w:rsidRPr="006D46E5" w:rsidRDefault="00F21126" w:rsidP="009066B3">
            <w:pPr>
              <w:pStyle w:val="TableBody"/>
              <w:rPr>
                <w:rFonts w:cs="Arial"/>
              </w:rPr>
            </w:pPr>
            <w:r>
              <w:rPr>
                <w:rFonts w:cs="Arial"/>
              </w:rPr>
              <w:t>1.</w:t>
            </w:r>
            <w:r w:rsidR="00556EAB">
              <w:rPr>
                <w:rFonts w:cs="Arial"/>
              </w:rPr>
              <w:br/>
            </w:r>
            <w:r w:rsidR="009066B3">
              <w:rPr>
                <w:rFonts w:cs="Arial"/>
              </w:rPr>
              <w:t>Infrast</w:t>
            </w:r>
            <w:r w:rsidR="00207EFE">
              <w:rPr>
                <w:rFonts w:cs="Arial"/>
              </w:rPr>
              <w:t>r</w:t>
            </w:r>
            <w:r w:rsidR="009066B3">
              <w:rPr>
                <w:rFonts w:cs="Arial"/>
              </w:rPr>
              <w:t>ucture</w:t>
            </w:r>
          </w:p>
        </w:tc>
        <w:tc>
          <w:tcPr>
            <w:tcW w:w="1393" w:type="dxa"/>
            <w:shd w:val="clear" w:color="auto" w:fill="auto"/>
          </w:tcPr>
          <w:p w14:paraId="51BDAEA5" w14:textId="259F61A3" w:rsidR="009066B3" w:rsidRPr="006D46E5" w:rsidRDefault="009066B3" w:rsidP="009066B3">
            <w:pPr>
              <w:pStyle w:val="TableBody"/>
              <w:rPr>
                <w:rFonts w:cs="Arial"/>
              </w:rPr>
            </w:pPr>
            <w:r>
              <w:rPr>
                <w:rFonts w:cs="Arial"/>
              </w:rPr>
              <w:t>Competition</w:t>
            </w:r>
          </w:p>
        </w:tc>
        <w:tc>
          <w:tcPr>
            <w:tcW w:w="5245" w:type="dxa"/>
            <w:shd w:val="clear" w:color="auto" w:fill="auto"/>
          </w:tcPr>
          <w:p w14:paraId="6B41C6A6" w14:textId="2D5064C7" w:rsidR="009066B3" w:rsidRDefault="00800674" w:rsidP="005B2B43">
            <w:pPr>
              <w:pStyle w:val="TableBody"/>
              <w:spacing w:after="40"/>
              <w:rPr>
                <w:rFonts w:cs="Arial"/>
              </w:rPr>
            </w:pPr>
            <w:r>
              <w:rPr>
                <w:rFonts w:cs="Arial"/>
              </w:rPr>
              <w:t>The traditional focus has been on c</w:t>
            </w:r>
            <w:r w:rsidR="000D1244">
              <w:rPr>
                <w:rFonts w:cs="Arial"/>
              </w:rPr>
              <w:t>ompetitive access to infrastructure through which communications services are supplied</w:t>
            </w:r>
            <w:r w:rsidR="00000391">
              <w:rPr>
                <w:rFonts w:cs="Arial"/>
              </w:rPr>
              <w:t>. Will this</w:t>
            </w:r>
            <w:r w:rsidR="000D1244">
              <w:rPr>
                <w:rFonts w:cs="Arial"/>
              </w:rPr>
              <w:t xml:space="preserve"> achieve the following outcomes in an IoT environment</w:t>
            </w:r>
            <w:r w:rsidR="00000391">
              <w:rPr>
                <w:rFonts w:cs="Arial"/>
              </w:rPr>
              <w:t>?</w:t>
            </w:r>
          </w:p>
          <w:p w14:paraId="6F513817" w14:textId="0A57A7C0" w:rsidR="000D1244" w:rsidRDefault="00615CB0" w:rsidP="005B2B43">
            <w:pPr>
              <w:pStyle w:val="TableBody"/>
              <w:numPr>
                <w:ilvl w:val="0"/>
                <w:numId w:val="19"/>
              </w:numPr>
              <w:spacing w:after="40"/>
              <w:ind w:left="459" w:hanging="425"/>
              <w:rPr>
                <w:rFonts w:cs="Arial"/>
              </w:rPr>
            </w:pPr>
            <w:r>
              <w:rPr>
                <w:rFonts w:cs="Arial"/>
              </w:rPr>
              <w:t>s</w:t>
            </w:r>
            <w:r w:rsidR="000D1244">
              <w:rPr>
                <w:rFonts w:cs="Arial"/>
              </w:rPr>
              <w:t>ervices competition</w:t>
            </w:r>
          </w:p>
          <w:p w14:paraId="440D7400" w14:textId="2C7C43E6" w:rsidR="000D1244" w:rsidRDefault="00615CB0" w:rsidP="005B2B43">
            <w:pPr>
              <w:pStyle w:val="TableBody"/>
              <w:numPr>
                <w:ilvl w:val="0"/>
                <w:numId w:val="19"/>
              </w:numPr>
              <w:spacing w:after="40"/>
              <w:ind w:left="459" w:hanging="425"/>
              <w:rPr>
                <w:rFonts w:cs="Arial"/>
              </w:rPr>
            </w:pPr>
            <w:r>
              <w:rPr>
                <w:rFonts w:cs="Arial"/>
              </w:rPr>
              <w:t>a</w:t>
            </w:r>
            <w:r w:rsidR="000D1244">
              <w:rPr>
                <w:rFonts w:cs="Arial"/>
              </w:rPr>
              <w:t>ny-to-any connectivity for services that involve communications with end users</w:t>
            </w:r>
            <w:r>
              <w:rPr>
                <w:rFonts w:cs="Arial"/>
              </w:rPr>
              <w:t>.</w:t>
            </w:r>
            <w:r w:rsidR="002100BB">
              <w:rPr>
                <w:rFonts w:cs="Arial"/>
              </w:rPr>
              <w:t xml:space="preserve"> </w:t>
            </w:r>
            <w:r>
              <w:rPr>
                <w:rFonts w:cs="Arial"/>
              </w:rPr>
              <w:t xml:space="preserve">The concept of any-to-any connectivity is emerging as a key concept </w:t>
            </w:r>
            <w:r w:rsidR="00800674">
              <w:rPr>
                <w:rFonts w:cs="Arial"/>
              </w:rPr>
              <w:t>that will underpin</w:t>
            </w:r>
            <w:r>
              <w:rPr>
                <w:rFonts w:cs="Arial"/>
              </w:rPr>
              <w:t xml:space="preserve"> the complex connections of IoT</w:t>
            </w:r>
          </w:p>
          <w:p w14:paraId="63AB428D" w14:textId="77777777" w:rsidR="00432CC0" w:rsidRDefault="00615CB0" w:rsidP="005B2B43">
            <w:pPr>
              <w:pStyle w:val="TableBody"/>
              <w:numPr>
                <w:ilvl w:val="0"/>
                <w:numId w:val="19"/>
              </w:numPr>
              <w:spacing w:after="120"/>
              <w:ind w:left="459" w:hanging="425"/>
              <w:rPr>
                <w:rFonts w:cs="Arial"/>
              </w:rPr>
            </w:pPr>
            <w:r>
              <w:rPr>
                <w:rFonts w:cs="Arial"/>
              </w:rPr>
              <w:t>e</w:t>
            </w:r>
            <w:r w:rsidR="000D1244">
              <w:rPr>
                <w:rFonts w:cs="Arial"/>
              </w:rPr>
              <w:t>ncourage efficient use of, and investment in infrastructure</w:t>
            </w:r>
            <w:r>
              <w:rPr>
                <w:rFonts w:cs="Arial"/>
              </w:rPr>
              <w:t xml:space="preserve"> including through access to public resources</w:t>
            </w:r>
            <w:r w:rsidR="00432CC0">
              <w:rPr>
                <w:rFonts w:cs="Arial"/>
              </w:rPr>
              <w:t>.</w:t>
            </w:r>
          </w:p>
          <w:p w14:paraId="6EB152EC" w14:textId="0036F87E" w:rsidR="000D1244" w:rsidRDefault="00615CB0" w:rsidP="005B2B43">
            <w:pPr>
              <w:pStyle w:val="TableBody"/>
              <w:spacing w:after="40"/>
              <w:rPr>
                <w:rFonts w:cs="Arial"/>
              </w:rPr>
            </w:pPr>
            <w:r>
              <w:rPr>
                <w:rFonts w:cs="Arial"/>
              </w:rPr>
              <w:t>Competition</w:t>
            </w:r>
            <w:r w:rsidR="00BF7DB8">
              <w:rPr>
                <w:rFonts w:cs="Arial"/>
              </w:rPr>
              <w:t>-</w:t>
            </w:r>
            <w:r>
              <w:rPr>
                <w:rFonts w:cs="Arial"/>
              </w:rPr>
              <w:t xml:space="preserve">related aspects of digital information that enable IoT </w:t>
            </w:r>
            <w:r w:rsidR="00800674">
              <w:rPr>
                <w:rFonts w:cs="Arial"/>
              </w:rPr>
              <w:t>is an emerging area of attention concerning:</w:t>
            </w:r>
          </w:p>
          <w:p w14:paraId="339215D5" w14:textId="6F9F6E22" w:rsidR="00615CB0" w:rsidRDefault="00615CB0" w:rsidP="005B2B43">
            <w:pPr>
              <w:pStyle w:val="TableBody"/>
              <w:numPr>
                <w:ilvl w:val="0"/>
                <w:numId w:val="19"/>
              </w:numPr>
              <w:spacing w:after="40"/>
              <w:ind w:left="459" w:hanging="425"/>
              <w:rPr>
                <w:rFonts w:cs="Arial"/>
              </w:rPr>
            </w:pPr>
            <w:r>
              <w:rPr>
                <w:rFonts w:cs="Arial"/>
              </w:rPr>
              <w:t xml:space="preserve">the degree of control that network operators may exercise over the carriage </w:t>
            </w:r>
            <w:r w:rsidR="00800674">
              <w:rPr>
                <w:rFonts w:cs="Arial"/>
              </w:rPr>
              <w:t>of</w:t>
            </w:r>
            <w:r>
              <w:rPr>
                <w:rFonts w:cs="Arial"/>
              </w:rPr>
              <w:t xml:space="preserve"> data on their network</w:t>
            </w:r>
            <w:r w:rsidR="00800674">
              <w:rPr>
                <w:rFonts w:cs="Arial"/>
              </w:rPr>
              <w:t xml:space="preserve"> (net neutrality issues)</w:t>
            </w:r>
          </w:p>
          <w:p w14:paraId="74E1DFA8" w14:textId="6F6C90B8" w:rsidR="00432CC0" w:rsidRPr="00BF7DB8" w:rsidRDefault="00615CB0" w:rsidP="000F4F8B">
            <w:pPr>
              <w:pStyle w:val="TableBody"/>
              <w:numPr>
                <w:ilvl w:val="0"/>
                <w:numId w:val="19"/>
              </w:numPr>
              <w:spacing w:after="40"/>
              <w:ind w:left="459" w:hanging="425"/>
              <w:rPr>
                <w:rFonts w:cs="Arial"/>
              </w:rPr>
            </w:pPr>
            <w:r>
              <w:rPr>
                <w:rFonts w:cs="Arial"/>
              </w:rPr>
              <w:t xml:space="preserve">the extent to which device interoperability and </w:t>
            </w:r>
            <w:r w:rsidR="009D6A3D">
              <w:rPr>
                <w:rFonts w:cs="Arial"/>
              </w:rPr>
              <w:t xml:space="preserve">the availability of </w:t>
            </w:r>
            <w:r>
              <w:rPr>
                <w:rFonts w:cs="Arial"/>
              </w:rPr>
              <w:t>data portability</w:t>
            </w:r>
            <w:r w:rsidR="009D6A3D">
              <w:rPr>
                <w:rFonts w:cs="Arial"/>
              </w:rPr>
              <w:t xml:space="preserve"> features will </w:t>
            </w:r>
            <w:r>
              <w:rPr>
                <w:rFonts w:cs="Arial"/>
              </w:rPr>
              <w:t>facilitate competition and choice</w:t>
            </w:r>
            <w:r w:rsidR="002041F5">
              <w:rPr>
                <w:rFonts w:cs="Arial"/>
              </w:rPr>
              <w:t>.</w:t>
            </w:r>
          </w:p>
        </w:tc>
      </w:tr>
      <w:tr w:rsidR="009066B3" w:rsidRPr="006D46E5" w14:paraId="2FA9F87D" w14:textId="77777777" w:rsidTr="000F4F8B">
        <w:trPr>
          <w:cantSplit/>
        </w:trPr>
        <w:tc>
          <w:tcPr>
            <w:tcW w:w="1455" w:type="dxa"/>
            <w:shd w:val="clear" w:color="auto" w:fill="F2F2F2" w:themeFill="background1" w:themeFillShade="F2"/>
          </w:tcPr>
          <w:p w14:paraId="099D6B22" w14:textId="3C251056" w:rsidR="009066B3" w:rsidRPr="006D46E5" w:rsidRDefault="009066B3" w:rsidP="00BD35F1">
            <w:pPr>
              <w:pStyle w:val="TableBody"/>
              <w:rPr>
                <w:rFonts w:cs="Arial"/>
              </w:rPr>
            </w:pPr>
          </w:p>
        </w:tc>
        <w:tc>
          <w:tcPr>
            <w:tcW w:w="1393" w:type="dxa"/>
            <w:shd w:val="clear" w:color="auto" w:fill="F2F2F2" w:themeFill="background1" w:themeFillShade="F2"/>
          </w:tcPr>
          <w:p w14:paraId="7723A774" w14:textId="30E5B480" w:rsidR="009066B3" w:rsidRPr="006D46E5" w:rsidRDefault="009066B3" w:rsidP="009066B3">
            <w:pPr>
              <w:pStyle w:val="TableBody"/>
              <w:rPr>
                <w:rFonts w:cs="Arial"/>
              </w:rPr>
            </w:pPr>
            <w:r>
              <w:rPr>
                <w:rFonts w:cs="Arial"/>
              </w:rPr>
              <w:t>Efficiency</w:t>
            </w:r>
          </w:p>
        </w:tc>
        <w:tc>
          <w:tcPr>
            <w:tcW w:w="5245" w:type="dxa"/>
            <w:shd w:val="clear" w:color="auto" w:fill="F2F2F2" w:themeFill="background1" w:themeFillShade="F2"/>
          </w:tcPr>
          <w:p w14:paraId="52510FFA" w14:textId="274AF3F8" w:rsidR="00800674" w:rsidRDefault="009E1B1F" w:rsidP="005B2B43">
            <w:pPr>
              <w:pStyle w:val="TableBody"/>
              <w:spacing w:after="40"/>
              <w:rPr>
                <w:rFonts w:cs="Arial"/>
              </w:rPr>
            </w:pPr>
            <w:r>
              <w:rPr>
                <w:rFonts w:cs="Arial"/>
              </w:rPr>
              <w:t>In the IoT infrastructure context</w:t>
            </w:r>
            <w:r w:rsidR="00BF7DB8">
              <w:rPr>
                <w:rFonts w:cs="Arial"/>
              </w:rPr>
              <w:t>,</w:t>
            </w:r>
            <w:r>
              <w:rPr>
                <w:rFonts w:cs="Arial"/>
              </w:rPr>
              <w:t xml:space="preserve"> this concept remains relevant to </w:t>
            </w:r>
          </w:p>
          <w:p w14:paraId="3CE6F211" w14:textId="119B3024" w:rsidR="009E1B1F" w:rsidRDefault="00BF7DB8" w:rsidP="005B2B43">
            <w:pPr>
              <w:pStyle w:val="TableBody"/>
              <w:numPr>
                <w:ilvl w:val="0"/>
                <w:numId w:val="19"/>
              </w:numPr>
              <w:spacing w:after="40"/>
              <w:ind w:left="459" w:hanging="425"/>
              <w:rPr>
                <w:rFonts w:cs="Arial"/>
              </w:rPr>
            </w:pPr>
            <w:r>
              <w:rPr>
                <w:rFonts w:cs="Arial"/>
              </w:rPr>
              <w:t xml:space="preserve">ensure </w:t>
            </w:r>
            <w:r w:rsidR="009E1B1F">
              <w:rPr>
                <w:rFonts w:cs="Arial"/>
              </w:rPr>
              <w:t xml:space="preserve">the efficient allocation and use of public resources </w:t>
            </w:r>
          </w:p>
          <w:p w14:paraId="28D2C24A" w14:textId="09928EC7" w:rsidR="009E1B1F" w:rsidRDefault="00BF7DB8" w:rsidP="000F4F8B">
            <w:pPr>
              <w:pStyle w:val="TableBody"/>
              <w:numPr>
                <w:ilvl w:val="0"/>
                <w:numId w:val="19"/>
              </w:numPr>
              <w:spacing w:after="120"/>
              <w:ind w:left="459" w:hanging="425"/>
              <w:rPr>
                <w:rFonts w:cs="Arial"/>
              </w:rPr>
            </w:pPr>
            <w:r>
              <w:rPr>
                <w:rFonts w:cs="Arial"/>
              </w:rPr>
              <w:t xml:space="preserve">ensure </w:t>
            </w:r>
            <w:r w:rsidR="009E1B1F">
              <w:rPr>
                <w:rFonts w:cs="Arial"/>
              </w:rPr>
              <w:t>the efficient operation of, and investment in</w:t>
            </w:r>
            <w:r>
              <w:rPr>
                <w:rFonts w:cs="Arial"/>
              </w:rPr>
              <w:t>,</w:t>
            </w:r>
            <w:r w:rsidR="009E1B1F">
              <w:rPr>
                <w:rFonts w:cs="Arial"/>
              </w:rPr>
              <w:t xml:space="preserve"> communications networks.</w:t>
            </w:r>
          </w:p>
          <w:p w14:paraId="4AC718E5" w14:textId="28A97F3C" w:rsidR="00432CC0" w:rsidRDefault="00C617F8" w:rsidP="005B2B43">
            <w:pPr>
              <w:pStyle w:val="TableBody"/>
              <w:spacing w:after="120"/>
              <w:rPr>
                <w:rFonts w:cs="Arial"/>
              </w:rPr>
            </w:pPr>
            <w:r>
              <w:rPr>
                <w:rFonts w:cs="Arial"/>
              </w:rPr>
              <w:t>A continued role for licen</w:t>
            </w:r>
            <w:r w:rsidR="00800674">
              <w:rPr>
                <w:rFonts w:cs="Arial"/>
              </w:rPr>
              <w:t>sing as a method</w:t>
            </w:r>
            <w:r>
              <w:rPr>
                <w:rFonts w:cs="Arial"/>
              </w:rPr>
              <w:t xml:space="preserve"> </w:t>
            </w:r>
            <w:r w:rsidR="002041F5">
              <w:rPr>
                <w:rFonts w:cs="Arial"/>
              </w:rPr>
              <w:t xml:space="preserve">is likely to </w:t>
            </w:r>
            <w:r>
              <w:rPr>
                <w:rFonts w:cs="Arial"/>
              </w:rPr>
              <w:t>remai</w:t>
            </w:r>
            <w:r w:rsidR="00F617AC">
              <w:rPr>
                <w:rFonts w:cs="Arial"/>
              </w:rPr>
              <w:t>n</w:t>
            </w:r>
            <w:r>
              <w:rPr>
                <w:rFonts w:cs="Arial"/>
              </w:rPr>
              <w:t xml:space="preserve"> where </w:t>
            </w:r>
            <w:r w:rsidR="009D6A3D">
              <w:rPr>
                <w:rFonts w:cs="Arial"/>
              </w:rPr>
              <w:t xml:space="preserve">this is </w:t>
            </w:r>
            <w:r>
              <w:rPr>
                <w:rFonts w:cs="Arial"/>
              </w:rPr>
              <w:t xml:space="preserve">related to the management and </w:t>
            </w:r>
            <w:r w:rsidR="00800674">
              <w:rPr>
                <w:rFonts w:cs="Arial"/>
              </w:rPr>
              <w:t xml:space="preserve">efficient allocation </w:t>
            </w:r>
            <w:r>
              <w:rPr>
                <w:rFonts w:cs="Arial"/>
              </w:rPr>
              <w:t xml:space="preserve">and use of </w:t>
            </w:r>
            <w:r w:rsidR="00000391">
              <w:rPr>
                <w:rFonts w:cs="Arial"/>
              </w:rPr>
              <w:t xml:space="preserve">finite </w:t>
            </w:r>
            <w:r>
              <w:rPr>
                <w:rFonts w:cs="Arial"/>
              </w:rPr>
              <w:t>public resources</w:t>
            </w:r>
            <w:r w:rsidR="00000391">
              <w:rPr>
                <w:rFonts w:cs="Arial"/>
              </w:rPr>
              <w:t xml:space="preserve"> such as spectrum</w:t>
            </w:r>
            <w:r>
              <w:rPr>
                <w:rFonts w:cs="Arial"/>
              </w:rPr>
              <w:t>.</w:t>
            </w:r>
          </w:p>
          <w:p w14:paraId="6BBF9452" w14:textId="567C1686" w:rsidR="00432CC0" w:rsidRPr="006D46E5" w:rsidRDefault="00C617F8" w:rsidP="00F617AC">
            <w:pPr>
              <w:pStyle w:val="TableBody"/>
              <w:rPr>
                <w:rFonts w:cs="Arial"/>
              </w:rPr>
            </w:pPr>
            <w:r>
              <w:rPr>
                <w:rFonts w:cs="Arial"/>
              </w:rPr>
              <w:t>IoT applications that do not rely on these resources will sit outside the regulated</w:t>
            </w:r>
            <w:r w:rsidR="00875C20">
              <w:rPr>
                <w:rFonts w:cs="Arial"/>
              </w:rPr>
              <w:t xml:space="preserve"> sphere of activity</w:t>
            </w:r>
            <w:r w:rsidR="00BF7DB8">
              <w:rPr>
                <w:rFonts w:cs="Arial"/>
              </w:rPr>
              <w:t>,</w:t>
            </w:r>
            <w:r w:rsidR="009D2DFF">
              <w:rPr>
                <w:rFonts w:cs="Arial"/>
              </w:rPr>
              <w:t xml:space="preserve"> where licensing is used </w:t>
            </w:r>
            <w:r w:rsidR="00000391">
              <w:rPr>
                <w:rFonts w:cs="Arial"/>
              </w:rPr>
              <w:t xml:space="preserve">as </w:t>
            </w:r>
            <w:r w:rsidR="009D2DFF">
              <w:rPr>
                <w:rFonts w:cs="Arial"/>
              </w:rPr>
              <w:t>a construct to manage the efficient operation of markets and market participants</w:t>
            </w:r>
            <w:r w:rsidR="00875C20">
              <w:rPr>
                <w:rFonts w:cs="Arial"/>
              </w:rPr>
              <w:t>.</w:t>
            </w:r>
          </w:p>
        </w:tc>
      </w:tr>
      <w:tr w:rsidR="009066B3" w:rsidRPr="006D46E5" w14:paraId="5F75BD41" w14:textId="77777777" w:rsidTr="000F4F8B">
        <w:trPr>
          <w:cantSplit/>
        </w:trPr>
        <w:tc>
          <w:tcPr>
            <w:tcW w:w="1455" w:type="dxa"/>
            <w:shd w:val="clear" w:color="auto" w:fill="auto"/>
          </w:tcPr>
          <w:p w14:paraId="2F7F59B9" w14:textId="674A1D9C" w:rsidR="009066B3" w:rsidRPr="006D46E5" w:rsidRDefault="009066B3" w:rsidP="00BD35F1">
            <w:pPr>
              <w:pStyle w:val="TableBody"/>
              <w:rPr>
                <w:rFonts w:cs="Arial"/>
              </w:rPr>
            </w:pPr>
          </w:p>
        </w:tc>
        <w:tc>
          <w:tcPr>
            <w:tcW w:w="1393" w:type="dxa"/>
            <w:shd w:val="clear" w:color="auto" w:fill="auto"/>
          </w:tcPr>
          <w:p w14:paraId="43A1D850" w14:textId="215ECB61" w:rsidR="009066B3" w:rsidRPr="006D46E5" w:rsidRDefault="009066B3" w:rsidP="009066B3">
            <w:pPr>
              <w:pStyle w:val="TableBody"/>
              <w:rPr>
                <w:rFonts w:cs="Arial"/>
              </w:rPr>
            </w:pPr>
            <w:r>
              <w:rPr>
                <w:rFonts w:cs="Arial"/>
              </w:rPr>
              <w:t>National interest</w:t>
            </w:r>
          </w:p>
        </w:tc>
        <w:tc>
          <w:tcPr>
            <w:tcW w:w="5245" w:type="dxa"/>
            <w:shd w:val="clear" w:color="auto" w:fill="auto"/>
          </w:tcPr>
          <w:p w14:paraId="0296F33A" w14:textId="34CCC055" w:rsidR="00432CC0" w:rsidRDefault="00AF50A8" w:rsidP="005B2B43">
            <w:pPr>
              <w:pStyle w:val="TableBody"/>
              <w:spacing w:after="120"/>
              <w:rPr>
                <w:rFonts w:cs="Arial"/>
              </w:rPr>
            </w:pPr>
            <w:r>
              <w:rPr>
                <w:rFonts w:cs="Arial"/>
              </w:rPr>
              <w:t xml:space="preserve">Defence, security and law enforcement agencies </w:t>
            </w:r>
            <w:r w:rsidR="009D2DFF">
              <w:rPr>
                <w:rFonts w:cs="Arial"/>
              </w:rPr>
              <w:t>are likely</w:t>
            </w:r>
            <w:r w:rsidR="00F617AC">
              <w:rPr>
                <w:rFonts w:cs="Arial"/>
              </w:rPr>
              <w:t xml:space="preserve"> to</w:t>
            </w:r>
            <w:r>
              <w:rPr>
                <w:rFonts w:cs="Arial"/>
              </w:rPr>
              <w:t xml:space="preserve"> continue to have requirements in the IoT environment to protect the security of Australia. Complex </w:t>
            </w:r>
            <w:r w:rsidR="00000391">
              <w:rPr>
                <w:rFonts w:cs="Arial"/>
              </w:rPr>
              <w:t xml:space="preserve">IoT </w:t>
            </w:r>
            <w:r>
              <w:rPr>
                <w:rFonts w:cs="Arial"/>
              </w:rPr>
              <w:t>connections potentially</w:t>
            </w:r>
            <w:r w:rsidR="00000391">
              <w:rPr>
                <w:rFonts w:cs="Arial"/>
              </w:rPr>
              <w:t xml:space="preserve"> greatly</w:t>
            </w:r>
            <w:r>
              <w:rPr>
                <w:rFonts w:cs="Arial"/>
              </w:rPr>
              <w:t xml:space="preserve"> amplif</w:t>
            </w:r>
            <w:r w:rsidR="00000391">
              <w:rPr>
                <w:rFonts w:cs="Arial"/>
              </w:rPr>
              <w:t>y</w:t>
            </w:r>
            <w:r>
              <w:rPr>
                <w:rFonts w:cs="Arial"/>
              </w:rPr>
              <w:t xml:space="preserve"> the impacts of any network or national security breaches. </w:t>
            </w:r>
          </w:p>
          <w:p w14:paraId="32F44131" w14:textId="36459404" w:rsidR="00E03D4A" w:rsidRPr="006D46E5" w:rsidRDefault="00AF50A8" w:rsidP="00BF7DB8">
            <w:pPr>
              <w:pStyle w:val="TableBody"/>
              <w:rPr>
                <w:rFonts w:cs="Arial"/>
              </w:rPr>
            </w:pPr>
            <w:r>
              <w:rPr>
                <w:rFonts w:cs="Arial"/>
              </w:rPr>
              <w:t xml:space="preserve">A heightened interest in </w:t>
            </w:r>
            <w:r w:rsidR="004D4D56">
              <w:rPr>
                <w:rFonts w:cs="Arial"/>
              </w:rPr>
              <w:t xml:space="preserve">device and </w:t>
            </w:r>
            <w:r>
              <w:rPr>
                <w:rFonts w:cs="Arial"/>
              </w:rPr>
              <w:t xml:space="preserve">network security and reliability may </w:t>
            </w:r>
            <w:r w:rsidR="004D4D56">
              <w:rPr>
                <w:rFonts w:cs="Arial"/>
              </w:rPr>
              <w:t xml:space="preserve">require new technological solutions </w:t>
            </w:r>
            <w:r w:rsidR="002D6FEE">
              <w:rPr>
                <w:rFonts w:cs="Arial"/>
              </w:rPr>
              <w:t xml:space="preserve">and/or standards specification </w:t>
            </w:r>
            <w:r w:rsidR="004D4D56">
              <w:rPr>
                <w:rFonts w:cs="Arial"/>
              </w:rPr>
              <w:t>to addre</w:t>
            </w:r>
            <w:r w:rsidR="00A12A74">
              <w:rPr>
                <w:rFonts w:cs="Arial"/>
              </w:rPr>
              <w:t>s</w:t>
            </w:r>
            <w:r w:rsidR="004D4D56">
              <w:rPr>
                <w:rFonts w:cs="Arial"/>
              </w:rPr>
              <w:t>s the interception and access requirements of law enforcement and national security agencies.</w:t>
            </w:r>
            <w:r>
              <w:rPr>
                <w:rFonts w:cs="Arial"/>
              </w:rPr>
              <w:t xml:space="preserve"> </w:t>
            </w:r>
          </w:p>
        </w:tc>
      </w:tr>
      <w:tr w:rsidR="009066B3" w:rsidRPr="006D46E5" w14:paraId="7A62D0FA" w14:textId="77777777" w:rsidTr="000F4F8B">
        <w:trPr>
          <w:cantSplit/>
        </w:trPr>
        <w:tc>
          <w:tcPr>
            <w:tcW w:w="1455" w:type="dxa"/>
            <w:shd w:val="clear" w:color="auto" w:fill="F2F2F2" w:themeFill="background1" w:themeFillShade="F2"/>
          </w:tcPr>
          <w:p w14:paraId="42EA5941" w14:textId="3D6142DE" w:rsidR="009066B3" w:rsidRPr="006D46E5" w:rsidRDefault="00F21126" w:rsidP="00BD35F1">
            <w:pPr>
              <w:pStyle w:val="TableBody"/>
              <w:rPr>
                <w:rFonts w:cs="Arial"/>
              </w:rPr>
            </w:pPr>
            <w:r>
              <w:rPr>
                <w:rFonts w:cs="Arial"/>
              </w:rPr>
              <w:lastRenderedPageBreak/>
              <w:t xml:space="preserve">2. </w:t>
            </w:r>
            <w:r w:rsidR="009066B3">
              <w:rPr>
                <w:rFonts w:cs="Arial"/>
              </w:rPr>
              <w:t>Devices</w:t>
            </w:r>
          </w:p>
        </w:tc>
        <w:tc>
          <w:tcPr>
            <w:tcW w:w="1393" w:type="dxa"/>
            <w:shd w:val="clear" w:color="auto" w:fill="F2F2F2" w:themeFill="background1" w:themeFillShade="F2"/>
          </w:tcPr>
          <w:p w14:paraId="336EE902" w14:textId="4EEE5636" w:rsidR="009066B3" w:rsidRPr="006D46E5" w:rsidRDefault="009066B3" w:rsidP="00BD35F1">
            <w:pPr>
              <w:pStyle w:val="TableBody"/>
              <w:rPr>
                <w:rFonts w:cs="Arial"/>
              </w:rPr>
            </w:pPr>
            <w:r>
              <w:rPr>
                <w:rFonts w:cs="Arial"/>
              </w:rPr>
              <w:t>Quality</w:t>
            </w:r>
          </w:p>
        </w:tc>
        <w:tc>
          <w:tcPr>
            <w:tcW w:w="5245" w:type="dxa"/>
            <w:shd w:val="clear" w:color="auto" w:fill="F2F2F2" w:themeFill="background1" w:themeFillShade="F2"/>
          </w:tcPr>
          <w:p w14:paraId="15FC39A3" w14:textId="140FA0BB" w:rsidR="00432CC0" w:rsidRDefault="004D4D56" w:rsidP="005B2B43">
            <w:pPr>
              <w:pStyle w:val="TableBody"/>
              <w:spacing w:after="120"/>
              <w:rPr>
                <w:rFonts w:cs="Arial"/>
              </w:rPr>
            </w:pPr>
            <w:r>
              <w:rPr>
                <w:rFonts w:cs="Arial"/>
              </w:rPr>
              <w:t>While quality objectives have a number of different dimensions in communications and media regulation, the elements most relevant to IoT concern quality standards relevant to technical and product performance in service delivery</w:t>
            </w:r>
            <w:r w:rsidR="00380D53">
              <w:rPr>
                <w:rFonts w:cs="Arial"/>
              </w:rPr>
              <w:t>.</w:t>
            </w:r>
          </w:p>
          <w:p w14:paraId="083BD3D2" w14:textId="3695F18A" w:rsidR="00432CC0" w:rsidRDefault="009D2DFF" w:rsidP="005B2B43">
            <w:pPr>
              <w:pStyle w:val="TableBody"/>
              <w:spacing w:after="120"/>
              <w:rPr>
                <w:rFonts w:cs="Arial"/>
              </w:rPr>
            </w:pPr>
            <w:r>
              <w:rPr>
                <w:rFonts w:cs="Arial"/>
              </w:rPr>
              <w:t>These quality standards are</w:t>
            </w:r>
            <w:r w:rsidR="004D4D56">
              <w:rPr>
                <w:rFonts w:cs="Arial"/>
              </w:rPr>
              <w:t xml:space="preserve"> primarily achieved by network performance and device standards and licence obligations</w:t>
            </w:r>
            <w:r>
              <w:rPr>
                <w:rFonts w:cs="Arial"/>
              </w:rPr>
              <w:t xml:space="preserve"> in current regulat</w:t>
            </w:r>
            <w:r w:rsidR="00F617AC">
              <w:rPr>
                <w:rFonts w:cs="Arial"/>
              </w:rPr>
              <w:t>ion.</w:t>
            </w:r>
          </w:p>
          <w:p w14:paraId="40EDB5C3" w14:textId="49E6F61C" w:rsidR="00432CC0" w:rsidRPr="006D46E5" w:rsidRDefault="004D4D56" w:rsidP="00F617AC">
            <w:pPr>
              <w:pStyle w:val="TableBody"/>
              <w:rPr>
                <w:rFonts w:cs="Arial"/>
              </w:rPr>
            </w:pPr>
            <w:r>
              <w:rPr>
                <w:rFonts w:cs="Arial"/>
              </w:rPr>
              <w:t xml:space="preserve">The methods for delivering these quality objectives are </w:t>
            </w:r>
            <w:r w:rsidR="006055DC">
              <w:rPr>
                <w:rFonts w:cs="Arial"/>
              </w:rPr>
              <w:t>currently tied to specific licence and service types, but provide a basis for further enabling IoT applications</w:t>
            </w:r>
            <w:r w:rsidR="00F617AC">
              <w:rPr>
                <w:rFonts w:cs="Arial"/>
              </w:rPr>
              <w:t>, primarily through the specification and harmonisation of device standards. There are benefits to device manufacturers where harmonised standards can provide economies of scale th</w:t>
            </w:r>
            <w:r w:rsidR="00380D53">
              <w:rPr>
                <w:rFonts w:cs="Arial"/>
              </w:rPr>
              <w:t>at realise lower cost devices.</w:t>
            </w:r>
          </w:p>
        </w:tc>
      </w:tr>
      <w:tr w:rsidR="00DC180D" w:rsidRPr="006D46E5" w14:paraId="475D4E76" w14:textId="77777777" w:rsidTr="000F4F8B">
        <w:trPr>
          <w:cantSplit/>
        </w:trPr>
        <w:tc>
          <w:tcPr>
            <w:tcW w:w="1455" w:type="dxa"/>
            <w:shd w:val="clear" w:color="auto" w:fill="auto"/>
          </w:tcPr>
          <w:p w14:paraId="5D1C3D89" w14:textId="77777777" w:rsidR="00DC180D" w:rsidRDefault="00DC180D" w:rsidP="00BD35F1">
            <w:pPr>
              <w:pStyle w:val="TableBody"/>
              <w:rPr>
                <w:rFonts w:cs="Arial"/>
              </w:rPr>
            </w:pPr>
          </w:p>
        </w:tc>
        <w:tc>
          <w:tcPr>
            <w:tcW w:w="1393" w:type="dxa"/>
            <w:shd w:val="clear" w:color="auto" w:fill="auto"/>
          </w:tcPr>
          <w:p w14:paraId="1F719D0B" w14:textId="6316DB49" w:rsidR="00DC180D" w:rsidRDefault="00DC180D" w:rsidP="00BD35F1">
            <w:pPr>
              <w:pStyle w:val="TableBody"/>
              <w:rPr>
                <w:rFonts w:cs="Arial"/>
              </w:rPr>
            </w:pPr>
            <w:r>
              <w:rPr>
                <w:rFonts w:cs="Arial"/>
              </w:rPr>
              <w:t>National interest</w:t>
            </w:r>
          </w:p>
        </w:tc>
        <w:tc>
          <w:tcPr>
            <w:tcW w:w="5245" w:type="dxa"/>
            <w:shd w:val="clear" w:color="auto" w:fill="auto"/>
          </w:tcPr>
          <w:p w14:paraId="64A27487" w14:textId="404A04A8" w:rsidR="00432CC0" w:rsidRPr="006D46E5" w:rsidRDefault="00A12A74" w:rsidP="00000391">
            <w:pPr>
              <w:pStyle w:val="TableBody"/>
              <w:rPr>
                <w:rFonts w:cs="Arial"/>
              </w:rPr>
            </w:pPr>
            <w:r>
              <w:rPr>
                <w:rFonts w:cs="Arial"/>
              </w:rPr>
              <w:t xml:space="preserve">As noted above, device </w:t>
            </w:r>
            <w:r w:rsidR="002D6FEE">
              <w:rPr>
                <w:rFonts w:cs="Arial"/>
              </w:rPr>
              <w:t xml:space="preserve">standards </w:t>
            </w:r>
            <w:r w:rsidR="009D2DFF">
              <w:rPr>
                <w:rFonts w:cs="Arial"/>
              </w:rPr>
              <w:t xml:space="preserve">are likely to </w:t>
            </w:r>
            <w:r w:rsidR="002D6FEE">
              <w:rPr>
                <w:rFonts w:cs="Arial"/>
              </w:rPr>
              <w:t>play a</w:t>
            </w:r>
            <w:r w:rsidR="00000391">
              <w:rPr>
                <w:rFonts w:cs="Arial"/>
              </w:rPr>
              <w:t>n</w:t>
            </w:r>
            <w:r w:rsidR="002D6FEE">
              <w:rPr>
                <w:rFonts w:cs="Arial"/>
              </w:rPr>
              <w:t xml:space="preserve"> important role in meeting the national security and law enforcement objectives in the connected IoT environment.</w:t>
            </w:r>
          </w:p>
        </w:tc>
      </w:tr>
      <w:tr w:rsidR="009066B3" w:rsidRPr="006D46E5" w14:paraId="58DCAC40" w14:textId="77777777" w:rsidTr="000F4F8B">
        <w:trPr>
          <w:cantSplit/>
        </w:trPr>
        <w:tc>
          <w:tcPr>
            <w:tcW w:w="1455" w:type="dxa"/>
            <w:shd w:val="clear" w:color="auto" w:fill="F2F2F2" w:themeFill="background1" w:themeFillShade="F2"/>
          </w:tcPr>
          <w:p w14:paraId="3BF8108A" w14:textId="264C1F8B" w:rsidR="009066B3" w:rsidRPr="006D46E5" w:rsidRDefault="00F21126" w:rsidP="00F21126">
            <w:pPr>
              <w:pStyle w:val="TableBody"/>
              <w:rPr>
                <w:rFonts w:cs="Arial"/>
              </w:rPr>
            </w:pPr>
            <w:r>
              <w:rPr>
                <w:rFonts w:cs="Arial"/>
              </w:rPr>
              <w:t>3.</w:t>
            </w:r>
            <w:r w:rsidR="00E03D4A">
              <w:rPr>
                <w:rFonts w:cs="Arial"/>
              </w:rPr>
              <w:t xml:space="preserve"> </w:t>
            </w:r>
            <w:r w:rsidR="00DC180D">
              <w:rPr>
                <w:rFonts w:cs="Arial"/>
              </w:rPr>
              <w:t xml:space="preserve">Data and </w:t>
            </w:r>
            <w:r w:rsidR="00BF7DB8">
              <w:rPr>
                <w:rFonts w:cs="Arial"/>
              </w:rPr>
              <w:t>i</w:t>
            </w:r>
            <w:r w:rsidR="00DC180D">
              <w:rPr>
                <w:rFonts w:cs="Arial"/>
              </w:rPr>
              <w:t>nformation</w:t>
            </w:r>
          </w:p>
        </w:tc>
        <w:tc>
          <w:tcPr>
            <w:tcW w:w="1393" w:type="dxa"/>
            <w:shd w:val="clear" w:color="auto" w:fill="F2F2F2" w:themeFill="background1" w:themeFillShade="F2"/>
          </w:tcPr>
          <w:p w14:paraId="369F5294" w14:textId="6402CDCE" w:rsidR="009066B3" w:rsidRPr="006D46E5" w:rsidRDefault="00DC180D" w:rsidP="00BD35F1">
            <w:pPr>
              <w:pStyle w:val="TableBody"/>
              <w:rPr>
                <w:rFonts w:cs="Arial"/>
              </w:rPr>
            </w:pPr>
            <w:r>
              <w:rPr>
                <w:rFonts w:cs="Arial"/>
              </w:rPr>
              <w:t>Quality</w:t>
            </w:r>
          </w:p>
        </w:tc>
        <w:tc>
          <w:tcPr>
            <w:tcW w:w="5245" w:type="dxa"/>
            <w:shd w:val="clear" w:color="auto" w:fill="F2F2F2" w:themeFill="background1" w:themeFillShade="F2"/>
          </w:tcPr>
          <w:p w14:paraId="592DB8E3" w14:textId="27F7DBED" w:rsidR="006055DC" w:rsidRDefault="006055DC" w:rsidP="005B2B43">
            <w:pPr>
              <w:pStyle w:val="TableBody"/>
              <w:spacing w:after="120"/>
              <w:rPr>
                <w:rFonts w:cs="Arial"/>
              </w:rPr>
            </w:pPr>
            <w:r>
              <w:rPr>
                <w:rFonts w:cs="Arial"/>
              </w:rPr>
              <w:t xml:space="preserve">Another dimension of quality objectives is information </w:t>
            </w:r>
            <w:r w:rsidR="00CE5B96">
              <w:rPr>
                <w:rFonts w:cs="Arial"/>
              </w:rPr>
              <w:t>standards that</w:t>
            </w:r>
            <w:r w:rsidR="00F21126">
              <w:rPr>
                <w:rFonts w:cs="Arial"/>
              </w:rPr>
              <w:t>,</w:t>
            </w:r>
            <w:r w:rsidR="009D2DFF">
              <w:rPr>
                <w:rFonts w:cs="Arial"/>
              </w:rPr>
              <w:t xml:space="preserve"> in the IoT </w:t>
            </w:r>
            <w:r w:rsidR="00CE5B96">
              <w:rPr>
                <w:rFonts w:cs="Arial"/>
              </w:rPr>
              <w:t>context</w:t>
            </w:r>
            <w:r w:rsidR="00F21126">
              <w:rPr>
                <w:rFonts w:cs="Arial"/>
              </w:rPr>
              <w:t>,</w:t>
            </w:r>
            <w:r w:rsidR="009D2DFF">
              <w:rPr>
                <w:rFonts w:cs="Arial"/>
              </w:rPr>
              <w:t xml:space="preserve"> are likely to be</w:t>
            </w:r>
            <w:r>
              <w:rPr>
                <w:rFonts w:cs="Arial"/>
              </w:rPr>
              <w:t xml:space="preserve"> concerned with the provision of consumer product information. </w:t>
            </w:r>
          </w:p>
          <w:p w14:paraId="192FC671" w14:textId="5E47527B" w:rsidR="00432CC0" w:rsidRPr="006D46E5" w:rsidRDefault="006055DC" w:rsidP="00000391">
            <w:pPr>
              <w:pStyle w:val="TableBody"/>
              <w:rPr>
                <w:rFonts w:cs="Arial"/>
              </w:rPr>
            </w:pPr>
            <w:r>
              <w:rPr>
                <w:rFonts w:cs="Arial"/>
              </w:rPr>
              <w:t xml:space="preserve">In the IoT environment, the requirement for seamless transmission of large quantities of information between devices may require additional attention </w:t>
            </w:r>
            <w:r w:rsidR="00000391">
              <w:rPr>
                <w:rFonts w:cs="Arial"/>
              </w:rPr>
              <w:t xml:space="preserve">to </w:t>
            </w:r>
            <w:r>
              <w:rPr>
                <w:rFonts w:cs="Arial"/>
              </w:rPr>
              <w:t>the underpinning standards needed to support information transfer</w:t>
            </w:r>
            <w:r w:rsidR="00BF7DB8">
              <w:rPr>
                <w:rFonts w:cs="Arial"/>
              </w:rPr>
              <w:t>. Certainty also needs to be given</w:t>
            </w:r>
            <w:r>
              <w:rPr>
                <w:rFonts w:cs="Arial"/>
              </w:rPr>
              <w:t xml:space="preserve"> to providers of information </w:t>
            </w:r>
            <w:r w:rsidR="00000391">
              <w:rPr>
                <w:rFonts w:cs="Arial"/>
              </w:rPr>
              <w:t xml:space="preserve">about </w:t>
            </w:r>
            <w:r>
              <w:rPr>
                <w:rFonts w:cs="Arial"/>
              </w:rPr>
              <w:t>how such information will be collected, transmitted and stored</w:t>
            </w:r>
            <w:r w:rsidR="009D2DFF">
              <w:rPr>
                <w:rFonts w:cs="Arial"/>
              </w:rPr>
              <w:t>, including the treatment of personal information and privacy protections</w:t>
            </w:r>
            <w:r w:rsidR="00432CC0">
              <w:rPr>
                <w:rFonts w:cs="Arial"/>
              </w:rPr>
              <w:t>.</w:t>
            </w:r>
          </w:p>
        </w:tc>
      </w:tr>
      <w:tr w:rsidR="00DC180D" w:rsidRPr="006D46E5" w14:paraId="53528F07" w14:textId="77777777" w:rsidTr="000F4F8B">
        <w:trPr>
          <w:cantSplit/>
        </w:trPr>
        <w:tc>
          <w:tcPr>
            <w:tcW w:w="1455" w:type="dxa"/>
            <w:shd w:val="clear" w:color="auto" w:fill="auto"/>
          </w:tcPr>
          <w:p w14:paraId="2A01B1CA" w14:textId="0B003D36" w:rsidR="00DC180D" w:rsidRPr="006D46E5" w:rsidRDefault="00DC180D" w:rsidP="00BD35F1">
            <w:pPr>
              <w:pStyle w:val="TableBody"/>
              <w:rPr>
                <w:rFonts w:cs="Arial"/>
              </w:rPr>
            </w:pPr>
          </w:p>
        </w:tc>
        <w:tc>
          <w:tcPr>
            <w:tcW w:w="1393" w:type="dxa"/>
            <w:shd w:val="clear" w:color="auto" w:fill="auto"/>
          </w:tcPr>
          <w:p w14:paraId="1E0E60FC" w14:textId="06D5529F" w:rsidR="00DC180D" w:rsidRPr="006D46E5" w:rsidRDefault="00DC180D" w:rsidP="00BD35F1">
            <w:pPr>
              <w:pStyle w:val="TableBody"/>
              <w:rPr>
                <w:rFonts w:cs="Arial"/>
              </w:rPr>
            </w:pPr>
            <w:r>
              <w:rPr>
                <w:rFonts w:cs="Arial"/>
              </w:rPr>
              <w:t>Digital information management</w:t>
            </w:r>
          </w:p>
        </w:tc>
        <w:tc>
          <w:tcPr>
            <w:tcW w:w="5245" w:type="dxa"/>
            <w:shd w:val="clear" w:color="auto" w:fill="auto"/>
          </w:tcPr>
          <w:p w14:paraId="2338F2BF" w14:textId="1AFE4439" w:rsidR="00432CC0" w:rsidRDefault="005B4A57" w:rsidP="005B2B43">
            <w:pPr>
              <w:pStyle w:val="TableBody"/>
              <w:spacing w:after="120"/>
              <w:rPr>
                <w:rFonts w:cs="Arial"/>
              </w:rPr>
            </w:pPr>
            <w:r>
              <w:rPr>
                <w:rFonts w:cs="Arial"/>
              </w:rPr>
              <w:t>The integrity of personal information, and the interoperability of devices and portability of data and information</w:t>
            </w:r>
            <w:r w:rsidR="00BF7DB8">
              <w:rPr>
                <w:rFonts w:cs="Arial"/>
              </w:rPr>
              <w:t>,</w:t>
            </w:r>
            <w:r>
              <w:rPr>
                <w:rFonts w:cs="Arial"/>
              </w:rPr>
              <w:t xml:space="preserve"> will be key underpinnings for the IoT environment. </w:t>
            </w:r>
          </w:p>
          <w:p w14:paraId="19671C6C" w14:textId="0B12F13E" w:rsidR="00432CC0" w:rsidRDefault="005B4A57" w:rsidP="005B2B43">
            <w:pPr>
              <w:pStyle w:val="TableBody"/>
              <w:spacing w:after="120"/>
              <w:rPr>
                <w:rFonts w:cs="Arial"/>
              </w:rPr>
            </w:pPr>
            <w:r>
              <w:rPr>
                <w:rFonts w:cs="Arial"/>
              </w:rPr>
              <w:t>Three elements of this concept may require further examination in the IoT context to provide certainty for suppliers of IoT services about their obligations, as well as certainty for users in supplying information that is exchanged in M2M and IoT communications</w:t>
            </w:r>
            <w:r w:rsidR="00380D53">
              <w:rPr>
                <w:rFonts w:cs="Arial"/>
              </w:rPr>
              <w:t>.</w:t>
            </w:r>
          </w:p>
          <w:p w14:paraId="2DCD0DCC" w14:textId="23BA19A7" w:rsidR="00DC180D" w:rsidRDefault="002F12D8" w:rsidP="005B2B43">
            <w:pPr>
              <w:pStyle w:val="TableBody"/>
              <w:spacing w:after="40"/>
              <w:rPr>
                <w:rFonts w:cs="Arial"/>
              </w:rPr>
            </w:pPr>
            <w:r>
              <w:rPr>
                <w:rFonts w:cs="Arial"/>
              </w:rPr>
              <w:t>These elements include:</w:t>
            </w:r>
          </w:p>
          <w:p w14:paraId="37D41A57" w14:textId="515A3B22" w:rsidR="005B4A57" w:rsidRDefault="005B4A57" w:rsidP="005B2B43">
            <w:pPr>
              <w:pStyle w:val="TableBody"/>
              <w:numPr>
                <w:ilvl w:val="0"/>
                <w:numId w:val="19"/>
              </w:numPr>
              <w:spacing w:after="40"/>
              <w:ind w:left="459" w:hanging="425"/>
              <w:rPr>
                <w:rFonts w:cs="Arial"/>
              </w:rPr>
            </w:pPr>
            <w:r>
              <w:rPr>
                <w:rFonts w:cs="Arial"/>
              </w:rPr>
              <w:t>how much control should be available to network operators over the carriage of data over their networks (for example, packet inspection)</w:t>
            </w:r>
          </w:p>
          <w:p w14:paraId="1A396751" w14:textId="77777777" w:rsidR="005B4A57" w:rsidRDefault="005B4A57" w:rsidP="005B2B43">
            <w:pPr>
              <w:pStyle w:val="TableBody"/>
              <w:numPr>
                <w:ilvl w:val="0"/>
                <w:numId w:val="19"/>
              </w:numPr>
              <w:spacing w:after="40"/>
              <w:ind w:left="459" w:hanging="425"/>
              <w:rPr>
                <w:rFonts w:cs="Arial"/>
              </w:rPr>
            </w:pPr>
            <w:r>
              <w:rPr>
                <w:rFonts w:cs="Arial"/>
              </w:rPr>
              <w:t>how service providers and other rights-holders store, retrieve and use personal data provided to them by users</w:t>
            </w:r>
          </w:p>
          <w:p w14:paraId="28AB6BC8" w14:textId="75FC6D3F" w:rsidR="00432CC0" w:rsidRPr="006D46E5" w:rsidRDefault="005B4A57" w:rsidP="005B2B43">
            <w:pPr>
              <w:pStyle w:val="TableBody"/>
              <w:numPr>
                <w:ilvl w:val="0"/>
                <w:numId w:val="19"/>
              </w:numPr>
              <w:spacing w:after="40"/>
              <w:ind w:left="459" w:hanging="425"/>
              <w:rPr>
                <w:rFonts w:cs="Arial"/>
              </w:rPr>
            </w:pPr>
            <w:r>
              <w:rPr>
                <w:rFonts w:cs="Arial"/>
              </w:rPr>
              <w:t>device interoperability and portability of data between devices and networks.</w:t>
            </w:r>
          </w:p>
        </w:tc>
      </w:tr>
      <w:tr w:rsidR="00DC180D" w:rsidRPr="006D46E5" w14:paraId="1B99DD88" w14:textId="77777777" w:rsidTr="000F4F8B">
        <w:trPr>
          <w:cantSplit/>
        </w:trPr>
        <w:tc>
          <w:tcPr>
            <w:tcW w:w="1455" w:type="dxa"/>
            <w:shd w:val="clear" w:color="auto" w:fill="F2F2F2" w:themeFill="background1" w:themeFillShade="F2"/>
          </w:tcPr>
          <w:p w14:paraId="5C38EE73" w14:textId="2E971045" w:rsidR="00DC180D" w:rsidRPr="006D46E5" w:rsidRDefault="00DC180D" w:rsidP="00BD35F1">
            <w:pPr>
              <w:pStyle w:val="TableBody"/>
              <w:rPr>
                <w:rFonts w:cs="Arial"/>
              </w:rPr>
            </w:pPr>
          </w:p>
        </w:tc>
        <w:tc>
          <w:tcPr>
            <w:tcW w:w="1393" w:type="dxa"/>
            <w:shd w:val="clear" w:color="auto" w:fill="F2F2F2" w:themeFill="background1" w:themeFillShade="F2"/>
          </w:tcPr>
          <w:p w14:paraId="0F2096DC" w14:textId="40CF4699" w:rsidR="00DC180D" w:rsidRPr="006D46E5" w:rsidRDefault="00DC180D" w:rsidP="00BD35F1">
            <w:pPr>
              <w:pStyle w:val="TableBody"/>
              <w:rPr>
                <w:rFonts w:cs="Arial"/>
              </w:rPr>
            </w:pPr>
            <w:r>
              <w:rPr>
                <w:rFonts w:cs="Arial"/>
              </w:rPr>
              <w:t>Protection of the public</w:t>
            </w:r>
          </w:p>
        </w:tc>
        <w:tc>
          <w:tcPr>
            <w:tcW w:w="5245" w:type="dxa"/>
            <w:shd w:val="clear" w:color="auto" w:fill="F2F2F2" w:themeFill="background1" w:themeFillShade="F2"/>
          </w:tcPr>
          <w:p w14:paraId="6E66B0B4" w14:textId="30C1453C" w:rsidR="00DC180D" w:rsidRDefault="005B4A57" w:rsidP="005B2B43">
            <w:pPr>
              <w:pStyle w:val="TableBody"/>
              <w:spacing w:after="40"/>
              <w:rPr>
                <w:rFonts w:cs="Arial"/>
              </w:rPr>
            </w:pPr>
            <w:r>
              <w:rPr>
                <w:rFonts w:cs="Arial"/>
              </w:rPr>
              <w:t xml:space="preserve">Three elements of this concept </w:t>
            </w:r>
            <w:r w:rsidR="002F12D8">
              <w:rPr>
                <w:rFonts w:cs="Arial"/>
              </w:rPr>
              <w:t>that are identified as being of</w:t>
            </w:r>
            <w:r w:rsidR="00380D53">
              <w:rPr>
                <w:rFonts w:cs="Arial"/>
              </w:rPr>
              <w:t xml:space="preserve"> most relevance to IoT include:</w:t>
            </w:r>
          </w:p>
          <w:p w14:paraId="26C6C7B9" w14:textId="0189EB56" w:rsidR="005B4A57" w:rsidRDefault="005B4A57" w:rsidP="005B2B43">
            <w:pPr>
              <w:pStyle w:val="TableBody"/>
              <w:numPr>
                <w:ilvl w:val="0"/>
                <w:numId w:val="19"/>
              </w:numPr>
              <w:spacing w:after="40"/>
              <w:ind w:left="459" w:hanging="425"/>
              <w:rPr>
                <w:rFonts w:cs="Arial"/>
              </w:rPr>
            </w:pPr>
            <w:r>
              <w:rPr>
                <w:rFonts w:cs="Arial"/>
              </w:rPr>
              <w:t>access to emergency services to protect life, health and safety</w:t>
            </w:r>
            <w:r w:rsidR="009F740A">
              <w:rPr>
                <w:rFonts w:cs="Arial"/>
              </w:rPr>
              <w:t>. In a highly networked environment, IoT applications may become another platform for general communications including accessing emergency service</w:t>
            </w:r>
            <w:r w:rsidR="00BF7DB8">
              <w:rPr>
                <w:rFonts w:cs="Arial"/>
              </w:rPr>
              <w:t>s</w:t>
            </w:r>
          </w:p>
          <w:p w14:paraId="3624FAA9" w14:textId="6FF7F39C" w:rsidR="005B4A57" w:rsidRDefault="005B4A57" w:rsidP="005B2B43">
            <w:pPr>
              <w:pStyle w:val="TableBody"/>
              <w:numPr>
                <w:ilvl w:val="0"/>
                <w:numId w:val="19"/>
              </w:numPr>
              <w:spacing w:after="40"/>
              <w:ind w:left="459" w:hanging="425"/>
              <w:rPr>
                <w:rFonts w:cs="Arial"/>
              </w:rPr>
            </w:pPr>
            <w:r>
              <w:rPr>
                <w:rFonts w:cs="Arial"/>
              </w:rPr>
              <w:t>protection from harmful communications (including unsolicited electronic messages)</w:t>
            </w:r>
            <w:r w:rsidR="009F740A">
              <w:rPr>
                <w:rFonts w:cs="Arial"/>
              </w:rPr>
              <w:t>. The application of anti-spam regulation will depend on whether the IoT communications path includes an electronic message component.</w:t>
            </w:r>
            <w:r w:rsidR="002F12D8">
              <w:rPr>
                <w:rFonts w:cs="Arial"/>
              </w:rPr>
              <w:t xml:space="preserve"> </w:t>
            </w:r>
            <w:r w:rsidR="009F740A">
              <w:rPr>
                <w:rFonts w:cs="Arial"/>
              </w:rPr>
              <w:t>The volume and complexity of M2M and IoT connections is expected to challenge anti-spam rules that rely on the ability to identify the sender of a message</w:t>
            </w:r>
          </w:p>
          <w:p w14:paraId="70482AAB" w14:textId="121EEFF1" w:rsidR="005B4A57" w:rsidRPr="00BF7DB8" w:rsidRDefault="005B4A57" w:rsidP="005B2B43">
            <w:pPr>
              <w:pStyle w:val="TableBody"/>
              <w:numPr>
                <w:ilvl w:val="0"/>
                <w:numId w:val="19"/>
              </w:numPr>
              <w:spacing w:after="40"/>
              <w:ind w:left="459" w:hanging="425"/>
              <w:rPr>
                <w:rFonts w:cs="Arial"/>
              </w:rPr>
            </w:pPr>
            <w:r>
              <w:rPr>
                <w:rFonts w:cs="Arial"/>
              </w:rPr>
              <w:t>prohibition of radio</w:t>
            </w:r>
            <w:r w:rsidR="006B3EBB">
              <w:rPr>
                <w:rFonts w:cs="Arial"/>
              </w:rPr>
              <w:t xml:space="preserve"> </w:t>
            </w:r>
            <w:r>
              <w:rPr>
                <w:rFonts w:cs="Arial"/>
              </w:rPr>
              <w:t>emissions likely to endanger safety.</w:t>
            </w:r>
            <w:r w:rsidR="009F740A">
              <w:rPr>
                <w:rFonts w:cs="Arial"/>
              </w:rPr>
              <w:t xml:space="preserve"> As wearables</w:t>
            </w:r>
            <w:r w:rsidR="00BF7DB8">
              <w:rPr>
                <w:rFonts w:cs="Arial"/>
              </w:rPr>
              <w:t xml:space="preserve"> (</w:t>
            </w:r>
            <w:r w:rsidR="006D7D8F">
              <w:rPr>
                <w:rFonts w:cs="Arial"/>
              </w:rPr>
              <w:t>including devices</w:t>
            </w:r>
            <w:r w:rsidR="00E7096D">
              <w:rPr>
                <w:rFonts w:cs="Arial"/>
              </w:rPr>
              <w:t xml:space="preserve"> and </w:t>
            </w:r>
            <w:r w:rsidR="006D7D8F">
              <w:rPr>
                <w:rFonts w:cs="Arial"/>
              </w:rPr>
              <w:t>clothing</w:t>
            </w:r>
            <w:r w:rsidR="00BF7DB8">
              <w:rPr>
                <w:rFonts w:cs="Arial"/>
              </w:rPr>
              <w:t>)</w:t>
            </w:r>
            <w:r w:rsidR="006D7D8F">
              <w:rPr>
                <w:rFonts w:cs="Arial"/>
              </w:rPr>
              <w:t xml:space="preserve"> </w:t>
            </w:r>
            <w:r w:rsidR="009F740A">
              <w:rPr>
                <w:rFonts w:cs="Arial"/>
              </w:rPr>
              <w:t xml:space="preserve">embed </w:t>
            </w:r>
            <w:r w:rsidR="00E7096D">
              <w:rPr>
                <w:rFonts w:cs="Arial"/>
              </w:rPr>
              <w:t>IP-</w:t>
            </w:r>
            <w:r w:rsidR="009F740A">
              <w:rPr>
                <w:rFonts w:cs="Arial"/>
              </w:rPr>
              <w:t>communications</w:t>
            </w:r>
            <w:r w:rsidR="00E7096D">
              <w:rPr>
                <w:rFonts w:cs="Arial"/>
              </w:rPr>
              <w:t xml:space="preserve"> receivers and transmitters</w:t>
            </w:r>
            <w:r w:rsidR="009F740A">
              <w:rPr>
                <w:rFonts w:cs="Arial"/>
              </w:rPr>
              <w:t xml:space="preserve"> in their design</w:t>
            </w:r>
            <w:r w:rsidR="00E7096D">
              <w:rPr>
                <w:rFonts w:cs="Arial"/>
              </w:rPr>
              <w:t>, emission standards to protect individuals will become an increasingly important feature of wearables design.</w:t>
            </w:r>
          </w:p>
        </w:tc>
      </w:tr>
      <w:tr w:rsidR="00DC180D" w:rsidRPr="006D46E5" w14:paraId="68B7FF5F" w14:textId="77777777" w:rsidTr="000F4F8B">
        <w:trPr>
          <w:cantSplit/>
        </w:trPr>
        <w:tc>
          <w:tcPr>
            <w:tcW w:w="1455" w:type="dxa"/>
            <w:shd w:val="clear" w:color="auto" w:fill="auto"/>
          </w:tcPr>
          <w:p w14:paraId="248B7B8D" w14:textId="3479FBFF" w:rsidR="00DC180D" w:rsidRPr="006D46E5" w:rsidRDefault="00F21126" w:rsidP="00BD35F1">
            <w:pPr>
              <w:pStyle w:val="TableBody"/>
              <w:rPr>
                <w:rFonts w:cs="Arial"/>
              </w:rPr>
            </w:pPr>
            <w:r>
              <w:rPr>
                <w:rFonts w:cs="Arial"/>
              </w:rPr>
              <w:t>4.</w:t>
            </w:r>
            <w:r w:rsidR="00556EAB">
              <w:rPr>
                <w:rFonts w:cs="Arial"/>
              </w:rPr>
              <w:t xml:space="preserve"> </w:t>
            </w:r>
            <w:r w:rsidR="009B659B">
              <w:rPr>
                <w:rFonts w:cs="Arial"/>
              </w:rPr>
              <w:t>People</w:t>
            </w:r>
          </w:p>
        </w:tc>
        <w:tc>
          <w:tcPr>
            <w:tcW w:w="1393" w:type="dxa"/>
            <w:shd w:val="clear" w:color="auto" w:fill="auto"/>
          </w:tcPr>
          <w:p w14:paraId="160FA75E" w14:textId="745844C9" w:rsidR="00DC180D" w:rsidRPr="006D46E5" w:rsidRDefault="00875C20" w:rsidP="00BD35F1">
            <w:pPr>
              <w:pStyle w:val="TableBody"/>
              <w:rPr>
                <w:rFonts w:cs="Arial"/>
              </w:rPr>
            </w:pPr>
            <w:r>
              <w:rPr>
                <w:rFonts w:cs="Arial"/>
              </w:rPr>
              <w:t>Access</w:t>
            </w:r>
          </w:p>
        </w:tc>
        <w:tc>
          <w:tcPr>
            <w:tcW w:w="5245" w:type="dxa"/>
            <w:shd w:val="clear" w:color="auto" w:fill="auto"/>
          </w:tcPr>
          <w:p w14:paraId="6D2BA599" w14:textId="4F2E6C13" w:rsidR="002F12D8" w:rsidRDefault="0054701B" w:rsidP="005B2B43">
            <w:pPr>
              <w:pStyle w:val="TableBody"/>
              <w:spacing w:after="120"/>
              <w:rPr>
                <w:rFonts w:cs="Arial"/>
              </w:rPr>
            </w:pPr>
            <w:r w:rsidRPr="00511B15">
              <w:rPr>
                <w:rFonts w:cs="Arial"/>
              </w:rPr>
              <w:t>The concept of citizen access to basic communica</w:t>
            </w:r>
            <w:r w:rsidR="003B6A30">
              <w:rPr>
                <w:rFonts w:cs="Arial"/>
              </w:rPr>
              <w:t>tion</w:t>
            </w:r>
            <w:r w:rsidRPr="00511B15">
              <w:rPr>
                <w:rFonts w:cs="Arial"/>
              </w:rPr>
              <w:t xml:space="preserve">s services </w:t>
            </w:r>
            <w:r w:rsidR="002F12D8" w:rsidRPr="00E02FED">
              <w:t>—</w:t>
            </w:r>
            <w:r w:rsidRPr="00511B15">
              <w:rPr>
                <w:rFonts w:cs="Arial"/>
              </w:rPr>
              <w:t>and the related concept of any-to-any-connectivity</w:t>
            </w:r>
            <w:r w:rsidR="002F12D8" w:rsidRPr="00E02FED">
              <w:t>—</w:t>
            </w:r>
            <w:r w:rsidRPr="00511B15">
              <w:rPr>
                <w:rFonts w:cs="Arial"/>
              </w:rPr>
              <w:t>has supported social and economic participation in Australia. While various subsidy, affordability and price control regulation</w:t>
            </w:r>
            <w:r w:rsidR="00000391">
              <w:rPr>
                <w:rFonts w:cs="Arial"/>
              </w:rPr>
              <w:t>s</w:t>
            </w:r>
            <w:r w:rsidRPr="00511B15">
              <w:rPr>
                <w:rFonts w:cs="Arial"/>
              </w:rPr>
              <w:t xml:space="preserve"> have been the key mechanisms applied to particular technology and service types that have been used to support this objective</w:t>
            </w:r>
            <w:r w:rsidR="00303E37" w:rsidRPr="00511B15">
              <w:rPr>
                <w:rFonts w:cs="Arial"/>
              </w:rPr>
              <w:t xml:space="preserve"> to date</w:t>
            </w:r>
            <w:r w:rsidRPr="00511B15">
              <w:rPr>
                <w:rFonts w:cs="Arial"/>
              </w:rPr>
              <w:t xml:space="preserve">, the magnitude of connections made under IoT will potentially elevate the importance of access </w:t>
            </w:r>
            <w:r w:rsidR="00303E37" w:rsidRPr="00511B15">
              <w:rPr>
                <w:rFonts w:cs="Arial"/>
              </w:rPr>
              <w:t xml:space="preserve">objectives to ensure that Australians are able to productively engage with IoT opportunities. </w:t>
            </w:r>
          </w:p>
          <w:p w14:paraId="71947E23" w14:textId="1C02786D" w:rsidR="00875C20" w:rsidRPr="006D46E5" w:rsidRDefault="00303E37" w:rsidP="00BD35F1">
            <w:pPr>
              <w:pStyle w:val="TableBody"/>
              <w:rPr>
                <w:rFonts w:cs="Arial"/>
              </w:rPr>
            </w:pPr>
            <w:r w:rsidRPr="00511B15">
              <w:rPr>
                <w:rFonts w:cs="Arial"/>
              </w:rPr>
              <w:t>Access in the IoT environment is predicated on the technical proficiency of users in being able to use devices, identify sources of services and manage digital information</w:t>
            </w:r>
            <w:r w:rsidR="002F12D8">
              <w:rPr>
                <w:rFonts w:cs="Arial"/>
              </w:rPr>
              <w:t xml:space="preserve">. These factors </w:t>
            </w:r>
            <w:r w:rsidRPr="00511B15">
              <w:rPr>
                <w:rFonts w:cs="Arial"/>
              </w:rPr>
              <w:t xml:space="preserve">suggest a stronger emphasis </w:t>
            </w:r>
            <w:r w:rsidR="002F12D8">
              <w:rPr>
                <w:rFonts w:cs="Arial"/>
              </w:rPr>
              <w:t xml:space="preserve">in the future </w:t>
            </w:r>
            <w:r w:rsidRPr="00511B15">
              <w:rPr>
                <w:rFonts w:cs="Arial"/>
              </w:rPr>
              <w:t>on the importance of citizen skill initiatives to enable access to IoT.</w:t>
            </w:r>
          </w:p>
        </w:tc>
      </w:tr>
      <w:tr w:rsidR="00875C20" w:rsidRPr="006D46E5" w14:paraId="5B4D9375" w14:textId="77777777" w:rsidTr="000F4F8B">
        <w:trPr>
          <w:cantSplit/>
        </w:trPr>
        <w:tc>
          <w:tcPr>
            <w:tcW w:w="1455" w:type="dxa"/>
            <w:shd w:val="clear" w:color="auto" w:fill="F2F2F2" w:themeFill="background1" w:themeFillShade="F2"/>
          </w:tcPr>
          <w:p w14:paraId="67D60642" w14:textId="4AEC862D" w:rsidR="00875C20" w:rsidRPr="006D46E5" w:rsidRDefault="00875C20" w:rsidP="00BD35F1">
            <w:pPr>
              <w:pStyle w:val="TableBody"/>
              <w:rPr>
                <w:rFonts w:cs="Arial"/>
              </w:rPr>
            </w:pPr>
          </w:p>
        </w:tc>
        <w:tc>
          <w:tcPr>
            <w:tcW w:w="1393" w:type="dxa"/>
            <w:shd w:val="clear" w:color="auto" w:fill="F2F2F2" w:themeFill="background1" w:themeFillShade="F2"/>
          </w:tcPr>
          <w:p w14:paraId="18BB133B" w14:textId="1EEA6F6C" w:rsidR="00875C20" w:rsidRDefault="00875C20" w:rsidP="00BD35F1">
            <w:pPr>
              <w:pStyle w:val="TableBody"/>
              <w:rPr>
                <w:rFonts w:cs="Arial"/>
              </w:rPr>
            </w:pPr>
            <w:r>
              <w:rPr>
                <w:rFonts w:cs="Arial"/>
              </w:rPr>
              <w:t>Redress</w:t>
            </w:r>
          </w:p>
        </w:tc>
        <w:tc>
          <w:tcPr>
            <w:tcW w:w="5245" w:type="dxa"/>
            <w:shd w:val="clear" w:color="auto" w:fill="F2F2F2" w:themeFill="background1" w:themeFillShade="F2"/>
          </w:tcPr>
          <w:p w14:paraId="02BDD5C1" w14:textId="1E606FEC" w:rsidR="002F12D8" w:rsidRDefault="00303E37" w:rsidP="005B2B43">
            <w:pPr>
              <w:pStyle w:val="TableBody"/>
              <w:spacing w:after="120"/>
              <w:rPr>
                <w:rFonts w:cs="Arial"/>
              </w:rPr>
            </w:pPr>
            <w:r>
              <w:rPr>
                <w:rFonts w:cs="Arial"/>
              </w:rPr>
              <w:t>The</w:t>
            </w:r>
            <w:r w:rsidR="001C30ED">
              <w:rPr>
                <w:rFonts w:cs="Arial"/>
              </w:rPr>
              <w:t xml:space="preserve"> </w:t>
            </w:r>
            <w:r>
              <w:rPr>
                <w:rFonts w:cs="Arial"/>
              </w:rPr>
              <w:t>concept that there are appropriate avenues for dispute resolution</w:t>
            </w:r>
            <w:r w:rsidR="00BF7DB8">
              <w:rPr>
                <w:rFonts w:cs="Arial"/>
              </w:rPr>
              <w:t>, to allow</w:t>
            </w:r>
            <w:r>
              <w:rPr>
                <w:rFonts w:cs="Arial"/>
              </w:rPr>
              <w:t xml:space="preserve"> users meaningful rights of complaint and redress</w:t>
            </w:r>
            <w:r w:rsidR="00BF7DB8">
              <w:rPr>
                <w:rFonts w:cs="Arial"/>
              </w:rPr>
              <w:t>,</w:t>
            </w:r>
            <w:r>
              <w:rPr>
                <w:rFonts w:cs="Arial"/>
              </w:rPr>
              <w:t xml:space="preserve"> is expected to remain important in the IoT services env</w:t>
            </w:r>
            <w:r w:rsidR="00380D53">
              <w:rPr>
                <w:rFonts w:cs="Arial"/>
              </w:rPr>
              <w:t>ironment.</w:t>
            </w:r>
          </w:p>
          <w:p w14:paraId="5BDD7E92" w14:textId="43AF9250" w:rsidR="00CC4080" w:rsidRPr="006D46E5" w:rsidRDefault="001C30ED" w:rsidP="001C30ED">
            <w:pPr>
              <w:pStyle w:val="TableBody"/>
              <w:rPr>
                <w:rFonts w:cs="Arial"/>
              </w:rPr>
            </w:pPr>
            <w:r>
              <w:rPr>
                <w:rFonts w:cs="Arial"/>
              </w:rPr>
              <w:t>There</w:t>
            </w:r>
            <w:r w:rsidR="00303E37">
              <w:rPr>
                <w:rFonts w:cs="Arial"/>
              </w:rPr>
              <w:t xml:space="preserve"> are established redress mechanisms within </w:t>
            </w:r>
            <w:r w:rsidR="00000391">
              <w:rPr>
                <w:rFonts w:cs="Arial"/>
              </w:rPr>
              <w:t xml:space="preserve">current </w:t>
            </w:r>
            <w:r w:rsidR="00303E37">
              <w:rPr>
                <w:rFonts w:cs="Arial"/>
              </w:rPr>
              <w:t>communications and media regulation</w:t>
            </w:r>
            <w:r>
              <w:rPr>
                <w:rFonts w:cs="Arial"/>
              </w:rPr>
              <w:t>. However,</w:t>
            </w:r>
            <w:r w:rsidR="00303E37">
              <w:rPr>
                <w:rFonts w:cs="Arial"/>
              </w:rPr>
              <w:t xml:space="preserve"> the broadening of </w:t>
            </w:r>
            <w:r>
              <w:rPr>
                <w:rFonts w:cs="Arial"/>
              </w:rPr>
              <w:t>IoT applications across the economy, underpinned by complex connections and supply chains, brings into question whether there will be effective redress mechanisms for the suite of IoT applications available.</w:t>
            </w:r>
          </w:p>
        </w:tc>
      </w:tr>
      <w:tr w:rsidR="00DC180D" w:rsidRPr="006D46E5" w14:paraId="38F39920" w14:textId="77777777" w:rsidTr="000F4F8B">
        <w:trPr>
          <w:cantSplit/>
        </w:trPr>
        <w:tc>
          <w:tcPr>
            <w:tcW w:w="1455" w:type="dxa"/>
            <w:shd w:val="clear" w:color="auto" w:fill="auto"/>
          </w:tcPr>
          <w:p w14:paraId="7DED40C4" w14:textId="77777777" w:rsidR="00DC180D" w:rsidRPr="006D46E5" w:rsidRDefault="00DC180D" w:rsidP="00BD35F1">
            <w:pPr>
              <w:pStyle w:val="TableBody"/>
              <w:rPr>
                <w:rFonts w:cs="Arial"/>
              </w:rPr>
            </w:pPr>
          </w:p>
        </w:tc>
        <w:tc>
          <w:tcPr>
            <w:tcW w:w="1393" w:type="dxa"/>
            <w:shd w:val="clear" w:color="auto" w:fill="auto"/>
          </w:tcPr>
          <w:p w14:paraId="11DA981A" w14:textId="6B1D3A89" w:rsidR="00DC180D" w:rsidRPr="006D46E5" w:rsidRDefault="009B659B" w:rsidP="00BD35F1">
            <w:pPr>
              <w:pStyle w:val="TableBody"/>
              <w:rPr>
                <w:rFonts w:cs="Arial"/>
              </w:rPr>
            </w:pPr>
            <w:r>
              <w:rPr>
                <w:rFonts w:cs="Arial"/>
              </w:rPr>
              <w:t>Confidence</w:t>
            </w:r>
          </w:p>
        </w:tc>
        <w:tc>
          <w:tcPr>
            <w:tcW w:w="5245" w:type="dxa"/>
            <w:shd w:val="clear" w:color="auto" w:fill="auto"/>
          </w:tcPr>
          <w:p w14:paraId="70F494FF" w14:textId="7CBC5633" w:rsidR="00432CC0" w:rsidRDefault="00047F09" w:rsidP="005B2B43">
            <w:pPr>
              <w:pStyle w:val="TableBody"/>
              <w:spacing w:after="120"/>
              <w:rPr>
                <w:rFonts w:cs="Arial"/>
              </w:rPr>
            </w:pPr>
            <w:r>
              <w:rPr>
                <w:rFonts w:cs="Arial"/>
              </w:rPr>
              <w:t>Confidence in predictable regulatory settings is an important feature to enable the development and take</w:t>
            </w:r>
            <w:r w:rsidR="00930904">
              <w:rPr>
                <w:rFonts w:cs="Arial"/>
              </w:rPr>
              <w:t>-</w:t>
            </w:r>
            <w:r>
              <w:rPr>
                <w:rFonts w:cs="Arial"/>
              </w:rPr>
              <w:t>up o</w:t>
            </w:r>
            <w:r w:rsidR="00380D53">
              <w:rPr>
                <w:rFonts w:cs="Arial"/>
              </w:rPr>
              <w:t>f new communications services.</w:t>
            </w:r>
          </w:p>
          <w:p w14:paraId="7204F391" w14:textId="292F9CBB" w:rsidR="00432CC0" w:rsidRDefault="00047F09" w:rsidP="005B2B43">
            <w:pPr>
              <w:pStyle w:val="TableBody"/>
              <w:spacing w:after="120"/>
              <w:rPr>
                <w:rFonts w:cs="Arial"/>
              </w:rPr>
            </w:pPr>
            <w:r>
              <w:rPr>
                <w:rFonts w:cs="Arial"/>
              </w:rPr>
              <w:t>IoT developments will magnify two processes that are challenging confidence in the capacity of existing regulatory settings to provide clearly defined obligations and rights, namely the globalisation of communications networks and information exchange, and decentralised modes of communications between end users</w:t>
            </w:r>
            <w:r w:rsidR="00000391">
              <w:rPr>
                <w:rFonts w:cs="Arial"/>
              </w:rPr>
              <w:t xml:space="preserve">. Each </w:t>
            </w:r>
            <w:r>
              <w:rPr>
                <w:rFonts w:cs="Arial"/>
              </w:rPr>
              <w:t>challenge regulatory models predicated on know</w:t>
            </w:r>
            <w:r w:rsidR="00380D53">
              <w:rPr>
                <w:rFonts w:cs="Arial"/>
              </w:rPr>
              <w:t>n entities and control points.</w:t>
            </w:r>
          </w:p>
          <w:p w14:paraId="43010879" w14:textId="6954EBFD" w:rsidR="00432CC0" w:rsidRDefault="00047F09" w:rsidP="005B2B43">
            <w:pPr>
              <w:pStyle w:val="TableBody"/>
              <w:spacing w:after="120"/>
              <w:rPr>
                <w:rFonts w:cs="Arial"/>
              </w:rPr>
            </w:pPr>
            <w:r>
              <w:rPr>
                <w:rFonts w:cs="Arial"/>
              </w:rPr>
              <w:t>The IoT environment is placing an increased emphasis on the role of international harmonisation for standards setting that will enable Australians to access low</w:t>
            </w:r>
            <w:r w:rsidR="00930904">
              <w:rPr>
                <w:rFonts w:cs="Arial"/>
              </w:rPr>
              <w:t>-</w:t>
            </w:r>
            <w:r>
              <w:rPr>
                <w:rFonts w:cs="Arial"/>
              </w:rPr>
              <w:t>cost devices</w:t>
            </w:r>
            <w:r w:rsidR="00380D53">
              <w:rPr>
                <w:rFonts w:cs="Arial"/>
              </w:rPr>
              <w:t xml:space="preserve"> and standardised applications.</w:t>
            </w:r>
          </w:p>
          <w:p w14:paraId="0A09E71A" w14:textId="0AC6BD89" w:rsidR="00CC4080" w:rsidRPr="006D46E5" w:rsidRDefault="00047F09" w:rsidP="008F5A1C">
            <w:pPr>
              <w:pStyle w:val="TableBody"/>
              <w:rPr>
                <w:rFonts w:cs="Arial"/>
              </w:rPr>
            </w:pPr>
            <w:r>
              <w:rPr>
                <w:rFonts w:cs="Arial"/>
              </w:rPr>
              <w:t>In addition, it offers an opportunity to focus on the development of skills and confidence of end users</w:t>
            </w:r>
            <w:r w:rsidR="00930904">
              <w:rPr>
                <w:rFonts w:cs="Arial"/>
              </w:rPr>
              <w:t>,</w:t>
            </w:r>
            <w:r>
              <w:rPr>
                <w:rFonts w:cs="Arial"/>
              </w:rPr>
              <w:t xml:space="preserve"> so that they can operate productively in shaping their connections and information exchange in the IoT environment.</w:t>
            </w:r>
          </w:p>
        </w:tc>
      </w:tr>
      <w:tr w:rsidR="00DC180D" w:rsidRPr="006D46E5" w14:paraId="214F7DFF" w14:textId="77777777" w:rsidTr="000F4F8B">
        <w:trPr>
          <w:cantSplit/>
        </w:trPr>
        <w:tc>
          <w:tcPr>
            <w:tcW w:w="1455" w:type="dxa"/>
            <w:shd w:val="clear" w:color="auto" w:fill="F2F2F2" w:themeFill="background1" w:themeFillShade="F2"/>
          </w:tcPr>
          <w:p w14:paraId="6C7296B2" w14:textId="77777777" w:rsidR="00DC180D" w:rsidRPr="006D46E5" w:rsidRDefault="00DC180D" w:rsidP="00BD35F1">
            <w:pPr>
              <w:pStyle w:val="TableBody"/>
              <w:rPr>
                <w:rFonts w:cs="Arial"/>
              </w:rPr>
            </w:pPr>
          </w:p>
        </w:tc>
        <w:tc>
          <w:tcPr>
            <w:tcW w:w="1393" w:type="dxa"/>
            <w:shd w:val="clear" w:color="auto" w:fill="F2F2F2" w:themeFill="background1" w:themeFillShade="F2"/>
          </w:tcPr>
          <w:p w14:paraId="030C1F68" w14:textId="5B5B84B1" w:rsidR="00DC180D" w:rsidRPr="006D46E5" w:rsidRDefault="009B659B" w:rsidP="00BD35F1">
            <w:pPr>
              <w:pStyle w:val="TableBody"/>
              <w:rPr>
                <w:rFonts w:cs="Arial"/>
              </w:rPr>
            </w:pPr>
            <w:r>
              <w:rPr>
                <w:rFonts w:cs="Arial"/>
              </w:rPr>
              <w:t>Digital citizenship</w:t>
            </w:r>
          </w:p>
        </w:tc>
        <w:tc>
          <w:tcPr>
            <w:tcW w:w="5245" w:type="dxa"/>
            <w:shd w:val="clear" w:color="auto" w:fill="F2F2F2" w:themeFill="background1" w:themeFillShade="F2"/>
          </w:tcPr>
          <w:p w14:paraId="0A97CE39" w14:textId="44275E57" w:rsidR="002F12D8" w:rsidRDefault="008F5A1C" w:rsidP="005B2B43">
            <w:pPr>
              <w:pStyle w:val="TableBody"/>
              <w:spacing w:after="120"/>
              <w:rPr>
                <w:rFonts w:cs="Arial"/>
              </w:rPr>
            </w:pPr>
            <w:r>
              <w:rPr>
                <w:rFonts w:cs="Arial"/>
              </w:rPr>
              <w:t xml:space="preserve">The </w:t>
            </w:r>
            <w:r w:rsidR="002F12D8">
              <w:rPr>
                <w:rFonts w:cs="Arial"/>
              </w:rPr>
              <w:t xml:space="preserve">notion </w:t>
            </w:r>
            <w:r>
              <w:rPr>
                <w:rFonts w:cs="Arial"/>
              </w:rPr>
              <w:t xml:space="preserve">that Australians should have the technical proficiency and digital literacy for effective engagement in economic, social and civic life is closely linked to the regulatory concept of </w:t>
            </w:r>
            <w:r w:rsidR="00380D53">
              <w:rPr>
                <w:rFonts w:cs="Arial"/>
              </w:rPr>
              <w:t>access.</w:t>
            </w:r>
          </w:p>
          <w:p w14:paraId="031D97A6" w14:textId="7DFC894F" w:rsidR="00432CC0" w:rsidRPr="006D46E5" w:rsidRDefault="008F5A1C" w:rsidP="002F12D8">
            <w:pPr>
              <w:pStyle w:val="TableBody"/>
              <w:rPr>
                <w:rFonts w:cs="Arial"/>
              </w:rPr>
            </w:pPr>
            <w:r>
              <w:rPr>
                <w:rFonts w:cs="Arial"/>
              </w:rPr>
              <w:t>Skills that are expected to become more critical in the IoT environment</w:t>
            </w:r>
            <w:r w:rsidR="00930904">
              <w:rPr>
                <w:rFonts w:cs="Arial"/>
              </w:rPr>
              <w:t>,</w:t>
            </w:r>
            <w:r>
              <w:rPr>
                <w:rFonts w:cs="Arial"/>
              </w:rPr>
              <w:t xml:space="preserve"> as business and individuals manage multiple devices and complex connections in daily life</w:t>
            </w:r>
            <w:r w:rsidR="00930904">
              <w:rPr>
                <w:rFonts w:cs="Arial"/>
              </w:rPr>
              <w:t>,</w:t>
            </w:r>
            <w:r>
              <w:rPr>
                <w:rFonts w:cs="Arial"/>
              </w:rPr>
              <w:t xml:space="preserve"> will include some technical proficiency, as well as managing security settings, identity and authentication requirements</w:t>
            </w:r>
            <w:r w:rsidR="00930904">
              <w:rPr>
                <w:rFonts w:cs="Arial"/>
              </w:rPr>
              <w:t>,</w:t>
            </w:r>
            <w:r>
              <w:rPr>
                <w:rFonts w:cs="Arial"/>
              </w:rPr>
              <w:t xml:space="preserve"> and </w:t>
            </w:r>
            <w:r w:rsidR="00930904">
              <w:rPr>
                <w:rFonts w:cs="Arial"/>
              </w:rPr>
              <w:t xml:space="preserve">the </w:t>
            </w:r>
            <w:r>
              <w:rPr>
                <w:rFonts w:cs="Arial"/>
              </w:rPr>
              <w:t xml:space="preserve">digital footprint </w:t>
            </w:r>
            <w:r w:rsidR="00380D53">
              <w:rPr>
                <w:rFonts w:cs="Arial"/>
              </w:rPr>
              <w:t>created by IoT communications.</w:t>
            </w:r>
          </w:p>
        </w:tc>
      </w:tr>
    </w:tbl>
    <w:p w14:paraId="2726B7D6" w14:textId="77777777" w:rsidR="00511B15" w:rsidRDefault="00511B15" w:rsidP="008F5813">
      <w:pPr>
        <w:pStyle w:val="ACMASpaceaftertable"/>
      </w:pPr>
    </w:p>
    <w:p w14:paraId="77D9E22B" w14:textId="37ECAD14" w:rsidR="00511B15" w:rsidRDefault="00930904" w:rsidP="00107F9D">
      <w:r>
        <w:t>T</w:t>
      </w:r>
      <w:r w:rsidR="00511B15">
        <w:t>his analysis has focused on the capacity of existing communications and media regulatory settings to accommodate</w:t>
      </w:r>
      <w:r w:rsidR="00142954">
        <w:t xml:space="preserve"> (and promote)</w:t>
      </w:r>
      <w:r w:rsidR="00511B15">
        <w:t xml:space="preserve"> M2M and IoT developments</w:t>
      </w:r>
      <w:r>
        <w:t>. However,</w:t>
      </w:r>
      <w:r w:rsidR="00511B15">
        <w:t xml:space="preserve"> the spread of IoT applications across health, transport, energy, smart cities and the connected home environment</w:t>
      </w:r>
      <w:r>
        <w:t xml:space="preserve"> has</w:t>
      </w:r>
      <w:r w:rsidR="00511B15">
        <w:t xml:space="preserve"> </w:t>
      </w:r>
      <w:r>
        <w:t xml:space="preserve">accentuated </w:t>
      </w:r>
      <w:r w:rsidR="00511B15">
        <w:t xml:space="preserve">the role of IP-enabled communications as a general purpose technology in the economy, </w:t>
      </w:r>
      <w:r w:rsidR="00F47F54">
        <w:t xml:space="preserve">which will </w:t>
      </w:r>
      <w:r w:rsidR="00511B15">
        <w:t xml:space="preserve">benefit from </w:t>
      </w:r>
      <w:r w:rsidR="00F47F54">
        <w:t xml:space="preserve">specific attention within </w:t>
      </w:r>
      <w:r w:rsidR="00511B15">
        <w:t xml:space="preserve">a coherent </w:t>
      </w:r>
      <w:r w:rsidR="00F47F54">
        <w:t xml:space="preserve">communications </w:t>
      </w:r>
      <w:r w:rsidR="00380D53">
        <w:t>regulatory framework.</w:t>
      </w:r>
    </w:p>
    <w:p w14:paraId="4DBA75F0" w14:textId="7F0EC493" w:rsidR="00CC4080" w:rsidRDefault="00107F9D" w:rsidP="00CC4080">
      <w:r>
        <w:t>Based on an initial analysis, the ACMA a</w:t>
      </w:r>
      <w:r w:rsidRPr="00BB2155">
        <w:t>nticipate</w:t>
      </w:r>
      <w:r>
        <w:t>s</w:t>
      </w:r>
      <w:r w:rsidRPr="00BB2155">
        <w:t xml:space="preserve"> that the balance of regulatory interventions in the future is likely to skew more towards </w:t>
      </w:r>
      <w:r>
        <w:t>the enabling strategies of facilitation and communication tools that</w:t>
      </w:r>
      <w:r w:rsidR="00F47F54">
        <w:t>,</w:t>
      </w:r>
      <w:r>
        <w:t xml:space="preserve"> in the short term</w:t>
      </w:r>
      <w:r w:rsidR="00F47F54">
        <w:t>,</w:t>
      </w:r>
      <w:r>
        <w:t xml:space="preserve"> aim </w:t>
      </w:r>
      <w:r w:rsidR="00F47F54">
        <w:t>to</w:t>
      </w:r>
      <w:r>
        <w:t xml:space="preserve"> encourag</w:t>
      </w:r>
      <w:r w:rsidR="007C7543">
        <w:t xml:space="preserve">e </w:t>
      </w:r>
      <w:r>
        <w:t xml:space="preserve">innovation and </w:t>
      </w:r>
      <w:r w:rsidR="00F47F54">
        <w:t xml:space="preserve">the </w:t>
      </w:r>
      <w:r>
        <w:t xml:space="preserve">adoption of </w:t>
      </w:r>
      <w:r w:rsidR="00F60D53">
        <w:t>M</w:t>
      </w:r>
      <w:r>
        <w:t>2</w:t>
      </w:r>
      <w:r w:rsidR="00F60D53">
        <w:t>M</w:t>
      </w:r>
      <w:r w:rsidR="00380D53">
        <w:t xml:space="preserve"> and IoT applications.</w:t>
      </w:r>
    </w:p>
    <w:p w14:paraId="02228A4E" w14:textId="42D5B729" w:rsidR="00107F9D" w:rsidRDefault="00F47F54" w:rsidP="00CC4080">
      <w:r>
        <w:t>Over time, as</w:t>
      </w:r>
      <w:r w:rsidR="00107F9D">
        <w:t xml:space="preserve"> </w:t>
      </w:r>
      <w:r w:rsidR="00F60D53">
        <w:t>M</w:t>
      </w:r>
      <w:r w:rsidR="00107F9D">
        <w:t>2</w:t>
      </w:r>
      <w:r w:rsidR="00F60D53">
        <w:t>M</w:t>
      </w:r>
      <w:r w:rsidR="00107F9D">
        <w:t xml:space="preserve"> and IoT applications become more mainstream </w:t>
      </w:r>
      <w:r>
        <w:t xml:space="preserve">within </w:t>
      </w:r>
      <w:r w:rsidR="00107F9D">
        <w:t>in the Australian economy and society</w:t>
      </w:r>
      <w:r>
        <w:t>,</w:t>
      </w:r>
      <w:r w:rsidR="00107F9D">
        <w:t xml:space="preserve"> any particular risks or problems occurring in the supply and use of IoT applications </w:t>
      </w:r>
      <w:r>
        <w:t xml:space="preserve">will </w:t>
      </w:r>
      <w:r w:rsidR="00107F9D">
        <w:t xml:space="preserve">become more </w:t>
      </w:r>
      <w:r>
        <w:t>apparent</w:t>
      </w:r>
      <w:r w:rsidR="00F60D53">
        <w:t>.</w:t>
      </w:r>
      <w:r w:rsidR="000161B4">
        <w:t xml:space="preserve"> </w:t>
      </w:r>
      <w:r w:rsidR="00F60D53">
        <w:t xml:space="preserve">This suggests that </w:t>
      </w:r>
      <w:r w:rsidR="00930904">
        <w:t xml:space="preserve">a </w:t>
      </w:r>
      <w:r w:rsidR="00107F9D">
        <w:t>focus on problem</w:t>
      </w:r>
      <w:r w:rsidR="00930904">
        <w:t>-</w:t>
      </w:r>
      <w:r w:rsidR="00107F9D">
        <w:t xml:space="preserve">solving strategies may become more necessary </w:t>
      </w:r>
      <w:r w:rsidR="00F60D53">
        <w:t xml:space="preserve">over time </w:t>
      </w:r>
      <w:r w:rsidR="00107F9D">
        <w:t xml:space="preserve">to supplement the </w:t>
      </w:r>
      <w:r w:rsidR="00F60D53">
        <w:t xml:space="preserve">initial focus on </w:t>
      </w:r>
      <w:r w:rsidR="00107F9D">
        <w:t xml:space="preserve">enabling </w:t>
      </w:r>
      <w:r w:rsidR="00F60D53">
        <w:t>activities.</w:t>
      </w:r>
    </w:p>
    <w:p w14:paraId="1709E1AA" w14:textId="07915188" w:rsidR="00107F9D" w:rsidRDefault="00107F9D" w:rsidP="00C73A42">
      <w:pPr>
        <w:pStyle w:val="Heading1"/>
      </w:pPr>
      <w:bookmarkStart w:id="35" w:name="_Toc435079497"/>
      <w:r>
        <w:lastRenderedPageBreak/>
        <w:t>Conclusion</w:t>
      </w:r>
      <w:bookmarkEnd w:id="35"/>
      <w:r>
        <w:t xml:space="preserve"> </w:t>
      </w:r>
    </w:p>
    <w:p w14:paraId="0696F067" w14:textId="101C5082" w:rsidR="0009005A" w:rsidRDefault="00FD3F21" w:rsidP="00FD3F21">
      <w:r>
        <w:t xml:space="preserve">Australia has many elements of IoT enablers in place in its communications and media sectors. </w:t>
      </w:r>
      <w:r w:rsidR="00474F21">
        <w:t xml:space="preserve">Each of the sectors the ACMA administers </w:t>
      </w:r>
      <w:r w:rsidR="00DC723A">
        <w:t xml:space="preserve">faces different sets of pressures </w:t>
      </w:r>
      <w:r w:rsidR="00474F21">
        <w:t>in the transiti</w:t>
      </w:r>
      <w:r w:rsidR="00380D53">
        <w:t>on towards an IoT environment.</w:t>
      </w:r>
    </w:p>
    <w:p w14:paraId="712301D5" w14:textId="60A41BB8" w:rsidR="00FD3F21" w:rsidRDefault="00474F21" w:rsidP="00FD3F21">
      <w:r>
        <w:t>While the rate of change and the complexity of connections that may occur with the IoT is currently unknown, the key areas of resource allocation for communications infrastructure planning, network integrity, device standards and information reliability</w:t>
      </w:r>
      <w:r w:rsidR="00A57F10">
        <w:t>—</w:t>
      </w:r>
      <w:r>
        <w:t>along with the digital capabilities of Australian business and consumers</w:t>
      </w:r>
      <w:r w:rsidR="00A57F10">
        <w:t>—</w:t>
      </w:r>
      <w:r>
        <w:t xml:space="preserve">remain important areas for an early focus on regulatory attention </w:t>
      </w:r>
      <w:r w:rsidR="00997E85">
        <w:t xml:space="preserve">on enabling and </w:t>
      </w:r>
      <w:r>
        <w:t>facilitating the development of IoT in Australia.</w:t>
      </w:r>
    </w:p>
    <w:p w14:paraId="305F2016" w14:textId="6D4CF5B3" w:rsidR="00616A14" w:rsidRPr="00CB29BF" w:rsidRDefault="00616A14" w:rsidP="002B705D">
      <w:pPr>
        <w:spacing w:after="80"/>
      </w:pPr>
      <w:r>
        <w:t>In particular</w:t>
      </w:r>
      <w:r w:rsidR="005D1E71">
        <w:t>,</w:t>
      </w:r>
      <w:r>
        <w:t xml:space="preserve"> the ACMA is interested in views from stakeholders on the following</w:t>
      </w:r>
      <w:r w:rsidR="00A37D27">
        <w:t>:</w:t>
      </w:r>
      <w:r>
        <w:t xml:space="preserve"> </w:t>
      </w:r>
    </w:p>
    <w:p w14:paraId="4C5EC276" w14:textId="77777777" w:rsidR="00616A14" w:rsidRPr="00CB29BF" w:rsidRDefault="00616A14" w:rsidP="00616A14">
      <w:pPr>
        <w:pStyle w:val="ListNumber"/>
        <w:numPr>
          <w:ilvl w:val="0"/>
          <w:numId w:val="30"/>
        </w:numPr>
      </w:pPr>
      <w:r w:rsidRPr="00CB29BF">
        <w:t>The ACMA would welcome any proposals from industry around the need for the designation of a discrete numbering range for M2M or IoT.</w:t>
      </w:r>
    </w:p>
    <w:p w14:paraId="6A56F3DE" w14:textId="77777777" w:rsidR="00616A14" w:rsidRDefault="00616A14" w:rsidP="00616A14">
      <w:pPr>
        <w:pStyle w:val="ListNumber"/>
      </w:pPr>
      <w:r w:rsidRPr="00CB29BF">
        <w:t>The ACMA would welcome views from industry about future spectrum requirements to support M2M and IoT applications.</w:t>
      </w:r>
    </w:p>
    <w:p w14:paraId="36D34D5D" w14:textId="77777777" w:rsidR="00C935FE" w:rsidRDefault="00C935FE" w:rsidP="00C935FE">
      <w:pPr>
        <w:pStyle w:val="ListNumber"/>
      </w:pPr>
      <w:r w:rsidRPr="00806FD6">
        <w:t xml:space="preserve">The ACMA would welcome </w:t>
      </w:r>
      <w:r>
        <w:t xml:space="preserve">input from industry as to how cooperative models of information sharing and action by industry, citizens and regulators might be adapted to address newer forms of digital information harms. </w:t>
      </w:r>
    </w:p>
    <w:p w14:paraId="24D68509" w14:textId="77777777" w:rsidR="00616A14" w:rsidRPr="00CB29BF" w:rsidRDefault="00616A14" w:rsidP="00616A14">
      <w:pPr>
        <w:pStyle w:val="ListNumber"/>
      </w:pPr>
      <w:r w:rsidRPr="00CB29BF">
        <w:t>Are there any additional issues that should be included as priorities for regulatory attention that have not yet been identified in this paper?</w:t>
      </w:r>
    </w:p>
    <w:p w14:paraId="7B89CB1D" w14:textId="538D9D93" w:rsidR="00C935FE" w:rsidRPr="00CB29BF" w:rsidRDefault="00616A14" w:rsidP="00C935FE">
      <w:pPr>
        <w:pStyle w:val="ListNumber"/>
        <w:spacing w:after="240"/>
      </w:pPr>
      <w:r w:rsidRPr="00CB29BF">
        <w:t xml:space="preserve">Has the ACMA correctly identified the near-, medium- and longer-term priorities for regulatory attention? </w:t>
      </w:r>
    </w:p>
    <w:p w14:paraId="184CF4B7" w14:textId="41544FE9" w:rsidR="00A94EF3" w:rsidRPr="00FD3F21" w:rsidRDefault="00A94EF3" w:rsidP="00FD3F21">
      <w:r>
        <w:t xml:space="preserve">The ACMA appreciates responses and feedback on the questions it has raised throughout this paper, which will assist it to refine its priorities and identify where </w:t>
      </w:r>
      <w:r w:rsidR="00997E85">
        <w:t>attention</w:t>
      </w:r>
      <w:r>
        <w:t xml:space="preserve"> is needed to further facilitate the development of M2M and IoT applications in Australia.</w:t>
      </w:r>
    </w:p>
    <w:sectPr w:rsidR="00A94EF3" w:rsidRPr="00FD3F21" w:rsidSect="00C77380">
      <w:headerReference w:type="even" r:id="rId43"/>
      <w:headerReference w:type="default" r:id="rId44"/>
      <w:footerReference w:type="even" r:id="rId45"/>
      <w:footerReference w:type="default" r:id="rId4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10CB7" w14:textId="77777777" w:rsidR="00EB3A24" w:rsidRDefault="00EB3A24">
      <w:r>
        <w:separator/>
      </w:r>
    </w:p>
  </w:endnote>
  <w:endnote w:type="continuationSeparator" w:id="0">
    <w:p w14:paraId="435FC087" w14:textId="77777777" w:rsidR="00EB3A24" w:rsidRDefault="00EB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893D6" w14:textId="77777777" w:rsidR="00EB3A24" w:rsidRDefault="00EB3A2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194F" w14:textId="77777777" w:rsidR="00EB3A24" w:rsidRPr="00622A3B" w:rsidRDefault="00EB3A24"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8600B8">
      <w:rPr>
        <w:noProof/>
        <w:color w:val="505050"/>
      </w:rPr>
      <w:t>17</w:t>
    </w:r>
    <w:r w:rsidRPr="00575AC5">
      <w:rPr>
        <w:color w:val="505050"/>
      </w:rPr>
      <w:fldChar w:fldCharType="end"/>
    </w:r>
  </w:p>
  <w:p w14:paraId="13C1EBC1" w14:textId="77777777" w:rsidR="00EB3A24" w:rsidRPr="00A5474E" w:rsidRDefault="00EB3A24"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EABE" w14:textId="77777777" w:rsidR="00EB3A24" w:rsidRPr="00A5474E" w:rsidRDefault="00EB3A24" w:rsidP="00A5474E">
    <w:pPr>
      <w:pStyle w:val="Footer"/>
    </w:pPr>
    <w:r>
      <w:rPr>
        <w:noProof/>
      </w:rPr>
      <w:drawing>
        <wp:inline distT="0" distB="0" distL="0" distR="0" wp14:anchorId="7E56781E" wp14:editId="564B215D">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FA5B" w14:textId="77777777" w:rsidR="00EB3A24" w:rsidRDefault="00EB3A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010C" w14:textId="77777777" w:rsidR="00EB3A24" w:rsidRDefault="00EB3A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72BB9" w14:textId="77777777" w:rsidR="00EB3A24" w:rsidRDefault="00EB3A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FCF3D" w14:textId="77777777" w:rsidR="00EB3A24" w:rsidRPr="00A5474E" w:rsidRDefault="00EB3A24"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2AA3" w14:textId="77777777" w:rsidR="00EB3A24" w:rsidRPr="00A5474E" w:rsidRDefault="00EB3A24"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43EE" w14:textId="77777777" w:rsidR="00EB3A24" w:rsidRPr="00622A3B" w:rsidRDefault="00EB3A24"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600B8">
      <w:rPr>
        <w:noProof/>
        <w:color w:val="505050"/>
      </w:rPr>
      <w:t>iii</w:t>
    </w:r>
    <w:r w:rsidRPr="002E4DDC">
      <w:rPr>
        <w:color w:val="505050"/>
      </w:rPr>
      <w:fldChar w:fldCharType="end"/>
    </w:r>
  </w:p>
  <w:p w14:paraId="60D1F7EC" w14:textId="77777777" w:rsidR="00EB3A24" w:rsidRPr="00A5474E" w:rsidRDefault="00EB3A24"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57BC" w14:textId="77777777" w:rsidR="00EB3A24" w:rsidRPr="00622A3B" w:rsidRDefault="00EB3A24"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8600B8">
      <w:rPr>
        <w:noProof/>
      </w:rPr>
      <w:t>16</w:t>
    </w:r>
    <w:r w:rsidRPr="00575AC5">
      <w:fldChar w:fldCharType="end"/>
    </w:r>
    <w:r w:rsidRPr="0094078F">
      <w:tab/>
    </w:r>
    <w:r w:rsidRPr="00622A3B">
      <w:t>|</w:t>
    </w:r>
    <w:r>
      <w:tab/>
    </w:r>
    <w:r w:rsidRPr="00622A3B">
      <w:rPr>
        <w:b/>
        <w:noProof/>
        <w:spacing w:val="-16"/>
        <w:sz w:val="20"/>
      </w:rPr>
      <w:t>a</w:t>
    </w:r>
    <w:r w:rsidRPr="00622A3B">
      <w:rPr>
        <w:b/>
        <w:noProof/>
        <w:spacing w:val="-15"/>
        <w:sz w:val="20"/>
      </w:rPr>
      <w:t>c</w:t>
    </w:r>
    <w:r w:rsidRPr="00622A3B">
      <w:rPr>
        <w:b/>
        <w:noProof/>
        <w:spacing w:val="-16"/>
        <w:sz w:val="20"/>
      </w:rPr>
      <w:t>m</w:t>
    </w:r>
    <w:r w:rsidRPr="00622A3B">
      <w:rPr>
        <w:b/>
        <w:noProof/>
        <w:spacing w:val="-14"/>
        <w:sz w:val="20"/>
      </w:rPr>
      <w:t>a</w:t>
    </w:r>
  </w:p>
  <w:p w14:paraId="02EB87D0" w14:textId="77777777" w:rsidR="00EB3A24" w:rsidRPr="00A5474E" w:rsidRDefault="00EB3A24"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6B87" w14:textId="77777777" w:rsidR="00EB3A24" w:rsidRDefault="00EB3A24">
      <w:r>
        <w:separator/>
      </w:r>
    </w:p>
  </w:footnote>
  <w:footnote w:type="continuationSeparator" w:id="0">
    <w:p w14:paraId="7E7C628A" w14:textId="77777777" w:rsidR="00EB3A24" w:rsidRDefault="00EB3A24">
      <w:r>
        <w:continuationSeparator/>
      </w:r>
    </w:p>
  </w:footnote>
  <w:footnote w:id="1">
    <w:p w14:paraId="1DB27B57" w14:textId="64127333" w:rsidR="00EB3A24" w:rsidRDefault="00EB3A24" w:rsidP="00950060">
      <w:pPr>
        <w:pStyle w:val="FootnoteText"/>
        <w:spacing w:after="0"/>
      </w:pPr>
      <w:r>
        <w:rPr>
          <w:rStyle w:val="FootnoteReference"/>
        </w:rPr>
        <w:footnoteRef/>
      </w:r>
      <w:r>
        <w:t xml:space="preserve"> McKinsey Global Institute, </w:t>
      </w:r>
      <w:hyperlink r:id="rId1" w:history="1">
        <w:r w:rsidRPr="00083270">
          <w:rPr>
            <w:rStyle w:val="Hyperlink"/>
            <w:i/>
          </w:rPr>
          <w:t>The Internet of Things: Mapping the Value Beyond the Hype</w:t>
        </w:r>
        <w:r w:rsidRPr="00083270">
          <w:rPr>
            <w:rStyle w:val="Hyperlink"/>
          </w:rPr>
          <w:t>,</w:t>
        </w:r>
      </w:hyperlink>
      <w:r>
        <w:t xml:space="preserve"> June 2015, p. 2.</w:t>
      </w:r>
    </w:p>
  </w:footnote>
  <w:footnote w:id="2">
    <w:p w14:paraId="7BEB6C35" w14:textId="0D5B54DE" w:rsidR="00EB3A24" w:rsidRDefault="00EB3A24" w:rsidP="00A21A4D">
      <w:pPr>
        <w:pStyle w:val="FootnoteText"/>
        <w:spacing w:after="0"/>
      </w:pPr>
      <w:r>
        <w:rPr>
          <w:rStyle w:val="FootnoteReference"/>
        </w:rPr>
        <w:footnoteRef/>
      </w:r>
      <w:r>
        <w:t xml:space="preserve"> OECD, Committee on Digital Economy Policy, Digital Economy Outlook, Chapter 5 Emerging Issues; The Internet of Things, p. 4.</w:t>
      </w:r>
    </w:p>
  </w:footnote>
  <w:footnote w:id="3">
    <w:p w14:paraId="1B4BE067" w14:textId="532A9B1C" w:rsidR="00EB3A24" w:rsidRDefault="00EB3A24" w:rsidP="001523B9">
      <w:pPr>
        <w:pStyle w:val="FootnoteText"/>
        <w:spacing w:after="0"/>
      </w:pPr>
      <w:r>
        <w:rPr>
          <w:rStyle w:val="FootnoteReference"/>
        </w:rPr>
        <w:footnoteRef/>
      </w:r>
      <w:r>
        <w:t xml:space="preserve"> ACMA, </w:t>
      </w:r>
      <w:hyperlink r:id="rId2" w:history="1">
        <w:r w:rsidRPr="005B2B43">
          <w:rPr>
            <w:rStyle w:val="Hyperlink"/>
            <w:i/>
          </w:rPr>
          <w:t>Evidence informed regulatory practice: an adaptive response, 2005</w:t>
        </w:r>
        <w:r>
          <w:rPr>
            <w:rStyle w:val="Hyperlink"/>
            <w:rFonts w:ascii="MS Gothic" w:hAnsi="MS Gothic" w:cs="MS Gothic"/>
            <w:i/>
          </w:rPr>
          <w:t>–</w:t>
        </w:r>
        <w:r w:rsidRPr="005B2B43">
          <w:rPr>
            <w:rStyle w:val="Hyperlink"/>
            <w:i/>
          </w:rPr>
          <w:t>15</w:t>
        </w:r>
      </w:hyperlink>
      <w:r w:rsidRPr="00800DF7">
        <w:rPr>
          <w:rStyle w:val="Hyperlink"/>
          <w:u w:val="none"/>
        </w:rPr>
        <w:t>.</w:t>
      </w:r>
    </w:p>
  </w:footnote>
  <w:footnote w:id="4">
    <w:p w14:paraId="5FCD4F65" w14:textId="3F503BFE" w:rsidR="00EB3A24" w:rsidRPr="00A032E4" w:rsidRDefault="00EB3A24" w:rsidP="000F4F8B">
      <w:pPr>
        <w:pStyle w:val="FootnoteText"/>
        <w:spacing w:after="0"/>
        <w:rPr>
          <w:lang w:val="en-US"/>
        </w:rPr>
      </w:pPr>
      <w:r>
        <w:rPr>
          <w:rStyle w:val="FootnoteReference"/>
        </w:rPr>
        <w:footnoteRef/>
      </w:r>
      <w:r>
        <w:t xml:space="preserve"> Pew Research Center, </w:t>
      </w:r>
      <w:hyperlink r:id="rId3" w:history="1">
        <w:r w:rsidRPr="000474EE">
          <w:rPr>
            <w:rStyle w:val="Hyperlink"/>
          </w:rPr>
          <w:t>Digital Life in 2015</w:t>
        </w:r>
      </w:hyperlink>
      <w:r w:rsidRPr="00800DF7">
        <w:rPr>
          <w:rStyle w:val="Hyperlink"/>
          <w:u w:val="none"/>
        </w:rPr>
        <w:t>.</w:t>
      </w:r>
      <w:r>
        <w:t xml:space="preserve"> </w:t>
      </w:r>
    </w:p>
  </w:footnote>
  <w:footnote w:id="5">
    <w:p w14:paraId="4AD1B5D7" w14:textId="4B986605" w:rsidR="00EB3A24" w:rsidRDefault="00EB3A24" w:rsidP="000F4F8B">
      <w:pPr>
        <w:pStyle w:val="FootnoteText"/>
        <w:spacing w:after="0"/>
      </w:pPr>
      <w:r>
        <w:rPr>
          <w:rStyle w:val="FootnoteReference"/>
        </w:rPr>
        <w:footnoteRef/>
      </w:r>
      <w:r>
        <w:t xml:space="preserve"> Catherine Livingstone, President Business Council of Australia, </w:t>
      </w:r>
      <w:hyperlink r:id="rId4" w:history="1">
        <w:r>
          <w:rPr>
            <w:rStyle w:val="Hyperlink"/>
          </w:rPr>
          <w:t>National Press Club address</w:t>
        </w:r>
      </w:hyperlink>
      <w:r>
        <w:rPr>
          <w:rStyle w:val="Hyperlink"/>
        </w:rPr>
        <w:t>,</w:t>
      </w:r>
      <w:r w:rsidRPr="005B2B43">
        <w:t xml:space="preserve"> 29 April 2015</w:t>
      </w:r>
      <w:r>
        <w:t>.</w:t>
      </w:r>
    </w:p>
  </w:footnote>
  <w:footnote w:id="6">
    <w:p w14:paraId="7C9DA326" w14:textId="0D97535E" w:rsidR="00EB3A24" w:rsidRDefault="00EB3A24" w:rsidP="00E605E6">
      <w:pPr>
        <w:pStyle w:val="FootnoteText"/>
        <w:spacing w:after="0"/>
      </w:pPr>
      <w:r>
        <w:rPr>
          <w:rStyle w:val="FootnoteReference"/>
        </w:rPr>
        <w:footnoteRef/>
      </w:r>
      <w:r>
        <w:t xml:space="preserve"> Infrastructure Australia, </w:t>
      </w:r>
      <w:hyperlink r:id="rId5" w:history="1">
        <w:r w:rsidRPr="00C52F47">
          <w:rPr>
            <w:rStyle w:val="Hyperlink"/>
          </w:rPr>
          <w:t>Australian Infrastructure Audit</w:t>
        </w:r>
      </w:hyperlink>
      <w:r w:rsidRPr="00841C5C">
        <w:t>, May 2015.</w:t>
      </w:r>
    </w:p>
  </w:footnote>
  <w:footnote w:id="7">
    <w:p w14:paraId="4AA1E3F6" w14:textId="23DD35F7" w:rsidR="00EB3A24" w:rsidRDefault="00EB3A24" w:rsidP="008616D1">
      <w:pPr>
        <w:pStyle w:val="FootnoteText"/>
        <w:spacing w:after="0"/>
      </w:pPr>
      <w:r>
        <w:rPr>
          <w:rStyle w:val="FootnoteReference"/>
        </w:rPr>
        <w:footnoteRef/>
      </w:r>
      <w:r>
        <w:t xml:space="preserve"> McKinsey Global Institute, </w:t>
      </w:r>
      <w:hyperlink r:id="rId6" w:history="1">
        <w:r w:rsidRPr="00083270">
          <w:rPr>
            <w:rStyle w:val="Hyperlink"/>
            <w:i/>
          </w:rPr>
          <w:t>The Internet of Things: Mapping the Value Beyond the Hype</w:t>
        </w:r>
        <w:r w:rsidRPr="00083270">
          <w:rPr>
            <w:rStyle w:val="Hyperlink"/>
          </w:rPr>
          <w:t>,</w:t>
        </w:r>
      </w:hyperlink>
      <w:r>
        <w:t xml:space="preserve"> June 2015, p. 125</w:t>
      </w:r>
    </w:p>
  </w:footnote>
  <w:footnote w:id="8">
    <w:p w14:paraId="7ECF33A1" w14:textId="104CE2E6" w:rsidR="00EB3A24" w:rsidRDefault="00EB3A24" w:rsidP="00616A14">
      <w:pPr>
        <w:pStyle w:val="FootnoteText"/>
        <w:spacing w:after="0"/>
      </w:pPr>
      <w:r>
        <w:rPr>
          <w:rStyle w:val="FootnoteReference"/>
        </w:rPr>
        <w:footnoteRef/>
      </w:r>
      <w:r>
        <w:t xml:space="preserve"> ACMA, </w:t>
      </w:r>
      <w:hyperlink r:id="rId7" w:history="1">
        <w:r w:rsidRPr="002E770D">
          <w:rPr>
            <w:rStyle w:val="Hyperlink"/>
          </w:rPr>
          <w:t>Corporate Plan 2015-19</w:t>
        </w:r>
      </w:hyperlink>
      <w:r>
        <w:t>, p. 5.</w:t>
      </w:r>
    </w:p>
  </w:footnote>
  <w:footnote w:id="9">
    <w:p w14:paraId="6B264E34" w14:textId="2A551762" w:rsidR="00EB3A24" w:rsidRDefault="00EB3A24" w:rsidP="008F5813">
      <w:pPr>
        <w:pStyle w:val="FootnoteText"/>
        <w:spacing w:after="0"/>
      </w:pPr>
      <w:r w:rsidRPr="005B2B43">
        <w:rPr>
          <w:rStyle w:val="FootnoteReference"/>
          <w:b/>
        </w:rPr>
        <w:footnoteRef/>
      </w:r>
      <w:r w:rsidRPr="005B2B43">
        <w:rPr>
          <w:b/>
        </w:rPr>
        <w:t xml:space="preserve"> </w:t>
      </w:r>
      <w:r w:rsidRPr="008F5813">
        <w:t xml:space="preserve">ACMA, </w:t>
      </w:r>
      <w:hyperlink r:id="rId8" w:history="1">
        <w:r w:rsidRPr="008F5813">
          <w:rPr>
            <w:rStyle w:val="Hyperlink"/>
            <w:i/>
            <w:lang w:val="en"/>
          </w:rPr>
          <w:t>Numbering: Structure of Australia's telephone numbering plan—Consultation paper number one</w:t>
        </w:r>
      </w:hyperlink>
      <w:r w:rsidRPr="008F5813">
        <w:rPr>
          <w:lang w:val="en"/>
        </w:rPr>
        <w:t>, p.</w:t>
      </w:r>
      <w:r w:rsidR="008F5813">
        <w:rPr>
          <w:lang w:val="en"/>
        </w:rPr>
        <w:t> </w:t>
      </w:r>
      <w:r w:rsidRPr="008F5813">
        <w:t>48</w:t>
      </w:r>
      <w:r w:rsidRPr="008F5813">
        <w:rPr>
          <w:lang w:val="en"/>
        </w:rPr>
        <w:t>.</w:t>
      </w:r>
    </w:p>
  </w:footnote>
  <w:footnote w:id="10">
    <w:p w14:paraId="7C6B5A8C" w14:textId="77777777" w:rsidR="00EB3A24" w:rsidRDefault="00EB3A24" w:rsidP="00A9204F">
      <w:pPr>
        <w:pStyle w:val="ListBullet"/>
        <w:numPr>
          <w:ilvl w:val="0"/>
          <w:numId w:val="0"/>
        </w:numPr>
        <w:spacing w:after="0"/>
      </w:pPr>
      <w:r w:rsidRPr="00A64605">
        <w:rPr>
          <w:rStyle w:val="FootnoteReference"/>
          <w:sz w:val="16"/>
          <w:szCs w:val="16"/>
        </w:rPr>
        <w:footnoteRef/>
      </w:r>
      <w:r w:rsidRPr="00A64605">
        <w:rPr>
          <w:sz w:val="16"/>
          <w:szCs w:val="16"/>
        </w:rPr>
        <w:t xml:space="preserve"> ACMA</w:t>
      </w:r>
      <w:r>
        <w:rPr>
          <w:sz w:val="16"/>
          <w:szCs w:val="16"/>
        </w:rPr>
        <w:t>,</w:t>
      </w:r>
      <w:r w:rsidRPr="00A64605">
        <w:rPr>
          <w:sz w:val="16"/>
          <w:szCs w:val="16"/>
        </w:rPr>
        <w:t xml:space="preserve"> </w:t>
      </w:r>
      <w:hyperlink r:id="rId9" w:history="1">
        <w:r w:rsidRPr="00A3786D">
          <w:rPr>
            <w:i/>
            <w:color w:val="0000FF"/>
            <w:sz w:val="16"/>
            <w:szCs w:val="16"/>
            <w:u w:val="single"/>
            <w:lang w:val="en-US"/>
          </w:rPr>
          <w:t>Near-field communications—Emerging issues in media and communications, occasional paper 2</w:t>
        </w:r>
        <w:r w:rsidRPr="00A3786D">
          <w:rPr>
            <w:sz w:val="16"/>
            <w:szCs w:val="16"/>
          </w:rPr>
          <w:t xml:space="preserve">, </w:t>
        </w:r>
      </w:hyperlink>
      <w:r w:rsidRPr="00A3786D">
        <w:rPr>
          <w:sz w:val="16"/>
          <w:szCs w:val="16"/>
        </w:rPr>
        <w:t>(May 2013),</w:t>
      </w:r>
      <w:r w:rsidRPr="00A64605">
        <w:rPr>
          <w:color w:val="0000FF"/>
          <w:sz w:val="16"/>
          <w:szCs w:val="16"/>
          <w:lang w:val="en-US"/>
        </w:rPr>
        <w:t xml:space="preserve"> </w:t>
      </w:r>
      <w:hyperlink r:id="rId10" w:history="1">
        <w:r w:rsidRPr="00A3786D">
          <w:rPr>
            <w:i/>
            <w:color w:val="0000FF"/>
            <w:sz w:val="16"/>
            <w:szCs w:val="16"/>
            <w:u w:val="single"/>
            <w:lang w:val="en-US"/>
          </w:rPr>
          <w:t>The cloud: services, computing and digital data—Emerging issues in media and communications, occasional paper 3</w:t>
        </w:r>
      </w:hyperlink>
      <w:r w:rsidRPr="00A64605">
        <w:rPr>
          <w:color w:val="0000FF"/>
          <w:sz w:val="16"/>
          <w:szCs w:val="16"/>
          <w:lang w:val="en-US"/>
        </w:rPr>
        <w:t xml:space="preserve"> </w:t>
      </w:r>
      <w:r w:rsidRPr="00A3786D">
        <w:rPr>
          <w:sz w:val="16"/>
          <w:szCs w:val="16"/>
        </w:rPr>
        <w:t>(June 2013)</w:t>
      </w:r>
      <w:r>
        <w:rPr>
          <w:sz w:val="16"/>
          <w:szCs w:val="16"/>
        </w:rPr>
        <w:t>.</w:t>
      </w:r>
      <w:r w:rsidRPr="00A3786D">
        <w:rPr>
          <w:sz w:val="16"/>
          <w:szCs w:val="16"/>
        </w:rPr>
        <w:t xml:space="preserve"> </w:t>
      </w:r>
    </w:p>
  </w:footnote>
  <w:footnote w:id="11">
    <w:p w14:paraId="7EC8DD28" w14:textId="77777777" w:rsidR="00EB3A24" w:rsidRDefault="00EB3A24" w:rsidP="00893E6E">
      <w:pPr>
        <w:pStyle w:val="FootnoteText"/>
        <w:spacing w:after="0"/>
      </w:pPr>
      <w:r>
        <w:rPr>
          <w:rStyle w:val="FootnoteReference"/>
        </w:rPr>
        <w:footnoteRef/>
      </w:r>
      <w:r>
        <w:t xml:space="preserve"> See September 2009 European Commission announcement, ‘</w:t>
      </w:r>
      <w:r w:rsidRPr="00FA2333">
        <w:t>European Commission urges EU countries to implement eCall voluntarily</w:t>
      </w:r>
      <w:r>
        <w:t xml:space="preserve">’, at </w:t>
      </w:r>
      <w:hyperlink r:id="rId11" w:history="1">
        <w:r w:rsidRPr="00406405">
          <w:rPr>
            <w:rStyle w:val="Hyperlink"/>
          </w:rPr>
          <w:t>www.epractice.eu/en/news/293342</w:t>
        </w:r>
      </w:hyperlink>
      <w:r>
        <w:t>.</w:t>
      </w:r>
    </w:p>
  </w:footnote>
  <w:footnote w:id="12">
    <w:p w14:paraId="56E6747D" w14:textId="29E294D6" w:rsidR="00EB3A24" w:rsidRDefault="00EB3A24" w:rsidP="003209CA">
      <w:pPr>
        <w:pStyle w:val="FootnoteText"/>
        <w:spacing w:after="0"/>
      </w:pPr>
      <w:r>
        <w:rPr>
          <w:rStyle w:val="FootnoteReference"/>
        </w:rPr>
        <w:footnoteRef/>
      </w:r>
      <w:r>
        <w:t xml:space="preserve"> OECD, Committee on Digital Economy Policy, Digital Economy Outlook, Chapter 5 Emerging Issues; The Internet of Things, p. 19.</w:t>
      </w:r>
    </w:p>
  </w:footnote>
  <w:footnote w:id="13">
    <w:p w14:paraId="6B63997C" w14:textId="62339871" w:rsidR="00EB3A24" w:rsidRDefault="00EB3A24" w:rsidP="008F5813">
      <w:pPr>
        <w:pStyle w:val="FootnoteText"/>
        <w:spacing w:after="0"/>
      </w:pPr>
      <w:r>
        <w:rPr>
          <w:rStyle w:val="FootnoteReference"/>
        </w:rPr>
        <w:footnoteRef/>
      </w:r>
      <w:r>
        <w:t xml:space="preserve"> Gartner, </w:t>
      </w:r>
      <w:hyperlink r:id="rId12" w:history="1">
        <w:r w:rsidRPr="00FD5B21">
          <w:rPr>
            <w:rStyle w:val="Hyperlink"/>
            <w:bCs/>
          </w:rPr>
          <w:t>Gartner Says 6.4 Billion Connected "Things" Will Be in Use in 2016, Up 30 Percent From 2015</w:t>
        </w:r>
      </w:hyperlink>
    </w:p>
  </w:footnote>
  <w:footnote w:id="14">
    <w:p w14:paraId="7B314086" w14:textId="77777777" w:rsidR="00EB3A24" w:rsidRDefault="00EB3A24" w:rsidP="000C5EEC">
      <w:pPr>
        <w:pStyle w:val="FootnoteText"/>
        <w:spacing w:after="0"/>
      </w:pPr>
      <w:r w:rsidRPr="00AE378D">
        <w:rPr>
          <w:rStyle w:val="FootnoteReference"/>
        </w:rPr>
        <w:footnoteRef/>
      </w:r>
      <w:r w:rsidRPr="00AE378D">
        <w:t xml:space="preserve"> </w:t>
      </w:r>
      <w:hyperlink r:id="rId13" w:history="1">
        <w:r w:rsidRPr="00AE378D">
          <w:rPr>
            <w:rStyle w:val="Hyperlink"/>
          </w:rPr>
          <w:t>Cisco Visual Networking Index Forecast Highlights</w:t>
        </w:r>
      </w:hyperlink>
    </w:p>
  </w:footnote>
  <w:footnote w:id="15">
    <w:p w14:paraId="774154EF" w14:textId="7A6060DE" w:rsidR="00EB3A24" w:rsidRDefault="00EB3A24" w:rsidP="000161B4">
      <w:pPr>
        <w:pStyle w:val="FootnoteText"/>
        <w:spacing w:after="0"/>
      </w:pPr>
      <w:r>
        <w:rPr>
          <w:rStyle w:val="FootnoteReference"/>
        </w:rPr>
        <w:footnoteRef/>
      </w:r>
      <w:r>
        <w:t xml:space="preserve"> With the exception of the prefix 0550, which is specified for use in connection with the supply of location independent communications services.</w:t>
      </w:r>
    </w:p>
  </w:footnote>
  <w:footnote w:id="16">
    <w:p w14:paraId="2BE3A0DE" w14:textId="77777777" w:rsidR="00EB3A24" w:rsidRDefault="00EB3A24" w:rsidP="007B79C4">
      <w:pPr>
        <w:pStyle w:val="FootnoteText"/>
        <w:spacing w:after="0"/>
      </w:pPr>
      <w:r>
        <w:rPr>
          <w:rStyle w:val="FootnoteReference"/>
        </w:rPr>
        <w:footnoteRef/>
      </w:r>
      <w:r>
        <w:t xml:space="preserve"> See </w:t>
      </w:r>
      <w:hyperlink r:id="rId14" w:history="1">
        <w:r w:rsidRPr="00DA11C2">
          <w:rPr>
            <w:rStyle w:val="Hyperlink"/>
          </w:rPr>
          <w:t>RFC 2050</w:t>
        </w:r>
      </w:hyperlink>
      <w:r>
        <w:t xml:space="preserve">, </w:t>
      </w:r>
      <w:r w:rsidRPr="00C66C5A">
        <w:rPr>
          <w:i/>
        </w:rPr>
        <w:t>Internet Registry IP Allocation Guidelines</w:t>
      </w:r>
      <w:r w:rsidRPr="00604698">
        <w:t xml:space="preserve">, </w:t>
      </w:r>
      <w:r>
        <w:t xml:space="preserve">first published in 1996; </w:t>
      </w:r>
      <w:hyperlink r:id="rId15" w:history="1">
        <w:r w:rsidRPr="00DA11C2">
          <w:rPr>
            <w:rStyle w:val="Hyperlink"/>
          </w:rPr>
          <w:t>RFC 2928</w:t>
        </w:r>
      </w:hyperlink>
      <w:r>
        <w:t xml:space="preserve">, </w:t>
      </w:r>
      <w:r w:rsidRPr="00C66C5A">
        <w:rPr>
          <w:i/>
        </w:rPr>
        <w:t>Initial IPv6 Sub-TLA ID Assignments</w:t>
      </w:r>
      <w:r>
        <w:t xml:space="preserve">, first published in September 2000; </w:t>
      </w:r>
      <w:hyperlink r:id="rId16" w:history="1">
        <w:r w:rsidRPr="00DA11C2">
          <w:rPr>
            <w:rStyle w:val="Hyperlink"/>
          </w:rPr>
          <w:t>RFC 3177</w:t>
        </w:r>
      </w:hyperlink>
      <w:r>
        <w:t xml:space="preserve">, </w:t>
      </w:r>
      <w:r w:rsidRPr="00C66C5A">
        <w:rPr>
          <w:i/>
        </w:rPr>
        <w:t>IAB/IESG Recommendations on IPv6 Address Allocations to Sites</w:t>
      </w:r>
      <w:r>
        <w:t xml:space="preserve">, first published in September 2001. RFC refers to ‘request for comment’, and is the title used for </w:t>
      </w:r>
      <w:r w:rsidRPr="000E7FBF">
        <w:t xml:space="preserve">internet standards documents and other publications </w:t>
      </w:r>
      <w:r>
        <w:t>of the Internet Engineering Taskforce.</w:t>
      </w:r>
    </w:p>
  </w:footnote>
  <w:footnote w:id="17">
    <w:p w14:paraId="101BC80E" w14:textId="22C9E33D" w:rsidR="00EB3A24" w:rsidRDefault="00EB3A24" w:rsidP="007B79C4">
      <w:pPr>
        <w:pStyle w:val="FootnoteText"/>
        <w:spacing w:after="0"/>
      </w:pPr>
      <w:r>
        <w:rPr>
          <w:rStyle w:val="FootnoteReference"/>
        </w:rPr>
        <w:footnoteRef/>
      </w:r>
      <w:r>
        <w:t xml:space="preserve"> ACMA, </w:t>
      </w:r>
      <w:hyperlink r:id="rId17" w:history="1">
        <w:r w:rsidRPr="00B547DA">
          <w:rPr>
            <w:rStyle w:val="Hyperlink"/>
            <w:i/>
          </w:rPr>
          <w:t>Telephone numbering—Future directions</w:t>
        </w:r>
      </w:hyperlink>
      <w:r>
        <w:t>, November 2011, p. 9.</w:t>
      </w:r>
    </w:p>
  </w:footnote>
  <w:footnote w:id="18">
    <w:p w14:paraId="3857EEC6" w14:textId="77777777" w:rsidR="00EB3A24" w:rsidRDefault="00EB3A24" w:rsidP="007B79C4">
      <w:pPr>
        <w:pStyle w:val="FootnoteText"/>
        <w:spacing w:after="0"/>
      </w:pPr>
      <w:r w:rsidRPr="00AE378D">
        <w:rPr>
          <w:rStyle w:val="FootnoteReference"/>
        </w:rPr>
        <w:footnoteRef/>
      </w:r>
      <w:r w:rsidRPr="00AE378D">
        <w:t xml:space="preserve"> </w:t>
      </w:r>
      <w:hyperlink r:id="rId18" w:history="1">
        <w:r w:rsidRPr="00BE31CA">
          <w:rPr>
            <w:rStyle w:val="Hyperlink"/>
          </w:rPr>
          <w:t>Cisco</w:t>
        </w:r>
        <w:r w:rsidRPr="00AE378D">
          <w:rPr>
            <w:rStyle w:val="Hyperlink"/>
          </w:rPr>
          <w:t xml:space="preserve"> Visual Networking Index Forecast Highlights</w:t>
        </w:r>
      </w:hyperlink>
    </w:p>
  </w:footnote>
  <w:footnote w:id="19">
    <w:p w14:paraId="68807C1F" w14:textId="53F7E29A" w:rsidR="00EB3A24" w:rsidRDefault="00EB3A24" w:rsidP="007B79C4">
      <w:pPr>
        <w:pStyle w:val="FootnoteText"/>
        <w:spacing w:after="0"/>
      </w:pPr>
      <w:r>
        <w:rPr>
          <w:rStyle w:val="FootnoteReference"/>
        </w:rPr>
        <w:footnoteRef/>
      </w:r>
      <w:r>
        <w:t xml:space="preserve"> </w:t>
      </w:r>
      <w:r w:rsidR="00323844" w:rsidRPr="00323844">
        <w:t>Analysys</w:t>
      </w:r>
      <w:r w:rsidR="00323844">
        <w:t xml:space="preserve"> </w:t>
      </w:r>
      <w:r>
        <w:t xml:space="preserve">Mason, Updated final report for the Australian Communications and Media Authority, </w:t>
      </w:r>
      <w:hyperlink r:id="rId19" w:history="1">
        <w:r>
          <w:rPr>
            <w:rStyle w:val="Hyperlink"/>
            <w:i/>
          </w:rPr>
          <w:t>Mobile Network Infrastructure Forecasts</w:t>
        </w:r>
      </w:hyperlink>
      <w:r>
        <w:t>, June 2015, p. 15.</w:t>
      </w:r>
    </w:p>
  </w:footnote>
  <w:footnote w:id="20">
    <w:p w14:paraId="2C035AA3" w14:textId="77777777" w:rsidR="00EB3A24" w:rsidRDefault="00EB3A24" w:rsidP="008E25E0">
      <w:pPr>
        <w:pStyle w:val="FootnoteText"/>
        <w:spacing w:after="0"/>
      </w:pPr>
      <w:r>
        <w:rPr>
          <w:rStyle w:val="FootnoteReference"/>
        </w:rPr>
        <w:footnoteRef/>
      </w:r>
      <w:r>
        <w:t xml:space="preserve"> ACMA, </w:t>
      </w:r>
      <w:hyperlink r:id="rId20" w:history="1">
        <w:r w:rsidRPr="00D253CE">
          <w:rPr>
            <w:rStyle w:val="Hyperlink"/>
            <w:rFonts w:cs="Arial"/>
            <w:i/>
            <w:iCs/>
          </w:rPr>
          <w:t>Five-year spectrum outlook 2015–19</w:t>
        </w:r>
      </w:hyperlink>
      <w:r>
        <w:rPr>
          <w:rFonts w:cs="Arial"/>
          <w:iCs/>
        </w:rPr>
        <w:t>, p. 50.</w:t>
      </w:r>
    </w:p>
  </w:footnote>
  <w:footnote w:id="21">
    <w:p w14:paraId="60602C6D" w14:textId="7C7937AD" w:rsidR="00EB3A24" w:rsidRDefault="00EB3A24" w:rsidP="00334F8D">
      <w:pPr>
        <w:pStyle w:val="FootnoteText"/>
        <w:spacing w:after="0"/>
      </w:pPr>
      <w:r>
        <w:rPr>
          <w:rStyle w:val="FootnoteReference"/>
        </w:rPr>
        <w:footnoteRef/>
      </w:r>
      <w:r>
        <w:t xml:space="preserve"> ACMA, </w:t>
      </w:r>
      <w:hyperlink r:id="rId21" w:history="1">
        <w:r w:rsidRPr="00D253CE">
          <w:rPr>
            <w:rStyle w:val="Hyperlink"/>
            <w:rFonts w:cs="Arial"/>
            <w:i/>
            <w:iCs/>
          </w:rPr>
          <w:t>Five-year spectrum outlook 2015–19</w:t>
        </w:r>
      </w:hyperlink>
      <w:r>
        <w:rPr>
          <w:rFonts w:cs="Arial"/>
          <w:iCs/>
        </w:rPr>
        <w:t>, p. 51.</w:t>
      </w:r>
    </w:p>
  </w:footnote>
  <w:footnote w:id="22">
    <w:p w14:paraId="0031D18A" w14:textId="28BF17C2" w:rsidR="00EB3A24" w:rsidRPr="001F4EF3" w:rsidRDefault="00EB3A24" w:rsidP="00334F8D">
      <w:pPr>
        <w:pStyle w:val="FootnoteText"/>
        <w:spacing w:after="0"/>
      </w:pPr>
      <w:r w:rsidRPr="001F4EF3">
        <w:rPr>
          <w:rStyle w:val="FootnoteReference"/>
        </w:rPr>
        <w:footnoteRef/>
      </w:r>
      <w:r w:rsidRPr="001F4EF3">
        <w:t xml:space="preserve"> </w:t>
      </w:r>
      <w:hyperlink r:id="rId22" w:history="1">
        <w:r w:rsidRPr="001F4EF3">
          <w:rPr>
            <w:rStyle w:val="Hyperlink"/>
          </w:rPr>
          <w:t>Cisco Visual Networking Index Forecast Highlights</w:t>
        </w:r>
      </w:hyperlink>
    </w:p>
  </w:footnote>
  <w:footnote w:id="23">
    <w:p w14:paraId="63D182F2" w14:textId="5E7115A4" w:rsidR="00EB3A24" w:rsidRPr="001F4EF3" w:rsidRDefault="00EB3A24" w:rsidP="00334F8D">
      <w:pPr>
        <w:pStyle w:val="FootnoteText"/>
        <w:spacing w:after="0"/>
      </w:pPr>
      <w:r w:rsidRPr="001F4EF3">
        <w:rPr>
          <w:rStyle w:val="FootnoteReference"/>
        </w:rPr>
        <w:footnoteRef/>
      </w:r>
      <w:r w:rsidRPr="001F4EF3">
        <w:t xml:space="preserve"> </w:t>
      </w:r>
      <w:r>
        <w:t xml:space="preserve">Dave Evans, CISCO, </w:t>
      </w:r>
      <w:hyperlink r:id="rId23" w:history="1">
        <w:r w:rsidRPr="005B2B43">
          <w:rPr>
            <w:rStyle w:val="Hyperlink"/>
            <w:i/>
          </w:rPr>
          <w:t>The Internet of Things—How the Next Evolution of the Internet is Changing Everything</w:t>
        </w:r>
      </w:hyperlink>
      <w:r w:rsidRPr="005B2B43">
        <w:t>, April 2011, p</w:t>
      </w:r>
      <w:r>
        <w:t xml:space="preserve">. </w:t>
      </w:r>
      <w:r w:rsidRPr="005B2B43">
        <w:t>3</w:t>
      </w:r>
      <w:r>
        <w:t>.</w:t>
      </w:r>
      <w:r w:rsidRPr="001F4EF3">
        <w:t xml:space="preserve"> </w:t>
      </w:r>
    </w:p>
  </w:footnote>
  <w:footnote w:id="24">
    <w:p w14:paraId="77997246" w14:textId="2B5F87E3" w:rsidR="00EB3A24" w:rsidRPr="001F4EF3" w:rsidRDefault="00EB3A24" w:rsidP="00334F8D">
      <w:pPr>
        <w:pStyle w:val="FootnoteText"/>
        <w:spacing w:after="0"/>
      </w:pPr>
      <w:r w:rsidRPr="001F4EF3">
        <w:rPr>
          <w:rStyle w:val="FootnoteReference"/>
        </w:rPr>
        <w:footnoteRef/>
      </w:r>
      <w:r w:rsidRPr="001F4EF3">
        <w:t xml:space="preserve"> Ericsson</w:t>
      </w:r>
      <w:r>
        <w:t xml:space="preserve">, </w:t>
      </w:r>
      <w:hyperlink r:id="rId24" w:history="1">
        <w:r w:rsidRPr="001F4EF3">
          <w:rPr>
            <w:rStyle w:val="Hyperlink"/>
          </w:rPr>
          <w:t>CEO to Shareholders: 50 Billion Connections 2020</w:t>
        </w:r>
      </w:hyperlink>
      <w:r>
        <w:t xml:space="preserve">, </w:t>
      </w:r>
      <w:r w:rsidRPr="005B2B43">
        <w:t>press release, April 13, 2010</w:t>
      </w:r>
      <w:r>
        <w:t>.</w:t>
      </w:r>
    </w:p>
  </w:footnote>
  <w:footnote w:id="25">
    <w:p w14:paraId="54C1EB01" w14:textId="49CC4EC7" w:rsidR="00EB3A24" w:rsidRDefault="00EB3A24" w:rsidP="00334F8D">
      <w:pPr>
        <w:pStyle w:val="FootnoteText"/>
        <w:spacing w:after="0"/>
      </w:pPr>
      <w:r w:rsidRPr="001F4EF3">
        <w:rPr>
          <w:rStyle w:val="FootnoteReference"/>
        </w:rPr>
        <w:footnoteRef/>
      </w:r>
      <w:r w:rsidRPr="001F4EF3">
        <w:t xml:space="preserve"> </w:t>
      </w:r>
      <w:hyperlink r:id="rId25" w:history="1">
        <w:r w:rsidRPr="001F4EF3">
          <w:rPr>
            <w:rStyle w:val="Hyperlink"/>
          </w:rPr>
          <w:t>2014 Cisco Visual Networking Index</w:t>
        </w:r>
      </w:hyperlink>
      <w:r>
        <w:t>;</w:t>
      </w:r>
      <w:r w:rsidRPr="001F4EF3">
        <w:t xml:space="preserve"> </w:t>
      </w:r>
      <w:r>
        <w:t xml:space="preserve">Gartner, </w:t>
      </w:r>
      <w:hyperlink r:id="rId26" w:history="1">
        <w:r w:rsidRPr="00FD5B21">
          <w:rPr>
            <w:rStyle w:val="Hyperlink"/>
            <w:bCs/>
          </w:rPr>
          <w:t>Gartner Says 6.4 Billion Connected "Things" Will Be in Use in 2016, Up 30 Percent From 2015</w:t>
        </w:r>
      </w:hyperlink>
      <w:r>
        <w:rPr>
          <w:bCs/>
        </w:rPr>
        <w:t>, November 2015</w:t>
      </w:r>
      <w:r>
        <w:t xml:space="preserve">; </w:t>
      </w:r>
      <w:hyperlink r:id="rId27" w:history="1">
        <w:r w:rsidRPr="001F4EF3">
          <w:rPr>
            <w:rStyle w:val="Hyperlink"/>
          </w:rPr>
          <w:t>Ericsson Mobility Report</w:t>
        </w:r>
      </w:hyperlink>
      <w:r w:rsidRPr="005B2B43">
        <w:t>, June 2015, p</w:t>
      </w:r>
      <w:r>
        <w:t xml:space="preserve">. </w:t>
      </w:r>
      <w:r w:rsidRPr="005B2B43">
        <w:t>10</w:t>
      </w:r>
      <w:r w:rsidRPr="003C25D3">
        <w:rPr>
          <w:rStyle w:val="Hyperlink"/>
          <w:u w:val="none"/>
        </w:rPr>
        <w:t>.</w:t>
      </w:r>
    </w:p>
  </w:footnote>
  <w:footnote w:id="26">
    <w:p w14:paraId="4D0D1CF8" w14:textId="0AA8A6B8" w:rsidR="00EB3A24" w:rsidRDefault="00EB3A24" w:rsidP="001C2A59">
      <w:pPr>
        <w:pStyle w:val="FootnoteText"/>
        <w:spacing w:after="0"/>
      </w:pPr>
      <w:r>
        <w:rPr>
          <w:rStyle w:val="FootnoteReference"/>
        </w:rPr>
        <w:footnoteRef/>
      </w:r>
      <w:r>
        <w:t xml:space="preserve"> ACMA commissioned survey May 2015.</w:t>
      </w:r>
    </w:p>
  </w:footnote>
  <w:footnote w:id="27">
    <w:p w14:paraId="46DB0D5C" w14:textId="77777777" w:rsidR="00EB3A24" w:rsidRPr="007B34A1" w:rsidRDefault="00EB3A24" w:rsidP="005B2B43">
      <w:pPr>
        <w:spacing w:after="0"/>
        <w:rPr>
          <w:rFonts w:cs="Arial"/>
        </w:rPr>
      </w:pPr>
      <w:r w:rsidRPr="007B34A1">
        <w:rPr>
          <w:rStyle w:val="FootnoteReference"/>
          <w:rFonts w:cs="Arial"/>
          <w:sz w:val="16"/>
          <w:szCs w:val="16"/>
        </w:rPr>
        <w:footnoteRef/>
      </w:r>
      <w:r w:rsidRPr="007B34A1">
        <w:rPr>
          <w:rFonts w:cs="Arial"/>
        </w:rPr>
        <w:t xml:space="preserve"> </w:t>
      </w:r>
      <w:r w:rsidRPr="007B34A1">
        <w:rPr>
          <w:rFonts w:cs="Arial"/>
          <w:sz w:val="16"/>
          <w:szCs w:val="16"/>
        </w:rPr>
        <w:t xml:space="preserve">In the Privacy Act, </w:t>
      </w:r>
      <w:r w:rsidRPr="007B34A1">
        <w:rPr>
          <w:rFonts w:cs="Arial"/>
          <w:bCs/>
          <w:sz w:val="16"/>
          <w:szCs w:val="16"/>
        </w:rPr>
        <w:t>‘personal information’</w:t>
      </w:r>
      <w:r w:rsidRPr="007B34A1">
        <w:rPr>
          <w:rFonts w:cs="Arial"/>
          <w:b/>
          <w:bCs/>
          <w:sz w:val="16"/>
          <w:szCs w:val="16"/>
        </w:rPr>
        <w:t> </w:t>
      </w:r>
      <w:r w:rsidRPr="007B34A1">
        <w:rPr>
          <w:rFonts w:cs="Arial"/>
          <w:sz w:val="16"/>
          <w:szCs w:val="16"/>
        </w:rPr>
        <w:t>means information or an opinion (including information or an opinion forming part of a database and whether or not recorded in a material form) about an individual whose identity is apparent or can reasonably be ascertained from the information or opinion. It includes such things as an individual’s fingerprints, retina prints, body samples or genetic characteristics. It excludes information about an individual that is contained in a </w:t>
      </w:r>
      <w:hyperlink r:id="rId28" w:anchor="publicly_available_publication" w:history="1">
        <w:r w:rsidRPr="007B34A1">
          <w:rPr>
            <w:rStyle w:val="Hyperlink"/>
            <w:rFonts w:cs="Arial"/>
            <w:sz w:val="16"/>
            <w:szCs w:val="16"/>
          </w:rPr>
          <w:t>publicly available publication</w:t>
        </w:r>
      </w:hyperlink>
      <w:r w:rsidRPr="007B34A1">
        <w:rPr>
          <w:rFonts w:cs="Arial"/>
          <w:sz w:val="16"/>
          <w:szCs w:val="16"/>
        </w:rPr>
        <w:t>.</w:t>
      </w:r>
    </w:p>
  </w:footnote>
  <w:footnote w:id="28">
    <w:p w14:paraId="5C9C700A" w14:textId="77777777" w:rsidR="00EB3A24" w:rsidRPr="007B34A1" w:rsidRDefault="00EB3A24" w:rsidP="00FE07E5">
      <w:pPr>
        <w:pStyle w:val="FootnoteText"/>
        <w:spacing w:after="0"/>
        <w:rPr>
          <w:rFonts w:cs="Arial"/>
        </w:rPr>
      </w:pPr>
      <w:r w:rsidRPr="007B34A1">
        <w:rPr>
          <w:rStyle w:val="FootnoteReference"/>
          <w:rFonts w:cs="Arial"/>
        </w:rPr>
        <w:footnoteRef/>
      </w:r>
      <w:r w:rsidRPr="007B34A1">
        <w:rPr>
          <w:rFonts w:cs="Arial"/>
        </w:rPr>
        <w:t xml:space="preserve"> World Economic Forum, </w:t>
      </w:r>
      <w:r w:rsidRPr="007B34A1">
        <w:rPr>
          <w:rFonts w:cs="Arial"/>
          <w:i/>
        </w:rPr>
        <w:t>Personal Data: The Emergence of a New Asset Class</w:t>
      </w:r>
      <w:r w:rsidRPr="007B34A1">
        <w:rPr>
          <w:rFonts w:cs="Arial"/>
        </w:rPr>
        <w:t>, 2011, p. 9.</w:t>
      </w:r>
    </w:p>
  </w:footnote>
  <w:footnote w:id="29">
    <w:p w14:paraId="45D2E6E3" w14:textId="7A084407" w:rsidR="00EB3A24" w:rsidRDefault="00EB3A24" w:rsidP="00FE07E5">
      <w:pPr>
        <w:pStyle w:val="FootnoteText"/>
        <w:spacing w:after="0"/>
      </w:pPr>
      <w:r>
        <w:rPr>
          <w:rStyle w:val="FootnoteReference"/>
        </w:rPr>
        <w:footnoteRef/>
      </w:r>
      <w:r>
        <w:t xml:space="preserve"> McKinsey Global Institute, </w:t>
      </w:r>
      <w:r w:rsidRPr="001C2A59">
        <w:rPr>
          <w:i/>
        </w:rPr>
        <w:t>The Internet of Things: Mapping the Value Beyond the Hype</w:t>
      </w:r>
      <w:r>
        <w:t>, June 2015, p. 4.</w:t>
      </w:r>
    </w:p>
  </w:footnote>
  <w:footnote w:id="30">
    <w:p w14:paraId="55D6B3B2" w14:textId="3DB67B18" w:rsidR="00EB3A24" w:rsidRPr="005B2B43" w:rsidRDefault="00EB3A24" w:rsidP="001E13B1">
      <w:pPr>
        <w:pStyle w:val="FootnoteText"/>
        <w:spacing w:after="0"/>
      </w:pPr>
      <w:r>
        <w:rPr>
          <w:rStyle w:val="FootnoteReference"/>
        </w:rPr>
        <w:footnoteRef/>
      </w:r>
      <w:r>
        <w:t xml:space="preserve"> Due to a change in methodology, this </w:t>
      </w:r>
      <w:r>
        <w:rPr>
          <w:lang w:val="en-US"/>
        </w:rPr>
        <w:t xml:space="preserve">figure has been revised from 80 per cent as published in ACMA </w:t>
      </w:r>
      <w:hyperlink r:id="rId29" w:history="1">
        <w:r w:rsidRPr="005B2B43">
          <w:rPr>
            <w:rStyle w:val="Hyperlink"/>
            <w:i/>
            <w:lang w:val="en-US"/>
          </w:rPr>
          <w:t>Communications report series, Report 2—Cloud computing in Australia</w:t>
        </w:r>
      </w:hyperlink>
      <w:r w:rsidRPr="005B2B43">
        <w:rPr>
          <w:i/>
        </w:rPr>
        <w:t>,</w:t>
      </w:r>
      <w:r w:rsidRPr="000D0193">
        <w:t xml:space="preserve"> 2014</w:t>
      </w:r>
      <w:r>
        <w:rPr>
          <w:lang w:val="en-US"/>
        </w:rPr>
        <w:t xml:space="preserve">. </w:t>
      </w:r>
    </w:p>
  </w:footnote>
  <w:footnote w:id="31">
    <w:p w14:paraId="6FC83DF0" w14:textId="552C39C5" w:rsidR="00EB3A24" w:rsidRDefault="00EB3A24" w:rsidP="00780E9D">
      <w:pPr>
        <w:pStyle w:val="FootnoteText"/>
        <w:spacing w:after="0"/>
      </w:pPr>
      <w:r>
        <w:rPr>
          <w:rStyle w:val="FootnoteReference"/>
        </w:rPr>
        <w:footnoteRef/>
      </w:r>
      <w:r>
        <w:t xml:space="preserve"> ACMA </w:t>
      </w:r>
      <w:hyperlink r:id="rId30" w:history="1">
        <w:r w:rsidRPr="005B2B43">
          <w:rPr>
            <w:rStyle w:val="Hyperlink"/>
            <w:i/>
          </w:rPr>
          <w:t xml:space="preserve">Six emerging trends in media </w:t>
        </w:r>
        <w:r>
          <w:rPr>
            <w:rStyle w:val="Hyperlink"/>
            <w:i/>
          </w:rPr>
          <w:t>&amp;</w:t>
        </w:r>
        <w:r w:rsidRPr="005B2B43">
          <w:rPr>
            <w:rStyle w:val="Hyperlink"/>
            <w:i/>
          </w:rPr>
          <w:t xml:space="preserve"> communications</w:t>
        </w:r>
      </w:hyperlink>
      <w:r>
        <w:t>, November 2014.</w:t>
      </w:r>
    </w:p>
  </w:footnote>
  <w:footnote w:id="32">
    <w:p w14:paraId="4FB4EABB" w14:textId="501DEED1" w:rsidR="00EB3A24" w:rsidRDefault="00EB3A24" w:rsidP="00780E9D">
      <w:pPr>
        <w:pStyle w:val="FootnoteText"/>
        <w:spacing w:after="0"/>
      </w:pPr>
      <w:r>
        <w:rPr>
          <w:rStyle w:val="FootnoteReference"/>
        </w:rPr>
        <w:footnoteRef/>
      </w:r>
      <w:r>
        <w:t xml:space="preserve"> ACMA </w:t>
      </w:r>
      <w:hyperlink r:id="rId31" w:history="1">
        <w:r w:rsidRPr="005B2B43">
          <w:rPr>
            <w:rStyle w:val="Hyperlink"/>
            <w:i/>
          </w:rPr>
          <w:t>Australians’ digital lives</w:t>
        </w:r>
      </w:hyperlink>
      <w:r w:rsidRPr="001E13B1">
        <w:rPr>
          <w:rStyle w:val="Hyperlink"/>
          <w:u w:val="none"/>
        </w:rPr>
        <w:t>,</w:t>
      </w:r>
      <w:r>
        <w:t xml:space="preserve"> March 2015.</w:t>
      </w:r>
    </w:p>
  </w:footnote>
  <w:footnote w:id="33">
    <w:p w14:paraId="1E241E4C" w14:textId="77777777" w:rsidR="00EB3A24" w:rsidRDefault="00EB3A24" w:rsidP="00CB4C67">
      <w:pPr>
        <w:pStyle w:val="FootnoteText"/>
        <w:spacing w:after="0"/>
      </w:pPr>
      <w:r>
        <w:rPr>
          <w:rStyle w:val="FootnoteReference"/>
        </w:rPr>
        <w:footnoteRef/>
      </w:r>
      <w:r>
        <w:t xml:space="preserve"> ACMA, </w:t>
      </w:r>
      <w:hyperlink r:id="rId32" w:history="1">
        <w:r>
          <w:rPr>
            <w:rStyle w:val="Hyperlink"/>
            <w:i/>
          </w:rPr>
          <w:t>Connected citizens—A regulatory strategy for the networked society and information economy</w:t>
        </w:r>
      </w:hyperlink>
      <w:r w:rsidRPr="005B2B43">
        <w:rPr>
          <w:rStyle w:val="Hyperlink"/>
          <w:i/>
          <w:u w:val="none"/>
        </w:rPr>
        <w:t xml:space="preserve">, </w:t>
      </w:r>
      <w:r>
        <w:t>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600FE" w14:textId="77777777" w:rsidR="00EB3A24" w:rsidRDefault="00EB3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FAC7" w14:textId="77777777" w:rsidR="00EB3A24" w:rsidRPr="00A5474E" w:rsidRDefault="00EB3A24" w:rsidP="00A5474E">
    <w:pPr>
      <w:pStyle w:val="Header"/>
    </w:pPr>
    <w:r>
      <w:rPr>
        <w:noProof/>
      </w:rPr>
      <w:drawing>
        <wp:inline distT="0" distB="0" distL="0" distR="0" wp14:anchorId="760FAEB4" wp14:editId="52AE288D">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26157" w14:textId="77777777" w:rsidR="00EB3A24" w:rsidRPr="00A5474E" w:rsidRDefault="00EB3A24"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7422" w14:textId="77777777" w:rsidR="00EB3A24" w:rsidRDefault="00EB3A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89B77" w14:textId="77777777" w:rsidR="00EB3A24" w:rsidRDefault="00EB3A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33BF" w14:textId="77777777" w:rsidR="00EB3A24" w:rsidRPr="00A5474E" w:rsidRDefault="00EB3A24"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B14E" w14:textId="77777777" w:rsidR="00EB3A24" w:rsidRPr="00A5474E" w:rsidRDefault="00EB3A24"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9790" w14:textId="77777777" w:rsidR="00EB3A24" w:rsidRDefault="00EB3A2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9277" w14:textId="77777777" w:rsidR="00EB3A24" w:rsidRDefault="00EB3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C4A876E"/>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4">
    <w:nsid w:val="FFFFFF88"/>
    <w:multiLevelType w:val="singleLevel"/>
    <w:tmpl w:val="2BEEACA4"/>
    <w:lvl w:ilvl="0">
      <w:start w:val="1"/>
      <w:numFmt w:val="decimal"/>
      <w:pStyle w:val="ListNumber"/>
      <w:lvlText w:val="%1."/>
      <w:lvlJc w:val="left"/>
      <w:pPr>
        <w:ind w:left="360" w:hanging="360"/>
      </w:pPr>
      <w:rPr>
        <w:rFonts w:hint="default"/>
        <w:b w:val="0"/>
        <w:caps/>
        <w:color w:val="auto"/>
        <w:sz w:val="20"/>
      </w:rPr>
    </w:lvl>
  </w:abstractNum>
  <w:abstractNum w:abstractNumId="5">
    <w:nsid w:val="FFFFFF89"/>
    <w:multiLevelType w:val="singleLevel"/>
    <w:tmpl w:val="3476E9B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6">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D063FC"/>
    <w:multiLevelType w:val="hybridMultilevel"/>
    <w:tmpl w:val="C1AA3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C9616B"/>
    <w:multiLevelType w:val="hybridMultilevel"/>
    <w:tmpl w:val="947E2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89070C"/>
    <w:multiLevelType w:val="hybridMultilevel"/>
    <w:tmpl w:val="0D3C1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6151F5B"/>
    <w:multiLevelType w:val="hybridMultilevel"/>
    <w:tmpl w:val="3D681BC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0560880"/>
    <w:multiLevelType w:val="hybridMultilevel"/>
    <w:tmpl w:val="E20430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0A06FA8"/>
    <w:multiLevelType w:val="hybridMultilevel"/>
    <w:tmpl w:val="B97C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89789E"/>
    <w:multiLevelType w:val="hybridMultilevel"/>
    <w:tmpl w:val="1DB8A2B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332F5"/>
    <w:multiLevelType w:val="hybridMultilevel"/>
    <w:tmpl w:val="523406F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4342EC"/>
    <w:multiLevelType w:val="hybridMultilevel"/>
    <w:tmpl w:val="1C7E85F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4312A0"/>
    <w:multiLevelType w:val="hybridMultilevel"/>
    <w:tmpl w:val="5C1C318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11C9F"/>
    <w:multiLevelType w:val="hybridMultilevel"/>
    <w:tmpl w:val="4DE4922C"/>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071478"/>
    <w:multiLevelType w:val="hybridMultilevel"/>
    <w:tmpl w:val="6B6C73F0"/>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A0FD5"/>
    <w:multiLevelType w:val="hybridMultilevel"/>
    <w:tmpl w:val="16B2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12"/>
  </w:num>
  <w:num w:numId="7">
    <w:abstractNumId w:val="22"/>
  </w:num>
  <w:num w:numId="8">
    <w:abstractNumId w:val="19"/>
  </w:num>
  <w:num w:numId="9">
    <w:abstractNumId w:val="21"/>
  </w:num>
  <w:num w:numId="10">
    <w:abstractNumId w:val="24"/>
  </w:num>
  <w:num w:numId="11">
    <w:abstractNumId w:val="7"/>
  </w:num>
  <w:num w:numId="12">
    <w:abstractNumId w:val="6"/>
  </w:num>
  <w:num w:numId="13">
    <w:abstractNumId w:val="13"/>
  </w:num>
  <w:num w:numId="14">
    <w:abstractNumId w:val="4"/>
    <w:lvlOverride w:ilvl="0">
      <w:startOverride w:val="1"/>
    </w:lvlOverride>
  </w:num>
  <w:num w:numId="15">
    <w:abstractNumId w:val="4"/>
    <w:lvlOverride w:ilvl="0">
      <w:startOverride w:val="1"/>
    </w:lvlOverride>
  </w:num>
  <w:num w:numId="16">
    <w:abstractNumId w:val="14"/>
  </w:num>
  <w:num w:numId="17">
    <w:abstractNumId w:val="23"/>
  </w:num>
  <w:num w:numId="18">
    <w:abstractNumId w:val="2"/>
  </w:num>
  <w:num w:numId="19">
    <w:abstractNumId w:val="15"/>
  </w:num>
  <w:num w:numId="20">
    <w:abstractNumId w:val="11"/>
  </w:num>
  <w:num w:numId="21">
    <w:abstractNumId w:val="16"/>
  </w:num>
  <w:num w:numId="22">
    <w:abstractNumId w:val="18"/>
  </w:num>
  <w:num w:numId="23">
    <w:abstractNumId w:val="20"/>
  </w:num>
  <w:num w:numId="24">
    <w:abstractNumId w:val="3"/>
  </w:num>
  <w:num w:numId="25">
    <w:abstractNumId w:val="4"/>
    <w:lvlOverride w:ilvl="0">
      <w:startOverride w:val="1"/>
    </w:lvlOverride>
  </w:num>
  <w:num w:numId="26">
    <w:abstractNumId w:val="3"/>
  </w:num>
  <w:num w:numId="27">
    <w:abstractNumId w:val="10"/>
  </w:num>
  <w:num w:numId="28">
    <w:abstractNumId w:val="8"/>
  </w:num>
  <w:num w:numId="29">
    <w:abstractNumId w:val="9"/>
  </w:num>
  <w:num w:numId="30">
    <w:abstractNumId w:val="4"/>
    <w:lvlOverride w:ilvl="0">
      <w:startOverride w:val="1"/>
    </w:lvlOverride>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00353">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00391"/>
    <w:rsid w:val="00003201"/>
    <w:rsid w:val="00006977"/>
    <w:rsid w:val="00006DBD"/>
    <w:rsid w:val="00010504"/>
    <w:rsid w:val="000105E9"/>
    <w:rsid w:val="00010667"/>
    <w:rsid w:val="00010F53"/>
    <w:rsid w:val="000129D5"/>
    <w:rsid w:val="00015AE7"/>
    <w:rsid w:val="000161B4"/>
    <w:rsid w:val="000163B5"/>
    <w:rsid w:val="0001651D"/>
    <w:rsid w:val="00016E21"/>
    <w:rsid w:val="0001719C"/>
    <w:rsid w:val="000176ED"/>
    <w:rsid w:val="00020A6C"/>
    <w:rsid w:val="000216D5"/>
    <w:rsid w:val="00026F91"/>
    <w:rsid w:val="00043DA8"/>
    <w:rsid w:val="00043F8A"/>
    <w:rsid w:val="000448DC"/>
    <w:rsid w:val="000474EE"/>
    <w:rsid w:val="00047F09"/>
    <w:rsid w:val="0005011A"/>
    <w:rsid w:val="0005045A"/>
    <w:rsid w:val="00051C1E"/>
    <w:rsid w:val="000539F9"/>
    <w:rsid w:val="00054C27"/>
    <w:rsid w:val="00055EC3"/>
    <w:rsid w:val="000563CE"/>
    <w:rsid w:val="00057F64"/>
    <w:rsid w:val="000659B6"/>
    <w:rsid w:val="0006722A"/>
    <w:rsid w:val="000732CF"/>
    <w:rsid w:val="00075B96"/>
    <w:rsid w:val="00076BAF"/>
    <w:rsid w:val="0008196A"/>
    <w:rsid w:val="00083270"/>
    <w:rsid w:val="0008441B"/>
    <w:rsid w:val="00086108"/>
    <w:rsid w:val="0009005A"/>
    <w:rsid w:val="000915ED"/>
    <w:rsid w:val="0009187D"/>
    <w:rsid w:val="0009209D"/>
    <w:rsid w:val="000969BD"/>
    <w:rsid w:val="000969BF"/>
    <w:rsid w:val="000A0C22"/>
    <w:rsid w:val="000A3C43"/>
    <w:rsid w:val="000A4A51"/>
    <w:rsid w:val="000A5D2B"/>
    <w:rsid w:val="000B371F"/>
    <w:rsid w:val="000B5DE3"/>
    <w:rsid w:val="000C0A57"/>
    <w:rsid w:val="000C230C"/>
    <w:rsid w:val="000C2D6C"/>
    <w:rsid w:val="000C3FB7"/>
    <w:rsid w:val="000C5EEC"/>
    <w:rsid w:val="000D1244"/>
    <w:rsid w:val="000D71D9"/>
    <w:rsid w:val="000D76E0"/>
    <w:rsid w:val="000D7E8B"/>
    <w:rsid w:val="000E4449"/>
    <w:rsid w:val="000E5DAE"/>
    <w:rsid w:val="000E6097"/>
    <w:rsid w:val="000F198C"/>
    <w:rsid w:val="000F4F8B"/>
    <w:rsid w:val="00103829"/>
    <w:rsid w:val="00107F9D"/>
    <w:rsid w:val="00111FCE"/>
    <w:rsid w:val="001229A5"/>
    <w:rsid w:val="0012489B"/>
    <w:rsid w:val="001258EC"/>
    <w:rsid w:val="00130017"/>
    <w:rsid w:val="00130F91"/>
    <w:rsid w:val="00131F7A"/>
    <w:rsid w:val="00132405"/>
    <w:rsid w:val="00137424"/>
    <w:rsid w:val="00140318"/>
    <w:rsid w:val="00141AD9"/>
    <w:rsid w:val="00142954"/>
    <w:rsid w:val="001430C0"/>
    <w:rsid w:val="00146CE6"/>
    <w:rsid w:val="001523B9"/>
    <w:rsid w:val="00152903"/>
    <w:rsid w:val="0015614F"/>
    <w:rsid w:val="00156FD3"/>
    <w:rsid w:val="001577C2"/>
    <w:rsid w:val="001633C4"/>
    <w:rsid w:val="001679D3"/>
    <w:rsid w:val="00171591"/>
    <w:rsid w:val="00173981"/>
    <w:rsid w:val="0017719D"/>
    <w:rsid w:val="00180C5A"/>
    <w:rsid w:val="00182741"/>
    <w:rsid w:val="001851FB"/>
    <w:rsid w:val="00185CAB"/>
    <w:rsid w:val="00186277"/>
    <w:rsid w:val="001875B7"/>
    <w:rsid w:val="00187CB3"/>
    <w:rsid w:val="0019050A"/>
    <w:rsid w:val="001910D4"/>
    <w:rsid w:val="001968F4"/>
    <w:rsid w:val="0019699B"/>
    <w:rsid w:val="001976E3"/>
    <w:rsid w:val="00197F40"/>
    <w:rsid w:val="001A0B4E"/>
    <w:rsid w:val="001A44EC"/>
    <w:rsid w:val="001A554D"/>
    <w:rsid w:val="001B0F7D"/>
    <w:rsid w:val="001B58AA"/>
    <w:rsid w:val="001B7E48"/>
    <w:rsid w:val="001C17CE"/>
    <w:rsid w:val="001C1B4D"/>
    <w:rsid w:val="001C2A59"/>
    <w:rsid w:val="001C30C6"/>
    <w:rsid w:val="001C30ED"/>
    <w:rsid w:val="001C36CA"/>
    <w:rsid w:val="001C44D1"/>
    <w:rsid w:val="001C6AEE"/>
    <w:rsid w:val="001C7630"/>
    <w:rsid w:val="001C7D3E"/>
    <w:rsid w:val="001D19AF"/>
    <w:rsid w:val="001D6D15"/>
    <w:rsid w:val="001E13B1"/>
    <w:rsid w:val="001E2249"/>
    <w:rsid w:val="001E3B9B"/>
    <w:rsid w:val="001F4391"/>
    <w:rsid w:val="001F4EF3"/>
    <w:rsid w:val="001F52CE"/>
    <w:rsid w:val="001F6B3F"/>
    <w:rsid w:val="001F7558"/>
    <w:rsid w:val="002006FB"/>
    <w:rsid w:val="002041F5"/>
    <w:rsid w:val="00205B57"/>
    <w:rsid w:val="00207EFE"/>
    <w:rsid w:val="002100BB"/>
    <w:rsid w:val="00212081"/>
    <w:rsid w:val="002151C7"/>
    <w:rsid w:val="002157E0"/>
    <w:rsid w:val="00216A57"/>
    <w:rsid w:val="0022334F"/>
    <w:rsid w:val="00224DE4"/>
    <w:rsid w:val="00226819"/>
    <w:rsid w:val="0023255F"/>
    <w:rsid w:val="00233101"/>
    <w:rsid w:val="002337A3"/>
    <w:rsid w:val="00233817"/>
    <w:rsid w:val="00234F76"/>
    <w:rsid w:val="00235736"/>
    <w:rsid w:val="002367FF"/>
    <w:rsid w:val="00240CE9"/>
    <w:rsid w:val="002434BA"/>
    <w:rsid w:val="00246089"/>
    <w:rsid w:val="00246093"/>
    <w:rsid w:val="00246702"/>
    <w:rsid w:val="00247C59"/>
    <w:rsid w:val="00247F2E"/>
    <w:rsid w:val="00250A6D"/>
    <w:rsid w:val="00250ADC"/>
    <w:rsid w:val="00250B07"/>
    <w:rsid w:val="00257553"/>
    <w:rsid w:val="00260FB2"/>
    <w:rsid w:val="00261F30"/>
    <w:rsid w:val="00262128"/>
    <w:rsid w:val="00262448"/>
    <w:rsid w:val="002653CC"/>
    <w:rsid w:val="0027165D"/>
    <w:rsid w:val="00273CEB"/>
    <w:rsid w:val="00281C89"/>
    <w:rsid w:val="00282684"/>
    <w:rsid w:val="0028282F"/>
    <w:rsid w:val="00292A9D"/>
    <w:rsid w:val="00294090"/>
    <w:rsid w:val="0029593B"/>
    <w:rsid w:val="0029785A"/>
    <w:rsid w:val="00297FC5"/>
    <w:rsid w:val="002A0417"/>
    <w:rsid w:val="002A1426"/>
    <w:rsid w:val="002A16D8"/>
    <w:rsid w:val="002A1BC8"/>
    <w:rsid w:val="002A3EF2"/>
    <w:rsid w:val="002A51DF"/>
    <w:rsid w:val="002B0DED"/>
    <w:rsid w:val="002B19A2"/>
    <w:rsid w:val="002B381A"/>
    <w:rsid w:val="002B4FCC"/>
    <w:rsid w:val="002B705D"/>
    <w:rsid w:val="002B7408"/>
    <w:rsid w:val="002B7CFD"/>
    <w:rsid w:val="002C210F"/>
    <w:rsid w:val="002C320A"/>
    <w:rsid w:val="002C3E2C"/>
    <w:rsid w:val="002C53DA"/>
    <w:rsid w:val="002C6AC9"/>
    <w:rsid w:val="002C6AF7"/>
    <w:rsid w:val="002C703D"/>
    <w:rsid w:val="002D1B3F"/>
    <w:rsid w:val="002D3600"/>
    <w:rsid w:val="002D6FEE"/>
    <w:rsid w:val="002E4A82"/>
    <w:rsid w:val="002E4DDC"/>
    <w:rsid w:val="002E770D"/>
    <w:rsid w:val="002F12D8"/>
    <w:rsid w:val="002F5A2F"/>
    <w:rsid w:val="002F7572"/>
    <w:rsid w:val="0030149F"/>
    <w:rsid w:val="00302480"/>
    <w:rsid w:val="00303E37"/>
    <w:rsid w:val="00304622"/>
    <w:rsid w:val="0031402D"/>
    <w:rsid w:val="003165E6"/>
    <w:rsid w:val="003209CA"/>
    <w:rsid w:val="003221CF"/>
    <w:rsid w:val="003233ED"/>
    <w:rsid w:val="00323844"/>
    <w:rsid w:val="00324D9F"/>
    <w:rsid w:val="00327948"/>
    <w:rsid w:val="0033000F"/>
    <w:rsid w:val="00332011"/>
    <w:rsid w:val="00332518"/>
    <w:rsid w:val="00332925"/>
    <w:rsid w:val="00332A8C"/>
    <w:rsid w:val="003332ED"/>
    <w:rsid w:val="00334F8D"/>
    <w:rsid w:val="003368DC"/>
    <w:rsid w:val="00341D10"/>
    <w:rsid w:val="00343EB1"/>
    <w:rsid w:val="00343ECC"/>
    <w:rsid w:val="003451ED"/>
    <w:rsid w:val="00345927"/>
    <w:rsid w:val="00346D14"/>
    <w:rsid w:val="00350584"/>
    <w:rsid w:val="00351857"/>
    <w:rsid w:val="00351D0C"/>
    <w:rsid w:val="0035704D"/>
    <w:rsid w:val="003610E1"/>
    <w:rsid w:val="003671BE"/>
    <w:rsid w:val="00372485"/>
    <w:rsid w:val="00373200"/>
    <w:rsid w:val="003742BA"/>
    <w:rsid w:val="00375EF5"/>
    <w:rsid w:val="0037600C"/>
    <w:rsid w:val="003767A5"/>
    <w:rsid w:val="00380D53"/>
    <w:rsid w:val="00385254"/>
    <w:rsid w:val="00385674"/>
    <w:rsid w:val="00385E87"/>
    <w:rsid w:val="003A031D"/>
    <w:rsid w:val="003A1729"/>
    <w:rsid w:val="003A3DB8"/>
    <w:rsid w:val="003A509E"/>
    <w:rsid w:val="003A5F5B"/>
    <w:rsid w:val="003A789A"/>
    <w:rsid w:val="003B12EC"/>
    <w:rsid w:val="003B6A30"/>
    <w:rsid w:val="003B783C"/>
    <w:rsid w:val="003C04E3"/>
    <w:rsid w:val="003C07AC"/>
    <w:rsid w:val="003C25D3"/>
    <w:rsid w:val="003C370C"/>
    <w:rsid w:val="003C77E0"/>
    <w:rsid w:val="003D0142"/>
    <w:rsid w:val="003D17D7"/>
    <w:rsid w:val="003D1CF2"/>
    <w:rsid w:val="003D2678"/>
    <w:rsid w:val="003D71A3"/>
    <w:rsid w:val="003E2B8A"/>
    <w:rsid w:val="003E3CF2"/>
    <w:rsid w:val="003F10EE"/>
    <w:rsid w:val="003F16F6"/>
    <w:rsid w:val="003F4DC7"/>
    <w:rsid w:val="003F5235"/>
    <w:rsid w:val="003F73C5"/>
    <w:rsid w:val="004027E4"/>
    <w:rsid w:val="00405B81"/>
    <w:rsid w:val="00406D18"/>
    <w:rsid w:val="00407904"/>
    <w:rsid w:val="0041071D"/>
    <w:rsid w:val="00414AFC"/>
    <w:rsid w:val="004151A7"/>
    <w:rsid w:val="00415310"/>
    <w:rsid w:val="0041537C"/>
    <w:rsid w:val="004160B4"/>
    <w:rsid w:val="00417A7E"/>
    <w:rsid w:val="00421709"/>
    <w:rsid w:val="00422125"/>
    <w:rsid w:val="00423763"/>
    <w:rsid w:val="00424792"/>
    <w:rsid w:val="0042762F"/>
    <w:rsid w:val="00427DC7"/>
    <w:rsid w:val="00430BE0"/>
    <w:rsid w:val="00431613"/>
    <w:rsid w:val="00431792"/>
    <w:rsid w:val="0043297A"/>
    <w:rsid w:val="00432CC0"/>
    <w:rsid w:val="00432EB2"/>
    <w:rsid w:val="0043714F"/>
    <w:rsid w:val="00437A98"/>
    <w:rsid w:val="00440012"/>
    <w:rsid w:val="004438B5"/>
    <w:rsid w:val="00447037"/>
    <w:rsid w:val="00447A7F"/>
    <w:rsid w:val="0045124D"/>
    <w:rsid w:val="00451D07"/>
    <w:rsid w:val="00453078"/>
    <w:rsid w:val="00454596"/>
    <w:rsid w:val="0045605D"/>
    <w:rsid w:val="0046135B"/>
    <w:rsid w:val="004718CC"/>
    <w:rsid w:val="00474F21"/>
    <w:rsid w:val="00476E9E"/>
    <w:rsid w:val="00480F42"/>
    <w:rsid w:val="004814CD"/>
    <w:rsid w:val="00481695"/>
    <w:rsid w:val="0048534A"/>
    <w:rsid w:val="00492413"/>
    <w:rsid w:val="00495A96"/>
    <w:rsid w:val="0049623E"/>
    <w:rsid w:val="00497644"/>
    <w:rsid w:val="004A1C56"/>
    <w:rsid w:val="004A3AF0"/>
    <w:rsid w:val="004A56BB"/>
    <w:rsid w:val="004B16E4"/>
    <w:rsid w:val="004B1751"/>
    <w:rsid w:val="004B5B4C"/>
    <w:rsid w:val="004C0253"/>
    <w:rsid w:val="004C1DD7"/>
    <w:rsid w:val="004C36F8"/>
    <w:rsid w:val="004D4D56"/>
    <w:rsid w:val="004D4EB2"/>
    <w:rsid w:val="004D56FF"/>
    <w:rsid w:val="004E0F8C"/>
    <w:rsid w:val="004E39D3"/>
    <w:rsid w:val="004E508A"/>
    <w:rsid w:val="004E616D"/>
    <w:rsid w:val="004F1BDE"/>
    <w:rsid w:val="004F2CEE"/>
    <w:rsid w:val="004F313C"/>
    <w:rsid w:val="004F556E"/>
    <w:rsid w:val="004F7F44"/>
    <w:rsid w:val="005011B5"/>
    <w:rsid w:val="005037B4"/>
    <w:rsid w:val="005079BF"/>
    <w:rsid w:val="00511B15"/>
    <w:rsid w:val="00512BEB"/>
    <w:rsid w:val="00516E7E"/>
    <w:rsid w:val="005219E7"/>
    <w:rsid w:val="00531B9A"/>
    <w:rsid w:val="00531D15"/>
    <w:rsid w:val="00533513"/>
    <w:rsid w:val="005357B8"/>
    <w:rsid w:val="00537604"/>
    <w:rsid w:val="00542377"/>
    <w:rsid w:val="00542FA4"/>
    <w:rsid w:val="005443FE"/>
    <w:rsid w:val="00545B27"/>
    <w:rsid w:val="0054701B"/>
    <w:rsid w:val="00551782"/>
    <w:rsid w:val="005545DC"/>
    <w:rsid w:val="00554B13"/>
    <w:rsid w:val="00556EAB"/>
    <w:rsid w:val="00562D0A"/>
    <w:rsid w:val="00563EF1"/>
    <w:rsid w:val="00566AB4"/>
    <w:rsid w:val="00572D7C"/>
    <w:rsid w:val="00575AC5"/>
    <w:rsid w:val="0057605D"/>
    <w:rsid w:val="00581347"/>
    <w:rsid w:val="00581AC9"/>
    <w:rsid w:val="005849F8"/>
    <w:rsid w:val="00591690"/>
    <w:rsid w:val="005938DF"/>
    <w:rsid w:val="00593EC4"/>
    <w:rsid w:val="00594E9C"/>
    <w:rsid w:val="005A032D"/>
    <w:rsid w:val="005A099B"/>
    <w:rsid w:val="005A2D9C"/>
    <w:rsid w:val="005A55FE"/>
    <w:rsid w:val="005A66A5"/>
    <w:rsid w:val="005A6A11"/>
    <w:rsid w:val="005A7C64"/>
    <w:rsid w:val="005B2B43"/>
    <w:rsid w:val="005B3A2F"/>
    <w:rsid w:val="005B420A"/>
    <w:rsid w:val="005B4A57"/>
    <w:rsid w:val="005C18EC"/>
    <w:rsid w:val="005D1E71"/>
    <w:rsid w:val="005D2293"/>
    <w:rsid w:val="005D2502"/>
    <w:rsid w:val="005D47F3"/>
    <w:rsid w:val="005D49BF"/>
    <w:rsid w:val="005D51DA"/>
    <w:rsid w:val="005D6F4E"/>
    <w:rsid w:val="005E1BCC"/>
    <w:rsid w:val="005E3ACD"/>
    <w:rsid w:val="005E4FDF"/>
    <w:rsid w:val="005E7226"/>
    <w:rsid w:val="005E7A57"/>
    <w:rsid w:val="005F24B0"/>
    <w:rsid w:val="00603B0C"/>
    <w:rsid w:val="00604315"/>
    <w:rsid w:val="00604E26"/>
    <w:rsid w:val="006052CF"/>
    <w:rsid w:val="006055DC"/>
    <w:rsid w:val="00606965"/>
    <w:rsid w:val="00607B8D"/>
    <w:rsid w:val="00611F5C"/>
    <w:rsid w:val="006138EA"/>
    <w:rsid w:val="00615CB0"/>
    <w:rsid w:val="00616A14"/>
    <w:rsid w:val="00616E09"/>
    <w:rsid w:val="006222DC"/>
    <w:rsid w:val="00622A3B"/>
    <w:rsid w:val="0062396C"/>
    <w:rsid w:val="00623FF9"/>
    <w:rsid w:val="00626EE5"/>
    <w:rsid w:val="006277E9"/>
    <w:rsid w:val="00627D4E"/>
    <w:rsid w:val="00630B9E"/>
    <w:rsid w:val="00633B3E"/>
    <w:rsid w:val="00634478"/>
    <w:rsid w:val="00635950"/>
    <w:rsid w:val="00637CB3"/>
    <w:rsid w:val="00644373"/>
    <w:rsid w:val="00645554"/>
    <w:rsid w:val="00645915"/>
    <w:rsid w:val="00646ED4"/>
    <w:rsid w:val="006519C3"/>
    <w:rsid w:val="00652B30"/>
    <w:rsid w:val="0065410A"/>
    <w:rsid w:val="00656345"/>
    <w:rsid w:val="00656DC6"/>
    <w:rsid w:val="00657E9D"/>
    <w:rsid w:val="006600D7"/>
    <w:rsid w:val="00664110"/>
    <w:rsid w:val="00664D17"/>
    <w:rsid w:val="00666520"/>
    <w:rsid w:val="00667C5B"/>
    <w:rsid w:val="00677326"/>
    <w:rsid w:val="0068221D"/>
    <w:rsid w:val="00683670"/>
    <w:rsid w:val="006908E4"/>
    <w:rsid w:val="00692CDE"/>
    <w:rsid w:val="00693073"/>
    <w:rsid w:val="00693A93"/>
    <w:rsid w:val="00696DC8"/>
    <w:rsid w:val="00697463"/>
    <w:rsid w:val="006977DC"/>
    <w:rsid w:val="006977FF"/>
    <w:rsid w:val="006A01FA"/>
    <w:rsid w:val="006A0E9E"/>
    <w:rsid w:val="006A25C7"/>
    <w:rsid w:val="006A4AAD"/>
    <w:rsid w:val="006A6DA2"/>
    <w:rsid w:val="006A7AB2"/>
    <w:rsid w:val="006B002D"/>
    <w:rsid w:val="006B2A48"/>
    <w:rsid w:val="006B3975"/>
    <w:rsid w:val="006B3EBB"/>
    <w:rsid w:val="006B55DB"/>
    <w:rsid w:val="006B5717"/>
    <w:rsid w:val="006B582F"/>
    <w:rsid w:val="006C0CEB"/>
    <w:rsid w:val="006C1DCA"/>
    <w:rsid w:val="006C3B1E"/>
    <w:rsid w:val="006C47FD"/>
    <w:rsid w:val="006C70A0"/>
    <w:rsid w:val="006D27CB"/>
    <w:rsid w:val="006D2F08"/>
    <w:rsid w:val="006D576C"/>
    <w:rsid w:val="006D5865"/>
    <w:rsid w:val="006D7D8F"/>
    <w:rsid w:val="006E067C"/>
    <w:rsid w:val="006E4B1B"/>
    <w:rsid w:val="006E5445"/>
    <w:rsid w:val="006E7D93"/>
    <w:rsid w:val="006F0F73"/>
    <w:rsid w:val="006F7A91"/>
    <w:rsid w:val="00701CD8"/>
    <w:rsid w:val="00701FFC"/>
    <w:rsid w:val="007029A3"/>
    <w:rsid w:val="00706E4E"/>
    <w:rsid w:val="0070791C"/>
    <w:rsid w:val="0071383C"/>
    <w:rsid w:val="007141A7"/>
    <w:rsid w:val="007210ED"/>
    <w:rsid w:val="00721B55"/>
    <w:rsid w:val="00722230"/>
    <w:rsid w:val="00726CE4"/>
    <w:rsid w:val="00733693"/>
    <w:rsid w:val="00734143"/>
    <w:rsid w:val="00735B03"/>
    <w:rsid w:val="00737E47"/>
    <w:rsid w:val="00740EAC"/>
    <w:rsid w:val="007428FA"/>
    <w:rsid w:val="00744956"/>
    <w:rsid w:val="00745A5C"/>
    <w:rsid w:val="0074605F"/>
    <w:rsid w:val="00747E94"/>
    <w:rsid w:val="00762231"/>
    <w:rsid w:val="00766749"/>
    <w:rsid w:val="00767C1B"/>
    <w:rsid w:val="007714A9"/>
    <w:rsid w:val="0077384A"/>
    <w:rsid w:val="00773DDC"/>
    <w:rsid w:val="00774F88"/>
    <w:rsid w:val="00774FDB"/>
    <w:rsid w:val="00775C33"/>
    <w:rsid w:val="00777BA2"/>
    <w:rsid w:val="00780E9D"/>
    <w:rsid w:val="00781408"/>
    <w:rsid w:val="00782436"/>
    <w:rsid w:val="0078269A"/>
    <w:rsid w:val="0078471F"/>
    <w:rsid w:val="00784F7F"/>
    <w:rsid w:val="00796F25"/>
    <w:rsid w:val="007A2E98"/>
    <w:rsid w:val="007A3BA3"/>
    <w:rsid w:val="007A4E60"/>
    <w:rsid w:val="007A4F6D"/>
    <w:rsid w:val="007A5FF5"/>
    <w:rsid w:val="007A6CC0"/>
    <w:rsid w:val="007A72BF"/>
    <w:rsid w:val="007B1499"/>
    <w:rsid w:val="007B1AA8"/>
    <w:rsid w:val="007B1BBF"/>
    <w:rsid w:val="007B2960"/>
    <w:rsid w:val="007B355D"/>
    <w:rsid w:val="007B7980"/>
    <w:rsid w:val="007B79C4"/>
    <w:rsid w:val="007C10F3"/>
    <w:rsid w:val="007C2903"/>
    <w:rsid w:val="007C54F3"/>
    <w:rsid w:val="007C5D5A"/>
    <w:rsid w:val="007C607F"/>
    <w:rsid w:val="007C7543"/>
    <w:rsid w:val="007C79DD"/>
    <w:rsid w:val="007D1A97"/>
    <w:rsid w:val="007D2CD6"/>
    <w:rsid w:val="007D2DC0"/>
    <w:rsid w:val="007D3063"/>
    <w:rsid w:val="007D37B4"/>
    <w:rsid w:val="007D3CEB"/>
    <w:rsid w:val="007E6F1E"/>
    <w:rsid w:val="007E7683"/>
    <w:rsid w:val="007F0330"/>
    <w:rsid w:val="007F49FA"/>
    <w:rsid w:val="007F54C4"/>
    <w:rsid w:val="007F6E9A"/>
    <w:rsid w:val="00800674"/>
    <w:rsid w:val="00800DF7"/>
    <w:rsid w:val="0080435B"/>
    <w:rsid w:val="008044D4"/>
    <w:rsid w:val="008045AB"/>
    <w:rsid w:val="008070DC"/>
    <w:rsid w:val="008104DA"/>
    <w:rsid w:val="00810AB4"/>
    <w:rsid w:val="008148EE"/>
    <w:rsid w:val="00814CD3"/>
    <w:rsid w:val="00817B56"/>
    <w:rsid w:val="00821A88"/>
    <w:rsid w:val="0082495D"/>
    <w:rsid w:val="00831AC3"/>
    <w:rsid w:val="00841C5C"/>
    <w:rsid w:val="0084237B"/>
    <w:rsid w:val="00846405"/>
    <w:rsid w:val="00851668"/>
    <w:rsid w:val="00851F3F"/>
    <w:rsid w:val="0085334B"/>
    <w:rsid w:val="008541DB"/>
    <w:rsid w:val="00856EDC"/>
    <w:rsid w:val="008600B8"/>
    <w:rsid w:val="00861565"/>
    <w:rsid w:val="008616D1"/>
    <w:rsid w:val="008623B5"/>
    <w:rsid w:val="00865A33"/>
    <w:rsid w:val="00870ABA"/>
    <w:rsid w:val="008710E1"/>
    <w:rsid w:val="008716E5"/>
    <w:rsid w:val="00872367"/>
    <w:rsid w:val="00875C20"/>
    <w:rsid w:val="0087654E"/>
    <w:rsid w:val="008803C7"/>
    <w:rsid w:val="00880A11"/>
    <w:rsid w:val="00880CA1"/>
    <w:rsid w:val="00881CA9"/>
    <w:rsid w:val="00883628"/>
    <w:rsid w:val="00885544"/>
    <w:rsid w:val="0088634E"/>
    <w:rsid w:val="00893AB8"/>
    <w:rsid w:val="00893E6E"/>
    <w:rsid w:val="00894DF8"/>
    <w:rsid w:val="008A006C"/>
    <w:rsid w:val="008A04C8"/>
    <w:rsid w:val="008A6913"/>
    <w:rsid w:val="008A7DA7"/>
    <w:rsid w:val="008B0E5A"/>
    <w:rsid w:val="008B3452"/>
    <w:rsid w:val="008B34C2"/>
    <w:rsid w:val="008B70F3"/>
    <w:rsid w:val="008B76DF"/>
    <w:rsid w:val="008C0F15"/>
    <w:rsid w:val="008C10F4"/>
    <w:rsid w:val="008C3A2A"/>
    <w:rsid w:val="008C75E2"/>
    <w:rsid w:val="008E25E0"/>
    <w:rsid w:val="008E3ADD"/>
    <w:rsid w:val="008E4767"/>
    <w:rsid w:val="008E7A8C"/>
    <w:rsid w:val="008F1255"/>
    <w:rsid w:val="008F1E41"/>
    <w:rsid w:val="008F2ACA"/>
    <w:rsid w:val="008F35C4"/>
    <w:rsid w:val="008F5813"/>
    <w:rsid w:val="008F5A1C"/>
    <w:rsid w:val="00903285"/>
    <w:rsid w:val="009049A6"/>
    <w:rsid w:val="009066B3"/>
    <w:rsid w:val="00906F40"/>
    <w:rsid w:val="0090731E"/>
    <w:rsid w:val="00911C5C"/>
    <w:rsid w:val="00913356"/>
    <w:rsid w:val="009142FA"/>
    <w:rsid w:val="00914D9F"/>
    <w:rsid w:val="00915B1C"/>
    <w:rsid w:val="009174F3"/>
    <w:rsid w:val="0091797D"/>
    <w:rsid w:val="00920DCC"/>
    <w:rsid w:val="00923CBA"/>
    <w:rsid w:val="00926703"/>
    <w:rsid w:val="00926AF1"/>
    <w:rsid w:val="00927691"/>
    <w:rsid w:val="00927A5F"/>
    <w:rsid w:val="00930001"/>
    <w:rsid w:val="009302E7"/>
    <w:rsid w:val="00930904"/>
    <w:rsid w:val="00934601"/>
    <w:rsid w:val="00935B63"/>
    <w:rsid w:val="0094078F"/>
    <w:rsid w:val="00940FA3"/>
    <w:rsid w:val="00941FB0"/>
    <w:rsid w:val="009426D4"/>
    <w:rsid w:val="00944180"/>
    <w:rsid w:val="009457C5"/>
    <w:rsid w:val="00947F25"/>
    <w:rsid w:val="00950060"/>
    <w:rsid w:val="00950159"/>
    <w:rsid w:val="0095490B"/>
    <w:rsid w:val="009555CF"/>
    <w:rsid w:val="00957A23"/>
    <w:rsid w:val="00960976"/>
    <w:rsid w:val="00971E4D"/>
    <w:rsid w:val="00974363"/>
    <w:rsid w:val="00981898"/>
    <w:rsid w:val="0099577C"/>
    <w:rsid w:val="00997E85"/>
    <w:rsid w:val="009A039A"/>
    <w:rsid w:val="009A55B5"/>
    <w:rsid w:val="009B4080"/>
    <w:rsid w:val="009B4E9E"/>
    <w:rsid w:val="009B659B"/>
    <w:rsid w:val="009C1690"/>
    <w:rsid w:val="009C26FF"/>
    <w:rsid w:val="009C62E0"/>
    <w:rsid w:val="009C6881"/>
    <w:rsid w:val="009C7759"/>
    <w:rsid w:val="009D043D"/>
    <w:rsid w:val="009D19C4"/>
    <w:rsid w:val="009D2DFF"/>
    <w:rsid w:val="009D6A3D"/>
    <w:rsid w:val="009D6C71"/>
    <w:rsid w:val="009D6D94"/>
    <w:rsid w:val="009D7B5D"/>
    <w:rsid w:val="009E0631"/>
    <w:rsid w:val="009E16D0"/>
    <w:rsid w:val="009E1B1F"/>
    <w:rsid w:val="009E38FD"/>
    <w:rsid w:val="009F13D6"/>
    <w:rsid w:val="009F16AD"/>
    <w:rsid w:val="009F4C6B"/>
    <w:rsid w:val="009F740A"/>
    <w:rsid w:val="009F78A8"/>
    <w:rsid w:val="00A02AD6"/>
    <w:rsid w:val="00A07096"/>
    <w:rsid w:val="00A07318"/>
    <w:rsid w:val="00A07D52"/>
    <w:rsid w:val="00A11370"/>
    <w:rsid w:val="00A118F5"/>
    <w:rsid w:val="00A12672"/>
    <w:rsid w:val="00A12A74"/>
    <w:rsid w:val="00A16709"/>
    <w:rsid w:val="00A21A4D"/>
    <w:rsid w:val="00A224CE"/>
    <w:rsid w:val="00A22522"/>
    <w:rsid w:val="00A24583"/>
    <w:rsid w:val="00A24AFD"/>
    <w:rsid w:val="00A24F5C"/>
    <w:rsid w:val="00A315F8"/>
    <w:rsid w:val="00A32F96"/>
    <w:rsid w:val="00A37D27"/>
    <w:rsid w:val="00A40871"/>
    <w:rsid w:val="00A412AB"/>
    <w:rsid w:val="00A4193E"/>
    <w:rsid w:val="00A440E0"/>
    <w:rsid w:val="00A53EDB"/>
    <w:rsid w:val="00A5418D"/>
    <w:rsid w:val="00A5474E"/>
    <w:rsid w:val="00A55309"/>
    <w:rsid w:val="00A56DDD"/>
    <w:rsid w:val="00A57F10"/>
    <w:rsid w:val="00A64605"/>
    <w:rsid w:val="00A70ADF"/>
    <w:rsid w:val="00A71466"/>
    <w:rsid w:val="00A7431A"/>
    <w:rsid w:val="00A74B5E"/>
    <w:rsid w:val="00A81BED"/>
    <w:rsid w:val="00A81EC4"/>
    <w:rsid w:val="00A83099"/>
    <w:rsid w:val="00A8604B"/>
    <w:rsid w:val="00A8742C"/>
    <w:rsid w:val="00A91188"/>
    <w:rsid w:val="00A9204F"/>
    <w:rsid w:val="00A9399B"/>
    <w:rsid w:val="00A94EF3"/>
    <w:rsid w:val="00A959D1"/>
    <w:rsid w:val="00A95AA1"/>
    <w:rsid w:val="00A96180"/>
    <w:rsid w:val="00A967FD"/>
    <w:rsid w:val="00AA5F2C"/>
    <w:rsid w:val="00AB156C"/>
    <w:rsid w:val="00AB6814"/>
    <w:rsid w:val="00AC04BA"/>
    <w:rsid w:val="00AC0E39"/>
    <w:rsid w:val="00AD3082"/>
    <w:rsid w:val="00AD4AD0"/>
    <w:rsid w:val="00AD5436"/>
    <w:rsid w:val="00AD60CD"/>
    <w:rsid w:val="00AD6C8C"/>
    <w:rsid w:val="00AE091D"/>
    <w:rsid w:val="00AE378D"/>
    <w:rsid w:val="00AE3B60"/>
    <w:rsid w:val="00AE53A1"/>
    <w:rsid w:val="00AF2484"/>
    <w:rsid w:val="00AF50A8"/>
    <w:rsid w:val="00AF63E7"/>
    <w:rsid w:val="00B0165D"/>
    <w:rsid w:val="00B031F3"/>
    <w:rsid w:val="00B052A4"/>
    <w:rsid w:val="00B0590B"/>
    <w:rsid w:val="00B125DE"/>
    <w:rsid w:val="00B13FDD"/>
    <w:rsid w:val="00B13FEA"/>
    <w:rsid w:val="00B14E63"/>
    <w:rsid w:val="00B22EB2"/>
    <w:rsid w:val="00B23097"/>
    <w:rsid w:val="00B23138"/>
    <w:rsid w:val="00B27442"/>
    <w:rsid w:val="00B27EA5"/>
    <w:rsid w:val="00B302A1"/>
    <w:rsid w:val="00B31167"/>
    <w:rsid w:val="00B329D8"/>
    <w:rsid w:val="00B32BB9"/>
    <w:rsid w:val="00B3317F"/>
    <w:rsid w:val="00B335FA"/>
    <w:rsid w:val="00B33AE1"/>
    <w:rsid w:val="00B3517D"/>
    <w:rsid w:val="00B37C38"/>
    <w:rsid w:val="00B4288C"/>
    <w:rsid w:val="00B43262"/>
    <w:rsid w:val="00B43A32"/>
    <w:rsid w:val="00B44100"/>
    <w:rsid w:val="00B46CBA"/>
    <w:rsid w:val="00B46F94"/>
    <w:rsid w:val="00B547DA"/>
    <w:rsid w:val="00B57B27"/>
    <w:rsid w:val="00B61F03"/>
    <w:rsid w:val="00B626E4"/>
    <w:rsid w:val="00B72F4A"/>
    <w:rsid w:val="00B75F3A"/>
    <w:rsid w:val="00B7668F"/>
    <w:rsid w:val="00B77043"/>
    <w:rsid w:val="00B80119"/>
    <w:rsid w:val="00B8355A"/>
    <w:rsid w:val="00B83C27"/>
    <w:rsid w:val="00B84BC3"/>
    <w:rsid w:val="00B84BDD"/>
    <w:rsid w:val="00B91981"/>
    <w:rsid w:val="00B92812"/>
    <w:rsid w:val="00B95AF6"/>
    <w:rsid w:val="00BA6BF6"/>
    <w:rsid w:val="00BB03D4"/>
    <w:rsid w:val="00BB084B"/>
    <w:rsid w:val="00BB0FF5"/>
    <w:rsid w:val="00BB1544"/>
    <w:rsid w:val="00BB45A1"/>
    <w:rsid w:val="00BB6BAF"/>
    <w:rsid w:val="00BB7686"/>
    <w:rsid w:val="00BC23F9"/>
    <w:rsid w:val="00BC3421"/>
    <w:rsid w:val="00BC732C"/>
    <w:rsid w:val="00BC7FE3"/>
    <w:rsid w:val="00BD0760"/>
    <w:rsid w:val="00BD289A"/>
    <w:rsid w:val="00BD35F1"/>
    <w:rsid w:val="00BE069C"/>
    <w:rsid w:val="00BE2580"/>
    <w:rsid w:val="00BE266D"/>
    <w:rsid w:val="00BE3938"/>
    <w:rsid w:val="00BE4C11"/>
    <w:rsid w:val="00BE543F"/>
    <w:rsid w:val="00BE71C0"/>
    <w:rsid w:val="00BF3892"/>
    <w:rsid w:val="00BF4C0E"/>
    <w:rsid w:val="00BF610C"/>
    <w:rsid w:val="00BF7DB8"/>
    <w:rsid w:val="00C0060B"/>
    <w:rsid w:val="00C0277D"/>
    <w:rsid w:val="00C053A1"/>
    <w:rsid w:val="00C15FF3"/>
    <w:rsid w:val="00C16198"/>
    <w:rsid w:val="00C2083D"/>
    <w:rsid w:val="00C20980"/>
    <w:rsid w:val="00C24A53"/>
    <w:rsid w:val="00C2551C"/>
    <w:rsid w:val="00C2714F"/>
    <w:rsid w:val="00C32C90"/>
    <w:rsid w:val="00C4032F"/>
    <w:rsid w:val="00C41116"/>
    <w:rsid w:val="00C4161E"/>
    <w:rsid w:val="00C438F8"/>
    <w:rsid w:val="00C44047"/>
    <w:rsid w:val="00C45155"/>
    <w:rsid w:val="00C5055F"/>
    <w:rsid w:val="00C5498F"/>
    <w:rsid w:val="00C55235"/>
    <w:rsid w:val="00C617F8"/>
    <w:rsid w:val="00C64CD0"/>
    <w:rsid w:val="00C6684F"/>
    <w:rsid w:val="00C70E70"/>
    <w:rsid w:val="00C73A42"/>
    <w:rsid w:val="00C742ED"/>
    <w:rsid w:val="00C75F8D"/>
    <w:rsid w:val="00C77380"/>
    <w:rsid w:val="00C90B82"/>
    <w:rsid w:val="00C91EE9"/>
    <w:rsid w:val="00C93134"/>
    <w:rsid w:val="00C935FE"/>
    <w:rsid w:val="00C93C40"/>
    <w:rsid w:val="00C9661B"/>
    <w:rsid w:val="00C97736"/>
    <w:rsid w:val="00CA153D"/>
    <w:rsid w:val="00CA345A"/>
    <w:rsid w:val="00CB1E82"/>
    <w:rsid w:val="00CB29BF"/>
    <w:rsid w:val="00CB4BA8"/>
    <w:rsid w:val="00CB4C67"/>
    <w:rsid w:val="00CB4FF7"/>
    <w:rsid w:val="00CB52D7"/>
    <w:rsid w:val="00CC1E0E"/>
    <w:rsid w:val="00CC32EA"/>
    <w:rsid w:val="00CC4080"/>
    <w:rsid w:val="00CC6732"/>
    <w:rsid w:val="00CD0CFD"/>
    <w:rsid w:val="00CE3C96"/>
    <w:rsid w:val="00CE51A8"/>
    <w:rsid w:val="00CE5B96"/>
    <w:rsid w:val="00CF369B"/>
    <w:rsid w:val="00CF5C5D"/>
    <w:rsid w:val="00D00DA0"/>
    <w:rsid w:val="00D00E28"/>
    <w:rsid w:val="00D0269E"/>
    <w:rsid w:val="00D057BD"/>
    <w:rsid w:val="00D105E8"/>
    <w:rsid w:val="00D10903"/>
    <w:rsid w:val="00D10A87"/>
    <w:rsid w:val="00D15810"/>
    <w:rsid w:val="00D16CD7"/>
    <w:rsid w:val="00D16D4E"/>
    <w:rsid w:val="00D16FE3"/>
    <w:rsid w:val="00D20E3B"/>
    <w:rsid w:val="00D27F41"/>
    <w:rsid w:val="00D36441"/>
    <w:rsid w:val="00D37397"/>
    <w:rsid w:val="00D37C4A"/>
    <w:rsid w:val="00D4064E"/>
    <w:rsid w:val="00D44E9B"/>
    <w:rsid w:val="00D50981"/>
    <w:rsid w:val="00D50DB9"/>
    <w:rsid w:val="00D52C43"/>
    <w:rsid w:val="00D6507F"/>
    <w:rsid w:val="00D66959"/>
    <w:rsid w:val="00D719B5"/>
    <w:rsid w:val="00D730BC"/>
    <w:rsid w:val="00D73912"/>
    <w:rsid w:val="00D85226"/>
    <w:rsid w:val="00D865E5"/>
    <w:rsid w:val="00D87B51"/>
    <w:rsid w:val="00D87B94"/>
    <w:rsid w:val="00D910E3"/>
    <w:rsid w:val="00D92D49"/>
    <w:rsid w:val="00D92E69"/>
    <w:rsid w:val="00D92EC1"/>
    <w:rsid w:val="00D96DEA"/>
    <w:rsid w:val="00DA4E41"/>
    <w:rsid w:val="00DA7849"/>
    <w:rsid w:val="00DB0464"/>
    <w:rsid w:val="00DB117A"/>
    <w:rsid w:val="00DB5173"/>
    <w:rsid w:val="00DB6024"/>
    <w:rsid w:val="00DB60FE"/>
    <w:rsid w:val="00DB6C52"/>
    <w:rsid w:val="00DB7873"/>
    <w:rsid w:val="00DC180D"/>
    <w:rsid w:val="00DC187B"/>
    <w:rsid w:val="00DC7196"/>
    <w:rsid w:val="00DC723A"/>
    <w:rsid w:val="00DD73C2"/>
    <w:rsid w:val="00DD787E"/>
    <w:rsid w:val="00DE319B"/>
    <w:rsid w:val="00DF34FE"/>
    <w:rsid w:val="00DF56AA"/>
    <w:rsid w:val="00DF78E7"/>
    <w:rsid w:val="00E02FED"/>
    <w:rsid w:val="00E034E4"/>
    <w:rsid w:val="00E03D4A"/>
    <w:rsid w:val="00E110E0"/>
    <w:rsid w:val="00E11C50"/>
    <w:rsid w:val="00E15371"/>
    <w:rsid w:val="00E15C55"/>
    <w:rsid w:val="00E24104"/>
    <w:rsid w:val="00E24C8D"/>
    <w:rsid w:val="00E258AB"/>
    <w:rsid w:val="00E35707"/>
    <w:rsid w:val="00E36AA1"/>
    <w:rsid w:val="00E41ECB"/>
    <w:rsid w:val="00E4412A"/>
    <w:rsid w:val="00E47ECF"/>
    <w:rsid w:val="00E54FDB"/>
    <w:rsid w:val="00E5617D"/>
    <w:rsid w:val="00E563D7"/>
    <w:rsid w:val="00E605E6"/>
    <w:rsid w:val="00E6087F"/>
    <w:rsid w:val="00E663F4"/>
    <w:rsid w:val="00E666F2"/>
    <w:rsid w:val="00E66DD4"/>
    <w:rsid w:val="00E702A0"/>
    <w:rsid w:val="00E7096D"/>
    <w:rsid w:val="00E748CC"/>
    <w:rsid w:val="00E75415"/>
    <w:rsid w:val="00E77222"/>
    <w:rsid w:val="00E775B1"/>
    <w:rsid w:val="00E8152A"/>
    <w:rsid w:val="00E82CEE"/>
    <w:rsid w:val="00E84759"/>
    <w:rsid w:val="00E90F93"/>
    <w:rsid w:val="00E925F1"/>
    <w:rsid w:val="00E93629"/>
    <w:rsid w:val="00E93B5C"/>
    <w:rsid w:val="00E94CEC"/>
    <w:rsid w:val="00E95D8F"/>
    <w:rsid w:val="00EA04EF"/>
    <w:rsid w:val="00EA50A0"/>
    <w:rsid w:val="00EA6F19"/>
    <w:rsid w:val="00EB3A24"/>
    <w:rsid w:val="00EB7090"/>
    <w:rsid w:val="00EC1BBE"/>
    <w:rsid w:val="00EC5CD7"/>
    <w:rsid w:val="00ED0BF5"/>
    <w:rsid w:val="00ED6755"/>
    <w:rsid w:val="00ED6FAD"/>
    <w:rsid w:val="00EE5FB3"/>
    <w:rsid w:val="00EE6953"/>
    <w:rsid w:val="00EE7367"/>
    <w:rsid w:val="00EE7A53"/>
    <w:rsid w:val="00EE7F79"/>
    <w:rsid w:val="00EF06D8"/>
    <w:rsid w:val="00EF3484"/>
    <w:rsid w:val="00EF715A"/>
    <w:rsid w:val="00F05EFF"/>
    <w:rsid w:val="00F06CE1"/>
    <w:rsid w:val="00F06E14"/>
    <w:rsid w:val="00F07E5D"/>
    <w:rsid w:val="00F134BA"/>
    <w:rsid w:val="00F179D4"/>
    <w:rsid w:val="00F21126"/>
    <w:rsid w:val="00F305CA"/>
    <w:rsid w:val="00F32A23"/>
    <w:rsid w:val="00F33C56"/>
    <w:rsid w:val="00F347C7"/>
    <w:rsid w:val="00F34848"/>
    <w:rsid w:val="00F4057D"/>
    <w:rsid w:val="00F42D46"/>
    <w:rsid w:val="00F4496C"/>
    <w:rsid w:val="00F44F3A"/>
    <w:rsid w:val="00F47F54"/>
    <w:rsid w:val="00F51F10"/>
    <w:rsid w:val="00F529A5"/>
    <w:rsid w:val="00F53102"/>
    <w:rsid w:val="00F54534"/>
    <w:rsid w:val="00F60D53"/>
    <w:rsid w:val="00F60F00"/>
    <w:rsid w:val="00F614C0"/>
    <w:rsid w:val="00F617AC"/>
    <w:rsid w:val="00F7275F"/>
    <w:rsid w:val="00F72FEF"/>
    <w:rsid w:val="00F74A95"/>
    <w:rsid w:val="00F759D2"/>
    <w:rsid w:val="00F77AA0"/>
    <w:rsid w:val="00F77D8B"/>
    <w:rsid w:val="00F81098"/>
    <w:rsid w:val="00F83848"/>
    <w:rsid w:val="00F84798"/>
    <w:rsid w:val="00F87C24"/>
    <w:rsid w:val="00F96A4A"/>
    <w:rsid w:val="00F975E9"/>
    <w:rsid w:val="00FA1B7D"/>
    <w:rsid w:val="00FA4E9A"/>
    <w:rsid w:val="00FA73B9"/>
    <w:rsid w:val="00FB6F72"/>
    <w:rsid w:val="00FB7548"/>
    <w:rsid w:val="00FC07B9"/>
    <w:rsid w:val="00FC4E21"/>
    <w:rsid w:val="00FC5F6D"/>
    <w:rsid w:val="00FD261C"/>
    <w:rsid w:val="00FD2C2F"/>
    <w:rsid w:val="00FD3B31"/>
    <w:rsid w:val="00FD3F21"/>
    <w:rsid w:val="00FD410D"/>
    <w:rsid w:val="00FD577F"/>
    <w:rsid w:val="00FD5B21"/>
    <w:rsid w:val="00FD6469"/>
    <w:rsid w:val="00FE07E5"/>
    <w:rsid w:val="00FE1823"/>
    <w:rsid w:val="00FE487A"/>
    <w:rsid w:val="00FE7B3D"/>
    <w:rsid w:val="00FF0569"/>
    <w:rsid w:val="00FF206E"/>
    <w:rsid w:val="00FF3C69"/>
    <w:rsid w:val="00FF61DC"/>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colormru v:ext="edit" colors="red,#4d4d4f"/>
    </o:shapedefaults>
    <o:shapelayout v:ext="edit">
      <o:idmap v:ext="edit" data="1"/>
    </o:shapelayout>
  </w:shapeDefaults>
  <w:decimalSymbol w:val="."/>
  <w:listSeparator w:val=","/>
  <w14:docId w14:val="366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22"/>
    <w:pPr>
      <w:spacing w:after="240"/>
    </w:pPr>
    <w:rPr>
      <w:szCs w:val="24"/>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6"/>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6"/>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6"/>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246093"/>
    <w:pPr>
      <w:spacing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3A1729"/>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10"/>
      </w:numPr>
    </w:pPr>
    <w:rPr>
      <w:b/>
      <w:bCs/>
      <w:color w:val="323232"/>
    </w:rPr>
  </w:style>
  <w:style w:type="paragraph" w:customStyle="1" w:styleId="BodySubHeader">
    <w:name w:val="BodySubHeader"/>
    <w:basedOn w:val="Normal"/>
    <w:next w:val="Normal"/>
    <w:qFormat/>
    <w:rsid w:val="003A1729"/>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2 Char Char,f,Footnote Text Char1"/>
    <w:basedOn w:val="Normal"/>
    <w:link w:val="FootnoteTextChar"/>
    <w:uiPriority w:val="99"/>
    <w:rsid w:val="00566AB4"/>
    <w:rPr>
      <w:sz w:val="16"/>
      <w:szCs w:val="16"/>
    </w:rPr>
  </w:style>
  <w:style w:type="paragraph" w:customStyle="1" w:styleId="TableBody">
    <w:name w:val="Table Body"/>
    <w:basedOn w:val="Normal"/>
    <w:qFormat/>
    <w:rsid w:val="003A1729"/>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3A172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3A172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8"/>
      </w:numPr>
      <w:spacing w:after="160"/>
    </w:pPr>
    <w:rPr>
      <w:b/>
      <w:bCs/>
      <w:color w:val="323232"/>
    </w:rPr>
  </w:style>
  <w:style w:type="paragraph" w:customStyle="1" w:styleId="ACMANotes">
    <w:name w:val="ACMA_Notes"/>
    <w:qFormat/>
    <w:rsid w:val="003A1729"/>
    <w:pPr>
      <w:spacing w:before="80" w:line="240" w:lineRule="auto"/>
    </w:pPr>
    <w:rPr>
      <w:rFonts w:cs="Arial"/>
      <w:i/>
      <w:sz w:val="16"/>
      <w:szCs w:val="24"/>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7"/>
      </w:numPr>
      <w:spacing w:after="160"/>
    </w:pPr>
    <w:rPr>
      <w:b/>
      <w:bCs/>
      <w:color w:val="323232"/>
    </w:rPr>
  </w:style>
  <w:style w:type="paragraph" w:customStyle="1" w:styleId="Captionfigure">
    <w:name w:val="Caption figure"/>
    <w:basedOn w:val="Caption"/>
    <w:qFormat/>
    <w:rsid w:val="00E8152A"/>
    <w:pPr>
      <w:keepNext/>
      <w:numPr>
        <w:numId w:val="9"/>
      </w:numPr>
    </w:pPr>
    <w:rPr>
      <w:rFonts w:cs="Arial"/>
    </w:rPr>
  </w:style>
  <w:style w:type="paragraph" w:customStyle="1" w:styleId="ACMALinecover">
    <w:name w:val="ACMA_Line cover"/>
    <w:basedOn w:val="Normal"/>
    <w:qFormat/>
    <w:rsid w:val="00E034E4"/>
    <w:pPr>
      <w:pBdr>
        <w:bottom w:val="single" w:sz="4" w:space="1" w:color="auto"/>
      </w:pBdr>
      <w:spacing w:after="600"/>
    </w:pPr>
    <w:rPr>
      <w:rFonts w:cs="Arial"/>
    </w:rPr>
  </w:style>
  <w:style w:type="paragraph" w:customStyle="1" w:styleId="Researchquote">
    <w:name w:val="Research quote"/>
    <w:basedOn w:val="Normal"/>
    <w:qFormat/>
    <w:rsid w:val="00E034E4"/>
    <w:pPr>
      <w:spacing w:before="120" w:after="120"/>
      <w:ind w:left="680" w:right="567"/>
    </w:pPr>
    <w:rPr>
      <w:rFonts w:cs="Arial"/>
      <w:sz w:val="18"/>
      <w:szCs w:val="18"/>
    </w:rPr>
  </w:style>
  <w:style w:type="paragraph" w:styleId="Quote">
    <w:name w:val="Quote"/>
    <w:basedOn w:val="Normal"/>
    <w:next w:val="Normal"/>
    <w:link w:val="QuoteChar"/>
    <w:rsid w:val="00E034E4"/>
    <w:rPr>
      <w:i/>
      <w:iCs/>
      <w:color w:val="000000" w:themeColor="text1"/>
    </w:rPr>
  </w:style>
  <w:style w:type="character" w:customStyle="1" w:styleId="QuoteChar">
    <w:name w:val="Quote Char"/>
    <w:basedOn w:val="DefaultParagraphFont"/>
    <w:link w:val="Quote"/>
    <w:rsid w:val="00E034E4"/>
    <w:rPr>
      <w:rFonts w:ascii="Arial" w:hAnsi="Arial"/>
      <w:i/>
      <w:iCs/>
      <w:color w:val="000000" w:themeColor="text1"/>
      <w:sz w:val="20"/>
    </w:rPr>
  </w:style>
  <w:style w:type="character" w:styleId="BookTitle">
    <w:name w:val="Book Title"/>
    <w:basedOn w:val="DefaultParagraphFont"/>
    <w:rsid w:val="00F06CE1"/>
    <w:rPr>
      <w:b/>
      <w:bCs/>
      <w:i/>
      <w:iCs/>
      <w:spacing w:val="5"/>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
    <w:basedOn w:val="DefaultParagraphFont"/>
    <w:link w:val="FootnoteText"/>
    <w:uiPriority w:val="99"/>
    <w:rsid w:val="00107F9D"/>
    <w:rPr>
      <w:sz w:val="16"/>
      <w:szCs w:val="16"/>
    </w:rPr>
  </w:style>
  <w:style w:type="paragraph" w:styleId="ListParagraph">
    <w:name w:val="List Paragraph"/>
    <w:basedOn w:val="Normal"/>
    <w:uiPriority w:val="34"/>
    <w:qFormat/>
    <w:rsid w:val="00107F9D"/>
    <w:pPr>
      <w:spacing w:after="0" w:line="240" w:lineRule="auto"/>
      <w:ind w:left="720"/>
    </w:pPr>
    <w:rPr>
      <w:rFonts w:ascii="Calibri" w:eastAsiaTheme="minorHAnsi" w:hAnsi="Calibri"/>
      <w:sz w:val="22"/>
      <w:szCs w:val="22"/>
      <w:lang w:eastAsia="en-US"/>
    </w:rPr>
  </w:style>
  <w:style w:type="paragraph" w:styleId="EndnoteText">
    <w:name w:val="endnote text"/>
    <w:basedOn w:val="Normal"/>
    <w:link w:val="EndnoteTextChar"/>
    <w:unhideWhenUsed/>
    <w:rsid w:val="00107F9D"/>
    <w:pPr>
      <w:spacing w:after="0" w:line="240" w:lineRule="auto"/>
    </w:pPr>
    <w:rPr>
      <w:rFonts w:ascii="HelveticaNeueLT Std Lt" w:hAnsi="HelveticaNeueLT Std Lt"/>
      <w:szCs w:val="20"/>
    </w:rPr>
  </w:style>
  <w:style w:type="character" w:customStyle="1" w:styleId="EndnoteTextChar">
    <w:name w:val="Endnote Text Char"/>
    <w:basedOn w:val="DefaultParagraphFont"/>
    <w:link w:val="EndnoteText"/>
    <w:rsid w:val="00107F9D"/>
    <w:rPr>
      <w:rFonts w:ascii="HelveticaNeueLT Std Lt" w:hAnsi="HelveticaNeueLT Std Lt"/>
    </w:rPr>
  </w:style>
  <w:style w:type="character" w:styleId="EndnoteReference">
    <w:name w:val="endnote reference"/>
    <w:basedOn w:val="DefaultParagraphFont"/>
    <w:unhideWhenUsed/>
    <w:rsid w:val="00107F9D"/>
    <w:rPr>
      <w:vertAlign w:val="superscript"/>
    </w:rPr>
  </w:style>
  <w:style w:type="paragraph" w:styleId="ListNumber5">
    <w:name w:val="List Number 5"/>
    <w:basedOn w:val="Normal"/>
    <w:rsid w:val="00C2551C"/>
    <w:pPr>
      <w:numPr>
        <w:numId w:val="5"/>
      </w:numPr>
      <w:contextualSpacing/>
    </w:pPr>
  </w:style>
  <w:style w:type="paragraph" w:styleId="Revision">
    <w:name w:val="Revision"/>
    <w:hidden/>
    <w:semiHidden/>
    <w:rsid w:val="00AA5F2C"/>
    <w:pPr>
      <w:spacing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6881">
      <w:bodyDiv w:val="1"/>
      <w:marLeft w:val="0"/>
      <w:marRight w:val="0"/>
      <w:marTop w:val="0"/>
      <w:marBottom w:val="0"/>
      <w:divBdr>
        <w:top w:val="none" w:sz="0" w:space="0" w:color="auto"/>
        <w:left w:val="none" w:sz="0" w:space="0" w:color="auto"/>
        <w:bottom w:val="none" w:sz="0" w:space="0" w:color="auto"/>
        <w:right w:val="none" w:sz="0" w:space="0" w:color="auto"/>
      </w:divBdr>
    </w:div>
    <w:div w:id="142891940">
      <w:bodyDiv w:val="1"/>
      <w:marLeft w:val="0"/>
      <w:marRight w:val="0"/>
      <w:marTop w:val="0"/>
      <w:marBottom w:val="0"/>
      <w:divBdr>
        <w:top w:val="none" w:sz="0" w:space="0" w:color="auto"/>
        <w:left w:val="none" w:sz="0" w:space="0" w:color="auto"/>
        <w:bottom w:val="none" w:sz="0" w:space="0" w:color="auto"/>
        <w:right w:val="none" w:sz="0" w:space="0" w:color="auto"/>
      </w:divBdr>
    </w:div>
    <w:div w:id="695886536">
      <w:bodyDiv w:val="1"/>
      <w:marLeft w:val="0"/>
      <w:marRight w:val="0"/>
      <w:marTop w:val="0"/>
      <w:marBottom w:val="0"/>
      <w:divBdr>
        <w:top w:val="none" w:sz="0" w:space="0" w:color="auto"/>
        <w:left w:val="none" w:sz="0" w:space="0" w:color="auto"/>
        <w:bottom w:val="none" w:sz="0" w:space="0" w:color="auto"/>
        <w:right w:val="none" w:sz="0" w:space="0" w:color="auto"/>
      </w:divBdr>
    </w:div>
    <w:div w:id="1021470844">
      <w:bodyDiv w:val="1"/>
      <w:marLeft w:val="0"/>
      <w:marRight w:val="0"/>
      <w:marTop w:val="0"/>
      <w:marBottom w:val="0"/>
      <w:divBdr>
        <w:top w:val="none" w:sz="0" w:space="0" w:color="auto"/>
        <w:left w:val="none" w:sz="0" w:space="0" w:color="auto"/>
        <w:bottom w:val="none" w:sz="0" w:space="0" w:color="auto"/>
        <w:right w:val="none" w:sz="0" w:space="0" w:color="auto"/>
      </w:divBdr>
    </w:div>
    <w:div w:id="1118720043">
      <w:bodyDiv w:val="1"/>
      <w:marLeft w:val="0"/>
      <w:marRight w:val="0"/>
      <w:marTop w:val="0"/>
      <w:marBottom w:val="0"/>
      <w:divBdr>
        <w:top w:val="none" w:sz="0" w:space="0" w:color="auto"/>
        <w:left w:val="none" w:sz="0" w:space="0" w:color="auto"/>
        <w:bottom w:val="none" w:sz="0" w:space="0" w:color="auto"/>
        <w:right w:val="none" w:sz="0" w:space="0" w:color="auto"/>
      </w:divBdr>
    </w:div>
    <w:div w:id="1152600381">
      <w:bodyDiv w:val="1"/>
      <w:marLeft w:val="0"/>
      <w:marRight w:val="0"/>
      <w:marTop w:val="0"/>
      <w:marBottom w:val="0"/>
      <w:divBdr>
        <w:top w:val="none" w:sz="0" w:space="0" w:color="auto"/>
        <w:left w:val="none" w:sz="0" w:space="0" w:color="auto"/>
        <w:bottom w:val="none" w:sz="0" w:space="0" w:color="auto"/>
        <w:right w:val="none" w:sz="0" w:space="0" w:color="auto"/>
      </w:divBdr>
    </w:div>
    <w:div w:id="12321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andinfo@acma.gov.au" TargetMode="External"/><Relationship Id="rId26" Type="http://schemas.openxmlformats.org/officeDocument/2006/relationships/footer" Target="footer7.xml"/><Relationship Id="rId39" Type="http://schemas.openxmlformats.org/officeDocument/2006/relationships/hyperlink" Target="http://www.acma.gov.au/Industry/Spectrum/Spectrum-projects/5-Year-Spectrum-Outlook/five-year-spectrum-outlook-2015-19"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acma.gov.au/Citizen/Stay-protected/My-online-world/Staying-safe-online/coherent-regulation-best-for-digital-communications-privacy" TargetMode="External"/><Relationship Id="rId42" Type="http://schemas.openxmlformats.org/officeDocument/2006/relationships/hyperlink" Target="http://www.acma.gov.au/theACMA/enduring-concepts-communications-and-media-in-australi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5" Type="http://schemas.openxmlformats.org/officeDocument/2006/relationships/footer" Target="footer6.xml"/><Relationship Id="rId33" Type="http://schemas.openxmlformats.org/officeDocument/2006/relationships/hyperlink" Target="http://www.acma.gov.au/Citizen/Stay-protected/My-online-world/Staying-safe-online/coherent-regulation-best-for-cloud-services" TargetMode="External"/><Relationship Id="rId38" Type="http://schemas.openxmlformats.org/officeDocument/2006/relationships/image" Target="media/image6.emf"/><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image" Target="media/image5.emf"/><Relationship Id="rId41" Type="http://schemas.openxmlformats.org/officeDocument/2006/relationships/hyperlink" Target="http://www.acma.gov.au/Industry/Spectrum/Spectrum-projects/5-Year-Spectrum-Outlook/five-year-spectrum-outlook-201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www.acma.gov.au/theACMA/Newsroom/Newsroom/Media-releases/coherent-regulation-best-for-near-field-communications" TargetMode="External"/><Relationship Id="rId37" Type="http://schemas.openxmlformats.org/officeDocument/2006/relationships/hyperlink" Target="http://www.acma.gov.au/Industry/Spectrum/Spectrum-projects/5-Year-Spectrum-Outlook/five-year-spectrum-outlook-2015-19" TargetMode="External"/><Relationship Id="rId40" Type="http://schemas.openxmlformats.org/officeDocument/2006/relationships/image" Target="media/image7.emf"/><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i.creativecommons.org/l/by/3.0/88x31.png" TargetMode="External"/><Relationship Id="rId23" Type="http://schemas.openxmlformats.org/officeDocument/2006/relationships/header" Target="header6.xml"/><Relationship Id="rId28" Type="http://schemas.openxmlformats.org/officeDocument/2006/relationships/hyperlink" Target="mailto:research.analysis@acma.gov.au" TargetMode="External"/><Relationship Id="rId36" Type="http://schemas.openxmlformats.org/officeDocument/2006/relationships/hyperlink" Target="http://www.acma.gov.au/theACMA/About/Corporate/Accountability/acma-corporate-plan"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www.acma.gov.au/theACMA/Library/researchacma/Occasional-papers/emerging-issues-in-media-and-communications-occasional-papers-1"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package" Target="embeddings/Microsoft_Visio_Drawing111111111111111111111111111111111111111111111111111111.vsdx"/><Relationship Id="rId35" Type="http://schemas.openxmlformats.org/officeDocument/2006/relationships/hyperlink" Target="http://www.acma.gov.au/theACMA/Library/researchacma/Research-reports/six-emerging-trends-in-media-and-communications" TargetMode="External"/><Relationship Id="rId43" Type="http://schemas.openxmlformats.org/officeDocument/2006/relationships/header" Target="header8.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theACMA/ifc-362010-numbering-structure-of-australias-telephone-numbering-plan-consultation-paper-number-one" TargetMode="External"/><Relationship Id="rId13" Type="http://schemas.openxmlformats.org/officeDocument/2006/relationships/hyperlink" Target="http://www.cisco.com/web/solutions/sp/vni/vni_forecast_highlights/index.html" TargetMode="External"/><Relationship Id="rId18" Type="http://schemas.openxmlformats.org/officeDocument/2006/relationships/hyperlink" Target="http://www.cisco.com/web/solutions/sp/vni/vni_forecast_highlights/index.html" TargetMode="External"/><Relationship Id="rId26" Type="http://schemas.openxmlformats.org/officeDocument/2006/relationships/hyperlink" Target="file:///C:\Users\lcaruso\AppData\Local\Microsoft\Windows\Temporary%20Internet%20Files\Content.Outlook\X9BMHUXF\Gartner%20Says%206.4%20Billion%20Connected%20%22Things%22%20Will%20Be%20in%20Use%20in%202016,%20Up%2030%20Percent%20From%202015" TargetMode="External"/><Relationship Id="rId3" Type="http://schemas.openxmlformats.org/officeDocument/2006/relationships/hyperlink" Target="http://www.pewinternet.org/2014/03/11/digital-life-in-2025/" TargetMode="External"/><Relationship Id="rId21" Type="http://schemas.openxmlformats.org/officeDocument/2006/relationships/hyperlink" Target="http://www.acma.gov.au/Industry/Spectrum/Spectrum-projects/5-Year-Spectrum-Outlook/five-year-spectrum-outlook-2015-19" TargetMode="External"/><Relationship Id="rId7" Type="http://schemas.openxmlformats.org/officeDocument/2006/relationships/hyperlink" Target="http://www.acma.gov.au/theACMA/About/Corporate/Accountability/acma-corporate-plan" TargetMode="External"/><Relationship Id="rId12" Type="http://schemas.openxmlformats.org/officeDocument/2006/relationships/hyperlink" Target="file:///C:\Users\lcaruso\AppData\Local\Microsoft\Windows\Temporary%20Internet%20Files\Content.Outlook\X9BMHUXF\Gartner%20Says%206.4%20Billion%20Connected%20%22Things%22%20Will%20Be%20in%20Use%20in%202016,%20Up%2030%20Percent%20From%202015" TargetMode="External"/><Relationship Id="rId17" Type="http://schemas.openxmlformats.org/officeDocument/2006/relationships/hyperlink" Target="http://www.acma.gov.au/webwr/_assets/main/lib100283/numbering-future_directions.pdf" TargetMode="External"/><Relationship Id="rId25" Type="http://schemas.openxmlformats.org/officeDocument/2006/relationships/hyperlink" Target="http://www.cisco.com/web/solutions/sp/vni/vni_forecast_highlights/index.html" TargetMode="External"/><Relationship Id="rId2" Type="http://schemas.openxmlformats.org/officeDocument/2006/relationships/hyperlink" Target="http://www.acma.gov.au/theACMA/About/The-ACMA-story/Regulating/evidence-informed-regulatory-practice-an-adaptive-response-2005-15" TargetMode="External"/><Relationship Id="rId16" Type="http://schemas.openxmlformats.org/officeDocument/2006/relationships/hyperlink" Target="http://tools.ietf.org/html/rfc3177" TargetMode="External"/><Relationship Id="rId20" Type="http://schemas.openxmlformats.org/officeDocument/2006/relationships/hyperlink" Target="http://www.acma.gov.au/Industry/Spectrum/Spectrum-projects/5-Year-Spectrum-Outlook/five-year-spectrum-outlook-2015-19" TargetMode="External"/><Relationship Id="rId29" Type="http://schemas.openxmlformats.org/officeDocument/2006/relationships/hyperlink" Target="http://www.acma.gov.au/theACMA/engage-blogs/engage-blogs/researchacma/Cloud-computing-whats-all-the-fluff-about" TargetMode="External"/><Relationship Id="rId1" Type="http://schemas.openxmlformats.org/officeDocument/2006/relationships/hyperlink" Target="http://www.mckinsey.com/insights/business_technology/The_Internet_of_Things_The_value_of_digitizing_the_physical_world?cid=other-eml-alt-mgi-mck-oth-1506" TargetMode="External"/><Relationship Id="rId6" Type="http://schemas.openxmlformats.org/officeDocument/2006/relationships/hyperlink" Target="http://www.mckinsey.com/insights/business_technology/The_Internet_of_Things_The_value_of_digitizing_the_physical_world?cid=other-eml-alt-mgi-mck-oth-1506" TargetMode="External"/><Relationship Id="rId11" Type="http://schemas.openxmlformats.org/officeDocument/2006/relationships/hyperlink" Target="http://www.epractice.eu/en/news/293342" TargetMode="External"/><Relationship Id="rId24" Type="http://schemas.openxmlformats.org/officeDocument/2006/relationships/hyperlink" Target="http://hugin.info/1061/R/1403231/357583.pdf" TargetMode="External"/><Relationship Id="rId32" Type="http://schemas.openxmlformats.org/officeDocument/2006/relationships/hyperlink" Target="http://www.acma.gov.au/theACMA/connected-citizens-regulatory-strategies-for-a-networked-economy-and-society" TargetMode="External"/><Relationship Id="rId5" Type="http://schemas.openxmlformats.org/officeDocument/2006/relationships/hyperlink" Target="http://www.infrastructureaustralia.gov.au/policy-publications/publications/Australian-Infrastructure-Audit.aspx" TargetMode="External"/><Relationship Id="rId15" Type="http://schemas.openxmlformats.org/officeDocument/2006/relationships/hyperlink" Target="http://tools.ietf.org/html/rfc2928" TargetMode="External"/><Relationship Id="rId23" Type="http://schemas.openxmlformats.org/officeDocument/2006/relationships/hyperlink" Target="https://www.cisco.com/web/about/ac79/docs/innov/IoT_IBSG_0411FINAL.pdf" TargetMode="External"/><Relationship Id="rId28" Type="http://schemas.openxmlformats.org/officeDocument/2006/relationships/hyperlink" Target="http://www.austlii.edu.au/au/legis/nsw/consol_act/papipa1998464/s3.html" TargetMode="External"/><Relationship Id="rId10" Type="http://schemas.openxmlformats.org/officeDocument/2006/relationships/hyperlink" Target="http://www.acma.gov.au/Citizen/Stay-protected/My-online-world/Staying-safe-online/coherent-regulation-best-for-cloud-services" TargetMode="External"/><Relationship Id="rId19" Type="http://schemas.openxmlformats.org/officeDocument/2006/relationships/hyperlink" Target="http://www.acma.gov.au/theACMA/Library/researchacma/Research-reports/mobile-network-infrastructure-forecasting-model" TargetMode="External"/><Relationship Id="rId31" Type="http://schemas.openxmlformats.org/officeDocument/2006/relationships/hyperlink" Target="http://www.acma.gov.au/theACMA/engage-blogs/engage-blogs/researchacma/Australians-embrace-a-digital-life" TargetMode="External"/><Relationship Id="rId4" Type="http://schemas.openxmlformats.org/officeDocument/2006/relationships/hyperlink" Target="http://www.bca.com.au/newsroom/national-press-club-address-by-catherine-livingstone" TargetMode="External"/><Relationship Id="rId9" Type="http://schemas.openxmlformats.org/officeDocument/2006/relationships/hyperlink" Target="http://www.acma.gov.au/theACMA/Newsroom/Newsroom/Media-releases/coherent-regulation-best-for-near-field-communications" TargetMode="External"/><Relationship Id="rId14" Type="http://schemas.openxmlformats.org/officeDocument/2006/relationships/hyperlink" Target="http://tools.ietf.org/html/rfc2050" TargetMode="External"/><Relationship Id="rId22" Type="http://schemas.openxmlformats.org/officeDocument/2006/relationships/hyperlink" Target="http://www.cisco.com/web/solutions/sp/vni/vni_forecast_highlights/index.html" TargetMode="External"/><Relationship Id="rId27" Type="http://schemas.openxmlformats.org/officeDocument/2006/relationships/hyperlink" Target="http://www.ericsson.com/res/docs/2015/ericsson-mobility-report-june-2015.pdf" TargetMode="External"/><Relationship Id="rId30" Type="http://schemas.openxmlformats.org/officeDocument/2006/relationships/hyperlink" Target="http://www.acma.gov.au/theACMA/Library/researchacma/Research-reports/six-emerging-trends-in-media-and-commun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01A4-7186-469C-BB25-7A1723F0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12613</Words>
  <Characters>71898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2015-11-12T03:04:00Z</dcterms:created>
  <dcterms:modified xsi:type="dcterms:W3CDTF">2015-11-12T03:40:00Z</dcterms:modified>
  <cp:category/>
</cp:coreProperties>
</file>