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14" w:rsidRPr="00A51D1A" w:rsidRDefault="00504BF3" w:rsidP="00A51D1A">
      <w:pPr>
        <w:pStyle w:val="ACMAReportTitle"/>
      </w:pPr>
      <w:bookmarkStart w:id="0" w:name="_GoBack"/>
      <w:bookmarkEnd w:id="0"/>
      <w:r>
        <w:rPr>
          <w:rFonts w:cs="Arial"/>
        </w:rPr>
        <w:t>Cost recovery implementation statement</w:t>
      </w:r>
    </w:p>
    <w:p w:rsidR="00F06E14" w:rsidRDefault="00504BF3" w:rsidP="00F06E14">
      <w:pPr>
        <w:pStyle w:val="ACMAReportSubTitle"/>
      </w:pPr>
      <w:r>
        <w:rPr>
          <w:rFonts w:cs="Arial"/>
        </w:rPr>
        <w:t>Fees for radiocommunications, telecommunications and broadcasting services</w:t>
      </w:r>
    </w:p>
    <w:p w:rsidR="00F06E14" w:rsidRDefault="00504BF3" w:rsidP="00D47AEB">
      <w:pPr>
        <w:pStyle w:val="ACMAReportDate"/>
        <w:spacing w:after="720"/>
      </w:pPr>
      <w:r>
        <w:rPr>
          <w:rFonts w:cs="Arial"/>
        </w:rPr>
        <w:t>budget year 2014–15</w:t>
      </w:r>
    </w:p>
    <w:p w:rsidR="00C97736" w:rsidRPr="000D76E0" w:rsidRDefault="00C97736" w:rsidP="0041071D">
      <w:pPr>
        <w:rPr>
          <w:rFonts w:cs="Arial"/>
        </w:rPr>
      </w:pPr>
    </w:p>
    <w:p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rsidR="0005011A" w:rsidRPr="00F44F3A" w:rsidRDefault="0005011A" w:rsidP="00FC07B9">
      <w:pPr>
        <w:pStyle w:val="ACMACorporateAddressHeader"/>
      </w:pPr>
      <w:r w:rsidRPr="00F44F3A">
        <w:lastRenderedPageBreak/>
        <w:t>Canberra</w:t>
      </w:r>
    </w:p>
    <w:p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rsidR="0005011A" w:rsidRPr="00FC07B9" w:rsidRDefault="0005011A" w:rsidP="00FC07B9">
      <w:pPr>
        <w:pStyle w:val="ACMACorporateAddresses"/>
      </w:pPr>
      <w:r w:rsidRPr="00FC07B9">
        <w:t>PO Box 78</w:t>
      </w:r>
      <w:r w:rsidRPr="00FC07B9">
        <w:br/>
        <w:t>Belconnen ACT 2616</w:t>
      </w:r>
    </w:p>
    <w:p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rsidR="0005011A" w:rsidRPr="00F44F3A" w:rsidRDefault="0005011A" w:rsidP="00FC07B9">
      <w:pPr>
        <w:pStyle w:val="ACMACorporateAddressHeader"/>
      </w:pPr>
      <w:r w:rsidRPr="00F44F3A">
        <w:t>Melbourne</w:t>
      </w:r>
    </w:p>
    <w:p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rsidR="0005011A" w:rsidRPr="00F44F3A" w:rsidRDefault="0005011A" w:rsidP="00FC07B9">
      <w:pPr>
        <w:pStyle w:val="ACMACorporateAddresses"/>
      </w:pPr>
      <w:r w:rsidRPr="00F44F3A">
        <w:t>PO Box 13112</w:t>
      </w:r>
      <w:r w:rsidRPr="00F44F3A">
        <w:br/>
        <w:t xml:space="preserve">Law Courts </w:t>
      </w:r>
      <w:r w:rsidRPr="00F44F3A">
        <w:br/>
        <w:t>Melbourne VIC 8010</w:t>
      </w:r>
    </w:p>
    <w:p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rsidR="0005011A" w:rsidRPr="00F44F3A" w:rsidRDefault="0005011A" w:rsidP="00FC07B9">
      <w:pPr>
        <w:pStyle w:val="ACMACorporateAddressHeader"/>
      </w:pPr>
      <w:r w:rsidRPr="00F44F3A">
        <w:t>Sydney</w:t>
      </w:r>
    </w:p>
    <w:p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rsidR="0005011A" w:rsidRPr="00F44F3A" w:rsidRDefault="0005011A" w:rsidP="00FC07B9">
      <w:pPr>
        <w:pStyle w:val="ACMACorporateAddresses"/>
      </w:pPr>
      <w:r w:rsidRPr="00F44F3A">
        <w:t>PO Box Q500</w:t>
      </w:r>
      <w:r w:rsidRPr="00F44F3A">
        <w:br/>
        <w:t xml:space="preserve">Queen Victoria Building </w:t>
      </w:r>
      <w:r w:rsidRPr="00F44F3A">
        <w:br/>
        <w:t>NSW 1230</w:t>
      </w:r>
    </w:p>
    <w:p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rsidR="00140318" w:rsidRPr="006D46E5" w:rsidRDefault="00140318" w:rsidP="00FC07B9">
      <w:pPr>
        <w:pStyle w:val="ACMACopyrightHeader"/>
      </w:pPr>
      <w:r w:rsidRPr="00140318">
        <w:t>Copyright notice</w:t>
      </w:r>
    </w:p>
    <w:p w:rsidR="00140318" w:rsidRPr="006D46E5" w:rsidRDefault="00623FF9" w:rsidP="00623FF9">
      <w:pPr>
        <w:pStyle w:val="ACMACClogo"/>
      </w:pPr>
      <w:r w:rsidRPr="00623FF9">
        <w:rPr>
          <w:noProof/>
        </w:rPr>
        <w:drawing>
          <wp:inline distT="0" distB="0" distL="0" distR="0" wp14:anchorId="3EB7370E" wp14:editId="15C7DD38">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rsidR="00140318" w:rsidRPr="00431792" w:rsidRDefault="007B3FAC"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rsidR="00140318" w:rsidRPr="006D46E5" w:rsidRDefault="00140318" w:rsidP="00FC07B9">
      <w:pPr>
        <w:pStyle w:val="ACMACorporateAddresses"/>
      </w:pPr>
      <w:r w:rsidRPr="006D46E5">
        <w:t>We request attribution as: © Commonwealth of Australia (Australian Communic</w:t>
      </w:r>
      <w:r w:rsidR="008408FF">
        <w:t>ations and Media Authority) 2015</w:t>
      </w:r>
      <w:r w:rsidRPr="006D46E5">
        <w:t>.</w:t>
      </w:r>
    </w:p>
    <w:p w:rsidR="00140318" w:rsidRPr="006D46E5" w:rsidRDefault="00140318" w:rsidP="00FC07B9">
      <w:pPr>
        <w:pStyle w:val="ACMACorporateAddresses"/>
      </w:pPr>
      <w:r>
        <w:t>All other rights are reserved.</w:t>
      </w:r>
    </w:p>
    <w:p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rsidR="00140318" w:rsidRPr="006D46E5" w:rsidRDefault="00140318" w:rsidP="00FC07B9">
      <w:pPr>
        <w:pStyle w:val="ACMACorporateAddresses"/>
      </w:pPr>
      <w:r w:rsidRPr="006D46E5">
        <w:t>Written enquiries may be sent to:</w:t>
      </w:r>
    </w:p>
    <w:p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7" w:history="1">
        <w:r w:rsidRPr="00431792">
          <w:rPr>
            <w:rStyle w:val="Hyperlink"/>
          </w:rPr>
          <w:t>candinfo@acma.gov.au</w:t>
        </w:r>
      </w:hyperlink>
    </w:p>
    <w:p w:rsidR="00D16FE3" w:rsidRDefault="00D16FE3" w:rsidP="00D16FE3">
      <w:pPr>
        <w:pStyle w:val="ACMACorporateAddresses"/>
        <w:rPr>
          <w:rStyle w:val="Hyperlink"/>
        </w:rPr>
      </w:pPr>
    </w:p>
    <w:p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rsidR="00504BF3" w:rsidRDefault="007A6CC0">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504BF3">
        <w:t>1.</w:t>
      </w:r>
      <w:r w:rsidR="00504BF3">
        <w:rPr>
          <w:rFonts w:asciiTheme="minorHAnsi" w:eastAsiaTheme="minorEastAsia" w:hAnsiTheme="minorHAnsi" w:cstheme="minorBidi"/>
          <w:b w:val="0"/>
          <w:spacing w:val="0"/>
          <w:sz w:val="22"/>
          <w:szCs w:val="22"/>
        </w:rPr>
        <w:tab/>
      </w:r>
      <w:r w:rsidR="00504BF3">
        <w:t>Introduction</w:t>
      </w:r>
      <w:r w:rsidR="00504BF3">
        <w:tab/>
      </w:r>
      <w:r w:rsidR="00504BF3">
        <w:fldChar w:fldCharType="begin"/>
      </w:r>
      <w:r w:rsidR="00504BF3">
        <w:instrText xml:space="preserve"> PAGEREF _Toc426099798 \h </w:instrText>
      </w:r>
      <w:r w:rsidR="00504BF3">
        <w:fldChar w:fldCharType="separate"/>
      </w:r>
      <w:r w:rsidR="00504BF3">
        <w:t>1</w:t>
      </w:r>
      <w:r w:rsidR="00504BF3">
        <w:fldChar w:fldCharType="end"/>
      </w:r>
    </w:p>
    <w:p w:rsidR="00504BF3" w:rsidRDefault="00504BF3">
      <w:pPr>
        <w:pStyle w:val="TOC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_Toc426099799 \h </w:instrText>
      </w:r>
      <w:r>
        <w:fldChar w:fldCharType="separate"/>
      </w:r>
      <w:r>
        <w:t>1</w:t>
      </w:r>
      <w:r>
        <w:fldChar w:fldCharType="end"/>
      </w:r>
    </w:p>
    <w:p w:rsidR="00504BF3" w:rsidRDefault="00504BF3">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w:t>
      </w:r>
      <w:r>
        <w:tab/>
      </w:r>
      <w:r>
        <w:fldChar w:fldCharType="begin"/>
      </w:r>
      <w:r>
        <w:instrText xml:space="preserve"> PAGEREF _Toc426099800 \h </w:instrText>
      </w:r>
      <w:r>
        <w:fldChar w:fldCharType="separate"/>
      </w:r>
      <w:r>
        <w:t>1</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Policy and statutory authority to cost recover</w:t>
      </w:r>
      <w:r>
        <w:tab/>
      </w:r>
      <w:r>
        <w:fldChar w:fldCharType="begin"/>
      </w:r>
      <w:r>
        <w:instrText xml:space="preserve"> PAGEREF _Toc426099801 \h </w:instrText>
      </w:r>
      <w:r>
        <w:fldChar w:fldCharType="separate"/>
      </w:r>
      <w:r>
        <w:t>4</w:t>
      </w:r>
      <w:r>
        <w:fldChar w:fldCharType="end"/>
      </w:r>
    </w:p>
    <w:p w:rsidR="00504BF3" w:rsidRDefault="00504BF3">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cost recover the activity</w:t>
      </w:r>
      <w:r>
        <w:tab/>
      </w:r>
      <w:r>
        <w:fldChar w:fldCharType="begin"/>
      </w:r>
      <w:r>
        <w:instrText xml:space="preserve"> PAGEREF _Toc426099802 \h </w:instrText>
      </w:r>
      <w:r>
        <w:fldChar w:fldCharType="separate"/>
      </w:r>
      <w:r>
        <w:t>4</w:t>
      </w:r>
      <w:r>
        <w:fldChar w:fldCharType="end"/>
      </w:r>
    </w:p>
    <w:p w:rsidR="00504BF3" w:rsidRDefault="00504BF3">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w:t>
      </w:r>
      <w:r>
        <w:tab/>
      </w:r>
      <w:r>
        <w:fldChar w:fldCharType="begin"/>
      </w:r>
      <w:r>
        <w:instrText xml:space="preserve"> PAGEREF _Toc426099803 \h </w:instrText>
      </w:r>
      <w:r>
        <w:fldChar w:fldCharType="separate"/>
      </w:r>
      <w:r>
        <w:t>4</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_Toc426099804 \h </w:instrText>
      </w:r>
      <w:r>
        <w:fldChar w:fldCharType="separate"/>
      </w:r>
      <w:r>
        <w:t>5</w:t>
      </w:r>
      <w:r>
        <w:fldChar w:fldCharType="end"/>
      </w:r>
    </w:p>
    <w:p w:rsidR="00504BF3" w:rsidRDefault="00504BF3">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Outputs of the activity</w:t>
      </w:r>
      <w:r>
        <w:tab/>
      </w:r>
      <w:r>
        <w:fldChar w:fldCharType="begin"/>
      </w:r>
      <w:r>
        <w:instrText xml:space="preserve"> PAGEREF _Toc426099805 \h </w:instrText>
      </w:r>
      <w:r>
        <w:fldChar w:fldCharType="separate"/>
      </w:r>
      <w:r>
        <w:t>5</w:t>
      </w:r>
      <w:r>
        <w:fldChar w:fldCharType="end"/>
      </w:r>
    </w:p>
    <w:p w:rsidR="00504BF3" w:rsidRDefault="00504BF3">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Radiocommunications regulation, planning and licensing</w:t>
      </w:r>
      <w:r>
        <w:tab/>
      </w:r>
      <w:r>
        <w:fldChar w:fldCharType="begin"/>
      </w:r>
      <w:r>
        <w:instrText xml:space="preserve"> PAGEREF _Toc426099806 \h </w:instrText>
      </w:r>
      <w:r>
        <w:fldChar w:fldCharType="separate"/>
      </w:r>
      <w:r>
        <w:t>5</w:t>
      </w:r>
      <w:r>
        <w:fldChar w:fldCharType="end"/>
      </w:r>
    </w:p>
    <w:p w:rsidR="00504BF3" w:rsidRDefault="00504BF3">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Telecommunications regulation, planning and licensing activities</w:t>
      </w:r>
      <w:r>
        <w:tab/>
      </w:r>
      <w:r>
        <w:fldChar w:fldCharType="begin"/>
      </w:r>
      <w:r>
        <w:instrText xml:space="preserve"> PAGEREF _Toc426099807 \h </w:instrText>
      </w:r>
      <w:r>
        <w:fldChar w:fldCharType="separate"/>
      </w:r>
      <w:r>
        <w:t>7</w:t>
      </w:r>
      <w:r>
        <w:fldChar w:fldCharType="end"/>
      </w:r>
    </w:p>
    <w:p w:rsidR="00504BF3" w:rsidRDefault="00504BF3">
      <w:pPr>
        <w:pStyle w:val="TOC3"/>
        <w:tabs>
          <w:tab w:val="left" w:pos="885"/>
        </w:tabs>
        <w:rPr>
          <w:rFonts w:asciiTheme="minorHAnsi" w:eastAsiaTheme="minorEastAsia" w:hAnsiTheme="minorHAnsi" w:cstheme="minorBidi"/>
        </w:rPr>
      </w:pPr>
      <w:r>
        <w:t>3.1.3</w:t>
      </w:r>
      <w:r>
        <w:rPr>
          <w:rFonts w:asciiTheme="minorHAnsi" w:eastAsiaTheme="minorEastAsia" w:hAnsiTheme="minorHAnsi" w:cstheme="minorBidi"/>
        </w:rPr>
        <w:tab/>
      </w:r>
      <w:r>
        <w:t>Broadcasting regulation, planning and licensing</w:t>
      </w:r>
      <w:r>
        <w:tab/>
      </w:r>
      <w:r>
        <w:fldChar w:fldCharType="begin"/>
      </w:r>
      <w:r>
        <w:instrText xml:space="preserve"> PAGEREF _Toc426099808 \h </w:instrText>
      </w:r>
      <w:r>
        <w:fldChar w:fldCharType="separate"/>
      </w:r>
      <w:r>
        <w:t>8</w:t>
      </w:r>
      <w:r>
        <w:fldChar w:fldCharType="end"/>
      </w:r>
    </w:p>
    <w:p w:rsidR="00504BF3" w:rsidRDefault="00504BF3">
      <w:pPr>
        <w:pStyle w:val="TOC3"/>
        <w:tabs>
          <w:tab w:val="left" w:pos="885"/>
        </w:tabs>
        <w:rPr>
          <w:rFonts w:asciiTheme="minorHAnsi" w:eastAsiaTheme="minorEastAsia" w:hAnsiTheme="minorHAnsi" w:cstheme="minorBidi"/>
        </w:rPr>
      </w:pPr>
      <w:r>
        <w:t>3.1.4</w:t>
      </w:r>
      <w:r>
        <w:rPr>
          <w:rFonts w:asciiTheme="minorHAnsi" w:eastAsiaTheme="minorEastAsia" w:hAnsiTheme="minorHAnsi" w:cstheme="minorBidi"/>
        </w:rPr>
        <w:tab/>
      </w:r>
      <w:r>
        <w:t>Who should pay cost recovery charges?</w:t>
      </w:r>
      <w:r>
        <w:tab/>
      </w:r>
      <w:r>
        <w:fldChar w:fldCharType="begin"/>
      </w:r>
      <w:r>
        <w:instrText xml:space="preserve"> PAGEREF _Toc426099809 \h </w:instrText>
      </w:r>
      <w:r>
        <w:fldChar w:fldCharType="separate"/>
      </w:r>
      <w:r>
        <w:t>9</w:t>
      </w:r>
      <w:r>
        <w:fldChar w:fldCharType="end"/>
      </w:r>
    </w:p>
    <w:p w:rsidR="00504BF3" w:rsidRDefault="00504BF3">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Costs of the activity</w:t>
      </w:r>
      <w:r>
        <w:tab/>
      </w:r>
      <w:r>
        <w:fldChar w:fldCharType="begin"/>
      </w:r>
      <w:r>
        <w:instrText xml:space="preserve"> PAGEREF _Toc426099810 \h </w:instrText>
      </w:r>
      <w:r>
        <w:fldChar w:fldCharType="separate"/>
      </w:r>
      <w:r>
        <w:t>10</w:t>
      </w:r>
      <w:r>
        <w:fldChar w:fldCharType="end"/>
      </w:r>
    </w:p>
    <w:p w:rsidR="00504BF3" w:rsidRDefault="00504BF3">
      <w:pPr>
        <w:pStyle w:val="TOC3"/>
        <w:tabs>
          <w:tab w:val="left" w:pos="885"/>
        </w:tabs>
        <w:rPr>
          <w:rFonts w:asciiTheme="minorHAnsi" w:eastAsiaTheme="minorEastAsia" w:hAnsiTheme="minorHAnsi" w:cstheme="minorBidi"/>
        </w:rPr>
      </w:pPr>
      <w:r>
        <w:t>3.2.1</w:t>
      </w:r>
      <w:r>
        <w:rPr>
          <w:rFonts w:asciiTheme="minorHAnsi" w:eastAsiaTheme="minorEastAsia" w:hAnsiTheme="minorHAnsi" w:cstheme="minorBidi"/>
        </w:rPr>
        <w:tab/>
      </w:r>
      <w:r>
        <w:t>Hourly rates</w:t>
      </w:r>
      <w:r>
        <w:tab/>
      </w:r>
      <w:r>
        <w:fldChar w:fldCharType="begin"/>
      </w:r>
      <w:r>
        <w:instrText xml:space="preserve"> PAGEREF _Toc426099811 \h </w:instrText>
      </w:r>
      <w:r>
        <w:fldChar w:fldCharType="separate"/>
      </w:r>
      <w:r>
        <w:t>10</w:t>
      </w:r>
      <w:r>
        <w:fldChar w:fldCharType="end"/>
      </w:r>
    </w:p>
    <w:p w:rsidR="00504BF3" w:rsidRDefault="00504BF3">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Design of cost recovery fees</w:t>
      </w:r>
      <w:r>
        <w:tab/>
      </w:r>
      <w:r>
        <w:fldChar w:fldCharType="begin"/>
      </w:r>
      <w:r>
        <w:instrText xml:space="preserve"> PAGEREF _Toc426099812 \h </w:instrText>
      </w:r>
      <w:r>
        <w:fldChar w:fldCharType="separate"/>
      </w:r>
      <w:r>
        <w:t>11</w:t>
      </w:r>
      <w:r>
        <w:fldChar w:fldCharType="end"/>
      </w:r>
    </w:p>
    <w:p w:rsidR="00504BF3" w:rsidRDefault="00504BF3">
      <w:pPr>
        <w:pStyle w:val="TOC3"/>
        <w:tabs>
          <w:tab w:val="left" w:pos="885"/>
        </w:tabs>
        <w:rPr>
          <w:rFonts w:asciiTheme="minorHAnsi" w:eastAsiaTheme="minorEastAsia" w:hAnsiTheme="minorHAnsi" w:cstheme="minorBidi"/>
        </w:rPr>
      </w:pPr>
      <w:r>
        <w:t>3.3.1</w:t>
      </w:r>
      <w:r>
        <w:rPr>
          <w:rFonts w:asciiTheme="minorHAnsi" w:eastAsiaTheme="minorEastAsia" w:hAnsiTheme="minorHAnsi" w:cstheme="minorBidi"/>
        </w:rPr>
        <w:tab/>
      </w:r>
      <w:r>
        <w:t>Changes to fees</w:t>
      </w:r>
      <w:r>
        <w:tab/>
      </w:r>
      <w:r>
        <w:fldChar w:fldCharType="begin"/>
      </w:r>
      <w:r>
        <w:instrText xml:space="preserve"> PAGEREF _Toc426099813 \h </w:instrText>
      </w:r>
      <w:r>
        <w:fldChar w:fldCharType="separate"/>
      </w:r>
      <w:r>
        <w:t>11</w:t>
      </w:r>
      <w:r>
        <w:fldChar w:fldCharType="end"/>
      </w:r>
    </w:p>
    <w:p w:rsidR="00504BF3" w:rsidRDefault="00504BF3">
      <w:pPr>
        <w:pStyle w:val="TOC3"/>
        <w:tabs>
          <w:tab w:val="left" w:pos="885"/>
        </w:tabs>
        <w:rPr>
          <w:rFonts w:asciiTheme="minorHAnsi" w:eastAsiaTheme="minorEastAsia" w:hAnsiTheme="minorHAnsi" w:cstheme="minorBidi"/>
        </w:rPr>
      </w:pPr>
      <w:r>
        <w:t>3.3.2</w:t>
      </w:r>
      <w:r>
        <w:rPr>
          <w:rFonts w:asciiTheme="minorHAnsi" w:eastAsiaTheme="minorEastAsia" w:hAnsiTheme="minorHAnsi" w:cstheme="minorBidi"/>
        </w:rPr>
        <w:tab/>
      </w:r>
      <w:r>
        <w:t>Changes to fees for issue and transfer of radiocommunications licences</w:t>
      </w:r>
      <w:r>
        <w:tab/>
      </w:r>
      <w:r>
        <w:fldChar w:fldCharType="begin"/>
      </w:r>
      <w:r>
        <w:instrText xml:space="preserve"> PAGEREF _Toc426099814 \h </w:instrText>
      </w:r>
      <w:r>
        <w:fldChar w:fldCharType="separate"/>
      </w:r>
      <w:r>
        <w:t>12</w:t>
      </w:r>
      <w:r>
        <w:fldChar w:fldCharType="end"/>
      </w:r>
    </w:p>
    <w:p w:rsidR="00504BF3" w:rsidRDefault="00504BF3">
      <w:pPr>
        <w:pStyle w:val="TOC3"/>
        <w:tabs>
          <w:tab w:val="left" w:pos="885"/>
        </w:tabs>
        <w:rPr>
          <w:rFonts w:asciiTheme="minorHAnsi" w:eastAsiaTheme="minorEastAsia" w:hAnsiTheme="minorHAnsi" w:cstheme="minorBidi"/>
        </w:rPr>
      </w:pPr>
      <w:r>
        <w:t>3.3.3</w:t>
      </w:r>
      <w:r>
        <w:rPr>
          <w:rFonts w:asciiTheme="minorHAnsi" w:eastAsiaTheme="minorEastAsia" w:hAnsiTheme="minorHAnsi" w:cstheme="minorBidi"/>
        </w:rPr>
        <w:tab/>
      </w:r>
      <w:r>
        <w:t>Changes to renewal fees for licences</w:t>
      </w:r>
      <w:r>
        <w:tab/>
      </w:r>
      <w:r>
        <w:fldChar w:fldCharType="begin"/>
      </w:r>
      <w:r>
        <w:instrText xml:space="preserve"> PAGEREF _Toc426099815 \h </w:instrText>
      </w:r>
      <w:r>
        <w:fldChar w:fldCharType="separate"/>
      </w:r>
      <w:r>
        <w:t>12</w:t>
      </w:r>
      <w:r>
        <w:fldChar w:fldCharType="end"/>
      </w:r>
    </w:p>
    <w:p w:rsidR="00504BF3" w:rsidRDefault="00504BF3">
      <w:pPr>
        <w:pStyle w:val="TOC3"/>
        <w:tabs>
          <w:tab w:val="left" w:pos="885"/>
        </w:tabs>
        <w:rPr>
          <w:rFonts w:asciiTheme="minorHAnsi" w:eastAsiaTheme="minorEastAsia" w:hAnsiTheme="minorHAnsi" w:cstheme="minorBidi"/>
        </w:rPr>
      </w:pPr>
      <w:r>
        <w:t>3.3.4</w:t>
      </w:r>
      <w:r>
        <w:rPr>
          <w:rFonts w:asciiTheme="minorHAnsi" w:eastAsiaTheme="minorEastAsia" w:hAnsiTheme="minorHAnsi" w:cstheme="minorBidi"/>
        </w:rPr>
        <w:tab/>
      </w:r>
      <w:r>
        <w:t>Changes to apparatus licence fee arrangement for wireless audio transmitters</w:t>
      </w:r>
      <w:r>
        <w:tab/>
      </w:r>
      <w:r>
        <w:fldChar w:fldCharType="begin"/>
      </w:r>
      <w:r>
        <w:instrText xml:space="preserve"> PAGEREF _Toc426099816 \h </w:instrText>
      </w:r>
      <w:r>
        <w:fldChar w:fldCharType="separate"/>
      </w:r>
      <w:r>
        <w:t>13</w:t>
      </w:r>
      <w:r>
        <w:fldChar w:fldCharType="end"/>
      </w:r>
    </w:p>
    <w:p w:rsidR="00504BF3" w:rsidRDefault="00504BF3">
      <w:pPr>
        <w:pStyle w:val="TOC3"/>
        <w:tabs>
          <w:tab w:val="left" w:pos="885"/>
        </w:tabs>
        <w:rPr>
          <w:rFonts w:asciiTheme="minorHAnsi" w:eastAsiaTheme="minorEastAsia" w:hAnsiTheme="minorHAnsi" w:cstheme="minorBidi"/>
        </w:rPr>
      </w:pPr>
      <w:r>
        <w:t>3.3.5</w:t>
      </w:r>
      <w:r>
        <w:rPr>
          <w:rFonts w:asciiTheme="minorHAnsi" w:eastAsiaTheme="minorEastAsia" w:hAnsiTheme="minorHAnsi" w:cstheme="minorBidi"/>
        </w:rPr>
        <w:tab/>
      </w:r>
      <w:r>
        <w:t>Other changes</w:t>
      </w:r>
      <w:r>
        <w:tab/>
      </w:r>
      <w:r>
        <w:fldChar w:fldCharType="begin"/>
      </w:r>
      <w:r>
        <w:instrText xml:space="preserve"> PAGEREF _Toc426099817 \h </w:instrText>
      </w:r>
      <w:r>
        <w:fldChar w:fldCharType="separate"/>
      </w:r>
      <w:r>
        <w:t>13</w:t>
      </w:r>
      <w:r>
        <w:fldChar w:fldCharType="end"/>
      </w:r>
    </w:p>
    <w:p w:rsidR="00504BF3" w:rsidRDefault="00504BF3">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Financial impact due to changes</w:t>
      </w:r>
      <w:r>
        <w:tab/>
      </w:r>
      <w:r>
        <w:fldChar w:fldCharType="begin"/>
      </w:r>
      <w:r>
        <w:instrText xml:space="preserve"> PAGEREF _Toc426099818 \h </w:instrText>
      </w:r>
      <w:r>
        <w:fldChar w:fldCharType="separate"/>
      </w:r>
      <w:r>
        <w:t>14</w:t>
      </w:r>
      <w:r>
        <w:fldChar w:fldCharType="end"/>
      </w:r>
    </w:p>
    <w:p w:rsidR="00504BF3" w:rsidRDefault="00504BF3">
      <w:pPr>
        <w:pStyle w:val="TOC3"/>
        <w:tabs>
          <w:tab w:val="left" w:pos="885"/>
        </w:tabs>
        <w:rPr>
          <w:rFonts w:asciiTheme="minorHAnsi" w:eastAsiaTheme="minorEastAsia" w:hAnsiTheme="minorHAnsi" w:cstheme="minorBidi"/>
        </w:rPr>
      </w:pPr>
      <w:r>
        <w:t>3.4.1</w:t>
      </w:r>
      <w:r>
        <w:rPr>
          <w:rFonts w:asciiTheme="minorHAnsi" w:eastAsiaTheme="minorEastAsia" w:hAnsiTheme="minorHAnsi" w:cstheme="minorBidi"/>
        </w:rPr>
        <w:tab/>
      </w:r>
      <w:r>
        <w:t>Summary of changes</w:t>
      </w:r>
      <w:r>
        <w:tab/>
      </w:r>
      <w:r>
        <w:fldChar w:fldCharType="begin"/>
      </w:r>
      <w:r>
        <w:instrText xml:space="preserve"> PAGEREF _Toc426099819 \h </w:instrText>
      </w:r>
      <w:r>
        <w:fldChar w:fldCharType="separate"/>
      </w:r>
      <w:r>
        <w:t>14</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_Toc426099820 \h </w:instrText>
      </w:r>
      <w:r>
        <w:fldChar w:fldCharType="separate"/>
      </w:r>
      <w:r>
        <w:t>15</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_Toc426099821 \h </w:instrText>
      </w:r>
      <w:r>
        <w:fldChar w:fldCharType="separate"/>
      </w:r>
      <w:r>
        <w:t>16</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6.</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_Toc426099822 \h </w:instrText>
      </w:r>
      <w:r>
        <w:fldChar w:fldCharType="separate"/>
      </w:r>
      <w:r>
        <w:t>17</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7</w:t>
      </w:r>
      <w:r>
        <w:rPr>
          <w:rFonts w:asciiTheme="minorHAnsi" w:eastAsiaTheme="minorEastAsia" w:hAnsiTheme="minorHAnsi" w:cstheme="minorBidi"/>
          <w:b w:val="0"/>
          <w:spacing w:val="0"/>
          <w:sz w:val="22"/>
          <w:szCs w:val="22"/>
        </w:rPr>
        <w:tab/>
      </w:r>
      <w:r>
        <w:t>Financial performance</w:t>
      </w:r>
      <w:r>
        <w:tab/>
      </w:r>
      <w:r>
        <w:fldChar w:fldCharType="begin"/>
      </w:r>
      <w:r>
        <w:instrText xml:space="preserve"> PAGEREF _Toc426099823 \h </w:instrText>
      </w:r>
      <w:r>
        <w:fldChar w:fldCharType="separate"/>
      </w:r>
      <w:r>
        <w:t>18</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_Toc426099824 \h </w:instrText>
      </w:r>
      <w:r>
        <w:fldChar w:fldCharType="separate"/>
      </w:r>
      <w:r>
        <w:t>19</w:t>
      </w:r>
      <w:r>
        <w:fldChar w:fldCharType="end"/>
      </w:r>
    </w:p>
    <w:p w:rsidR="00504BF3" w:rsidRDefault="00504BF3">
      <w:pPr>
        <w:pStyle w:val="TOC1"/>
        <w:tabs>
          <w:tab w:val="left" w:pos="885"/>
        </w:tabs>
        <w:rPr>
          <w:rFonts w:asciiTheme="minorHAnsi" w:eastAsiaTheme="minorEastAsia" w:hAnsiTheme="minorHAnsi" w:cstheme="minorBidi"/>
          <w:b w:val="0"/>
          <w:spacing w:val="0"/>
          <w:sz w:val="22"/>
          <w:szCs w:val="22"/>
        </w:rPr>
      </w:pPr>
      <w:r>
        <w:lastRenderedPageBreak/>
        <w:t>9</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_Toc426099825 \h </w:instrText>
      </w:r>
      <w:r>
        <w:fldChar w:fldCharType="separate"/>
      </w:r>
      <w:r>
        <w:t>20</w:t>
      </w:r>
      <w:r>
        <w:fldChar w:fldCharType="end"/>
      </w:r>
    </w:p>
    <w:p w:rsidR="00504BF3" w:rsidRDefault="00504BF3">
      <w:pPr>
        <w:pStyle w:val="TOC1"/>
        <w:rPr>
          <w:rFonts w:asciiTheme="minorHAnsi" w:eastAsiaTheme="minorEastAsia" w:hAnsiTheme="minorHAnsi" w:cstheme="minorBidi"/>
          <w:b w:val="0"/>
          <w:spacing w:val="0"/>
          <w:sz w:val="22"/>
          <w:szCs w:val="22"/>
        </w:rPr>
      </w:pPr>
      <w:r>
        <w:t>Glossary</w:t>
      </w:r>
      <w:r>
        <w:tab/>
      </w:r>
      <w:r>
        <w:fldChar w:fldCharType="begin"/>
      </w:r>
      <w:r>
        <w:instrText xml:space="preserve"> PAGEREF _Toc426099826 \h </w:instrText>
      </w:r>
      <w:r>
        <w:fldChar w:fldCharType="separate"/>
      </w:r>
      <w:r>
        <w:t>21</w:t>
      </w:r>
      <w:r>
        <w:fldChar w:fldCharType="end"/>
      </w:r>
    </w:p>
    <w:p w:rsidR="000A4A51" w:rsidRPr="000D76E0" w:rsidRDefault="007A6CC0">
      <w:pPr>
        <w:rPr>
          <w:rFonts w:cs="Arial"/>
        </w:rPr>
      </w:pPr>
      <w:r>
        <w:rPr>
          <w:rFonts w:cs="Arial"/>
          <w:b/>
          <w:noProof/>
          <w:spacing w:val="-14"/>
          <w:sz w:val="28"/>
        </w:rPr>
        <w:fldChar w:fldCharType="end"/>
      </w:r>
    </w:p>
    <w:p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rsidR="00504BF3" w:rsidRPr="000D76E0" w:rsidRDefault="00504BF3" w:rsidP="00504BF3">
      <w:pPr>
        <w:pStyle w:val="Heading1"/>
        <w:numPr>
          <w:ilvl w:val="0"/>
          <w:numId w:val="46"/>
        </w:numPr>
      </w:pPr>
      <w:bookmarkStart w:id="1" w:name="_Toc400965212"/>
      <w:bookmarkStart w:id="2" w:name="_Toc426099798"/>
      <w:r>
        <w:lastRenderedPageBreak/>
        <w:t>Introduction</w:t>
      </w:r>
      <w:bookmarkEnd w:id="1"/>
      <w:bookmarkEnd w:id="2"/>
      <w:r w:rsidRPr="00FF3C69">
        <w:t xml:space="preserve"> </w:t>
      </w:r>
    </w:p>
    <w:p w:rsidR="00504BF3" w:rsidRPr="00DF1CB8" w:rsidRDefault="00504BF3" w:rsidP="00504BF3">
      <w:pPr>
        <w:pStyle w:val="Heading2"/>
      </w:pPr>
      <w:bookmarkStart w:id="3" w:name="_Toc400965213"/>
      <w:bookmarkStart w:id="4" w:name="_Toc426099799"/>
      <w:r w:rsidRPr="00DF1CB8">
        <w:t>1.1</w:t>
      </w:r>
      <w:r w:rsidRPr="00DF1CB8">
        <w:tab/>
        <w:t>Purpose of the Cost Recovery Implementation Statement</w:t>
      </w:r>
      <w:bookmarkEnd w:id="3"/>
      <w:bookmarkEnd w:id="4"/>
    </w:p>
    <w:p w:rsidR="00504BF3" w:rsidRPr="00DF1CB8" w:rsidRDefault="00504BF3" w:rsidP="00504BF3">
      <w:pPr>
        <w:rPr>
          <w:rFonts w:cs="Arial"/>
        </w:rPr>
      </w:pPr>
      <w:r w:rsidRPr="00DF1CB8">
        <w:rPr>
          <w:rFonts w:cs="Arial"/>
        </w:rPr>
        <w:t>This Cost Recovery Implementation Statement (CRIS) provides information on how the Australian Communications and Media Authority (the ACMA) implements cost recovery for its radiocommunications, telecommunications and broadcasting services. Particularly</w:t>
      </w:r>
      <w:r>
        <w:rPr>
          <w:rFonts w:cs="Arial"/>
        </w:rPr>
        <w:t>,</w:t>
      </w:r>
      <w:r w:rsidRPr="00DF1CB8">
        <w:rPr>
          <w:rFonts w:cs="Arial"/>
        </w:rPr>
        <w:t xml:space="preserve"> it documents the changes made to its radiocommunications activities outlined in Attachment A. It also reports financial performance for these activities and contains financial forecasts for this year and three forward years. The ACMA will maintain the CRIS until the activities or cost recovery for the activities have been discontinued.</w:t>
      </w:r>
    </w:p>
    <w:p w:rsidR="00504BF3" w:rsidRPr="00DF1CB8" w:rsidRDefault="00504BF3" w:rsidP="00504BF3">
      <w:pPr>
        <w:rPr>
          <w:rFonts w:cs="Arial"/>
        </w:rPr>
      </w:pPr>
      <w:r w:rsidRPr="00DF1CB8">
        <w:rPr>
          <w:rFonts w:cs="Arial"/>
        </w:rPr>
        <w:t>Attachment A provides a list of fees for radiocommunications activities that have been subjected to change. Attachment B lists radiocommunications, telecommunications and broadcasting services fees that are not affected by the change.</w:t>
      </w:r>
    </w:p>
    <w:p w:rsidR="00504BF3" w:rsidRPr="00DF1CB8" w:rsidRDefault="00504BF3" w:rsidP="00504BF3">
      <w:pPr>
        <w:pStyle w:val="Heading2"/>
      </w:pPr>
      <w:bookmarkStart w:id="5" w:name="_Toc400965214"/>
      <w:bookmarkStart w:id="6" w:name="_Toc426099800"/>
      <w:r w:rsidRPr="00DF1CB8">
        <w:t>1.2</w:t>
      </w:r>
      <w:r w:rsidRPr="00DF1CB8">
        <w:tab/>
        <w:t>Background</w:t>
      </w:r>
      <w:bookmarkEnd w:id="5"/>
      <w:bookmarkEnd w:id="6"/>
    </w:p>
    <w:p w:rsidR="00504BF3" w:rsidRPr="00DF1CB8" w:rsidRDefault="00504BF3" w:rsidP="00504BF3">
      <w:pPr>
        <w:rPr>
          <w:rFonts w:cs="Arial"/>
        </w:rPr>
      </w:pPr>
      <w:r w:rsidRPr="00DF1CB8">
        <w:rPr>
          <w:rFonts w:cs="Arial"/>
        </w:rPr>
        <w:t>The ACMA is a statutory authority within the federal government portfolio of the Department of Communications</w:t>
      </w:r>
      <w:r>
        <w:rPr>
          <w:rFonts w:cs="Arial"/>
        </w:rPr>
        <w:t>,</w:t>
      </w:r>
      <w:r w:rsidRPr="00DF1CB8">
        <w:rPr>
          <w:rFonts w:cs="Arial"/>
        </w:rPr>
        <w:t xml:space="preserve"> and is responsible for the regulation of radiocommunications, telecommunications and broadcasting services.</w:t>
      </w:r>
    </w:p>
    <w:p w:rsidR="00504BF3" w:rsidRPr="00DF1CB8" w:rsidRDefault="00504BF3" w:rsidP="00504BF3">
      <w:pPr>
        <w:spacing w:after="80"/>
        <w:rPr>
          <w:rFonts w:cs="Arial"/>
        </w:rPr>
      </w:pPr>
      <w:r w:rsidRPr="00DF1CB8">
        <w:rPr>
          <w:rFonts w:cs="Arial"/>
        </w:rPr>
        <w:t>The ACMA’s activities include:</w:t>
      </w:r>
    </w:p>
    <w:p w:rsidR="00504BF3" w:rsidRPr="00DF1CB8" w:rsidRDefault="00504BF3" w:rsidP="00504BF3">
      <w:pPr>
        <w:pStyle w:val="ListBullet"/>
      </w:pPr>
      <w:r w:rsidRPr="00DF1CB8">
        <w:t>regulating telecommunications and broadcasting services, internet content and datacasting services</w:t>
      </w:r>
    </w:p>
    <w:p w:rsidR="00504BF3" w:rsidRPr="00DF1CB8" w:rsidRDefault="00504BF3" w:rsidP="00504BF3">
      <w:pPr>
        <w:pStyle w:val="ListBullet"/>
      </w:pPr>
      <w:r w:rsidRPr="00DF1CB8">
        <w:t>managing access to radiofrequency spectrum bands through radiocommunications licence arrangements, and resolving competing demands for that spectrum through price-based allocation methods</w:t>
      </w:r>
    </w:p>
    <w:p w:rsidR="00504BF3" w:rsidRPr="00DF1CB8" w:rsidRDefault="00504BF3" w:rsidP="00504BF3">
      <w:pPr>
        <w:pStyle w:val="ListBullet"/>
      </w:pPr>
      <w:r w:rsidRPr="00DF1CB8">
        <w:t>planning the availability of segments of radiofrequency spectrum bands used by broadcasting services, and managing access to that spectrum through broadcasting licence arrangements</w:t>
      </w:r>
    </w:p>
    <w:p w:rsidR="00504BF3" w:rsidRPr="00DF1CB8" w:rsidRDefault="00504BF3" w:rsidP="00504BF3">
      <w:pPr>
        <w:pStyle w:val="ListBullet"/>
      </w:pPr>
      <w:r w:rsidRPr="00DF1CB8">
        <w:t>regulating compliance with the relevant legislation, licence conditions, codes of practice, standards, service guarantees and other safeguards</w:t>
      </w:r>
    </w:p>
    <w:p w:rsidR="00504BF3" w:rsidRPr="00DF1CB8" w:rsidRDefault="00504BF3" w:rsidP="00504BF3">
      <w:pPr>
        <w:pStyle w:val="ListBullet"/>
      </w:pPr>
      <w:r w:rsidRPr="00DF1CB8">
        <w:t>promoting and facilitating industry self-regulatory and co-regulatory solutions to emerging issues</w:t>
      </w:r>
    </w:p>
    <w:p w:rsidR="00504BF3" w:rsidRPr="00DF1CB8" w:rsidRDefault="00504BF3" w:rsidP="00504BF3">
      <w:pPr>
        <w:pStyle w:val="ListBullet"/>
      </w:pPr>
      <w:r w:rsidRPr="00DF1CB8">
        <w:t>facilitating the provision of community information to promote informed decisions about communications products and services</w:t>
      </w:r>
    </w:p>
    <w:p w:rsidR="00504BF3" w:rsidRPr="00DF1CB8" w:rsidRDefault="00504BF3" w:rsidP="00504BF3">
      <w:pPr>
        <w:pStyle w:val="ListBullet"/>
      </w:pPr>
      <w:r w:rsidRPr="00DF1CB8">
        <w:t>reporting on matters relating to the communications industry, including its performance</w:t>
      </w:r>
    </w:p>
    <w:p w:rsidR="00504BF3" w:rsidRPr="00DF1CB8" w:rsidRDefault="00504BF3" w:rsidP="00504BF3">
      <w:pPr>
        <w:pStyle w:val="ListBullet"/>
      </w:pPr>
      <w:r w:rsidRPr="00DF1CB8">
        <w:t>representing Australia’s communications interests internationally</w:t>
      </w:r>
    </w:p>
    <w:p w:rsidR="00504BF3" w:rsidRPr="00DF1CB8" w:rsidRDefault="00504BF3" w:rsidP="00504BF3">
      <w:pPr>
        <w:pStyle w:val="ListBullet"/>
        <w:spacing w:after="240"/>
      </w:pPr>
      <w:r w:rsidRPr="00DF1CB8">
        <w:t>advising the government on specific matters from time to time.</w:t>
      </w:r>
    </w:p>
    <w:p w:rsidR="00504BF3" w:rsidRPr="00DF1CB8" w:rsidRDefault="00504BF3" w:rsidP="00504BF3">
      <w:pPr>
        <w:rPr>
          <w:rFonts w:cs="Arial"/>
        </w:rPr>
      </w:pPr>
      <w:r w:rsidRPr="00DF1CB8">
        <w:rPr>
          <w:rFonts w:cs="Arial"/>
        </w:rPr>
        <w:t>The ACMA is in the process of introducing a new suite of engineering and licensing tools to replace its current radiocommunications licence management system. Accordingly</w:t>
      </w:r>
      <w:r>
        <w:rPr>
          <w:rFonts w:cs="Arial"/>
        </w:rPr>
        <w:t>,</w:t>
      </w:r>
      <w:r w:rsidRPr="00DF1CB8">
        <w:rPr>
          <w:rFonts w:cs="Arial"/>
        </w:rPr>
        <w:t xml:space="preserve"> the changes only </w:t>
      </w:r>
      <w:r>
        <w:rPr>
          <w:rFonts w:cs="Arial"/>
        </w:rPr>
        <w:t>affect</w:t>
      </w:r>
      <w:r w:rsidRPr="00DF1CB8">
        <w:rPr>
          <w:rFonts w:cs="Arial"/>
        </w:rPr>
        <w:t xml:space="preserve"> radiocommunications apparatus and spectrum licence activities that are subject to a variable rate charging regime and not to telecommunications or broadcasting activities. This latest technology will automate a significant percentage of both the frequency assigning and licensing processes, which will improve the ACMA’s business processes and response times, and improve the overall customer experience. </w:t>
      </w:r>
    </w:p>
    <w:p w:rsidR="00504BF3" w:rsidRPr="00DF1CB8" w:rsidRDefault="00504BF3" w:rsidP="00504BF3">
      <w:pPr>
        <w:rPr>
          <w:rFonts w:cs="Arial"/>
        </w:rPr>
      </w:pPr>
      <w:r w:rsidRPr="00DF1CB8">
        <w:rPr>
          <w:rFonts w:cs="Arial"/>
        </w:rPr>
        <w:lastRenderedPageBreak/>
        <w:t>The introduction of these tools will not themselves facilitate internet</w:t>
      </w:r>
      <w:r>
        <w:rPr>
          <w:rFonts w:cs="Arial"/>
        </w:rPr>
        <w:t>-</w:t>
      </w:r>
      <w:r w:rsidRPr="00DF1CB8">
        <w:rPr>
          <w:rFonts w:cs="Arial"/>
        </w:rPr>
        <w:t>based licence processing (that is</w:t>
      </w:r>
      <w:r>
        <w:rPr>
          <w:rFonts w:cs="Arial"/>
        </w:rPr>
        <w:t>,</w:t>
      </w:r>
      <w:r w:rsidRPr="00DF1CB8">
        <w:rPr>
          <w:rFonts w:cs="Arial"/>
        </w:rPr>
        <w:t xml:space="preserve"> e-licensing). However, the tools are being designed with a view to making e-licensing a possibility in the future. One of the important steps to enable an e-licensing environment is to have as many standardised aspects of the process as possible.  </w:t>
      </w:r>
    </w:p>
    <w:p w:rsidR="00504BF3" w:rsidRPr="00DF1CB8" w:rsidRDefault="00504BF3" w:rsidP="00504BF3">
      <w:pPr>
        <w:rPr>
          <w:rFonts w:cs="Arial"/>
        </w:rPr>
      </w:pPr>
      <w:r w:rsidRPr="00DF1CB8">
        <w:rPr>
          <w:rFonts w:cs="Arial"/>
        </w:rPr>
        <w:t>The variable rate charging regime considers the time taken to review an application, assign a frequency and allocate the licence. As the use of variable rates complicates the automation processes, variable rates have been converted into standard rates for apparatus and spectrum licences</w:t>
      </w:r>
      <w:r>
        <w:rPr>
          <w:rFonts w:cs="Arial"/>
        </w:rPr>
        <w:t>,</w:t>
      </w:r>
      <w:r w:rsidRPr="00DF1CB8">
        <w:rPr>
          <w:rFonts w:cs="Arial"/>
        </w:rPr>
        <w:t xml:space="preserve"> as outlined in Attachment A.</w:t>
      </w:r>
    </w:p>
    <w:p w:rsidR="00504BF3" w:rsidRPr="00DF1CB8" w:rsidRDefault="00504BF3" w:rsidP="00504BF3">
      <w:pPr>
        <w:rPr>
          <w:rFonts w:cs="Arial"/>
        </w:rPr>
      </w:pPr>
      <w:r w:rsidRPr="00DF1CB8">
        <w:rPr>
          <w:rFonts w:cs="Arial"/>
        </w:rPr>
        <w:t>In addition, the ACMA proposes to provide more affordable apparatus licensing fee arrangements in the 520</w:t>
      </w:r>
      <w:r>
        <w:rPr>
          <w:rFonts w:cs="Arial"/>
        </w:rPr>
        <w:t>–</w:t>
      </w:r>
      <w:r w:rsidRPr="00DF1CB8">
        <w:rPr>
          <w:rFonts w:cs="Arial"/>
        </w:rPr>
        <w:t xml:space="preserve">694 MHz band for professional wireless audio transmitter operators at major venues. </w:t>
      </w:r>
    </w:p>
    <w:p w:rsidR="00504BF3" w:rsidRPr="00DF1CB8" w:rsidRDefault="00504BF3" w:rsidP="00504BF3">
      <w:pPr>
        <w:rPr>
          <w:rFonts w:cs="Arial"/>
        </w:rPr>
      </w:pPr>
      <w:r w:rsidRPr="00DF1CB8">
        <w:rPr>
          <w:rFonts w:cs="Arial"/>
        </w:rPr>
        <w:t>Wireless audio transmitters currently operate under the Radiocommunications (Low Interference Potential Devices) Class Licence 2000 (LIPD Class Licence) under several frequency bands including the 520–820 MHz. From 1 January 2015, wireless audio transmitters will be unable to operate in the 694–820 MHz (digital dividend) frequencies but could use the 520–694 MHz under the authorisation of the LIPD Class Licence.</w:t>
      </w:r>
    </w:p>
    <w:p w:rsidR="00504BF3" w:rsidRPr="00DF1CB8" w:rsidRDefault="00504BF3" w:rsidP="00504BF3">
      <w:pPr>
        <w:rPr>
          <w:rFonts w:cs="Arial"/>
        </w:rPr>
      </w:pPr>
      <w:r w:rsidRPr="00DF1CB8">
        <w:rPr>
          <w:rFonts w:cs="Arial"/>
        </w:rPr>
        <w:t xml:space="preserve">Wireless audio operators may also apply for an apparatus licence in the 520–694 MHz band to authorise wireless audio transmitters to operate on a ‘no interference, no protection’ basis in the broadcasting services bands in a determination made under subsection 31(2) of the </w:t>
      </w:r>
      <w:r w:rsidRPr="00DF1CB8">
        <w:rPr>
          <w:rFonts w:cs="Arial"/>
          <w:i/>
        </w:rPr>
        <w:t>Radiocommunications Act 1992</w:t>
      </w:r>
      <w:r w:rsidRPr="00DF1CB8">
        <w:rPr>
          <w:rFonts w:cs="Arial"/>
        </w:rPr>
        <w:t>. However the licence fees applicable for a system of wireless audio transmitters under the current apparatus licence fee regime are prohibitive given the operational restrictions on wireless microphones and usage.</w:t>
      </w:r>
    </w:p>
    <w:p w:rsidR="00504BF3" w:rsidRPr="00DF1CB8" w:rsidRDefault="00504BF3" w:rsidP="00504BF3">
      <w:pPr>
        <w:rPr>
          <w:rFonts w:cs="Arial"/>
        </w:rPr>
      </w:pPr>
      <w:r w:rsidRPr="00DF1CB8">
        <w:rPr>
          <w:rFonts w:cs="Arial"/>
        </w:rPr>
        <w:t>In order to reflect the taxation arrangements and technical conditions (</w:t>
      </w:r>
      <w:r>
        <w:rPr>
          <w:rFonts w:cs="Arial"/>
        </w:rPr>
        <w:t>for example,</w:t>
      </w:r>
      <w:r w:rsidRPr="00DF1CB8">
        <w:rPr>
          <w:rFonts w:cs="Arial"/>
        </w:rPr>
        <w:t xml:space="preserve"> emission bandwidth and power level) that are pertinent to a wireless audio system, the ACMA has to distinguish between a wireless audio system and land mobile ambulatory system in the Radiocommunications (Transmitter Licence Tax) Determination 2003 (No. 2). A similar change is therefore proposed in the Radiocommunications (Charges) Determination 2007 (Radiocommunications Determination). </w:t>
      </w:r>
    </w:p>
    <w:p w:rsidR="00504BF3" w:rsidRPr="00DF1CB8" w:rsidRDefault="00504BF3" w:rsidP="00504BF3">
      <w:pPr>
        <w:rPr>
          <w:rFonts w:cs="Arial"/>
        </w:rPr>
      </w:pPr>
      <w:r w:rsidRPr="00DF1CB8">
        <w:rPr>
          <w:rFonts w:cs="Arial"/>
        </w:rPr>
        <w:t xml:space="preserve">The policy objective of recovering the service costs ensures that those who use the </w:t>
      </w:r>
      <w:r>
        <w:rPr>
          <w:rFonts w:cs="Arial"/>
        </w:rPr>
        <w:t>g</w:t>
      </w:r>
      <w:r w:rsidRPr="00DF1CB8">
        <w:rPr>
          <w:rFonts w:cs="Arial"/>
        </w:rPr>
        <w:t>overnment services meet the costs of these activities. The ACMA reviewed its existing activities to assess the ongoing requirement for the activity and the appropriateness of the current level and application of fees. The review has been undertaken in the context of existing legislation that has established the ACMA’s powers to recover the costs of its activities.  </w:t>
      </w:r>
    </w:p>
    <w:p w:rsidR="00504BF3" w:rsidRPr="00DF1CB8" w:rsidRDefault="00504BF3" w:rsidP="00504BF3">
      <w:pPr>
        <w:pStyle w:val="Heading1"/>
      </w:pPr>
      <w:bookmarkStart w:id="7" w:name="_Toc400965215"/>
      <w:bookmarkStart w:id="8" w:name="_Toc426099801"/>
      <w:r w:rsidRPr="00DF1CB8">
        <w:lastRenderedPageBreak/>
        <w:t>2</w:t>
      </w:r>
      <w:r>
        <w:t>.</w:t>
      </w:r>
      <w:r w:rsidRPr="00DF1CB8">
        <w:tab/>
        <w:t>Policy and statutory authority to cost recover</w:t>
      </w:r>
      <w:bookmarkEnd w:id="7"/>
      <w:bookmarkEnd w:id="8"/>
    </w:p>
    <w:p w:rsidR="00504BF3" w:rsidRPr="00DF1CB8" w:rsidRDefault="00504BF3" w:rsidP="00504BF3">
      <w:pPr>
        <w:pStyle w:val="Heading2"/>
      </w:pPr>
      <w:bookmarkStart w:id="9" w:name="_Toc400965216"/>
      <w:bookmarkStart w:id="10" w:name="_Toc426099802"/>
      <w:r w:rsidRPr="00DF1CB8">
        <w:t>2.1</w:t>
      </w:r>
      <w:r w:rsidRPr="00DF1CB8">
        <w:tab/>
        <w:t>Government policy approval to cost recover the activity</w:t>
      </w:r>
      <w:bookmarkEnd w:id="9"/>
      <w:bookmarkEnd w:id="10"/>
    </w:p>
    <w:p w:rsidR="00504BF3" w:rsidRPr="00DF1CB8" w:rsidRDefault="00504BF3" w:rsidP="00504BF3">
      <w:pPr>
        <w:rPr>
          <w:rFonts w:cs="Arial"/>
        </w:rPr>
      </w:pPr>
      <w:r w:rsidRPr="00DF1CB8">
        <w:rPr>
          <w:rFonts w:cs="Arial"/>
        </w:rPr>
        <w:t>In 2007</w:t>
      </w:r>
      <w:r>
        <w:rPr>
          <w:rFonts w:cs="Arial"/>
        </w:rPr>
        <w:t>–</w:t>
      </w:r>
      <w:r w:rsidRPr="00DF1CB8">
        <w:rPr>
          <w:rFonts w:cs="Arial"/>
        </w:rPr>
        <w:t xml:space="preserve">08, the </w:t>
      </w:r>
      <w:r>
        <w:rPr>
          <w:rFonts w:cs="Arial"/>
        </w:rPr>
        <w:t>g</w:t>
      </w:r>
      <w:r w:rsidRPr="00DF1CB8">
        <w:rPr>
          <w:rFonts w:cs="Arial"/>
        </w:rPr>
        <w:t xml:space="preserve">overnment agreed to the continuing cost recovery arrangements for the activities listed in </w:t>
      </w:r>
      <w:r>
        <w:rPr>
          <w:rFonts w:cs="Arial"/>
        </w:rPr>
        <w:t>a</w:t>
      </w:r>
      <w:r w:rsidRPr="00DF1CB8">
        <w:rPr>
          <w:rFonts w:cs="Arial"/>
        </w:rPr>
        <w:t xml:space="preserve">ttachments A and B. </w:t>
      </w:r>
    </w:p>
    <w:p w:rsidR="00504BF3" w:rsidRPr="00DF1CB8" w:rsidRDefault="00504BF3" w:rsidP="00504BF3">
      <w:pPr>
        <w:pStyle w:val="Heading2"/>
      </w:pPr>
      <w:bookmarkStart w:id="11" w:name="_Toc400965217"/>
      <w:bookmarkStart w:id="12" w:name="_Toc426099803"/>
      <w:r w:rsidRPr="00DF1CB8">
        <w:t>2.2</w:t>
      </w:r>
      <w:r w:rsidRPr="00DF1CB8">
        <w:tab/>
        <w:t>Statutory authority to impose cost recovery charge</w:t>
      </w:r>
      <w:bookmarkEnd w:id="11"/>
      <w:bookmarkEnd w:id="12"/>
    </w:p>
    <w:p w:rsidR="00504BF3" w:rsidRDefault="00504BF3" w:rsidP="00504BF3">
      <w:pPr>
        <w:rPr>
          <w:rFonts w:cs="Arial"/>
        </w:rPr>
      </w:pPr>
      <w:r w:rsidRPr="00DF1CB8">
        <w:rPr>
          <w:rFonts w:cs="Arial"/>
        </w:rPr>
        <w:t xml:space="preserve">Under section 60 of the </w:t>
      </w:r>
      <w:r w:rsidRPr="00DF1CB8">
        <w:rPr>
          <w:rFonts w:cs="Arial"/>
          <w:i/>
        </w:rPr>
        <w:t>Australian Communications and Media Authority Act 2005</w:t>
      </w:r>
      <w:r w:rsidRPr="00DF1CB8">
        <w:rPr>
          <w:rFonts w:cs="Arial"/>
        </w:rPr>
        <w:t xml:space="preserve"> (the ACMA Act), the ACMA may, by written instrument make determinations fixing charges for services provided by the ACMA and in relation to any matter in which expenses are incurred by the ACMA under the specified pieces of legislation. Specific provisions of the </w:t>
      </w:r>
      <w:r w:rsidRPr="003E0C44">
        <w:rPr>
          <w:rFonts w:cs="Arial"/>
        </w:rPr>
        <w:t>Radiocommunications Act</w:t>
      </w:r>
      <w:r w:rsidRPr="00D57A45">
        <w:rPr>
          <w:rFonts w:cs="Arial"/>
          <w:i/>
        </w:rPr>
        <w:t xml:space="preserve"> </w:t>
      </w:r>
      <w:r w:rsidRPr="00DF1CB8">
        <w:rPr>
          <w:rFonts w:cs="Arial"/>
        </w:rPr>
        <w:t xml:space="preserve">and the </w:t>
      </w:r>
      <w:r w:rsidRPr="00D57A45">
        <w:rPr>
          <w:rFonts w:cs="Arial"/>
          <w:i/>
        </w:rPr>
        <w:t>Telecommunications (Carrier Licences Charges) Act 1997</w:t>
      </w:r>
      <w:r w:rsidRPr="00DF1CB8">
        <w:rPr>
          <w:rFonts w:cs="Arial"/>
        </w:rPr>
        <w:t xml:space="preserve"> also empower the ACMA to make instruments fixing charges. The ACMA has made the following charges determinations for the fees listed in </w:t>
      </w:r>
      <w:r>
        <w:rPr>
          <w:rFonts w:cs="Arial"/>
        </w:rPr>
        <w:t>a</w:t>
      </w:r>
      <w:r w:rsidRPr="00DF1CB8">
        <w:rPr>
          <w:rFonts w:cs="Arial"/>
        </w:rPr>
        <w:t>ttachments A and B.</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pPr>
            <w:r>
              <w:t xml:space="preserve">Table </w:t>
            </w:r>
            <w:fldSimple w:instr=" SEQ Table \* ARABIC ">
              <w:r>
                <w:rPr>
                  <w:noProof/>
                </w:rPr>
                <w:t>1</w:t>
              </w:r>
            </w:fldSimple>
            <w:r>
              <w:t xml:space="preserve"> </w:t>
            </w:r>
            <w:r w:rsidRPr="00D57A45">
              <w:t>List of legal instruments outlining fees for service</w:t>
            </w:r>
          </w:p>
        </w:tc>
      </w:tr>
      <w:tr w:rsidR="00504BF3" w:rsidTr="00806947">
        <w:trPr>
          <w:trHeight w:val="3086"/>
        </w:trPr>
        <w:tc>
          <w:tcPr>
            <w:tcW w:w="9645" w:type="dxa"/>
            <w:shd w:val="clear" w:color="auto" w:fill="auto"/>
            <w:tcMar>
              <w:left w:w="28" w:type="dxa"/>
            </w:tcMar>
          </w:tcPr>
          <w:tbl>
            <w:tblPr>
              <w:tblStyle w:val="TableGrid"/>
              <w:tblW w:w="0" w:type="auto"/>
              <w:tblLayout w:type="fixed"/>
              <w:tblLook w:val="04A0" w:firstRow="1" w:lastRow="0" w:firstColumn="1" w:lastColumn="0" w:noHBand="0" w:noVBand="1"/>
            </w:tblPr>
            <w:tblGrid>
              <w:gridCol w:w="676"/>
              <w:gridCol w:w="5728"/>
              <w:gridCol w:w="3203"/>
            </w:tblGrid>
            <w:tr w:rsidR="00504BF3" w:rsidTr="00504BF3">
              <w:trPr>
                <w:tblHeader/>
              </w:trPr>
              <w:tc>
                <w:tcPr>
                  <w:tcW w:w="676" w:type="dxa"/>
                  <w:shd w:val="clear" w:color="auto" w:fill="404040" w:themeFill="text1" w:themeFillTint="BF"/>
                </w:tcPr>
                <w:p w:rsidR="00504BF3" w:rsidRPr="00D57A45" w:rsidRDefault="00504BF3" w:rsidP="00806947">
                  <w:pPr>
                    <w:pStyle w:val="TableHeading"/>
                    <w:rPr>
                      <w:color w:val="FFFFFF" w:themeColor="background1"/>
                    </w:rPr>
                  </w:pPr>
                  <w:r w:rsidRPr="00D57A45">
                    <w:rPr>
                      <w:color w:val="FFFFFF" w:themeColor="background1"/>
                    </w:rPr>
                    <w:t>No</w:t>
                  </w:r>
                  <w:r>
                    <w:rPr>
                      <w:color w:val="FFFFFF" w:themeColor="background1"/>
                    </w:rPr>
                    <w:t>.</w:t>
                  </w:r>
                </w:p>
              </w:tc>
              <w:tc>
                <w:tcPr>
                  <w:tcW w:w="5728" w:type="dxa"/>
                  <w:shd w:val="clear" w:color="auto" w:fill="404040" w:themeFill="text1" w:themeFillTint="BF"/>
                </w:tcPr>
                <w:p w:rsidR="00504BF3" w:rsidRPr="00D57A45" w:rsidRDefault="00504BF3" w:rsidP="00806947">
                  <w:pPr>
                    <w:pStyle w:val="TableHeading"/>
                    <w:rPr>
                      <w:color w:val="FFFFFF" w:themeColor="background1"/>
                    </w:rPr>
                  </w:pPr>
                  <w:r w:rsidRPr="00D57A45">
                    <w:rPr>
                      <w:color w:val="FFFFFF" w:themeColor="background1"/>
                    </w:rPr>
                    <w:t>Determination</w:t>
                  </w:r>
                </w:p>
              </w:tc>
              <w:tc>
                <w:tcPr>
                  <w:tcW w:w="3203" w:type="dxa"/>
                  <w:shd w:val="clear" w:color="auto" w:fill="404040" w:themeFill="text1" w:themeFillTint="BF"/>
                </w:tcPr>
                <w:p w:rsidR="00504BF3" w:rsidRPr="00D57A45" w:rsidRDefault="00504BF3" w:rsidP="00806947">
                  <w:pPr>
                    <w:pStyle w:val="TableHeading"/>
                    <w:rPr>
                      <w:color w:val="FFFFFF" w:themeColor="background1"/>
                    </w:rPr>
                  </w:pPr>
                  <w:r w:rsidRPr="00D57A45">
                    <w:rPr>
                      <w:color w:val="FFFFFF" w:themeColor="background1"/>
                    </w:rPr>
                    <w:t>Made under</w:t>
                  </w:r>
                </w:p>
              </w:tc>
            </w:tr>
            <w:tr w:rsidR="00504BF3" w:rsidTr="00504BF3">
              <w:trPr>
                <w:tblHeader/>
              </w:trPr>
              <w:tc>
                <w:tcPr>
                  <w:tcW w:w="676" w:type="dxa"/>
                  <w:tcMar>
                    <w:top w:w="57" w:type="dxa"/>
                    <w:bottom w:w="57" w:type="dxa"/>
                  </w:tcMar>
                </w:tcPr>
                <w:p w:rsidR="00504BF3" w:rsidRDefault="00504BF3" w:rsidP="00806947">
                  <w:pPr>
                    <w:pStyle w:val="TableBody"/>
                  </w:pPr>
                  <w:r>
                    <w:t>1</w:t>
                  </w:r>
                </w:p>
              </w:tc>
              <w:tc>
                <w:tcPr>
                  <w:tcW w:w="5728" w:type="dxa"/>
                  <w:tcMar>
                    <w:top w:w="57" w:type="dxa"/>
                    <w:bottom w:w="57" w:type="dxa"/>
                  </w:tcMar>
                </w:tcPr>
                <w:p w:rsidR="00504BF3" w:rsidRDefault="00504BF3" w:rsidP="00806947">
                  <w:pPr>
                    <w:pStyle w:val="TableBody"/>
                  </w:pPr>
                  <w:r w:rsidRPr="00DF1CB8">
                    <w:rPr>
                      <w:rFonts w:cs="Arial"/>
                    </w:rPr>
                    <w:t>Radiocommunications (Charges) Determination 2007 (as amended by the Radiocommunications (Charges) Amendment Determination 2014 (No. 1))</w:t>
                  </w:r>
                </w:p>
              </w:tc>
              <w:tc>
                <w:tcPr>
                  <w:tcW w:w="3203" w:type="dxa"/>
                  <w:tcMar>
                    <w:top w:w="57" w:type="dxa"/>
                    <w:bottom w:w="57" w:type="dxa"/>
                  </w:tcMar>
                </w:tcPr>
                <w:p w:rsidR="00504BF3" w:rsidRDefault="00504BF3" w:rsidP="00806947">
                  <w:pPr>
                    <w:pStyle w:val="TableBody"/>
                  </w:pPr>
                  <w:r w:rsidRPr="00DF1CB8">
                    <w:rPr>
                      <w:rFonts w:cs="Arial"/>
                    </w:rPr>
                    <w:t>Section 60 of the ACMA Act</w:t>
                  </w:r>
                </w:p>
              </w:tc>
            </w:tr>
            <w:tr w:rsidR="00504BF3" w:rsidTr="00504BF3">
              <w:trPr>
                <w:tblHeader/>
              </w:trPr>
              <w:tc>
                <w:tcPr>
                  <w:tcW w:w="676" w:type="dxa"/>
                  <w:tcMar>
                    <w:top w:w="57" w:type="dxa"/>
                    <w:bottom w:w="57" w:type="dxa"/>
                  </w:tcMar>
                </w:tcPr>
                <w:p w:rsidR="00504BF3" w:rsidRDefault="00504BF3" w:rsidP="00806947">
                  <w:pPr>
                    <w:pStyle w:val="TableBody"/>
                  </w:pPr>
                  <w:r>
                    <w:t>2</w:t>
                  </w:r>
                </w:p>
              </w:tc>
              <w:tc>
                <w:tcPr>
                  <w:tcW w:w="5728" w:type="dxa"/>
                  <w:tcMar>
                    <w:top w:w="57" w:type="dxa"/>
                    <w:bottom w:w="57" w:type="dxa"/>
                  </w:tcMar>
                </w:tcPr>
                <w:p w:rsidR="00504BF3" w:rsidRDefault="00504BF3" w:rsidP="00806947">
                  <w:pPr>
                    <w:pStyle w:val="TableBody"/>
                  </w:pPr>
                  <w:r w:rsidRPr="00DF1CB8">
                    <w:rPr>
                      <w:rFonts w:cs="Arial"/>
                    </w:rPr>
                    <w:t>Radiocommunications (Digital Radio Multiplex Transmitter Licences – Application Fee) Determination 2012</w:t>
                  </w:r>
                </w:p>
              </w:tc>
              <w:tc>
                <w:tcPr>
                  <w:tcW w:w="3203" w:type="dxa"/>
                  <w:tcMar>
                    <w:top w:w="57" w:type="dxa"/>
                    <w:bottom w:w="57" w:type="dxa"/>
                  </w:tcMar>
                </w:tcPr>
                <w:p w:rsidR="00504BF3" w:rsidRDefault="00504BF3" w:rsidP="00806947">
                  <w:pPr>
                    <w:pStyle w:val="TableBody"/>
                  </w:pPr>
                  <w:r w:rsidRPr="00DF1CB8">
                    <w:rPr>
                      <w:rFonts w:cs="Arial"/>
                    </w:rPr>
                    <w:t xml:space="preserve">Paragraphs 102C(2)(b) and 102D(2)(b) of the </w:t>
                  </w:r>
                  <w:r w:rsidRPr="003E0C44">
                    <w:rPr>
                      <w:rFonts w:cs="Arial"/>
                    </w:rPr>
                    <w:t>Radiocommunications Act</w:t>
                  </w:r>
                  <w:r w:rsidRPr="00D57A45">
                    <w:rPr>
                      <w:rFonts w:cs="Arial"/>
                      <w:i/>
                    </w:rPr>
                    <w:t xml:space="preserve"> </w:t>
                  </w:r>
                </w:p>
              </w:tc>
            </w:tr>
            <w:tr w:rsidR="00504BF3" w:rsidTr="00504BF3">
              <w:trPr>
                <w:tblHeader/>
              </w:trPr>
              <w:tc>
                <w:tcPr>
                  <w:tcW w:w="676" w:type="dxa"/>
                  <w:tcMar>
                    <w:top w:w="57" w:type="dxa"/>
                    <w:bottom w:w="57" w:type="dxa"/>
                  </w:tcMar>
                </w:tcPr>
                <w:p w:rsidR="00504BF3" w:rsidRDefault="00504BF3" w:rsidP="00806947">
                  <w:pPr>
                    <w:pStyle w:val="TableBody"/>
                  </w:pPr>
                  <w:r>
                    <w:t>3</w:t>
                  </w:r>
                </w:p>
              </w:tc>
              <w:tc>
                <w:tcPr>
                  <w:tcW w:w="5728" w:type="dxa"/>
                  <w:tcMar>
                    <w:top w:w="57" w:type="dxa"/>
                    <w:bottom w:w="57" w:type="dxa"/>
                  </w:tcMar>
                </w:tcPr>
                <w:p w:rsidR="00504BF3" w:rsidRDefault="00504BF3" w:rsidP="00806947">
                  <w:pPr>
                    <w:pStyle w:val="TableBody"/>
                  </w:pPr>
                  <w:r w:rsidRPr="00DF1CB8">
                    <w:rPr>
                      <w:rFonts w:cs="Arial"/>
                    </w:rPr>
                    <w:t>Telecommunications (Charges) Determination 2012</w:t>
                  </w:r>
                </w:p>
              </w:tc>
              <w:tc>
                <w:tcPr>
                  <w:tcW w:w="3203" w:type="dxa"/>
                  <w:tcMar>
                    <w:top w:w="57" w:type="dxa"/>
                    <w:bottom w:w="57" w:type="dxa"/>
                  </w:tcMar>
                </w:tcPr>
                <w:p w:rsidR="00504BF3" w:rsidRDefault="00504BF3" w:rsidP="00806947">
                  <w:pPr>
                    <w:pStyle w:val="TableBody"/>
                  </w:pPr>
                  <w:r w:rsidRPr="00DF1CB8">
                    <w:rPr>
                      <w:rFonts w:cs="Arial"/>
                    </w:rPr>
                    <w:t>Section 60 of the ACMA Act</w:t>
                  </w:r>
                </w:p>
              </w:tc>
            </w:tr>
            <w:tr w:rsidR="00504BF3" w:rsidTr="00504BF3">
              <w:trPr>
                <w:tblHeader/>
              </w:trPr>
              <w:tc>
                <w:tcPr>
                  <w:tcW w:w="676" w:type="dxa"/>
                  <w:tcMar>
                    <w:top w:w="57" w:type="dxa"/>
                    <w:bottom w:w="57" w:type="dxa"/>
                  </w:tcMar>
                </w:tcPr>
                <w:p w:rsidR="00504BF3" w:rsidRDefault="00504BF3" w:rsidP="00806947">
                  <w:pPr>
                    <w:pStyle w:val="TableBody"/>
                  </w:pPr>
                  <w:r>
                    <w:t>4</w:t>
                  </w:r>
                </w:p>
              </w:tc>
              <w:tc>
                <w:tcPr>
                  <w:tcW w:w="5728" w:type="dxa"/>
                  <w:tcMar>
                    <w:top w:w="57" w:type="dxa"/>
                    <w:bottom w:w="57" w:type="dxa"/>
                  </w:tcMar>
                </w:tcPr>
                <w:p w:rsidR="00504BF3" w:rsidRDefault="00504BF3" w:rsidP="00806947">
                  <w:pPr>
                    <w:pStyle w:val="TableBody"/>
                  </w:pPr>
                  <w:r w:rsidRPr="00DF1CB8">
                    <w:rPr>
                      <w:rFonts w:cs="Arial"/>
                    </w:rPr>
                    <w:t>Telecommunications (Free-phone and Local Rate Numbers Auctions – Registration Charge) Determination 2007</w:t>
                  </w:r>
                </w:p>
              </w:tc>
              <w:tc>
                <w:tcPr>
                  <w:tcW w:w="3203" w:type="dxa"/>
                  <w:tcMar>
                    <w:top w:w="57" w:type="dxa"/>
                    <w:bottom w:w="57" w:type="dxa"/>
                  </w:tcMar>
                </w:tcPr>
                <w:p w:rsidR="00504BF3" w:rsidRDefault="00504BF3" w:rsidP="00806947">
                  <w:pPr>
                    <w:pStyle w:val="TableBody"/>
                  </w:pPr>
                  <w:r w:rsidRPr="00DF1CB8">
                    <w:rPr>
                      <w:rFonts w:cs="Arial"/>
                    </w:rPr>
                    <w:t>Section 60 of the ACMA Act</w:t>
                  </w:r>
                </w:p>
              </w:tc>
            </w:tr>
            <w:tr w:rsidR="00504BF3" w:rsidTr="00504BF3">
              <w:trPr>
                <w:tblHeader/>
              </w:trPr>
              <w:tc>
                <w:tcPr>
                  <w:tcW w:w="676" w:type="dxa"/>
                  <w:tcMar>
                    <w:top w:w="57" w:type="dxa"/>
                    <w:bottom w:w="57" w:type="dxa"/>
                  </w:tcMar>
                </w:tcPr>
                <w:p w:rsidR="00504BF3" w:rsidRDefault="00504BF3" w:rsidP="00806947">
                  <w:pPr>
                    <w:pStyle w:val="TableBody"/>
                  </w:pPr>
                  <w:r>
                    <w:t>5</w:t>
                  </w:r>
                </w:p>
              </w:tc>
              <w:tc>
                <w:tcPr>
                  <w:tcW w:w="5728" w:type="dxa"/>
                  <w:tcMar>
                    <w:top w:w="57" w:type="dxa"/>
                    <w:bottom w:w="57" w:type="dxa"/>
                  </w:tcMar>
                </w:tcPr>
                <w:p w:rsidR="00504BF3" w:rsidRPr="00DF1CB8" w:rsidRDefault="00504BF3" w:rsidP="00806947">
                  <w:pPr>
                    <w:pStyle w:val="TableBody"/>
                    <w:rPr>
                      <w:rFonts w:cs="Arial"/>
                    </w:rPr>
                  </w:pPr>
                  <w:r w:rsidRPr="00DF1CB8">
                    <w:rPr>
                      <w:rFonts w:cs="Arial"/>
                    </w:rPr>
                    <w:t>Broadcasting (Charges) Determination 2007</w:t>
                  </w:r>
                </w:p>
                <w:p w:rsidR="00504BF3" w:rsidRDefault="00504BF3" w:rsidP="00806947">
                  <w:pPr>
                    <w:pStyle w:val="TableBody"/>
                  </w:pPr>
                  <w:r w:rsidRPr="00DF1CB8">
                    <w:rPr>
                      <w:rFonts w:cs="Arial"/>
                    </w:rPr>
                    <w:t>(as amended by the Broadcasting (Charges) Amendment Determination 2012 (No. 1))</w:t>
                  </w:r>
                </w:p>
              </w:tc>
              <w:tc>
                <w:tcPr>
                  <w:tcW w:w="3203" w:type="dxa"/>
                  <w:tcMar>
                    <w:top w:w="57" w:type="dxa"/>
                    <w:bottom w:w="57" w:type="dxa"/>
                  </w:tcMar>
                </w:tcPr>
                <w:p w:rsidR="00504BF3" w:rsidRDefault="00504BF3" w:rsidP="00806947">
                  <w:pPr>
                    <w:pStyle w:val="TableBody"/>
                  </w:pPr>
                  <w:r w:rsidRPr="00DF1CB8">
                    <w:rPr>
                      <w:rFonts w:cs="Arial"/>
                    </w:rPr>
                    <w:t xml:space="preserve">Section 60 of the ACMA Act </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Default="00504BF3" w:rsidP="00504BF3">
      <w:pPr>
        <w:rPr>
          <w:rFonts w:cs="Arial"/>
        </w:rPr>
      </w:pPr>
    </w:p>
    <w:p w:rsidR="00504BF3" w:rsidRPr="00DF1CB8" w:rsidRDefault="00504BF3" w:rsidP="00504BF3">
      <w:pPr>
        <w:pStyle w:val="Heading1"/>
      </w:pPr>
      <w:bookmarkStart w:id="13" w:name="_Toc400965218"/>
      <w:bookmarkStart w:id="14" w:name="_Toc426099804"/>
      <w:r w:rsidRPr="00DF1CB8">
        <w:lastRenderedPageBreak/>
        <w:t>3</w:t>
      </w:r>
      <w:r>
        <w:t>.</w:t>
      </w:r>
      <w:r w:rsidRPr="00DF1CB8">
        <w:tab/>
        <w:t>Cost recovery model</w:t>
      </w:r>
      <w:bookmarkEnd w:id="13"/>
      <w:bookmarkEnd w:id="14"/>
    </w:p>
    <w:p w:rsidR="00504BF3" w:rsidRPr="00DF1CB8" w:rsidRDefault="00504BF3" w:rsidP="00504BF3">
      <w:pPr>
        <w:pStyle w:val="Heading2"/>
      </w:pPr>
      <w:bookmarkStart w:id="15" w:name="_Toc400965219"/>
      <w:bookmarkStart w:id="16" w:name="_Toc426099805"/>
      <w:r w:rsidRPr="00DF1CB8">
        <w:t>3.1</w:t>
      </w:r>
      <w:r w:rsidRPr="00DF1CB8">
        <w:tab/>
        <w:t>Outputs of the activity</w:t>
      </w:r>
      <w:bookmarkEnd w:id="15"/>
      <w:bookmarkEnd w:id="16"/>
    </w:p>
    <w:p w:rsidR="00504BF3" w:rsidRPr="00DF1CB8" w:rsidRDefault="00504BF3" w:rsidP="00504BF3">
      <w:pPr>
        <w:pStyle w:val="Heading3"/>
      </w:pPr>
      <w:bookmarkStart w:id="17" w:name="_Toc400965220"/>
      <w:bookmarkStart w:id="18" w:name="_Toc426099806"/>
      <w:r>
        <w:t>3.1.1</w:t>
      </w:r>
      <w:r>
        <w:tab/>
      </w:r>
      <w:r w:rsidRPr="00FC2A10">
        <w:t>Radiocommunications</w:t>
      </w:r>
      <w:r w:rsidRPr="00DF1CB8">
        <w:t xml:space="preserve"> regulation, planning and licensing</w:t>
      </w:r>
      <w:bookmarkEnd w:id="17"/>
      <w:bookmarkEnd w:id="18"/>
      <w:r w:rsidRPr="00DF1CB8">
        <w:t xml:space="preserve"> </w:t>
      </w:r>
    </w:p>
    <w:p w:rsidR="00504BF3" w:rsidRPr="00DF1CB8" w:rsidRDefault="00504BF3" w:rsidP="00504BF3">
      <w:pPr>
        <w:rPr>
          <w:rFonts w:cs="Arial"/>
        </w:rPr>
      </w:pPr>
      <w:r w:rsidRPr="00DF1CB8">
        <w:rPr>
          <w:rFonts w:cs="Arial"/>
        </w:rPr>
        <w:t xml:space="preserve">This includes the changes made to radiocommunications activities as outlined in Attachment A, essentially in relation to issuing, transferring and renewing licences as a result of converting variable based fees to standard fees. </w:t>
      </w:r>
    </w:p>
    <w:p w:rsidR="00504BF3" w:rsidRPr="00DF1CB8" w:rsidRDefault="00504BF3" w:rsidP="00504BF3">
      <w:pPr>
        <w:pStyle w:val="Bodysubheader0"/>
      </w:pPr>
      <w:r w:rsidRPr="00DF1CB8">
        <w:t>Issue, transfer and renewals of radiocommunications licences</w:t>
      </w:r>
    </w:p>
    <w:p w:rsidR="00504BF3" w:rsidRPr="00DF1CB8" w:rsidRDefault="00504BF3" w:rsidP="00504BF3">
      <w:pPr>
        <w:spacing w:after="80"/>
        <w:rPr>
          <w:rFonts w:cs="Arial"/>
        </w:rPr>
      </w:pPr>
      <w:r w:rsidRPr="00DF1CB8">
        <w:rPr>
          <w:rFonts w:cs="Arial"/>
        </w:rPr>
        <w:t>The ACMA allocates or assigns access to radiofrequency spectrum through one of three types of licences:</w:t>
      </w:r>
    </w:p>
    <w:p w:rsidR="00504BF3" w:rsidRPr="00DF1CB8" w:rsidRDefault="00504BF3" w:rsidP="00504BF3">
      <w:pPr>
        <w:pStyle w:val="ListBullet"/>
      </w:pPr>
      <w:r>
        <w:t>a</w:t>
      </w:r>
      <w:r w:rsidRPr="00DF1CB8">
        <w:t>pparatus licences</w:t>
      </w:r>
    </w:p>
    <w:p w:rsidR="00504BF3" w:rsidRPr="00DF1CB8" w:rsidRDefault="00504BF3" w:rsidP="00504BF3">
      <w:pPr>
        <w:pStyle w:val="ListBullet"/>
      </w:pPr>
      <w:r>
        <w:t>s</w:t>
      </w:r>
      <w:r w:rsidRPr="00DF1CB8">
        <w:t>pectrum licences</w:t>
      </w:r>
    </w:p>
    <w:p w:rsidR="00504BF3" w:rsidRPr="00DF1CB8" w:rsidRDefault="00504BF3" w:rsidP="00504BF3">
      <w:pPr>
        <w:pStyle w:val="ListBullet"/>
        <w:spacing w:after="240"/>
      </w:pPr>
      <w:r>
        <w:t>c</w:t>
      </w:r>
      <w:r w:rsidRPr="00DF1CB8">
        <w:t>lass licences.</w:t>
      </w:r>
    </w:p>
    <w:p w:rsidR="00504BF3" w:rsidRPr="00D57A45" w:rsidRDefault="00504BF3" w:rsidP="00504BF3">
      <w:pPr>
        <w:pStyle w:val="ListNumber"/>
        <w:rPr>
          <w:b/>
        </w:rPr>
      </w:pPr>
      <w:r w:rsidRPr="00D57A45">
        <w:rPr>
          <w:b/>
        </w:rPr>
        <w:t>Apparatus licences</w:t>
      </w:r>
    </w:p>
    <w:p w:rsidR="00504BF3" w:rsidRPr="00DF1CB8" w:rsidRDefault="00504BF3" w:rsidP="00504BF3">
      <w:pPr>
        <w:rPr>
          <w:rFonts w:cs="Arial"/>
        </w:rPr>
      </w:pPr>
      <w:r w:rsidRPr="00DF1CB8">
        <w:rPr>
          <w:rFonts w:cs="Arial"/>
        </w:rPr>
        <w:t xml:space="preserve">Apparatus licences are issued to authorise the operation of radiocommunications devices. The fees applicable to the activities involved in issuing or renewing apparatus licences are outlined in </w:t>
      </w:r>
      <w:r>
        <w:rPr>
          <w:rFonts w:cs="Arial"/>
        </w:rPr>
        <w:t>p</w:t>
      </w:r>
      <w:r w:rsidRPr="00DF1CB8">
        <w:rPr>
          <w:rFonts w:cs="Arial"/>
        </w:rPr>
        <w:t xml:space="preserve">arts 6, 7, 8 and 12 of Schedule 2 to the Radiocommunications Determination. As licence applicants receive a direct benefit from the right to use and/or supply services, these activities are appropriate to be subject to cost recovery arrangements. The types of services </w:t>
      </w:r>
      <w:r>
        <w:rPr>
          <w:rFonts w:cs="Arial"/>
        </w:rPr>
        <w:t>that</w:t>
      </w:r>
      <w:r w:rsidRPr="00DF1CB8">
        <w:rPr>
          <w:rFonts w:cs="Arial"/>
        </w:rPr>
        <w:t xml:space="preserve"> may operate under the apparatus licensing regime include radiocommunications transmitters, mobile communications, amateur services, broadcasting services and land mobile services.</w:t>
      </w:r>
    </w:p>
    <w:p w:rsidR="00504BF3" w:rsidRPr="00D57A45" w:rsidRDefault="00504BF3" w:rsidP="00504BF3">
      <w:pPr>
        <w:pStyle w:val="ListNumber"/>
        <w:rPr>
          <w:b/>
        </w:rPr>
      </w:pPr>
      <w:r w:rsidRPr="00D57A45">
        <w:rPr>
          <w:b/>
        </w:rPr>
        <w:t>Spectrum licences</w:t>
      </w:r>
    </w:p>
    <w:p w:rsidR="00504BF3" w:rsidRPr="00DF1CB8" w:rsidRDefault="00504BF3" w:rsidP="00504BF3">
      <w:pPr>
        <w:rPr>
          <w:rFonts w:cs="Arial"/>
        </w:rPr>
      </w:pPr>
      <w:r w:rsidRPr="00DF1CB8">
        <w:rPr>
          <w:rFonts w:cs="Arial"/>
        </w:rPr>
        <w:t>Spectrum licences are a tradeable, technology</w:t>
      </w:r>
      <w:r>
        <w:rPr>
          <w:rFonts w:cs="Arial"/>
        </w:rPr>
        <w:t>-</w:t>
      </w:r>
      <w:r w:rsidRPr="00DF1CB8">
        <w:rPr>
          <w:rFonts w:cs="Arial"/>
        </w:rPr>
        <w:t>flexible (that is</w:t>
      </w:r>
      <w:r>
        <w:rPr>
          <w:rFonts w:cs="Arial"/>
        </w:rPr>
        <w:t>,</w:t>
      </w:r>
      <w:r w:rsidRPr="00DF1CB8">
        <w:rPr>
          <w:rFonts w:cs="Arial"/>
        </w:rPr>
        <w:t xml:space="preserve"> the licence is not normally limited to any particular technology, system or service) right to access specified spectrum for a fixed term. Spectrum licences are generally auctioned, or may be allocated by tender or a pre-determined price. The ACMA recovers part of the cost of its spectrum management activities through specific cost recovery fees on the beneficiaries as outlined in Part 11 of Schedule 2 to the Radiocommunications Determination. </w:t>
      </w:r>
    </w:p>
    <w:p w:rsidR="00504BF3" w:rsidRPr="00D57A45" w:rsidRDefault="00504BF3" w:rsidP="00504BF3">
      <w:pPr>
        <w:pStyle w:val="ListNumber"/>
        <w:rPr>
          <w:b/>
        </w:rPr>
      </w:pPr>
      <w:r w:rsidRPr="00D57A45">
        <w:rPr>
          <w:b/>
        </w:rPr>
        <w:t>Class licences</w:t>
      </w:r>
    </w:p>
    <w:p w:rsidR="00504BF3" w:rsidRPr="00DF1CB8" w:rsidRDefault="00504BF3" w:rsidP="00504BF3">
      <w:pPr>
        <w:rPr>
          <w:rFonts w:cs="Arial"/>
        </w:rPr>
      </w:pPr>
      <w:r w:rsidRPr="00DF1CB8">
        <w:rPr>
          <w:rFonts w:cs="Arial"/>
        </w:rPr>
        <w:t>Class licences are essentially issued to authorise the operation of radiocommunications devices with low interference potential. Devices that are currently subject to class licensing in Australia include mobile phone handsets, cordless telephones and a range of other low</w:t>
      </w:r>
      <w:r>
        <w:rPr>
          <w:rFonts w:cs="Arial"/>
        </w:rPr>
        <w:t>-</w:t>
      </w:r>
      <w:r w:rsidRPr="00DF1CB8">
        <w:rPr>
          <w:rFonts w:cs="Arial"/>
        </w:rPr>
        <w:t>power devices, such as garage door openers and wireless identification tags. There are currently 13 class licences issued under the Radiocommunications Act. The ACMA’s class licensing arrangements provide permission for each operator of such equipment to operate the equipment, without the need to obtain an individual licence. Accordingly, class licences are excluded from cost recovery arrangements.</w:t>
      </w:r>
    </w:p>
    <w:p w:rsidR="00504BF3" w:rsidRPr="00DF1CB8" w:rsidRDefault="00504BF3" w:rsidP="00504BF3">
      <w:pPr>
        <w:pStyle w:val="Bodysubheader0"/>
      </w:pPr>
      <w:r w:rsidRPr="00DF1CB8">
        <w:t>Type testing</w:t>
      </w:r>
    </w:p>
    <w:p w:rsidR="00504BF3" w:rsidRPr="00DF1CB8" w:rsidRDefault="00504BF3" w:rsidP="00504BF3">
      <w:pPr>
        <w:rPr>
          <w:rFonts w:cs="Arial"/>
        </w:rPr>
      </w:pPr>
      <w:r w:rsidRPr="00DF1CB8">
        <w:rPr>
          <w:rFonts w:cs="Arial"/>
        </w:rPr>
        <w:t>Type testing activities are performed by the ACMA</w:t>
      </w:r>
      <w:r>
        <w:rPr>
          <w:rFonts w:cs="Arial"/>
        </w:rPr>
        <w:t>’</w:t>
      </w:r>
      <w:r w:rsidRPr="00DF1CB8">
        <w:rPr>
          <w:rFonts w:cs="Arial"/>
        </w:rPr>
        <w:t>s Radiocommunications Compliance Laboratory</w:t>
      </w:r>
      <w:r>
        <w:rPr>
          <w:rFonts w:cs="Arial"/>
        </w:rPr>
        <w:t>,</w:t>
      </w:r>
      <w:r w:rsidRPr="00DF1CB8">
        <w:rPr>
          <w:rFonts w:cs="Arial"/>
        </w:rPr>
        <w:t xml:space="preserve"> which conducts quality equipment testing (essentially on radiocommunications devices) traceable to national references in accordance with paragraph 182(4)(b) of the </w:t>
      </w:r>
      <w:r w:rsidRPr="003E0C44">
        <w:rPr>
          <w:rFonts w:cs="Arial"/>
        </w:rPr>
        <w:t>Radiocommunications Act</w:t>
      </w:r>
      <w:r w:rsidRPr="00F40442">
        <w:rPr>
          <w:rFonts w:cs="Arial"/>
        </w:rPr>
        <w:t>.</w:t>
      </w:r>
      <w:r w:rsidRPr="00DF1CB8">
        <w:rPr>
          <w:rFonts w:cs="Arial"/>
        </w:rPr>
        <w:t xml:space="preserve"> All test reports produced are of an international standard. Type </w:t>
      </w:r>
      <w:r>
        <w:rPr>
          <w:rFonts w:cs="Arial"/>
        </w:rPr>
        <w:t>t</w:t>
      </w:r>
      <w:r w:rsidRPr="00DF1CB8">
        <w:rPr>
          <w:rFonts w:cs="Arial"/>
        </w:rPr>
        <w:t>esting activities are listed in Attachment B (activities 1 to 72).</w:t>
      </w:r>
    </w:p>
    <w:p w:rsidR="00504BF3" w:rsidRPr="00DF1CB8" w:rsidRDefault="00504BF3" w:rsidP="00504BF3">
      <w:pPr>
        <w:pStyle w:val="Bodysubheader0"/>
      </w:pPr>
      <w:r w:rsidRPr="00DF1CB8">
        <w:lastRenderedPageBreak/>
        <w:t>Examinations</w:t>
      </w:r>
    </w:p>
    <w:p w:rsidR="00504BF3" w:rsidRPr="00DF1CB8" w:rsidRDefault="00504BF3" w:rsidP="00504BF3">
      <w:pPr>
        <w:spacing w:after="80"/>
        <w:rPr>
          <w:rFonts w:cs="Arial"/>
        </w:rPr>
      </w:pPr>
      <w:r w:rsidRPr="00DF1CB8">
        <w:rPr>
          <w:rFonts w:cs="Arial"/>
        </w:rPr>
        <w:t xml:space="preserve">There are two different types of examinations conducted </w:t>
      </w:r>
      <w:r>
        <w:rPr>
          <w:rFonts w:cs="Arial"/>
        </w:rPr>
        <w:t>for</w:t>
      </w:r>
      <w:r w:rsidRPr="00DF1CB8">
        <w:rPr>
          <w:rFonts w:cs="Arial"/>
        </w:rPr>
        <w:t xml:space="preserve"> the radio operators’ certificate of proficiency</w:t>
      </w:r>
      <w:r>
        <w:rPr>
          <w:rFonts w:cs="Arial"/>
        </w:rPr>
        <w:t>, which</w:t>
      </w:r>
      <w:r w:rsidRPr="00DF1CB8">
        <w:rPr>
          <w:rFonts w:cs="Arial"/>
        </w:rPr>
        <w:t xml:space="preserve"> are currently provided by external service providers</w:t>
      </w:r>
      <w:r>
        <w:rPr>
          <w:rFonts w:cs="Arial"/>
        </w:rPr>
        <w:t xml:space="preserve">—the </w:t>
      </w:r>
      <w:r w:rsidRPr="00DF1CB8">
        <w:rPr>
          <w:rFonts w:cs="Arial"/>
        </w:rPr>
        <w:t xml:space="preserve">Wireless Institute of Australia (WIA) and Australian Maritime College (AMC) under deeds of agreement. </w:t>
      </w:r>
    </w:p>
    <w:p w:rsidR="00504BF3" w:rsidRPr="00D57A45" w:rsidRDefault="00504BF3" w:rsidP="00504BF3">
      <w:pPr>
        <w:pStyle w:val="ListBullet"/>
        <w:rPr>
          <w:b/>
        </w:rPr>
      </w:pPr>
      <w:r w:rsidRPr="00D57A45">
        <w:rPr>
          <w:b/>
        </w:rPr>
        <w:t>Examination for amateur radio operators certificate of proficiency</w:t>
      </w:r>
    </w:p>
    <w:p w:rsidR="00504BF3" w:rsidRPr="00DF1CB8" w:rsidRDefault="00504BF3" w:rsidP="00504BF3">
      <w:pPr>
        <w:pStyle w:val="ListBullet"/>
        <w:numPr>
          <w:ilvl w:val="0"/>
          <w:numId w:val="0"/>
        </w:numPr>
        <w:ind w:left="295"/>
      </w:pPr>
      <w:r w:rsidRPr="00DF1CB8">
        <w:t>The WIA has been providing examination services to the amateur radio community since 1991 and</w:t>
      </w:r>
      <w:r>
        <w:t>,</w:t>
      </w:r>
      <w:r w:rsidRPr="00DF1CB8">
        <w:t xml:space="preserve"> as part of its service, issues amateur certificates of proficiency and administers call signs. </w:t>
      </w:r>
    </w:p>
    <w:p w:rsidR="00504BF3" w:rsidRPr="00D57A45" w:rsidRDefault="00504BF3" w:rsidP="00504BF3">
      <w:pPr>
        <w:pStyle w:val="ListBullet"/>
        <w:rPr>
          <w:b/>
        </w:rPr>
      </w:pPr>
      <w:r w:rsidRPr="00D57A45">
        <w:rPr>
          <w:b/>
        </w:rPr>
        <w:t>Examinations for maritime radio operators certificate of proficiency</w:t>
      </w:r>
    </w:p>
    <w:p w:rsidR="00504BF3" w:rsidRPr="00DF1CB8" w:rsidRDefault="00504BF3" w:rsidP="00504BF3">
      <w:pPr>
        <w:pStyle w:val="ListBullet"/>
        <w:numPr>
          <w:ilvl w:val="0"/>
          <w:numId w:val="0"/>
        </w:numPr>
        <w:spacing w:after="240"/>
        <w:ind w:left="295"/>
      </w:pPr>
      <w:r w:rsidRPr="00DF1CB8">
        <w:t xml:space="preserve">These examinations are provided by the AMC, </w:t>
      </w:r>
      <w:r>
        <w:t>which</w:t>
      </w:r>
      <w:r w:rsidRPr="00DF1CB8">
        <w:t xml:space="preserve"> also publishes handbooks recommended for candidates undertaking examinations for </w:t>
      </w:r>
      <w:r>
        <w:t>M</w:t>
      </w:r>
      <w:r w:rsidRPr="00DF1CB8">
        <w:t xml:space="preserve">arine </w:t>
      </w:r>
      <w:r>
        <w:t>R</w:t>
      </w:r>
      <w:r w:rsidRPr="00DF1CB8">
        <w:t xml:space="preserve">adio </w:t>
      </w:r>
      <w:r>
        <w:t>O</w:t>
      </w:r>
      <w:r w:rsidRPr="00DF1CB8">
        <w:t xml:space="preserve">perators </w:t>
      </w:r>
      <w:r>
        <w:t>C</w:t>
      </w:r>
      <w:r w:rsidRPr="00DF1CB8">
        <w:t xml:space="preserve">ertificates of </w:t>
      </w:r>
      <w:r>
        <w:t>P</w:t>
      </w:r>
      <w:r w:rsidRPr="00DF1CB8">
        <w:t xml:space="preserve">roficiency. </w:t>
      </w:r>
    </w:p>
    <w:p w:rsidR="00504BF3" w:rsidRPr="00DF1CB8" w:rsidRDefault="00504BF3" w:rsidP="00504BF3">
      <w:pPr>
        <w:spacing w:after="80"/>
        <w:rPr>
          <w:rFonts w:cs="Arial"/>
        </w:rPr>
      </w:pPr>
      <w:r w:rsidRPr="00DF1CB8">
        <w:rPr>
          <w:rFonts w:cs="Arial"/>
        </w:rPr>
        <w:t>However, the ACMA can also provide amateur radio and marine radio operator examinations (refer Attachment B, activities 75 to 88). This normally occurs in very limited circumstances:</w:t>
      </w:r>
    </w:p>
    <w:p w:rsidR="00504BF3" w:rsidRPr="00DF1CB8" w:rsidRDefault="00504BF3" w:rsidP="00504BF3">
      <w:pPr>
        <w:pStyle w:val="ListBullet"/>
      </w:pPr>
      <w:r>
        <w:t xml:space="preserve">where </w:t>
      </w:r>
      <w:r w:rsidRPr="00DF1CB8">
        <w:t>the ACMA believes on reasonable grounds that a qualified operator would be unable to achieve satisfactory results if re-examined</w:t>
      </w:r>
    </w:p>
    <w:p w:rsidR="00504BF3" w:rsidRPr="00DF1CB8" w:rsidRDefault="00504BF3" w:rsidP="00504BF3">
      <w:pPr>
        <w:pStyle w:val="ListBullet"/>
      </w:pPr>
      <w:r w:rsidRPr="00DF1CB8">
        <w:t xml:space="preserve">if the WIA/AMC has failed to comply with the </w:t>
      </w:r>
      <w:r>
        <w:t>d</w:t>
      </w:r>
      <w:r w:rsidRPr="00DF1CB8">
        <w:t>eed under which it provides services on the ACMA's behalf</w:t>
      </w:r>
    </w:p>
    <w:p w:rsidR="00504BF3" w:rsidRPr="00DF1CB8" w:rsidRDefault="00504BF3" w:rsidP="00504BF3">
      <w:pPr>
        <w:pStyle w:val="ListBullet"/>
      </w:pPr>
      <w:r>
        <w:t xml:space="preserve">where </w:t>
      </w:r>
      <w:r w:rsidRPr="00DF1CB8">
        <w:t>the ACMA has taken over these services</w:t>
      </w:r>
    </w:p>
    <w:p w:rsidR="00504BF3" w:rsidRPr="00DF1CB8" w:rsidRDefault="00504BF3" w:rsidP="00504BF3">
      <w:pPr>
        <w:pStyle w:val="ListBullet"/>
        <w:spacing w:after="240"/>
      </w:pPr>
      <w:r>
        <w:t xml:space="preserve">for </w:t>
      </w:r>
      <w:r w:rsidRPr="00DF1CB8">
        <w:t>special examination services to persons with special needs or those living in remote locations.</w:t>
      </w:r>
    </w:p>
    <w:p w:rsidR="00504BF3" w:rsidRPr="00DF1CB8" w:rsidRDefault="00504BF3" w:rsidP="00504BF3">
      <w:pPr>
        <w:rPr>
          <w:rFonts w:cs="Arial"/>
        </w:rPr>
      </w:pPr>
      <w:r w:rsidRPr="00DF1CB8">
        <w:rPr>
          <w:rFonts w:cs="Arial"/>
        </w:rPr>
        <w:t xml:space="preserve">The ACMA has not conducted amateur radio operator exams since the WIA was delegated the responsibility for this function in 1991. </w:t>
      </w:r>
      <w:r>
        <w:rPr>
          <w:rFonts w:cs="Arial"/>
        </w:rPr>
        <w:t>It</w:t>
      </w:r>
      <w:r w:rsidRPr="00DF1CB8">
        <w:rPr>
          <w:rFonts w:cs="Arial"/>
        </w:rPr>
        <w:t xml:space="preserve"> retained responsibility for special examinations for marine radio certificates of proficiency but has only conducted one or two per annum. From August 2012, the AMC became responsible for conducting all special examinations for marine radio certificates of proficiency under a new deed of agreement.</w:t>
      </w:r>
    </w:p>
    <w:p w:rsidR="00504BF3" w:rsidRPr="00DF1CB8" w:rsidRDefault="00504BF3" w:rsidP="00504BF3">
      <w:pPr>
        <w:pStyle w:val="Bodysubheader0"/>
      </w:pPr>
      <w:r w:rsidRPr="00DF1CB8">
        <w:t>Interference investigation</w:t>
      </w:r>
    </w:p>
    <w:p w:rsidR="00504BF3" w:rsidRPr="00DF1CB8" w:rsidRDefault="00504BF3" w:rsidP="00504BF3">
      <w:pPr>
        <w:rPr>
          <w:rFonts w:cs="Arial"/>
        </w:rPr>
      </w:pPr>
      <w:r w:rsidRPr="00DF1CB8">
        <w:rPr>
          <w:rFonts w:cs="Arial"/>
        </w:rPr>
        <w:t>This service is not being cost</w:t>
      </w:r>
      <w:r>
        <w:rPr>
          <w:rFonts w:cs="Arial"/>
        </w:rPr>
        <w:t>-</w:t>
      </w:r>
      <w:r w:rsidRPr="00DF1CB8">
        <w:rPr>
          <w:rFonts w:cs="Arial"/>
        </w:rPr>
        <w:t>recovered as the ACMA adopted a policy for the management of interference to terrestrial television and radio broadcast reception using an evidence</w:t>
      </w:r>
      <w:r>
        <w:rPr>
          <w:rFonts w:cs="Arial"/>
        </w:rPr>
        <w:t>-</w:t>
      </w:r>
      <w:r w:rsidRPr="00DF1CB8">
        <w:rPr>
          <w:rFonts w:cs="Arial"/>
        </w:rPr>
        <w:t>based approach. According to the policy</w:t>
      </w:r>
      <w:r>
        <w:rPr>
          <w:rFonts w:cs="Arial"/>
        </w:rPr>
        <w:t>,</w:t>
      </w:r>
      <w:r w:rsidRPr="00DF1CB8">
        <w:rPr>
          <w:rFonts w:cs="Arial"/>
        </w:rPr>
        <w:t xml:space="preserve"> the complainant is required to provide evidence to the ACMA to prove that their broadcast reception problems are not caused by faulty installations or by the viewer attempting to receive a broadcast signal from outside the coverage area. </w:t>
      </w:r>
    </w:p>
    <w:p w:rsidR="00504BF3" w:rsidRPr="00DF1CB8" w:rsidRDefault="00504BF3" w:rsidP="00504BF3">
      <w:pPr>
        <w:pStyle w:val="Bodysubheader0"/>
      </w:pPr>
      <w:r w:rsidRPr="00DF1CB8">
        <w:t>Other radiocommunications activities</w:t>
      </w:r>
    </w:p>
    <w:p w:rsidR="00504BF3" w:rsidRPr="00DF1CB8" w:rsidRDefault="00504BF3" w:rsidP="00504BF3">
      <w:pPr>
        <w:rPr>
          <w:rFonts w:cs="Arial"/>
        </w:rPr>
      </w:pPr>
      <w:r w:rsidRPr="00DF1CB8">
        <w:rPr>
          <w:rFonts w:cs="Arial"/>
        </w:rPr>
        <w:t>The ACMA also issues duplicate instruments, copies of licences and permits for non-standard transmitters under sections 167 and 174 of the Radiocommunications Act (refer Attachment A, activities 1 to 2 and Attachment B, activities 73 to 74). All other activities</w:t>
      </w:r>
      <w:r>
        <w:rPr>
          <w:rFonts w:cs="Arial"/>
        </w:rPr>
        <w:t xml:space="preserve">, </w:t>
      </w:r>
      <w:r w:rsidRPr="00DF1CB8">
        <w:rPr>
          <w:rFonts w:cs="Arial"/>
        </w:rPr>
        <w:t xml:space="preserve">including transfer of radiocommunications licences and assessment of applications for accreditation, are disclosed in Attachment A (activities 43 to 47 and 60 to 65) and Attachment B (activities 113 to 121 and 129 to 135). </w:t>
      </w:r>
    </w:p>
    <w:p w:rsidR="00504BF3" w:rsidRPr="00DF1CB8" w:rsidRDefault="00504BF3" w:rsidP="00504BF3">
      <w:pPr>
        <w:pStyle w:val="Bodysubheader0"/>
      </w:pPr>
      <w:r w:rsidRPr="00DF1CB8">
        <w:t>Satellite filing and coordination work</w:t>
      </w:r>
    </w:p>
    <w:p w:rsidR="00504BF3" w:rsidRPr="00DF1CB8" w:rsidRDefault="00504BF3" w:rsidP="00504BF3">
      <w:pPr>
        <w:rPr>
          <w:rFonts w:cs="Arial"/>
        </w:rPr>
      </w:pPr>
      <w:r w:rsidRPr="00DF1CB8">
        <w:rPr>
          <w:rFonts w:cs="Arial"/>
        </w:rPr>
        <w:t xml:space="preserve">The filing and coordination of satellite networks with the International Telecommunication Union (ITU) </w:t>
      </w:r>
      <w:r>
        <w:rPr>
          <w:rFonts w:cs="Arial"/>
        </w:rPr>
        <w:t>is</w:t>
      </w:r>
      <w:r w:rsidRPr="00DF1CB8">
        <w:rPr>
          <w:rFonts w:cs="Arial"/>
        </w:rPr>
        <w:t xml:space="preserve"> considered a spectrum management function under the ACMA Act. These activities are being carried out under Deeds of Agreement with satellite operators who wish to use frequency access to and from a location in space. The fees for these services are disclosed in Part 5 of Schedule 2 to the </w:t>
      </w:r>
      <w:r w:rsidRPr="00DF1CB8">
        <w:rPr>
          <w:rFonts w:cs="Arial"/>
        </w:rPr>
        <w:lastRenderedPageBreak/>
        <w:t>Radiocommunications Determination (refer Attachment B, activities 89 to 91).</w:t>
      </w:r>
    </w:p>
    <w:p w:rsidR="00504BF3" w:rsidRPr="00DF1CB8" w:rsidRDefault="00504BF3" w:rsidP="00504BF3">
      <w:pPr>
        <w:pStyle w:val="Bodysubheader0"/>
      </w:pPr>
      <w:r w:rsidRPr="00DF1CB8">
        <w:t>Emergency locating service</w:t>
      </w:r>
    </w:p>
    <w:p w:rsidR="00504BF3" w:rsidRPr="00DF1CB8" w:rsidRDefault="00504BF3" w:rsidP="00504BF3">
      <w:pPr>
        <w:rPr>
          <w:rFonts w:cs="Arial"/>
        </w:rPr>
      </w:pPr>
      <w:r w:rsidRPr="00DF1CB8">
        <w:rPr>
          <w:rFonts w:cs="Arial"/>
        </w:rPr>
        <w:t xml:space="preserve">This service essentially refers to locating Emergency Position Indicating Radio Beacons (EPIRBs), which are used by vessels of all kinds in distress to signal their location or locating personal EPIRBs designed to be attached to a life jacket or carried by an individual. This service is provided only to the Australian Search and Rescue under a Memorandum of Understanding. </w:t>
      </w:r>
    </w:p>
    <w:p w:rsidR="00504BF3" w:rsidRPr="00DF1CB8" w:rsidRDefault="00504BF3" w:rsidP="00504BF3">
      <w:pPr>
        <w:pStyle w:val="Bodysubheader0"/>
      </w:pPr>
      <w:r w:rsidRPr="00DF1CB8">
        <w:t>Data services</w:t>
      </w:r>
    </w:p>
    <w:p w:rsidR="00504BF3" w:rsidRPr="00DF1CB8" w:rsidRDefault="00504BF3" w:rsidP="00504BF3">
      <w:pPr>
        <w:rPr>
          <w:rFonts w:cs="Arial"/>
        </w:rPr>
      </w:pPr>
      <w:r w:rsidRPr="00DF1CB8">
        <w:rPr>
          <w:rFonts w:cs="Arial"/>
        </w:rPr>
        <w:t>Data sales mainly include the Radiocommunications Record of Licences (RRL) database on CD-ROM, which is a source of reference information on radiocommunications services. It contains information on apparatus and spectrum licences, including details about who holds the licence,</w:t>
      </w:r>
      <w:r>
        <w:rPr>
          <w:rFonts w:cs="Arial"/>
        </w:rPr>
        <w:t xml:space="preserve"> the</w:t>
      </w:r>
      <w:r w:rsidRPr="00DF1CB8">
        <w:rPr>
          <w:rFonts w:cs="Arial"/>
        </w:rPr>
        <w:t xml:space="preserve"> duration of the licence, technical details such as frequency and power, and where the transmitters are located (refer Attachment D, activities 125 to 128).</w:t>
      </w:r>
    </w:p>
    <w:p w:rsidR="00504BF3" w:rsidRPr="00DF1CB8" w:rsidRDefault="00504BF3" w:rsidP="00504BF3">
      <w:pPr>
        <w:pStyle w:val="Heading3"/>
      </w:pPr>
      <w:bookmarkStart w:id="19" w:name="_Toc400965221"/>
      <w:bookmarkStart w:id="20" w:name="_Toc426099807"/>
      <w:r>
        <w:t>3.1.2</w:t>
      </w:r>
      <w:r>
        <w:tab/>
      </w:r>
      <w:r w:rsidRPr="00DF1CB8">
        <w:t>Telecommunications regulation, planning and licensing activities</w:t>
      </w:r>
      <w:bookmarkEnd w:id="19"/>
      <w:bookmarkEnd w:id="20"/>
    </w:p>
    <w:p w:rsidR="00504BF3" w:rsidRPr="00DF1CB8" w:rsidRDefault="00504BF3" w:rsidP="00504BF3">
      <w:pPr>
        <w:pStyle w:val="Bodysubheader0"/>
      </w:pPr>
      <w:r w:rsidRPr="00DF1CB8">
        <w:t>Issue of licences and permits</w:t>
      </w:r>
    </w:p>
    <w:p w:rsidR="00504BF3" w:rsidRPr="00DF1CB8" w:rsidRDefault="00504BF3" w:rsidP="00504BF3">
      <w:pPr>
        <w:spacing w:after="80"/>
        <w:rPr>
          <w:rFonts w:cs="Arial"/>
        </w:rPr>
      </w:pPr>
      <w:r w:rsidRPr="00DF1CB8">
        <w:rPr>
          <w:rFonts w:cs="Arial"/>
        </w:rPr>
        <w:t xml:space="preserve">Costs incurred by the ACMA in regulating the telecommunications industry are largely recovered under the </w:t>
      </w:r>
      <w:r w:rsidRPr="00D57A45">
        <w:rPr>
          <w:rFonts w:cs="Arial"/>
          <w:i/>
        </w:rPr>
        <w:t>Telecommunications (Carrier Licence Charges) Act 1997</w:t>
      </w:r>
      <w:r w:rsidRPr="00DF1CB8">
        <w:rPr>
          <w:rFonts w:cs="Arial"/>
        </w:rPr>
        <w:t xml:space="preserve"> through the Annual Carrier Licence Charge. However, a number of services to the telecommunications industry are more appropriate</w:t>
      </w:r>
      <w:r>
        <w:rPr>
          <w:rFonts w:cs="Arial"/>
        </w:rPr>
        <w:t>ly</w:t>
      </w:r>
      <w:r w:rsidRPr="00DF1CB8">
        <w:rPr>
          <w:rFonts w:cs="Arial"/>
        </w:rPr>
        <w:t xml:space="preserve"> recovered through fees established under the </w:t>
      </w:r>
      <w:r w:rsidRPr="00F40442">
        <w:rPr>
          <w:rFonts w:cs="Arial"/>
          <w:i/>
        </w:rPr>
        <w:t>Telecommunications Act 1997</w:t>
      </w:r>
      <w:r w:rsidRPr="00DF1CB8">
        <w:rPr>
          <w:rFonts w:cs="Arial"/>
        </w:rPr>
        <w:t xml:space="preserve"> (refer further details in Attachment B, activities 136 to 161) enabling them to engage in specific activities</w:t>
      </w:r>
      <w:r>
        <w:rPr>
          <w:rFonts w:cs="Arial"/>
        </w:rPr>
        <w:t>. These include applications for:</w:t>
      </w:r>
    </w:p>
    <w:p w:rsidR="00504BF3" w:rsidRPr="00DF1CB8" w:rsidRDefault="00504BF3" w:rsidP="00504BF3">
      <w:pPr>
        <w:pStyle w:val="ListBullet"/>
      </w:pPr>
      <w:r w:rsidRPr="00DF1CB8">
        <w:t>a connection permit</w:t>
      </w:r>
    </w:p>
    <w:p w:rsidR="00504BF3" w:rsidRPr="00DF1CB8" w:rsidRDefault="00504BF3" w:rsidP="00504BF3">
      <w:pPr>
        <w:pStyle w:val="ListBullet"/>
      </w:pPr>
      <w:r w:rsidRPr="00DF1CB8">
        <w:t>number allocation</w:t>
      </w:r>
    </w:p>
    <w:p w:rsidR="00504BF3" w:rsidRPr="00DF1CB8" w:rsidRDefault="00504BF3" w:rsidP="00504BF3">
      <w:pPr>
        <w:pStyle w:val="ListBullet"/>
      </w:pPr>
      <w:r w:rsidRPr="00DF1CB8">
        <w:t>a carrier licence</w:t>
      </w:r>
    </w:p>
    <w:p w:rsidR="00504BF3" w:rsidRPr="00DF1CB8" w:rsidRDefault="00504BF3" w:rsidP="00504BF3">
      <w:pPr>
        <w:pStyle w:val="ListBullet"/>
      </w:pPr>
      <w:r w:rsidRPr="00DF1CB8">
        <w:t>a facility installation permit</w:t>
      </w:r>
    </w:p>
    <w:p w:rsidR="00504BF3" w:rsidRPr="00DF1CB8" w:rsidRDefault="00504BF3" w:rsidP="00504BF3">
      <w:pPr>
        <w:pStyle w:val="ListBullet"/>
      </w:pPr>
      <w:r w:rsidRPr="00DF1CB8">
        <w:t>a nominated carrier declaration</w:t>
      </w:r>
    </w:p>
    <w:p w:rsidR="00504BF3" w:rsidRPr="00DF1CB8" w:rsidRDefault="00504BF3" w:rsidP="00504BF3">
      <w:pPr>
        <w:pStyle w:val="ListBullet"/>
      </w:pPr>
      <w:r w:rsidRPr="00DF1CB8">
        <w:t>a submarine cable installation permit</w:t>
      </w:r>
    </w:p>
    <w:p w:rsidR="00504BF3" w:rsidRPr="00DF1CB8" w:rsidRDefault="00504BF3" w:rsidP="00504BF3">
      <w:pPr>
        <w:pStyle w:val="ListBullet"/>
        <w:spacing w:after="240"/>
      </w:pPr>
      <w:r w:rsidRPr="00DF1CB8">
        <w:t xml:space="preserve">registration for </w:t>
      </w:r>
      <w:r>
        <w:t xml:space="preserve">a </w:t>
      </w:r>
      <w:r w:rsidRPr="00DF1CB8">
        <w:t>smartnumber</w:t>
      </w:r>
      <w:r>
        <w:t>s</w:t>
      </w:r>
      <w:r w:rsidRPr="00DF1CB8">
        <w:t xml:space="preserve"> auction.</w:t>
      </w:r>
    </w:p>
    <w:p w:rsidR="00504BF3" w:rsidRPr="00DF1CB8" w:rsidRDefault="00504BF3" w:rsidP="00504BF3">
      <w:pPr>
        <w:pStyle w:val="Heading3"/>
      </w:pPr>
      <w:bookmarkStart w:id="21" w:name="_Toc400965222"/>
      <w:bookmarkStart w:id="22" w:name="_Toc426099808"/>
      <w:r>
        <w:t>3.1.3</w:t>
      </w:r>
      <w:r>
        <w:tab/>
      </w:r>
      <w:r w:rsidRPr="00DF1CB8">
        <w:t>Broadcasting regulation, planning and licensing</w:t>
      </w:r>
      <w:bookmarkEnd w:id="21"/>
      <w:bookmarkEnd w:id="22"/>
    </w:p>
    <w:p w:rsidR="00504BF3" w:rsidRPr="00DF1CB8" w:rsidRDefault="00504BF3" w:rsidP="00504BF3">
      <w:pPr>
        <w:pStyle w:val="Bodysubheader0"/>
      </w:pPr>
      <w:r w:rsidRPr="00DF1CB8">
        <w:t>Issue of broadcasting licences</w:t>
      </w:r>
    </w:p>
    <w:p w:rsidR="00504BF3" w:rsidRPr="00DF1CB8" w:rsidRDefault="00504BF3" w:rsidP="00504BF3">
      <w:pPr>
        <w:rPr>
          <w:rFonts w:cs="Arial"/>
        </w:rPr>
      </w:pPr>
      <w:r w:rsidRPr="00DF1CB8">
        <w:rPr>
          <w:rFonts w:cs="Arial"/>
        </w:rPr>
        <w:t xml:space="preserve">The ACMA issues licences to broadcasters </w:t>
      </w:r>
      <w:r>
        <w:rPr>
          <w:rFonts w:cs="Arial"/>
        </w:rPr>
        <w:t>that</w:t>
      </w:r>
      <w:r w:rsidRPr="00DF1CB8">
        <w:rPr>
          <w:rFonts w:cs="Arial"/>
        </w:rPr>
        <w:t xml:space="preserve"> authorise the provision of broadcasting services within a defined licence area. The fees for these services are separate from the annual broadcasting licence fee established under the </w:t>
      </w:r>
      <w:r w:rsidRPr="00FC2A10">
        <w:rPr>
          <w:rFonts w:cs="Arial"/>
          <w:i/>
        </w:rPr>
        <w:t>Radio Licence Fees Act 1964</w:t>
      </w:r>
      <w:r w:rsidRPr="00DF1CB8">
        <w:rPr>
          <w:rFonts w:cs="Arial"/>
        </w:rPr>
        <w:t xml:space="preserve">, </w:t>
      </w:r>
      <w:r w:rsidRPr="00FC2A10">
        <w:rPr>
          <w:rFonts w:cs="Arial"/>
          <w:i/>
        </w:rPr>
        <w:t>Television Licence Fees Act 1964</w:t>
      </w:r>
      <w:r w:rsidRPr="00DF1CB8">
        <w:rPr>
          <w:rFonts w:cs="Arial"/>
        </w:rPr>
        <w:t xml:space="preserve"> and </w:t>
      </w:r>
      <w:r w:rsidRPr="00FC2A10">
        <w:rPr>
          <w:rFonts w:cs="Arial"/>
          <w:i/>
        </w:rPr>
        <w:t>Datacasting Charge Act 1998</w:t>
      </w:r>
      <w:r w:rsidRPr="00DF1CB8">
        <w:rPr>
          <w:rFonts w:cs="Arial"/>
        </w:rPr>
        <w:t>. These annual broadcasting licence fees were not considered as part of the review</w:t>
      </w:r>
      <w:r>
        <w:rPr>
          <w:rFonts w:cs="Arial"/>
        </w:rPr>
        <w:t>. This is because</w:t>
      </w:r>
      <w:r w:rsidRPr="00DF1CB8">
        <w:rPr>
          <w:rFonts w:cs="Arial"/>
        </w:rPr>
        <w:t xml:space="preserve"> the annual licence fee is determined in legislation </w:t>
      </w:r>
      <w:r>
        <w:rPr>
          <w:rFonts w:cs="Arial"/>
        </w:rPr>
        <w:t>through</w:t>
      </w:r>
      <w:r w:rsidRPr="00DF1CB8">
        <w:rPr>
          <w:rFonts w:cs="Arial"/>
        </w:rPr>
        <w:t xml:space="preserve"> a tax </w:t>
      </w:r>
      <w:r>
        <w:rPr>
          <w:rFonts w:cs="Arial"/>
        </w:rPr>
        <w:t>for</w:t>
      </w:r>
      <w:r w:rsidRPr="00DF1CB8">
        <w:rPr>
          <w:rFonts w:cs="Arial"/>
        </w:rPr>
        <w:t xml:space="preserve"> the licence</w:t>
      </w:r>
      <w:r>
        <w:rPr>
          <w:rFonts w:cs="Arial"/>
        </w:rPr>
        <w:t>, which</w:t>
      </w:r>
      <w:r w:rsidRPr="00DF1CB8">
        <w:rPr>
          <w:rFonts w:cs="Arial"/>
        </w:rPr>
        <w:t xml:space="preserve"> is determined as a percentage of gross earnings of the licences from advertising and other matter for the preceding calendar year, rather than on a cost recovery basis.</w:t>
      </w:r>
    </w:p>
    <w:p w:rsidR="00504BF3" w:rsidRPr="00DF1CB8" w:rsidRDefault="00504BF3" w:rsidP="00504BF3">
      <w:pPr>
        <w:rPr>
          <w:rFonts w:cs="Arial"/>
        </w:rPr>
      </w:pPr>
      <w:r w:rsidRPr="00DF1CB8">
        <w:rPr>
          <w:rFonts w:cs="Arial"/>
        </w:rPr>
        <w:t xml:space="preserve">The administrative activities involved in the issue of international broadcasting licences, datacasting licences and commercial licences performed under the </w:t>
      </w:r>
      <w:r w:rsidRPr="00FC2A10">
        <w:rPr>
          <w:rFonts w:cs="Arial"/>
          <w:i/>
        </w:rPr>
        <w:t>Broadcasting Services Act 1992</w:t>
      </w:r>
      <w:r w:rsidRPr="00DF1CB8">
        <w:rPr>
          <w:rFonts w:cs="Arial"/>
        </w:rPr>
        <w:t xml:space="preserve"> </w:t>
      </w:r>
      <w:r>
        <w:rPr>
          <w:rFonts w:cs="Arial"/>
        </w:rPr>
        <w:t xml:space="preserve">(the BSA) </w:t>
      </w:r>
      <w:r w:rsidRPr="00DF1CB8">
        <w:rPr>
          <w:rFonts w:cs="Arial"/>
        </w:rPr>
        <w:t>are disclosed in the Broadcasting (Charges) Determination 2012 (refer activities 162 to 172 in Attachment B).</w:t>
      </w:r>
    </w:p>
    <w:p w:rsidR="00504BF3" w:rsidRPr="00DF1CB8" w:rsidRDefault="00504BF3" w:rsidP="00504BF3">
      <w:pPr>
        <w:pStyle w:val="Bodysubheader0"/>
        <w:keepNext/>
        <w:keepLines/>
      </w:pPr>
      <w:r w:rsidRPr="00DF1CB8">
        <w:lastRenderedPageBreak/>
        <w:t>Issue of community radio broadcasting licences</w:t>
      </w:r>
    </w:p>
    <w:p w:rsidR="00504BF3" w:rsidRPr="00DF1CB8" w:rsidRDefault="00504BF3" w:rsidP="00504BF3">
      <w:pPr>
        <w:keepNext/>
        <w:keepLines/>
        <w:rPr>
          <w:rFonts w:cs="Arial"/>
        </w:rPr>
      </w:pPr>
      <w:r w:rsidRPr="00DF1CB8">
        <w:rPr>
          <w:rFonts w:cs="Arial"/>
        </w:rPr>
        <w:t xml:space="preserve">These activities include the allocation and renewal of long-term community broadcasting licences and the issuing of temporary community radio broadcasting licences under </w:t>
      </w:r>
      <w:r>
        <w:rPr>
          <w:rFonts w:cs="Arial"/>
        </w:rPr>
        <w:t>p</w:t>
      </w:r>
      <w:r w:rsidRPr="00DF1CB8">
        <w:rPr>
          <w:rFonts w:cs="Arial"/>
        </w:rPr>
        <w:t>arts 6 and 6A of the</w:t>
      </w:r>
      <w:r>
        <w:rPr>
          <w:rFonts w:cs="Arial"/>
        </w:rPr>
        <w:t xml:space="preserve"> BSA</w:t>
      </w:r>
      <w:r w:rsidRPr="00DF1CB8">
        <w:rPr>
          <w:rFonts w:cs="Arial"/>
        </w:rPr>
        <w:t>. The licensing arrangements for community broadcasting services aim to enhance the delivery of information and entertainment to local communities across Australia. Imposing a charge for these activities would act as a disincentive to the provision of an essential service by the community broadcasting sector, which operates on a non-profit basis and is heavily reliant on volunteers. These activities are funded from appropriation and therefore are not cost recovery activities.</w:t>
      </w:r>
    </w:p>
    <w:p w:rsidR="00504BF3" w:rsidRPr="00DF1CB8" w:rsidRDefault="00504BF3" w:rsidP="00504BF3">
      <w:pPr>
        <w:pStyle w:val="Bodysubheader0"/>
      </w:pPr>
      <w:r w:rsidRPr="00DF1CB8">
        <w:t>Industry monitoring and compliance activities</w:t>
      </w:r>
    </w:p>
    <w:p w:rsidR="00504BF3" w:rsidRPr="00DF1CB8" w:rsidRDefault="00504BF3" w:rsidP="00504BF3">
      <w:pPr>
        <w:rPr>
          <w:rFonts w:cs="Arial"/>
        </w:rPr>
      </w:pPr>
      <w:r w:rsidRPr="00DF1CB8">
        <w:rPr>
          <w:rFonts w:cs="Arial"/>
        </w:rPr>
        <w:t>Provision of opinions by the ACMA under sections 21 and 74 of the</w:t>
      </w:r>
      <w:r>
        <w:rPr>
          <w:rFonts w:cs="Arial"/>
        </w:rPr>
        <w:t xml:space="preserve"> BSA</w:t>
      </w:r>
      <w:r w:rsidRPr="00DF1CB8">
        <w:rPr>
          <w:rFonts w:cs="Arial"/>
        </w:rPr>
        <w:t xml:space="preserve"> are subject to cost recovery charges, and were included in this review. Opinions given under section 21 provide clarity to existing and proposed broadcasters about the category or categories of broadcasting services of their existing or proposed services</w:t>
      </w:r>
      <w:r>
        <w:rPr>
          <w:rFonts w:cs="Arial"/>
        </w:rPr>
        <w:t>. S</w:t>
      </w:r>
      <w:r w:rsidRPr="00DF1CB8">
        <w:rPr>
          <w:rFonts w:cs="Arial"/>
        </w:rPr>
        <w:t>ection 74 opinions advise an applicant whether a person is in a position to exercise control of a licence for a newspaper or a company. These activities are included in Attachment B (activities 171 and 172).</w:t>
      </w:r>
    </w:p>
    <w:p w:rsidR="00504BF3" w:rsidRPr="00DF1CB8" w:rsidRDefault="00504BF3" w:rsidP="00504BF3">
      <w:pPr>
        <w:rPr>
          <w:rFonts w:cs="Arial"/>
        </w:rPr>
      </w:pPr>
      <w:r w:rsidRPr="00DF1CB8">
        <w:rPr>
          <w:rFonts w:cs="Arial"/>
        </w:rPr>
        <w:t>Other activities include monitoring of compliance with licence conditions, standards and codes of practice. These include compliance with the anti-siphoning rules, internet industry codes of practice, children’s television standards and disclosure standards. In these instances, the identified beneficiar</w:t>
      </w:r>
      <w:r>
        <w:rPr>
          <w:rFonts w:cs="Arial"/>
        </w:rPr>
        <w:t>y</w:t>
      </w:r>
      <w:r w:rsidRPr="00DF1CB8">
        <w:rPr>
          <w:rFonts w:cs="Arial"/>
        </w:rPr>
        <w:t xml:space="preserve"> of the monitoring and compliance activity </w:t>
      </w:r>
      <w:r>
        <w:rPr>
          <w:rFonts w:cs="Arial"/>
        </w:rPr>
        <w:t>is</w:t>
      </w:r>
      <w:r w:rsidRPr="00DF1CB8">
        <w:rPr>
          <w:rFonts w:cs="Arial"/>
        </w:rPr>
        <w:t xml:space="preserve"> the general community</w:t>
      </w:r>
      <w:r>
        <w:rPr>
          <w:rFonts w:cs="Arial"/>
        </w:rPr>
        <w:t>,</w:t>
      </w:r>
      <w:r w:rsidRPr="00DF1CB8">
        <w:rPr>
          <w:rFonts w:cs="Arial"/>
        </w:rPr>
        <w:t xml:space="preserve"> who benefits from conditions on industry behaviour that delivers diverse and appropriate content. This review considered that cost recovery was not appropriate for these activities as they benefit </w:t>
      </w:r>
      <w:r>
        <w:rPr>
          <w:rFonts w:cs="Arial"/>
        </w:rPr>
        <w:t>the</w:t>
      </w:r>
      <w:r w:rsidRPr="00DF1CB8">
        <w:rPr>
          <w:rFonts w:cs="Arial"/>
        </w:rPr>
        <w:t xml:space="preserve"> broader community. Accordingly, it is considered that these activities are appropriate to continue to be appropriation</w:t>
      </w:r>
      <w:r>
        <w:rPr>
          <w:rFonts w:cs="Arial"/>
        </w:rPr>
        <w:t>-</w:t>
      </w:r>
      <w:r w:rsidRPr="00DF1CB8">
        <w:rPr>
          <w:rFonts w:cs="Arial"/>
        </w:rPr>
        <w:t>funded.</w:t>
      </w:r>
    </w:p>
    <w:p w:rsidR="00504BF3" w:rsidRPr="00DF1CB8" w:rsidRDefault="00504BF3" w:rsidP="00504BF3">
      <w:pPr>
        <w:pStyle w:val="Bodysubheader0"/>
      </w:pPr>
      <w:r w:rsidRPr="00DF1CB8">
        <w:t>Broadcasting investigations activities</w:t>
      </w:r>
    </w:p>
    <w:p w:rsidR="00504BF3" w:rsidRPr="00DF1CB8" w:rsidRDefault="00504BF3" w:rsidP="00504BF3">
      <w:pPr>
        <w:rPr>
          <w:rFonts w:cs="Arial"/>
        </w:rPr>
      </w:pPr>
      <w:r w:rsidRPr="00DF1CB8">
        <w:rPr>
          <w:rFonts w:cs="Arial"/>
        </w:rPr>
        <w:t>These activities provide benefit to audiences and the general community, rather than an individual who has initiated a complaint or an individual licensee. It is also not possible to identify a distinct group of beneficiaries of these activities</w:t>
      </w:r>
      <w:r>
        <w:rPr>
          <w:rFonts w:cs="Arial"/>
        </w:rPr>
        <w:t>,</w:t>
      </w:r>
      <w:r w:rsidRPr="00DF1CB8">
        <w:rPr>
          <w:rFonts w:cs="Arial"/>
        </w:rPr>
        <w:t xml:space="preserve"> which would allow a fee to be developed. Therefore, it is considered appropriate that the activity continue to be funded through appropriation.</w:t>
      </w:r>
    </w:p>
    <w:p w:rsidR="00504BF3" w:rsidRPr="00DF1CB8" w:rsidRDefault="00504BF3" w:rsidP="00504BF3">
      <w:pPr>
        <w:pStyle w:val="Bodysubheader0"/>
      </w:pPr>
      <w:r w:rsidRPr="00DF1CB8">
        <w:t>Other broadcasting activities</w:t>
      </w:r>
    </w:p>
    <w:p w:rsidR="00504BF3" w:rsidRPr="00DF1CB8" w:rsidRDefault="00504BF3" w:rsidP="00504BF3">
      <w:pPr>
        <w:rPr>
          <w:rFonts w:cs="Arial"/>
        </w:rPr>
      </w:pPr>
      <w:r w:rsidRPr="00DF1CB8">
        <w:rPr>
          <w:rFonts w:cs="Arial"/>
        </w:rPr>
        <w:t>The ACMA recovers the costs of assessing and approving implementation plans for the Commercial Television Conversion Scheme, as the recipients of these services are the direct beneficiaries. These activities are disclosed in Attachment B (activities 169 and 170).</w:t>
      </w:r>
    </w:p>
    <w:p w:rsidR="00504BF3" w:rsidRPr="00DF1CB8" w:rsidRDefault="00504BF3" w:rsidP="00504BF3">
      <w:pPr>
        <w:pStyle w:val="Heading3"/>
      </w:pPr>
      <w:bookmarkStart w:id="23" w:name="_Toc400965223"/>
      <w:bookmarkStart w:id="24" w:name="_Toc426099809"/>
      <w:r>
        <w:t>3.1.4</w:t>
      </w:r>
      <w:r>
        <w:tab/>
      </w:r>
      <w:r w:rsidRPr="00DF1CB8">
        <w:t>Who should pay cost recovery charges?</w:t>
      </w:r>
      <w:bookmarkEnd w:id="23"/>
      <w:bookmarkEnd w:id="24"/>
    </w:p>
    <w:p w:rsidR="00504BF3" w:rsidRPr="00DF1CB8" w:rsidRDefault="00504BF3" w:rsidP="00504BF3">
      <w:pPr>
        <w:rPr>
          <w:rFonts w:cs="Arial"/>
        </w:rPr>
      </w:pPr>
      <w:r w:rsidRPr="00DF1CB8">
        <w:rPr>
          <w:rFonts w:cs="Arial"/>
        </w:rPr>
        <w:t>The stakeholders who receive a direct benefit from the services provided by the ACMA pay for services that they receive. Table 2 provides a list of relevant stakeholders for radiocommunications, telecommunications and broadcasting services. Charging is appropriate as a direct beneficiary of these services can be easily identified.</w:t>
      </w:r>
    </w:p>
    <w:p w:rsidR="00504BF3" w:rsidRDefault="00504BF3" w:rsidP="00504BF3">
      <w:pPr>
        <w:rPr>
          <w:rFonts w:cs="Arial"/>
        </w:rPr>
      </w:pPr>
      <w:r w:rsidRPr="00DF1CB8">
        <w:rPr>
          <w:rFonts w:cs="Arial"/>
        </w:rPr>
        <w:t xml:space="preserve">For the activities listed in </w:t>
      </w:r>
      <w:r>
        <w:rPr>
          <w:rFonts w:cs="Arial"/>
        </w:rPr>
        <w:t>a</w:t>
      </w:r>
      <w:r w:rsidRPr="00DF1CB8">
        <w:rPr>
          <w:rFonts w:cs="Arial"/>
        </w:rPr>
        <w:t>ttachments A and B, the service users receive a service where the ACMA’s activities can be directly attributed to the benefit that they receive. Therefore it is appropriate that the service users pay a fee for the service.</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keepNext/>
            </w:pPr>
            <w:r>
              <w:lastRenderedPageBreak/>
              <w:t xml:space="preserve">Table </w:t>
            </w:r>
            <w:fldSimple w:instr=" SEQ Table \* ARABIC ">
              <w:r>
                <w:rPr>
                  <w:noProof/>
                </w:rPr>
                <w:t>2</w:t>
              </w:r>
            </w:fldSimple>
            <w:r>
              <w:t xml:space="preserve"> </w:t>
            </w:r>
            <w:r w:rsidRPr="00FC2A10">
              <w:t>Key stakeholders</w:t>
            </w:r>
          </w:p>
        </w:tc>
      </w:tr>
      <w:tr w:rsidR="00504BF3" w:rsidTr="00806947">
        <w:trPr>
          <w:trHeight w:val="3086"/>
        </w:trPr>
        <w:tc>
          <w:tcPr>
            <w:tcW w:w="9645" w:type="dxa"/>
            <w:shd w:val="clear" w:color="auto" w:fill="auto"/>
            <w:tcMar>
              <w:left w:w="28" w:type="dxa"/>
            </w:tcMar>
          </w:tcPr>
          <w:tbl>
            <w:tblPr>
              <w:tblStyle w:val="TableGrid"/>
              <w:tblW w:w="878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411"/>
              <w:gridCol w:w="1984"/>
              <w:gridCol w:w="4394"/>
            </w:tblGrid>
            <w:tr w:rsidR="00504BF3" w:rsidRPr="00CB3078" w:rsidTr="00806947">
              <w:trPr>
                <w:trHeight w:val="285"/>
                <w:tblHeader/>
              </w:trPr>
              <w:tc>
                <w:tcPr>
                  <w:tcW w:w="2411" w:type="dxa"/>
                  <w:shd w:val="clear" w:color="auto" w:fill="404040" w:themeFill="text1" w:themeFillTint="BF"/>
                  <w:vAlign w:val="center"/>
                </w:tcPr>
                <w:p w:rsidR="00504BF3" w:rsidRPr="00FC2A10" w:rsidRDefault="00504BF3" w:rsidP="00806947">
                  <w:pPr>
                    <w:pStyle w:val="TableHeading"/>
                    <w:rPr>
                      <w:color w:val="FFFFFF" w:themeColor="background1"/>
                    </w:rPr>
                  </w:pPr>
                  <w:r w:rsidRPr="00FC2A10">
                    <w:rPr>
                      <w:color w:val="FFFFFF" w:themeColor="background1"/>
                    </w:rPr>
                    <w:t xml:space="preserve">Activity </w:t>
                  </w:r>
                  <w:r>
                    <w:rPr>
                      <w:color w:val="FFFFFF" w:themeColor="background1"/>
                    </w:rPr>
                    <w:t>g</w:t>
                  </w:r>
                  <w:r w:rsidRPr="00FC2A10">
                    <w:rPr>
                      <w:color w:val="FFFFFF" w:themeColor="background1"/>
                    </w:rPr>
                    <w:t>roup</w:t>
                  </w:r>
                </w:p>
              </w:tc>
              <w:tc>
                <w:tcPr>
                  <w:tcW w:w="1984" w:type="dxa"/>
                  <w:shd w:val="clear" w:color="auto" w:fill="404040" w:themeFill="text1" w:themeFillTint="BF"/>
                  <w:vAlign w:val="center"/>
                </w:tcPr>
                <w:p w:rsidR="00504BF3" w:rsidRPr="00FC2A10" w:rsidRDefault="00504BF3" w:rsidP="00806947">
                  <w:pPr>
                    <w:pStyle w:val="TableHeading"/>
                    <w:rPr>
                      <w:color w:val="FFFFFF" w:themeColor="background1"/>
                    </w:rPr>
                  </w:pPr>
                  <w:r w:rsidRPr="00FC2A10">
                    <w:rPr>
                      <w:color w:val="FFFFFF" w:themeColor="background1"/>
                    </w:rPr>
                    <w:t>Type</w:t>
                  </w:r>
                </w:p>
              </w:tc>
              <w:tc>
                <w:tcPr>
                  <w:tcW w:w="4394" w:type="dxa"/>
                  <w:shd w:val="clear" w:color="auto" w:fill="404040" w:themeFill="text1" w:themeFillTint="BF"/>
                  <w:vAlign w:val="center"/>
                </w:tcPr>
                <w:p w:rsidR="00504BF3" w:rsidRPr="00FC2A10" w:rsidRDefault="00504BF3" w:rsidP="00806947">
                  <w:pPr>
                    <w:pStyle w:val="TableHeading"/>
                    <w:rPr>
                      <w:color w:val="FFFFFF" w:themeColor="background1"/>
                    </w:rPr>
                  </w:pPr>
                  <w:r w:rsidRPr="00FC2A10">
                    <w:rPr>
                      <w:color w:val="FFFFFF" w:themeColor="background1"/>
                    </w:rPr>
                    <w:t>Key stakeholders</w:t>
                  </w:r>
                </w:p>
              </w:tc>
            </w:tr>
            <w:tr w:rsidR="00504BF3" w:rsidTr="00806947">
              <w:tc>
                <w:tcPr>
                  <w:tcW w:w="2411"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t>Radiocommunications</w:t>
                  </w:r>
                </w:p>
              </w:tc>
              <w:tc>
                <w:tcPr>
                  <w:tcW w:w="1984"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rsidRPr="004608E1">
                    <w:t xml:space="preserve">Apparatus </w:t>
                  </w:r>
                  <w:r>
                    <w:t>l</w:t>
                  </w:r>
                  <w:r w:rsidRPr="004608E1">
                    <w:t>icences</w:t>
                  </w: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Community, commercial and national Broadcasters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Individual persons (for amateur and marine services)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Government entities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Commercial organisations (mining, construction, communications companies)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 xml:space="preserve">Telecommunications carriers </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rsidRPr="004608E1">
                    <w:t xml:space="preserve">Spectrum </w:t>
                  </w:r>
                  <w:r>
                    <w:t>l</w:t>
                  </w:r>
                  <w:r w:rsidRPr="004608E1">
                    <w:t>icences</w:t>
                  </w: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 xml:space="preserve">Major telecommunications carriers </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 xml:space="preserve">Government entities </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rsidRPr="004608E1">
                    <w:t xml:space="preserve">Type </w:t>
                  </w:r>
                  <w:r>
                    <w:t>t</w:t>
                  </w:r>
                  <w:r w:rsidRPr="004608E1">
                    <w:t>esting</w:t>
                  </w: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Manufacturers and suppliers of radiocommunications equipment</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Federal/</w:t>
                  </w:r>
                  <w:r>
                    <w:t>s</w:t>
                  </w:r>
                  <w:r w:rsidRPr="004608E1">
                    <w:t xml:space="preserve">tate </w:t>
                  </w:r>
                  <w:r>
                    <w:t>p</w:t>
                  </w:r>
                  <w:r w:rsidRPr="004608E1">
                    <w:t xml:space="preserve">olice forces or other </w:t>
                  </w:r>
                  <w:r>
                    <w:t>f</w:t>
                  </w:r>
                  <w:r w:rsidRPr="004608E1">
                    <w:t>ederal/</w:t>
                  </w:r>
                  <w:r>
                    <w:t>s</w:t>
                  </w:r>
                  <w:r w:rsidRPr="004608E1">
                    <w:t xml:space="preserve">tate </w:t>
                  </w:r>
                  <w:r>
                    <w:t>g</w:t>
                  </w:r>
                  <w:r w:rsidRPr="004608E1">
                    <w:t>overnment entities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rsidRPr="004608E1">
                    <w:t xml:space="preserve">Examinations </w:t>
                  </w: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Amateur radio operators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Marine radio operators</w:t>
                  </w:r>
                </w:p>
              </w:tc>
            </w:tr>
            <w:tr w:rsidR="00504BF3" w:rsidTr="00806947">
              <w:tc>
                <w:tcPr>
                  <w:tcW w:w="2411" w:type="dxa"/>
                  <w:vMerge/>
                  <w:shd w:val="clear" w:color="auto" w:fill="F2F2F2" w:themeFill="background1" w:themeFillShade="F2"/>
                  <w:tcMar>
                    <w:top w:w="57" w:type="dxa"/>
                    <w:bottom w:w="57" w:type="dxa"/>
                  </w:tcMar>
                  <w:vAlign w:val="center"/>
                </w:tcPr>
                <w:p w:rsidR="00504BF3" w:rsidRPr="004608E1" w:rsidRDefault="00504BF3" w:rsidP="00806947">
                  <w:pPr>
                    <w:pStyle w:val="TableBody"/>
                  </w:pPr>
                </w:p>
              </w:tc>
              <w:tc>
                <w:tcPr>
                  <w:tcW w:w="1984"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rsidRPr="004608E1">
                    <w:t>Other services</w:t>
                  </w: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Satellite operators</w:t>
                  </w:r>
                </w:p>
              </w:tc>
            </w:tr>
            <w:tr w:rsidR="00504BF3" w:rsidTr="00806947">
              <w:tc>
                <w:tcPr>
                  <w:tcW w:w="2411"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Australian Search and Rescue Service</w:t>
                  </w:r>
                </w:p>
              </w:tc>
            </w:tr>
            <w:tr w:rsidR="00504BF3" w:rsidTr="00806947">
              <w:tc>
                <w:tcPr>
                  <w:tcW w:w="2411"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Commercial and community organisations</w:t>
                  </w:r>
                </w:p>
              </w:tc>
            </w:tr>
            <w:tr w:rsidR="00504BF3" w:rsidTr="00806947">
              <w:tc>
                <w:tcPr>
                  <w:tcW w:w="2411"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Individual</w:t>
                  </w:r>
                  <w:r>
                    <w:t>s</w:t>
                  </w:r>
                </w:p>
              </w:tc>
            </w:tr>
            <w:tr w:rsidR="00504BF3" w:rsidTr="00806947">
              <w:tc>
                <w:tcPr>
                  <w:tcW w:w="2411" w:type="dxa"/>
                  <w:vMerge w:val="restart"/>
                  <w:tcMar>
                    <w:top w:w="57" w:type="dxa"/>
                    <w:bottom w:w="57" w:type="dxa"/>
                  </w:tcMar>
                  <w:vAlign w:val="center"/>
                </w:tcPr>
                <w:p w:rsidR="00504BF3" w:rsidRPr="004608E1" w:rsidRDefault="00504BF3" w:rsidP="00806947">
                  <w:pPr>
                    <w:pStyle w:val="TableBody"/>
                  </w:pPr>
                  <w:r w:rsidRPr="004608E1">
                    <w:t>Telecommunications</w:t>
                  </w:r>
                </w:p>
              </w:tc>
              <w:tc>
                <w:tcPr>
                  <w:tcW w:w="1984" w:type="dxa"/>
                  <w:vMerge w:val="restart"/>
                  <w:tcMar>
                    <w:top w:w="57" w:type="dxa"/>
                    <w:bottom w:w="57" w:type="dxa"/>
                  </w:tcMar>
                </w:tcPr>
                <w:p w:rsidR="00504BF3" w:rsidRPr="004608E1" w:rsidRDefault="00504BF3" w:rsidP="00806947">
                  <w:pPr>
                    <w:pStyle w:val="TableBody"/>
                  </w:pPr>
                </w:p>
              </w:tc>
              <w:tc>
                <w:tcPr>
                  <w:tcW w:w="4394" w:type="dxa"/>
                  <w:tcMar>
                    <w:top w:w="57" w:type="dxa"/>
                    <w:bottom w:w="57" w:type="dxa"/>
                  </w:tcMar>
                </w:tcPr>
                <w:p w:rsidR="00504BF3" w:rsidRPr="004608E1" w:rsidRDefault="00504BF3" w:rsidP="00806947">
                  <w:pPr>
                    <w:pStyle w:val="TableBody"/>
                  </w:pPr>
                  <w:r w:rsidRPr="004608E1">
                    <w:t>Telecommunications carriers</w:t>
                  </w:r>
                </w:p>
              </w:tc>
            </w:tr>
            <w:tr w:rsidR="00504BF3" w:rsidTr="00806947">
              <w:trPr>
                <w:trHeight w:val="508"/>
              </w:trPr>
              <w:tc>
                <w:tcPr>
                  <w:tcW w:w="2411" w:type="dxa"/>
                  <w:vMerge/>
                  <w:tcMar>
                    <w:top w:w="57" w:type="dxa"/>
                    <w:bottom w:w="57" w:type="dxa"/>
                  </w:tcMar>
                </w:tcPr>
                <w:p w:rsidR="00504BF3" w:rsidRPr="004608E1" w:rsidRDefault="00504BF3" w:rsidP="00806947">
                  <w:pPr>
                    <w:pStyle w:val="TableBody"/>
                  </w:pPr>
                </w:p>
              </w:tc>
              <w:tc>
                <w:tcPr>
                  <w:tcW w:w="1984" w:type="dxa"/>
                  <w:vMerge/>
                  <w:tcMar>
                    <w:top w:w="57" w:type="dxa"/>
                    <w:bottom w:w="57" w:type="dxa"/>
                  </w:tcMar>
                </w:tcPr>
                <w:p w:rsidR="00504BF3" w:rsidRPr="004608E1" w:rsidRDefault="00504BF3" w:rsidP="00806947">
                  <w:pPr>
                    <w:pStyle w:val="TableBody"/>
                  </w:pPr>
                </w:p>
              </w:tc>
              <w:tc>
                <w:tcPr>
                  <w:tcW w:w="4394" w:type="dxa"/>
                  <w:tcMar>
                    <w:top w:w="57" w:type="dxa"/>
                    <w:bottom w:w="57" w:type="dxa"/>
                  </w:tcMar>
                </w:tcPr>
                <w:p w:rsidR="00504BF3" w:rsidRPr="004608E1" w:rsidRDefault="00504BF3" w:rsidP="00806947">
                  <w:pPr>
                    <w:pStyle w:val="TableBody"/>
                  </w:pPr>
                  <w:r w:rsidRPr="004608E1">
                    <w:t>Telecommunications carriage service providers</w:t>
                  </w:r>
                </w:p>
              </w:tc>
            </w:tr>
            <w:tr w:rsidR="00504BF3" w:rsidTr="00806947">
              <w:trPr>
                <w:trHeight w:val="210"/>
              </w:trPr>
              <w:tc>
                <w:tcPr>
                  <w:tcW w:w="2411" w:type="dxa"/>
                  <w:vMerge w:val="restart"/>
                  <w:shd w:val="clear" w:color="auto" w:fill="F2F2F2" w:themeFill="background1" w:themeFillShade="F2"/>
                  <w:tcMar>
                    <w:top w:w="57" w:type="dxa"/>
                    <w:bottom w:w="57" w:type="dxa"/>
                  </w:tcMar>
                  <w:vAlign w:val="center"/>
                </w:tcPr>
                <w:p w:rsidR="00504BF3" w:rsidRPr="004608E1" w:rsidRDefault="00504BF3" w:rsidP="00806947">
                  <w:pPr>
                    <w:pStyle w:val="TableBody"/>
                  </w:pPr>
                  <w:r w:rsidRPr="004608E1">
                    <w:t xml:space="preserve">Broadcasting </w:t>
                  </w:r>
                  <w:r>
                    <w:t>s</w:t>
                  </w:r>
                  <w:r w:rsidRPr="004608E1">
                    <w:t>ervices</w:t>
                  </w:r>
                </w:p>
              </w:tc>
              <w:tc>
                <w:tcPr>
                  <w:tcW w:w="1984" w:type="dxa"/>
                  <w:vMerge w:val="restart"/>
                  <w:shd w:val="clear" w:color="auto" w:fill="F2F2F2" w:themeFill="background1" w:themeFillShade="F2"/>
                  <w:tcMar>
                    <w:top w:w="57" w:type="dxa"/>
                    <w:bottom w:w="57" w:type="dxa"/>
                  </w:tcMa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 xml:space="preserve">Commercial broadcasters </w:t>
                  </w:r>
                </w:p>
              </w:tc>
            </w:tr>
            <w:tr w:rsidR="00504BF3" w:rsidTr="00806947">
              <w:tc>
                <w:tcPr>
                  <w:tcW w:w="2411"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1984" w:type="dxa"/>
                  <w:vMerge/>
                  <w:shd w:val="clear" w:color="auto" w:fill="F2F2F2" w:themeFill="background1" w:themeFillShade="F2"/>
                  <w:tcMar>
                    <w:top w:w="57" w:type="dxa"/>
                    <w:bottom w:w="57" w:type="dxa"/>
                  </w:tcMar>
                </w:tcPr>
                <w:p w:rsidR="00504BF3" w:rsidRPr="004608E1" w:rsidRDefault="00504BF3" w:rsidP="00806947">
                  <w:pPr>
                    <w:pStyle w:val="TableBody"/>
                  </w:pPr>
                </w:p>
              </w:tc>
              <w:tc>
                <w:tcPr>
                  <w:tcW w:w="4394" w:type="dxa"/>
                  <w:shd w:val="clear" w:color="auto" w:fill="F2F2F2" w:themeFill="background1" w:themeFillShade="F2"/>
                  <w:tcMar>
                    <w:top w:w="57" w:type="dxa"/>
                    <w:bottom w:w="57" w:type="dxa"/>
                  </w:tcMar>
                </w:tcPr>
                <w:p w:rsidR="00504BF3" w:rsidRPr="004608E1" w:rsidRDefault="00504BF3" w:rsidP="00806947">
                  <w:pPr>
                    <w:pStyle w:val="TableBody"/>
                  </w:pPr>
                  <w:r w:rsidRPr="004608E1">
                    <w:t>Community broadcasters</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Pr="00DF1CB8" w:rsidRDefault="00504BF3" w:rsidP="00504BF3">
      <w:pPr>
        <w:pStyle w:val="Heading2"/>
      </w:pPr>
      <w:bookmarkStart w:id="25" w:name="_Toc400965224"/>
      <w:bookmarkStart w:id="26" w:name="_Toc426099810"/>
      <w:r w:rsidRPr="00DF1CB8">
        <w:t>3.2</w:t>
      </w:r>
      <w:r w:rsidRPr="00DF1CB8">
        <w:tab/>
        <w:t>Costs of the activity</w:t>
      </w:r>
      <w:bookmarkEnd w:id="25"/>
      <w:bookmarkEnd w:id="26"/>
    </w:p>
    <w:p w:rsidR="00504BF3" w:rsidRPr="00DF1CB8" w:rsidRDefault="00504BF3" w:rsidP="00504BF3">
      <w:pPr>
        <w:rPr>
          <w:rFonts w:cs="Arial"/>
        </w:rPr>
      </w:pPr>
      <w:r w:rsidRPr="00DF1CB8">
        <w:rPr>
          <w:rFonts w:cs="Arial"/>
        </w:rPr>
        <w:t xml:space="preserve">The costs incurred by the ACMA in executing its functions include direct, corporate and support costs. Direct costs are those costs that can be directly attributed to the ACMA’s service provision. Direct costs include direct staff salaries and other expenses (for example, contractors, consultants, suppliers, office consumables, travel) </w:t>
      </w:r>
      <w:r>
        <w:rPr>
          <w:rFonts w:cs="Arial"/>
        </w:rPr>
        <w:t>for</w:t>
      </w:r>
      <w:r w:rsidRPr="00DF1CB8">
        <w:rPr>
          <w:rFonts w:cs="Arial"/>
        </w:rPr>
        <w:t xml:space="preserve"> the operational areas in carrying out the activities.</w:t>
      </w:r>
    </w:p>
    <w:p w:rsidR="00504BF3" w:rsidRPr="00DF1CB8" w:rsidRDefault="00504BF3" w:rsidP="00504BF3">
      <w:pPr>
        <w:rPr>
          <w:rFonts w:cs="Arial"/>
        </w:rPr>
      </w:pPr>
      <w:r w:rsidRPr="00DF1CB8">
        <w:rPr>
          <w:rFonts w:cs="Arial"/>
        </w:rPr>
        <w:t>The corporate and support costs are the costs incurred by the ACMA’s support services such as information technology, finance, human resources, facilities, legal and other corporate services. These costs are allocated to activities using a number of cost drivers</w:t>
      </w:r>
      <w:r>
        <w:rPr>
          <w:rFonts w:cs="Arial"/>
        </w:rPr>
        <w:t>,</w:t>
      </w:r>
      <w:r w:rsidRPr="00DF1CB8">
        <w:rPr>
          <w:rFonts w:cs="Arial"/>
        </w:rPr>
        <w:t xml:space="preserve"> which include average staffing levels, the value of assets and an estimation of consumption of resources to reflect the appropriate support costs. The costs include all support staff salaries and other expenses (for example, contractors, consultants, suppliers, depreciation, occupancy) </w:t>
      </w:r>
      <w:r>
        <w:rPr>
          <w:rFonts w:cs="Arial"/>
        </w:rPr>
        <w:t>for</w:t>
      </w:r>
      <w:r w:rsidRPr="00DF1CB8">
        <w:rPr>
          <w:rFonts w:cs="Arial"/>
        </w:rPr>
        <w:t xml:space="preserve"> corporate support services.</w:t>
      </w:r>
    </w:p>
    <w:p w:rsidR="00504BF3" w:rsidRPr="00DF1CB8" w:rsidRDefault="00504BF3" w:rsidP="00504BF3">
      <w:pPr>
        <w:rPr>
          <w:rFonts w:cs="Arial"/>
        </w:rPr>
      </w:pPr>
    </w:p>
    <w:p w:rsidR="00504BF3" w:rsidRPr="00DF1CB8" w:rsidRDefault="00504BF3" w:rsidP="00504BF3">
      <w:pPr>
        <w:pStyle w:val="Heading3"/>
      </w:pPr>
      <w:bookmarkStart w:id="27" w:name="_Toc400965225"/>
      <w:bookmarkStart w:id="28" w:name="_Toc426099811"/>
      <w:r>
        <w:lastRenderedPageBreak/>
        <w:t>3.2.1</w:t>
      </w:r>
      <w:r>
        <w:tab/>
      </w:r>
      <w:r w:rsidRPr="00DF1CB8">
        <w:t>Hourly rates</w:t>
      </w:r>
      <w:bookmarkEnd w:id="27"/>
      <w:bookmarkEnd w:id="28"/>
    </w:p>
    <w:p w:rsidR="00504BF3" w:rsidRPr="00DF1CB8" w:rsidRDefault="00504BF3" w:rsidP="00504BF3">
      <w:pPr>
        <w:rPr>
          <w:rFonts w:cs="Arial"/>
        </w:rPr>
      </w:pPr>
      <w:r w:rsidRPr="00DF1CB8">
        <w:rPr>
          <w:rFonts w:cs="Arial"/>
        </w:rPr>
        <w:t>The ACMA’s hourly rate ($197) is based on the cost of services incurred by the ACMA in executing its functions for the financial year 2010</w:t>
      </w:r>
      <w:r>
        <w:rPr>
          <w:rFonts w:cs="Arial"/>
        </w:rPr>
        <w:t>–</w:t>
      </w:r>
      <w:r w:rsidRPr="00DF1CB8">
        <w:rPr>
          <w:rFonts w:cs="Arial"/>
        </w:rPr>
        <w:t>11. This rate was established by taking the net cost of services of the ACMA’s business units for 2010</w:t>
      </w:r>
      <w:r>
        <w:rPr>
          <w:rFonts w:cs="Arial"/>
        </w:rPr>
        <w:t>–</w:t>
      </w:r>
      <w:r w:rsidRPr="00DF1CB8">
        <w:rPr>
          <w:rFonts w:cs="Arial"/>
        </w:rPr>
        <w:t>11, including an attribution of all corporate and support costs</w:t>
      </w:r>
      <w:r>
        <w:rPr>
          <w:rFonts w:cs="Arial"/>
        </w:rPr>
        <w:t>,</w:t>
      </w:r>
      <w:r w:rsidRPr="00DF1CB8">
        <w:rPr>
          <w:rFonts w:cs="Arial"/>
        </w:rPr>
        <w:t xml:space="preserve"> and dividing this cost by the average staff hours spent by the business units during the financial year 2010</w:t>
      </w:r>
      <w:r>
        <w:rPr>
          <w:rFonts w:cs="Arial"/>
        </w:rPr>
        <w:t>–</w:t>
      </w:r>
      <w:r w:rsidRPr="00DF1CB8">
        <w:rPr>
          <w:rFonts w:cs="Arial"/>
        </w:rPr>
        <w:t>11.</w:t>
      </w:r>
      <w:r>
        <w:rPr>
          <w:rFonts w:cs="Arial"/>
        </w:rPr>
        <w:t xml:space="preserve"> </w:t>
      </w:r>
      <w:r w:rsidRPr="00DF1CB8">
        <w:rPr>
          <w:rFonts w:cs="Arial"/>
        </w:rPr>
        <w:t>Currently, the costs are not subject to indexation.</w:t>
      </w:r>
    </w:p>
    <w:p w:rsidR="00504BF3" w:rsidRDefault="00504BF3" w:rsidP="00504BF3">
      <w:pPr>
        <w:rPr>
          <w:rFonts w:cs="Arial"/>
        </w:rPr>
      </w:pPr>
      <w:r w:rsidRPr="00DF1CB8">
        <w:rPr>
          <w:rFonts w:cs="Arial"/>
        </w:rPr>
        <w:t>Table 3 provides the estimated components of direct and indirect costs for the ACMA’s hourly rate:</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pPr>
            <w:r>
              <w:t xml:space="preserve">Table </w:t>
            </w:r>
            <w:fldSimple w:instr=" SEQ Table \* ARABIC ">
              <w:r>
                <w:rPr>
                  <w:noProof/>
                </w:rPr>
                <w:t>3</w:t>
              </w:r>
            </w:fldSimple>
            <w:r>
              <w:t xml:space="preserve"> </w:t>
            </w:r>
            <w:r w:rsidRPr="00815064">
              <w:t>Components of the ACMA’s hourly rate</w:t>
            </w:r>
          </w:p>
        </w:tc>
      </w:tr>
      <w:tr w:rsidR="00504BF3" w:rsidTr="00806947">
        <w:trPr>
          <w:trHeight w:val="1263"/>
        </w:trPr>
        <w:tc>
          <w:tcPr>
            <w:tcW w:w="9645" w:type="dxa"/>
            <w:shd w:val="clear" w:color="auto" w:fill="auto"/>
            <w:tcMar>
              <w:left w:w="28" w:type="dxa"/>
            </w:tcMar>
          </w:tcPr>
          <w:tbl>
            <w:tblPr>
              <w:tblStyle w:val="TableGrid"/>
              <w:tblW w:w="0" w:type="auto"/>
              <w:tblLayout w:type="fixed"/>
              <w:tblLook w:val="04A0" w:firstRow="1" w:lastRow="0" w:firstColumn="1" w:lastColumn="0" w:noHBand="0" w:noVBand="1"/>
            </w:tblPr>
            <w:tblGrid>
              <w:gridCol w:w="4803"/>
              <w:gridCol w:w="4804"/>
            </w:tblGrid>
            <w:tr w:rsidR="00504BF3" w:rsidTr="00806947">
              <w:tc>
                <w:tcPr>
                  <w:tcW w:w="4803" w:type="dxa"/>
                  <w:shd w:val="clear" w:color="auto" w:fill="404040" w:themeFill="text1" w:themeFillTint="BF"/>
                  <w:tcMar>
                    <w:top w:w="57" w:type="dxa"/>
                    <w:bottom w:w="57" w:type="dxa"/>
                  </w:tcMar>
                </w:tcPr>
                <w:p w:rsidR="00504BF3" w:rsidRPr="00815064" w:rsidRDefault="00504BF3" w:rsidP="00806947">
                  <w:pPr>
                    <w:pStyle w:val="TableHeading"/>
                    <w:rPr>
                      <w:color w:val="FFFFFF" w:themeColor="background1"/>
                    </w:rPr>
                  </w:pPr>
                  <w:r w:rsidRPr="00815064">
                    <w:rPr>
                      <w:color w:val="FFFFFF" w:themeColor="background1"/>
                    </w:rPr>
                    <w:t>Cost component</w:t>
                  </w:r>
                </w:p>
              </w:tc>
              <w:tc>
                <w:tcPr>
                  <w:tcW w:w="4804" w:type="dxa"/>
                  <w:shd w:val="clear" w:color="auto" w:fill="404040" w:themeFill="text1" w:themeFillTint="BF"/>
                  <w:tcMar>
                    <w:top w:w="57" w:type="dxa"/>
                    <w:bottom w:w="57" w:type="dxa"/>
                  </w:tcMar>
                </w:tcPr>
                <w:p w:rsidR="00504BF3" w:rsidRPr="00815064" w:rsidRDefault="00504BF3" w:rsidP="00806947">
                  <w:pPr>
                    <w:pStyle w:val="TableHeading"/>
                    <w:rPr>
                      <w:color w:val="FFFFFF" w:themeColor="background1"/>
                    </w:rPr>
                  </w:pPr>
                  <w:r w:rsidRPr="00815064">
                    <w:rPr>
                      <w:color w:val="FFFFFF" w:themeColor="background1"/>
                    </w:rPr>
                    <w:t>Amount</w:t>
                  </w:r>
                </w:p>
              </w:tc>
            </w:tr>
            <w:tr w:rsidR="00504BF3" w:rsidTr="00806947">
              <w:tc>
                <w:tcPr>
                  <w:tcW w:w="4803" w:type="dxa"/>
                  <w:tcMar>
                    <w:top w:w="57" w:type="dxa"/>
                    <w:bottom w:w="57" w:type="dxa"/>
                  </w:tcMar>
                </w:tcPr>
                <w:p w:rsidR="00504BF3" w:rsidRDefault="00504BF3" w:rsidP="00806947">
                  <w:pPr>
                    <w:pStyle w:val="TableBody"/>
                  </w:pPr>
                  <w:r w:rsidRPr="00DF1CB8">
                    <w:t>Direct cost per hour</w:t>
                  </w:r>
                </w:p>
              </w:tc>
              <w:tc>
                <w:tcPr>
                  <w:tcW w:w="4804" w:type="dxa"/>
                  <w:tcMar>
                    <w:top w:w="57" w:type="dxa"/>
                    <w:bottom w:w="57" w:type="dxa"/>
                  </w:tcMar>
                </w:tcPr>
                <w:p w:rsidR="00504BF3" w:rsidRDefault="00504BF3" w:rsidP="00806947">
                  <w:pPr>
                    <w:pStyle w:val="TableBody"/>
                  </w:pPr>
                  <w:r w:rsidRPr="00DF1CB8">
                    <w:t>$110</w:t>
                  </w:r>
                </w:p>
              </w:tc>
            </w:tr>
            <w:tr w:rsidR="00504BF3" w:rsidTr="00806947">
              <w:tc>
                <w:tcPr>
                  <w:tcW w:w="4803" w:type="dxa"/>
                  <w:tcMar>
                    <w:top w:w="57" w:type="dxa"/>
                    <w:bottom w:w="57" w:type="dxa"/>
                  </w:tcMar>
                </w:tcPr>
                <w:p w:rsidR="00504BF3" w:rsidRDefault="00504BF3" w:rsidP="00806947">
                  <w:pPr>
                    <w:pStyle w:val="TableBody"/>
                  </w:pPr>
                  <w:r w:rsidRPr="00DF1CB8">
                    <w:t>Corporate and support costs per hour</w:t>
                  </w:r>
                </w:p>
              </w:tc>
              <w:tc>
                <w:tcPr>
                  <w:tcW w:w="4804" w:type="dxa"/>
                  <w:tcMar>
                    <w:top w:w="57" w:type="dxa"/>
                    <w:bottom w:w="57" w:type="dxa"/>
                  </w:tcMar>
                </w:tcPr>
                <w:p w:rsidR="00504BF3" w:rsidRDefault="00504BF3" w:rsidP="00806947">
                  <w:pPr>
                    <w:pStyle w:val="TableBody"/>
                  </w:pPr>
                  <w:r w:rsidRPr="00DF1CB8">
                    <w:t>$87</w:t>
                  </w:r>
                </w:p>
              </w:tc>
            </w:tr>
            <w:tr w:rsidR="00504BF3" w:rsidTr="00806947">
              <w:tc>
                <w:tcPr>
                  <w:tcW w:w="4803" w:type="dxa"/>
                  <w:shd w:val="clear" w:color="auto" w:fill="F2F2F2" w:themeFill="background1" w:themeFillShade="F2"/>
                  <w:tcMar>
                    <w:top w:w="57" w:type="dxa"/>
                    <w:bottom w:w="57" w:type="dxa"/>
                  </w:tcMar>
                </w:tcPr>
                <w:p w:rsidR="00504BF3" w:rsidRDefault="00504BF3" w:rsidP="00806947">
                  <w:pPr>
                    <w:pStyle w:val="TableHeading"/>
                  </w:pPr>
                  <w:r w:rsidRPr="00DF1CB8">
                    <w:t>Total cost per hour</w:t>
                  </w:r>
                </w:p>
              </w:tc>
              <w:tc>
                <w:tcPr>
                  <w:tcW w:w="4804" w:type="dxa"/>
                  <w:shd w:val="clear" w:color="auto" w:fill="F2F2F2" w:themeFill="background1" w:themeFillShade="F2"/>
                  <w:tcMar>
                    <w:top w:w="57" w:type="dxa"/>
                    <w:bottom w:w="57" w:type="dxa"/>
                  </w:tcMar>
                </w:tcPr>
                <w:p w:rsidR="00504BF3" w:rsidRPr="00815064" w:rsidRDefault="00504BF3" w:rsidP="00806947">
                  <w:pPr>
                    <w:pStyle w:val="TableHeading"/>
                  </w:pPr>
                  <w:r>
                    <w:t>$197</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Pr="00DF1CB8" w:rsidRDefault="00504BF3" w:rsidP="00504BF3">
      <w:pPr>
        <w:spacing w:before="240"/>
        <w:rPr>
          <w:rFonts w:cs="Arial"/>
        </w:rPr>
      </w:pPr>
      <w:r w:rsidRPr="00DF1CB8">
        <w:rPr>
          <w:rFonts w:cs="Arial"/>
        </w:rPr>
        <w:t>As consulted with stakeholders, the hourly rate is based on the 2010</w:t>
      </w:r>
      <w:r>
        <w:rPr>
          <w:rFonts w:cs="Arial"/>
        </w:rPr>
        <w:t>–</w:t>
      </w:r>
      <w:r w:rsidRPr="00DF1CB8">
        <w:rPr>
          <w:rFonts w:cs="Arial"/>
        </w:rPr>
        <w:t xml:space="preserve">11 financial year. This is considered appropriate for the calculation of fees as no significant changes </w:t>
      </w:r>
      <w:r>
        <w:rPr>
          <w:rFonts w:cs="Arial"/>
        </w:rPr>
        <w:t xml:space="preserve">have </w:t>
      </w:r>
      <w:r w:rsidRPr="00DF1CB8">
        <w:rPr>
          <w:rFonts w:cs="Arial"/>
        </w:rPr>
        <w:t xml:space="preserve">occurred to the ACMA’s organisational and cost structures.  </w:t>
      </w:r>
    </w:p>
    <w:p w:rsidR="00504BF3" w:rsidRPr="00DF1CB8" w:rsidRDefault="00504BF3" w:rsidP="00504BF3">
      <w:pPr>
        <w:rPr>
          <w:rFonts w:cs="Arial"/>
        </w:rPr>
      </w:pPr>
      <w:r w:rsidRPr="00DF1CB8">
        <w:rPr>
          <w:rFonts w:cs="Arial"/>
        </w:rPr>
        <w:t>In the converging markets for communications and media, the ACMA’s business units’ activities exhibit more common characteristics</w:t>
      </w:r>
      <w:r>
        <w:rPr>
          <w:rFonts w:cs="Arial"/>
        </w:rPr>
        <w:t xml:space="preserve"> when</w:t>
      </w:r>
      <w:r w:rsidRPr="00DF1CB8">
        <w:rPr>
          <w:rFonts w:cs="Arial"/>
        </w:rPr>
        <w:t xml:space="preserve"> compared to traditional communications and media activity groups such as radiocommunications, telecommunications and broadcasting services. The effort required by the ACMA’s staff for each activity group under the converging environment is similar as it uses almost the same level of staff across these groups. In addition, the ACMA has consulted with an independent auditor </w:t>
      </w:r>
      <w:r>
        <w:rPr>
          <w:rFonts w:cs="Arial"/>
        </w:rPr>
        <w:t>on</w:t>
      </w:r>
      <w:r w:rsidRPr="00DF1CB8">
        <w:rPr>
          <w:rFonts w:cs="Arial"/>
        </w:rPr>
        <w:t xml:space="preserve"> the application of its hourly rate to all activities listed in </w:t>
      </w:r>
      <w:r>
        <w:rPr>
          <w:rFonts w:cs="Arial"/>
        </w:rPr>
        <w:t>a</w:t>
      </w:r>
      <w:r w:rsidRPr="00DF1CB8">
        <w:rPr>
          <w:rFonts w:cs="Arial"/>
        </w:rPr>
        <w:t xml:space="preserve">ttachments A and B. The rate has been consistently applied to all fees, except those related to type testing activities. </w:t>
      </w:r>
    </w:p>
    <w:p w:rsidR="00504BF3" w:rsidRPr="00DF1CB8" w:rsidRDefault="00504BF3" w:rsidP="00504BF3">
      <w:pPr>
        <w:rPr>
          <w:rFonts w:cs="Arial"/>
        </w:rPr>
      </w:pPr>
      <w:r w:rsidRPr="00DF1CB8">
        <w:rPr>
          <w:rFonts w:cs="Arial"/>
        </w:rPr>
        <w:t>The Type Testing Unit performs a discrete activity and two separate rates apply</w:t>
      </w:r>
      <w:r>
        <w:rPr>
          <w:rFonts w:cs="Arial"/>
        </w:rPr>
        <w:t>—</w:t>
      </w:r>
      <w:r w:rsidRPr="00DF1CB8">
        <w:rPr>
          <w:rFonts w:cs="Arial"/>
        </w:rPr>
        <w:t xml:space="preserve">one for the testing of devices for compliance and </w:t>
      </w:r>
      <w:r>
        <w:rPr>
          <w:rFonts w:cs="Arial"/>
        </w:rPr>
        <w:t xml:space="preserve">the </w:t>
      </w:r>
      <w:r w:rsidRPr="00DF1CB8">
        <w:rPr>
          <w:rFonts w:cs="Arial"/>
        </w:rPr>
        <w:t>other for assessment and advice on compliance without testing of devices. The reason for establishing separate hourly rates is that this discrete activity with unique costs associated with the operation of the testing equipment need</w:t>
      </w:r>
      <w:r>
        <w:rPr>
          <w:rFonts w:cs="Arial"/>
        </w:rPr>
        <w:t>s</w:t>
      </w:r>
      <w:r w:rsidRPr="00DF1CB8">
        <w:rPr>
          <w:rFonts w:cs="Arial"/>
        </w:rPr>
        <w:t xml:space="preserve"> to be reflected in the costs of undertaking the type testing activities. These rates were calculated with reference to the total costs incurred by the Type Testing Unit and the average hours spent in type testing activities. The hourly rates are $289 for testing of devices for compliance and $270 for assessment and advice on compliance without testing of devices.</w:t>
      </w:r>
    </w:p>
    <w:p w:rsidR="00504BF3" w:rsidRPr="00DF1CB8" w:rsidRDefault="00504BF3" w:rsidP="00504BF3">
      <w:pPr>
        <w:pStyle w:val="Heading2"/>
      </w:pPr>
      <w:bookmarkStart w:id="29" w:name="_Toc400965226"/>
      <w:bookmarkStart w:id="30" w:name="_Toc426099812"/>
      <w:r w:rsidRPr="00DF1CB8">
        <w:t>3.3</w:t>
      </w:r>
      <w:r w:rsidRPr="00DF1CB8">
        <w:tab/>
        <w:t>Design of cost recovery fees</w:t>
      </w:r>
      <w:bookmarkEnd w:id="29"/>
      <w:bookmarkEnd w:id="30"/>
    </w:p>
    <w:p w:rsidR="00504BF3" w:rsidRPr="00DF1CB8" w:rsidRDefault="00504BF3" w:rsidP="00504BF3">
      <w:pPr>
        <w:rPr>
          <w:rFonts w:cs="Arial"/>
        </w:rPr>
      </w:pPr>
      <w:r w:rsidRPr="00DF1CB8">
        <w:rPr>
          <w:rFonts w:cs="Arial"/>
        </w:rPr>
        <w:t xml:space="preserve">The calculation of fees was based on the ACMA’s hourly rate multiplied by the estimated time taken to conduct each activity. This methodology has been applied to all the fees outlined in </w:t>
      </w:r>
      <w:r>
        <w:rPr>
          <w:rFonts w:cs="Arial"/>
        </w:rPr>
        <w:t>a</w:t>
      </w:r>
      <w:r w:rsidRPr="00DF1CB8">
        <w:rPr>
          <w:rFonts w:cs="Arial"/>
        </w:rPr>
        <w:t>ttachments A and B. In addition, the broadcasting fees include specific costs, such as the costs of gazettal and public notifications for issuing licences where appropriate. The calculation methodology has not changed from the one adopted in the previous review in 2012.</w:t>
      </w:r>
    </w:p>
    <w:p w:rsidR="00504BF3" w:rsidRPr="00DF1CB8" w:rsidRDefault="00504BF3" w:rsidP="00504BF3">
      <w:pPr>
        <w:pStyle w:val="Heading3"/>
      </w:pPr>
      <w:bookmarkStart w:id="31" w:name="_Toc400965227"/>
      <w:bookmarkStart w:id="32" w:name="_Toc426099813"/>
      <w:r>
        <w:lastRenderedPageBreak/>
        <w:t>3.3.1</w:t>
      </w:r>
      <w:r>
        <w:tab/>
      </w:r>
      <w:r w:rsidRPr="00DF1CB8">
        <w:t>Changes to fees</w:t>
      </w:r>
      <w:bookmarkEnd w:id="31"/>
      <w:bookmarkEnd w:id="32"/>
    </w:p>
    <w:p w:rsidR="00504BF3" w:rsidRPr="00DF1CB8" w:rsidRDefault="00504BF3" w:rsidP="00504BF3">
      <w:pPr>
        <w:spacing w:after="80"/>
        <w:rPr>
          <w:rFonts w:cs="Arial"/>
        </w:rPr>
      </w:pPr>
      <w:r w:rsidRPr="00DF1CB8">
        <w:rPr>
          <w:rFonts w:cs="Arial"/>
        </w:rPr>
        <w:t xml:space="preserve">As a result of preparing for the introduction of the new suite of engineering and licensing tools, the ACMA has changed the pricing mechanism from a variable rate to a standard rate for radiocommunications licensing services that particularly relate to the issue, transfer or renewal of apparatus and spectrum licences that were determined on a variable rates basis. The changes also include administrative changes </w:t>
      </w:r>
      <w:r>
        <w:rPr>
          <w:rFonts w:cs="Arial"/>
        </w:rPr>
        <w:t>to</w:t>
      </w:r>
      <w:r w:rsidRPr="00DF1CB8">
        <w:rPr>
          <w:rFonts w:cs="Arial"/>
        </w:rPr>
        <w:t xml:space="preserve"> the description of activities or processes. The following methodologies have been used to assess the time taken to process individual licence types as appropriate:</w:t>
      </w:r>
    </w:p>
    <w:p w:rsidR="00504BF3" w:rsidRPr="00DF1CB8" w:rsidRDefault="00504BF3" w:rsidP="00504BF3">
      <w:pPr>
        <w:pStyle w:val="ListBullet"/>
      </w:pPr>
      <w:r w:rsidRPr="00DF1CB8">
        <w:t>Method A</w:t>
      </w:r>
      <w:r>
        <w:t>—i</w:t>
      </w:r>
      <w:r w:rsidRPr="00DF1CB8">
        <w:t>f there were licences issued during the 2012</w:t>
      </w:r>
      <w:r>
        <w:t>–</w:t>
      </w:r>
      <w:r w:rsidRPr="00DF1CB8">
        <w:t>13 financial year, an average of the time taken to issue the particular licence type. (This methodology was applied to 15 items in Attachment A</w:t>
      </w:r>
      <w:r>
        <w:t>.</w:t>
      </w:r>
      <w:r w:rsidRPr="00DF1CB8">
        <w:t>)</w:t>
      </w:r>
    </w:p>
    <w:p w:rsidR="00504BF3" w:rsidRPr="00DF1CB8" w:rsidRDefault="00504BF3" w:rsidP="00504BF3">
      <w:pPr>
        <w:pStyle w:val="ListBullet"/>
      </w:pPr>
      <w:r w:rsidRPr="00DF1CB8">
        <w:t>Method B</w:t>
      </w:r>
      <w:r>
        <w:t>—i</w:t>
      </w:r>
      <w:r w:rsidRPr="00DF1CB8">
        <w:t>f there were no licences issued during</w:t>
      </w:r>
      <w:r>
        <w:t xml:space="preserve"> the</w:t>
      </w:r>
      <w:r w:rsidRPr="00DF1CB8">
        <w:t xml:space="preserve"> 2012</w:t>
      </w:r>
      <w:r>
        <w:t>–</w:t>
      </w:r>
      <w:r w:rsidRPr="00DF1CB8">
        <w:t xml:space="preserve">13 financial year, the time taken to process similar licence types </w:t>
      </w:r>
      <w:r>
        <w:t>that</w:t>
      </w:r>
      <w:r w:rsidRPr="00DF1CB8">
        <w:t xml:space="preserve"> have a standard fee</w:t>
      </w:r>
      <w:r>
        <w:t>.</w:t>
      </w:r>
    </w:p>
    <w:p w:rsidR="00504BF3" w:rsidRPr="00DF1CB8" w:rsidRDefault="00504BF3" w:rsidP="00504BF3">
      <w:pPr>
        <w:pStyle w:val="ListBullet"/>
        <w:spacing w:after="240"/>
      </w:pPr>
      <w:r w:rsidRPr="00DF1CB8">
        <w:t>Method C</w:t>
      </w:r>
      <w:r>
        <w:t>—i</w:t>
      </w:r>
      <w:r w:rsidRPr="00DF1CB8">
        <w:t>f neither Method A nor Method B appl</w:t>
      </w:r>
      <w:r>
        <w:t>ies</w:t>
      </w:r>
      <w:r w:rsidRPr="00DF1CB8">
        <w:t xml:space="preserve"> as there are no similar licence types or previous issues, the time taken to process </w:t>
      </w:r>
      <w:r>
        <w:t>i</w:t>
      </w:r>
      <w:r w:rsidRPr="00DF1CB8">
        <w:t>s estimated by the licensing staff based on a time and motion study methodology.</w:t>
      </w:r>
    </w:p>
    <w:p w:rsidR="00504BF3" w:rsidRPr="00DF1CB8" w:rsidRDefault="00504BF3" w:rsidP="00504BF3">
      <w:pPr>
        <w:pStyle w:val="Heading3"/>
      </w:pPr>
      <w:bookmarkStart w:id="33" w:name="_Toc400965228"/>
      <w:bookmarkStart w:id="34" w:name="_Toc426099814"/>
      <w:r>
        <w:t>3.3.2</w:t>
      </w:r>
      <w:r>
        <w:tab/>
      </w:r>
      <w:r w:rsidRPr="00DF1CB8">
        <w:t>Changes to fees for issue and transfer of radiocommunications licences</w:t>
      </w:r>
      <w:bookmarkEnd w:id="33"/>
      <w:bookmarkEnd w:id="34"/>
    </w:p>
    <w:p w:rsidR="00504BF3" w:rsidRPr="00DF1CB8" w:rsidRDefault="00504BF3" w:rsidP="00504BF3">
      <w:pPr>
        <w:rPr>
          <w:rFonts w:cs="Arial"/>
        </w:rPr>
      </w:pPr>
      <w:r w:rsidRPr="00DF1CB8">
        <w:rPr>
          <w:rFonts w:cs="Arial"/>
        </w:rPr>
        <w:t xml:space="preserve">In order to determine the proposed standard fee for issue and transfer of licences, the estimated time taken to perform each activity has been multiplied by the ACMA’s current hourly rate, which is $197. The charge for a licence is slightly higher or lower than it has been in the past, particularly for the licences that have been issued previously (where </w:t>
      </w:r>
      <w:r>
        <w:rPr>
          <w:rFonts w:cs="Arial"/>
        </w:rPr>
        <w:t>M</w:t>
      </w:r>
      <w:r w:rsidRPr="00DF1CB8">
        <w:rPr>
          <w:rFonts w:cs="Arial"/>
        </w:rPr>
        <w:t xml:space="preserve">ethod A is applied). </w:t>
      </w:r>
    </w:p>
    <w:p w:rsidR="00504BF3" w:rsidRPr="00DF1CB8" w:rsidRDefault="00504BF3" w:rsidP="00504BF3">
      <w:pPr>
        <w:rPr>
          <w:rFonts w:cs="Arial"/>
        </w:rPr>
      </w:pPr>
      <w:r w:rsidRPr="00DF1CB8">
        <w:rPr>
          <w:rFonts w:cs="Arial"/>
        </w:rPr>
        <w:t>The impact on most of the changes is negligible as the conversion of fees from a variable rate to a standard rate is based on an average time taken to perform the activities. For example</w:t>
      </w:r>
      <w:r>
        <w:rPr>
          <w:rFonts w:cs="Arial"/>
        </w:rPr>
        <w:t>,</w:t>
      </w:r>
      <w:r w:rsidRPr="00DF1CB8">
        <w:rPr>
          <w:rFonts w:cs="Arial"/>
        </w:rPr>
        <w:t xml:space="preserve"> there were 13 broadcasting licences issued for the operation of a narrowband area service (activity 3 in Attachment A) for $5,272 in 2012</w:t>
      </w:r>
      <w:r>
        <w:rPr>
          <w:rFonts w:cs="Arial"/>
        </w:rPr>
        <w:t>–</w:t>
      </w:r>
      <w:r w:rsidRPr="00DF1CB8">
        <w:rPr>
          <w:rFonts w:cs="Arial"/>
        </w:rPr>
        <w:t xml:space="preserve">13, averaging $405 revenue per licence. This represents the average cost of issuing each broadcasting licence, which is approximately equivalent to </w:t>
      </w:r>
      <w:r>
        <w:rPr>
          <w:rFonts w:cs="Arial"/>
        </w:rPr>
        <w:t>two</w:t>
      </w:r>
      <w:r w:rsidRPr="00DF1CB8">
        <w:rPr>
          <w:rFonts w:cs="Arial"/>
        </w:rPr>
        <w:t xml:space="preserve"> hours at an hourly rate of $197. Accordingly, the standard fee was determined at $394. In the case of scientific</w:t>
      </w:r>
      <w:r>
        <w:rPr>
          <w:rFonts w:cs="Arial"/>
        </w:rPr>
        <w:t>-</w:t>
      </w:r>
      <w:r w:rsidRPr="00DF1CB8">
        <w:rPr>
          <w:rFonts w:cs="Arial"/>
        </w:rPr>
        <w:t>assigned licences (activity 14 in Attachment A)</w:t>
      </w:r>
      <w:r>
        <w:rPr>
          <w:rFonts w:cs="Arial"/>
        </w:rPr>
        <w:t>,</w:t>
      </w:r>
      <w:r w:rsidRPr="00DF1CB8">
        <w:rPr>
          <w:rFonts w:cs="Arial"/>
        </w:rPr>
        <w:t xml:space="preserve"> there were </w:t>
      </w:r>
      <w:r>
        <w:rPr>
          <w:rFonts w:cs="Arial"/>
        </w:rPr>
        <w:t>two</w:t>
      </w:r>
      <w:r w:rsidRPr="00DF1CB8">
        <w:rPr>
          <w:rFonts w:cs="Arial"/>
        </w:rPr>
        <w:t xml:space="preserve"> licences issued for $1,182, averaging $591 revenue per licence. This is equivalent to </w:t>
      </w:r>
      <w:r>
        <w:rPr>
          <w:rFonts w:cs="Arial"/>
        </w:rPr>
        <w:t>three</w:t>
      </w:r>
      <w:r w:rsidRPr="00DF1CB8">
        <w:rPr>
          <w:rFonts w:cs="Arial"/>
        </w:rPr>
        <w:t xml:space="preserve"> hours at $197, which equates to a standard fee of $591. </w:t>
      </w:r>
    </w:p>
    <w:p w:rsidR="00504BF3" w:rsidRPr="00DF1CB8" w:rsidRDefault="00504BF3" w:rsidP="00504BF3">
      <w:pPr>
        <w:rPr>
          <w:rFonts w:cs="Arial"/>
        </w:rPr>
      </w:pPr>
      <w:r w:rsidRPr="00DF1CB8">
        <w:rPr>
          <w:rFonts w:cs="Arial"/>
        </w:rPr>
        <w:t xml:space="preserve">Importantly, the introduction of a standard fee will provide customers with certainty about the fee for the issue of the particular licence type they apply for. </w:t>
      </w:r>
    </w:p>
    <w:p w:rsidR="00504BF3" w:rsidRPr="00DF1CB8" w:rsidRDefault="00504BF3" w:rsidP="00504BF3">
      <w:pPr>
        <w:pStyle w:val="Heading3"/>
      </w:pPr>
      <w:bookmarkStart w:id="35" w:name="_Toc400965229"/>
      <w:bookmarkStart w:id="36" w:name="_Toc426099815"/>
      <w:r>
        <w:t>3.3.3</w:t>
      </w:r>
      <w:r>
        <w:tab/>
      </w:r>
      <w:r w:rsidRPr="00DF1CB8">
        <w:t>Changes to renewal fees for licences</w:t>
      </w:r>
      <w:bookmarkEnd w:id="35"/>
      <w:bookmarkEnd w:id="36"/>
    </w:p>
    <w:p w:rsidR="00504BF3" w:rsidRPr="00DF1CB8" w:rsidRDefault="00504BF3" w:rsidP="00504BF3">
      <w:pPr>
        <w:rPr>
          <w:rFonts w:cs="Arial"/>
        </w:rPr>
      </w:pPr>
      <w:r w:rsidRPr="00DF1CB8">
        <w:rPr>
          <w:rFonts w:cs="Arial"/>
        </w:rPr>
        <w:t>The renewal fee (opposed to the issuing fee) for radiocommunications non-assigned licences included in Part 7 of Schedule 2 of the Radiocommunications Determination has been separated and included with the renewal fee for radiocommunications assigned licences in Part 8 of Schedule 2 of the Radiocommunications Determination. The process involved in renewing non-assigned licences is similar to the process for renewing assigned licences, which cost</w:t>
      </w:r>
      <w:r>
        <w:rPr>
          <w:rFonts w:cs="Arial"/>
        </w:rPr>
        <w:t>s</w:t>
      </w:r>
      <w:r w:rsidRPr="00DF1CB8">
        <w:rPr>
          <w:rFonts w:cs="Arial"/>
        </w:rPr>
        <w:t xml:space="preserve"> $4 per licence. </w:t>
      </w:r>
    </w:p>
    <w:p w:rsidR="00504BF3" w:rsidRPr="00DF1CB8" w:rsidRDefault="00504BF3" w:rsidP="00504BF3">
      <w:pPr>
        <w:rPr>
          <w:rFonts w:cs="Arial"/>
        </w:rPr>
      </w:pPr>
      <w:r w:rsidRPr="00DF1CB8">
        <w:rPr>
          <w:rFonts w:cs="Arial"/>
        </w:rPr>
        <w:t>As a result, the fee for non-assigned licence renewal (activities 28 to 41 in Attachment A) reduced from its issue fee of between $7 and $28 (averaging $17.6) to $4. There were approximately 25,000 renewal applications processed in 2012</w:t>
      </w:r>
      <w:r>
        <w:rPr>
          <w:rFonts w:cs="Arial"/>
        </w:rPr>
        <w:t>–</w:t>
      </w:r>
      <w:r w:rsidRPr="00DF1CB8">
        <w:rPr>
          <w:rFonts w:cs="Arial"/>
        </w:rPr>
        <w:t>13. Based on this number of applications, it is estimated that the revenue from the renewal of non-assigned licences will be reduced by about $440,000 as a result of this change (refer Table 4 under section 3.4).</w:t>
      </w:r>
    </w:p>
    <w:p w:rsidR="00504BF3" w:rsidRPr="00DF1CB8" w:rsidRDefault="00504BF3" w:rsidP="00504BF3">
      <w:pPr>
        <w:pStyle w:val="Heading3"/>
      </w:pPr>
      <w:bookmarkStart w:id="37" w:name="_Toc400965230"/>
      <w:bookmarkStart w:id="38" w:name="_Toc426099816"/>
      <w:r>
        <w:lastRenderedPageBreak/>
        <w:t>3.3.4</w:t>
      </w:r>
      <w:r>
        <w:tab/>
      </w:r>
      <w:r w:rsidRPr="00DF1CB8">
        <w:t>Changes to apparatus licence fee arrangement for wireless audio transmitters</w:t>
      </w:r>
      <w:bookmarkEnd w:id="37"/>
      <w:bookmarkEnd w:id="38"/>
    </w:p>
    <w:p w:rsidR="00504BF3" w:rsidRPr="00DF1CB8" w:rsidRDefault="00504BF3" w:rsidP="00504BF3">
      <w:pPr>
        <w:rPr>
          <w:rFonts w:cs="Arial"/>
        </w:rPr>
      </w:pPr>
      <w:r w:rsidRPr="00DF1CB8">
        <w:rPr>
          <w:rFonts w:cs="Arial"/>
        </w:rPr>
        <w:t>Under the Radiocommunications (Wireless Audio Transmitters) Determination 2006, wireless audio transmitters are authorised under the land mobile apparatus licence type</w:t>
      </w:r>
      <w:r>
        <w:rPr>
          <w:rFonts w:cs="Arial"/>
        </w:rPr>
        <w:t>;</w:t>
      </w:r>
      <w:r w:rsidRPr="00DF1CB8">
        <w:rPr>
          <w:rFonts w:cs="Arial"/>
        </w:rPr>
        <w:t xml:space="preserve"> more specifically</w:t>
      </w:r>
      <w:r>
        <w:rPr>
          <w:rFonts w:cs="Arial"/>
        </w:rPr>
        <w:t>,</w:t>
      </w:r>
      <w:r w:rsidRPr="00DF1CB8">
        <w:rPr>
          <w:rFonts w:cs="Arial"/>
        </w:rPr>
        <w:t xml:space="preserve"> the ambulatory station licence type. The issue charge for a wireless audio transmitter (activity 8a in Attachment A) is effectively the same as the existing issue charge of an ambulatory station (activity 106 in Attachment B)</w:t>
      </w:r>
      <w:r>
        <w:rPr>
          <w:rFonts w:cs="Arial"/>
        </w:rPr>
        <w:t>,</w:t>
      </w:r>
      <w:r w:rsidRPr="00DF1CB8">
        <w:rPr>
          <w:rFonts w:cs="Arial"/>
        </w:rPr>
        <w:t xml:space="preserve"> as both licence types are substantially similar and the costs of reviewing applications are comparable. Consequently</w:t>
      </w:r>
      <w:r>
        <w:rPr>
          <w:rFonts w:cs="Arial"/>
        </w:rPr>
        <w:t>,</w:t>
      </w:r>
      <w:r w:rsidRPr="00DF1CB8">
        <w:rPr>
          <w:rFonts w:cs="Arial"/>
        </w:rPr>
        <w:t xml:space="preserve"> a group of wireless audio transmitters</w:t>
      </w:r>
      <w:r>
        <w:rPr>
          <w:rFonts w:cs="Arial"/>
        </w:rPr>
        <w:t>—</w:t>
      </w:r>
      <w:r w:rsidRPr="00DF1CB8">
        <w:rPr>
          <w:rFonts w:cs="Arial"/>
        </w:rPr>
        <w:t>that is</w:t>
      </w:r>
      <w:r>
        <w:rPr>
          <w:rFonts w:cs="Arial"/>
        </w:rPr>
        <w:t>,</w:t>
      </w:r>
      <w:r w:rsidRPr="00DF1CB8">
        <w:rPr>
          <w:rFonts w:cs="Arial"/>
        </w:rPr>
        <w:t xml:space="preserve"> a wireless audio system operated at major venues</w:t>
      </w:r>
      <w:r>
        <w:rPr>
          <w:rFonts w:cs="Arial"/>
        </w:rPr>
        <w:t>—</w:t>
      </w:r>
      <w:r w:rsidRPr="00DF1CB8">
        <w:rPr>
          <w:rFonts w:cs="Arial"/>
        </w:rPr>
        <w:t xml:space="preserve">would have similar characteristics to those of an ambulatory system and would share a similar issue charge of $493.  </w:t>
      </w:r>
    </w:p>
    <w:p w:rsidR="00504BF3" w:rsidRPr="00DF1CB8" w:rsidRDefault="00504BF3" w:rsidP="00504BF3">
      <w:pPr>
        <w:rPr>
          <w:rFonts w:cs="Arial"/>
        </w:rPr>
      </w:pPr>
      <w:r w:rsidRPr="00DF1CB8">
        <w:rPr>
          <w:rFonts w:cs="Arial"/>
        </w:rPr>
        <w:t>In order to reflect some of the technical conditions that are pertinent to a wireless audio system, the ACMA has to distinguish between a wireless audio system and land mobile ambulatory system in the Radiocommunications Determination. Accordingly, it is an extension of activities that are performed under the ACMA’s existing regulatory policy for cost recovery arrangement.</w:t>
      </w:r>
    </w:p>
    <w:p w:rsidR="00504BF3" w:rsidRPr="00DF1CB8" w:rsidRDefault="00504BF3" w:rsidP="00504BF3">
      <w:pPr>
        <w:rPr>
          <w:rFonts w:cs="Arial"/>
        </w:rPr>
      </w:pPr>
      <w:r w:rsidRPr="00DF1CB8">
        <w:rPr>
          <w:rFonts w:cs="Arial"/>
        </w:rPr>
        <w:t>There are about 500 venues, consisting of sports venues used for major events, theatres, remote regional venues and major theme parks. On the assumption that all 500 venues are apparatus</w:t>
      </w:r>
      <w:r>
        <w:rPr>
          <w:rFonts w:cs="Arial"/>
        </w:rPr>
        <w:t>-</w:t>
      </w:r>
      <w:r w:rsidRPr="00DF1CB8">
        <w:rPr>
          <w:rFonts w:cs="Arial"/>
        </w:rPr>
        <w:t>licensed, the revenue from issuing this licence would increase by $247,000 (</w:t>
      </w:r>
      <w:r>
        <w:rPr>
          <w:rFonts w:cs="Arial"/>
        </w:rPr>
        <w:t>see</w:t>
      </w:r>
      <w:r w:rsidRPr="00DF1CB8">
        <w:rPr>
          <w:rFonts w:cs="Arial"/>
        </w:rPr>
        <w:t xml:space="preserve"> Table 4 under section 3.4).</w:t>
      </w:r>
    </w:p>
    <w:p w:rsidR="00504BF3" w:rsidRPr="00DF1CB8" w:rsidRDefault="00504BF3" w:rsidP="00504BF3">
      <w:pPr>
        <w:pStyle w:val="Heading3"/>
      </w:pPr>
      <w:bookmarkStart w:id="39" w:name="_Toc400965231"/>
      <w:bookmarkStart w:id="40" w:name="_Toc426099817"/>
      <w:r>
        <w:t>3.3.5</w:t>
      </w:r>
      <w:r>
        <w:tab/>
      </w:r>
      <w:r w:rsidRPr="00DF1CB8">
        <w:t>Other changes</w:t>
      </w:r>
      <w:bookmarkEnd w:id="39"/>
      <w:bookmarkEnd w:id="40"/>
    </w:p>
    <w:p w:rsidR="00504BF3" w:rsidRPr="00DF1CB8" w:rsidRDefault="00504BF3" w:rsidP="00504BF3">
      <w:pPr>
        <w:spacing w:after="80"/>
        <w:rPr>
          <w:rFonts w:cs="Arial"/>
        </w:rPr>
      </w:pPr>
      <w:r w:rsidRPr="00DF1CB8">
        <w:rPr>
          <w:rFonts w:cs="Arial"/>
        </w:rPr>
        <w:t>The following additional changes have been made in order to enable the application of standard rate for all radiocommunications activities:</w:t>
      </w:r>
    </w:p>
    <w:p w:rsidR="00504BF3" w:rsidRPr="00DF1CB8" w:rsidRDefault="00504BF3" w:rsidP="00504BF3">
      <w:pPr>
        <w:pStyle w:val="ListBullet"/>
      </w:pPr>
      <w:r w:rsidRPr="00DF1CB8">
        <w:t>the description for transfer of radiocommunications licences (activity number 43) has been changed to include a group of licences per application</w:t>
      </w:r>
    </w:p>
    <w:p w:rsidR="00504BF3" w:rsidRPr="00DF1CB8" w:rsidRDefault="00504BF3" w:rsidP="00504BF3">
      <w:pPr>
        <w:pStyle w:val="ListBullet"/>
      </w:pPr>
      <w:r w:rsidRPr="00DF1CB8">
        <w:t>the inclusion of a standard fee for some broadcasting types of services charged at an hourly rate (that is, high</w:t>
      </w:r>
      <w:r>
        <w:t>-</w:t>
      </w:r>
      <w:r w:rsidRPr="00DF1CB8">
        <w:t>frequency broadcasting services</w:t>
      </w:r>
      <w:r>
        <w:t>—</w:t>
      </w:r>
      <w:r w:rsidRPr="00DF1CB8">
        <w:t>activity number 27</w:t>
      </w:r>
      <w:r>
        <w:t>,</w:t>
      </w:r>
      <w:r w:rsidRPr="00DF1CB8">
        <w:t xml:space="preserve"> and varying LPONS</w:t>
      </w:r>
      <w:r>
        <w:t>—</w:t>
      </w:r>
      <w:r w:rsidRPr="00DF1CB8">
        <w:t>activity number 62)</w:t>
      </w:r>
    </w:p>
    <w:p w:rsidR="00504BF3" w:rsidRPr="00DF1CB8" w:rsidRDefault="00504BF3" w:rsidP="00504BF3">
      <w:pPr>
        <w:pStyle w:val="ListBullet"/>
      </w:pPr>
      <w:r w:rsidRPr="00DF1CB8">
        <w:t>issuing a licence or issuing a reprint of a licence now includes a charge for trading spectrum (activity number 56)</w:t>
      </w:r>
    </w:p>
    <w:p w:rsidR="00504BF3" w:rsidRPr="00DF1CB8" w:rsidRDefault="00504BF3" w:rsidP="00504BF3">
      <w:pPr>
        <w:pStyle w:val="ListBullet"/>
      </w:pPr>
      <w:r w:rsidRPr="00DF1CB8">
        <w:t>other minor changes to the activity descriptions contained in Schedule 2 to the Radiocommunications Determination are specified in Attached A</w:t>
      </w:r>
    </w:p>
    <w:p w:rsidR="00504BF3" w:rsidRPr="00DF1CB8" w:rsidRDefault="00504BF3" w:rsidP="00504BF3">
      <w:pPr>
        <w:pStyle w:val="ListBullet"/>
        <w:spacing w:after="240"/>
      </w:pPr>
      <w:r>
        <w:t>t</w:t>
      </w:r>
      <w:r w:rsidRPr="00DF1CB8">
        <w:t xml:space="preserve">he activity in relation to Land Mobile System 0-35MHz (activity number 8) has been deleted as it is no longer applicable. </w:t>
      </w:r>
    </w:p>
    <w:p w:rsidR="00504BF3" w:rsidRPr="00DF1CB8" w:rsidRDefault="00504BF3" w:rsidP="00504BF3">
      <w:pPr>
        <w:rPr>
          <w:rFonts w:cs="Arial"/>
        </w:rPr>
      </w:pPr>
      <w:r w:rsidRPr="00DF1CB8">
        <w:rPr>
          <w:rFonts w:cs="Arial"/>
        </w:rPr>
        <w:t>The radiocommunications fees are likely to be reviewed again once the new management tools are introduced and time</w:t>
      </w:r>
      <w:r>
        <w:rPr>
          <w:rFonts w:cs="Arial"/>
        </w:rPr>
        <w:t xml:space="preserve"> </w:t>
      </w:r>
      <w:r w:rsidRPr="00DF1CB8">
        <w:rPr>
          <w:rFonts w:cs="Arial"/>
        </w:rPr>
        <w:t>frames become clearer. It is possible that fees may reduce further as less staff time is spent on assigning frequencies and allocating licences.</w:t>
      </w:r>
    </w:p>
    <w:p w:rsidR="00504BF3" w:rsidRPr="00DF1CB8" w:rsidRDefault="00504BF3" w:rsidP="00504BF3">
      <w:pPr>
        <w:pStyle w:val="Heading2"/>
      </w:pPr>
      <w:bookmarkStart w:id="41" w:name="_Toc400965232"/>
      <w:bookmarkStart w:id="42" w:name="_Toc426099818"/>
      <w:r w:rsidRPr="00DF1CB8">
        <w:t>3.4</w:t>
      </w:r>
      <w:r w:rsidRPr="00DF1CB8">
        <w:tab/>
        <w:t>Financial impact due to changes</w:t>
      </w:r>
      <w:bookmarkEnd w:id="41"/>
      <w:bookmarkEnd w:id="42"/>
    </w:p>
    <w:p w:rsidR="00504BF3" w:rsidRPr="00DF1CB8" w:rsidRDefault="00504BF3" w:rsidP="00504BF3">
      <w:pPr>
        <w:pStyle w:val="Heading3"/>
      </w:pPr>
      <w:bookmarkStart w:id="43" w:name="_Toc400965233"/>
      <w:bookmarkStart w:id="44" w:name="_Toc426099819"/>
      <w:r>
        <w:t>3.4.1</w:t>
      </w:r>
      <w:r>
        <w:tab/>
      </w:r>
      <w:r w:rsidRPr="00DF1CB8">
        <w:t>Summary of changes</w:t>
      </w:r>
      <w:bookmarkEnd w:id="43"/>
      <w:bookmarkEnd w:id="44"/>
    </w:p>
    <w:p w:rsidR="00504BF3" w:rsidRPr="00DF1CB8" w:rsidRDefault="00504BF3" w:rsidP="00504BF3">
      <w:pPr>
        <w:rPr>
          <w:rFonts w:cs="Arial"/>
        </w:rPr>
      </w:pPr>
      <w:r w:rsidRPr="00DF1CB8">
        <w:rPr>
          <w:rFonts w:cs="Arial"/>
        </w:rPr>
        <w:t>There are 66 activities listed in Attachment A. From the listed activities</w:t>
      </w:r>
      <w:r>
        <w:rPr>
          <w:rFonts w:cs="Arial"/>
        </w:rPr>
        <w:t>,</w:t>
      </w:r>
      <w:r w:rsidRPr="00DF1CB8">
        <w:rPr>
          <w:rFonts w:cs="Arial"/>
        </w:rPr>
        <w:t xml:space="preserve"> 55 require changes to the fee amount as part of the implementation of the new licensing toolkit. The changes to the other activities relate to descriptions or removal of activities.</w:t>
      </w:r>
    </w:p>
    <w:p w:rsidR="00504BF3" w:rsidRPr="00DF1CB8" w:rsidRDefault="00504BF3" w:rsidP="00504BF3">
      <w:pPr>
        <w:rPr>
          <w:rFonts w:cs="Arial"/>
        </w:rPr>
      </w:pPr>
      <w:r w:rsidRPr="00DF1CB8">
        <w:rPr>
          <w:rFonts w:cs="Arial"/>
        </w:rPr>
        <w:t>Table</w:t>
      </w:r>
      <w:r>
        <w:rPr>
          <w:rFonts w:cs="Arial"/>
        </w:rPr>
        <w:t xml:space="preserve"> 4</w:t>
      </w:r>
      <w:r w:rsidRPr="00DF1CB8">
        <w:rPr>
          <w:rFonts w:cs="Arial"/>
        </w:rPr>
        <w:t xml:space="preserve"> provides a summary of the proposed changes and indicates the estimated revenue increase or reduction for each category as a result of the application of the proposed fees.</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keepNext/>
            </w:pPr>
            <w:r>
              <w:lastRenderedPageBreak/>
              <w:t xml:space="preserve">Table </w:t>
            </w:r>
            <w:fldSimple w:instr=" SEQ Table \* ARABIC ">
              <w:r>
                <w:rPr>
                  <w:noProof/>
                </w:rPr>
                <w:t>4</w:t>
              </w:r>
            </w:fldSimple>
            <w:r>
              <w:t xml:space="preserve"> </w:t>
            </w:r>
            <w:r w:rsidRPr="00F26330">
              <w:t>Summary of changes</w:t>
            </w:r>
          </w:p>
        </w:tc>
      </w:tr>
      <w:tr w:rsidR="00504BF3" w:rsidTr="00806947">
        <w:trPr>
          <w:trHeight w:val="3086"/>
        </w:trPr>
        <w:tc>
          <w:tcPr>
            <w:tcW w:w="9645" w:type="dxa"/>
            <w:shd w:val="clear" w:color="auto" w:fill="auto"/>
            <w:tcMar>
              <w:left w:w="28" w:type="dxa"/>
            </w:tcMar>
          </w:tcPr>
          <w:tbl>
            <w:tblPr>
              <w:tblW w:w="90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15"/>
              <w:gridCol w:w="1134"/>
              <w:gridCol w:w="2405"/>
            </w:tblGrid>
            <w:tr w:rsidR="00504BF3" w:rsidRPr="007733C2" w:rsidTr="00806947">
              <w:tc>
                <w:tcPr>
                  <w:tcW w:w="5515" w:type="dxa"/>
                  <w:shd w:val="clear" w:color="auto" w:fill="595959" w:themeFill="text1" w:themeFillTint="A6"/>
                  <w:tcMar>
                    <w:top w:w="57" w:type="dxa"/>
                    <w:bottom w:w="57" w:type="dxa"/>
                  </w:tcMar>
                </w:tcPr>
                <w:p w:rsidR="00504BF3" w:rsidRPr="00F26330" w:rsidRDefault="00504BF3" w:rsidP="00806947">
                  <w:pPr>
                    <w:pStyle w:val="TableHeading"/>
                    <w:rPr>
                      <w:color w:val="FFFFFF" w:themeColor="background1"/>
                      <w:lang w:eastAsia="en-US"/>
                    </w:rPr>
                  </w:pPr>
                  <w:r w:rsidRPr="00F26330">
                    <w:rPr>
                      <w:color w:val="FFFFFF" w:themeColor="background1"/>
                      <w:lang w:eastAsia="en-US"/>
                    </w:rPr>
                    <w:t xml:space="preserve">Reason for changes </w:t>
                  </w:r>
                </w:p>
              </w:tc>
              <w:tc>
                <w:tcPr>
                  <w:tcW w:w="1134" w:type="dxa"/>
                  <w:shd w:val="clear" w:color="auto" w:fill="595959" w:themeFill="text1" w:themeFillTint="A6"/>
                  <w:tcMar>
                    <w:top w:w="57" w:type="dxa"/>
                    <w:bottom w:w="57" w:type="dxa"/>
                  </w:tcMar>
                </w:tcPr>
                <w:p w:rsidR="00504BF3" w:rsidRPr="00F26330" w:rsidRDefault="00504BF3" w:rsidP="00806947">
                  <w:pPr>
                    <w:pStyle w:val="TableHeading"/>
                    <w:rPr>
                      <w:color w:val="FFFFFF" w:themeColor="background1"/>
                      <w:lang w:eastAsia="en-US"/>
                    </w:rPr>
                  </w:pPr>
                  <w:r w:rsidRPr="00F26330">
                    <w:rPr>
                      <w:color w:val="FFFFFF" w:themeColor="background1"/>
                      <w:lang w:eastAsia="en-US"/>
                    </w:rPr>
                    <w:t>Number of items</w:t>
                  </w:r>
                </w:p>
              </w:tc>
              <w:tc>
                <w:tcPr>
                  <w:tcW w:w="2405" w:type="dxa"/>
                  <w:shd w:val="clear" w:color="auto" w:fill="595959" w:themeFill="text1" w:themeFillTint="A6"/>
                  <w:tcMar>
                    <w:top w:w="57" w:type="dxa"/>
                    <w:bottom w:w="57" w:type="dxa"/>
                  </w:tcMar>
                </w:tcPr>
                <w:p w:rsidR="00504BF3" w:rsidRPr="00F26330" w:rsidRDefault="00504BF3" w:rsidP="00806947">
                  <w:pPr>
                    <w:pStyle w:val="TableHeading"/>
                    <w:rPr>
                      <w:color w:val="FFFFFF" w:themeColor="background1"/>
                      <w:lang w:eastAsia="en-US"/>
                    </w:rPr>
                  </w:pPr>
                  <w:r w:rsidRPr="00F26330">
                    <w:rPr>
                      <w:color w:val="FFFFFF" w:themeColor="background1"/>
                      <w:lang w:eastAsia="en-US"/>
                    </w:rPr>
                    <w:t>Estimated revenue increase or (reduction)</w:t>
                  </w:r>
                  <w:r>
                    <w:rPr>
                      <w:color w:val="FFFFFF" w:themeColor="background1"/>
                      <w:lang w:eastAsia="en-US"/>
                    </w:rPr>
                    <w:t xml:space="preserve"> </w:t>
                  </w:r>
                  <w:r>
                    <w:rPr>
                      <w:color w:val="FFFFFF" w:themeColor="background1"/>
                      <w:lang w:eastAsia="en-US"/>
                    </w:rPr>
                    <w:br/>
                  </w:r>
                  <w:r w:rsidRPr="00F26330">
                    <w:rPr>
                      <w:color w:val="FFFFFF" w:themeColor="background1"/>
                      <w:lang w:eastAsia="en-US"/>
                    </w:rPr>
                    <w:t>$million</w:t>
                  </w:r>
                </w:p>
              </w:tc>
            </w:tr>
            <w:tr w:rsidR="00504BF3" w:rsidRPr="007733C2" w:rsidTr="00806947">
              <w:trPr>
                <w:trHeight w:val="459"/>
              </w:trPr>
              <w:tc>
                <w:tcPr>
                  <w:tcW w:w="5515"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Conversion of the variable rate to the standard rate using the average time taken in 2012</w:t>
                  </w:r>
                  <w:r>
                    <w:rPr>
                      <w:lang w:eastAsia="en-US"/>
                    </w:rPr>
                    <w:t>–</w:t>
                  </w:r>
                  <w:r w:rsidRPr="007733C2">
                    <w:rPr>
                      <w:lang w:eastAsia="en-US"/>
                    </w:rPr>
                    <w:t>13</w:t>
                  </w:r>
                  <w:r>
                    <w:rPr>
                      <w:lang w:eastAsia="en-US"/>
                    </w:rPr>
                    <w:t xml:space="preserve"> (</w:t>
                  </w:r>
                  <w:r w:rsidRPr="007733C2">
                    <w:rPr>
                      <w:lang w:eastAsia="en-US"/>
                    </w:rPr>
                    <w:t>Method A</w:t>
                  </w:r>
                  <w:r>
                    <w:rPr>
                      <w:lang w:eastAsia="en-US"/>
                    </w:rPr>
                    <w:t>)</w:t>
                  </w:r>
                </w:p>
              </w:tc>
              <w:tc>
                <w:tcPr>
                  <w:tcW w:w="1134"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1</w:t>
                  </w:r>
                  <w:r>
                    <w:rPr>
                      <w:lang w:eastAsia="en-US"/>
                    </w:rPr>
                    <w:t>2</w:t>
                  </w:r>
                </w:p>
              </w:tc>
              <w:tc>
                <w:tcPr>
                  <w:tcW w:w="2405"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Negligible</w:t>
                  </w:r>
                </w:p>
              </w:tc>
            </w:tr>
            <w:tr w:rsidR="00504BF3" w:rsidRPr="007733C2" w:rsidTr="00806947">
              <w:trPr>
                <w:trHeight w:val="438"/>
              </w:trPr>
              <w:tc>
                <w:tcPr>
                  <w:tcW w:w="5515" w:type="dxa"/>
                  <w:tcMar>
                    <w:top w:w="57" w:type="dxa"/>
                    <w:bottom w:w="57" w:type="dxa"/>
                  </w:tcMar>
                </w:tcPr>
                <w:p w:rsidR="00504BF3" w:rsidRPr="007733C2" w:rsidRDefault="00504BF3" w:rsidP="00806947">
                  <w:pPr>
                    <w:pStyle w:val="TableBody"/>
                    <w:rPr>
                      <w:lang w:eastAsia="en-US"/>
                    </w:rPr>
                  </w:pPr>
                  <w:r w:rsidRPr="007733C2">
                    <w:rPr>
                      <w:lang w:eastAsia="en-US"/>
                    </w:rPr>
                    <w:t xml:space="preserve">Conversion of the variable rate to the standard rate using fees applicable to similar licence type </w:t>
                  </w:r>
                  <w:r>
                    <w:rPr>
                      <w:lang w:eastAsia="en-US"/>
                    </w:rPr>
                    <w:t>(</w:t>
                  </w:r>
                  <w:r w:rsidRPr="007733C2">
                    <w:rPr>
                      <w:lang w:eastAsia="en-US"/>
                    </w:rPr>
                    <w:t>Method B</w:t>
                  </w:r>
                  <w:r>
                    <w:rPr>
                      <w:lang w:eastAsia="en-US"/>
                    </w:rPr>
                    <w:t>)</w:t>
                  </w:r>
                </w:p>
              </w:tc>
              <w:tc>
                <w:tcPr>
                  <w:tcW w:w="1134" w:type="dxa"/>
                  <w:tcMar>
                    <w:top w:w="57" w:type="dxa"/>
                    <w:bottom w:w="57" w:type="dxa"/>
                  </w:tcMar>
                </w:tcPr>
                <w:p w:rsidR="00504BF3" w:rsidRPr="007733C2" w:rsidRDefault="00504BF3" w:rsidP="00806947">
                  <w:pPr>
                    <w:pStyle w:val="TableBody"/>
                    <w:rPr>
                      <w:lang w:eastAsia="en-US"/>
                    </w:rPr>
                  </w:pPr>
                  <w:r>
                    <w:rPr>
                      <w:lang w:eastAsia="en-US"/>
                    </w:rPr>
                    <w:t>5</w:t>
                  </w:r>
                </w:p>
              </w:tc>
              <w:tc>
                <w:tcPr>
                  <w:tcW w:w="2405" w:type="dxa"/>
                  <w:tcMar>
                    <w:top w:w="57" w:type="dxa"/>
                    <w:bottom w:w="57" w:type="dxa"/>
                  </w:tcMar>
                </w:tcPr>
                <w:p w:rsidR="00504BF3" w:rsidRPr="007733C2" w:rsidRDefault="00504BF3" w:rsidP="00806947">
                  <w:pPr>
                    <w:pStyle w:val="TableBody"/>
                    <w:rPr>
                      <w:lang w:eastAsia="en-US"/>
                    </w:rPr>
                  </w:pPr>
                  <w:r>
                    <w:rPr>
                      <w:lang w:eastAsia="en-US"/>
                    </w:rPr>
                    <w:t>Negligible</w:t>
                  </w:r>
                </w:p>
              </w:tc>
            </w:tr>
            <w:tr w:rsidR="00504BF3" w:rsidRPr="007733C2" w:rsidTr="00806947">
              <w:trPr>
                <w:trHeight w:val="446"/>
              </w:trPr>
              <w:tc>
                <w:tcPr>
                  <w:tcW w:w="5515" w:type="dxa"/>
                  <w:tcMar>
                    <w:top w:w="57" w:type="dxa"/>
                    <w:bottom w:w="57" w:type="dxa"/>
                  </w:tcMar>
                </w:tcPr>
                <w:p w:rsidR="00504BF3" w:rsidRPr="007733C2" w:rsidRDefault="00504BF3" w:rsidP="00806947">
                  <w:pPr>
                    <w:pStyle w:val="TableBody"/>
                    <w:rPr>
                      <w:lang w:eastAsia="en-US"/>
                    </w:rPr>
                  </w:pPr>
                  <w:r>
                    <w:rPr>
                      <w:lang w:eastAsia="en-US"/>
                    </w:rPr>
                    <w:t>Changes to apparatus licence fee for wireless audio transmitters (Method B)</w:t>
                  </w:r>
                </w:p>
              </w:tc>
              <w:tc>
                <w:tcPr>
                  <w:tcW w:w="1134" w:type="dxa"/>
                  <w:tcMar>
                    <w:top w:w="57" w:type="dxa"/>
                    <w:bottom w:w="57" w:type="dxa"/>
                  </w:tcMar>
                </w:tcPr>
                <w:p w:rsidR="00504BF3" w:rsidRPr="007733C2" w:rsidRDefault="00504BF3" w:rsidP="00806947">
                  <w:pPr>
                    <w:pStyle w:val="TableBody"/>
                    <w:rPr>
                      <w:lang w:eastAsia="en-US"/>
                    </w:rPr>
                  </w:pPr>
                  <w:r>
                    <w:rPr>
                      <w:lang w:eastAsia="en-US"/>
                    </w:rPr>
                    <w:t>1</w:t>
                  </w:r>
                </w:p>
              </w:tc>
              <w:tc>
                <w:tcPr>
                  <w:tcW w:w="2405" w:type="dxa"/>
                  <w:tcMar>
                    <w:top w:w="57" w:type="dxa"/>
                    <w:bottom w:w="57" w:type="dxa"/>
                  </w:tcMar>
                </w:tcPr>
                <w:p w:rsidR="00504BF3" w:rsidRPr="007733C2" w:rsidRDefault="00504BF3" w:rsidP="00806947">
                  <w:pPr>
                    <w:pStyle w:val="TableBody"/>
                    <w:rPr>
                      <w:lang w:eastAsia="en-US"/>
                    </w:rPr>
                  </w:pPr>
                  <w:r>
                    <w:rPr>
                      <w:lang w:eastAsia="en-US"/>
                    </w:rPr>
                    <w:t>0.25</w:t>
                  </w:r>
                </w:p>
              </w:tc>
            </w:tr>
            <w:tr w:rsidR="00504BF3" w:rsidRPr="007733C2" w:rsidTr="00806947">
              <w:trPr>
                <w:trHeight w:val="429"/>
              </w:trPr>
              <w:tc>
                <w:tcPr>
                  <w:tcW w:w="5515" w:type="dxa"/>
                  <w:tcMar>
                    <w:top w:w="57" w:type="dxa"/>
                    <w:bottom w:w="57" w:type="dxa"/>
                  </w:tcMar>
                </w:tcPr>
                <w:p w:rsidR="00504BF3" w:rsidRPr="007733C2" w:rsidRDefault="00504BF3" w:rsidP="00806947">
                  <w:pPr>
                    <w:pStyle w:val="TableBody"/>
                    <w:rPr>
                      <w:lang w:eastAsia="en-US"/>
                    </w:rPr>
                  </w:pPr>
                  <w:r w:rsidRPr="007733C2">
                    <w:rPr>
                      <w:lang w:eastAsia="en-US"/>
                    </w:rPr>
                    <w:t xml:space="preserve">Conversion of the variable rate to the standard rate using the estimated time taken </w:t>
                  </w:r>
                  <w:r>
                    <w:rPr>
                      <w:lang w:eastAsia="en-US"/>
                    </w:rPr>
                    <w:t>(</w:t>
                  </w:r>
                  <w:r w:rsidRPr="007733C2">
                    <w:rPr>
                      <w:lang w:eastAsia="en-US"/>
                    </w:rPr>
                    <w:t>Method C</w:t>
                  </w:r>
                  <w:r>
                    <w:rPr>
                      <w:lang w:eastAsia="en-US"/>
                    </w:rPr>
                    <w:t>)</w:t>
                  </w:r>
                </w:p>
              </w:tc>
              <w:tc>
                <w:tcPr>
                  <w:tcW w:w="1134" w:type="dxa"/>
                  <w:tcMar>
                    <w:top w:w="57" w:type="dxa"/>
                    <w:bottom w:w="57" w:type="dxa"/>
                  </w:tcMar>
                </w:tcPr>
                <w:p w:rsidR="00504BF3" w:rsidRPr="007733C2" w:rsidRDefault="00504BF3" w:rsidP="00806947">
                  <w:pPr>
                    <w:pStyle w:val="TableBody"/>
                    <w:rPr>
                      <w:lang w:eastAsia="en-US"/>
                    </w:rPr>
                  </w:pPr>
                  <w:r w:rsidRPr="007733C2">
                    <w:rPr>
                      <w:lang w:eastAsia="en-US"/>
                    </w:rPr>
                    <w:t>18</w:t>
                  </w:r>
                </w:p>
              </w:tc>
              <w:tc>
                <w:tcPr>
                  <w:tcW w:w="2405" w:type="dxa"/>
                  <w:tcMar>
                    <w:top w:w="57" w:type="dxa"/>
                    <w:bottom w:w="57" w:type="dxa"/>
                  </w:tcMar>
                </w:tcPr>
                <w:p w:rsidR="00504BF3" w:rsidRPr="007733C2" w:rsidRDefault="00504BF3" w:rsidP="00806947">
                  <w:pPr>
                    <w:pStyle w:val="TableBody"/>
                    <w:rPr>
                      <w:lang w:eastAsia="en-US"/>
                    </w:rPr>
                  </w:pPr>
                  <w:r w:rsidRPr="007733C2">
                    <w:rPr>
                      <w:lang w:eastAsia="en-US"/>
                    </w:rPr>
                    <w:t>Nil</w:t>
                  </w:r>
                </w:p>
              </w:tc>
            </w:tr>
            <w:tr w:rsidR="00504BF3" w:rsidRPr="007733C2" w:rsidTr="00806947">
              <w:trPr>
                <w:trHeight w:val="495"/>
              </w:trPr>
              <w:tc>
                <w:tcPr>
                  <w:tcW w:w="5515" w:type="dxa"/>
                  <w:tcMar>
                    <w:top w:w="57" w:type="dxa"/>
                    <w:bottom w:w="57" w:type="dxa"/>
                  </w:tcMar>
                </w:tcPr>
                <w:p w:rsidR="00504BF3" w:rsidRPr="007733C2" w:rsidRDefault="00504BF3" w:rsidP="00806947">
                  <w:pPr>
                    <w:pStyle w:val="TableBody"/>
                    <w:rPr>
                      <w:lang w:eastAsia="en-US"/>
                    </w:rPr>
                  </w:pPr>
                  <w:r w:rsidRPr="007733C2">
                    <w:rPr>
                      <w:lang w:eastAsia="en-US"/>
                    </w:rPr>
                    <w:t>Reduction in fee for renewal of non-assigned licences in line with the fee charged for assigned licences</w:t>
                  </w:r>
                </w:p>
              </w:tc>
              <w:tc>
                <w:tcPr>
                  <w:tcW w:w="1134" w:type="dxa"/>
                  <w:tcMar>
                    <w:top w:w="57" w:type="dxa"/>
                    <w:bottom w:w="57" w:type="dxa"/>
                  </w:tcMar>
                </w:tcPr>
                <w:p w:rsidR="00504BF3" w:rsidRPr="007733C2" w:rsidRDefault="00504BF3" w:rsidP="00806947">
                  <w:pPr>
                    <w:pStyle w:val="TableBody"/>
                    <w:rPr>
                      <w:lang w:eastAsia="en-US"/>
                    </w:rPr>
                  </w:pPr>
                  <w:r w:rsidRPr="007733C2">
                    <w:rPr>
                      <w:lang w:eastAsia="en-US"/>
                    </w:rPr>
                    <w:t>15</w:t>
                  </w:r>
                </w:p>
              </w:tc>
              <w:tc>
                <w:tcPr>
                  <w:tcW w:w="2405" w:type="dxa"/>
                  <w:tcMar>
                    <w:top w:w="57" w:type="dxa"/>
                    <w:bottom w:w="57" w:type="dxa"/>
                  </w:tcMar>
                </w:tcPr>
                <w:p w:rsidR="00504BF3" w:rsidRPr="007733C2" w:rsidRDefault="00504BF3" w:rsidP="00806947">
                  <w:pPr>
                    <w:pStyle w:val="TableBody"/>
                    <w:rPr>
                      <w:lang w:eastAsia="en-US"/>
                    </w:rPr>
                  </w:pPr>
                  <w:r w:rsidRPr="007733C2">
                    <w:rPr>
                      <w:lang w:eastAsia="en-US"/>
                    </w:rPr>
                    <w:t>(</w:t>
                  </w:r>
                  <w:r>
                    <w:rPr>
                      <w:lang w:eastAsia="en-US"/>
                    </w:rPr>
                    <w:t>0.</w:t>
                  </w:r>
                  <w:r w:rsidRPr="007733C2">
                    <w:rPr>
                      <w:lang w:eastAsia="en-US"/>
                    </w:rPr>
                    <w:t>44)</w:t>
                  </w:r>
                </w:p>
              </w:tc>
            </w:tr>
            <w:tr w:rsidR="00504BF3" w:rsidRPr="007733C2" w:rsidTr="00806947">
              <w:trPr>
                <w:trHeight w:val="149"/>
              </w:trPr>
              <w:tc>
                <w:tcPr>
                  <w:tcW w:w="5515"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Rounding</w:t>
                  </w:r>
                </w:p>
              </w:tc>
              <w:tc>
                <w:tcPr>
                  <w:tcW w:w="1134"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2</w:t>
                  </w:r>
                </w:p>
              </w:tc>
              <w:tc>
                <w:tcPr>
                  <w:tcW w:w="2405"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Negligible</w:t>
                  </w:r>
                </w:p>
              </w:tc>
            </w:tr>
            <w:tr w:rsidR="00504BF3" w:rsidRPr="007733C2" w:rsidTr="00806947">
              <w:trPr>
                <w:trHeight w:val="201"/>
              </w:trPr>
              <w:tc>
                <w:tcPr>
                  <w:tcW w:w="5515"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Deletion</w:t>
                  </w:r>
                  <w:r>
                    <w:rPr>
                      <w:lang w:eastAsia="en-US"/>
                    </w:rPr>
                    <w:t>—</w:t>
                  </w:r>
                  <w:r w:rsidRPr="007733C2">
                    <w:rPr>
                      <w:lang w:eastAsia="en-US"/>
                    </w:rPr>
                    <w:t>as no longer applicable</w:t>
                  </w:r>
                </w:p>
              </w:tc>
              <w:tc>
                <w:tcPr>
                  <w:tcW w:w="1134"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3</w:t>
                  </w:r>
                </w:p>
              </w:tc>
              <w:tc>
                <w:tcPr>
                  <w:tcW w:w="2405" w:type="dxa"/>
                  <w:shd w:val="clear" w:color="auto" w:fill="auto"/>
                  <w:tcMar>
                    <w:top w:w="57" w:type="dxa"/>
                    <w:bottom w:w="57" w:type="dxa"/>
                  </w:tcMar>
                </w:tcPr>
                <w:p w:rsidR="00504BF3" w:rsidRPr="007733C2" w:rsidRDefault="00504BF3" w:rsidP="00806947">
                  <w:pPr>
                    <w:pStyle w:val="TableBody"/>
                    <w:rPr>
                      <w:lang w:eastAsia="en-US"/>
                    </w:rPr>
                  </w:pPr>
                  <w:r w:rsidRPr="007733C2">
                    <w:rPr>
                      <w:lang w:eastAsia="en-US"/>
                    </w:rPr>
                    <w:t>Nil</w:t>
                  </w:r>
                </w:p>
              </w:tc>
            </w:tr>
            <w:tr w:rsidR="00504BF3" w:rsidRPr="007733C2" w:rsidTr="00806947">
              <w:trPr>
                <w:trHeight w:val="211"/>
              </w:trPr>
              <w:tc>
                <w:tcPr>
                  <w:tcW w:w="5515" w:type="dxa"/>
                  <w:tcMar>
                    <w:top w:w="57" w:type="dxa"/>
                    <w:bottom w:w="57" w:type="dxa"/>
                  </w:tcMar>
                </w:tcPr>
                <w:p w:rsidR="00504BF3" w:rsidRPr="007733C2" w:rsidRDefault="00504BF3" w:rsidP="00806947">
                  <w:pPr>
                    <w:pStyle w:val="TableBody"/>
                    <w:rPr>
                      <w:lang w:eastAsia="en-US"/>
                    </w:rPr>
                  </w:pPr>
                  <w:r w:rsidRPr="007733C2">
                    <w:rPr>
                      <w:lang w:eastAsia="en-US"/>
                    </w:rPr>
                    <w:t>Change of descriptions</w:t>
                  </w:r>
                </w:p>
              </w:tc>
              <w:tc>
                <w:tcPr>
                  <w:tcW w:w="1134" w:type="dxa"/>
                  <w:tcMar>
                    <w:top w:w="57" w:type="dxa"/>
                    <w:bottom w:w="57" w:type="dxa"/>
                  </w:tcMar>
                </w:tcPr>
                <w:p w:rsidR="00504BF3" w:rsidRPr="007733C2" w:rsidRDefault="00504BF3" w:rsidP="00806947">
                  <w:pPr>
                    <w:pStyle w:val="TableBody"/>
                    <w:rPr>
                      <w:lang w:eastAsia="en-US"/>
                    </w:rPr>
                  </w:pPr>
                  <w:r>
                    <w:rPr>
                      <w:lang w:eastAsia="en-US"/>
                    </w:rPr>
                    <w:t>10</w:t>
                  </w:r>
                </w:p>
              </w:tc>
              <w:tc>
                <w:tcPr>
                  <w:tcW w:w="2405" w:type="dxa"/>
                  <w:tcMar>
                    <w:top w:w="57" w:type="dxa"/>
                    <w:bottom w:w="57" w:type="dxa"/>
                  </w:tcMar>
                </w:tcPr>
                <w:p w:rsidR="00504BF3" w:rsidRPr="007733C2" w:rsidRDefault="00504BF3" w:rsidP="00806947">
                  <w:pPr>
                    <w:pStyle w:val="TableBody"/>
                    <w:rPr>
                      <w:lang w:eastAsia="en-US"/>
                    </w:rPr>
                  </w:pPr>
                  <w:r w:rsidRPr="007733C2">
                    <w:rPr>
                      <w:lang w:eastAsia="en-US"/>
                    </w:rPr>
                    <w:t>Nil</w:t>
                  </w:r>
                </w:p>
              </w:tc>
            </w:tr>
            <w:tr w:rsidR="00504BF3" w:rsidRPr="007733C2" w:rsidTr="00806947">
              <w:trPr>
                <w:trHeight w:val="276"/>
              </w:trPr>
              <w:tc>
                <w:tcPr>
                  <w:tcW w:w="5515" w:type="dxa"/>
                  <w:shd w:val="clear" w:color="auto" w:fill="F2F2F2" w:themeFill="background1" w:themeFillShade="F2"/>
                  <w:tcMar>
                    <w:top w:w="57" w:type="dxa"/>
                    <w:bottom w:w="57" w:type="dxa"/>
                  </w:tcMar>
                </w:tcPr>
                <w:p w:rsidR="00504BF3" w:rsidRPr="007733C2" w:rsidRDefault="00504BF3" w:rsidP="00806947">
                  <w:pPr>
                    <w:pStyle w:val="TableHeading"/>
                    <w:rPr>
                      <w:lang w:eastAsia="en-US"/>
                    </w:rPr>
                  </w:pPr>
                  <w:r w:rsidRPr="007733C2">
                    <w:rPr>
                      <w:lang w:eastAsia="en-US"/>
                    </w:rPr>
                    <w:t>Total</w:t>
                  </w:r>
                </w:p>
              </w:tc>
              <w:tc>
                <w:tcPr>
                  <w:tcW w:w="1134" w:type="dxa"/>
                  <w:shd w:val="clear" w:color="auto" w:fill="F2F2F2" w:themeFill="background1" w:themeFillShade="F2"/>
                  <w:tcMar>
                    <w:top w:w="57" w:type="dxa"/>
                    <w:bottom w:w="57" w:type="dxa"/>
                  </w:tcMar>
                </w:tcPr>
                <w:p w:rsidR="00504BF3" w:rsidRPr="007733C2" w:rsidRDefault="00504BF3" w:rsidP="00806947">
                  <w:pPr>
                    <w:pStyle w:val="TableHeading"/>
                    <w:rPr>
                      <w:lang w:eastAsia="en-US"/>
                    </w:rPr>
                  </w:pPr>
                  <w:r>
                    <w:rPr>
                      <w:lang w:eastAsia="en-US"/>
                    </w:rPr>
                    <w:t>66</w:t>
                  </w:r>
                </w:p>
              </w:tc>
              <w:tc>
                <w:tcPr>
                  <w:tcW w:w="2405" w:type="dxa"/>
                  <w:shd w:val="clear" w:color="auto" w:fill="F2F2F2" w:themeFill="background1" w:themeFillShade="F2"/>
                  <w:tcMar>
                    <w:top w:w="57" w:type="dxa"/>
                    <w:bottom w:w="57" w:type="dxa"/>
                  </w:tcMar>
                </w:tcPr>
                <w:p w:rsidR="00504BF3" w:rsidRPr="007B18DF" w:rsidRDefault="00504BF3" w:rsidP="00806947">
                  <w:pPr>
                    <w:pStyle w:val="TableHeading"/>
                    <w:rPr>
                      <w:lang w:eastAsia="en-US"/>
                    </w:rPr>
                  </w:pPr>
                  <w:r>
                    <w:rPr>
                      <w:lang w:eastAsia="en-US"/>
                    </w:rPr>
                    <w:t>(0.</w:t>
                  </w:r>
                  <w:r w:rsidRPr="007B18DF">
                    <w:rPr>
                      <w:lang w:eastAsia="en-US"/>
                    </w:rPr>
                    <w:t>1</w:t>
                  </w:r>
                  <w:r>
                    <w:rPr>
                      <w:lang w:eastAsia="en-US"/>
                    </w:rPr>
                    <w:t>9)</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Pr="00DF1CB8" w:rsidRDefault="00504BF3" w:rsidP="00504BF3">
      <w:pPr>
        <w:spacing w:before="240"/>
        <w:rPr>
          <w:rFonts w:cs="Arial"/>
        </w:rPr>
      </w:pPr>
      <w:r w:rsidRPr="00DF1CB8">
        <w:rPr>
          <w:rFonts w:cs="Arial"/>
        </w:rPr>
        <w:t>As a result of the above changes, the cost recovery revenue is expected to decrease by approximately $190,000 per annum. The reduction represents the difference between the revenue for the 2013</w:t>
      </w:r>
      <w:r>
        <w:rPr>
          <w:rFonts w:cs="Arial"/>
        </w:rPr>
        <w:t>–</w:t>
      </w:r>
      <w:r w:rsidRPr="00DF1CB8">
        <w:rPr>
          <w:rFonts w:cs="Arial"/>
        </w:rPr>
        <w:t>14 financial year and the future estimated revenue.</w:t>
      </w:r>
    </w:p>
    <w:p w:rsidR="00504BF3" w:rsidRPr="00DF1CB8" w:rsidRDefault="00504BF3" w:rsidP="00504BF3">
      <w:pPr>
        <w:pStyle w:val="Heading1"/>
      </w:pPr>
      <w:bookmarkStart w:id="45" w:name="_Toc400965234"/>
      <w:bookmarkStart w:id="46" w:name="_Toc426099820"/>
      <w:r w:rsidRPr="00DF1CB8">
        <w:lastRenderedPageBreak/>
        <w:t>4</w:t>
      </w:r>
      <w:r>
        <w:t>.</w:t>
      </w:r>
      <w:r w:rsidRPr="00DF1CB8">
        <w:tab/>
        <w:t>Risk assessment</w:t>
      </w:r>
      <w:bookmarkEnd w:id="45"/>
      <w:bookmarkEnd w:id="46"/>
    </w:p>
    <w:p w:rsidR="00504BF3" w:rsidRPr="00DF1CB8" w:rsidRDefault="00504BF3" w:rsidP="00504BF3">
      <w:pPr>
        <w:rPr>
          <w:rFonts w:cs="Arial"/>
        </w:rPr>
      </w:pPr>
      <w:r w:rsidRPr="00DF1CB8">
        <w:rPr>
          <w:rFonts w:cs="Arial"/>
        </w:rPr>
        <w:t xml:space="preserve">There are no material risks identified or anticipated in this cost recovery arrangement. The estimated decrease in the total annual costs or revenue for the activities is less than </w:t>
      </w:r>
      <w:r>
        <w:rPr>
          <w:rFonts w:cs="Arial"/>
        </w:rPr>
        <w:t>five per cent</w:t>
      </w:r>
      <w:r w:rsidRPr="00DF1CB8">
        <w:rPr>
          <w:rFonts w:cs="Arial"/>
        </w:rPr>
        <w:t xml:space="preserve"> (that is, $190,000). The changes are essentially on the amount of fees being charged and they are minor in nature with no change to compliance requirements. In addition, the ACMA has received positive feedback from the stakeholders during the consultations </w:t>
      </w:r>
      <w:r>
        <w:rPr>
          <w:rFonts w:cs="Arial"/>
        </w:rPr>
        <w:t>on</w:t>
      </w:r>
      <w:r w:rsidRPr="00DF1CB8">
        <w:rPr>
          <w:rFonts w:cs="Arial"/>
        </w:rPr>
        <w:t xml:space="preserve"> the fee changes outlined in Attachment A (refer section 5).</w:t>
      </w:r>
    </w:p>
    <w:p w:rsidR="00504BF3" w:rsidRPr="00DF1CB8" w:rsidRDefault="00504BF3" w:rsidP="00504BF3">
      <w:pPr>
        <w:pStyle w:val="Heading1"/>
      </w:pPr>
      <w:bookmarkStart w:id="47" w:name="_Toc400965235"/>
      <w:bookmarkStart w:id="48" w:name="_Toc426099821"/>
      <w:r w:rsidRPr="00DF1CB8">
        <w:lastRenderedPageBreak/>
        <w:t>5</w:t>
      </w:r>
      <w:r>
        <w:t>.</w:t>
      </w:r>
      <w:r w:rsidRPr="00DF1CB8">
        <w:tab/>
        <w:t>Stakeholder engagement</w:t>
      </w:r>
      <w:bookmarkEnd w:id="47"/>
      <w:bookmarkEnd w:id="48"/>
    </w:p>
    <w:p w:rsidR="00504BF3" w:rsidRPr="00DF1CB8" w:rsidRDefault="00504BF3" w:rsidP="00504BF3">
      <w:pPr>
        <w:rPr>
          <w:rFonts w:cs="Arial"/>
        </w:rPr>
      </w:pPr>
      <w:r w:rsidRPr="00DF1CB8">
        <w:rPr>
          <w:rFonts w:cs="Arial"/>
        </w:rPr>
        <w:t>The ACMA consulted with radiocommunications licensees and accredited persons for a period of six week from 21 July 2014 on the radiocommunications fee changes</w:t>
      </w:r>
      <w:r>
        <w:rPr>
          <w:rFonts w:cs="Arial"/>
        </w:rPr>
        <w:t>,</w:t>
      </w:r>
      <w:r w:rsidRPr="00DF1CB8">
        <w:rPr>
          <w:rFonts w:cs="Arial"/>
        </w:rPr>
        <w:t xml:space="preserve"> with the exception of changes to apparatus licence fee for wireless audio transmitter system. A separate consultation was conducted from 10 July 2014 for proposed fee changes for a wireless audio system as the proposal also required changes to the Radiocommunications (Transmitter Licence Tax) Determination 2003 (No. 2).</w:t>
      </w:r>
    </w:p>
    <w:p w:rsidR="00504BF3" w:rsidRPr="00DF1CB8" w:rsidRDefault="00504BF3" w:rsidP="00504BF3">
      <w:pPr>
        <w:rPr>
          <w:rFonts w:cs="Arial"/>
        </w:rPr>
      </w:pPr>
      <w:r w:rsidRPr="00DF1CB8">
        <w:rPr>
          <w:rFonts w:cs="Arial"/>
        </w:rPr>
        <w:t>The wireless audio transmitter licence issue fee was widely publicised in the form of a media release to all stakeholders (including journalists and others who subscribe to receive ACMA media</w:t>
      </w:r>
      <w:r>
        <w:rPr>
          <w:rFonts w:cs="Arial"/>
        </w:rPr>
        <w:t xml:space="preserve"> releases</w:t>
      </w:r>
      <w:r w:rsidRPr="00DF1CB8">
        <w:rPr>
          <w:rFonts w:cs="Arial"/>
        </w:rPr>
        <w:t xml:space="preserve">), and separately in the form of an e-bulletin to all wireless microphone users. The changes to radiocommunications fees were issued to major radiocommunications licensees (approximately 700) by email and mail to seek comments on the proposed changes. For both consultations, the ACMA published a discussion paper on its website and called for comments. </w:t>
      </w:r>
    </w:p>
    <w:p w:rsidR="00504BF3" w:rsidRPr="00DF1CB8" w:rsidRDefault="00504BF3" w:rsidP="00504BF3">
      <w:pPr>
        <w:spacing w:after="80"/>
        <w:rPr>
          <w:rFonts w:cs="Arial"/>
        </w:rPr>
      </w:pPr>
      <w:r w:rsidRPr="00DF1CB8">
        <w:rPr>
          <w:rFonts w:cs="Arial"/>
        </w:rPr>
        <w:t xml:space="preserve">The matters raised by stakeholder groups </w:t>
      </w:r>
      <w:r>
        <w:rPr>
          <w:rFonts w:cs="Arial"/>
        </w:rPr>
        <w:t>on</w:t>
      </w:r>
      <w:r w:rsidRPr="00DF1CB8">
        <w:rPr>
          <w:rFonts w:cs="Arial"/>
        </w:rPr>
        <w:t xml:space="preserve"> the changes are set out below: </w:t>
      </w:r>
    </w:p>
    <w:p w:rsidR="00504BF3" w:rsidRPr="00F40442" w:rsidRDefault="00504BF3" w:rsidP="00504BF3">
      <w:pPr>
        <w:pStyle w:val="ListBullet"/>
        <w:rPr>
          <w:b/>
        </w:rPr>
      </w:pPr>
      <w:r w:rsidRPr="00F40442">
        <w:rPr>
          <w:b/>
        </w:rPr>
        <w:t>For the changes to radiocommunications fees other than wireless audio transmitters</w:t>
      </w:r>
    </w:p>
    <w:p w:rsidR="00504BF3" w:rsidRPr="00DF1CB8" w:rsidRDefault="00504BF3" w:rsidP="00504BF3">
      <w:pPr>
        <w:pStyle w:val="ListBullet"/>
        <w:numPr>
          <w:ilvl w:val="0"/>
          <w:numId w:val="0"/>
        </w:numPr>
        <w:spacing w:after="120"/>
        <w:ind w:left="295"/>
      </w:pPr>
      <w:r w:rsidRPr="00DF1CB8">
        <w:t xml:space="preserve">The changes outlined in the consultation package are a welcome development </w:t>
      </w:r>
      <w:r>
        <w:t>that</w:t>
      </w:r>
      <w:r w:rsidRPr="00DF1CB8">
        <w:t xml:space="preserve"> should enable greater client interactivity and self-service. This represents a </w:t>
      </w:r>
      <w:r>
        <w:t>move</w:t>
      </w:r>
      <w:r w:rsidRPr="00DF1CB8">
        <w:t xml:space="preserve"> in the right direction. </w:t>
      </w:r>
    </w:p>
    <w:p w:rsidR="00504BF3" w:rsidRPr="00F40442" w:rsidRDefault="00504BF3" w:rsidP="00504BF3">
      <w:pPr>
        <w:pStyle w:val="ListBullet"/>
        <w:rPr>
          <w:b/>
        </w:rPr>
      </w:pPr>
      <w:r w:rsidRPr="00F40442">
        <w:rPr>
          <w:b/>
        </w:rPr>
        <w:t>For the changes to wireless audio transmitters</w:t>
      </w:r>
    </w:p>
    <w:p w:rsidR="00504BF3" w:rsidRPr="00DF1CB8" w:rsidRDefault="00504BF3" w:rsidP="00504BF3">
      <w:pPr>
        <w:pStyle w:val="ListBullet"/>
        <w:numPr>
          <w:ilvl w:val="0"/>
          <w:numId w:val="0"/>
        </w:numPr>
        <w:spacing w:after="240"/>
        <w:ind w:left="295"/>
        <w:rPr>
          <w:rFonts w:cs="Arial"/>
        </w:rPr>
      </w:pPr>
      <w:r w:rsidRPr="00DF1CB8">
        <w:rPr>
          <w:rFonts w:cs="Arial"/>
        </w:rPr>
        <w:t xml:space="preserve">The ACMA received four submissions </w:t>
      </w:r>
      <w:r>
        <w:rPr>
          <w:rFonts w:cs="Arial"/>
        </w:rPr>
        <w:t>on</w:t>
      </w:r>
      <w:r w:rsidRPr="00DF1CB8">
        <w:rPr>
          <w:rFonts w:cs="Arial"/>
        </w:rPr>
        <w:t xml:space="preserve"> the apparatus licence fee arrangements for wireless audio transmitter users at major venues. The submissions were mainly from the wireless audio industry and </w:t>
      </w:r>
      <w:r>
        <w:rPr>
          <w:rFonts w:cs="Arial"/>
        </w:rPr>
        <w:t xml:space="preserve">the </w:t>
      </w:r>
      <w:r w:rsidRPr="00DF1CB8">
        <w:rPr>
          <w:rFonts w:cs="Arial"/>
        </w:rPr>
        <w:t xml:space="preserve">commercial free-to-air television licensees’ industry body.  </w:t>
      </w:r>
    </w:p>
    <w:p w:rsidR="00504BF3" w:rsidRPr="00DF1CB8" w:rsidRDefault="00504BF3" w:rsidP="00504BF3">
      <w:pPr>
        <w:spacing w:after="80"/>
        <w:rPr>
          <w:rFonts w:cs="Arial"/>
        </w:rPr>
      </w:pPr>
      <w:r w:rsidRPr="00DF1CB8">
        <w:rPr>
          <w:rFonts w:cs="Arial"/>
        </w:rPr>
        <w:t xml:space="preserve">Overall, there was general support for the issue fee and the submissions included the following comments:  </w:t>
      </w:r>
    </w:p>
    <w:p w:rsidR="00504BF3" w:rsidRPr="00DF1CB8" w:rsidRDefault="00504BF3" w:rsidP="00504BF3">
      <w:pPr>
        <w:pStyle w:val="ListBullet"/>
      </w:pPr>
      <w:r w:rsidRPr="00DF1CB8">
        <w:t>Venues that choose to apply for a licence will find the proposed issue fee reasonable as long as these licences provide them with an increased degree of visibility, greater security and operational certainty</w:t>
      </w:r>
      <w:r>
        <w:t>.</w:t>
      </w:r>
    </w:p>
    <w:p w:rsidR="00504BF3" w:rsidRPr="0002365B" w:rsidRDefault="00504BF3" w:rsidP="00504BF3">
      <w:pPr>
        <w:pStyle w:val="ListBullet"/>
      </w:pPr>
      <w:r w:rsidRPr="00DF1CB8">
        <w:t>The issue fee should be set at the lowest possible rate.</w:t>
      </w:r>
      <w:r>
        <w:t xml:space="preserve"> </w:t>
      </w:r>
    </w:p>
    <w:p w:rsidR="00504BF3" w:rsidRPr="00DF1CB8" w:rsidRDefault="00504BF3" w:rsidP="00504BF3">
      <w:pPr>
        <w:pStyle w:val="Heading1"/>
      </w:pPr>
      <w:bookmarkStart w:id="49" w:name="_Toc400965236"/>
      <w:bookmarkStart w:id="50" w:name="_Toc426099822"/>
      <w:r w:rsidRPr="00DF1CB8">
        <w:lastRenderedPageBreak/>
        <w:t>6</w:t>
      </w:r>
      <w:r>
        <w:t>.</w:t>
      </w:r>
      <w:r w:rsidRPr="00DF1CB8">
        <w:tab/>
        <w:t>Financial estimates</w:t>
      </w:r>
      <w:bookmarkEnd w:id="49"/>
      <w:bookmarkEnd w:id="50"/>
    </w:p>
    <w:p w:rsidR="00504BF3" w:rsidRDefault="00504BF3" w:rsidP="00504BF3">
      <w:pPr>
        <w:rPr>
          <w:rFonts w:cs="Arial"/>
        </w:rPr>
      </w:pPr>
      <w:r w:rsidRPr="00DF1CB8">
        <w:rPr>
          <w:rFonts w:cs="Arial"/>
        </w:rPr>
        <w:t xml:space="preserve">Table </w:t>
      </w:r>
      <w:r>
        <w:rPr>
          <w:rFonts w:cs="Arial"/>
        </w:rPr>
        <w:t>5</w:t>
      </w:r>
      <w:r w:rsidRPr="00DF1CB8">
        <w:rPr>
          <w:rFonts w:cs="Arial"/>
        </w:rPr>
        <w:t xml:space="preserve"> provides the estimated cost recovery revenue and expenses for the period 2014</w:t>
      </w:r>
      <w:r>
        <w:rPr>
          <w:rFonts w:cs="Arial"/>
        </w:rPr>
        <w:t>–</w:t>
      </w:r>
      <w:r w:rsidRPr="00DF1CB8">
        <w:rPr>
          <w:rFonts w:cs="Arial"/>
        </w:rPr>
        <w:t>15 to 2017</w:t>
      </w:r>
      <w:r>
        <w:rPr>
          <w:rFonts w:cs="Arial"/>
        </w:rPr>
        <w:t>–</w:t>
      </w:r>
      <w:r w:rsidRPr="00DF1CB8">
        <w:rPr>
          <w:rFonts w:cs="Arial"/>
        </w:rPr>
        <w:t>18.</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pPr>
            <w:r>
              <w:t xml:space="preserve">Table </w:t>
            </w:r>
            <w:fldSimple w:instr=" SEQ Table \* ARABIC ">
              <w:r>
                <w:rPr>
                  <w:noProof/>
                </w:rPr>
                <w:t>5</w:t>
              </w:r>
            </w:fldSimple>
            <w:r>
              <w:t xml:space="preserve"> </w:t>
            </w:r>
            <w:r w:rsidRPr="0002365B">
              <w:t>Estimated cost recovery revenue and expenses</w:t>
            </w:r>
          </w:p>
        </w:tc>
      </w:tr>
      <w:tr w:rsidR="00504BF3" w:rsidTr="00806947">
        <w:trPr>
          <w:trHeight w:val="3086"/>
        </w:trPr>
        <w:tc>
          <w:tcPr>
            <w:tcW w:w="9645" w:type="dxa"/>
            <w:shd w:val="clear" w:color="auto" w:fill="auto"/>
            <w:tcMar>
              <w:left w:w="28" w:type="dxa"/>
            </w:tcMar>
          </w:tcPr>
          <w:tbl>
            <w:tblPr>
              <w:tblW w:w="8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5"/>
              <w:gridCol w:w="1275"/>
              <w:gridCol w:w="1276"/>
              <w:gridCol w:w="1276"/>
              <w:gridCol w:w="1276"/>
            </w:tblGrid>
            <w:tr w:rsidR="00504BF3" w:rsidRPr="00970241" w:rsidTr="00806947">
              <w:trPr>
                <w:trHeight w:val="511"/>
              </w:trPr>
              <w:tc>
                <w:tcPr>
                  <w:tcW w:w="3545"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 xml:space="preserve">Fees </w:t>
                  </w:r>
                  <w:r>
                    <w:rPr>
                      <w:color w:val="FFFFFF" w:themeColor="background1"/>
                    </w:rPr>
                    <w:t>i</w:t>
                  </w:r>
                  <w:r w:rsidRPr="0002365B">
                    <w:rPr>
                      <w:color w:val="FFFFFF" w:themeColor="background1"/>
                    </w:rPr>
                    <w:t>tems</w:t>
                  </w:r>
                </w:p>
              </w:tc>
              <w:tc>
                <w:tcPr>
                  <w:tcW w:w="1275"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2014</w:t>
                  </w:r>
                  <w:r>
                    <w:rPr>
                      <w:color w:val="FFFFFF" w:themeColor="background1"/>
                    </w:rPr>
                    <w:t>–</w:t>
                  </w:r>
                  <w:r w:rsidRPr="0002365B">
                    <w:rPr>
                      <w:color w:val="FFFFFF" w:themeColor="background1"/>
                    </w:rPr>
                    <w:t>15</w:t>
                  </w:r>
                </w:p>
                <w:p w:rsidR="00504BF3" w:rsidRPr="0002365B" w:rsidRDefault="00504BF3" w:rsidP="00806947">
                  <w:pPr>
                    <w:pStyle w:val="TableHeading"/>
                    <w:rPr>
                      <w:color w:val="FFFFFF" w:themeColor="background1"/>
                    </w:rPr>
                  </w:pPr>
                  <w:r w:rsidRPr="0002365B">
                    <w:rPr>
                      <w:color w:val="FFFFFF" w:themeColor="background1"/>
                    </w:rPr>
                    <w:t>$million</w:t>
                  </w:r>
                </w:p>
              </w:tc>
              <w:tc>
                <w:tcPr>
                  <w:tcW w:w="1276"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2015</w:t>
                  </w:r>
                  <w:r>
                    <w:rPr>
                      <w:color w:val="FFFFFF" w:themeColor="background1"/>
                    </w:rPr>
                    <w:t>–</w:t>
                  </w:r>
                  <w:r w:rsidRPr="0002365B">
                    <w:rPr>
                      <w:color w:val="FFFFFF" w:themeColor="background1"/>
                    </w:rPr>
                    <w:t>16</w:t>
                  </w:r>
                </w:p>
                <w:p w:rsidR="00504BF3" w:rsidRPr="0002365B" w:rsidRDefault="00504BF3" w:rsidP="00806947">
                  <w:pPr>
                    <w:pStyle w:val="TableHeading"/>
                    <w:rPr>
                      <w:color w:val="FFFFFF" w:themeColor="background1"/>
                    </w:rPr>
                  </w:pPr>
                  <w:r w:rsidRPr="0002365B">
                    <w:rPr>
                      <w:color w:val="FFFFFF" w:themeColor="background1"/>
                    </w:rPr>
                    <w:t>$million</w:t>
                  </w:r>
                </w:p>
              </w:tc>
              <w:tc>
                <w:tcPr>
                  <w:tcW w:w="1276"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2016</w:t>
                  </w:r>
                  <w:r>
                    <w:rPr>
                      <w:color w:val="FFFFFF" w:themeColor="background1"/>
                    </w:rPr>
                    <w:t>–</w:t>
                  </w:r>
                  <w:r w:rsidRPr="0002365B">
                    <w:rPr>
                      <w:color w:val="FFFFFF" w:themeColor="background1"/>
                    </w:rPr>
                    <w:t>17</w:t>
                  </w:r>
                </w:p>
                <w:p w:rsidR="00504BF3" w:rsidRPr="0002365B" w:rsidRDefault="00504BF3" w:rsidP="00806947">
                  <w:pPr>
                    <w:pStyle w:val="TableHeading"/>
                    <w:rPr>
                      <w:color w:val="FFFFFF" w:themeColor="background1"/>
                    </w:rPr>
                  </w:pPr>
                  <w:r w:rsidRPr="0002365B">
                    <w:rPr>
                      <w:color w:val="FFFFFF" w:themeColor="background1"/>
                    </w:rPr>
                    <w:t>$million</w:t>
                  </w:r>
                </w:p>
              </w:tc>
              <w:tc>
                <w:tcPr>
                  <w:tcW w:w="1276"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2017</w:t>
                  </w:r>
                  <w:r>
                    <w:rPr>
                      <w:color w:val="FFFFFF" w:themeColor="background1"/>
                    </w:rPr>
                    <w:t>–</w:t>
                  </w:r>
                  <w:r w:rsidRPr="0002365B">
                    <w:rPr>
                      <w:color w:val="FFFFFF" w:themeColor="background1"/>
                    </w:rPr>
                    <w:t>18</w:t>
                  </w:r>
                </w:p>
                <w:p w:rsidR="00504BF3" w:rsidRPr="0002365B" w:rsidRDefault="00504BF3" w:rsidP="00806947">
                  <w:pPr>
                    <w:pStyle w:val="TableHeading"/>
                    <w:rPr>
                      <w:color w:val="FFFFFF" w:themeColor="background1"/>
                    </w:rPr>
                  </w:pPr>
                  <w:r w:rsidRPr="0002365B">
                    <w:rPr>
                      <w:color w:val="FFFFFF" w:themeColor="background1"/>
                    </w:rPr>
                    <w:t>$million</w:t>
                  </w:r>
                </w:p>
              </w:tc>
            </w:tr>
            <w:tr w:rsidR="00504BF3" w:rsidRPr="00970241" w:rsidTr="00806947">
              <w:trPr>
                <w:trHeight w:val="258"/>
              </w:trPr>
              <w:tc>
                <w:tcPr>
                  <w:tcW w:w="3545" w:type="dxa"/>
                  <w:tcMar>
                    <w:top w:w="57" w:type="dxa"/>
                    <w:bottom w:w="57" w:type="dxa"/>
                  </w:tcMar>
                  <w:vAlign w:val="center"/>
                </w:tcPr>
                <w:p w:rsidR="00504BF3" w:rsidRPr="004713C3" w:rsidRDefault="00504BF3" w:rsidP="00806947">
                  <w:pPr>
                    <w:pStyle w:val="TableBody"/>
                  </w:pPr>
                  <w:r>
                    <w:t>Radiocommunications fees</w:t>
                  </w:r>
                </w:p>
              </w:tc>
              <w:tc>
                <w:tcPr>
                  <w:tcW w:w="1275" w:type="dxa"/>
                  <w:tcMar>
                    <w:top w:w="57" w:type="dxa"/>
                    <w:bottom w:w="57" w:type="dxa"/>
                  </w:tcMar>
                  <w:vAlign w:val="center"/>
                </w:tcPr>
                <w:p w:rsidR="00504BF3" w:rsidRPr="004713C3" w:rsidRDefault="00504BF3" w:rsidP="00806947">
                  <w:pPr>
                    <w:pStyle w:val="TableBody"/>
                  </w:pPr>
                  <w:r>
                    <w:t>3.50</w:t>
                  </w:r>
                </w:p>
              </w:tc>
              <w:tc>
                <w:tcPr>
                  <w:tcW w:w="1276" w:type="dxa"/>
                  <w:shd w:val="clear" w:color="auto" w:fill="auto"/>
                  <w:tcMar>
                    <w:top w:w="57" w:type="dxa"/>
                    <w:bottom w:w="57" w:type="dxa"/>
                  </w:tcMar>
                  <w:vAlign w:val="center"/>
                </w:tcPr>
                <w:p w:rsidR="00504BF3" w:rsidRPr="004713C3" w:rsidRDefault="00504BF3" w:rsidP="00806947">
                  <w:pPr>
                    <w:pStyle w:val="TableBody"/>
                  </w:pPr>
                  <w:r>
                    <w:t>3.50</w:t>
                  </w:r>
                </w:p>
              </w:tc>
              <w:tc>
                <w:tcPr>
                  <w:tcW w:w="1276" w:type="dxa"/>
                  <w:shd w:val="clear" w:color="auto" w:fill="auto"/>
                  <w:tcMar>
                    <w:top w:w="57" w:type="dxa"/>
                    <w:bottom w:w="57" w:type="dxa"/>
                  </w:tcMar>
                  <w:vAlign w:val="center"/>
                </w:tcPr>
                <w:p w:rsidR="00504BF3" w:rsidRPr="004713C3" w:rsidRDefault="00504BF3" w:rsidP="00806947">
                  <w:pPr>
                    <w:pStyle w:val="TableBody"/>
                  </w:pPr>
                  <w:r>
                    <w:t>3.50</w:t>
                  </w:r>
                </w:p>
              </w:tc>
              <w:tc>
                <w:tcPr>
                  <w:tcW w:w="1276" w:type="dxa"/>
                  <w:shd w:val="clear" w:color="auto" w:fill="auto"/>
                  <w:tcMar>
                    <w:top w:w="57" w:type="dxa"/>
                    <w:bottom w:w="57" w:type="dxa"/>
                  </w:tcMar>
                  <w:vAlign w:val="center"/>
                </w:tcPr>
                <w:p w:rsidR="00504BF3" w:rsidRPr="004713C3" w:rsidRDefault="00504BF3" w:rsidP="00806947">
                  <w:pPr>
                    <w:pStyle w:val="TableBody"/>
                  </w:pPr>
                  <w:r>
                    <w:t>3.50</w:t>
                  </w:r>
                </w:p>
              </w:tc>
            </w:tr>
            <w:tr w:rsidR="00504BF3" w:rsidRPr="00970241" w:rsidTr="00806947">
              <w:trPr>
                <w:trHeight w:val="276"/>
              </w:trPr>
              <w:tc>
                <w:tcPr>
                  <w:tcW w:w="3545" w:type="dxa"/>
                  <w:tcMar>
                    <w:top w:w="57" w:type="dxa"/>
                    <w:bottom w:w="57" w:type="dxa"/>
                  </w:tcMar>
                  <w:vAlign w:val="center"/>
                </w:tcPr>
                <w:p w:rsidR="00504BF3" w:rsidRPr="004713C3" w:rsidRDefault="00504BF3" w:rsidP="00806947">
                  <w:pPr>
                    <w:pStyle w:val="TableBody"/>
                  </w:pPr>
                  <w:r w:rsidRPr="004713C3">
                    <w:t>T</w:t>
                  </w:r>
                  <w:r>
                    <w:t>elecommunications fees</w:t>
                  </w:r>
                </w:p>
              </w:tc>
              <w:tc>
                <w:tcPr>
                  <w:tcW w:w="1275" w:type="dxa"/>
                  <w:tcMar>
                    <w:top w:w="57" w:type="dxa"/>
                    <w:bottom w:w="57" w:type="dxa"/>
                  </w:tcMar>
                  <w:vAlign w:val="center"/>
                </w:tcPr>
                <w:p w:rsidR="00504BF3" w:rsidRPr="004713C3" w:rsidRDefault="00504BF3" w:rsidP="00806947">
                  <w:pPr>
                    <w:pStyle w:val="TableBody"/>
                  </w:pPr>
                  <w:r w:rsidRPr="004713C3">
                    <w:t>0.2</w:t>
                  </w:r>
                  <w:r>
                    <w:t>5</w:t>
                  </w:r>
                </w:p>
              </w:tc>
              <w:tc>
                <w:tcPr>
                  <w:tcW w:w="1276" w:type="dxa"/>
                  <w:shd w:val="clear" w:color="auto" w:fill="auto"/>
                  <w:tcMar>
                    <w:top w:w="57" w:type="dxa"/>
                    <w:bottom w:w="57" w:type="dxa"/>
                  </w:tcMar>
                  <w:vAlign w:val="center"/>
                </w:tcPr>
                <w:p w:rsidR="00504BF3" w:rsidRPr="004713C3" w:rsidRDefault="00504BF3" w:rsidP="00806947">
                  <w:pPr>
                    <w:pStyle w:val="TableBody"/>
                  </w:pPr>
                  <w:r w:rsidRPr="004713C3">
                    <w:t>0.2</w:t>
                  </w:r>
                  <w:r>
                    <w:t>1</w:t>
                  </w:r>
                </w:p>
              </w:tc>
              <w:tc>
                <w:tcPr>
                  <w:tcW w:w="1276" w:type="dxa"/>
                  <w:shd w:val="clear" w:color="auto" w:fill="auto"/>
                  <w:tcMar>
                    <w:top w:w="57" w:type="dxa"/>
                    <w:bottom w:w="57" w:type="dxa"/>
                  </w:tcMar>
                  <w:vAlign w:val="center"/>
                </w:tcPr>
                <w:p w:rsidR="00504BF3" w:rsidRPr="004713C3" w:rsidRDefault="00504BF3" w:rsidP="00806947">
                  <w:pPr>
                    <w:pStyle w:val="TableBody"/>
                  </w:pPr>
                  <w:r w:rsidRPr="004713C3">
                    <w:t>0.2</w:t>
                  </w:r>
                  <w:r>
                    <w:t>0</w:t>
                  </w:r>
                </w:p>
              </w:tc>
              <w:tc>
                <w:tcPr>
                  <w:tcW w:w="1276" w:type="dxa"/>
                  <w:shd w:val="clear" w:color="auto" w:fill="auto"/>
                  <w:tcMar>
                    <w:top w:w="57" w:type="dxa"/>
                    <w:bottom w:w="57" w:type="dxa"/>
                  </w:tcMar>
                  <w:vAlign w:val="center"/>
                </w:tcPr>
                <w:p w:rsidR="00504BF3" w:rsidRPr="004713C3" w:rsidRDefault="00504BF3" w:rsidP="00806947">
                  <w:pPr>
                    <w:pStyle w:val="TableBody"/>
                  </w:pPr>
                  <w:r>
                    <w:t>0.20</w:t>
                  </w:r>
                </w:p>
              </w:tc>
            </w:tr>
            <w:tr w:rsidR="00504BF3" w:rsidRPr="00970241" w:rsidTr="00806947">
              <w:trPr>
                <w:trHeight w:val="280"/>
              </w:trPr>
              <w:tc>
                <w:tcPr>
                  <w:tcW w:w="3545" w:type="dxa"/>
                  <w:tcMar>
                    <w:top w:w="57" w:type="dxa"/>
                    <w:bottom w:w="57" w:type="dxa"/>
                  </w:tcMar>
                  <w:vAlign w:val="center"/>
                </w:tcPr>
                <w:p w:rsidR="00504BF3" w:rsidRPr="004713C3" w:rsidRDefault="00504BF3" w:rsidP="00806947">
                  <w:pPr>
                    <w:pStyle w:val="TableBody"/>
                  </w:pPr>
                  <w:r w:rsidRPr="004713C3">
                    <w:t>Broadcasting fees</w:t>
                  </w:r>
                </w:p>
              </w:tc>
              <w:tc>
                <w:tcPr>
                  <w:tcW w:w="1275" w:type="dxa"/>
                  <w:tcMar>
                    <w:top w:w="57" w:type="dxa"/>
                    <w:bottom w:w="57" w:type="dxa"/>
                  </w:tcMar>
                  <w:vAlign w:val="center"/>
                </w:tcPr>
                <w:p w:rsidR="00504BF3" w:rsidRPr="004713C3" w:rsidRDefault="00504BF3" w:rsidP="00806947">
                  <w:pPr>
                    <w:pStyle w:val="TableBody"/>
                  </w:pPr>
                  <w:r>
                    <w:t>0.05</w:t>
                  </w:r>
                </w:p>
              </w:tc>
              <w:tc>
                <w:tcPr>
                  <w:tcW w:w="1276" w:type="dxa"/>
                  <w:shd w:val="clear" w:color="auto" w:fill="auto"/>
                  <w:tcMar>
                    <w:top w:w="57" w:type="dxa"/>
                    <w:bottom w:w="57" w:type="dxa"/>
                  </w:tcMar>
                  <w:vAlign w:val="center"/>
                </w:tcPr>
                <w:p w:rsidR="00504BF3" w:rsidRPr="004713C3" w:rsidRDefault="00504BF3" w:rsidP="00806947">
                  <w:pPr>
                    <w:pStyle w:val="TableBody"/>
                  </w:pPr>
                  <w:r>
                    <w:t>0.05</w:t>
                  </w:r>
                </w:p>
              </w:tc>
              <w:tc>
                <w:tcPr>
                  <w:tcW w:w="1276" w:type="dxa"/>
                  <w:shd w:val="clear" w:color="auto" w:fill="auto"/>
                  <w:tcMar>
                    <w:top w:w="57" w:type="dxa"/>
                    <w:bottom w:w="57" w:type="dxa"/>
                  </w:tcMar>
                  <w:vAlign w:val="center"/>
                </w:tcPr>
                <w:p w:rsidR="00504BF3" w:rsidRPr="004713C3" w:rsidRDefault="00504BF3" w:rsidP="00806947">
                  <w:pPr>
                    <w:pStyle w:val="TableBody"/>
                  </w:pPr>
                  <w:r>
                    <w:t>0.05</w:t>
                  </w:r>
                </w:p>
              </w:tc>
              <w:tc>
                <w:tcPr>
                  <w:tcW w:w="1276" w:type="dxa"/>
                  <w:shd w:val="clear" w:color="auto" w:fill="auto"/>
                  <w:tcMar>
                    <w:top w:w="57" w:type="dxa"/>
                    <w:bottom w:w="57" w:type="dxa"/>
                  </w:tcMar>
                  <w:vAlign w:val="center"/>
                </w:tcPr>
                <w:p w:rsidR="00504BF3" w:rsidRPr="004713C3" w:rsidRDefault="00504BF3" w:rsidP="00806947">
                  <w:pPr>
                    <w:pStyle w:val="TableBody"/>
                  </w:pPr>
                  <w:r>
                    <w:t>0.05</w:t>
                  </w:r>
                </w:p>
              </w:tc>
            </w:tr>
            <w:tr w:rsidR="00504BF3" w:rsidRPr="00895401" w:rsidTr="00806947">
              <w:trPr>
                <w:trHeight w:val="284"/>
              </w:trPr>
              <w:tc>
                <w:tcPr>
                  <w:tcW w:w="3545"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Total revenue</w:t>
                  </w:r>
                </w:p>
              </w:tc>
              <w:tc>
                <w:tcPr>
                  <w:tcW w:w="1275"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3.80</w:t>
                  </w:r>
                </w:p>
              </w:tc>
              <w:tc>
                <w:tcPr>
                  <w:tcW w:w="1276"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3.80</w:t>
                  </w:r>
                </w:p>
              </w:tc>
              <w:tc>
                <w:tcPr>
                  <w:tcW w:w="1276"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3.80</w:t>
                  </w:r>
                </w:p>
              </w:tc>
              <w:tc>
                <w:tcPr>
                  <w:tcW w:w="1276"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3.80</w:t>
                  </w:r>
                </w:p>
              </w:tc>
            </w:tr>
            <w:tr w:rsidR="00504BF3" w:rsidRPr="00970241" w:rsidTr="00806947">
              <w:trPr>
                <w:trHeight w:val="274"/>
              </w:trPr>
              <w:tc>
                <w:tcPr>
                  <w:tcW w:w="3545" w:type="dxa"/>
                  <w:shd w:val="clear" w:color="auto" w:fill="auto"/>
                  <w:tcMar>
                    <w:top w:w="57" w:type="dxa"/>
                    <w:bottom w:w="57" w:type="dxa"/>
                  </w:tcMar>
                  <w:vAlign w:val="center"/>
                </w:tcPr>
                <w:p w:rsidR="00504BF3" w:rsidRPr="004713C3" w:rsidRDefault="00504BF3" w:rsidP="00806947">
                  <w:pPr>
                    <w:pStyle w:val="TableHeading"/>
                  </w:pPr>
                  <w:r w:rsidRPr="004713C3">
                    <w:t>Total</w:t>
                  </w:r>
                  <w:r>
                    <w:t xml:space="preserve"> expenses</w:t>
                  </w:r>
                </w:p>
              </w:tc>
              <w:tc>
                <w:tcPr>
                  <w:tcW w:w="1275" w:type="dxa"/>
                  <w:shd w:val="clear" w:color="auto" w:fill="auto"/>
                  <w:tcMar>
                    <w:top w:w="57" w:type="dxa"/>
                    <w:bottom w:w="57" w:type="dxa"/>
                  </w:tcMar>
                  <w:vAlign w:val="center"/>
                </w:tcPr>
                <w:p w:rsidR="00504BF3" w:rsidRPr="004713C3" w:rsidRDefault="00504BF3" w:rsidP="00806947">
                  <w:pPr>
                    <w:pStyle w:val="TableHeading"/>
                  </w:pPr>
                  <w:r>
                    <w:t>3.80</w:t>
                  </w:r>
                </w:p>
              </w:tc>
              <w:tc>
                <w:tcPr>
                  <w:tcW w:w="1276" w:type="dxa"/>
                  <w:shd w:val="clear" w:color="auto" w:fill="auto"/>
                  <w:tcMar>
                    <w:top w:w="57" w:type="dxa"/>
                    <w:bottom w:w="57" w:type="dxa"/>
                  </w:tcMar>
                  <w:vAlign w:val="center"/>
                </w:tcPr>
                <w:p w:rsidR="00504BF3" w:rsidRPr="004713C3" w:rsidRDefault="00504BF3" w:rsidP="00806947">
                  <w:pPr>
                    <w:pStyle w:val="TableHeading"/>
                  </w:pPr>
                  <w:r>
                    <w:t>3.80</w:t>
                  </w:r>
                </w:p>
              </w:tc>
              <w:tc>
                <w:tcPr>
                  <w:tcW w:w="1276" w:type="dxa"/>
                  <w:shd w:val="clear" w:color="auto" w:fill="auto"/>
                  <w:tcMar>
                    <w:top w:w="57" w:type="dxa"/>
                    <w:bottom w:w="57" w:type="dxa"/>
                  </w:tcMar>
                  <w:vAlign w:val="center"/>
                </w:tcPr>
                <w:p w:rsidR="00504BF3" w:rsidRPr="004713C3" w:rsidRDefault="00504BF3" w:rsidP="00806947">
                  <w:pPr>
                    <w:pStyle w:val="TableHeading"/>
                  </w:pPr>
                  <w:r>
                    <w:t>3.80</w:t>
                  </w:r>
                </w:p>
              </w:tc>
              <w:tc>
                <w:tcPr>
                  <w:tcW w:w="1276" w:type="dxa"/>
                  <w:shd w:val="clear" w:color="auto" w:fill="auto"/>
                  <w:tcMar>
                    <w:top w:w="57" w:type="dxa"/>
                    <w:bottom w:w="57" w:type="dxa"/>
                  </w:tcMar>
                  <w:vAlign w:val="center"/>
                </w:tcPr>
                <w:p w:rsidR="00504BF3" w:rsidRPr="004713C3" w:rsidRDefault="00504BF3" w:rsidP="00806947">
                  <w:pPr>
                    <w:pStyle w:val="TableHeading"/>
                  </w:pPr>
                  <w:r>
                    <w:t>3.80</w:t>
                  </w:r>
                </w:p>
              </w:tc>
            </w:tr>
            <w:tr w:rsidR="00504BF3" w:rsidRPr="00970241" w:rsidTr="00806947">
              <w:trPr>
                <w:trHeight w:val="278"/>
              </w:trPr>
              <w:tc>
                <w:tcPr>
                  <w:tcW w:w="3545" w:type="dxa"/>
                  <w:shd w:val="clear" w:color="auto" w:fill="auto"/>
                  <w:tcMar>
                    <w:top w:w="57" w:type="dxa"/>
                    <w:bottom w:w="57" w:type="dxa"/>
                  </w:tcMar>
                  <w:vAlign w:val="center"/>
                </w:tcPr>
                <w:p w:rsidR="00504BF3" w:rsidRPr="004713C3" w:rsidRDefault="00504BF3" w:rsidP="00806947">
                  <w:pPr>
                    <w:pStyle w:val="TableHeading"/>
                  </w:pPr>
                  <w:r>
                    <w:t>Balance</w:t>
                  </w:r>
                </w:p>
              </w:tc>
              <w:tc>
                <w:tcPr>
                  <w:tcW w:w="1275" w:type="dxa"/>
                  <w:shd w:val="clear" w:color="auto" w:fill="auto"/>
                  <w:tcMar>
                    <w:top w:w="57" w:type="dxa"/>
                    <w:bottom w:w="57" w:type="dxa"/>
                  </w:tcMar>
                  <w:vAlign w:val="center"/>
                </w:tcPr>
                <w:p w:rsidR="00504BF3" w:rsidRDefault="00504BF3" w:rsidP="00806947">
                  <w:pPr>
                    <w:pStyle w:val="TableHeading"/>
                  </w:pPr>
                  <w:r>
                    <w:t>0.00</w:t>
                  </w:r>
                </w:p>
              </w:tc>
              <w:tc>
                <w:tcPr>
                  <w:tcW w:w="1276" w:type="dxa"/>
                  <w:shd w:val="clear" w:color="auto" w:fill="auto"/>
                  <w:tcMar>
                    <w:top w:w="57" w:type="dxa"/>
                    <w:bottom w:w="57" w:type="dxa"/>
                  </w:tcMar>
                  <w:vAlign w:val="center"/>
                </w:tcPr>
                <w:p w:rsidR="00504BF3" w:rsidRDefault="00504BF3" w:rsidP="00806947">
                  <w:pPr>
                    <w:pStyle w:val="TableHeading"/>
                  </w:pPr>
                  <w:r>
                    <w:t>0.00</w:t>
                  </w:r>
                </w:p>
              </w:tc>
              <w:tc>
                <w:tcPr>
                  <w:tcW w:w="1276" w:type="dxa"/>
                  <w:shd w:val="clear" w:color="auto" w:fill="auto"/>
                  <w:tcMar>
                    <w:top w:w="57" w:type="dxa"/>
                    <w:bottom w:w="57" w:type="dxa"/>
                  </w:tcMar>
                  <w:vAlign w:val="center"/>
                </w:tcPr>
                <w:p w:rsidR="00504BF3" w:rsidRDefault="00504BF3" w:rsidP="00806947">
                  <w:pPr>
                    <w:pStyle w:val="TableHeading"/>
                  </w:pPr>
                  <w:r>
                    <w:t>0.00</w:t>
                  </w:r>
                </w:p>
              </w:tc>
              <w:tc>
                <w:tcPr>
                  <w:tcW w:w="1276" w:type="dxa"/>
                  <w:shd w:val="clear" w:color="auto" w:fill="auto"/>
                  <w:tcMar>
                    <w:top w:w="57" w:type="dxa"/>
                    <w:bottom w:w="57" w:type="dxa"/>
                  </w:tcMar>
                  <w:vAlign w:val="center"/>
                </w:tcPr>
                <w:p w:rsidR="00504BF3" w:rsidRDefault="00504BF3" w:rsidP="00806947">
                  <w:pPr>
                    <w:pStyle w:val="TableHeading"/>
                  </w:pPr>
                  <w:r>
                    <w:t>0.00</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Default="00504BF3" w:rsidP="00504BF3">
      <w:pPr>
        <w:rPr>
          <w:rFonts w:cs="Arial"/>
        </w:rPr>
      </w:pPr>
    </w:p>
    <w:p w:rsidR="00504BF3" w:rsidRPr="00DF1CB8" w:rsidRDefault="00504BF3" w:rsidP="00504BF3">
      <w:pPr>
        <w:pStyle w:val="Heading1"/>
      </w:pPr>
      <w:bookmarkStart w:id="51" w:name="_Toc400965237"/>
      <w:bookmarkStart w:id="52" w:name="_Toc426099823"/>
      <w:r>
        <w:lastRenderedPageBreak/>
        <w:t>7</w:t>
      </w:r>
      <w:r>
        <w:tab/>
      </w:r>
      <w:r w:rsidRPr="00DF1CB8">
        <w:t>Financial performance</w:t>
      </w:r>
      <w:bookmarkEnd w:id="51"/>
      <w:bookmarkEnd w:id="52"/>
    </w:p>
    <w:p w:rsidR="00504BF3" w:rsidRDefault="00504BF3" w:rsidP="00504BF3">
      <w:pPr>
        <w:rPr>
          <w:rFonts w:cs="Arial"/>
        </w:rPr>
      </w:pPr>
      <w:r w:rsidRPr="00DF1CB8">
        <w:rPr>
          <w:rFonts w:cs="Arial"/>
        </w:rPr>
        <w:t xml:space="preserve">Table </w:t>
      </w:r>
      <w:r>
        <w:rPr>
          <w:rFonts w:cs="Arial"/>
        </w:rPr>
        <w:t>6</w:t>
      </w:r>
      <w:r w:rsidRPr="00DF1CB8">
        <w:rPr>
          <w:rFonts w:cs="Arial"/>
        </w:rPr>
        <w:t xml:space="preserve"> provides historical revenue and expenses for the past five financial years.</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pPr>
            <w:r>
              <w:t xml:space="preserve">Table </w:t>
            </w:r>
            <w:fldSimple w:instr=" SEQ Table \* ARABIC ">
              <w:r>
                <w:rPr>
                  <w:noProof/>
                </w:rPr>
                <w:t>6</w:t>
              </w:r>
            </w:fldSimple>
            <w:r>
              <w:t xml:space="preserve"> </w:t>
            </w:r>
            <w:r w:rsidRPr="0002365B">
              <w:t>Actual cost recovery revenue and expenses</w:t>
            </w:r>
          </w:p>
        </w:tc>
      </w:tr>
      <w:tr w:rsidR="00504BF3" w:rsidTr="00806947">
        <w:trPr>
          <w:trHeight w:val="3086"/>
        </w:trPr>
        <w:tc>
          <w:tcPr>
            <w:tcW w:w="9645" w:type="dxa"/>
            <w:shd w:val="clear" w:color="auto" w:fill="auto"/>
            <w:tcMar>
              <w:left w:w="28" w:type="dxa"/>
            </w:tcMar>
          </w:tcPr>
          <w:tbl>
            <w:tblPr>
              <w:tblW w:w="8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8"/>
              <w:gridCol w:w="1134"/>
              <w:gridCol w:w="1134"/>
              <w:gridCol w:w="1134"/>
              <w:gridCol w:w="1134"/>
              <w:gridCol w:w="1134"/>
            </w:tblGrid>
            <w:tr w:rsidR="00504BF3" w:rsidRPr="00970241" w:rsidTr="00806947">
              <w:trPr>
                <w:trHeight w:val="511"/>
              </w:trPr>
              <w:tc>
                <w:tcPr>
                  <w:tcW w:w="2978"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 xml:space="preserve">Fees </w:t>
                  </w:r>
                  <w:r>
                    <w:rPr>
                      <w:color w:val="FFFFFF" w:themeColor="background1"/>
                    </w:rPr>
                    <w:t>i</w:t>
                  </w:r>
                  <w:r w:rsidRPr="0002365B">
                    <w:rPr>
                      <w:color w:val="FFFFFF" w:themeColor="background1"/>
                    </w:rPr>
                    <w:t>tems</w:t>
                  </w:r>
                </w:p>
              </w:tc>
              <w:tc>
                <w:tcPr>
                  <w:tcW w:w="1134"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2009</w:t>
                  </w:r>
                  <w:r>
                    <w:rPr>
                      <w:color w:val="FFFFFF" w:themeColor="background1"/>
                    </w:rPr>
                    <w:t>–</w:t>
                  </w:r>
                  <w:r w:rsidRPr="0002365B">
                    <w:rPr>
                      <w:color w:val="FFFFFF" w:themeColor="background1"/>
                    </w:rPr>
                    <w:t>10</w:t>
                  </w:r>
                </w:p>
                <w:p w:rsidR="00504BF3" w:rsidRPr="0002365B" w:rsidRDefault="00504BF3" w:rsidP="00806947">
                  <w:pPr>
                    <w:pStyle w:val="TableHeading"/>
                    <w:rPr>
                      <w:color w:val="FFFFFF" w:themeColor="background1"/>
                    </w:rPr>
                  </w:pPr>
                  <w:r w:rsidRPr="0002365B">
                    <w:rPr>
                      <w:color w:val="FFFFFF" w:themeColor="background1"/>
                    </w:rPr>
                    <w:t>$million</w:t>
                  </w:r>
                </w:p>
              </w:tc>
              <w:tc>
                <w:tcPr>
                  <w:tcW w:w="1134"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2010</w:t>
                  </w:r>
                  <w:r>
                    <w:rPr>
                      <w:color w:val="FFFFFF" w:themeColor="background1"/>
                    </w:rPr>
                    <w:t>–</w:t>
                  </w:r>
                  <w:r w:rsidRPr="0002365B">
                    <w:rPr>
                      <w:color w:val="FFFFFF" w:themeColor="background1"/>
                    </w:rPr>
                    <w:t>11</w:t>
                  </w:r>
                </w:p>
                <w:p w:rsidR="00504BF3" w:rsidRPr="0002365B" w:rsidRDefault="00504BF3" w:rsidP="00806947">
                  <w:pPr>
                    <w:pStyle w:val="TableHeading"/>
                    <w:rPr>
                      <w:color w:val="FFFFFF" w:themeColor="background1"/>
                    </w:rPr>
                  </w:pPr>
                  <w:r w:rsidRPr="0002365B">
                    <w:rPr>
                      <w:color w:val="FFFFFF" w:themeColor="background1"/>
                    </w:rPr>
                    <w:t>$million</w:t>
                  </w:r>
                </w:p>
              </w:tc>
              <w:tc>
                <w:tcPr>
                  <w:tcW w:w="1134"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2011</w:t>
                  </w:r>
                  <w:r>
                    <w:rPr>
                      <w:color w:val="FFFFFF" w:themeColor="background1"/>
                    </w:rPr>
                    <w:t>–</w:t>
                  </w:r>
                  <w:r w:rsidRPr="0002365B">
                    <w:rPr>
                      <w:color w:val="FFFFFF" w:themeColor="background1"/>
                    </w:rPr>
                    <w:t>12</w:t>
                  </w:r>
                </w:p>
                <w:p w:rsidR="00504BF3" w:rsidRPr="0002365B" w:rsidRDefault="00504BF3" w:rsidP="00806947">
                  <w:pPr>
                    <w:pStyle w:val="TableHeading"/>
                    <w:rPr>
                      <w:color w:val="FFFFFF" w:themeColor="background1"/>
                    </w:rPr>
                  </w:pPr>
                  <w:r w:rsidRPr="0002365B">
                    <w:rPr>
                      <w:color w:val="FFFFFF" w:themeColor="background1"/>
                    </w:rPr>
                    <w:t>$million</w:t>
                  </w:r>
                </w:p>
              </w:tc>
              <w:tc>
                <w:tcPr>
                  <w:tcW w:w="1134"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2012</w:t>
                  </w:r>
                  <w:r>
                    <w:rPr>
                      <w:color w:val="FFFFFF" w:themeColor="background1"/>
                    </w:rPr>
                    <w:t>–</w:t>
                  </w:r>
                  <w:r w:rsidRPr="0002365B">
                    <w:rPr>
                      <w:color w:val="FFFFFF" w:themeColor="background1"/>
                    </w:rPr>
                    <w:t>13</w:t>
                  </w:r>
                </w:p>
                <w:p w:rsidR="00504BF3" w:rsidRPr="0002365B" w:rsidRDefault="00504BF3" w:rsidP="00806947">
                  <w:pPr>
                    <w:pStyle w:val="TableHeading"/>
                    <w:rPr>
                      <w:color w:val="FFFFFF" w:themeColor="background1"/>
                    </w:rPr>
                  </w:pPr>
                  <w:r w:rsidRPr="0002365B">
                    <w:rPr>
                      <w:color w:val="FFFFFF" w:themeColor="background1"/>
                    </w:rPr>
                    <w:t>$million</w:t>
                  </w:r>
                </w:p>
              </w:tc>
              <w:tc>
                <w:tcPr>
                  <w:tcW w:w="1134"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2013</w:t>
                  </w:r>
                  <w:r>
                    <w:rPr>
                      <w:color w:val="FFFFFF" w:themeColor="background1"/>
                    </w:rPr>
                    <w:t>–</w:t>
                  </w:r>
                  <w:r w:rsidRPr="0002365B">
                    <w:rPr>
                      <w:color w:val="FFFFFF" w:themeColor="background1"/>
                    </w:rPr>
                    <w:t>14</w:t>
                  </w:r>
                </w:p>
                <w:p w:rsidR="00504BF3" w:rsidRPr="0002365B" w:rsidRDefault="00504BF3" w:rsidP="00806947">
                  <w:pPr>
                    <w:pStyle w:val="TableHeading"/>
                    <w:rPr>
                      <w:color w:val="FFFFFF" w:themeColor="background1"/>
                    </w:rPr>
                  </w:pPr>
                  <w:r w:rsidRPr="0002365B">
                    <w:rPr>
                      <w:color w:val="FFFFFF" w:themeColor="background1"/>
                    </w:rPr>
                    <w:t>$million</w:t>
                  </w:r>
                </w:p>
              </w:tc>
            </w:tr>
            <w:tr w:rsidR="00504BF3" w:rsidRPr="00970241" w:rsidTr="00806947">
              <w:trPr>
                <w:trHeight w:val="212"/>
              </w:trPr>
              <w:tc>
                <w:tcPr>
                  <w:tcW w:w="2978" w:type="dxa"/>
                  <w:tcMar>
                    <w:top w:w="57" w:type="dxa"/>
                    <w:bottom w:w="57" w:type="dxa"/>
                  </w:tcMar>
                  <w:vAlign w:val="center"/>
                </w:tcPr>
                <w:p w:rsidR="00504BF3" w:rsidRPr="004713C3" w:rsidRDefault="00504BF3" w:rsidP="00806947">
                  <w:pPr>
                    <w:pStyle w:val="TableBody"/>
                  </w:pPr>
                  <w:r>
                    <w:t>Radiocommunications fees</w:t>
                  </w:r>
                </w:p>
              </w:tc>
              <w:tc>
                <w:tcPr>
                  <w:tcW w:w="1134" w:type="dxa"/>
                  <w:tcMar>
                    <w:top w:w="57" w:type="dxa"/>
                    <w:bottom w:w="57" w:type="dxa"/>
                  </w:tcMar>
                  <w:vAlign w:val="center"/>
                </w:tcPr>
                <w:p w:rsidR="00504BF3" w:rsidRPr="004713C3" w:rsidRDefault="00504BF3" w:rsidP="00806947">
                  <w:pPr>
                    <w:pStyle w:val="TableBody"/>
                  </w:pPr>
                  <w:r>
                    <w:t>2.77</w:t>
                  </w:r>
                </w:p>
              </w:tc>
              <w:tc>
                <w:tcPr>
                  <w:tcW w:w="1134" w:type="dxa"/>
                  <w:shd w:val="clear" w:color="auto" w:fill="auto"/>
                  <w:tcMar>
                    <w:top w:w="57" w:type="dxa"/>
                    <w:bottom w:w="57" w:type="dxa"/>
                  </w:tcMar>
                  <w:vAlign w:val="center"/>
                </w:tcPr>
                <w:p w:rsidR="00504BF3" w:rsidRPr="004713C3" w:rsidRDefault="00504BF3" w:rsidP="00806947">
                  <w:pPr>
                    <w:pStyle w:val="TableBody"/>
                  </w:pPr>
                  <w:r>
                    <w:t>3.27</w:t>
                  </w:r>
                </w:p>
              </w:tc>
              <w:tc>
                <w:tcPr>
                  <w:tcW w:w="1134" w:type="dxa"/>
                  <w:shd w:val="clear" w:color="auto" w:fill="auto"/>
                  <w:tcMar>
                    <w:top w:w="57" w:type="dxa"/>
                    <w:bottom w:w="57" w:type="dxa"/>
                  </w:tcMar>
                  <w:vAlign w:val="center"/>
                </w:tcPr>
                <w:p w:rsidR="00504BF3" w:rsidRPr="004713C3" w:rsidRDefault="00504BF3" w:rsidP="00806947">
                  <w:pPr>
                    <w:pStyle w:val="TableBody"/>
                  </w:pPr>
                  <w:r>
                    <w:t>3.36</w:t>
                  </w:r>
                </w:p>
              </w:tc>
              <w:tc>
                <w:tcPr>
                  <w:tcW w:w="1134" w:type="dxa"/>
                  <w:tcMar>
                    <w:top w:w="57" w:type="dxa"/>
                    <w:bottom w:w="57" w:type="dxa"/>
                  </w:tcMar>
                  <w:vAlign w:val="center"/>
                </w:tcPr>
                <w:p w:rsidR="00504BF3" w:rsidRPr="004713C3" w:rsidRDefault="00504BF3" w:rsidP="00806947">
                  <w:pPr>
                    <w:pStyle w:val="TableBody"/>
                  </w:pPr>
                  <w:r>
                    <w:t>3.58</w:t>
                  </w:r>
                </w:p>
              </w:tc>
              <w:tc>
                <w:tcPr>
                  <w:tcW w:w="1134" w:type="dxa"/>
                  <w:shd w:val="clear" w:color="auto" w:fill="auto"/>
                  <w:tcMar>
                    <w:top w:w="57" w:type="dxa"/>
                    <w:bottom w:w="57" w:type="dxa"/>
                  </w:tcMar>
                  <w:vAlign w:val="center"/>
                </w:tcPr>
                <w:p w:rsidR="00504BF3" w:rsidRPr="004713C3" w:rsidRDefault="00504BF3" w:rsidP="00806947">
                  <w:pPr>
                    <w:pStyle w:val="TableBody"/>
                  </w:pPr>
                  <w:r>
                    <w:t>3.67</w:t>
                  </w:r>
                </w:p>
              </w:tc>
            </w:tr>
            <w:tr w:rsidR="00504BF3" w:rsidRPr="00970241" w:rsidTr="00806947">
              <w:trPr>
                <w:trHeight w:val="272"/>
              </w:trPr>
              <w:tc>
                <w:tcPr>
                  <w:tcW w:w="2978" w:type="dxa"/>
                  <w:tcMar>
                    <w:top w:w="57" w:type="dxa"/>
                    <w:bottom w:w="57" w:type="dxa"/>
                  </w:tcMar>
                  <w:vAlign w:val="center"/>
                </w:tcPr>
                <w:p w:rsidR="00504BF3" w:rsidRPr="004713C3" w:rsidRDefault="00504BF3" w:rsidP="00806947">
                  <w:pPr>
                    <w:pStyle w:val="TableBody"/>
                  </w:pPr>
                  <w:r w:rsidRPr="004713C3">
                    <w:t>T</w:t>
                  </w:r>
                  <w:r>
                    <w:t>elecommunications fees</w:t>
                  </w:r>
                </w:p>
              </w:tc>
              <w:tc>
                <w:tcPr>
                  <w:tcW w:w="1134" w:type="dxa"/>
                  <w:tcMar>
                    <w:top w:w="57" w:type="dxa"/>
                    <w:bottom w:w="57" w:type="dxa"/>
                  </w:tcMar>
                  <w:vAlign w:val="center"/>
                </w:tcPr>
                <w:p w:rsidR="00504BF3" w:rsidRPr="004713C3" w:rsidRDefault="00504BF3" w:rsidP="00806947">
                  <w:pPr>
                    <w:pStyle w:val="TableBody"/>
                  </w:pPr>
                  <w:r>
                    <w:t>0.14</w:t>
                  </w:r>
                </w:p>
              </w:tc>
              <w:tc>
                <w:tcPr>
                  <w:tcW w:w="1134" w:type="dxa"/>
                  <w:shd w:val="clear" w:color="auto" w:fill="auto"/>
                  <w:tcMar>
                    <w:top w:w="57" w:type="dxa"/>
                    <w:bottom w:w="57" w:type="dxa"/>
                  </w:tcMar>
                  <w:vAlign w:val="center"/>
                </w:tcPr>
                <w:p w:rsidR="00504BF3" w:rsidRPr="004713C3" w:rsidRDefault="00504BF3" w:rsidP="00806947">
                  <w:pPr>
                    <w:pStyle w:val="TableBody"/>
                  </w:pPr>
                  <w:r>
                    <w:t>0.17</w:t>
                  </w:r>
                </w:p>
              </w:tc>
              <w:tc>
                <w:tcPr>
                  <w:tcW w:w="1134" w:type="dxa"/>
                  <w:shd w:val="clear" w:color="auto" w:fill="auto"/>
                  <w:tcMar>
                    <w:top w:w="57" w:type="dxa"/>
                    <w:bottom w:w="57" w:type="dxa"/>
                  </w:tcMar>
                  <w:vAlign w:val="center"/>
                </w:tcPr>
                <w:p w:rsidR="00504BF3" w:rsidRPr="004713C3" w:rsidRDefault="00504BF3" w:rsidP="00806947">
                  <w:pPr>
                    <w:pStyle w:val="TableBody"/>
                  </w:pPr>
                  <w:r>
                    <w:t>0.19</w:t>
                  </w:r>
                </w:p>
              </w:tc>
              <w:tc>
                <w:tcPr>
                  <w:tcW w:w="1134" w:type="dxa"/>
                  <w:tcMar>
                    <w:top w:w="57" w:type="dxa"/>
                    <w:bottom w:w="57" w:type="dxa"/>
                  </w:tcMar>
                  <w:vAlign w:val="center"/>
                </w:tcPr>
                <w:p w:rsidR="00504BF3" w:rsidRPr="004713C3" w:rsidRDefault="00504BF3" w:rsidP="00806947">
                  <w:pPr>
                    <w:pStyle w:val="TableBody"/>
                  </w:pPr>
                  <w:r>
                    <w:t>0.19</w:t>
                  </w:r>
                </w:p>
              </w:tc>
              <w:tc>
                <w:tcPr>
                  <w:tcW w:w="1134" w:type="dxa"/>
                  <w:shd w:val="clear" w:color="auto" w:fill="auto"/>
                  <w:tcMar>
                    <w:top w:w="57" w:type="dxa"/>
                    <w:bottom w:w="57" w:type="dxa"/>
                  </w:tcMar>
                  <w:vAlign w:val="center"/>
                </w:tcPr>
                <w:p w:rsidR="00504BF3" w:rsidRPr="004713C3" w:rsidRDefault="00504BF3" w:rsidP="00806947">
                  <w:pPr>
                    <w:pStyle w:val="TableBody"/>
                  </w:pPr>
                  <w:r>
                    <w:t>0.21</w:t>
                  </w:r>
                </w:p>
              </w:tc>
            </w:tr>
            <w:tr w:rsidR="00504BF3" w:rsidRPr="00970241" w:rsidTr="00806947">
              <w:trPr>
                <w:trHeight w:val="276"/>
              </w:trPr>
              <w:tc>
                <w:tcPr>
                  <w:tcW w:w="2978" w:type="dxa"/>
                  <w:tcMar>
                    <w:top w:w="57" w:type="dxa"/>
                    <w:bottom w:w="57" w:type="dxa"/>
                  </w:tcMar>
                  <w:vAlign w:val="center"/>
                </w:tcPr>
                <w:p w:rsidR="00504BF3" w:rsidRPr="004713C3" w:rsidRDefault="00504BF3" w:rsidP="00806947">
                  <w:pPr>
                    <w:pStyle w:val="TableBody"/>
                  </w:pPr>
                  <w:r w:rsidRPr="004713C3">
                    <w:t>Broadcasting fees</w:t>
                  </w:r>
                </w:p>
              </w:tc>
              <w:tc>
                <w:tcPr>
                  <w:tcW w:w="1134" w:type="dxa"/>
                  <w:tcMar>
                    <w:top w:w="57" w:type="dxa"/>
                    <w:bottom w:w="57" w:type="dxa"/>
                  </w:tcMar>
                  <w:vAlign w:val="center"/>
                </w:tcPr>
                <w:p w:rsidR="00504BF3" w:rsidRPr="004713C3" w:rsidRDefault="00504BF3" w:rsidP="00806947">
                  <w:pPr>
                    <w:pStyle w:val="TableBody"/>
                  </w:pPr>
                  <w:r>
                    <w:t>0.07</w:t>
                  </w:r>
                </w:p>
              </w:tc>
              <w:tc>
                <w:tcPr>
                  <w:tcW w:w="1134" w:type="dxa"/>
                  <w:shd w:val="clear" w:color="auto" w:fill="auto"/>
                  <w:tcMar>
                    <w:top w:w="57" w:type="dxa"/>
                    <w:bottom w:w="57" w:type="dxa"/>
                  </w:tcMar>
                  <w:vAlign w:val="center"/>
                </w:tcPr>
                <w:p w:rsidR="00504BF3" w:rsidRPr="004713C3" w:rsidRDefault="00504BF3" w:rsidP="00806947">
                  <w:pPr>
                    <w:pStyle w:val="TableBody"/>
                  </w:pPr>
                  <w:r>
                    <w:t>0.12</w:t>
                  </w:r>
                </w:p>
              </w:tc>
              <w:tc>
                <w:tcPr>
                  <w:tcW w:w="1134" w:type="dxa"/>
                  <w:shd w:val="clear" w:color="auto" w:fill="auto"/>
                  <w:tcMar>
                    <w:top w:w="57" w:type="dxa"/>
                    <w:bottom w:w="57" w:type="dxa"/>
                  </w:tcMar>
                  <w:vAlign w:val="center"/>
                </w:tcPr>
                <w:p w:rsidR="00504BF3" w:rsidRPr="004713C3" w:rsidRDefault="00504BF3" w:rsidP="00806947">
                  <w:pPr>
                    <w:pStyle w:val="TableBody"/>
                  </w:pPr>
                  <w:r>
                    <w:t>0.04</w:t>
                  </w:r>
                </w:p>
              </w:tc>
              <w:tc>
                <w:tcPr>
                  <w:tcW w:w="1134" w:type="dxa"/>
                  <w:tcMar>
                    <w:top w:w="57" w:type="dxa"/>
                    <w:bottom w:w="57" w:type="dxa"/>
                  </w:tcMar>
                  <w:vAlign w:val="center"/>
                </w:tcPr>
                <w:p w:rsidR="00504BF3" w:rsidRPr="004713C3" w:rsidRDefault="00504BF3" w:rsidP="00806947">
                  <w:pPr>
                    <w:pStyle w:val="TableBody"/>
                  </w:pPr>
                  <w:r>
                    <w:t>0.03</w:t>
                  </w:r>
                </w:p>
              </w:tc>
              <w:tc>
                <w:tcPr>
                  <w:tcW w:w="1134" w:type="dxa"/>
                  <w:shd w:val="clear" w:color="auto" w:fill="auto"/>
                  <w:tcMar>
                    <w:top w:w="57" w:type="dxa"/>
                    <w:bottom w:w="57" w:type="dxa"/>
                  </w:tcMar>
                  <w:vAlign w:val="center"/>
                </w:tcPr>
                <w:p w:rsidR="00504BF3" w:rsidRPr="004713C3" w:rsidRDefault="00504BF3" w:rsidP="00806947">
                  <w:pPr>
                    <w:pStyle w:val="TableBody"/>
                  </w:pPr>
                  <w:r>
                    <w:t>0.04</w:t>
                  </w:r>
                </w:p>
              </w:tc>
            </w:tr>
            <w:tr w:rsidR="00504BF3" w:rsidRPr="00895401" w:rsidTr="00806947">
              <w:trPr>
                <w:trHeight w:val="280"/>
              </w:trPr>
              <w:tc>
                <w:tcPr>
                  <w:tcW w:w="2978"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Total revenue</w:t>
                  </w:r>
                </w:p>
              </w:tc>
              <w:tc>
                <w:tcPr>
                  <w:tcW w:w="1134"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2.98</w:t>
                  </w:r>
                </w:p>
              </w:tc>
              <w:tc>
                <w:tcPr>
                  <w:tcW w:w="1134"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3.56</w:t>
                  </w:r>
                </w:p>
              </w:tc>
              <w:tc>
                <w:tcPr>
                  <w:tcW w:w="1134"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3.59</w:t>
                  </w:r>
                </w:p>
              </w:tc>
              <w:tc>
                <w:tcPr>
                  <w:tcW w:w="1134"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3.80</w:t>
                  </w:r>
                </w:p>
              </w:tc>
              <w:tc>
                <w:tcPr>
                  <w:tcW w:w="1134" w:type="dxa"/>
                  <w:shd w:val="clear" w:color="auto" w:fill="F2F2F2" w:themeFill="background1" w:themeFillShade="F2"/>
                  <w:tcMar>
                    <w:top w:w="57" w:type="dxa"/>
                    <w:bottom w:w="57" w:type="dxa"/>
                  </w:tcMar>
                  <w:vAlign w:val="center"/>
                </w:tcPr>
                <w:p w:rsidR="00504BF3" w:rsidRPr="004713C3" w:rsidRDefault="00504BF3" w:rsidP="00806947">
                  <w:pPr>
                    <w:pStyle w:val="TableHeading"/>
                  </w:pPr>
                  <w:r>
                    <w:t>3.92</w:t>
                  </w:r>
                </w:p>
              </w:tc>
            </w:tr>
            <w:tr w:rsidR="00504BF3" w:rsidRPr="00970241" w:rsidTr="00806947">
              <w:trPr>
                <w:trHeight w:val="284"/>
              </w:trPr>
              <w:tc>
                <w:tcPr>
                  <w:tcW w:w="2978" w:type="dxa"/>
                  <w:shd w:val="clear" w:color="auto" w:fill="auto"/>
                  <w:tcMar>
                    <w:top w:w="57" w:type="dxa"/>
                    <w:bottom w:w="57" w:type="dxa"/>
                  </w:tcMar>
                  <w:vAlign w:val="center"/>
                </w:tcPr>
                <w:p w:rsidR="00504BF3" w:rsidRPr="004713C3" w:rsidRDefault="00504BF3" w:rsidP="00806947">
                  <w:pPr>
                    <w:pStyle w:val="TableHeading"/>
                  </w:pPr>
                  <w:r w:rsidRPr="004713C3">
                    <w:t>Total</w:t>
                  </w:r>
                  <w:r>
                    <w:t xml:space="preserve"> expenses</w:t>
                  </w:r>
                </w:p>
              </w:tc>
              <w:tc>
                <w:tcPr>
                  <w:tcW w:w="1134" w:type="dxa"/>
                  <w:shd w:val="clear" w:color="auto" w:fill="auto"/>
                  <w:tcMar>
                    <w:top w:w="57" w:type="dxa"/>
                    <w:bottom w:w="57" w:type="dxa"/>
                  </w:tcMar>
                  <w:vAlign w:val="center"/>
                </w:tcPr>
                <w:p w:rsidR="00504BF3" w:rsidRPr="004713C3" w:rsidRDefault="00504BF3" w:rsidP="00806947">
                  <w:pPr>
                    <w:pStyle w:val="TableHeading"/>
                  </w:pPr>
                  <w:r>
                    <w:t>2.98</w:t>
                  </w:r>
                </w:p>
              </w:tc>
              <w:tc>
                <w:tcPr>
                  <w:tcW w:w="1134" w:type="dxa"/>
                  <w:shd w:val="clear" w:color="auto" w:fill="auto"/>
                  <w:tcMar>
                    <w:top w:w="57" w:type="dxa"/>
                    <w:bottom w:w="57" w:type="dxa"/>
                  </w:tcMar>
                  <w:vAlign w:val="center"/>
                </w:tcPr>
                <w:p w:rsidR="00504BF3" w:rsidRPr="004713C3" w:rsidRDefault="00504BF3" w:rsidP="00806947">
                  <w:pPr>
                    <w:pStyle w:val="TableHeading"/>
                  </w:pPr>
                  <w:r>
                    <w:t>3.56</w:t>
                  </w:r>
                </w:p>
              </w:tc>
              <w:tc>
                <w:tcPr>
                  <w:tcW w:w="1134" w:type="dxa"/>
                  <w:shd w:val="clear" w:color="auto" w:fill="auto"/>
                  <w:tcMar>
                    <w:top w:w="57" w:type="dxa"/>
                    <w:bottom w:w="57" w:type="dxa"/>
                  </w:tcMar>
                  <w:vAlign w:val="center"/>
                </w:tcPr>
                <w:p w:rsidR="00504BF3" w:rsidRPr="004713C3" w:rsidRDefault="00504BF3" w:rsidP="00806947">
                  <w:pPr>
                    <w:pStyle w:val="TableHeading"/>
                  </w:pPr>
                  <w:r>
                    <w:t>3.59</w:t>
                  </w:r>
                </w:p>
              </w:tc>
              <w:tc>
                <w:tcPr>
                  <w:tcW w:w="1134" w:type="dxa"/>
                  <w:tcMar>
                    <w:top w:w="57" w:type="dxa"/>
                    <w:bottom w:w="57" w:type="dxa"/>
                  </w:tcMar>
                  <w:vAlign w:val="center"/>
                </w:tcPr>
                <w:p w:rsidR="00504BF3" w:rsidRPr="004713C3" w:rsidRDefault="00504BF3" w:rsidP="00806947">
                  <w:pPr>
                    <w:pStyle w:val="TableHeading"/>
                  </w:pPr>
                  <w:r>
                    <w:t>3.80</w:t>
                  </w:r>
                </w:p>
              </w:tc>
              <w:tc>
                <w:tcPr>
                  <w:tcW w:w="1134" w:type="dxa"/>
                  <w:shd w:val="clear" w:color="auto" w:fill="auto"/>
                  <w:tcMar>
                    <w:top w:w="57" w:type="dxa"/>
                    <w:bottom w:w="57" w:type="dxa"/>
                  </w:tcMar>
                  <w:vAlign w:val="center"/>
                </w:tcPr>
                <w:p w:rsidR="00504BF3" w:rsidRPr="004713C3" w:rsidRDefault="00504BF3" w:rsidP="00806947">
                  <w:pPr>
                    <w:pStyle w:val="TableHeading"/>
                  </w:pPr>
                  <w:r>
                    <w:t>3.92</w:t>
                  </w:r>
                </w:p>
              </w:tc>
            </w:tr>
            <w:tr w:rsidR="00504BF3" w:rsidRPr="00970241" w:rsidTr="00806947">
              <w:trPr>
                <w:trHeight w:val="260"/>
              </w:trPr>
              <w:tc>
                <w:tcPr>
                  <w:tcW w:w="2978" w:type="dxa"/>
                  <w:shd w:val="clear" w:color="auto" w:fill="auto"/>
                  <w:tcMar>
                    <w:top w:w="57" w:type="dxa"/>
                    <w:bottom w:w="57" w:type="dxa"/>
                  </w:tcMar>
                  <w:vAlign w:val="center"/>
                </w:tcPr>
                <w:p w:rsidR="00504BF3" w:rsidRPr="004713C3" w:rsidRDefault="00504BF3" w:rsidP="00806947">
                  <w:pPr>
                    <w:pStyle w:val="TableHeading"/>
                  </w:pPr>
                  <w:r>
                    <w:t>Balance</w:t>
                  </w:r>
                </w:p>
              </w:tc>
              <w:tc>
                <w:tcPr>
                  <w:tcW w:w="1134" w:type="dxa"/>
                  <w:shd w:val="clear" w:color="auto" w:fill="auto"/>
                  <w:tcMar>
                    <w:top w:w="57" w:type="dxa"/>
                    <w:bottom w:w="57" w:type="dxa"/>
                  </w:tcMar>
                  <w:vAlign w:val="center"/>
                </w:tcPr>
                <w:p w:rsidR="00504BF3" w:rsidRDefault="00504BF3" w:rsidP="00806947">
                  <w:pPr>
                    <w:pStyle w:val="TableHeading"/>
                  </w:pPr>
                  <w:r>
                    <w:t>0.00</w:t>
                  </w:r>
                </w:p>
              </w:tc>
              <w:tc>
                <w:tcPr>
                  <w:tcW w:w="1134" w:type="dxa"/>
                  <w:shd w:val="clear" w:color="auto" w:fill="auto"/>
                  <w:tcMar>
                    <w:top w:w="57" w:type="dxa"/>
                    <w:bottom w:w="57" w:type="dxa"/>
                  </w:tcMar>
                  <w:vAlign w:val="center"/>
                </w:tcPr>
                <w:p w:rsidR="00504BF3" w:rsidRDefault="00504BF3" w:rsidP="00806947">
                  <w:pPr>
                    <w:pStyle w:val="TableHeading"/>
                  </w:pPr>
                  <w:r>
                    <w:t>0.00</w:t>
                  </w:r>
                </w:p>
              </w:tc>
              <w:tc>
                <w:tcPr>
                  <w:tcW w:w="1134" w:type="dxa"/>
                  <w:shd w:val="clear" w:color="auto" w:fill="auto"/>
                  <w:tcMar>
                    <w:top w:w="57" w:type="dxa"/>
                    <w:bottom w:w="57" w:type="dxa"/>
                  </w:tcMar>
                  <w:vAlign w:val="center"/>
                </w:tcPr>
                <w:p w:rsidR="00504BF3" w:rsidRDefault="00504BF3" w:rsidP="00806947">
                  <w:pPr>
                    <w:pStyle w:val="TableHeading"/>
                  </w:pPr>
                  <w:r>
                    <w:t>0.00</w:t>
                  </w:r>
                </w:p>
              </w:tc>
              <w:tc>
                <w:tcPr>
                  <w:tcW w:w="1134" w:type="dxa"/>
                  <w:tcMar>
                    <w:top w:w="57" w:type="dxa"/>
                    <w:bottom w:w="57" w:type="dxa"/>
                  </w:tcMar>
                  <w:vAlign w:val="center"/>
                </w:tcPr>
                <w:p w:rsidR="00504BF3" w:rsidRDefault="00504BF3" w:rsidP="00806947">
                  <w:pPr>
                    <w:pStyle w:val="TableHeading"/>
                  </w:pPr>
                  <w:r>
                    <w:t>0.00</w:t>
                  </w:r>
                </w:p>
              </w:tc>
              <w:tc>
                <w:tcPr>
                  <w:tcW w:w="1134" w:type="dxa"/>
                  <w:shd w:val="clear" w:color="auto" w:fill="auto"/>
                  <w:tcMar>
                    <w:top w:w="57" w:type="dxa"/>
                    <w:bottom w:w="57" w:type="dxa"/>
                  </w:tcMar>
                  <w:vAlign w:val="center"/>
                </w:tcPr>
                <w:p w:rsidR="00504BF3" w:rsidRDefault="00504BF3" w:rsidP="00806947">
                  <w:pPr>
                    <w:pStyle w:val="TableHeading"/>
                  </w:pPr>
                  <w:r>
                    <w:t>0.00</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Pr="00DF1CB8" w:rsidRDefault="00504BF3" w:rsidP="00504BF3">
      <w:pPr>
        <w:pStyle w:val="Bodysubheader0"/>
        <w:spacing w:before="240"/>
      </w:pPr>
      <w:r w:rsidRPr="00DF1CB8">
        <w:t>Non-financial performance</w:t>
      </w:r>
    </w:p>
    <w:p w:rsidR="00504BF3" w:rsidRPr="00DF1CB8" w:rsidRDefault="00504BF3" w:rsidP="00504BF3">
      <w:pPr>
        <w:rPr>
          <w:rFonts w:cs="Arial"/>
        </w:rPr>
      </w:pPr>
      <w:r w:rsidRPr="00DF1CB8">
        <w:rPr>
          <w:rFonts w:cs="Arial"/>
        </w:rPr>
        <w:t xml:space="preserve">As part of the new cost recovery framework, non-financial performance indicators will be established as they become available during the transition period (that is, </w:t>
      </w:r>
      <w:r>
        <w:rPr>
          <w:rFonts w:cs="Arial"/>
        </w:rPr>
        <w:t xml:space="preserve">the </w:t>
      </w:r>
      <w:r w:rsidRPr="00DF1CB8">
        <w:rPr>
          <w:rFonts w:cs="Arial"/>
        </w:rPr>
        <w:t>2014</w:t>
      </w:r>
      <w:r>
        <w:rPr>
          <w:rFonts w:cs="Arial"/>
        </w:rPr>
        <w:t>–</w:t>
      </w:r>
      <w:r w:rsidRPr="00DF1CB8">
        <w:rPr>
          <w:rFonts w:cs="Arial"/>
        </w:rPr>
        <w:t>15 financial year).</w:t>
      </w:r>
    </w:p>
    <w:p w:rsidR="00504BF3" w:rsidRPr="00DF1CB8" w:rsidRDefault="00504BF3" w:rsidP="00504BF3">
      <w:pPr>
        <w:pStyle w:val="Heading1"/>
      </w:pPr>
      <w:bookmarkStart w:id="53" w:name="_Toc400965238"/>
      <w:bookmarkStart w:id="54" w:name="_Toc426099824"/>
      <w:r w:rsidRPr="00DF1CB8">
        <w:lastRenderedPageBreak/>
        <w:t>8</w:t>
      </w:r>
      <w:r>
        <w:t>.</w:t>
      </w:r>
      <w:r w:rsidRPr="00DF1CB8">
        <w:tab/>
        <w:t>K</w:t>
      </w:r>
      <w:r>
        <w:t>ey forward dates and </w:t>
      </w:r>
      <w:r w:rsidRPr="00DF1CB8">
        <w:t>events</w:t>
      </w:r>
      <w:bookmarkEnd w:id="53"/>
      <w:bookmarkEnd w:id="54"/>
    </w:p>
    <w:p w:rsidR="00504BF3" w:rsidRDefault="00504BF3" w:rsidP="00504BF3">
      <w:pPr>
        <w:rPr>
          <w:rFonts w:cs="Arial"/>
        </w:rPr>
      </w:pPr>
      <w:r w:rsidRPr="00DF1CB8">
        <w:rPr>
          <w:rFonts w:cs="Arial"/>
        </w:rPr>
        <w:t xml:space="preserve">The key forward events and dates for the CRIS update are disclosed in Table </w:t>
      </w:r>
      <w:r>
        <w:rPr>
          <w:rFonts w:cs="Arial"/>
        </w:rPr>
        <w:t>7</w:t>
      </w:r>
      <w:r w:rsidRPr="00DF1CB8">
        <w:rPr>
          <w:rFonts w:cs="Arial"/>
        </w:rPr>
        <w:t>.</w:t>
      </w:r>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pPr>
            <w:r>
              <w:t xml:space="preserve">Table </w:t>
            </w:r>
            <w:fldSimple w:instr=" SEQ Table \* ARABIC ">
              <w:r>
                <w:rPr>
                  <w:noProof/>
                </w:rPr>
                <w:t>7</w:t>
              </w:r>
            </w:fldSimple>
            <w:r>
              <w:t xml:space="preserve"> </w:t>
            </w:r>
            <w:r w:rsidRPr="0002365B">
              <w:t>Key forward dates and events</w:t>
            </w:r>
          </w:p>
        </w:tc>
      </w:tr>
      <w:tr w:rsidR="00504BF3" w:rsidTr="00504BF3">
        <w:trPr>
          <w:trHeight w:val="1302"/>
        </w:trPr>
        <w:tc>
          <w:tcPr>
            <w:tcW w:w="9645" w:type="dxa"/>
            <w:shd w:val="clear" w:color="auto" w:fill="auto"/>
            <w:tcMar>
              <w:left w:w="28" w:type="dxa"/>
            </w:tcMar>
          </w:tcPr>
          <w:tbl>
            <w:tblPr>
              <w:tblStyle w:val="TableGrid"/>
              <w:tblW w:w="0" w:type="auto"/>
              <w:tblLayout w:type="fixed"/>
              <w:tblLook w:val="04A0" w:firstRow="1" w:lastRow="0" w:firstColumn="1" w:lastColumn="0" w:noHBand="0" w:noVBand="1"/>
            </w:tblPr>
            <w:tblGrid>
              <w:gridCol w:w="4803"/>
              <w:gridCol w:w="4804"/>
            </w:tblGrid>
            <w:tr w:rsidR="00504BF3" w:rsidTr="00806947">
              <w:tc>
                <w:tcPr>
                  <w:tcW w:w="4803"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Key events</w:t>
                  </w:r>
                </w:p>
              </w:tc>
              <w:tc>
                <w:tcPr>
                  <w:tcW w:w="4804" w:type="dxa"/>
                  <w:shd w:val="clear" w:color="auto" w:fill="404040" w:themeFill="text1" w:themeFillTint="BF"/>
                  <w:tcMar>
                    <w:top w:w="57" w:type="dxa"/>
                    <w:bottom w:w="57" w:type="dxa"/>
                  </w:tcMar>
                </w:tcPr>
                <w:p w:rsidR="00504BF3" w:rsidRPr="0002365B" w:rsidRDefault="00504BF3" w:rsidP="00806947">
                  <w:pPr>
                    <w:pStyle w:val="TableHeading"/>
                    <w:rPr>
                      <w:color w:val="FFFFFF" w:themeColor="background1"/>
                    </w:rPr>
                  </w:pPr>
                  <w:r w:rsidRPr="0002365B">
                    <w:rPr>
                      <w:color w:val="FFFFFF" w:themeColor="background1"/>
                    </w:rPr>
                    <w:t>Indicative date</w:t>
                  </w:r>
                </w:p>
              </w:tc>
            </w:tr>
            <w:tr w:rsidR="00504BF3" w:rsidTr="00806947">
              <w:tc>
                <w:tcPr>
                  <w:tcW w:w="4803" w:type="dxa"/>
                  <w:tcMar>
                    <w:top w:w="57" w:type="dxa"/>
                    <w:bottom w:w="57" w:type="dxa"/>
                  </w:tcMar>
                </w:tcPr>
                <w:p w:rsidR="00504BF3" w:rsidRDefault="00504BF3" w:rsidP="00806947">
                  <w:pPr>
                    <w:pStyle w:val="TableBody"/>
                  </w:pPr>
                  <w:r w:rsidRPr="00DF1CB8">
                    <w:t>Update of forward estimates</w:t>
                  </w:r>
                </w:p>
              </w:tc>
              <w:tc>
                <w:tcPr>
                  <w:tcW w:w="4804" w:type="dxa"/>
                  <w:tcMar>
                    <w:top w:w="57" w:type="dxa"/>
                    <w:bottom w:w="57" w:type="dxa"/>
                  </w:tcMar>
                </w:tcPr>
                <w:p w:rsidR="00504BF3" w:rsidRDefault="00504BF3" w:rsidP="00806947">
                  <w:pPr>
                    <w:pStyle w:val="TableBody"/>
                  </w:pPr>
                  <w:r>
                    <w:t>May</w:t>
                  </w:r>
                  <w:r w:rsidRPr="00DF1CB8">
                    <w:t xml:space="preserve"> 2015</w:t>
                  </w:r>
                </w:p>
              </w:tc>
            </w:tr>
            <w:tr w:rsidR="00504BF3" w:rsidTr="00806947">
              <w:tc>
                <w:tcPr>
                  <w:tcW w:w="4803" w:type="dxa"/>
                  <w:tcMar>
                    <w:top w:w="57" w:type="dxa"/>
                    <w:bottom w:w="57" w:type="dxa"/>
                  </w:tcMar>
                </w:tcPr>
                <w:p w:rsidR="00504BF3" w:rsidRDefault="00504BF3" w:rsidP="00806947">
                  <w:pPr>
                    <w:pStyle w:val="TableBody"/>
                  </w:pPr>
                  <w:r w:rsidRPr="00DF1CB8">
                    <w:t>Update of actual financial performance</w:t>
                  </w:r>
                </w:p>
              </w:tc>
              <w:tc>
                <w:tcPr>
                  <w:tcW w:w="4804" w:type="dxa"/>
                  <w:tcMar>
                    <w:top w:w="57" w:type="dxa"/>
                    <w:bottom w:w="57" w:type="dxa"/>
                  </w:tcMar>
                </w:tcPr>
                <w:p w:rsidR="00504BF3" w:rsidRPr="0002365B" w:rsidRDefault="00504BF3" w:rsidP="00806947">
                  <w:pPr>
                    <w:pStyle w:val="TableBody"/>
                  </w:pPr>
                  <w:r>
                    <w:t>August 2015</w:t>
                  </w:r>
                </w:p>
              </w:tc>
            </w:tr>
            <w:tr w:rsidR="00504BF3" w:rsidTr="00806947">
              <w:tc>
                <w:tcPr>
                  <w:tcW w:w="4803" w:type="dxa"/>
                  <w:tcMar>
                    <w:top w:w="57" w:type="dxa"/>
                    <w:bottom w:w="57" w:type="dxa"/>
                  </w:tcMar>
                </w:tcPr>
                <w:p w:rsidR="00504BF3" w:rsidRDefault="00504BF3" w:rsidP="00806947">
                  <w:pPr>
                    <w:pStyle w:val="TableBody"/>
                  </w:pPr>
                  <w:r w:rsidRPr="00DF1CB8">
                    <w:t>Establish non-financial performance</w:t>
                  </w:r>
                </w:p>
              </w:tc>
              <w:tc>
                <w:tcPr>
                  <w:tcW w:w="4804" w:type="dxa"/>
                  <w:tcMar>
                    <w:top w:w="57" w:type="dxa"/>
                    <w:bottom w:w="57" w:type="dxa"/>
                  </w:tcMar>
                </w:tcPr>
                <w:p w:rsidR="00504BF3" w:rsidRDefault="00504BF3" w:rsidP="00806947">
                  <w:pPr>
                    <w:pStyle w:val="TableBody"/>
                  </w:pPr>
                  <w:r w:rsidRPr="00DF1CB8">
                    <w:t>August 2015</w:t>
                  </w: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Default="00504BF3" w:rsidP="00504BF3">
      <w:pPr>
        <w:rPr>
          <w:rFonts w:cs="Arial"/>
        </w:rPr>
      </w:pPr>
    </w:p>
    <w:p w:rsidR="00504BF3" w:rsidRDefault="00504BF3" w:rsidP="00504BF3">
      <w:pPr>
        <w:pStyle w:val="Heading1"/>
      </w:pPr>
      <w:bookmarkStart w:id="55" w:name="_Toc400965239"/>
      <w:bookmarkStart w:id="56" w:name="_Toc426099825"/>
      <w:r w:rsidRPr="00DF1CB8">
        <w:lastRenderedPageBreak/>
        <w:t>9</w:t>
      </w:r>
      <w:r w:rsidRPr="00DF1CB8">
        <w:tab/>
        <w:t xml:space="preserve">CRIS </w:t>
      </w:r>
      <w:r>
        <w:t>approval and change </w:t>
      </w:r>
      <w:r w:rsidRPr="00DF1CB8">
        <w:t>register</w:t>
      </w:r>
      <w:bookmarkEnd w:id="55"/>
      <w:bookmarkEnd w:id="56"/>
    </w:p>
    <w:tbl>
      <w:tblPr>
        <w:tblW w:w="9645" w:type="dxa"/>
        <w:tblLayout w:type="fixed"/>
        <w:tblCellMar>
          <w:left w:w="0" w:type="dxa"/>
          <w:right w:w="0" w:type="dxa"/>
        </w:tblCellMar>
        <w:tblLook w:val="01E0" w:firstRow="1" w:lastRow="1" w:firstColumn="1" w:lastColumn="1" w:noHBand="0" w:noVBand="0"/>
      </w:tblPr>
      <w:tblGrid>
        <w:gridCol w:w="9645"/>
      </w:tblGrid>
      <w:tr w:rsidR="00504BF3" w:rsidTr="00806947">
        <w:trPr>
          <w:trHeight w:val="570"/>
        </w:trPr>
        <w:tc>
          <w:tcPr>
            <w:tcW w:w="9645" w:type="dxa"/>
            <w:tcBorders>
              <w:top w:val="single" w:sz="2" w:space="0" w:color="505050"/>
            </w:tcBorders>
            <w:shd w:val="clear" w:color="auto" w:fill="auto"/>
            <w:vAlign w:val="center"/>
          </w:tcPr>
          <w:p w:rsidR="00504BF3" w:rsidRPr="00A74B5E" w:rsidRDefault="00504BF3" w:rsidP="00806947">
            <w:pPr>
              <w:pStyle w:val="Caption"/>
            </w:pPr>
            <w:r w:rsidRPr="00986DE5">
              <w:t>Change register</w:t>
            </w:r>
          </w:p>
        </w:tc>
      </w:tr>
      <w:tr w:rsidR="00504BF3" w:rsidTr="00806947">
        <w:trPr>
          <w:trHeight w:val="1279"/>
        </w:trPr>
        <w:tc>
          <w:tcPr>
            <w:tcW w:w="9645" w:type="dxa"/>
            <w:shd w:val="clear" w:color="auto" w:fill="auto"/>
            <w:tcMar>
              <w:left w:w="28" w:type="dxa"/>
            </w:tcMar>
          </w:tcPr>
          <w:tbl>
            <w:tblPr>
              <w:tblStyle w:val="TableGrid2"/>
              <w:tblW w:w="0" w:type="auto"/>
              <w:tblLayout w:type="fixed"/>
              <w:tblLook w:val="04A0" w:firstRow="1" w:lastRow="0" w:firstColumn="1" w:lastColumn="0" w:noHBand="0" w:noVBand="1"/>
            </w:tblPr>
            <w:tblGrid>
              <w:gridCol w:w="2236"/>
              <w:gridCol w:w="2410"/>
              <w:gridCol w:w="1984"/>
              <w:gridCol w:w="2552"/>
            </w:tblGrid>
            <w:tr w:rsidR="00504BF3" w:rsidRPr="0075544A" w:rsidTr="00806947">
              <w:tc>
                <w:tcPr>
                  <w:tcW w:w="2236" w:type="dxa"/>
                  <w:tcBorders>
                    <w:top w:val="nil"/>
                    <w:left w:val="nil"/>
                    <w:bottom w:val="nil"/>
                    <w:right w:val="single" w:sz="4" w:space="0" w:color="FFFFFF" w:themeColor="background1"/>
                  </w:tcBorders>
                  <w:shd w:val="clear" w:color="auto" w:fill="000000" w:themeFill="text1"/>
                  <w:tcMar>
                    <w:top w:w="57" w:type="dxa"/>
                    <w:bottom w:w="57" w:type="dxa"/>
                  </w:tcMar>
                  <w:vAlign w:val="center"/>
                </w:tcPr>
                <w:p w:rsidR="00504BF3" w:rsidRPr="00487233" w:rsidRDefault="00504BF3" w:rsidP="00806947">
                  <w:pPr>
                    <w:pStyle w:val="TableHeading"/>
                    <w:rPr>
                      <w:iCs/>
                      <w:lang w:eastAsia="en-US"/>
                    </w:rPr>
                  </w:pPr>
                  <w:r w:rsidRPr="00487233">
                    <w:rPr>
                      <w:lang w:eastAsia="en-US"/>
                    </w:rPr>
                    <w:t>Date</w:t>
                  </w:r>
                </w:p>
              </w:tc>
              <w:tc>
                <w:tcPr>
                  <w:tcW w:w="2410" w:type="dxa"/>
                  <w:tcBorders>
                    <w:top w:val="nil"/>
                    <w:left w:val="single" w:sz="4" w:space="0" w:color="FFFFFF" w:themeColor="background1"/>
                    <w:bottom w:val="nil"/>
                    <w:right w:val="single" w:sz="4" w:space="0" w:color="FFFFFF" w:themeColor="background1"/>
                  </w:tcBorders>
                  <w:shd w:val="clear" w:color="auto" w:fill="000000" w:themeFill="text1"/>
                  <w:tcMar>
                    <w:top w:w="57" w:type="dxa"/>
                    <w:bottom w:w="57" w:type="dxa"/>
                  </w:tcMar>
                  <w:vAlign w:val="center"/>
                </w:tcPr>
                <w:p w:rsidR="00504BF3" w:rsidRPr="00487233" w:rsidRDefault="00504BF3" w:rsidP="00806947">
                  <w:pPr>
                    <w:pStyle w:val="TableHeading"/>
                    <w:rPr>
                      <w:iCs/>
                      <w:lang w:eastAsia="en-US"/>
                    </w:rPr>
                  </w:pPr>
                  <w:r w:rsidRPr="00487233">
                    <w:rPr>
                      <w:lang w:eastAsia="en-US"/>
                    </w:rPr>
                    <w:t>Description</w:t>
                  </w:r>
                </w:p>
              </w:tc>
              <w:tc>
                <w:tcPr>
                  <w:tcW w:w="1984" w:type="dxa"/>
                  <w:tcBorders>
                    <w:top w:val="nil"/>
                    <w:left w:val="single" w:sz="4" w:space="0" w:color="FFFFFF" w:themeColor="background1"/>
                    <w:bottom w:val="nil"/>
                    <w:right w:val="single" w:sz="4" w:space="0" w:color="FFFFFF" w:themeColor="background1"/>
                  </w:tcBorders>
                  <w:shd w:val="clear" w:color="auto" w:fill="000000" w:themeFill="text1"/>
                  <w:tcMar>
                    <w:top w:w="57" w:type="dxa"/>
                    <w:bottom w:w="57" w:type="dxa"/>
                  </w:tcMar>
                  <w:vAlign w:val="center"/>
                </w:tcPr>
                <w:p w:rsidR="00504BF3" w:rsidRPr="00487233" w:rsidRDefault="00504BF3" w:rsidP="00806947">
                  <w:pPr>
                    <w:pStyle w:val="TableHeading"/>
                    <w:rPr>
                      <w:iCs/>
                      <w:lang w:eastAsia="en-US"/>
                    </w:rPr>
                  </w:pPr>
                  <w:r w:rsidRPr="00487233">
                    <w:rPr>
                      <w:lang w:eastAsia="en-US"/>
                    </w:rPr>
                    <w:t>Approved by</w:t>
                  </w:r>
                </w:p>
              </w:tc>
              <w:tc>
                <w:tcPr>
                  <w:tcW w:w="2552" w:type="dxa"/>
                  <w:tcBorders>
                    <w:top w:val="nil"/>
                    <w:left w:val="single" w:sz="4" w:space="0" w:color="FFFFFF" w:themeColor="background1"/>
                    <w:bottom w:val="nil"/>
                    <w:right w:val="nil"/>
                  </w:tcBorders>
                  <w:shd w:val="clear" w:color="auto" w:fill="000000" w:themeFill="text1"/>
                  <w:tcMar>
                    <w:top w:w="57" w:type="dxa"/>
                    <w:bottom w:w="57" w:type="dxa"/>
                  </w:tcMar>
                  <w:vAlign w:val="center"/>
                </w:tcPr>
                <w:p w:rsidR="00504BF3" w:rsidRPr="00487233" w:rsidRDefault="00504BF3" w:rsidP="00806947">
                  <w:pPr>
                    <w:pStyle w:val="TableHeading"/>
                    <w:rPr>
                      <w:iCs/>
                      <w:lang w:eastAsia="en-US"/>
                    </w:rPr>
                  </w:pPr>
                  <w:r w:rsidRPr="00487233">
                    <w:rPr>
                      <w:lang w:eastAsia="en-US"/>
                    </w:rPr>
                    <w:t>Comments</w:t>
                  </w:r>
                </w:p>
              </w:tc>
            </w:tr>
            <w:tr w:rsidR="00504BF3" w:rsidRPr="00487233" w:rsidTr="00806947">
              <w:trPr>
                <w:trHeight w:val="164"/>
              </w:trPr>
              <w:tc>
                <w:tcPr>
                  <w:tcW w:w="2236" w:type="dxa"/>
                  <w:tcBorders>
                    <w:top w:val="nil"/>
                  </w:tcBorders>
                  <w:tcMar>
                    <w:top w:w="57" w:type="dxa"/>
                    <w:bottom w:w="57" w:type="dxa"/>
                  </w:tcMar>
                  <w:vAlign w:val="center"/>
                </w:tcPr>
                <w:p w:rsidR="00504BF3" w:rsidRPr="00487233" w:rsidRDefault="00504BF3" w:rsidP="00806947">
                  <w:pPr>
                    <w:pStyle w:val="TableBody"/>
                    <w:rPr>
                      <w:b/>
                      <w:i/>
                    </w:rPr>
                  </w:pPr>
                  <w:r>
                    <w:t>25 September</w:t>
                  </w:r>
                  <w:r w:rsidRPr="00487233">
                    <w:t xml:space="preserve"> 2014</w:t>
                  </w:r>
                </w:p>
              </w:tc>
              <w:tc>
                <w:tcPr>
                  <w:tcW w:w="2410" w:type="dxa"/>
                  <w:tcBorders>
                    <w:top w:val="nil"/>
                  </w:tcBorders>
                  <w:tcMar>
                    <w:top w:w="57" w:type="dxa"/>
                    <w:bottom w:w="57" w:type="dxa"/>
                  </w:tcMar>
                  <w:vAlign w:val="center"/>
                </w:tcPr>
                <w:p w:rsidR="00504BF3" w:rsidRPr="00487233" w:rsidRDefault="00504BF3" w:rsidP="00806947">
                  <w:pPr>
                    <w:pStyle w:val="TableBody"/>
                    <w:rPr>
                      <w:b/>
                      <w:i/>
                    </w:rPr>
                  </w:pPr>
                  <w:r w:rsidRPr="00487233">
                    <w:t>Certification of the CRIS</w:t>
                  </w:r>
                </w:p>
              </w:tc>
              <w:tc>
                <w:tcPr>
                  <w:tcW w:w="1984" w:type="dxa"/>
                  <w:tcBorders>
                    <w:top w:val="nil"/>
                  </w:tcBorders>
                  <w:tcMar>
                    <w:top w:w="57" w:type="dxa"/>
                    <w:bottom w:w="57" w:type="dxa"/>
                  </w:tcMar>
                  <w:vAlign w:val="center"/>
                </w:tcPr>
                <w:p w:rsidR="00504BF3" w:rsidRPr="00487233" w:rsidRDefault="00504BF3" w:rsidP="00806947">
                  <w:pPr>
                    <w:pStyle w:val="TableBody"/>
                    <w:rPr>
                      <w:b/>
                      <w:i/>
                    </w:rPr>
                  </w:pPr>
                  <w:r w:rsidRPr="00487233">
                    <w:t xml:space="preserve">ACMA </w:t>
                  </w:r>
                  <w:r>
                    <w:t>Chair</w:t>
                  </w:r>
                </w:p>
              </w:tc>
              <w:tc>
                <w:tcPr>
                  <w:tcW w:w="2552" w:type="dxa"/>
                  <w:tcBorders>
                    <w:top w:val="nil"/>
                  </w:tcBorders>
                  <w:tcMar>
                    <w:top w:w="57" w:type="dxa"/>
                    <w:bottom w:w="57" w:type="dxa"/>
                  </w:tcMar>
                </w:tcPr>
                <w:p w:rsidR="00504BF3" w:rsidRPr="00487233" w:rsidRDefault="00504BF3" w:rsidP="00806947">
                  <w:pPr>
                    <w:pStyle w:val="TableBody"/>
                    <w:rPr>
                      <w:b/>
                      <w:i/>
                    </w:rPr>
                  </w:pPr>
                </w:p>
              </w:tc>
            </w:tr>
            <w:tr w:rsidR="00504BF3" w:rsidRPr="00487233" w:rsidTr="00806947">
              <w:trPr>
                <w:trHeight w:val="244"/>
              </w:trPr>
              <w:tc>
                <w:tcPr>
                  <w:tcW w:w="2236" w:type="dxa"/>
                  <w:tcMar>
                    <w:top w:w="57" w:type="dxa"/>
                    <w:bottom w:w="57" w:type="dxa"/>
                  </w:tcMar>
                  <w:vAlign w:val="center"/>
                </w:tcPr>
                <w:p w:rsidR="00504BF3" w:rsidRPr="00487233" w:rsidRDefault="00504BF3" w:rsidP="00806947">
                  <w:pPr>
                    <w:pStyle w:val="TableBody"/>
                    <w:rPr>
                      <w:b/>
                      <w:i/>
                    </w:rPr>
                  </w:pPr>
                  <w:r>
                    <w:t>02 October 2014</w:t>
                  </w:r>
                </w:p>
              </w:tc>
              <w:tc>
                <w:tcPr>
                  <w:tcW w:w="2410" w:type="dxa"/>
                  <w:tcMar>
                    <w:top w:w="57" w:type="dxa"/>
                    <w:bottom w:w="57" w:type="dxa"/>
                  </w:tcMar>
                  <w:vAlign w:val="center"/>
                </w:tcPr>
                <w:p w:rsidR="00504BF3" w:rsidRPr="00487233" w:rsidRDefault="00504BF3" w:rsidP="00806947">
                  <w:pPr>
                    <w:pStyle w:val="TableBody"/>
                    <w:rPr>
                      <w:b/>
                      <w:i/>
                    </w:rPr>
                  </w:pPr>
                  <w:r w:rsidRPr="00487233">
                    <w:t>Agreement to the CRIS</w:t>
                  </w:r>
                </w:p>
              </w:tc>
              <w:tc>
                <w:tcPr>
                  <w:tcW w:w="1984" w:type="dxa"/>
                  <w:tcMar>
                    <w:top w:w="57" w:type="dxa"/>
                    <w:bottom w:w="57" w:type="dxa"/>
                  </w:tcMar>
                  <w:vAlign w:val="center"/>
                </w:tcPr>
                <w:p w:rsidR="00504BF3" w:rsidRPr="00487233" w:rsidRDefault="00504BF3" w:rsidP="00806947">
                  <w:pPr>
                    <w:pStyle w:val="TableBody"/>
                    <w:rPr>
                      <w:b/>
                      <w:i/>
                    </w:rPr>
                  </w:pPr>
                  <w:r w:rsidRPr="00487233">
                    <w:t>The Minister for Communications</w:t>
                  </w:r>
                </w:p>
              </w:tc>
              <w:tc>
                <w:tcPr>
                  <w:tcW w:w="2552" w:type="dxa"/>
                  <w:tcMar>
                    <w:top w:w="57" w:type="dxa"/>
                    <w:bottom w:w="57" w:type="dxa"/>
                  </w:tcMar>
                </w:tcPr>
                <w:p w:rsidR="00504BF3" w:rsidRPr="00487233" w:rsidRDefault="00504BF3" w:rsidP="00806947">
                  <w:pPr>
                    <w:pStyle w:val="TableBody"/>
                    <w:rPr>
                      <w:b/>
                      <w:i/>
                    </w:rPr>
                  </w:pPr>
                </w:p>
              </w:tc>
            </w:tr>
            <w:tr w:rsidR="00504BF3" w:rsidRPr="00487233" w:rsidTr="00806947">
              <w:trPr>
                <w:trHeight w:val="244"/>
              </w:trPr>
              <w:tc>
                <w:tcPr>
                  <w:tcW w:w="2236" w:type="dxa"/>
                  <w:tcMar>
                    <w:top w:w="57" w:type="dxa"/>
                    <w:bottom w:w="57" w:type="dxa"/>
                  </w:tcMar>
                  <w:vAlign w:val="center"/>
                </w:tcPr>
                <w:p w:rsidR="00504BF3" w:rsidRDefault="00504BF3" w:rsidP="00806947">
                  <w:pPr>
                    <w:pStyle w:val="TableBody"/>
                  </w:pPr>
                  <w:r>
                    <w:t>24 June 2015</w:t>
                  </w:r>
                </w:p>
              </w:tc>
              <w:tc>
                <w:tcPr>
                  <w:tcW w:w="2410" w:type="dxa"/>
                  <w:tcMar>
                    <w:top w:w="57" w:type="dxa"/>
                    <w:bottom w:w="57" w:type="dxa"/>
                  </w:tcMar>
                  <w:vAlign w:val="center"/>
                </w:tcPr>
                <w:p w:rsidR="00504BF3" w:rsidRPr="00487233" w:rsidRDefault="00504BF3" w:rsidP="00806947">
                  <w:pPr>
                    <w:pStyle w:val="TableBody"/>
                  </w:pPr>
                  <w:r>
                    <w:t>Certification of the addendum 1</w:t>
                  </w:r>
                </w:p>
              </w:tc>
              <w:tc>
                <w:tcPr>
                  <w:tcW w:w="1984" w:type="dxa"/>
                  <w:tcMar>
                    <w:top w:w="57" w:type="dxa"/>
                    <w:bottom w:w="57" w:type="dxa"/>
                  </w:tcMar>
                  <w:vAlign w:val="center"/>
                </w:tcPr>
                <w:p w:rsidR="00504BF3" w:rsidRPr="00487233" w:rsidRDefault="00504BF3" w:rsidP="00806947">
                  <w:pPr>
                    <w:pStyle w:val="TableBody"/>
                  </w:pPr>
                  <w:r>
                    <w:t>ACMA Chair</w:t>
                  </w:r>
                </w:p>
              </w:tc>
              <w:tc>
                <w:tcPr>
                  <w:tcW w:w="2552" w:type="dxa"/>
                  <w:tcMar>
                    <w:top w:w="57" w:type="dxa"/>
                    <w:bottom w:w="57" w:type="dxa"/>
                  </w:tcMar>
                </w:tcPr>
                <w:p w:rsidR="00504BF3" w:rsidRPr="00323AE8" w:rsidRDefault="00504BF3" w:rsidP="00806947">
                  <w:pPr>
                    <w:pStyle w:val="TableBody"/>
                  </w:pPr>
                </w:p>
              </w:tc>
            </w:tr>
            <w:tr w:rsidR="00504BF3" w:rsidRPr="00487233" w:rsidTr="00806947">
              <w:trPr>
                <w:trHeight w:val="244"/>
              </w:trPr>
              <w:tc>
                <w:tcPr>
                  <w:tcW w:w="2236" w:type="dxa"/>
                  <w:tcMar>
                    <w:top w:w="57" w:type="dxa"/>
                    <w:bottom w:w="57" w:type="dxa"/>
                  </w:tcMar>
                  <w:vAlign w:val="center"/>
                </w:tcPr>
                <w:p w:rsidR="00504BF3" w:rsidRDefault="00504BF3" w:rsidP="00806947">
                  <w:pPr>
                    <w:pStyle w:val="TableBody"/>
                  </w:pPr>
                  <w:r>
                    <w:t>2 July 2015</w:t>
                  </w:r>
                </w:p>
              </w:tc>
              <w:tc>
                <w:tcPr>
                  <w:tcW w:w="2410" w:type="dxa"/>
                  <w:tcMar>
                    <w:top w:w="57" w:type="dxa"/>
                    <w:bottom w:w="57" w:type="dxa"/>
                  </w:tcMar>
                  <w:vAlign w:val="center"/>
                </w:tcPr>
                <w:p w:rsidR="00504BF3" w:rsidRPr="00487233" w:rsidRDefault="00504BF3" w:rsidP="00806947">
                  <w:pPr>
                    <w:pStyle w:val="TableBody"/>
                  </w:pPr>
                  <w:r>
                    <w:t>Approval to the addendum 1</w:t>
                  </w:r>
                </w:p>
              </w:tc>
              <w:tc>
                <w:tcPr>
                  <w:tcW w:w="1984" w:type="dxa"/>
                  <w:tcMar>
                    <w:top w:w="57" w:type="dxa"/>
                    <w:bottom w:w="57" w:type="dxa"/>
                  </w:tcMar>
                  <w:vAlign w:val="center"/>
                </w:tcPr>
                <w:p w:rsidR="00504BF3" w:rsidRPr="00487233" w:rsidRDefault="00504BF3" w:rsidP="00806947">
                  <w:pPr>
                    <w:pStyle w:val="TableBody"/>
                  </w:pPr>
                  <w:r>
                    <w:t>The Minister for Communications</w:t>
                  </w:r>
                </w:p>
              </w:tc>
              <w:tc>
                <w:tcPr>
                  <w:tcW w:w="2552" w:type="dxa"/>
                  <w:tcMar>
                    <w:top w:w="57" w:type="dxa"/>
                    <w:bottom w:w="57" w:type="dxa"/>
                  </w:tcMar>
                </w:tcPr>
                <w:p w:rsidR="00504BF3" w:rsidRPr="00487233" w:rsidRDefault="00504BF3" w:rsidP="00806947">
                  <w:pPr>
                    <w:pStyle w:val="TableBody"/>
                    <w:rPr>
                      <w:b/>
                      <w:i/>
                    </w:rPr>
                  </w:pPr>
                </w:p>
              </w:tc>
            </w:tr>
          </w:tbl>
          <w:p w:rsidR="00504BF3" w:rsidRDefault="00504BF3" w:rsidP="00806947"/>
        </w:tc>
      </w:tr>
      <w:tr w:rsidR="00504BF3" w:rsidTr="00806947">
        <w:trPr>
          <w:trHeight w:val="291"/>
        </w:trPr>
        <w:tc>
          <w:tcPr>
            <w:tcW w:w="9645" w:type="dxa"/>
            <w:tcBorders>
              <w:bottom w:val="single" w:sz="2" w:space="0" w:color="505050"/>
            </w:tcBorders>
            <w:shd w:val="clear" w:color="auto" w:fill="auto"/>
          </w:tcPr>
          <w:p w:rsidR="00504BF3" w:rsidRDefault="00504BF3" w:rsidP="00806947"/>
        </w:tc>
      </w:tr>
    </w:tbl>
    <w:p w:rsidR="00504BF3" w:rsidRPr="00DF1CB8" w:rsidRDefault="00504BF3" w:rsidP="00504BF3">
      <w:pPr>
        <w:rPr>
          <w:rFonts w:cs="Arial"/>
        </w:rPr>
      </w:pPr>
    </w:p>
    <w:p w:rsidR="00504BF3" w:rsidRPr="00DF1CB8" w:rsidRDefault="00504BF3" w:rsidP="00504BF3">
      <w:pPr>
        <w:pStyle w:val="Heading1"/>
      </w:pPr>
      <w:bookmarkStart w:id="57" w:name="_Toc400965240"/>
      <w:bookmarkStart w:id="58" w:name="_Toc426099826"/>
      <w:r w:rsidRPr="00DF1CB8">
        <w:lastRenderedPageBreak/>
        <w:t>Glossary</w:t>
      </w:r>
      <w:bookmarkEnd w:id="57"/>
      <w:bookmarkEnd w:id="58"/>
    </w:p>
    <w:p w:rsidR="00504BF3" w:rsidRPr="00DF1CB8" w:rsidRDefault="00504BF3" w:rsidP="00504BF3">
      <w:r w:rsidRPr="00DF1CB8">
        <w:t xml:space="preserve">ACMA </w:t>
      </w:r>
      <w:r w:rsidRPr="00DF1CB8">
        <w:tab/>
      </w:r>
      <w:r>
        <w:tab/>
      </w:r>
      <w:r w:rsidRPr="00DF1CB8">
        <w:t>The Australian Communications and Media Authority</w:t>
      </w:r>
    </w:p>
    <w:p w:rsidR="00504BF3" w:rsidRPr="00504BF3" w:rsidRDefault="00504BF3" w:rsidP="00504BF3">
      <w:pPr>
        <w:rPr>
          <w:i/>
        </w:rPr>
      </w:pPr>
      <w:r w:rsidRPr="00DF1CB8">
        <w:t>ACMA Act</w:t>
      </w:r>
      <w:r w:rsidRPr="00DF1CB8">
        <w:tab/>
      </w:r>
      <w:r w:rsidRPr="00986DE5">
        <w:rPr>
          <w:i/>
        </w:rPr>
        <w:t>Australian Communications and Media Authority Act 2005</w:t>
      </w:r>
    </w:p>
    <w:p w:rsidR="00504BF3" w:rsidRPr="00DF1CB8" w:rsidRDefault="00504BF3" w:rsidP="00504BF3">
      <w:r w:rsidRPr="00DF1CB8">
        <w:t>AMC</w:t>
      </w:r>
      <w:r w:rsidRPr="00DF1CB8">
        <w:tab/>
      </w:r>
      <w:r>
        <w:tab/>
      </w:r>
      <w:r w:rsidRPr="00DF1CB8">
        <w:t>Australian Maritime College</w:t>
      </w:r>
    </w:p>
    <w:p w:rsidR="00504BF3" w:rsidRPr="00DF1CB8" w:rsidRDefault="00504BF3" w:rsidP="00504BF3">
      <w:r w:rsidRPr="00DF1CB8">
        <w:t>CRIS</w:t>
      </w:r>
      <w:r w:rsidRPr="00DF1CB8">
        <w:tab/>
      </w:r>
      <w:r>
        <w:tab/>
      </w:r>
      <w:r w:rsidRPr="00DF1CB8">
        <w:t>Cost Recovery Impact Statement</w:t>
      </w:r>
    </w:p>
    <w:p w:rsidR="00504BF3" w:rsidRDefault="00504BF3" w:rsidP="00504BF3">
      <w:r w:rsidRPr="00DF1CB8">
        <w:t>EPIRB</w:t>
      </w:r>
      <w:r w:rsidRPr="00DF1CB8">
        <w:tab/>
      </w:r>
      <w:r>
        <w:tab/>
      </w:r>
      <w:r w:rsidRPr="00DF1CB8">
        <w:t>Emergency Position Indicating Radio Beacon</w:t>
      </w:r>
    </w:p>
    <w:p w:rsidR="00504BF3" w:rsidRPr="00504BF3" w:rsidRDefault="00504BF3" w:rsidP="00504BF3">
      <w:pPr>
        <w:rPr>
          <w:rFonts w:cs="Arial"/>
          <w:sz w:val="18"/>
        </w:rPr>
      </w:pPr>
      <w:r>
        <w:t>EROU</w:t>
      </w:r>
      <w:r>
        <w:tab/>
      </w:r>
      <w:r>
        <w:tab/>
      </w:r>
      <w:r w:rsidRPr="00323AE8">
        <w:rPr>
          <w:rFonts w:cs="Arial"/>
          <w:szCs w:val="22"/>
        </w:rPr>
        <w:t>Enhanced Rights of Use</w:t>
      </w:r>
    </w:p>
    <w:p w:rsidR="00504BF3" w:rsidRPr="00DF1CB8" w:rsidRDefault="00504BF3" w:rsidP="00504BF3">
      <w:r w:rsidRPr="00DF1CB8">
        <w:t>ITU</w:t>
      </w:r>
      <w:r w:rsidRPr="00DF1CB8">
        <w:tab/>
      </w:r>
      <w:r>
        <w:tab/>
      </w:r>
      <w:r w:rsidRPr="00DF1CB8">
        <w:t>International Telecommunication Union</w:t>
      </w:r>
    </w:p>
    <w:p w:rsidR="00504BF3" w:rsidRPr="00DF1CB8" w:rsidRDefault="00504BF3" w:rsidP="00504BF3">
      <w:r w:rsidRPr="00DF1CB8">
        <w:t>LIPD</w:t>
      </w:r>
      <w:r w:rsidRPr="00DF1CB8">
        <w:tab/>
      </w:r>
      <w:r>
        <w:tab/>
      </w:r>
      <w:r w:rsidRPr="00DF1CB8">
        <w:t>Low Interference Potential Devices</w:t>
      </w:r>
    </w:p>
    <w:p w:rsidR="00504BF3" w:rsidRPr="00DF1CB8" w:rsidRDefault="00504BF3" w:rsidP="00504BF3">
      <w:r w:rsidRPr="00DF1CB8">
        <w:t>LPONS</w:t>
      </w:r>
      <w:r w:rsidRPr="00DF1CB8">
        <w:tab/>
      </w:r>
      <w:r>
        <w:tab/>
      </w:r>
      <w:r w:rsidRPr="00DF1CB8">
        <w:t>Low Power Open Narrowcasting Service</w:t>
      </w:r>
    </w:p>
    <w:p w:rsidR="00504BF3" w:rsidRDefault="00504BF3" w:rsidP="00504BF3">
      <w:r w:rsidRPr="00DF1CB8">
        <w:t>WIA</w:t>
      </w:r>
      <w:r w:rsidRPr="00DF1CB8">
        <w:tab/>
      </w:r>
      <w:r>
        <w:tab/>
      </w:r>
      <w:r w:rsidRPr="00DF1CB8">
        <w:t>Wireless Institute of Australia</w:t>
      </w:r>
    </w:p>
    <w:p w:rsidR="00504BF3" w:rsidRDefault="00504BF3" w:rsidP="00504BF3">
      <w:pPr>
        <w:sectPr w:rsidR="00504BF3" w:rsidSect="00A74B5E">
          <w:headerReference w:type="even" r:id="rId27"/>
          <w:headerReference w:type="default" r:id="rId28"/>
          <w:footerReference w:type="even" r:id="rId29"/>
          <w:footerReference w:type="default" r:id="rId30"/>
          <w:pgSz w:w="11906" w:h="16838" w:code="9"/>
          <w:pgMar w:top="1945" w:right="3101" w:bottom="868" w:left="1134" w:header="709" w:footer="119" w:gutter="0"/>
          <w:pgNumType w:start="1"/>
          <w:cols w:space="708"/>
          <w:docGrid w:linePitch="360"/>
        </w:sectPr>
      </w:pPr>
    </w:p>
    <w:p w:rsidR="00504BF3" w:rsidRDefault="00504BF3" w:rsidP="00504BF3">
      <w:pPr>
        <w:pStyle w:val="Heading1"/>
        <w:rPr>
          <w:szCs w:val="22"/>
        </w:rPr>
      </w:pPr>
      <w:r>
        <w:lastRenderedPageBreak/>
        <w:t>Attachment 1—Changes to the ACMA’s radiocommunications fees</w:t>
      </w:r>
    </w:p>
    <w:tbl>
      <w:tblPr>
        <w:tblW w:w="147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69"/>
        <w:gridCol w:w="1133"/>
        <w:gridCol w:w="1417"/>
        <w:gridCol w:w="3118"/>
        <w:gridCol w:w="2692"/>
        <w:gridCol w:w="1559"/>
        <w:gridCol w:w="1012"/>
        <w:gridCol w:w="1114"/>
        <w:gridCol w:w="1701"/>
      </w:tblGrid>
      <w:tr w:rsidR="00504BF3" w:rsidTr="00504BF3">
        <w:trPr>
          <w:trHeight w:val="525"/>
          <w:tblHeader/>
        </w:trPr>
        <w:tc>
          <w:tcPr>
            <w:tcW w:w="970"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Activity ref.</w:t>
            </w:r>
          </w:p>
        </w:tc>
        <w:tc>
          <w:tcPr>
            <w:tcW w:w="1134"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Fee type</w:t>
            </w:r>
          </w:p>
        </w:tc>
        <w:tc>
          <w:tcPr>
            <w:tcW w:w="1417"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hideMark/>
          </w:tcPr>
          <w:p w:rsidR="00504BF3" w:rsidRDefault="00504BF3" w:rsidP="00806947">
            <w:pPr>
              <w:spacing w:line="240" w:lineRule="auto"/>
              <w:rPr>
                <w:rFonts w:cs="Arial"/>
                <w:b/>
                <w:bCs/>
                <w:color w:val="FFFFFF"/>
                <w:szCs w:val="20"/>
              </w:rPr>
            </w:pPr>
            <w:r>
              <w:rPr>
                <w:rFonts w:cs="Arial"/>
                <w:b/>
                <w:bCs/>
                <w:color w:val="FFFFFF"/>
                <w:szCs w:val="20"/>
              </w:rPr>
              <w:t>Reference to instrument</w:t>
            </w:r>
            <w:r>
              <w:rPr>
                <w:rStyle w:val="FootnoteReference"/>
                <w:rFonts w:cs="Arial"/>
                <w:b/>
                <w:bCs/>
                <w:color w:val="FFFFFF"/>
                <w:szCs w:val="20"/>
              </w:rPr>
              <w:footnoteReference w:id="1"/>
            </w:r>
          </w:p>
        </w:tc>
        <w:tc>
          <w:tcPr>
            <w:tcW w:w="3119"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Current description</w:t>
            </w:r>
          </w:p>
        </w:tc>
        <w:tc>
          <w:tcPr>
            <w:tcW w:w="2693"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Proposed description</w:t>
            </w:r>
          </w:p>
        </w:tc>
        <w:tc>
          <w:tcPr>
            <w:tcW w:w="1559"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Sub-type</w:t>
            </w:r>
          </w:p>
        </w:tc>
        <w:tc>
          <w:tcPr>
            <w:tcW w:w="1012"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Current fee</w:t>
            </w:r>
          </w:p>
        </w:tc>
        <w:tc>
          <w:tcPr>
            <w:tcW w:w="1114"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806947">
            <w:pPr>
              <w:spacing w:line="240" w:lineRule="auto"/>
              <w:rPr>
                <w:rFonts w:cs="Arial"/>
                <w:b/>
                <w:bCs/>
                <w:color w:val="FFFFFF"/>
                <w:szCs w:val="20"/>
              </w:rPr>
            </w:pPr>
            <w:r>
              <w:rPr>
                <w:rFonts w:cs="Arial"/>
                <w:b/>
                <w:bCs/>
                <w:color w:val="FFFFFF"/>
                <w:szCs w:val="20"/>
              </w:rPr>
              <w:t>New fee</w:t>
            </w:r>
          </w:p>
        </w:tc>
        <w:tc>
          <w:tcPr>
            <w:tcW w:w="1701"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28" w:type="dxa"/>
              <w:left w:w="108" w:type="dxa"/>
              <w:bottom w:w="0" w:type="dxa"/>
              <w:right w:w="108" w:type="dxa"/>
            </w:tcMar>
            <w:vAlign w:val="center"/>
            <w:hideMark/>
          </w:tcPr>
          <w:p w:rsidR="00504BF3" w:rsidRDefault="00504BF3" w:rsidP="00504BF3">
            <w:pPr>
              <w:spacing w:after="0" w:line="240" w:lineRule="auto"/>
              <w:rPr>
                <w:rFonts w:cs="Arial"/>
                <w:b/>
                <w:bCs/>
                <w:color w:val="FFFFFF"/>
                <w:szCs w:val="20"/>
              </w:rPr>
            </w:pPr>
            <w:r>
              <w:rPr>
                <w:rFonts w:cs="Arial"/>
                <w:b/>
                <w:bCs/>
                <w:color w:val="FFFFFF"/>
                <w:szCs w:val="20"/>
              </w:rPr>
              <w:t>Methodology</w:t>
            </w:r>
          </w:p>
          <w:p w:rsidR="00504BF3" w:rsidRDefault="00504BF3" w:rsidP="00806947">
            <w:pPr>
              <w:spacing w:line="240" w:lineRule="auto"/>
              <w:rPr>
                <w:rFonts w:cs="Arial"/>
                <w:b/>
                <w:bCs/>
                <w:color w:val="FFFFFF"/>
                <w:szCs w:val="20"/>
              </w:rPr>
            </w:pPr>
            <w:r>
              <w:rPr>
                <w:rFonts w:cs="Arial"/>
                <w:b/>
                <w:bCs/>
                <w:color w:val="FFFFFF"/>
                <w:szCs w:val="20"/>
              </w:rPr>
              <w:t>(see last page)</w:t>
            </w:r>
          </w:p>
        </w:tc>
      </w:tr>
      <w:tr w:rsidR="00504BF3" w:rsidTr="00806947">
        <w:trPr>
          <w:cantSplit/>
          <w:trHeight w:val="25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Documents</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3 item 3.1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duplicate instrument of any kind or, where such duplicate instrument cannot be issued, a letter on confirmation</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Duplicated instrument of any kind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$50</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Rounding</w:t>
            </w:r>
          </w:p>
        </w:tc>
      </w:tr>
      <w:tr w:rsidR="00504BF3" w:rsidTr="00806947">
        <w:trPr>
          <w:cantSplit/>
          <w:trHeight w:val="597"/>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3 item 3.2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copy of a licence that includes changes to particulars of the licensee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copy—Changed particulars</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$50</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Rounding</w:t>
            </w:r>
          </w:p>
        </w:tc>
      </w:tr>
      <w:tr w:rsidR="00504BF3" w:rsidTr="00806947">
        <w:trPr>
          <w:cantSplit/>
          <w:trHeight w:val="11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Assigned Licence Issue</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 (b)</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broadcasting licence for the operation of a narrowband area service transmitter, or considering the issue of the licence without proceeding to issue it—for each frequency assigned, or requested for assignment, for the purpose of transmission: if the frequency operates outside the band 70-960 MHz</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Narrowband Area Service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xml:space="preserve"> $394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6.4</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an earth licence for the operation of a mobile earth station, or considering the issue of the licence without proceeding to issue it—for each frequency assigned, or requested for assignment, for the purpose of transmission</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Mobile Earth</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xml:space="preserve"> $99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5</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6.5</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an earth licence for the operation of a fixed earth station, or considering the issue of the licence without proceeding to issue it—for each frequency assigned, or requested for assignment, for the purpose of transmission</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Fixed Earth</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xml:space="preserve"> $197</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181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6</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6.7</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Issuing a fixed licence for the operation of a point to multipoint station for a wireless access service, or considering the issue of the licence without proceeding to issue it, other than: (a) a fixed licence mentioned in item above (point to multipoint) or item below (point to multipoint system); or (b) a licence allocated by a price based allocation process, in accordance with the </w:t>
            </w:r>
            <w:r>
              <w:rPr>
                <w:rFonts w:cs="Arial"/>
                <w:i/>
                <w:sz w:val="16"/>
                <w:szCs w:val="16"/>
              </w:rPr>
              <w:t>Radiocommunications (Transmitter Licences—Auction) Determination 2006</w:t>
            </w:r>
            <w:r>
              <w:rPr>
                <w:rFonts w:cs="Arial"/>
                <w:sz w:val="16"/>
                <w:szCs w:val="16"/>
              </w:rPr>
              <w:t>;—for each frequency assigned, or requested for assignment, for the purpose of transmission</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Point to Multipoint </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$394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7</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Sch 2 Part 6 item 6.13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autoSpaceDE w:val="0"/>
              <w:autoSpaceDN w:val="0"/>
              <w:adjustRightInd w:val="0"/>
              <w:spacing w:line="240" w:lineRule="auto"/>
              <w:rPr>
                <w:rFonts w:eastAsiaTheme="minorHAnsi" w:cs="Arial"/>
                <w:sz w:val="16"/>
                <w:szCs w:val="22"/>
                <w:lang w:eastAsia="en-US"/>
              </w:rPr>
            </w:pPr>
            <w:r>
              <w:rPr>
                <w:rFonts w:cs="Arial"/>
                <w:sz w:val="16"/>
              </w:rPr>
              <w:t>Issuing a fixed licence that authorises the holder of the licence to operate a television outside broadcast station, or considering the issue of the licence without proceeding to issue it — for each frequency assigned, or requested for assignment, for the purpose of transmission</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tcPr>
          <w:p w:rsidR="00504BF3" w:rsidRDefault="00504BF3" w:rsidP="00806947">
            <w:pPr>
              <w:spacing w:line="240" w:lineRule="auto"/>
              <w:rPr>
                <w:rFonts w:cs="Arial"/>
                <w:sz w:val="16"/>
                <w:szCs w:val="16"/>
              </w:rPr>
            </w:pPr>
            <w:r>
              <w:rPr>
                <w:rFonts w:cs="Arial"/>
                <w:sz w:val="16"/>
                <w:szCs w:val="16"/>
              </w:rPr>
              <w:t>Considering the issue of a fixed licence for the operation of a television outside broadcast system - for each frequency assigned, or requested for assignment, and issuing it (if applicable)</w:t>
            </w:r>
          </w:p>
          <w:p w:rsidR="00504BF3" w:rsidRDefault="00504BF3" w:rsidP="00806947">
            <w:pPr>
              <w:autoSpaceDE w:val="0"/>
              <w:autoSpaceDN w:val="0"/>
              <w:adjustRightInd w:val="0"/>
              <w:spacing w:line="240" w:lineRule="auto"/>
              <w:rPr>
                <w:rFonts w:eastAsiaTheme="minorHAnsi" w:cs="Arial"/>
                <w:sz w:val="16"/>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Television Outside Broadcast System</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$296</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$296</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8</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Sch 2 Part 6 item 6.15(a)(i)</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land mobile system service, or considering the issue of the licence without proceeding to issue it—for each frequency assigned, or requested for assignment, for the purpose of transmission. If the frequency is no more than 30 MHz – less than 45 minutes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Land Mobile System 0–30MHz &amp; &lt;45 min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$148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Not applicable</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Deleted – no longer applicable</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8a</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6.17</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rPr>
              <w:t>Issuing a land mobile licence for the operation of an ambulatory station or an ambulatory system, or considering the issue of the licence without proceeding to issue it — for each frequency assigned, or requested for assignment, for the purpose of transmission: (b) in any other case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rPr>
              <w:t>Issuing a land mobile licence for the operation of a wireless audio system,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Wireless audio system</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0</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$493</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B</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9</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6.20</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maritime coast licence for the operation of a major coast A station on an assigned basis,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Major Coast A</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B</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10</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maritime coast licence for the operation of a major coast B station on an assigned basis, and issuing the licence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Major Coast B</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B</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11</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maritime ship licence for the operation of a ship station class B assigned,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Ship Station Class B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12</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6.24</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maritime ship licence for the operation of a ship station class C assigned,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Ship Station Class C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13</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6.25</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an outpost licence for the operation of an outpost assigned station,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Outpost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6.27</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scientific licence for the operation of a scientific assigned station, or considering the issue of the licence without proceeding to issue it—for each frequency assigned, or requested for assignment, for the purpose of transmission</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Scientific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$591</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15</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6.28</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space licence,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Space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16</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6.29</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space receive licence,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Space Receive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17</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6.30</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major coast receive licence,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Major Coast Receive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B</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18</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an earth receive licence, 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Earth Receive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19</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fixed receive licence, and issuing it (if applicable)—for each frequency assigned, or requested for assignment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Fixed Receive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20</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6.34(a)(i)</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licence, and issuing it (if applicable), if: (a) the application is one of a group of two or more applications all of which relate to: (i) an event that happens for a period of not more than two weeks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is one of a group of two or more and &lt;two weeks</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5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21</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6.34(a)(ii)</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licence, and issuing it (if applicable), if: (a) the application is one of a group of two or more applications all of which relate to: (ii) military or other defence manoeuvres, involving simulated wartime operations carried out to train and evaluate personnel, that happen for a period of not more than 3 months</w:t>
            </w:r>
          </w:p>
        </w:tc>
        <w:tc>
          <w:tcPr>
            <w:tcW w:w="2693"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Major Events and Defence Exercises</w:t>
            </w:r>
          </w:p>
        </w:tc>
        <w:tc>
          <w:tcPr>
            <w:tcW w:w="1012"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$296</w:t>
            </w:r>
          </w:p>
        </w:tc>
        <w:tc>
          <w:tcPr>
            <w:tcW w:w="1701"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22</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6.34(b)</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licence, and issuing it (if applicable), if: (b) all applications in the group are made at the same time</w:t>
            </w: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012"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1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r>
      <w:tr w:rsidR="00504BF3" w:rsidTr="00806947">
        <w:trPr>
          <w:cantSplit/>
          <w:trHeight w:val="8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23</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6.34(c)</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licence, and issuing it (if applicable), if: (c) all applications in the group are to be dealt with using an abridged frequency coordination procedure</w:t>
            </w: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012"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1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6.34(d)</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licence, and issuing it (if applicable), if: (d) associated licences are to be issued on the basis that the use of the licences: (i) is not to cause interference; and (ii) will not be afforded protection from interference caused by other services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tcPr>
          <w:p w:rsidR="00504BF3" w:rsidRDefault="00504BF3" w:rsidP="00806947">
            <w:pPr>
              <w:spacing w:line="240" w:lineRule="auto"/>
              <w:rPr>
                <w:rFonts w:cs="Arial"/>
                <w:sz w:val="16"/>
                <w:szCs w:val="16"/>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012"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1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r>
      <w:tr w:rsidR="00504BF3" w:rsidTr="00806947">
        <w:trPr>
          <w:cantSplit/>
          <w:trHeight w:val="11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25</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6.35</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for a transmitter licence for a high power open narrowcasting service to be allocated using a price based allocation system under the </w:t>
            </w:r>
            <w:r>
              <w:rPr>
                <w:rFonts w:cs="Arial"/>
                <w:i/>
                <w:sz w:val="16"/>
                <w:szCs w:val="16"/>
              </w:rPr>
              <w:t>Radiocommunications (Issue of Broadcasting (Narrowcasting) Transmitter Licences) Determination No. 1 of 1996,</w:t>
            </w:r>
            <w:r>
              <w:rPr>
                <w:rFonts w:cs="Arial"/>
                <w:sz w:val="16"/>
                <w:szCs w:val="16"/>
              </w:rPr>
              <w:t>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for a transmitter licence for a high power open narrowcasting service to be allocated using a price based allocation system under the </w:t>
            </w:r>
            <w:r>
              <w:rPr>
                <w:rFonts w:cs="Arial"/>
                <w:i/>
                <w:sz w:val="16"/>
                <w:szCs w:val="16"/>
              </w:rPr>
              <w:t>Radiocommunications  (Allocation of Transmitter Licences – High Powered Open Narrowcasting Licences) Determination 2014</w:t>
            </w:r>
            <w:r>
              <w:rPr>
                <w:rFonts w:cs="Arial"/>
                <w:sz w:val="16"/>
                <w:szCs w:val="16"/>
              </w:rPr>
              <w:t>,and issuing it (if applicable)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Priced-based allocation of Transmitter Licence for High Power Open Narrowcasting</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$825</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$825</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11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26</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Assigned Licence Issue</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6.36</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for a transmitter licence for a low power open narrowcasting service to be allocated using a price based allocation system under the </w:t>
            </w:r>
            <w:r>
              <w:rPr>
                <w:rFonts w:cs="Arial"/>
                <w:i/>
                <w:sz w:val="16"/>
                <w:szCs w:val="16"/>
              </w:rPr>
              <w:t xml:space="preserve">Radiocommunications (Issue of Broadcasting (Narrowcasting) Transmitter Licences) Determination No. 1 of 1996 </w:t>
            </w:r>
            <w:r>
              <w:rPr>
                <w:rFonts w:cs="Arial"/>
                <w:sz w:val="16"/>
                <w:szCs w:val="16"/>
              </w:rPr>
              <w:t>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Priced-based allocation of Transmitter Licence for low Power Open Narrowcasting</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$394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Not applicable</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Deleted – no longer applicable</w:t>
            </w:r>
          </w:p>
        </w:tc>
      </w:tr>
      <w:tr w:rsidR="00504BF3" w:rsidTr="00806947">
        <w:trPr>
          <w:cantSplit/>
          <w:trHeight w:val="900"/>
        </w:trPr>
        <w:tc>
          <w:tcPr>
            <w:tcW w:w="970"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27</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tcPr>
          <w:p w:rsidR="00504BF3" w:rsidRDefault="00504BF3" w:rsidP="00806947">
            <w:pPr>
              <w:spacing w:line="240" w:lineRule="auto"/>
              <w:rPr>
                <w:rFonts w:cs="Arial"/>
                <w:sz w:val="16"/>
                <w:szCs w:val="16"/>
              </w:rPr>
            </w:pPr>
            <w:r>
              <w:rPr>
                <w:rFonts w:cs="Arial"/>
                <w:sz w:val="16"/>
                <w:szCs w:val="16"/>
              </w:rPr>
              <w:t>Sch 2 Part 6 item 6.35</w:t>
            </w:r>
          </w:p>
          <w:p w:rsidR="00504BF3" w:rsidRDefault="00504BF3" w:rsidP="00806947">
            <w:pPr>
              <w:spacing w:line="240" w:lineRule="auto"/>
              <w:rPr>
                <w:rFonts w:cs="Arial"/>
                <w:sz w:val="16"/>
                <w:szCs w:val="16"/>
              </w:rPr>
            </w:pPr>
          </w:p>
        </w:tc>
        <w:tc>
          <w:tcPr>
            <w:tcW w:w="3119"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for a transmitter licence for a high power open narrowcasting service to be allocated using a price based allocation system under the </w:t>
            </w:r>
            <w:r>
              <w:rPr>
                <w:rFonts w:cs="Arial"/>
                <w:i/>
                <w:sz w:val="16"/>
                <w:szCs w:val="16"/>
              </w:rPr>
              <w:t>Radiocommunications (Issue of Broadcasting (Narrowcasting) Transmitter Licences) Determination No. 1 of 1996,</w:t>
            </w:r>
            <w:r>
              <w:rPr>
                <w:rFonts w:cs="Arial"/>
                <w:sz w:val="16"/>
                <w:szCs w:val="16"/>
              </w:rPr>
              <w:t>and issuing it (if applicable)</w:t>
            </w:r>
          </w:p>
        </w:tc>
        <w:tc>
          <w:tcPr>
            <w:tcW w:w="2693"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for a high frequency service, or considering the issue of the licence without proceeding to issue it </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HF domestic service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color w:val="000000"/>
                <w:sz w:val="16"/>
                <w:szCs w:val="16"/>
              </w:rPr>
            </w:pPr>
            <w:r>
              <w:rPr>
                <w:rFonts w:cs="Arial"/>
                <w:bCs/>
                <w:color w:val="000000"/>
                <w:sz w:val="16"/>
                <w:szCs w:val="16"/>
              </w:rPr>
              <w:t xml:space="preserve">Hourly rate </w:t>
            </w:r>
            <w:r>
              <w:rPr>
                <w:rFonts w:cs="Arial"/>
                <w:sz w:val="16"/>
                <w:szCs w:val="16"/>
              </w:rPr>
              <w:t>@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HF overseas IBL</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color w:val="000000"/>
                <w:sz w:val="16"/>
                <w:szCs w:val="16"/>
              </w:rPr>
            </w:pPr>
            <w:r>
              <w:rPr>
                <w:rFonts w:cs="Arial"/>
                <w:bCs/>
                <w:color w:val="000000"/>
                <w:sz w:val="16"/>
                <w:szCs w:val="16"/>
              </w:rPr>
              <w:t xml:space="preserve">Hourly rate </w:t>
            </w:r>
            <w:r>
              <w:rPr>
                <w:rFonts w:cs="Arial"/>
                <w:sz w:val="16"/>
                <w:szCs w:val="16"/>
              </w:rPr>
              <w:t>@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HF overseas</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color w:val="000000"/>
                <w:sz w:val="16"/>
                <w:szCs w:val="16"/>
              </w:rPr>
            </w:pPr>
            <w:r>
              <w:rPr>
                <w:rFonts w:cs="Arial"/>
                <w:bCs/>
                <w:color w:val="000000"/>
                <w:sz w:val="16"/>
                <w:szCs w:val="16"/>
              </w:rPr>
              <w:t xml:space="preserve">Hourly rate </w:t>
            </w:r>
            <w:r>
              <w:rPr>
                <w:rFonts w:cs="Arial"/>
                <w:sz w:val="16"/>
                <w:szCs w:val="16"/>
              </w:rPr>
              <w:t>@   $197</w:t>
            </w:r>
            <w:r>
              <w:rPr>
                <w:rFonts w:cs="Arial"/>
                <w:bCs/>
                <w:color w:val="000000"/>
                <w:sz w:val="16"/>
                <w:szCs w:val="16"/>
              </w:rPr>
              <w:t xml:space="preserve"> </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28</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Issue of Non-assigned Licence</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amateur licence to a person to whom an Amateur Operator’s Certificate of Proficiency (Advanced) has been granted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an amateur licence to a person to whom an Amateur Operator’s Certificate of Proficiency (Advanced) has been granted or considering the issue of the licence without proceeding to issue r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Amateur—Advanced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color w:val="000000"/>
                <w:sz w:val="16"/>
                <w:szCs w:val="16"/>
              </w:rPr>
            </w:pPr>
            <w:r>
              <w:rPr>
                <w:rFonts w:cs="Arial"/>
                <w:bCs/>
                <w:color w:val="000000"/>
                <w:sz w:val="16"/>
                <w:szCs w:val="16"/>
              </w:rPr>
              <w:t>$28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29</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amateur licence to a person to whom an Amateur Operator’s Certificate of Proficiency (Standard) has been granted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an amateur licence to a person to whom an Amateur Operator’s Certificate of Proficiency (Standard) has been granted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Amateur—Standard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30</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amateur licence to a person to whom an Amateur Operator’s Certificate of Proficiency (Foundation) has been granted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an amateur licence to a person to whom an Amateur Operator’s Certificate of Proficiency (Foundation) has been granted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Amateur—Foundation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31</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7.4</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fixed licence for the operation of a television outside broadcast network,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fixed licence for the operation of a television outside broadcast network, or considering the issue or renewal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Television Outside Broadcast Network</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$23</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$23</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32</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7.5</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maritime coast licence for the operation of a limited coast non assigned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maritime coast licence for the operation of a limited coast non assigned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Limited Coast Non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33</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7.6</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maritime coast licence for the operation of a limited coast marine rescue station on a non-assigned basis,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maritime coast licence for the operation of a limited coast marine rescue station on a non-assigned basis,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Limited Coast Marine Rescue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34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7.7</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outpost licence for the operation of an outpost non assigned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an outpost licence for the operation of an outpost non assigned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Outpost Non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$7</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35</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7.8</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scientific licence for the operation of a scientific non assigned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scientific licence for the operation of a scientific non assigned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Scientific Non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36</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7.9</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maritime ship licence for the operation of a ship station class B non-assigned,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maritime ship licence for the operation of a ship station class B non-assigned,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Ship Station Class B Non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37</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7.10</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maritime ship licence for the operation of a ship station class C non assigned,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maritime ship licence for the operation of a ship station class C non assigned,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Ship Station Class C Non Assigned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$16</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$16</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38</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7.11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fixed licence for the operation of a sound outside broadcast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fixed licence for the operation of a sound outside broadcast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Sound Outside Broadcast</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39</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7.12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fixed licence for the operation of a temporary fixed link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fixed licence for the operation of a temporary fixed link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Temporary Fixed Link Station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40</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7.13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amateur licence for the operation of an amateur beacon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an amateur licence for the operation of an amateur beacon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Amateur Beacon Station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9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41</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7 item 7.14</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amateur licence for the operation of an amateur repeater station,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an amateur licence for the operation of an amateur repeater station,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Amateur Repeater</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6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42</w:t>
            </w:r>
          </w:p>
        </w:tc>
        <w:tc>
          <w:tcPr>
            <w:tcW w:w="113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Renewal of Assigned or Non-assigned Licence</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8 item 8.1 paragraphs (a) to (h)</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Renewing a licence that has been issued on an assigned basis, or considering the renewal of the licence without proceeding to renew it, </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Renewing a licence that has been issued on an assigned or non-assigned basis, or considering the renewal of the licence without proceeding to renew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Renewals</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43</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Misc.</w:t>
            </w:r>
            <w:r>
              <w:rPr>
                <w:rFonts w:cs="Arial"/>
                <w:sz w:val="16"/>
                <w:szCs w:val="16"/>
              </w:rPr>
              <w:br/>
              <w:t>expenses</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10 item 10.1(a)</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Transfer of a licence, or considering the transfer of the licence without proceeding to transfer it: (a) up to four transfers (each)</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Transfer of a licence or a group of licences where the licences are contained in one application, or considering the transfer of the licence or a group of licences where the licences are contained in one application without proceeding to transfer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Licence transfer </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$49</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10 item 10.1 (b)</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Transfer of a licence, or considering the transfer of the licence without proceeding to transfer it: (b) more than four transfers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transfer more than four transfers</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Not applicable</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Deleted – no longer applicable</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45</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10 item 10.6</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authorisation for the Department of Defence or the Australian Defence Force to use the bands in the Australian Radiofrequency Spectrum Plan that are subject to Australian Footnote AUS1, AUS9, AUS11 or AUS28</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an authorisation for the Department of Defence or the Australian Defence Force to use the bands in the Australian Radiofrequency Spectrum Plan that are subject to Australian Footnote AUS1, AUS9, AUS11 or AUS28</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Defence Licence </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46</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10 item 10.6</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an authorisation for the Department of Defence or the Australian Defence Force to use the bands in the Australian Radiofrequency Spectrum Plan that are subject to Australian Footnote AUS1, AUS9, AUS11 or AUS28</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Renewing an authorisation for the Department of Defence or the Australian Defence Force to use the bands in the Australian Radiofrequency Spectrum Plan that are subject to Australian Footnote AUS1, AUS9, AUS11 or AUS28</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Defence Licence Renewal</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Method B </w:t>
            </w:r>
          </w:p>
          <w:p w:rsidR="00504BF3" w:rsidRDefault="00504BF3" w:rsidP="00806947">
            <w:pPr>
              <w:spacing w:line="240" w:lineRule="auto"/>
              <w:rPr>
                <w:rFonts w:cs="Arial"/>
                <w:sz w:val="16"/>
                <w:szCs w:val="16"/>
              </w:rPr>
            </w:pPr>
            <w:r>
              <w:rPr>
                <w:rFonts w:cs="Arial"/>
                <w:sz w:val="16"/>
                <w:szCs w:val="16"/>
              </w:rPr>
              <w:t>As a result of change in item above</w:t>
            </w:r>
          </w:p>
        </w:tc>
      </w:tr>
      <w:tr w:rsidR="00504BF3" w:rsidTr="00806947">
        <w:trPr>
          <w:cantSplit/>
          <w:trHeight w:val="114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47</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10 item 10.7</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Recording the issue of a transmitter licence to a person to whom a related licence within the meaning of subsection 102 (1) of the </w:t>
            </w:r>
            <w:r>
              <w:rPr>
                <w:rFonts w:cs="Arial"/>
                <w:i/>
                <w:sz w:val="16"/>
                <w:szCs w:val="16"/>
              </w:rPr>
              <w:t xml:space="preserve">Radiocommunications Act </w:t>
            </w:r>
            <w:r>
              <w:rPr>
                <w:rFonts w:cs="Arial"/>
                <w:sz w:val="16"/>
                <w:szCs w:val="16"/>
              </w:rPr>
              <w:t xml:space="preserve"> is transferred</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Recording the issue of a transmitter licence to a person to whom a related licence within the meaning of subsection 102 (1) of the </w:t>
            </w:r>
            <w:r>
              <w:rPr>
                <w:rFonts w:cs="Arial"/>
                <w:i/>
                <w:sz w:val="16"/>
                <w:szCs w:val="16"/>
              </w:rPr>
              <w:t>Radiocommunications Act 1992</w:t>
            </w:r>
            <w:r>
              <w:rPr>
                <w:rFonts w:cs="Arial"/>
                <w:sz w:val="16"/>
                <w:szCs w:val="16"/>
              </w:rPr>
              <w:t xml:space="preserve"> is transferred</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Recording the issue of a transmitter licence to a person to whom a related licence within the meaning of subsection 102(1) of the </w:t>
            </w:r>
            <w:r>
              <w:rPr>
                <w:rFonts w:cs="Arial"/>
                <w:i/>
                <w:iCs/>
                <w:sz w:val="16"/>
                <w:szCs w:val="16"/>
              </w:rPr>
              <w:t>Radiocommunications Act 1992</w:t>
            </w:r>
            <w:r>
              <w:rPr>
                <w:rFonts w:cs="Arial"/>
                <w:sz w:val="16"/>
                <w:szCs w:val="16"/>
              </w:rPr>
              <w:t xml:space="preserve"> is transferred</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48</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Spectrum Licence</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11.1(a)</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(a) register one or more devices, under an issued spectrum licence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Processing an application to: (a) register one or more devices, under an issued spectrum licence – electronic submission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registration of a device under an issued spectrum licence – electronic submission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$0</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49</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11.1(a)</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(a) register one or more devices, under an issued spectrum licence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Processing an application to: (a) register one or more devices, under an issued spectrum licence – paper based submission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registration of a device under an issued spectrum licence – paper based submission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 No change in fee due to paper based submission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50</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11.1(b)</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(b) amend (excluding deletions) the registered details of one or more devices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Processing an application to: (b) amend (excluding deletions) the registered details of one or more devices – electronic submission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Amending registered details of device – electronic submission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$0</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51</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11.1(b)</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(b) amend (excluding deletions) the registered details of one or more devices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Processing an application to: (b) amend (excluding deletions) the registered details of one or more devices – paper based submission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Amending registered details of device – paper based submission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 No change in fee due to paper based submission</w:t>
            </w:r>
          </w:p>
        </w:tc>
      </w:tr>
      <w:tr w:rsidR="00504BF3" w:rsidTr="00806947">
        <w:trPr>
          <w:cantSplit/>
          <w:trHeight w:val="11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52</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Checking compliance with any licence conditions, determinations under subsection 145 (4) of the </w:t>
            </w:r>
            <w:r>
              <w:rPr>
                <w:rFonts w:cs="Arial"/>
                <w:i/>
                <w:sz w:val="16"/>
                <w:szCs w:val="16"/>
              </w:rPr>
              <w:t>Radiocommunications Act</w:t>
            </w:r>
            <w:r>
              <w:rPr>
                <w:rFonts w:cs="Arial"/>
                <w:sz w:val="16"/>
                <w:szCs w:val="16"/>
              </w:rPr>
              <w:t xml:space="preserve"> and advisory guidelines in relation to an application to register a device under an issued spectrum licence, or in respect of an application to amend the registered details of a device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 xml:space="preserve">Checking compliance with any licence conditions, determinations under subsection 145 (4) of the </w:t>
            </w:r>
            <w:r>
              <w:rPr>
                <w:rFonts w:cs="Arial"/>
                <w:i/>
                <w:sz w:val="16"/>
                <w:szCs w:val="16"/>
              </w:rPr>
              <w:t>Radiocommunications Act 1992</w:t>
            </w:r>
            <w:r>
              <w:rPr>
                <w:rFonts w:cs="Arial"/>
                <w:sz w:val="16"/>
                <w:szCs w:val="16"/>
              </w:rPr>
              <w:t xml:space="preserve"> and advisory guidelines in relation to an application to register a device under an issued spectrum licence, or in respect of an application to amend the registered details of a device – electronic submission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Assessing compliance with licence conditions in registering device under issued spectrum licence, or alteration of registered details – electronic submission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$0</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A</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112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53</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Checking compliance with any licence conditions, determinations under subsection 145 (4) of the </w:t>
            </w:r>
            <w:r>
              <w:rPr>
                <w:rFonts w:cs="Arial"/>
                <w:i/>
                <w:sz w:val="16"/>
                <w:szCs w:val="16"/>
              </w:rPr>
              <w:t xml:space="preserve">Radiocommunications Act </w:t>
            </w:r>
            <w:r>
              <w:rPr>
                <w:rFonts w:cs="Arial"/>
                <w:sz w:val="16"/>
                <w:szCs w:val="16"/>
              </w:rPr>
              <w:t>and advisory guidelines in relation to an application to register a device under an issued spectrum licence, or in respect of an application to amend the registered details of a device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 xml:space="preserve">Checking compliance with any licence conditions, determinations under subsection 145 (4) of the </w:t>
            </w:r>
            <w:r>
              <w:rPr>
                <w:rFonts w:cs="Arial"/>
                <w:i/>
                <w:sz w:val="16"/>
                <w:szCs w:val="16"/>
              </w:rPr>
              <w:t>Radiocommunications Act 1992</w:t>
            </w:r>
            <w:r>
              <w:rPr>
                <w:rFonts w:cs="Arial"/>
                <w:sz w:val="16"/>
                <w:szCs w:val="16"/>
              </w:rPr>
              <w:t xml:space="preserve"> and advisory guidelines in relation to an application to register a device under an issued spectrum licence, or in respect of an application to amend the registered details of a device – paper based submission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Assessing compliance with licence conditions in registering device under issued spectrum licence, or alteration of registered details – paper based submission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 No change in fee due to paper based submission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new licence or issuing a reprint of a spectrum licence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new licence or issuing a reprint of a spectrum licence (other than a new licence issued subsequent to an auction or an allocation for a pre</w:t>
            </w:r>
            <w:r>
              <w:rPr>
                <w:rFonts w:cs="Arial"/>
                <w:sz w:val="16"/>
                <w:szCs w:val="16"/>
              </w:rPr>
              <w:noBreakHyphen/>
              <w:t>determined price in respect of that licence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new licence or reprint of spectrum licence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$49</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55</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11.5</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vary the conditions of an issued spectrum licence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variation of the conditions of issued spectrum licence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$197</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25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56</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11 item 11.3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new licence or issuing a reprint of a spectrum licence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Processing an application to trade a spectrum licence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and registering the trade of a spectrum licence</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As a result of change in item 11.3</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57</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Issue or Renewal of PTS Licence</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12 item 12.1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or renewing a PTS licence for the operation of a land station in a PMTS class B, or considering the issue or renewal of the licence without proceeding to issue or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Issuing a PTS licence for the operation of a land station in a PMTS class B, or considering the issue of the licence without proceeding to issue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PMTS Class B</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$394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58</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12 item 12.1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PTS licence for the operation of a station in a PMTS Class B or considering the renewal of a licence without proceeding to renew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sz w:val="16"/>
                <w:szCs w:val="16"/>
              </w:rPr>
            </w:pPr>
            <w:r>
              <w:rPr>
                <w:rFonts w:cs="Arial"/>
                <w:sz w:val="16"/>
                <w:szCs w:val="16"/>
              </w:rPr>
              <w:t>Renewing a PTS licence for the operation of a station in a PMTS Class B or PMTS Class C or considering the renewal of a licence without proceeding to renew it</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Renewals PMTS Class B</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4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59</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12 item 12.2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PTS licence for the operation of a station in a PMTS Class C or considering the issue of the licence without proceeding to issue it</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PMTS Class C</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135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60</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Varying a Licence Condition</w:t>
            </w: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Section 13, Table 2, Item 1</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a type of assigned licence or a type of non-assigned licence; and (b) the licence is mentioned in an item in Part 6 or Part 7 of Schedule 2 and is not of a type mentioned in item 3 of Table 2</w:t>
            </w:r>
            <w:r>
              <w:rPr>
                <w:rFonts w:cs="Arial"/>
                <w:iCs/>
                <w:sz w:val="16"/>
                <w:szCs w:val="16"/>
              </w:rPr>
              <w:t>2</w:t>
            </w:r>
            <w:r>
              <w:rPr>
                <w:rFonts w:cs="Arial"/>
                <w:sz w:val="16"/>
                <w:szCs w:val="16"/>
              </w:rPr>
              <w:t xml:space="preserve">; and (c) the time taken to consider the variation application is not more than 15 minutes </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bCs/>
                <w:sz w:val="16"/>
                <w:szCs w:val="16"/>
              </w:rPr>
            </w:pPr>
            <w:r>
              <w:rPr>
                <w:rFonts w:cs="Arial"/>
                <w:sz w:val="16"/>
                <w:szCs w:val="16"/>
              </w:rPr>
              <w:t>(a) a type of assigned licence or a type of non-assigned licence; and (b) the licence is mentioned in an item in Part 6 or Part 7 of Schedule 2 and is not of a type mentioned in item 3 of Table 2</w:t>
            </w:r>
            <w:r>
              <w:rPr>
                <w:rFonts w:cs="Arial"/>
                <w:iCs/>
                <w:sz w:val="16"/>
                <w:szCs w:val="16"/>
              </w:rPr>
              <w:t>2</w:t>
            </w:r>
            <w:r>
              <w:rPr>
                <w:rFonts w:cs="Arial"/>
                <w:sz w:val="16"/>
                <w:szCs w:val="16"/>
              </w:rPr>
              <w:t>; and (c) the ACMA does not perform technical co-ordination.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Varying a Licence Condition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$49</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900"/>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61</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Section 13, Table 2, Item 2</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a type of assigned licence; and (b) the licence is mentioned in an item in Part 6 of Schedule 2; and (c) the application for the variation notice is not associated with either a paper or electronic frequency assignment certificate lodged by an accredited person; and (d) the time taken to consider the application is more than 15 minutes</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bCs/>
                <w:sz w:val="16"/>
                <w:szCs w:val="16"/>
              </w:rPr>
            </w:pPr>
            <w:r>
              <w:rPr>
                <w:rFonts w:cs="Arial"/>
                <w:sz w:val="16"/>
                <w:szCs w:val="16"/>
              </w:rPr>
              <w:t>a) a type of assigned licence; and (b) the licence is mentioned in an item in Part 6 of Schedule 2; and (c) the application for the variation notice is not associated with either a paper or electronic frequency assignment certificate lodged by an accredited person; and (d) the ACMA has performed technical co-ordination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Varying a Licence Condition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Equivalent to the current price of issue</w:t>
            </w:r>
            <w:r>
              <w:rPr>
                <w:rStyle w:val="FootnoteReference"/>
                <w:rFonts w:cs="Arial"/>
                <w:b/>
                <w:bCs/>
                <w:color w:val="000000"/>
                <w:sz w:val="16"/>
                <w:szCs w:val="16"/>
              </w:rPr>
              <w:footnoteReference w:id="2"/>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B</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62</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Sch 2 Part 6 item 6.36</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rPr>
                <w:rFonts w:eastAsiaTheme="minorHAnsi" w:cs="Arial"/>
                <w:sz w:val="16"/>
                <w:szCs w:val="16"/>
              </w:rPr>
            </w:pPr>
            <w:r>
              <w:rPr>
                <w:rFonts w:cs="Arial"/>
                <w:sz w:val="16"/>
                <w:szCs w:val="16"/>
              </w:rPr>
              <w:t xml:space="preserve">Considering an application for a transmitter licence for a low power open narrowcasting service to be allocated using a price based allocation system under the </w:t>
            </w:r>
            <w:r>
              <w:rPr>
                <w:rFonts w:cs="Arial"/>
                <w:i/>
                <w:sz w:val="16"/>
                <w:szCs w:val="16"/>
              </w:rPr>
              <w:t xml:space="preserve">Radiocommunications (Issue of Broadcasting (Narrowcasting) Transmitter Licences) Determination No. 1 of 1996 </w:t>
            </w:r>
            <w:r>
              <w:rPr>
                <w:rFonts w:cs="Arial"/>
                <w:sz w:val="16"/>
                <w:szCs w:val="16"/>
              </w:rPr>
              <w:t>and issuing it (if applicable)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hideMark/>
          </w:tcPr>
          <w:p w:rsidR="00504BF3" w:rsidRDefault="00504BF3" w:rsidP="00806947">
            <w:pPr>
              <w:spacing w:line="240" w:lineRule="auto"/>
              <w:rPr>
                <w:rFonts w:cs="Arial"/>
                <w:bCs/>
                <w:sz w:val="16"/>
                <w:szCs w:val="16"/>
              </w:rPr>
            </w:pPr>
            <w:r>
              <w:rPr>
                <w:rFonts w:cs="Arial"/>
                <w:sz w:val="16"/>
                <w:szCs w:val="16"/>
              </w:rPr>
              <w:t>Licence for low power open narrowcasting services (LPON)</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Varying a Licence Condition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Method A </w:t>
            </w:r>
          </w:p>
          <w:p w:rsidR="00504BF3" w:rsidRDefault="00504BF3" w:rsidP="00806947">
            <w:pPr>
              <w:spacing w:line="240" w:lineRule="auto"/>
              <w:rPr>
                <w:rFonts w:cs="Arial"/>
                <w:sz w:val="16"/>
                <w:szCs w:val="16"/>
              </w:rPr>
            </w:pPr>
            <w:r>
              <w:rPr>
                <w:rFonts w:cs="Arial"/>
                <w:sz w:val="16"/>
                <w:szCs w:val="16"/>
              </w:rPr>
              <w:t>Change of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63</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Section 13, Table 2, Item 4</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(a) item 1, 2 or 3 of Table 2 of the </w:t>
            </w:r>
            <w:r>
              <w:rPr>
                <w:rFonts w:cs="Arial"/>
                <w:iCs/>
                <w:sz w:val="16"/>
                <w:szCs w:val="16"/>
              </w:rPr>
              <w:t xml:space="preserve">Radiocommunications (Charges) Determination 2007 </w:t>
            </w:r>
            <w:r>
              <w:rPr>
                <w:rFonts w:cs="Arial"/>
                <w:sz w:val="16"/>
                <w:szCs w:val="16"/>
              </w:rPr>
              <w:t>does not apply to the application for the variation notice; and (b) the application for the variation notice is associated with a paper based frequency assignment certificate lodged by an accredited person; and (c) in considering the application, the ACMA does not perform coordination procedures to minimise interference.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Varying a Licence Condition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color w:val="000000"/>
                <w:sz w:val="16"/>
                <w:szCs w:val="16"/>
              </w:rPr>
            </w:pPr>
            <w:r>
              <w:rPr>
                <w:rFonts w:cs="Arial"/>
                <w:bCs/>
                <w:color w:val="000000"/>
                <w:sz w:val="16"/>
                <w:szCs w:val="16"/>
              </w:rPr>
              <w:t>$148 for each spectrum access to which the notice relates</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 for each frequency assignment or paired frequency assignment to which the notice relates</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fee description</w:t>
            </w:r>
          </w:p>
        </w:tc>
      </w:tr>
      <w:tr w:rsidR="00504BF3" w:rsidTr="00806947">
        <w:trPr>
          <w:cantSplit/>
          <w:trHeight w:val="675"/>
        </w:trPr>
        <w:tc>
          <w:tcPr>
            <w:tcW w:w="970"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64</w:t>
            </w: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Section 13, Table 2, Item 5</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(a) item 1, 2 or 3 of Table 2 of the </w:t>
            </w:r>
            <w:r>
              <w:rPr>
                <w:rFonts w:cs="Arial"/>
                <w:iCs/>
                <w:sz w:val="16"/>
                <w:szCs w:val="16"/>
              </w:rPr>
              <w:t>Radiocommunications (Charges)  Determination 2007</w:t>
            </w:r>
            <w:r>
              <w:rPr>
                <w:rFonts w:cs="Arial"/>
                <w:sz w:val="16"/>
                <w:szCs w:val="16"/>
              </w:rPr>
              <w:t xml:space="preserve"> does not apply to the application for the variation notice; and (b) the application for the variation notice is associated with a frequency assignment certificate lodged by an accredited person using the ACMA’s Accredited Person Online Submission System; and (c) in considering the application, the ACMA does not perform coordination procedures to minimise interference</w:t>
            </w:r>
          </w:p>
        </w:tc>
        <w:tc>
          <w:tcPr>
            <w:tcW w:w="2693"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Varying a Licence Condition</w:t>
            </w:r>
          </w:p>
        </w:tc>
        <w:tc>
          <w:tcPr>
            <w:tcW w:w="1012"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color w:val="000000"/>
                <w:sz w:val="16"/>
                <w:szCs w:val="16"/>
              </w:rPr>
            </w:pPr>
            <w:r>
              <w:rPr>
                <w:rFonts w:cs="Arial"/>
                <w:bCs/>
                <w:color w:val="000000"/>
                <w:sz w:val="16"/>
                <w:szCs w:val="16"/>
              </w:rPr>
              <w:t>$99 for each spectrum access to which the notice relates</w:t>
            </w:r>
          </w:p>
        </w:tc>
        <w:tc>
          <w:tcPr>
            <w:tcW w:w="1114"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xml:space="preserve">$99 for each frequency assignment or paired frequency assignment to which the notice relates </w:t>
            </w:r>
          </w:p>
        </w:tc>
        <w:tc>
          <w:tcPr>
            <w:tcW w:w="1701"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Change of fee description</w:t>
            </w:r>
          </w:p>
        </w:tc>
      </w:tr>
      <w:tr w:rsidR="00504BF3" w:rsidTr="00806947">
        <w:trPr>
          <w:cantSplit/>
          <w:trHeight w:val="1125"/>
        </w:trPr>
        <w:tc>
          <w:tcPr>
            <w:tcW w:w="970"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65</w:t>
            </w:r>
          </w:p>
        </w:tc>
        <w:tc>
          <w:tcPr>
            <w:tcW w:w="113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Paper based frequency based assignment certificate</w:t>
            </w:r>
          </w:p>
        </w:tc>
        <w:tc>
          <w:tcPr>
            <w:tcW w:w="1417"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Section 15(2)(a) &amp; (b) Table 3, Item 3</w:t>
            </w: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application is one of a group of two or more applications all of which relate to: (i) an event that happens for a period of not more than two weeks; or (ii) military or other defence manoeuvres, involving simulated wartime operations carried out to train and evaluate personnel, that happen for a period of not more than three months</w:t>
            </w:r>
          </w:p>
        </w:tc>
        <w:tc>
          <w:tcPr>
            <w:tcW w:w="2693"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 change</w:t>
            </w:r>
          </w:p>
        </w:tc>
        <w:tc>
          <w:tcPr>
            <w:tcW w:w="1559"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Paper-based frequency assignment certificate</w:t>
            </w:r>
          </w:p>
        </w:tc>
        <w:tc>
          <w:tcPr>
            <w:tcW w:w="1012"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Hourly rate @   $197</w:t>
            </w:r>
          </w:p>
        </w:tc>
        <w:tc>
          <w:tcPr>
            <w:tcW w:w="1114"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$197</w:t>
            </w:r>
          </w:p>
        </w:tc>
        <w:tc>
          <w:tcPr>
            <w:tcW w:w="1701" w:type="dxa"/>
            <w:vMerge w:val="restart"/>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Method C</w:t>
            </w:r>
          </w:p>
        </w:tc>
      </w:tr>
      <w:tr w:rsidR="00504BF3" w:rsidTr="00806947">
        <w:trPr>
          <w:cantSplit/>
          <w:trHeight w:val="255"/>
        </w:trPr>
        <w:tc>
          <w:tcPr>
            <w:tcW w:w="97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All applications in the group are made at the same time</w:t>
            </w: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Cs/>
                <w:sz w:val="16"/>
                <w:szCs w:val="16"/>
              </w:rPr>
            </w:pPr>
          </w:p>
        </w:tc>
        <w:tc>
          <w:tcPr>
            <w:tcW w:w="1012"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1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color w:val="000000"/>
                <w:sz w:val="16"/>
                <w:szCs w:val="16"/>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r>
      <w:tr w:rsidR="00504BF3" w:rsidTr="00806947">
        <w:trPr>
          <w:cantSplit/>
          <w:trHeight w:val="450"/>
        </w:trPr>
        <w:tc>
          <w:tcPr>
            <w:tcW w:w="97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the licences, the ACMA does not perform coordination procedures to minimise interference</w:t>
            </w: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Cs/>
                <w:sz w:val="16"/>
                <w:szCs w:val="16"/>
              </w:rPr>
            </w:pPr>
          </w:p>
        </w:tc>
        <w:tc>
          <w:tcPr>
            <w:tcW w:w="1012"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1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color w:val="000000"/>
                <w:sz w:val="16"/>
                <w:szCs w:val="16"/>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r>
      <w:tr w:rsidR="00504BF3" w:rsidTr="00806947">
        <w:trPr>
          <w:cantSplit/>
          <w:trHeight w:val="690"/>
        </w:trPr>
        <w:tc>
          <w:tcPr>
            <w:tcW w:w="97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3119" w:type="dxa"/>
            <w:tcBorders>
              <w:top w:val="single" w:sz="2" w:space="0" w:color="auto"/>
              <w:left w:val="single" w:sz="2" w:space="0" w:color="auto"/>
              <w:bottom w:val="single" w:sz="2" w:space="0" w:color="auto"/>
              <w:right w:val="single" w:sz="2" w:space="0" w:color="auto"/>
            </w:tcBorders>
            <w:tcMar>
              <w:top w:w="28"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Associated licences (if applicable) are to be issued on the basis that the use of the licences: (i) is not to cause interference; and (ii) will not be afforded protection from interference caused by other services</w:t>
            </w: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Cs/>
                <w:sz w:val="16"/>
                <w:szCs w:val="16"/>
              </w:rPr>
            </w:pPr>
          </w:p>
        </w:tc>
        <w:tc>
          <w:tcPr>
            <w:tcW w:w="1012"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1114"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color w:val="000000"/>
                <w:sz w:val="16"/>
                <w:szCs w:val="16"/>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r>
    </w:tbl>
    <w:p w:rsidR="00504BF3" w:rsidRDefault="00504BF3" w:rsidP="00504BF3">
      <w:pPr>
        <w:rPr>
          <w:rFonts w:eastAsiaTheme="minorHAnsi" w:cs="Arial"/>
          <w:sz w:val="22"/>
          <w:szCs w:val="22"/>
          <w:lang w:eastAsia="en-US"/>
        </w:rPr>
      </w:pPr>
    </w:p>
    <w:p w:rsidR="00504BF3" w:rsidRDefault="00504BF3" w:rsidP="00504BF3">
      <w:pPr>
        <w:spacing w:after="120" w:line="280" w:lineRule="atLeast"/>
        <w:rPr>
          <w:rFonts w:cs="Arial"/>
        </w:rPr>
      </w:pPr>
      <w:r>
        <w:rPr>
          <w:rFonts w:cs="Arial"/>
          <w:b/>
        </w:rPr>
        <w:t>Methodology:</w:t>
      </w:r>
    </w:p>
    <w:p w:rsidR="00504BF3" w:rsidRDefault="00504BF3" w:rsidP="00504BF3">
      <w:pPr>
        <w:pStyle w:val="ListBullet"/>
      </w:pPr>
      <w:r>
        <w:t>Method A—if there were licences issued during the 2012–13 financial year, an average of the time taken to issue the particular licence type.</w:t>
      </w:r>
    </w:p>
    <w:p w:rsidR="00504BF3" w:rsidRDefault="00504BF3" w:rsidP="00504BF3">
      <w:pPr>
        <w:pStyle w:val="ListBullet"/>
      </w:pPr>
      <w:r>
        <w:t>Method B—if there were no licences issued during the 2012–13 financial year, the time taken to process similar licence types which have a standard fee.</w:t>
      </w:r>
    </w:p>
    <w:p w:rsidR="00504BF3" w:rsidRDefault="00504BF3" w:rsidP="00504BF3">
      <w:pPr>
        <w:pStyle w:val="ListBullet"/>
      </w:pPr>
      <w:r>
        <w:t>Method C—if neither Method A nor Method B applies, as there are no similar licence types or previous issues, the time taken to process is estimated by the licensing staff based on a time and motion study methodology.</w:t>
      </w:r>
    </w:p>
    <w:p w:rsidR="00504BF3" w:rsidRDefault="00504BF3" w:rsidP="00504BF3">
      <w:pPr>
        <w:rPr>
          <w:rFonts w:eastAsiaTheme="minorHAnsi" w:cs="Arial"/>
          <w:lang w:eastAsia="en-US"/>
        </w:rPr>
      </w:pPr>
    </w:p>
    <w:p w:rsidR="00504BF3" w:rsidRPr="00DF1CB8" w:rsidRDefault="00504BF3" w:rsidP="00504BF3"/>
    <w:p w:rsidR="00504BF3" w:rsidRDefault="00504BF3" w:rsidP="00504BF3">
      <w:pPr>
        <w:pStyle w:val="Heading1"/>
        <w:rPr>
          <w:szCs w:val="22"/>
        </w:rPr>
      </w:pPr>
      <w:r>
        <w:lastRenderedPageBreak/>
        <w:t>Attachment B—Fees for the ACMA’s cost recovery activities</w:t>
      </w:r>
    </w:p>
    <w:tbl>
      <w:tblPr>
        <w:tblW w:w="12945"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7"/>
        <w:gridCol w:w="1388"/>
        <w:gridCol w:w="11"/>
        <w:gridCol w:w="7252"/>
        <w:gridCol w:w="2269"/>
        <w:gridCol w:w="1418"/>
      </w:tblGrid>
      <w:tr w:rsidR="00504BF3" w:rsidTr="00504BF3">
        <w:trPr>
          <w:trHeight w:val="525"/>
          <w:tblHeader/>
        </w:trPr>
        <w:tc>
          <w:tcPr>
            <w:tcW w:w="608"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504BF3" w:rsidRPr="00504BF3" w:rsidRDefault="00504BF3" w:rsidP="00504BF3">
            <w:pPr>
              <w:pStyle w:val="TableHeading"/>
              <w:rPr>
                <w:color w:val="FFFFFF" w:themeColor="background1"/>
              </w:rPr>
            </w:pPr>
            <w:r w:rsidRPr="00504BF3">
              <w:rPr>
                <w:color w:val="FFFFFF" w:themeColor="background1"/>
              </w:rPr>
              <w:t>Ref.</w:t>
            </w:r>
          </w:p>
        </w:tc>
        <w:tc>
          <w:tcPr>
            <w:tcW w:w="1398" w:type="dxa"/>
            <w:gridSpan w:val="2"/>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504BF3" w:rsidRPr="00504BF3" w:rsidRDefault="00504BF3" w:rsidP="00504BF3">
            <w:pPr>
              <w:pStyle w:val="TableHeading"/>
              <w:rPr>
                <w:color w:val="FFFFFF" w:themeColor="background1"/>
              </w:rPr>
            </w:pPr>
            <w:r w:rsidRPr="00504BF3">
              <w:rPr>
                <w:color w:val="FFFFFF" w:themeColor="background1"/>
              </w:rPr>
              <w:t>Type</w:t>
            </w:r>
          </w:p>
        </w:tc>
        <w:tc>
          <w:tcPr>
            <w:tcW w:w="7249"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504BF3" w:rsidRPr="00504BF3" w:rsidRDefault="00504BF3" w:rsidP="00504BF3">
            <w:pPr>
              <w:pStyle w:val="TableHeading"/>
              <w:rPr>
                <w:color w:val="FFFFFF" w:themeColor="background1"/>
              </w:rPr>
            </w:pPr>
            <w:r w:rsidRPr="00504BF3">
              <w:rPr>
                <w:color w:val="FFFFFF" w:themeColor="background1"/>
              </w:rPr>
              <w:t>Activity description</w:t>
            </w:r>
          </w:p>
        </w:tc>
        <w:tc>
          <w:tcPr>
            <w:tcW w:w="2268"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504BF3" w:rsidRPr="00504BF3" w:rsidRDefault="00504BF3" w:rsidP="00504BF3">
            <w:pPr>
              <w:pStyle w:val="TableHeading"/>
              <w:rPr>
                <w:color w:val="FFFFFF" w:themeColor="background1"/>
              </w:rPr>
            </w:pPr>
            <w:r w:rsidRPr="00504BF3">
              <w:rPr>
                <w:color w:val="FFFFFF" w:themeColor="background1"/>
              </w:rPr>
              <w:t>Sub-type</w:t>
            </w:r>
          </w:p>
        </w:tc>
        <w:tc>
          <w:tcPr>
            <w:tcW w:w="1417"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504BF3" w:rsidRPr="00504BF3" w:rsidRDefault="00504BF3" w:rsidP="00504BF3">
            <w:pPr>
              <w:pStyle w:val="TableHeading"/>
              <w:rPr>
                <w:color w:val="FFFFFF" w:themeColor="background1"/>
              </w:rPr>
            </w:pPr>
            <w:r w:rsidRPr="00504BF3">
              <w:rPr>
                <w:color w:val="FFFFFF" w:themeColor="background1"/>
              </w:rPr>
              <w:t>Fees from</w:t>
            </w:r>
          </w:p>
          <w:p w:rsidR="00504BF3" w:rsidRPr="00504BF3" w:rsidRDefault="00504BF3" w:rsidP="00504BF3">
            <w:pPr>
              <w:pStyle w:val="TableHeading"/>
              <w:rPr>
                <w:color w:val="FFFFFF" w:themeColor="background1"/>
              </w:rPr>
            </w:pPr>
            <w:r w:rsidRPr="00504BF3">
              <w:rPr>
                <w:color w:val="FFFFFF" w:themeColor="background1"/>
              </w:rPr>
              <w:t>1 July 2012</w:t>
            </w:r>
          </w:p>
        </w:tc>
      </w:tr>
      <w:tr w:rsidR="00504BF3" w:rsidTr="00806947">
        <w:trPr>
          <w:cantSplit/>
          <w:trHeight w:val="443"/>
        </w:trPr>
        <w:tc>
          <w:tcPr>
            <w:tcW w:w="12940"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sz w:val="24"/>
                <w:szCs w:val="28"/>
              </w:rPr>
              <w:t>Type testing</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Class Licence technical checks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partial test or retest of a  radiocommunications device for compliance with a class licence issued under section 132 of the</w:t>
            </w:r>
            <w:r>
              <w:rPr>
                <w:rFonts w:cs="Arial"/>
                <w:i/>
                <w:iCs/>
                <w:sz w:val="16"/>
                <w:szCs w:val="16"/>
              </w:rPr>
              <w:t xml:space="preserve"> Radiocommunications Act 1992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Class licence—technical checks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$1,156</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4268  (SRD)</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partial test or retest for compliance with AS/NZS 4268</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Standard (NATA Open Air Test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$3,728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partial test or retest for compliance with AS/NZS 4268 (NATA Open Air Test not required)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Standard (NATA Open Air Test NOT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$2,081</w:t>
            </w:r>
          </w:p>
        </w:tc>
      </w:tr>
      <w:tr w:rsidR="00504BF3" w:rsidTr="00806947">
        <w:trPr>
          <w:cantSplit/>
          <w:trHeight w:val="496"/>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4280  (406 EPIRB)</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4280</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Standard (NATA Open Air Test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$6,503</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4281  (CTS)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4281 (other than a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$3,945</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of a base station or a mobile station for compliance with AS/NZS 4281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base/mobile station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$3,049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of the transmitter modulation of a base station or a mobile station for compliance with AS/NZS 4281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trans mod b/m station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$1,445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4295 (LMRS)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Test or retest for compliance with AS/NZS 4295 (other than a partial test or a retest mentioned below) for concurrent testing of all of the bandwidths and frequencies of a device that incorporates dual bandwidth capability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Dual bandwidth—first  frequency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$5,433</w:t>
            </w:r>
          </w:p>
        </w:tc>
      </w:tr>
      <w:tr w:rsidR="00504BF3" w:rsidTr="00806947">
        <w:trPr>
          <w:cantSplit/>
          <w:trHeight w:val="82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Test or retest for compliance with AS/NZS 4295 (other than a partial test or a retest mentioned below) for concurrent testing of all of the bandwidths and frequencies of a device that incorporates dual bandwidth capability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Dual bandwidth—additional frequency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$3,237</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4295 (other than a partial test or a retest mentioned below): in any other case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Standard—first frequency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$3,613</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4295 (other than a partial test or a retest mentioned below): in any other case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Standard—additional frequency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$2,168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Partial test for compliance with AS/NZS 4295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Partial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$2,168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Retest of one aspect of a transmitter for compliance with AS/NZS 4295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of data equipment for compliance with the technical aspects only of AS/NZS 4295</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Spectrum Impact Testing</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$2,746</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4355  (HF CB)</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4355</w:t>
            </w:r>
            <w:r>
              <w:rPr>
                <w:rFonts w:cs="Arial"/>
                <w:b/>
                <w:bCs/>
                <w:sz w:val="16"/>
                <w:szCs w:val="16"/>
              </w:rPr>
              <w:t xml:space="preserve"> </w:t>
            </w:r>
            <w:r>
              <w:rPr>
                <w:rFonts w:cs="Arial"/>
                <w:sz w:val="16"/>
                <w:szCs w:val="16"/>
              </w:rPr>
              <w:t>(other than a test or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$3,295</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transmitter for compliance with AS/NZS 4355</w:t>
            </w:r>
            <w:r>
              <w:rPr>
                <w:rFonts w:cs="Arial"/>
                <w:b/>
                <w:bCs/>
                <w:sz w:val="16"/>
                <w:szCs w:val="16"/>
              </w:rPr>
              <w:t xml:space="preserve"> </w:t>
            </w:r>
            <w:r>
              <w:rPr>
                <w:rFonts w:cs="Arial"/>
                <w:sz w:val="16"/>
                <w:szCs w:val="16"/>
              </w:rPr>
              <w:t>(other than a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$2,967</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of one aspect of a transmitter for compliance with AS/NZS 4355</w:t>
            </w:r>
            <w:r>
              <w:rPr>
                <w:rFonts w:cs="Arial"/>
                <w:b/>
                <w:bCs/>
                <w:sz w:val="16"/>
                <w:szCs w:val="16"/>
              </w:rPr>
              <w:t xml:space="preserve">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receiver for compliance with AS/NZS 4355</w:t>
            </w:r>
            <w:r>
              <w:rPr>
                <w:rFonts w:cs="Arial"/>
                <w:b/>
                <w:bCs/>
                <w:sz w:val="16"/>
                <w:szCs w:val="16"/>
              </w:rPr>
              <w:t xml:space="preserve">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$660</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19</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4365  (UHF CB)</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4365 (other than a partial test or a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$2,933</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transmitter for compliance with AS/NZS 4365 (other than a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$2,876</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of one aspect of a transmitter for compliance with AS/NZS 4365</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receiver for compliance with AS/NZS 4365</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$660</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23</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 4367  (HF ISBS)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 4367</w:t>
            </w:r>
            <w:r>
              <w:rPr>
                <w:rFonts w:cs="Arial"/>
                <w:b/>
                <w:bCs/>
                <w:sz w:val="16"/>
                <w:szCs w:val="16"/>
              </w:rPr>
              <w:t xml:space="preserve"> </w:t>
            </w:r>
            <w:r>
              <w:rPr>
                <w:rFonts w:cs="Arial"/>
                <w:sz w:val="16"/>
                <w:szCs w:val="16"/>
              </w:rPr>
              <w:t>(other than a test or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$3,902</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transmitter for compliance with AS 4367</w:t>
            </w:r>
            <w:r>
              <w:rPr>
                <w:rFonts w:cs="Arial"/>
                <w:b/>
                <w:bCs/>
                <w:sz w:val="16"/>
                <w:szCs w:val="16"/>
              </w:rPr>
              <w:t xml:space="preserve"> </w:t>
            </w:r>
            <w:r>
              <w:rPr>
                <w:rFonts w:cs="Arial"/>
                <w:sz w:val="16"/>
                <w:szCs w:val="16"/>
              </w:rPr>
              <w:t>(other than a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$3,319</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25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receiver for compliance with AS 4367</w:t>
            </w:r>
            <w:r>
              <w:rPr>
                <w:rFonts w:cs="Arial"/>
                <w:b/>
                <w:bCs/>
                <w:sz w:val="16"/>
                <w:szCs w:val="16"/>
              </w:rPr>
              <w:t xml:space="preserve">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$2,538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one aspect of a transmitter for compliance with</w:t>
            </w:r>
            <w:r>
              <w:rPr>
                <w:rFonts w:cs="Arial"/>
                <w:b/>
                <w:bCs/>
                <w:sz w:val="16"/>
                <w:szCs w:val="16"/>
              </w:rPr>
              <w:t xml:space="preserve"> </w:t>
            </w:r>
            <w:r>
              <w:rPr>
                <w:rFonts w:cs="Arial"/>
                <w:sz w:val="16"/>
                <w:szCs w:val="16"/>
              </w:rPr>
              <w:t>AS 4367</w:t>
            </w:r>
            <w:r>
              <w:rPr>
                <w:rFonts w:cs="Arial"/>
                <w:b/>
                <w:bCs/>
                <w:sz w:val="16"/>
                <w:szCs w:val="16"/>
              </w:rPr>
              <w:t xml:space="preserve">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27</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4415.1  (VHF IMM DSC)</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Standard—Full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$5,058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4415.1—no duplex</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Standard—No duplex</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$4,682</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4415.1—transmitter only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$3,699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4415.1—receiver only—no duplex</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Receiver—No duplex</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$3,150</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of one aspect of a transmitter for compliance with AS/NZS 4415.1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32</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4415.2  (VHF IMM NON DSC)</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Standard—Full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$5,448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4415.2—no duplex</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Standard—No Duplex</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$5,159</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4415.2—transmitter only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$3,815</w:t>
            </w:r>
          </w:p>
        </w:tc>
      </w:tr>
      <w:tr w:rsidR="00504BF3" w:rsidTr="00806947">
        <w:trPr>
          <w:cantSplit/>
          <w:trHeight w:val="282"/>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4415.2—receiver only—no duplex</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Receiver—No duplex</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$3,627</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Retest of one aspect of a transmitter for compliance with AS/NZS 4415.2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37</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4582  (MF/HF IMM SSB)</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4582 (other than a partial test or retest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$10,144</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transmitter only for compliance with AS/NZS 4582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$7,225</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receiver only for compliance with AS/NZS 4582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$6,647</w:t>
            </w:r>
          </w:p>
        </w:tc>
      </w:tr>
      <w:tr w:rsidR="00504BF3" w:rsidTr="00806947">
        <w:trPr>
          <w:cantSplit/>
          <w:trHeight w:val="29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one aspect only of a transmitter for compliance with AS/NZS 4582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41</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4583  (VHF AIR)</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a base unit for compliance with AS/NZS 4583</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Base unit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$4,436</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a handheld receiver for compliance with AS/NZS 4583</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Handheld 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$3,699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a transmitter only in a base unit or handheld receiver for compliance with AS/NZS 4583</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 in base unit or handheld 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$2,861</w:t>
            </w:r>
          </w:p>
        </w:tc>
      </w:tr>
      <w:tr w:rsidR="00504BF3" w:rsidTr="00806947">
        <w:trPr>
          <w:cantSplit/>
          <w:trHeight w:val="22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a receiver only in a handheld receiver for compliance with AS/NZS 4583</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 in Handheld Unit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$2,601</w:t>
            </w:r>
          </w:p>
        </w:tc>
      </w:tr>
      <w:tr w:rsidR="00504BF3" w:rsidTr="00806947">
        <w:trPr>
          <w:cantSplit/>
          <w:trHeight w:val="27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a receiver only in a base unit for compliance with AS/NZS 4583</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 in Base Unit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$3,338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one aspect only of a transmitter only in a base unit for compliance with AS/NZS 4583</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47</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4769.1 (FM PAGE)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pocket pager for compliance with AS/NZS 4769.1 where a NATA open air test is required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Pocket Pager (NATA Open air test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$3,092</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pocket pager for compliance with AS/NZS 4769.1 where a NATA open air test is not required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Pocket Pager (NATA Open air test NOT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$1,156</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of a test or retest if a base unit is analogue FM capable and consequently AS 4295 applies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if base unit is analogue FM capable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$809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external antenna socket for compliance with AS/NZS 4769.1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external antenna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$2,543</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of a test or retest if a base unit is analogue FM capable and consequently AS 4295 applies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if base unit is analogue FM capable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$809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external antenna socket and one or two pocket pagers for compliance with AS/NZS 4769.1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external antenna and pocket pager or two</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$3,930</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of a test or retest if a base unit is analogue FM capable and consequently AS 4295 applies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if base unit is analogue FM capable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$809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54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integral antenna socket for compliance with AS/NZS 4769.1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Integral antenna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$3,844</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of a test or retest if a base unit is analogue FM capable and consequently AS 4295 applies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if base unit is analogue FM capable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$809</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integral antenna socket and one or two pocket pagers for compliance with AS/NZS 4769.1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Paging Base with Integral antenna and pocket pager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$3,844</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of a test or retest if a base unit is analogue FM capable and consequently AS 4295 applies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cost if base unit is analogue FM capable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$809</w:t>
            </w:r>
          </w:p>
        </w:tc>
      </w:tr>
      <w:tr w:rsidR="00504BF3" w:rsidTr="00806947">
        <w:trPr>
          <w:cantSplit/>
          <w:trHeight w:val="3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one aspect only of a transmitter for compliance with AS/NZS 4769.1</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59</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4769.2  (AM PAGE)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pocket pager for compliance with AS/NZS 4769.2 where a NATA open air test is required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Pocket Pager (NATA Open air test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$3,092</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pocket pager for compliance with AS/NZS 4769.2 where a NATA open air test is not required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Pocket Pager (NATA Open air test NOT required)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$1,156</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external antenna socket for compliance with AS/NZS 4769.2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external antenna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$2,601</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external antenna socket and one or two pocket pagers for compliance with AS/NZS 4769.2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external antenna and pocket pager or two</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$3,988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integral antenna, requiring field strength measurement, for compliance with AS/NZS 4769.2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Integral antenna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$3,902</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paging base with an integral antenna, requiring field strength measurement, and one or two pocket pagers for compliance with AS/NZS 4769.2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Base with Integral antenna and pocket pager or two</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$3,902</w:t>
            </w:r>
          </w:p>
        </w:tc>
      </w:tr>
      <w:tr w:rsidR="00504BF3" w:rsidTr="00806947">
        <w:trPr>
          <w:cantSplit/>
          <w:trHeight w:val="34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one aspect only of a transmitter for compliance with AS/NZS 4769.2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227"/>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66</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AS/NZS 4770  (MF/HF LMRS SSB)</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for compliance with AS/NZS 4770 (other than a partial test mentioned below)</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Standard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$8,352</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test of a transmitter only for compliance with AS/NZS 4770</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$6,069</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a receiver only for compliance with AS/NZS 4770</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Receiver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$5,404</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69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or retest of one aspect only of a transmitter for compliance with AS/NZS 4770</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One aspect of transmitter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$838</w:t>
            </w:r>
          </w:p>
        </w:tc>
      </w:tr>
      <w:tr w:rsidR="00504BF3" w:rsidTr="00806947">
        <w:trPr>
          <w:cantSplit/>
          <w:trHeight w:val="627"/>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70</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Paper submission</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compliance certificate, or considering the issue of the certificate without proceeding to issue it, if the ACMA has not conducted testing of a sample of the devices included in the class of devices to which the certificate applies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Compliance certificate approval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$145</w:t>
            </w:r>
          </w:p>
        </w:tc>
      </w:tr>
      <w:tr w:rsidR="00504BF3" w:rsidTr="00806947">
        <w:trPr>
          <w:cantSplit/>
          <w:trHeight w:val="50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71</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Any other testing of devices for compliance </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Test for compliance with a standard or other technical specification not mentioned above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Special Hourly Rate A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$289</w:t>
            </w:r>
          </w:p>
        </w:tc>
      </w:tr>
      <w:tr w:rsidR="00504BF3" w:rsidTr="00806947">
        <w:trPr>
          <w:cantSplit/>
          <w:trHeight w:val="69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72</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Assessment and advice on compliance without testing of device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If the ACMA has not conducted testing of a device:(a) advising on compliance of the device with a standard or other technical specification for devices; or (b) the assessment of an application for a compliance certificate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Special Hourly Rate B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$270</w:t>
            </w:r>
          </w:p>
        </w:tc>
      </w:tr>
      <w:tr w:rsidR="00504BF3" w:rsidTr="00806947">
        <w:trPr>
          <w:cantSplit/>
          <w:trHeight w:val="562"/>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73</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Documents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permit for a non</w:t>
            </w:r>
            <w:r>
              <w:rPr>
                <w:rFonts w:cs="Arial"/>
                <w:sz w:val="16"/>
                <w:szCs w:val="16"/>
              </w:rPr>
              <w:noBreakHyphen/>
              <w:t xml:space="preserve">standard transmitter under section 167 of the </w:t>
            </w:r>
            <w:r>
              <w:rPr>
                <w:rFonts w:cs="Arial"/>
                <w:i/>
                <w:sz w:val="16"/>
                <w:szCs w:val="16"/>
              </w:rPr>
              <w:t>Radiocommunications Act 1997</w:t>
            </w:r>
            <w:r>
              <w:rPr>
                <w:rFonts w:cs="Arial"/>
                <w:sz w:val="16"/>
                <w:szCs w:val="16"/>
              </w:rPr>
              <w:t xml:space="preserve"> (unless the permit is issued as part of a compliance testing failure), or considering the issue of the permit without proceeding to issue it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permit for a Non Standard Transmitter (s167)</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$217</w:t>
            </w:r>
          </w:p>
        </w:tc>
      </w:tr>
      <w:tr w:rsidR="00504BF3" w:rsidTr="00806947">
        <w:trPr>
          <w:cantSplit/>
          <w:trHeight w:val="69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Issuing a written permission to a person under section 174 of the </w:t>
            </w:r>
            <w:r>
              <w:rPr>
                <w:rFonts w:cs="Arial"/>
                <w:i/>
                <w:sz w:val="16"/>
                <w:szCs w:val="16"/>
              </w:rPr>
              <w:t xml:space="preserve">Radiocommunications Act 1997 </w:t>
            </w:r>
            <w:r>
              <w:rPr>
                <w:rFonts w:cs="Arial"/>
                <w:sz w:val="16"/>
                <w:szCs w:val="16"/>
              </w:rPr>
              <w:t>to supply non</w:t>
            </w:r>
            <w:r>
              <w:rPr>
                <w:rFonts w:cs="Arial"/>
                <w:sz w:val="16"/>
                <w:szCs w:val="16"/>
              </w:rPr>
              <w:noBreakHyphen/>
              <w:t xml:space="preserve">standard devices, or considering the issue of the permission without proceeding to issue it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permit for a Non Standard Transmitter (s174)</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$217</w:t>
            </w:r>
          </w:p>
        </w:tc>
      </w:tr>
      <w:tr w:rsidR="00504BF3" w:rsidTr="00806947">
        <w:trPr>
          <w:cantSplit/>
          <w:trHeight w:val="46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75</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Examinations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Examination, or reassessing a result in an examination, for the Amateur Operator’s Certificate of Proficiency (Advanced)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or reassessing an result in an examination, for the Amateur Operator's Certificate of Proficiency (Advanced)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$345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76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Examination, or reassessing a result in an examination, for the Amateur Operator’s Certificate of Proficiency (Standard)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or reassessing an result in an examination, for the Amateur Operator's Certificate of Proficiency (Standard)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$345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Examination, or reassessing a result in an examination, for the Amateur Operator’s Certificate of Proficiency (Foundation)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or reassessing an result in an examination, for the Amateur Operator's Certificate of Proficiency (Foundation)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$230</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conducted by the ACMA or, reassessing a result of an examination, for a Marine Radio Operator’s Certificate of Proficiency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Marine Radio Operator exam conducted/reassessed by the ACMA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$296</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79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conducted by the ACMA or, reassessing a result of an examination, for a as a Marine Radio Operator’s VHF Certificate of Proficiency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Marine Radio VHF Operator exam conducted/ reassessed by the ACMA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$197</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Examination conducted by a person other than the ACMA for a Marine Satellite Communications Endorsement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Marine Satellite Communications Endorsement exam conducted by other persons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$197</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Part only of an examination, or reassessing the results of part only of an examination, for the Amateur Operator’s Certificate of Proficiency (Advanced):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or reassessing an result in an examination, for the Amateur Operator's Certificate of Proficiency (Advanced)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regulations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(a) regulations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(b) theory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(b) theory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 practical</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(c) practical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Part only of an examination, or reassessing the results of part only of an examination, for the Amateur Operator’s Certificate of Proficiency (Standard):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or reassessing an result in an examination, for the Amateur Operator's Certificate of Proficiency (Standard)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regulations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(a) regulations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(b) theory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(b) theory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 practical</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(c) practical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Part only of an examination, or reassessing the results of part only of an examination, for the Amateur Operator’s Certificate of Proficiency (Foundation):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Examination, or reassessing an result in an examination, for the Amateur Operator's Certificate of Proficiency (Foundation)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theory/regulations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(a) theory / regulations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27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(b) practical</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    (b) practical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r>
      <w:tr w:rsidR="00504BF3" w:rsidTr="00806947">
        <w:trPr>
          <w:cantSplit/>
          <w:trHeight w:val="99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Satellite filing, coordination and notification </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eastAsiaTheme="minorHAnsi" w:cs="Arial"/>
                <w:sz w:val="16"/>
                <w:szCs w:val="16"/>
                <w:lang w:eastAsia="en-US"/>
              </w:rPr>
            </w:pPr>
            <w:r>
              <w:rPr>
                <w:rFonts w:cs="Arial"/>
                <w:sz w:val="16"/>
              </w:rPr>
              <w:t xml:space="preserve">Assessing an application to the ACMA to file a satellite system with the International Telecommunication Union (ITU), consisting of work done during the period commencing upon receipt by the ACMA of an application to file a satellite system with the ITU and ending when the ACMA or a relevant officer of the ACMA makes a decision on whether or not to accept the application: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sz w:val="16"/>
                <w:szCs w:val="16"/>
              </w:rPr>
            </w:pPr>
            <w:r>
              <w:rPr>
                <w:rFonts w:cs="Arial"/>
                <w:sz w:val="16"/>
                <w:szCs w:val="16"/>
              </w:rPr>
              <w:t>Assessing requests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sz w:val="16"/>
                <w:szCs w:val="16"/>
              </w:rPr>
            </w:pPr>
          </w:p>
        </w:tc>
      </w:tr>
      <w:tr w:rsidR="00504BF3" w:rsidTr="00806947">
        <w:trPr>
          <w:cantSplit/>
          <w:trHeight w:val="534"/>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89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bottom"/>
            <w:hideMark/>
          </w:tcPr>
          <w:p w:rsidR="00504BF3" w:rsidRDefault="00504BF3" w:rsidP="00806947">
            <w:pPr>
              <w:rPr>
                <w:rFonts w:eastAsiaTheme="minorHAnsi" w:cs="Arial"/>
                <w:sz w:val="16"/>
                <w:szCs w:val="22"/>
                <w:lang w:eastAsia="en-US"/>
              </w:rPr>
            </w:pPr>
            <w:r>
              <w:rPr>
                <w:rFonts w:cs="Arial"/>
                <w:sz w:val="16"/>
              </w:rPr>
              <w:t>(a) application – Australia has not previously filed a satellite system with the ITU for the applicant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sz w:val="16"/>
                <w:szCs w:val="16"/>
              </w:rPr>
            </w:pPr>
            <w:r>
              <w:rPr>
                <w:rFonts w:cs="Arial"/>
                <w:sz w:val="16"/>
                <w:szCs w:val="16"/>
              </w:rPr>
              <w:t>Previously not considered by Australia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b/>
                <w:bCs/>
                <w:color w:val="000000"/>
                <w:sz w:val="16"/>
                <w:szCs w:val="16"/>
              </w:rPr>
            </w:pPr>
            <w:r>
              <w:rPr>
                <w:rFonts w:cs="Arial"/>
                <w:b/>
                <w:bCs/>
                <w:color w:val="000000"/>
                <w:sz w:val="16"/>
                <w:szCs w:val="16"/>
              </w:rPr>
              <w:t>$35,070</w:t>
            </w:r>
          </w:p>
        </w:tc>
      </w:tr>
      <w:tr w:rsidR="00504BF3" w:rsidTr="00806947">
        <w:trPr>
          <w:cantSplit/>
          <w:trHeight w:val="344"/>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eastAsiaTheme="minorHAnsi" w:cs="Arial"/>
                <w:sz w:val="16"/>
                <w:szCs w:val="22"/>
                <w:lang w:eastAsia="en-US"/>
              </w:rPr>
            </w:pPr>
            <w:r>
              <w:rPr>
                <w:rFonts w:cs="Arial"/>
                <w:sz w:val="16"/>
              </w:rPr>
              <w:t>(b) application – Australia has previously filed a satellite system with the ITU for the applicant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sz w:val="16"/>
                <w:szCs w:val="16"/>
              </w:rPr>
            </w:pPr>
            <w:r>
              <w:rPr>
                <w:rFonts w:cs="Arial"/>
                <w:sz w:val="16"/>
                <w:szCs w:val="16"/>
              </w:rPr>
              <w:t>Previously considered by Australia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b/>
                <w:bCs/>
                <w:color w:val="000000"/>
                <w:sz w:val="16"/>
                <w:szCs w:val="16"/>
              </w:rPr>
            </w:pPr>
            <w:r>
              <w:rPr>
                <w:rFonts w:cs="Arial"/>
                <w:b/>
                <w:bCs/>
                <w:color w:val="000000"/>
                <w:sz w:val="16"/>
                <w:szCs w:val="16"/>
              </w:rPr>
              <w:t>Hourly rate @ $197</w:t>
            </w:r>
          </w:p>
        </w:tc>
      </w:tr>
      <w:tr w:rsidR="00504BF3" w:rsidTr="00806947">
        <w:trPr>
          <w:cantSplit/>
          <w:trHeight w:val="467"/>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lastRenderedPageBreak/>
              <w:t>91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eastAsiaTheme="minorHAnsi" w:cs="Arial"/>
                <w:sz w:val="16"/>
                <w:szCs w:val="16"/>
                <w:lang w:eastAsia="en-US"/>
              </w:rPr>
            </w:pPr>
            <w:r>
              <w:rPr>
                <w:rFonts w:cs="Arial"/>
                <w:sz w:val="16"/>
              </w:rPr>
              <w:t xml:space="preserve">Support work in relation to a proposed or existing Australian satellite system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504BF3" w:rsidRDefault="00504BF3" w:rsidP="00806947">
            <w:pPr>
              <w:rPr>
                <w:rFonts w:cs="Arial"/>
                <w:sz w:val="16"/>
                <w:szCs w:val="16"/>
              </w:rPr>
            </w:pPr>
            <w:r>
              <w:rPr>
                <w:rFonts w:cs="Arial"/>
                <w:sz w:val="16"/>
                <w:szCs w:val="16"/>
              </w:rPr>
              <w:t>Supporting work</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rPr>
                <w:rFonts w:cs="Arial"/>
                <w:bCs/>
                <w:color w:val="000000"/>
                <w:sz w:val="16"/>
                <w:szCs w:val="16"/>
              </w:rPr>
            </w:pPr>
            <w:r>
              <w:rPr>
                <w:rFonts w:cs="Arial"/>
                <w:bCs/>
                <w:color w:val="000000"/>
                <w:sz w:val="16"/>
                <w:szCs w:val="16"/>
              </w:rPr>
              <w:t>Hourly rate @ $197</w:t>
            </w:r>
          </w:p>
        </w:tc>
      </w:tr>
      <w:tr w:rsidR="00504BF3" w:rsidTr="00806947">
        <w:trPr>
          <w:cantSplit/>
          <w:trHeight w:val="64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92</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Assigned Licence Issue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an aeronautical licence for the operation of an aeronautical assigned system station,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Aeronautical Assigned System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$345</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an aircraft licence for the operation of an aircraft assigned station, and issuing it (if applicable)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Accredited Assigner Assignment Aeronautical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r>
      <w:tr w:rsidR="00504BF3" w:rsidTr="00806947">
        <w:trPr>
          <w:cantSplit/>
          <w:trHeight w:val="761"/>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broadcasting licence for the operation of a narrowband area service transmitter, or considering the issue of the licence without proceeding to issue it—for each frequency assigned, or requested for assignment, for the purpose of transmission: if the frequency operates in the band 70–960 MHz</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Narrowband Area Service (70- 960 MHz)</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$591</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fixed licence for the operation of a point to multipoint station, or considering the issue of the licence without proceeding to issue it, other than a fixed licence mentioned in item 6.7 or 6.8—for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Point to Multipoint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$591</w:t>
            </w:r>
          </w:p>
        </w:tc>
      </w:tr>
      <w:tr w:rsidR="00504BF3" w:rsidTr="00806947">
        <w:trPr>
          <w:cantSplit/>
          <w:trHeight w:val="68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fixed licence for the operation of an unlimited number of point to multipoint stations, or considering the issue of the licence without proceeding to issue it—for each frequency assigned, or requested for assignment, for the purpose of transmission by a point to multipoint station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Point to Multipoint System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$591</w:t>
            </w:r>
          </w:p>
        </w:tc>
      </w:tr>
      <w:tr w:rsidR="00504BF3" w:rsidTr="00806947">
        <w:trPr>
          <w:cantSplit/>
          <w:trHeight w:val="667"/>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fixed licence for the operation of a point to point station,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Point to Point Station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$493</w:t>
            </w:r>
          </w:p>
        </w:tc>
      </w:tr>
      <w:tr w:rsidR="00504BF3" w:rsidTr="00806947">
        <w:trPr>
          <w:cantSplit/>
          <w:trHeight w:val="691"/>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fixed licence for the operation of a 900 MHz studio to transmitter link station,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Studio to Transmitter Link Station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$493</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fixed licence for the operation of a pair of point to point (self-coordinated) stations, and issuing it (if applicable)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Point to Point 58 GHz</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fixed licence for the operation of a pair of point to point stations within the frequency range greater than 5.725 GHz and less than or equal to 5.825 GHz, and issuing it (if applicable)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Point to Point 5.8 GHz</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101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issue of a fixed licence for the operation of a television outside broadcast system, and issuing it (if applicable)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Television Outside Broadcast System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$296</w:t>
            </w:r>
          </w:p>
        </w:tc>
      </w:tr>
      <w:tr w:rsidR="00504BF3" w:rsidTr="00806947">
        <w:trPr>
          <w:cantSplit/>
          <w:trHeight w:val="627"/>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land mobile system service,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Land Mobile System 0–30MHz =&gt;45 min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$591</w:t>
            </w:r>
          </w:p>
        </w:tc>
      </w:tr>
      <w:tr w:rsidR="00504BF3" w:rsidTr="00806947">
        <w:trPr>
          <w:cantSplit/>
          <w:trHeight w:val="651"/>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land mobile system service,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Land Mobile System - &gt;30MHz</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$591</w:t>
            </w:r>
          </w:p>
        </w:tc>
      </w:tr>
      <w:tr w:rsidR="00504BF3" w:rsidTr="00806947">
        <w:trPr>
          <w:cantSplit/>
          <w:trHeight w:val="646"/>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repeater station, or considering the issue of the licence without proceeding to issue it—for each frequency assigned, or requested for assignment, for the purpose of the automatic retransmission of radio signals from a CB station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CBRS Repeater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$345</w:t>
            </w:r>
          </w:p>
        </w:tc>
      </w:tr>
      <w:tr w:rsidR="00504BF3" w:rsidTr="00806947">
        <w:trPr>
          <w:cantSplit/>
          <w:trHeight w:val="1082"/>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an ambulatory station or an ambulatory system, or considering the issue of the licence without proceeding to issue it—for each frequency assigned, or requested for assignment, for the purpose of transmission: (a) if: (i) the licence is for the operation of an ambulatory station; and (ii) in considering the issue of the licence, the ACMA does not perform coordination procedures to minimise interference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Ambulatory Station or System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r>
      <w:tr w:rsidR="00504BF3" w:rsidTr="00806947">
        <w:trPr>
          <w:cantSplit/>
          <w:trHeight w:val="63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an ambulatory station or an ambulatory system, or considering the issue of the licence without proceeding to issue it—for each frequency assigned, or requested for assignment, for the purpose of transmission: (b) in any other case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Ambulatory Station or System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$493</w:t>
            </w:r>
          </w:p>
        </w:tc>
      </w:tr>
      <w:tr w:rsidR="00504BF3" w:rsidTr="00806947">
        <w:trPr>
          <w:cantSplit/>
          <w:trHeight w:val="938"/>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paging system, or considering the issue of the licence without proceeding to issue it—for each frequency assigned, or requested for assignment, for the purpose of transmission: if the paging system operates: (i) at a power level of no more than one watt; or (ii) in an interior paging application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System—Interior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$296</w:t>
            </w:r>
          </w:p>
        </w:tc>
      </w:tr>
      <w:tr w:rsidR="00504BF3" w:rsidTr="00806947">
        <w:trPr>
          <w:cantSplit/>
          <w:trHeight w:val="641"/>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paging system, or considering the issue of the licence without proceeding to issue it—for each frequency assigned, or requested for assignment, for the purpose of transmission: in any other case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Paging System—Exterior</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$345</w:t>
            </w:r>
          </w:p>
        </w:tc>
      </w:tr>
      <w:tr w:rsidR="00504BF3" w:rsidTr="00806947">
        <w:trPr>
          <w:cantSplit/>
          <w:trHeight w:val="6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land mobile licence for the operation of a PABX cordless telephone service,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PABX Cordless Telephone Service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$246</w:t>
            </w:r>
          </w:p>
        </w:tc>
      </w:tr>
      <w:tr w:rsidR="00504BF3" w:rsidTr="00806947">
        <w:trPr>
          <w:cantSplit/>
          <w:trHeight w:val="646"/>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110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a maritime coast licence for the operation of a limited coast assigned system, or considering the issue of the licence without proceeding to issue it—for each frequency assigned, or requested for assignment, for the purpose of transmission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Limited Coast Assigned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$345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Issuing a radiocommunications determination licence, or considering the issue of the licence without proceeding to issue it—for each frequency assigned, or requested for assignment, for the purpose of transmission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Radio determination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$345</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Issuing a provisional international broadcasting certificate under sections 131AE to 131AG of the </w:t>
            </w:r>
            <w:r>
              <w:rPr>
                <w:rFonts w:cs="Arial"/>
                <w:i/>
                <w:sz w:val="16"/>
                <w:szCs w:val="16"/>
              </w:rPr>
              <w:t>Radiocommunications Act 1997</w:t>
            </w:r>
            <w:r>
              <w:rPr>
                <w:rFonts w:cs="Arial"/>
                <w:sz w:val="16"/>
                <w:szCs w:val="16"/>
              </w:rPr>
              <w:t>, or considering the issue of the certificate without proceeding to issue 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Provisional International Broadcasting Certificate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113</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General Licensing Services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Provision of radiofrequency assignment and licensing services, including the issuing of licences, not otherwise specified in this Determination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Radiofrequency assignment and licensing services not otherwise specified</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418"/>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Provision of technical radiofrequency services, other than services provided on a commercial basis as part of the ACMA’s additional functions under section 11 of the ACMA Act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Provision of technical radiofrequency services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46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Placing a field officer on standby to be available for call</w:t>
            </w:r>
            <w:r>
              <w:rPr>
                <w:rFonts w:cs="Arial"/>
                <w:sz w:val="16"/>
                <w:szCs w:val="16"/>
              </w:rPr>
              <w:noBreakHyphen/>
              <w:t>out to provide interference investigation services at a special event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Placing a field officer on standby</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$20</w:t>
            </w:r>
          </w:p>
        </w:tc>
      </w:tr>
      <w:tr w:rsidR="00504BF3" w:rsidTr="00806947">
        <w:trPr>
          <w:cantSplit/>
          <w:trHeight w:val="24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Locating an emergency position indicating radio beacons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EPIRB</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117</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Miscellaneous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Establishment of a credit account, and maintenance of the account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Establishment of, and maintenance of a credit account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$422</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establishment of a credit account without proceeding to establish the account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the establishment of a credit account without proceeding to issue it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$422</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119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Assessing an application for an accreditation of a particular kind</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Assessing an application for accreditation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$476</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120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Provision of a list of the technical details of services within a specified frequency range: (a) within a specified radius of a specified geographic location (also known as an Adjacent Services Listing);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Supply of Adjacent Service Listing</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r>
      <w:tr w:rsidR="00504BF3" w:rsidTr="00806947">
        <w:trPr>
          <w:cantSplit/>
          <w:trHeight w:val="504"/>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Provision of a list of the technical details of services within a specified frequency range: (b) in a specified state or territory (also known as a Frequency Scan Report)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Supply of Frequency Scan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122</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Spectrum Licence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register a new antenna</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registration of new antenna</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r>
      <w:tr w:rsidR="00504BF3" w:rsidTr="00806947">
        <w:trPr>
          <w:cantSplit/>
          <w:trHeight w:val="27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an application to register a new site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Considering the registration of new site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$49</w:t>
            </w:r>
          </w:p>
        </w:tc>
      </w:tr>
      <w:tr w:rsidR="00504BF3" w:rsidTr="00806947">
        <w:trPr>
          <w:cantSplit/>
          <w:trHeight w:val="46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124</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Renewal of PTS Licence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Renewing a PTS licence for the operation of a station in a PMTS Class C or considering the renewal of a licence without proceeding to renew 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Renewals PMTS Class C</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$4</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125</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Data Services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pStyle w:val="TableText"/>
              <w:rPr>
                <w:rFonts w:ascii="Arial" w:eastAsia="Times New Roman" w:hAnsi="Arial" w:cs="Arial"/>
                <w:sz w:val="16"/>
                <w:szCs w:val="16"/>
                <w:lang w:eastAsia="en-US"/>
              </w:rPr>
            </w:pPr>
            <w:r>
              <w:rPr>
                <w:rFonts w:ascii="Arial" w:hAnsi="Arial" w:cs="Arial"/>
                <w:sz w:val="16"/>
                <w:lang w:eastAsia="en-US"/>
              </w:rPr>
              <w:t>Issuing a copy of the Radiocommunications Record of Licences Database on CD-ROM in either comma-delimited .csv format or dBase-compatible .dbf format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CD-ROM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$112</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504BF3" w:rsidRDefault="00504BF3" w:rsidP="00806947">
            <w:pPr>
              <w:pStyle w:val="TableText"/>
              <w:rPr>
                <w:rFonts w:ascii="Arial" w:hAnsi="Arial" w:cs="Arial"/>
                <w:sz w:val="16"/>
                <w:lang w:eastAsia="en-US"/>
              </w:rPr>
            </w:pPr>
            <w:r>
              <w:rPr>
                <w:rFonts w:ascii="Arial" w:hAnsi="Arial" w:cs="Arial"/>
                <w:sz w:val="16"/>
                <w:lang w:eastAsia="en-US"/>
              </w:rPr>
              <w:t>Provision of 12 month Radiocommunications Record of Licences Database Daily Update Subscription Service enabling a user of the Radiocommunications Record of Licences Database on CD-ROM to download files of changes to the data on the CD-ROM on a daily basis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Daily update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$213</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504BF3" w:rsidRDefault="00504BF3" w:rsidP="00806947">
            <w:pPr>
              <w:pStyle w:val="TableText"/>
              <w:rPr>
                <w:rFonts w:ascii="Arial" w:hAnsi="Arial" w:cs="Arial"/>
                <w:sz w:val="16"/>
                <w:lang w:eastAsia="en-US"/>
              </w:rPr>
            </w:pPr>
            <w:r>
              <w:rPr>
                <w:rFonts w:ascii="Arial" w:hAnsi="Arial" w:cs="Arial"/>
                <w:sz w:val="16"/>
                <w:lang w:eastAsia="en-US"/>
              </w:rPr>
              <w:t xml:space="preserve">Provision of 12 months’ supply of: the Radiocommunications Record of Licences Database CD-ROM (1 per month); and the Radiocommunications Record of Licences Database Daily Update Subscription Service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Daily update and CD-ROM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$1,507</w:t>
            </w:r>
          </w:p>
        </w:tc>
      </w:tr>
      <w:tr w:rsidR="00504BF3" w:rsidTr="00806947">
        <w:trPr>
          <w:cantSplit/>
          <w:trHeight w:val="382"/>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504BF3" w:rsidRDefault="00504BF3" w:rsidP="00806947">
            <w:pPr>
              <w:pStyle w:val="TableText"/>
              <w:rPr>
                <w:rFonts w:ascii="Arial" w:hAnsi="Arial" w:cs="Arial"/>
                <w:sz w:val="16"/>
                <w:lang w:eastAsia="en-US"/>
              </w:rPr>
            </w:pPr>
            <w:r>
              <w:rPr>
                <w:rFonts w:ascii="Arial" w:hAnsi="Arial" w:cs="Arial"/>
                <w:sz w:val="16"/>
                <w:lang w:eastAsia="en-US"/>
              </w:rPr>
              <w:t>Issuing a copy of the Spectrum Licensing RadDEM and Datasets on CD-ROM</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Spectrum CD-ROM</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$112</w:t>
            </w:r>
          </w:p>
        </w:tc>
      </w:tr>
      <w:tr w:rsidR="00504BF3" w:rsidTr="00806947">
        <w:trPr>
          <w:cantSplit/>
          <w:trHeight w:val="516"/>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Varying a Licence Condition</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Consideration by the ACMA of an application by a licensee for a notice under section 111 of the </w:t>
            </w:r>
            <w:r>
              <w:rPr>
                <w:rFonts w:cs="Arial"/>
                <w:i/>
                <w:sz w:val="16"/>
                <w:szCs w:val="16"/>
              </w:rPr>
              <w:t>Radiocommunications Act 1997</w:t>
            </w:r>
            <w:r>
              <w:rPr>
                <w:rFonts w:cs="Arial"/>
                <w:sz w:val="16"/>
                <w:szCs w:val="16"/>
              </w:rPr>
              <w:t xml:space="preserve"> to vary a condition of a licence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w:t>
            </w:r>
          </w:p>
        </w:tc>
      </w:tr>
      <w:tr w:rsidR="00504BF3" w:rsidTr="00806947">
        <w:trPr>
          <w:cantSplit/>
          <w:trHeight w:val="496"/>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is an amateur licence for the operation of an amateur beacon or amateur repeater station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Varying a Licence Condition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r>
      <w:tr w:rsidR="00504BF3" w:rsidTr="00806947">
        <w:trPr>
          <w:cantSplit/>
          <w:trHeight w:val="363"/>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Paper-based frequency </w:t>
            </w:r>
            <w:r>
              <w:rPr>
                <w:rFonts w:cs="Arial"/>
                <w:b/>
                <w:bCs/>
                <w:sz w:val="16"/>
                <w:szCs w:val="16"/>
              </w:rPr>
              <w:lastRenderedPageBreak/>
              <w:t>assignment certificate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lastRenderedPageBreak/>
              <w:t>Issuing the licence; or considering the issue of the licence without proceeding to issue 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w:t>
            </w:r>
          </w:p>
        </w:tc>
      </w:tr>
      <w:tr w:rsidR="00504BF3" w:rsidTr="00806947">
        <w:trPr>
          <w:cantSplit/>
          <w:trHeight w:val="1078"/>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130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 a type of assigned licence; and (b) the licence is not of a type mentioned in item 2 or 3 of Table 3 of the</w:t>
            </w:r>
            <w:r>
              <w:rPr>
                <w:rFonts w:cs="Arial"/>
                <w:i/>
                <w:iCs/>
                <w:sz w:val="16"/>
                <w:szCs w:val="16"/>
              </w:rPr>
              <w:t xml:space="preserve"> </w:t>
            </w:r>
            <w:r>
              <w:rPr>
                <w:rFonts w:cs="Arial"/>
                <w:iCs/>
                <w:sz w:val="16"/>
                <w:szCs w:val="16"/>
              </w:rPr>
              <w:t>Radiocommunications (Charges) Amendment Determination 2012</w:t>
            </w:r>
            <w:r>
              <w:rPr>
                <w:rFonts w:cs="Arial"/>
                <w:sz w:val="16"/>
                <w:szCs w:val="16"/>
              </w:rPr>
              <w:t xml:space="preserve"> ; and (c) in considering the issue of the licence, the ACMA does not perform coordination procedures to minimise interference; and (d) for each chargeable spectrum access to which the frequency assignment certificate relates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Paper-based frequency assignment certificate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$148</w:t>
            </w:r>
          </w:p>
        </w:tc>
      </w:tr>
      <w:tr w:rsidR="00504BF3" w:rsidTr="00806947">
        <w:trPr>
          <w:cantSplit/>
          <w:trHeight w:val="49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131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is an amateur licence for the operation of an amateur repeater station or an amateur beacon station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Paper-based frequency assignment certificate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r>
      <w:tr w:rsidR="00504BF3" w:rsidTr="00806947">
        <w:trPr>
          <w:cantSplit/>
          <w:trHeight w:val="32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504BF3" w:rsidRDefault="00504BF3" w:rsidP="00806947">
            <w:pPr>
              <w:spacing w:line="240" w:lineRule="auto"/>
              <w:rPr>
                <w:rFonts w:cs="Arial"/>
                <w:b/>
                <w:bCs/>
                <w:sz w:val="16"/>
                <w:szCs w:val="16"/>
              </w:rPr>
            </w:pP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Web-based frequency assignment certificate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Issuing the licence; or considering the issue of the licence without proceeding to issue 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 </w:t>
            </w:r>
          </w:p>
        </w:tc>
      </w:tr>
      <w:tr w:rsidR="00504BF3" w:rsidTr="00806947">
        <w:trPr>
          <w:cantSplit/>
          <w:trHeight w:val="823"/>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(a) a type of assigned licence; and the licence is not of a type mentioned in item 2 of the </w:t>
            </w:r>
            <w:r>
              <w:rPr>
                <w:rFonts w:cs="Arial"/>
                <w:iCs/>
                <w:sz w:val="16"/>
                <w:szCs w:val="16"/>
              </w:rPr>
              <w:t>Radiocommunications (Charges)Amendment  Determination 2012</w:t>
            </w:r>
            <w:r>
              <w:rPr>
                <w:rFonts w:cs="Arial"/>
                <w:sz w:val="16"/>
                <w:szCs w:val="16"/>
              </w:rPr>
              <w:t>; and (c) in considering the issue of the licence, the ACMA does not perform coordination procedures to minimise interference; and (d) for each chargeable spectrum access to which the frequency assignment certificate relates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Web-based frequency assignment certificate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$99</w:t>
            </w:r>
          </w:p>
        </w:tc>
      </w:tr>
      <w:tr w:rsidR="00504BF3" w:rsidTr="00806947">
        <w:trPr>
          <w:cantSplit/>
          <w:trHeight w:val="36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Licence is an amateur licence for the operation of an amateur repeater station or an amateur beacon station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Cs/>
                <w:sz w:val="16"/>
                <w:szCs w:val="16"/>
              </w:rPr>
            </w:pPr>
            <w:r>
              <w:rPr>
                <w:rFonts w:cs="Arial"/>
                <w:bCs/>
                <w:sz w:val="16"/>
                <w:szCs w:val="16"/>
              </w:rPr>
              <w:t>Web-based frequency assignment certificate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$28</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134</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Digital Radio Multiplex Transmitter Licence</w:t>
            </w:r>
          </w:p>
        </w:tc>
        <w:tc>
          <w:tcPr>
            <w:tcW w:w="7249" w:type="dxa"/>
            <w:tcBorders>
              <w:top w:val="single" w:sz="2" w:space="0" w:color="auto"/>
              <w:left w:val="single" w:sz="2" w:space="0" w:color="auto"/>
              <w:bottom w:val="single" w:sz="2" w:space="0" w:color="auto"/>
              <w:right w:val="single" w:sz="2" w:space="0" w:color="auto"/>
            </w:tcBorders>
            <w:noWrap/>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the applications for the foundation category 1 digital radio multiplex transmitter licences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Category 1 - For paragraph 102C (2) (b) of the </w:t>
            </w:r>
            <w:r>
              <w:rPr>
                <w:rFonts w:cs="Arial"/>
                <w:i/>
                <w:iCs/>
                <w:sz w:val="16"/>
                <w:szCs w:val="16"/>
              </w:rPr>
              <w:t>Radiocommunications Act 1992</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$460</w:t>
            </w:r>
          </w:p>
        </w:tc>
      </w:tr>
      <w:tr w:rsidR="00504BF3" w:rsidTr="00806947">
        <w:trPr>
          <w:cantSplit/>
          <w:trHeight w:val="486"/>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Processing the applications for the foundation category 2 digital radio multiplex transmitter licences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Category 2 - For paragraph 102C (2) (b) of the </w:t>
            </w:r>
            <w:r>
              <w:rPr>
                <w:rFonts w:cs="Arial"/>
                <w:i/>
                <w:iCs/>
                <w:sz w:val="16"/>
                <w:szCs w:val="16"/>
              </w:rPr>
              <w:t>Radiocommunications Act 1992</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$460</w:t>
            </w:r>
          </w:p>
        </w:tc>
      </w:tr>
      <w:tr w:rsidR="00504BF3" w:rsidTr="00806947">
        <w:trPr>
          <w:cantSplit/>
          <w:trHeight w:val="494"/>
        </w:trPr>
        <w:tc>
          <w:tcPr>
            <w:tcW w:w="12940"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sz w:val="24"/>
                <w:szCs w:val="28"/>
              </w:rPr>
              <w:t>Telecommunications fees</w:t>
            </w:r>
          </w:p>
        </w:tc>
      </w:tr>
      <w:tr w:rsidR="00504BF3" w:rsidTr="00806947">
        <w:trPr>
          <w:cantSplit/>
          <w:trHeight w:val="83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136</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Nominated Carrier Declaration Application Charge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Application by a carrier for a nominated carrier declaration under section 77 of the </w:t>
            </w:r>
            <w:r>
              <w:rPr>
                <w:rFonts w:cs="Arial"/>
                <w:i/>
                <w:iCs/>
                <w:sz w:val="16"/>
                <w:szCs w:val="16"/>
              </w:rPr>
              <w:t>Telecommunications Act 1997</w:t>
            </w:r>
            <w:r>
              <w:rPr>
                <w:rFonts w:cs="Arial"/>
                <w:sz w:val="16"/>
                <w:szCs w:val="16"/>
              </w:rPr>
              <w:t>, this section fixes the charge to accompany the application for the expense incurred, or to be incurred, by the ACMA</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by a carrier for a nominated carrier declaration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$2,320 </w:t>
            </w:r>
          </w:p>
        </w:tc>
      </w:tr>
      <w:tr w:rsidR="00504BF3" w:rsidTr="00806947">
        <w:trPr>
          <w:cantSplit/>
          <w:trHeight w:val="418"/>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137</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Connection Permit Charges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made under subsection 390 (1) of the </w:t>
            </w:r>
            <w:r>
              <w:rPr>
                <w:rFonts w:cs="Arial"/>
                <w:i/>
                <w:iCs/>
                <w:sz w:val="16"/>
                <w:szCs w:val="16"/>
              </w:rPr>
              <w:t>Telecommunications Act 1997</w:t>
            </w:r>
            <w:r>
              <w:rPr>
                <w:rFonts w:cs="Arial"/>
                <w:sz w:val="16"/>
                <w:szCs w:val="16"/>
              </w:rPr>
              <w:t xml:space="preserve"> for a connection permit for the connection of customer equipment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For each item of customer equipment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511"/>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made under subsection 390 (2) of the </w:t>
            </w:r>
            <w:r>
              <w:rPr>
                <w:rFonts w:cs="Arial"/>
                <w:i/>
                <w:iCs/>
                <w:sz w:val="16"/>
                <w:szCs w:val="16"/>
              </w:rPr>
              <w:t>Telecommunications Act 1997</w:t>
            </w:r>
            <w:r>
              <w:rPr>
                <w:rFonts w:cs="Arial"/>
                <w:sz w:val="16"/>
                <w:szCs w:val="16"/>
              </w:rPr>
              <w:t xml:space="preserve"> for a connection permit for the connection of customer cabling</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Charge for Connection Permit for Connection of Customer Cabling</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139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 application to an officer of the ACMA acting as a certification body for a written statement under paragraph 408 (5) (a) of the </w:t>
            </w:r>
            <w:r>
              <w:rPr>
                <w:rFonts w:cs="Arial"/>
                <w:i/>
                <w:iCs/>
                <w:sz w:val="16"/>
                <w:szCs w:val="16"/>
              </w:rPr>
              <w:t>Telecommunications Act 1997</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Customer Equipment Certification Charges for each item of customer equip or customer cabling</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140</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Number Allocation Application Charge</w:t>
            </w:r>
          </w:p>
        </w:tc>
        <w:tc>
          <w:tcPr>
            <w:tcW w:w="7249" w:type="dxa"/>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Making an application mentioned in paragraph 457 (1) (a) of the </w:t>
            </w:r>
            <w:r>
              <w:rPr>
                <w:rFonts w:cs="Arial"/>
                <w:i/>
                <w:iCs/>
                <w:sz w:val="16"/>
                <w:szCs w:val="16"/>
              </w:rPr>
              <w:t>Telecommunications Act 1997</w:t>
            </w:r>
            <w:r>
              <w:rPr>
                <w:rFonts w:cs="Arial"/>
                <w:sz w:val="16"/>
                <w:szCs w:val="16"/>
              </w:rPr>
              <w:t xml:space="preserve"> for the allocation of a number otherwise than in accordance with an allocation system determined under section 463 of the </w:t>
            </w:r>
            <w:r>
              <w:rPr>
                <w:rFonts w:cs="Arial"/>
                <w:i/>
                <w:iCs/>
                <w:sz w:val="16"/>
                <w:szCs w:val="16"/>
              </w:rPr>
              <w:t>Telecommunications Act 1997</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Online application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$138 </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Block of sequential numbers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$3 </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Written application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$151 </w:t>
            </w:r>
          </w:p>
        </w:tc>
      </w:tr>
      <w:tr w:rsidR="00504BF3" w:rsidTr="00806947">
        <w:trPr>
          <w:cantSplit/>
          <w:trHeight w:val="27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sz w:val="16"/>
                <w:szCs w:val="16"/>
              </w:rPr>
            </w:pP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Block of sequential numbers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$4 </w:t>
            </w:r>
          </w:p>
        </w:tc>
      </w:tr>
      <w:tr w:rsidR="00504BF3" w:rsidTr="00806947">
        <w:trPr>
          <w:cantSplit/>
          <w:trHeight w:val="25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144</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Facilities Installation Permits</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 to accompany an application for a facility installation permit</w:t>
            </w:r>
          </w:p>
        </w:tc>
        <w:tc>
          <w:tcPr>
            <w:tcW w:w="2268" w:type="dxa"/>
            <w:tcBorders>
              <w:top w:val="single" w:sz="2" w:space="0" w:color="auto"/>
              <w:left w:val="single" w:sz="2" w:space="0" w:color="auto"/>
              <w:bottom w:val="single" w:sz="2" w:space="0" w:color="auto"/>
              <w:right w:val="single" w:sz="2" w:space="0" w:color="auto"/>
            </w:tcBorders>
            <w:noWrap/>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$7,290 </w:t>
            </w:r>
          </w:p>
        </w:tc>
      </w:tr>
      <w:tr w:rsidR="00504BF3" w:rsidTr="00806947">
        <w:trPr>
          <w:cantSplit/>
          <w:trHeight w:val="429"/>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Charge for activities of the ACMA staff in connection with dealing with an application for a facility installation permit that do not relate to the conduct of a public inquiry in relation to the permit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Charge—Charge rate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 payable on account of the expenses to be incurred by the ACMA in relation to the holding of the public inquiry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Public Inquiry Charge—Deposit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$53,190 </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Charges for activities of the ACMA staff in relation to the holding of the public inquiry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Public Inquiry Charge—Charge rate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46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Any other expenses incurred by the ACMA not included in item 1 or 2 in relation to the holding of the public inquiry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Public Inquiry Charge—Other expenses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Actual</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149</w:t>
            </w:r>
          </w:p>
        </w:tc>
        <w:tc>
          <w:tcPr>
            <w:tcW w:w="1398" w:type="dxa"/>
            <w:gridSpan w:val="2"/>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Submarine Protection Zone and Cable Permit</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 payable on account of the expenses to be incurred by the ACMA in relation to an application to declare a protection zone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 for declare a protection zone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$195,000 </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150</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 payable on account of the expenses to be incurred by the ACMA in relation to an application to vary or revoke a protection zone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Deposit for revoke a protection zone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$143,000 </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151</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Charges for the activities of the ACMA staff in relation to an application to declare, vary or revoke a protection zone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ACMA staff charges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152</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External costs incurred by the ACMA in relation to an application to declare, vary or revoke a protection zone including, but not limited to, advertising, venue hire, catering, travel expenses and consultation costs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Other expenses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Actual</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153</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Protection zone installation permit—considering and processing application for permit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Protection zone installation permit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$2,660 </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154</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Protection zone installation permit—considering and processing application to extend duration of permit, including extension of linked non protection zone installation permit (if any)</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to extend duration of permit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$595 </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155</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 protection zone installation permit, other than a linked non protection zone installation permit—considering and processing application for permit, other than for use of external consultants</w:t>
            </w:r>
          </w:p>
        </w:tc>
        <w:tc>
          <w:tcPr>
            <w:tcW w:w="2268" w:type="dxa"/>
            <w:tcBorders>
              <w:top w:val="single" w:sz="2" w:space="0" w:color="auto"/>
              <w:left w:val="single" w:sz="2" w:space="0" w:color="auto"/>
              <w:bottom w:val="single" w:sz="2" w:space="0" w:color="auto"/>
              <w:right w:val="single" w:sz="2" w:space="0" w:color="auto"/>
            </w:tcBorders>
            <w:noWrap/>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Non-protection zone installation permit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$8,176 </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156</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 protection zone installation permit—use of external consultants in considering application for permit (payable whether or not an external consultant is used in considering the application)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Non-protection zone installation permit - use of external consultants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$25,000 </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157</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Non-protection zone installation permit application / linked non-protection zone installation permit application — charge for the purposes of clause 66 of Schedule 3A to the Telecommunications Act, in relation to external costs for the use of external consultants in considering a non-protection zone installation permit application or a linked non-protection zone installation permit application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Other expenses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Actual</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158</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 protection zone installation permit, other than a linked non protection zone installation permit—considering and processing application to extend duration of permit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to extend duration of permit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$595 </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159</w:t>
            </w: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Linked non protection zone installation permit—considering and processing application for permit, other than for use of external consultants</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Protection zone installation permit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$7,388 </w:t>
            </w:r>
          </w:p>
        </w:tc>
      </w:tr>
      <w:tr w:rsidR="00504BF3" w:rsidTr="00806947">
        <w:trPr>
          <w:cantSplit/>
          <w:trHeight w:val="46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160</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Carrier Licence Application Charge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Application for a carrier licence under section 7 of the </w:t>
            </w:r>
            <w:r>
              <w:rPr>
                <w:rFonts w:cs="Arial"/>
                <w:i/>
                <w:iCs/>
                <w:sz w:val="16"/>
                <w:szCs w:val="16"/>
              </w:rPr>
              <w:t xml:space="preserve">Telecommunications (Carrier Licence Charges) Act 1997 </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charge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$2,076 </w:t>
            </w:r>
          </w:p>
        </w:tc>
      </w:tr>
      <w:tr w:rsidR="00504BF3" w:rsidTr="00806947">
        <w:trPr>
          <w:cantSplit/>
          <w:trHeight w:val="46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161</w:t>
            </w:r>
          </w:p>
        </w:tc>
        <w:tc>
          <w:tcPr>
            <w:tcW w:w="1398"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Smartnumber Application Fee</w:t>
            </w:r>
          </w:p>
        </w:tc>
        <w:tc>
          <w:tcPr>
            <w:tcW w:w="724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Fee to be paid in relation to an application for registration under an Allocation Determination</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Smartnumber registration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 xml:space="preserve">$42 </w:t>
            </w:r>
          </w:p>
        </w:tc>
      </w:tr>
      <w:tr w:rsidR="00504BF3" w:rsidTr="00806947">
        <w:trPr>
          <w:cantSplit/>
          <w:trHeight w:val="330"/>
        </w:trPr>
        <w:tc>
          <w:tcPr>
            <w:tcW w:w="12940"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left w:w="108" w:type="dxa"/>
              <w:bottom w:w="0" w:type="dxa"/>
              <w:right w:w="108" w:type="dxa"/>
            </w:tcMar>
            <w:vAlign w:val="center"/>
            <w:hideMark/>
          </w:tcPr>
          <w:p w:rsidR="00504BF3" w:rsidRDefault="00504BF3" w:rsidP="00806947">
            <w:pPr>
              <w:spacing w:line="240" w:lineRule="auto"/>
              <w:rPr>
                <w:rFonts w:cs="Arial"/>
                <w:b/>
                <w:bCs/>
                <w:szCs w:val="20"/>
              </w:rPr>
            </w:pPr>
            <w:r>
              <w:rPr>
                <w:rFonts w:cs="Arial"/>
                <w:b/>
                <w:bCs/>
                <w:sz w:val="24"/>
              </w:rPr>
              <w:t>Broadcasting fees</w:t>
            </w:r>
            <w:r>
              <w:rPr>
                <w:rFonts w:cs="Arial"/>
                <w:b/>
                <w:bCs/>
                <w:szCs w:val="20"/>
              </w:rPr>
              <w:t> </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162</w:t>
            </w:r>
          </w:p>
        </w:tc>
        <w:tc>
          <w:tcPr>
            <w:tcW w:w="1387" w:type="dxa"/>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Broadcasting licences</w:t>
            </w: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 xml:space="preserve">Considering and processing an application under section 121FA of the </w:t>
            </w:r>
            <w:r>
              <w:rPr>
                <w:rFonts w:cs="Arial"/>
                <w:i/>
                <w:iCs/>
                <w:color w:val="000000"/>
                <w:sz w:val="16"/>
                <w:szCs w:val="16"/>
              </w:rPr>
              <w:t>Broadcasting Services Act 1992</w:t>
            </w:r>
            <w:r>
              <w:rPr>
                <w:rFonts w:cs="Arial"/>
                <w:color w:val="000000"/>
                <w:sz w:val="16"/>
                <w:szCs w:val="16"/>
              </w:rPr>
              <w:t xml:space="preserve"> for an international broadcasting licence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Application for International Broadcasting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$3,842</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163</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 xml:space="preserve">Considering and processing an application under clause 7 of Schedule 6 to the </w:t>
            </w:r>
            <w:r>
              <w:rPr>
                <w:rFonts w:cs="Arial"/>
                <w:i/>
                <w:color w:val="000000"/>
                <w:sz w:val="16"/>
                <w:szCs w:val="16"/>
              </w:rPr>
              <w:t>Broadcasting Services Act 1992</w:t>
            </w:r>
            <w:r>
              <w:rPr>
                <w:rFonts w:cs="Arial"/>
                <w:color w:val="000000"/>
                <w:sz w:val="16"/>
                <w:szCs w:val="16"/>
              </w:rPr>
              <w:t xml:space="preserve"> for a datacasting licence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Datacasting Broadcasting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$460</w:t>
            </w:r>
          </w:p>
        </w:tc>
      </w:tr>
      <w:tr w:rsidR="00504BF3" w:rsidTr="00806947">
        <w:trPr>
          <w:cantSplit/>
          <w:trHeight w:val="632"/>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164</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sz w:val="16"/>
                <w:szCs w:val="16"/>
              </w:rPr>
              <w:t xml:space="preserve">Considering and processing an application under section 40 of the </w:t>
            </w:r>
            <w:r>
              <w:rPr>
                <w:rFonts w:cs="Arial"/>
                <w:i/>
                <w:sz w:val="16"/>
                <w:szCs w:val="16"/>
              </w:rPr>
              <w:t>Broadcasting Services Act 1992</w:t>
            </w:r>
            <w:r>
              <w:rPr>
                <w:rFonts w:cs="Arial"/>
                <w:sz w:val="16"/>
                <w:szCs w:val="16"/>
              </w:rPr>
              <w:t xml:space="preserve"> for a non</w:t>
            </w:r>
            <w:r>
              <w:rPr>
                <w:rFonts w:cs="Arial"/>
                <w:sz w:val="16"/>
                <w:szCs w:val="16"/>
              </w:rPr>
              <w:noBreakHyphen/>
              <w:t>broadcasting services bands commercial television broadcasting licence or commercial radio broadcasting licence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Non BSB Commercial Broadcasting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$1,041</w:t>
            </w:r>
          </w:p>
        </w:tc>
      </w:tr>
      <w:tr w:rsidR="00504BF3" w:rsidTr="00806947">
        <w:trPr>
          <w:cantSplit/>
          <w:trHeight w:val="67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165</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Considering and processing an application under section 46 of the</w:t>
            </w:r>
            <w:r>
              <w:rPr>
                <w:rFonts w:cs="Arial"/>
                <w:i/>
                <w:iCs/>
                <w:color w:val="000000"/>
                <w:sz w:val="16"/>
                <w:szCs w:val="16"/>
              </w:rPr>
              <w:t xml:space="preserve"> Broadcasting Services Act 1992</w:t>
            </w:r>
            <w:r>
              <w:rPr>
                <w:rFonts w:cs="Arial"/>
                <w:color w:val="000000"/>
                <w:sz w:val="16"/>
                <w:szCs w:val="16"/>
              </w:rPr>
              <w:t xml:space="preserve"> for renewal of a commercial television broadcasting licence or commercial radio broadcasting licence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Renewal Commercial Broadcasting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$598</w:t>
            </w:r>
          </w:p>
        </w:tc>
      </w:tr>
      <w:tr w:rsidR="00504BF3" w:rsidTr="00806947">
        <w:trPr>
          <w:cantSplit/>
          <w:trHeight w:val="50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166</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 xml:space="preserve">Considering and processing an application under section 96 of the </w:t>
            </w:r>
            <w:r>
              <w:rPr>
                <w:rFonts w:cs="Arial"/>
                <w:i/>
                <w:sz w:val="16"/>
                <w:szCs w:val="16"/>
              </w:rPr>
              <w:t>Broadcasting Services Act 1992</w:t>
            </w:r>
            <w:r>
              <w:rPr>
                <w:rFonts w:cs="Arial"/>
                <w:sz w:val="16"/>
                <w:szCs w:val="16"/>
              </w:rPr>
              <w:t xml:space="preserve"> for a subscription television broadcasting licence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Subscription Broadcasting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$1,287</w:t>
            </w:r>
          </w:p>
        </w:tc>
      </w:tr>
      <w:tr w:rsidR="00504BF3" w:rsidTr="00806947">
        <w:trPr>
          <w:cantSplit/>
          <w:trHeight w:val="597"/>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167</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 xml:space="preserve">Considering and processing an application for a commercial television broadcasting licence or commercial radio broadcasting licence to be allocated using a price based allocation system under subsection 36 (1) of the </w:t>
            </w:r>
            <w:r>
              <w:rPr>
                <w:rFonts w:cs="Arial"/>
                <w:i/>
                <w:iCs/>
                <w:color w:val="000000"/>
                <w:sz w:val="16"/>
                <w:szCs w:val="16"/>
              </w:rPr>
              <w:t>Broadcasting Services Act 1992</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Price-based allocation of Commercial Broadcasting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$4,747</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168</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sz w:val="16"/>
              </w:rPr>
              <w:t>Considering and processing an application made under section 38A or 38B of the Broadcasting Services Act for an additional television licence in a 1 or 2 station market</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Additional Television Licence</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$10,000</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169</w:t>
            </w:r>
          </w:p>
        </w:tc>
        <w:tc>
          <w:tcPr>
            <w:tcW w:w="1387" w:type="dxa"/>
            <w:vMerge w:val="restart"/>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Implementation Plan</w:t>
            </w: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Assessing and approving an implementation plan submitted under subsection 25 (1) of the Commercial Television Conversion Scheme</w:t>
            </w:r>
          </w:p>
        </w:tc>
        <w:tc>
          <w:tcPr>
            <w:tcW w:w="226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Implementation Plan Assessment</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$985</w:t>
            </w:r>
          </w:p>
        </w:tc>
      </w:tr>
      <w:tr w:rsidR="00504BF3" w:rsidTr="00806947">
        <w:trPr>
          <w:cantSplit/>
          <w:trHeight w:val="69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lastRenderedPageBreak/>
              <w:t>170</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Assessing and approving an application to vary an approved implementation plan submitted under subsection 38 (1) of the Commercial Television Conversion Scheme</w:t>
            </w:r>
          </w:p>
        </w:tc>
        <w:tc>
          <w:tcPr>
            <w:tcW w:w="2268" w:type="dxa"/>
            <w:tcBorders>
              <w:top w:val="single" w:sz="2" w:space="0" w:color="auto"/>
              <w:left w:val="single" w:sz="2" w:space="0" w:color="auto"/>
              <w:bottom w:val="single" w:sz="2" w:space="0" w:color="auto"/>
              <w:right w:val="single" w:sz="2" w:space="0" w:color="auto"/>
            </w:tcBorders>
            <w:shd w:val="clear" w:color="auto" w:fill="FFFFFF"/>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Implementation Plan Variation</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color w:val="000000"/>
                <w:sz w:val="16"/>
                <w:szCs w:val="16"/>
              </w:rPr>
            </w:pPr>
            <w:r>
              <w:rPr>
                <w:rFonts w:cs="Arial"/>
                <w:b/>
                <w:bCs/>
                <w:color w:val="000000"/>
                <w:sz w:val="16"/>
                <w:szCs w:val="16"/>
              </w:rPr>
              <w:t>Hourly rate @ $197</w:t>
            </w:r>
          </w:p>
        </w:tc>
      </w:tr>
      <w:tr w:rsidR="00504BF3" w:rsidTr="00806947">
        <w:trPr>
          <w:cantSplit/>
          <w:trHeight w:val="450"/>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171</w:t>
            </w:r>
          </w:p>
        </w:tc>
        <w:tc>
          <w:tcPr>
            <w:tcW w:w="1387" w:type="dxa"/>
            <w:vMerge w:val="restart"/>
            <w:tcBorders>
              <w:top w:val="single" w:sz="2" w:space="0" w:color="auto"/>
              <w:left w:val="single" w:sz="2" w:space="0" w:color="auto"/>
              <w:bottom w:val="single" w:sz="2" w:space="0" w:color="auto"/>
              <w:right w:val="single" w:sz="2" w:space="0" w:color="auto"/>
            </w:tcBorders>
            <w:noWrap/>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Opinions</w:t>
            </w: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 xml:space="preserve">Preparing and giving an opinion on application under section 21 of the </w:t>
            </w:r>
            <w:r>
              <w:rPr>
                <w:rFonts w:cs="Arial"/>
                <w:i/>
                <w:iCs/>
                <w:color w:val="000000"/>
                <w:sz w:val="16"/>
                <w:szCs w:val="16"/>
              </w:rPr>
              <w:t>Broadcasting Services Act 1992</w:t>
            </w:r>
          </w:p>
        </w:tc>
        <w:tc>
          <w:tcPr>
            <w:tcW w:w="2268" w:type="dxa"/>
            <w:tcBorders>
              <w:top w:val="single" w:sz="2" w:space="0" w:color="auto"/>
              <w:left w:val="single" w:sz="2" w:space="0" w:color="auto"/>
              <w:bottom w:val="single" w:sz="2" w:space="0" w:color="auto"/>
              <w:right w:val="single" w:sz="2" w:space="0" w:color="auto"/>
            </w:tcBorders>
            <w:shd w:val="clear" w:color="auto" w:fill="FFFFFF"/>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Opinion on Category of Broadcasting Services</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$14,775</w:t>
            </w:r>
          </w:p>
        </w:tc>
      </w:tr>
      <w:tr w:rsidR="00504BF3" w:rsidTr="00806947">
        <w:trPr>
          <w:cantSplit/>
          <w:trHeight w:val="465"/>
        </w:trPr>
        <w:tc>
          <w:tcPr>
            <w:tcW w:w="608"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172</w:t>
            </w: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504BF3" w:rsidRDefault="00504BF3" w:rsidP="00806947">
            <w:pPr>
              <w:rPr>
                <w:rFonts w:cs="Arial"/>
                <w:b/>
                <w:bCs/>
                <w:sz w:val="16"/>
                <w:szCs w:val="16"/>
              </w:rPr>
            </w:pPr>
          </w:p>
        </w:tc>
        <w:tc>
          <w:tcPr>
            <w:tcW w:w="7260" w:type="dxa"/>
            <w:gridSpan w:val="2"/>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color w:val="000000"/>
                <w:sz w:val="16"/>
                <w:szCs w:val="16"/>
              </w:rPr>
            </w:pPr>
            <w:r>
              <w:rPr>
                <w:rFonts w:cs="Arial"/>
                <w:color w:val="000000"/>
                <w:sz w:val="16"/>
                <w:szCs w:val="16"/>
              </w:rPr>
              <w:t xml:space="preserve">Preparing and giving an opinion on application under section 74 of the </w:t>
            </w:r>
            <w:r>
              <w:rPr>
                <w:rFonts w:cs="Arial"/>
                <w:i/>
                <w:iCs/>
                <w:color w:val="000000"/>
                <w:sz w:val="16"/>
                <w:szCs w:val="16"/>
              </w:rPr>
              <w:t>Broadcasting Services Act 1992</w:t>
            </w:r>
          </w:p>
        </w:tc>
        <w:tc>
          <w:tcPr>
            <w:tcW w:w="2268" w:type="dxa"/>
            <w:tcBorders>
              <w:top w:val="single" w:sz="2" w:space="0" w:color="auto"/>
              <w:left w:val="single" w:sz="2" w:space="0" w:color="auto"/>
              <w:bottom w:val="single" w:sz="2" w:space="0" w:color="auto"/>
              <w:right w:val="single" w:sz="2" w:space="0" w:color="auto"/>
            </w:tcBorders>
            <w:shd w:val="clear" w:color="auto" w:fill="FFFFFF"/>
            <w:tcMar>
              <w:top w:w="57" w:type="dxa"/>
              <w:left w:w="108" w:type="dxa"/>
              <w:bottom w:w="0" w:type="dxa"/>
              <w:right w:w="108" w:type="dxa"/>
            </w:tcMar>
            <w:vAlign w:val="center"/>
            <w:hideMark/>
          </w:tcPr>
          <w:p w:rsidR="00504BF3" w:rsidRDefault="00504BF3" w:rsidP="00806947">
            <w:pPr>
              <w:spacing w:line="240" w:lineRule="auto"/>
              <w:rPr>
                <w:rFonts w:cs="Arial"/>
                <w:sz w:val="16"/>
                <w:szCs w:val="16"/>
              </w:rPr>
            </w:pPr>
            <w:r>
              <w:rPr>
                <w:rFonts w:cs="Arial"/>
                <w:sz w:val="16"/>
                <w:szCs w:val="16"/>
              </w:rPr>
              <w:t>Opinion on Control</w:t>
            </w:r>
          </w:p>
        </w:tc>
        <w:tc>
          <w:tcPr>
            <w:tcW w:w="141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hideMark/>
          </w:tcPr>
          <w:p w:rsidR="00504BF3" w:rsidRDefault="00504BF3" w:rsidP="00806947">
            <w:pPr>
              <w:spacing w:line="240" w:lineRule="auto"/>
              <w:rPr>
                <w:rFonts w:cs="Arial"/>
                <w:b/>
                <w:bCs/>
                <w:sz w:val="16"/>
                <w:szCs w:val="16"/>
              </w:rPr>
            </w:pPr>
            <w:r>
              <w:rPr>
                <w:rFonts w:cs="Arial"/>
                <w:b/>
                <w:bCs/>
                <w:sz w:val="16"/>
                <w:szCs w:val="16"/>
              </w:rPr>
              <w:t>$14,775</w:t>
            </w:r>
          </w:p>
        </w:tc>
      </w:tr>
    </w:tbl>
    <w:p w:rsidR="00504BF3" w:rsidRDefault="00504BF3" w:rsidP="00504BF3">
      <w:pPr>
        <w:spacing w:line="240" w:lineRule="auto"/>
        <w:rPr>
          <w:rFonts w:eastAsiaTheme="minorHAnsi" w:cs="Arial"/>
          <w:sz w:val="22"/>
          <w:szCs w:val="22"/>
          <w:lang w:eastAsia="en-US"/>
        </w:rPr>
      </w:pPr>
    </w:p>
    <w:sectPr w:rsidR="00504BF3" w:rsidSect="00504BF3">
      <w:pgSz w:w="16838" w:h="11906" w:orient="landscape" w:code="9"/>
      <w:pgMar w:top="1134" w:right="1945" w:bottom="1418" w:left="868"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F3" w:rsidRDefault="00504BF3">
      <w:r>
        <w:separator/>
      </w:r>
    </w:p>
  </w:endnote>
  <w:endnote w:type="continuationSeparator" w:id="0">
    <w:p w:rsidR="00504BF3" w:rsidRDefault="005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BD" w:rsidRDefault="00F521B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F3" w:rsidRPr="00622A3B" w:rsidRDefault="00504BF3" w:rsidP="00504BF3">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7B3FAC">
      <w:rPr>
        <w:noProof/>
        <w:color w:val="505050"/>
      </w:rPr>
      <w:t>17</w:t>
    </w:r>
    <w:r w:rsidRPr="00575AC5">
      <w:rPr>
        <w:color w:val="505050"/>
      </w:rPr>
      <w:fldChar w:fldCharType="end"/>
    </w:r>
  </w:p>
  <w:p w:rsidR="00504BF3" w:rsidRDefault="0050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Pr="00A5474E" w:rsidRDefault="00C053A1" w:rsidP="00A5474E">
    <w:pPr>
      <w:pStyle w:val="Footer"/>
    </w:pPr>
    <w:r>
      <w:rPr>
        <w:noProof/>
      </w:rPr>
      <w:drawing>
        <wp:inline distT="0" distB="0" distL="0" distR="0" wp14:anchorId="4E6541CD" wp14:editId="1D9A4352">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BD" w:rsidRDefault="00F521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Default="00C053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Default="00C053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7B3FAC">
      <w:rPr>
        <w:noProof/>
        <w:color w:val="505050"/>
      </w:rPr>
      <w:t>iv</w:t>
    </w:r>
    <w:r w:rsidRPr="002E4DDC">
      <w:rPr>
        <w:color w:val="505050"/>
      </w:rPr>
      <w:fldChar w:fldCharType="end"/>
    </w:r>
  </w:p>
  <w:p w:rsidR="00C053A1" w:rsidRPr="00A5474E" w:rsidRDefault="00C053A1"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rsidR="00C053A1" w:rsidRPr="00A5474E" w:rsidRDefault="00C053A1"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7B3FAC">
      <w:rPr>
        <w:noProof/>
        <w:color w:val="505050"/>
      </w:rPr>
      <w:t>iii</w:t>
    </w:r>
    <w:r w:rsidRPr="002E4DDC">
      <w:rPr>
        <w:color w:val="505050"/>
      </w:rPr>
      <w:fldChar w:fldCharType="end"/>
    </w:r>
  </w:p>
  <w:p w:rsidR="00C053A1" w:rsidRPr="00A5474E" w:rsidRDefault="00C053A1"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F3" w:rsidRPr="00622A3B" w:rsidRDefault="00504BF3" w:rsidP="00504BF3">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7B3FAC">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rsidR="00504BF3" w:rsidRDefault="0050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F3" w:rsidRDefault="00504BF3">
      <w:r>
        <w:separator/>
      </w:r>
    </w:p>
  </w:footnote>
  <w:footnote w:type="continuationSeparator" w:id="0">
    <w:p w:rsidR="00504BF3" w:rsidRDefault="00504BF3">
      <w:r>
        <w:continuationSeparator/>
      </w:r>
    </w:p>
  </w:footnote>
  <w:footnote w:id="1">
    <w:p w:rsidR="00504BF3" w:rsidRDefault="00504BF3" w:rsidP="00504BF3">
      <w:pPr>
        <w:pStyle w:val="FootnoteText"/>
        <w:spacing w:before="120"/>
        <w:rPr>
          <w:rFonts w:cs="Arial"/>
          <w:lang w:val="en-US"/>
        </w:rPr>
      </w:pPr>
      <w:r>
        <w:rPr>
          <w:rStyle w:val="FootnoteReference"/>
          <w:rFonts w:cs="Arial"/>
        </w:rPr>
        <w:footnoteRef/>
      </w:r>
      <w:r>
        <w:rPr>
          <w:rFonts w:cs="Arial"/>
        </w:rPr>
        <w:t xml:space="preserve"> The </w:t>
      </w:r>
      <w:r>
        <w:rPr>
          <w:rFonts w:cs="Arial"/>
          <w:lang w:val="en-US"/>
        </w:rPr>
        <w:t xml:space="preserve">Radiocommunications (Charges) Determination 2007, available at </w:t>
      </w:r>
      <w:hyperlink r:id="rId1" w:history="1">
        <w:r>
          <w:rPr>
            <w:rStyle w:val="Hyperlink"/>
            <w:rFonts w:cs="Arial"/>
            <w:lang w:val="en-US"/>
          </w:rPr>
          <w:t>www.comlaw.gov.au/Details/F2013C00897</w:t>
        </w:r>
      </w:hyperlink>
      <w:r>
        <w:rPr>
          <w:rFonts w:cs="Arial"/>
          <w:lang w:val="en-US"/>
        </w:rPr>
        <w:t>.</w:t>
      </w:r>
    </w:p>
  </w:footnote>
  <w:footnote w:id="2">
    <w:p w:rsidR="00504BF3" w:rsidRDefault="00504BF3" w:rsidP="00504BF3">
      <w:pPr>
        <w:pStyle w:val="FootnoteText"/>
        <w:spacing w:before="120"/>
        <w:rPr>
          <w:rFonts w:cs="Arial"/>
          <w:lang w:val="en-US"/>
        </w:rPr>
      </w:pPr>
      <w:r>
        <w:rPr>
          <w:rStyle w:val="FootnoteReference"/>
          <w:rFonts w:cs="Arial"/>
        </w:rPr>
        <w:footnoteRef/>
      </w:r>
      <w:r>
        <w:rPr>
          <w:rFonts w:cs="Arial"/>
        </w:rPr>
        <w:t xml:space="preserve"> </w:t>
      </w:r>
      <w:r>
        <w:rPr>
          <w:rFonts w:cs="Arial"/>
          <w:color w:val="000000" w:themeColor="text1"/>
          <w:lang w:val="en-US"/>
        </w:rPr>
        <w:t>The issue price is either per licence or per assignment as described in the Radiocommunications (Charges) Determination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BD" w:rsidRDefault="00F5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Pr="00A5474E" w:rsidRDefault="00C053A1" w:rsidP="00A5474E">
    <w:pPr>
      <w:pStyle w:val="Header"/>
    </w:pPr>
    <w:r>
      <w:rPr>
        <w:noProof/>
      </w:rPr>
      <w:drawing>
        <wp:inline distT="0" distB="0" distL="0" distR="0" wp14:anchorId="6C094F0E" wp14:editId="3C2ABB6E">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Pr="00A5474E" w:rsidRDefault="00C053A1"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Default="00C053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A1" w:rsidRDefault="00C053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71914" w:rsidTr="003B0421">
      <w:trPr>
        <w:trHeight w:hRule="exact" w:val="988"/>
      </w:trPr>
      <w:tc>
        <w:tcPr>
          <w:tcW w:w="7678" w:type="dxa"/>
          <w:shd w:val="clear" w:color="auto" w:fill="auto"/>
        </w:tcPr>
        <w:p w:rsidR="00971914" w:rsidRDefault="00971914" w:rsidP="00971914">
          <w:pPr>
            <w:pStyle w:val="Header"/>
          </w:pPr>
        </w:p>
      </w:tc>
    </w:tr>
    <w:tr w:rsidR="00971914" w:rsidTr="003B0421">
      <w:tc>
        <w:tcPr>
          <w:tcW w:w="7678" w:type="dxa"/>
          <w:shd w:val="clear" w:color="auto" w:fill="auto"/>
        </w:tcPr>
        <w:p w:rsidR="00971914" w:rsidRDefault="00971914" w:rsidP="00971914">
          <w:pPr>
            <w:pStyle w:val="GridTable31"/>
          </w:pPr>
          <w:r>
            <w:t xml:space="preserve">Contents </w:t>
          </w:r>
          <w:r w:rsidRPr="00915B1C">
            <w:rPr>
              <w:b w:val="0"/>
              <w:spacing w:val="0"/>
              <w:sz w:val="28"/>
              <w:szCs w:val="28"/>
            </w:rPr>
            <w:t>(Continued)</w:t>
          </w:r>
        </w:p>
      </w:tc>
    </w:tr>
    <w:tr w:rsidR="00971914" w:rsidTr="003B0421">
      <w:trPr>
        <w:trHeight w:val="1220"/>
      </w:trPr>
      <w:tc>
        <w:tcPr>
          <w:tcW w:w="7678" w:type="dxa"/>
          <w:shd w:val="clear" w:color="auto" w:fill="auto"/>
        </w:tcPr>
        <w:p w:rsidR="00971914" w:rsidRDefault="00971914" w:rsidP="00971914"/>
      </w:tc>
    </w:tr>
  </w:tbl>
  <w:p w:rsidR="00971914" w:rsidRDefault="00971914" w:rsidP="009719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71914" w:rsidTr="003B0421">
      <w:trPr>
        <w:trHeight w:hRule="exact" w:val="988"/>
      </w:trPr>
      <w:tc>
        <w:tcPr>
          <w:tcW w:w="7678" w:type="dxa"/>
          <w:shd w:val="clear" w:color="auto" w:fill="auto"/>
        </w:tcPr>
        <w:p w:rsidR="00971914" w:rsidRDefault="00971914" w:rsidP="00971914">
          <w:pPr>
            <w:pStyle w:val="Header"/>
          </w:pPr>
        </w:p>
      </w:tc>
    </w:tr>
    <w:tr w:rsidR="00971914" w:rsidTr="003B0421">
      <w:tc>
        <w:tcPr>
          <w:tcW w:w="7678" w:type="dxa"/>
          <w:shd w:val="clear" w:color="auto" w:fill="auto"/>
        </w:tcPr>
        <w:p w:rsidR="00971914" w:rsidRDefault="00971914" w:rsidP="00971914">
          <w:pPr>
            <w:pStyle w:val="GridTable31"/>
          </w:pPr>
          <w:r>
            <w:t xml:space="preserve">Contents </w:t>
          </w:r>
          <w:r w:rsidRPr="00915B1C">
            <w:rPr>
              <w:b w:val="0"/>
              <w:spacing w:val="0"/>
              <w:sz w:val="28"/>
              <w:szCs w:val="28"/>
            </w:rPr>
            <w:t>(Continued)</w:t>
          </w:r>
        </w:p>
      </w:tc>
    </w:tr>
    <w:tr w:rsidR="00971914" w:rsidTr="003B0421">
      <w:trPr>
        <w:trHeight w:val="1220"/>
      </w:trPr>
      <w:tc>
        <w:tcPr>
          <w:tcW w:w="7678" w:type="dxa"/>
          <w:shd w:val="clear" w:color="auto" w:fill="auto"/>
        </w:tcPr>
        <w:p w:rsidR="00971914" w:rsidRDefault="00971914" w:rsidP="00971914"/>
      </w:tc>
    </w:tr>
  </w:tbl>
  <w:p w:rsidR="00C053A1" w:rsidRPr="00A5474E" w:rsidRDefault="00C053A1"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F3" w:rsidRDefault="00504BF3">
    <w:pPr>
      <w:pStyle w:val="Header"/>
    </w:pPr>
  </w:p>
  <w:p w:rsidR="00504BF3" w:rsidRDefault="00504BF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F3" w:rsidRDefault="00504BF3">
    <w:pPr>
      <w:pStyle w:val="Header"/>
    </w:pPr>
  </w:p>
  <w:p w:rsidR="00504BF3" w:rsidRDefault="00504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65pt;height:43.85pt;visibility:visible;mso-wrap-style:square" o:bullet="t">
        <v:imagedata r:id="rId1" o:title="" croptop="15915f" cropbottom="20445f" cropleft="21717f" cropright="21898f"/>
      </v:shape>
    </w:pict>
  </w:numPicBullet>
  <w:abstractNum w:abstractNumId="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4603D3C"/>
    <w:lvl w:ilvl="0">
      <w:start w:val="1"/>
      <w:numFmt w:val="decimal"/>
      <w:lvlText w:val="%1."/>
      <w:lvlJc w:val="left"/>
      <w:pPr>
        <w:tabs>
          <w:tab w:val="num" w:pos="1492"/>
        </w:tabs>
        <w:ind w:left="1492" w:hanging="360"/>
      </w:pPr>
    </w:lvl>
  </w:abstractNum>
  <w:abstractNum w:abstractNumId="2">
    <w:nsid w:val="FFFFFF7D"/>
    <w:multiLevelType w:val="singleLevel"/>
    <w:tmpl w:val="914A43AE"/>
    <w:lvl w:ilvl="0">
      <w:start w:val="1"/>
      <w:numFmt w:val="decimal"/>
      <w:lvlText w:val="%1."/>
      <w:lvlJc w:val="left"/>
      <w:pPr>
        <w:tabs>
          <w:tab w:val="num" w:pos="1209"/>
        </w:tabs>
        <w:ind w:left="1209" w:hanging="360"/>
      </w:pPr>
    </w:lvl>
  </w:abstractNum>
  <w:abstractNum w:abstractNumId="3">
    <w:nsid w:val="FFFFFF7E"/>
    <w:multiLevelType w:val="singleLevel"/>
    <w:tmpl w:val="E8129480"/>
    <w:lvl w:ilvl="0">
      <w:start w:val="1"/>
      <w:numFmt w:val="decimal"/>
      <w:lvlText w:val="%1."/>
      <w:lvlJc w:val="left"/>
      <w:pPr>
        <w:tabs>
          <w:tab w:val="num" w:pos="926"/>
        </w:tabs>
        <w:ind w:left="926" w:hanging="360"/>
      </w:pPr>
    </w:lvl>
  </w:abstractNum>
  <w:abstractNum w:abstractNumId="4">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0014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121235"/>
    <w:multiLevelType w:val="hybridMultilevel"/>
    <w:tmpl w:val="2C82D962"/>
    <w:lvl w:ilvl="0" w:tplc="324281FA">
      <w:start w:val="1"/>
      <w:numFmt w:val="bullet"/>
      <w:lvlText w:val=""/>
      <w:lvlJc w:val="left"/>
      <w:pPr>
        <w:tabs>
          <w:tab w:val="num" w:pos="1440"/>
        </w:tabs>
        <w:ind w:left="1440" w:hanging="360"/>
      </w:pPr>
      <w:rPr>
        <w:rFonts w:ascii="Symbol" w:hAnsi="Symbol" w:hint="default"/>
      </w:rPr>
    </w:lvl>
    <w:lvl w:ilvl="1" w:tplc="EA64821C">
      <w:start w:val="1"/>
      <w:numFmt w:val="bullet"/>
      <w:lvlText w:val=""/>
      <w:lvlJc w:val="left"/>
      <w:pPr>
        <w:tabs>
          <w:tab w:val="num" w:pos="2160"/>
        </w:tabs>
        <w:ind w:left="2160" w:hanging="360"/>
      </w:pPr>
      <w:rPr>
        <w:rFonts w:ascii="Symbol" w:hAnsi="Symbol" w:cs="Symbol" w:hint="default"/>
        <w:color w:val="auto"/>
        <w:sz w:val="22"/>
        <w:szCs w:val="22"/>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7">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0"/>
  </w:num>
  <w:num w:numId="12">
    <w:abstractNumId w:val="22"/>
  </w:num>
  <w:num w:numId="13">
    <w:abstractNumId w:val="27"/>
  </w:num>
  <w:num w:numId="14">
    <w:abstractNumId w:val="18"/>
  </w:num>
  <w:num w:numId="15">
    <w:abstractNumId w:val="20"/>
  </w:num>
  <w:num w:numId="16">
    <w:abstractNumId w:val="46"/>
  </w:num>
  <w:num w:numId="17">
    <w:abstractNumId w:val="42"/>
  </w:num>
  <w:num w:numId="18">
    <w:abstractNumId w:val="30"/>
  </w:num>
  <w:num w:numId="19">
    <w:abstractNumId w:val="12"/>
  </w:num>
  <w:num w:numId="20">
    <w:abstractNumId w:val="0"/>
  </w:num>
  <w:num w:numId="21">
    <w:abstractNumId w:val="14"/>
  </w:num>
  <w:num w:numId="22">
    <w:abstractNumId w:val="24"/>
  </w:num>
  <w:num w:numId="23">
    <w:abstractNumId w:val="21"/>
  </w:num>
  <w:num w:numId="24">
    <w:abstractNumId w:val="35"/>
  </w:num>
  <w:num w:numId="25">
    <w:abstractNumId w:val="44"/>
  </w:num>
  <w:num w:numId="26">
    <w:abstractNumId w:val="29"/>
  </w:num>
  <w:num w:numId="27">
    <w:abstractNumId w:val="31"/>
  </w:num>
  <w:num w:numId="28">
    <w:abstractNumId w:val="28"/>
  </w:num>
  <w:num w:numId="29">
    <w:abstractNumId w:val="19"/>
  </w:num>
  <w:num w:numId="30">
    <w:abstractNumId w:val="23"/>
  </w:num>
  <w:num w:numId="31">
    <w:abstractNumId w:val="32"/>
  </w:num>
  <w:num w:numId="32">
    <w:abstractNumId w:val="45"/>
  </w:num>
  <w:num w:numId="33">
    <w:abstractNumId w:val="25"/>
  </w:num>
  <w:num w:numId="34">
    <w:abstractNumId w:val="38"/>
  </w:num>
  <w:num w:numId="35">
    <w:abstractNumId w:val="17"/>
  </w:num>
  <w:num w:numId="36">
    <w:abstractNumId w:val="13"/>
  </w:num>
  <w:num w:numId="37">
    <w:abstractNumId w:val="15"/>
  </w:num>
  <w:num w:numId="38">
    <w:abstractNumId w:val="39"/>
  </w:num>
  <w:num w:numId="39">
    <w:abstractNumId w:val="26"/>
  </w:num>
  <w:num w:numId="40">
    <w:abstractNumId w:val="34"/>
  </w:num>
  <w:num w:numId="41">
    <w:abstractNumId w:val="41"/>
  </w:num>
  <w:num w:numId="42">
    <w:abstractNumId w:val="43"/>
  </w:num>
  <w:num w:numId="43">
    <w:abstractNumId w:val="37"/>
  </w:num>
  <w:num w:numId="44">
    <w:abstractNumId w:val="16"/>
  </w:num>
  <w:num w:numId="45">
    <w:abstractNumId w:val="11"/>
  </w:num>
  <w:num w:numId="46">
    <w:abstractNumId w:val="33"/>
  </w:num>
  <w:num w:numId="4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10667"/>
    <w:rsid w:val="000129D5"/>
    <w:rsid w:val="00015AE7"/>
    <w:rsid w:val="00016E21"/>
    <w:rsid w:val="0001719C"/>
    <w:rsid w:val="00026F91"/>
    <w:rsid w:val="0005011A"/>
    <w:rsid w:val="0005045A"/>
    <w:rsid w:val="00051C1E"/>
    <w:rsid w:val="000539F9"/>
    <w:rsid w:val="00054C27"/>
    <w:rsid w:val="00055EC3"/>
    <w:rsid w:val="000563CE"/>
    <w:rsid w:val="000659B6"/>
    <w:rsid w:val="0006722A"/>
    <w:rsid w:val="000732CF"/>
    <w:rsid w:val="00075B96"/>
    <w:rsid w:val="0008196A"/>
    <w:rsid w:val="000915ED"/>
    <w:rsid w:val="0009209D"/>
    <w:rsid w:val="000969BD"/>
    <w:rsid w:val="000969BF"/>
    <w:rsid w:val="000A0C22"/>
    <w:rsid w:val="000A3C43"/>
    <w:rsid w:val="000A4A51"/>
    <w:rsid w:val="000A5D2B"/>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614F"/>
    <w:rsid w:val="001577C2"/>
    <w:rsid w:val="001633C4"/>
    <w:rsid w:val="00171591"/>
    <w:rsid w:val="00173981"/>
    <w:rsid w:val="0017719D"/>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7558"/>
    <w:rsid w:val="00205B57"/>
    <w:rsid w:val="002157E0"/>
    <w:rsid w:val="00216A57"/>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165E6"/>
    <w:rsid w:val="003221CF"/>
    <w:rsid w:val="003233ED"/>
    <w:rsid w:val="00324D9F"/>
    <w:rsid w:val="00327948"/>
    <w:rsid w:val="0033000F"/>
    <w:rsid w:val="00332011"/>
    <w:rsid w:val="00332518"/>
    <w:rsid w:val="00332925"/>
    <w:rsid w:val="003332ED"/>
    <w:rsid w:val="003368DC"/>
    <w:rsid w:val="00345927"/>
    <w:rsid w:val="00350584"/>
    <w:rsid w:val="00351857"/>
    <w:rsid w:val="003610E1"/>
    <w:rsid w:val="003671BE"/>
    <w:rsid w:val="00372485"/>
    <w:rsid w:val="00373200"/>
    <w:rsid w:val="00375EF5"/>
    <w:rsid w:val="003767A5"/>
    <w:rsid w:val="00385254"/>
    <w:rsid w:val="003A5F5B"/>
    <w:rsid w:val="003A789A"/>
    <w:rsid w:val="003B12E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718CC"/>
    <w:rsid w:val="00481695"/>
    <w:rsid w:val="00495A96"/>
    <w:rsid w:val="00495BB3"/>
    <w:rsid w:val="004A56BB"/>
    <w:rsid w:val="004B1751"/>
    <w:rsid w:val="004C0253"/>
    <w:rsid w:val="004D56FF"/>
    <w:rsid w:val="004E39D3"/>
    <w:rsid w:val="004E508A"/>
    <w:rsid w:val="004E616D"/>
    <w:rsid w:val="004F1BDE"/>
    <w:rsid w:val="004F2CEE"/>
    <w:rsid w:val="004F556E"/>
    <w:rsid w:val="004F7F44"/>
    <w:rsid w:val="005037B4"/>
    <w:rsid w:val="00504BF3"/>
    <w:rsid w:val="005079BF"/>
    <w:rsid w:val="005219E7"/>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7F3"/>
    <w:rsid w:val="005D49BF"/>
    <w:rsid w:val="005D6F4E"/>
    <w:rsid w:val="005E3ACD"/>
    <w:rsid w:val="005E7226"/>
    <w:rsid w:val="005E7A57"/>
    <w:rsid w:val="005F24B0"/>
    <w:rsid w:val="00604315"/>
    <w:rsid w:val="00604E26"/>
    <w:rsid w:val="006052CF"/>
    <w:rsid w:val="00607B8D"/>
    <w:rsid w:val="00611F5C"/>
    <w:rsid w:val="00616E09"/>
    <w:rsid w:val="00622A3B"/>
    <w:rsid w:val="00622EEA"/>
    <w:rsid w:val="0062396C"/>
    <w:rsid w:val="00623FF9"/>
    <w:rsid w:val="00627D4E"/>
    <w:rsid w:val="00634478"/>
    <w:rsid w:val="00644373"/>
    <w:rsid w:val="00645915"/>
    <w:rsid w:val="006519C3"/>
    <w:rsid w:val="00652B30"/>
    <w:rsid w:val="00656345"/>
    <w:rsid w:val="00656DC6"/>
    <w:rsid w:val="00664110"/>
    <w:rsid w:val="00664D17"/>
    <w:rsid w:val="00666520"/>
    <w:rsid w:val="00667C5B"/>
    <w:rsid w:val="00692CDE"/>
    <w:rsid w:val="00693073"/>
    <w:rsid w:val="006977FF"/>
    <w:rsid w:val="006A01FA"/>
    <w:rsid w:val="006A0E9E"/>
    <w:rsid w:val="006A25C7"/>
    <w:rsid w:val="006A4AAD"/>
    <w:rsid w:val="006A6DA2"/>
    <w:rsid w:val="006A7AB2"/>
    <w:rsid w:val="006B5717"/>
    <w:rsid w:val="006B582F"/>
    <w:rsid w:val="006C0CEB"/>
    <w:rsid w:val="006C3B1E"/>
    <w:rsid w:val="006C47FD"/>
    <w:rsid w:val="006C70A0"/>
    <w:rsid w:val="006D27CB"/>
    <w:rsid w:val="006D2F08"/>
    <w:rsid w:val="006D576C"/>
    <w:rsid w:val="006D5865"/>
    <w:rsid w:val="006E4B1B"/>
    <w:rsid w:val="006E5445"/>
    <w:rsid w:val="006E7D93"/>
    <w:rsid w:val="007029A3"/>
    <w:rsid w:val="00706E4E"/>
    <w:rsid w:val="0070791C"/>
    <w:rsid w:val="0071383C"/>
    <w:rsid w:val="007141A7"/>
    <w:rsid w:val="00721032"/>
    <w:rsid w:val="00721B55"/>
    <w:rsid w:val="00726CE4"/>
    <w:rsid w:val="00734143"/>
    <w:rsid w:val="00737E47"/>
    <w:rsid w:val="00740EAC"/>
    <w:rsid w:val="00744956"/>
    <w:rsid w:val="00745A5C"/>
    <w:rsid w:val="0074605F"/>
    <w:rsid w:val="00747E94"/>
    <w:rsid w:val="00766749"/>
    <w:rsid w:val="00767C1B"/>
    <w:rsid w:val="007714A9"/>
    <w:rsid w:val="00774F88"/>
    <w:rsid w:val="00774FDB"/>
    <w:rsid w:val="00777BA2"/>
    <w:rsid w:val="00781408"/>
    <w:rsid w:val="00784F7F"/>
    <w:rsid w:val="00796F25"/>
    <w:rsid w:val="007A2E98"/>
    <w:rsid w:val="007A3BA3"/>
    <w:rsid w:val="007A6CC0"/>
    <w:rsid w:val="007A7FEC"/>
    <w:rsid w:val="007B1499"/>
    <w:rsid w:val="007B1BBF"/>
    <w:rsid w:val="007B2960"/>
    <w:rsid w:val="007B355D"/>
    <w:rsid w:val="007B3FAC"/>
    <w:rsid w:val="007B7980"/>
    <w:rsid w:val="007C5D5A"/>
    <w:rsid w:val="007C607F"/>
    <w:rsid w:val="007C79DD"/>
    <w:rsid w:val="007D1A97"/>
    <w:rsid w:val="007D2CD6"/>
    <w:rsid w:val="007D3063"/>
    <w:rsid w:val="007D3CEB"/>
    <w:rsid w:val="007E7683"/>
    <w:rsid w:val="007F49FA"/>
    <w:rsid w:val="007F54C4"/>
    <w:rsid w:val="007F6E9A"/>
    <w:rsid w:val="008044D4"/>
    <w:rsid w:val="00810AB4"/>
    <w:rsid w:val="00817B56"/>
    <w:rsid w:val="00821A88"/>
    <w:rsid w:val="0082495D"/>
    <w:rsid w:val="00831AC3"/>
    <w:rsid w:val="008408FF"/>
    <w:rsid w:val="00851F3F"/>
    <w:rsid w:val="00856EDC"/>
    <w:rsid w:val="008623B5"/>
    <w:rsid w:val="00870ABA"/>
    <w:rsid w:val="008710E1"/>
    <w:rsid w:val="008716E5"/>
    <w:rsid w:val="00881CA9"/>
    <w:rsid w:val="00883628"/>
    <w:rsid w:val="00885544"/>
    <w:rsid w:val="0088634E"/>
    <w:rsid w:val="00893AB8"/>
    <w:rsid w:val="008A04C8"/>
    <w:rsid w:val="008A6913"/>
    <w:rsid w:val="008B70F3"/>
    <w:rsid w:val="008B76DF"/>
    <w:rsid w:val="008C10F4"/>
    <w:rsid w:val="008C65F7"/>
    <w:rsid w:val="008E4767"/>
    <w:rsid w:val="008E7A8C"/>
    <w:rsid w:val="00903285"/>
    <w:rsid w:val="00906F40"/>
    <w:rsid w:val="0090731E"/>
    <w:rsid w:val="00915B1C"/>
    <w:rsid w:val="009174F3"/>
    <w:rsid w:val="0091797D"/>
    <w:rsid w:val="00923CBA"/>
    <w:rsid w:val="00926703"/>
    <w:rsid w:val="00927691"/>
    <w:rsid w:val="00927A5F"/>
    <w:rsid w:val="00935B63"/>
    <w:rsid w:val="0094078F"/>
    <w:rsid w:val="00940FA3"/>
    <w:rsid w:val="00941FB0"/>
    <w:rsid w:val="009426D4"/>
    <w:rsid w:val="00947F25"/>
    <w:rsid w:val="00950159"/>
    <w:rsid w:val="0095490B"/>
    <w:rsid w:val="00971914"/>
    <w:rsid w:val="00974363"/>
    <w:rsid w:val="00981898"/>
    <w:rsid w:val="0099577C"/>
    <w:rsid w:val="009B4E9E"/>
    <w:rsid w:val="009C1690"/>
    <w:rsid w:val="009C6881"/>
    <w:rsid w:val="009C7759"/>
    <w:rsid w:val="009D043D"/>
    <w:rsid w:val="009D6C71"/>
    <w:rsid w:val="009E0631"/>
    <w:rsid w:val="009E16D0"/>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70ADF"/>
    <w:rsid w:val="00A71466"/>
    <w:rsid w:val="00A74B5E"/>
    <w:rsid w:val="00A81BED"/>
    <w:rsid w:val="00A81EC4"/>
    <w:rsid w:val="00A967FD"/>
    <w:rsid w:val="00AB156C"/>
    <w:rsid w:val="00AB6814"/>
    <w:rsid w:val="00AC04BA"/>
    <w:rsid w:val="00AC0E39"/>
    <w:rsid w:val="00AD3082"/>
    <w:rsid w:val="00AD4AD0"/>
    <w:rsid w:val="00AD5436"/>
    <w:rsid w:val="00AD60CD"/>
    <w:rsid w:val="00AD6C8C"/>
    <w:rsid w:val="00AE091D"/>
    <w:rsid w:val="00AE3B60"/>
    <w:rsid w:val="00AE53A1"/>
    <w:rsid w:val="00AF2484"/>
    <w:rsid w:val="00AF63E7"/>
    <w:rsid w:val="00B0165D"/>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1F03"/>
    <w:rsid w:val="00B626E4"/>
    <w:rsid w:val="00B72F4A"/>
    <w:rsid w:val="00B83C27"/>
    <w:rsid w:val="00B84BC3"/>
    <w:rsid w:val="00B84BDD"/>
    <w:rsid w:val="00B92812"/>
    <w:rsid w:val="00BB45A1"/>
    <w:rsid w:val="00BB7686"/>
    <w:rsid w:val="00BC23F9"/>
    <w:rsid w:val="00BC3421"/>
    <w:rsid w:val="00BC732C"/>
    <w:rsid w:val="00BE2580"/>
    <w:rsid w:val="00BE266D"/>
    <w:rsid w:val="00BE3938"/>
    <w:rsid w:val="00BE4C11"/>
    <w:rsid w:val="00BE71C0"/>
    <w:rsid w:val="00BF610C"/>
    <w:rsid w:val="00C0060B"/>
    <w:rsid w:val="00C0277D"/>
    <w:rsid w:val="00C053A1"/>
    <w:rsid w:val="00C16198"/>
    <w:rsid w:val="00C2083D"/>
    <w:rsid w:val="00C24A53"/>
    <w:rsid w:val="00C4032F"/>
    <w:rsid w:val="00C44047"/>
    <w:rsid w:val="00C45155"/>
    <w:rsid w:val="00C5498F"/>
    <w:rsid w:val="00C55235"/>
    <w:rsid w:val="00C64CD0"/>
    <w:rsid w:val="00C6684F"/>
    <w:rsid w:val="00C70E70"/>
    <w:rsid w:val="00C75F8D"/>
    <w:rsid w:val="00C77380"/>
    <w:rsid w:val="00C97736"/>
    <w:rsid w:val="00CA345A"/>
    <w:rsid w:val="00CB1E82"/>
    <w:rsid w:val="00CB4BA8"/>
    <w:rsid w:val="00CB52D7"/>
    <w:rsid w:val="00CC6732"/>
    <w:rsid w:val="00CE3C96"/>
    <w:rsid w:val="00CE51A8"/>
    <w:rsid w:val="00CF369B"/>
    <w:rsid w:val="00D00E28"/>
    <w:rsid w:val="00D0269E"/>
    <w:rsid w:val="00D15810"/>
    <w:rsid w:val="00D16D4E"/>
    <w:rsid w:val="00D16FE3"/>
    <w:rsid w:val="00D27F41"/>
    <w:rsid w:val="00D36441"/>
    <w:rsid w:val="00D4064E"/>
    <w:rsid w:val="00D44E9B"/>
    <w:rsid w:val="00D47AEB"/>
    <w:rsid w:val="00D50DB9"/>
    <w:rsid w:val="00D52C43"/>
    <w:rsid w:val="00D6507F"/>
    <w:rsid w:val="00D730BC"/>
    <w:rsid w:val="00D73912"/>
    <w:rsid w:val="00D85226"/>
    <w:rsid w:val="00D87B94"/>
    <w:rsid w:val="00D92D49"/>
    <w:rsid w:val="00D92EC1"/>
    <w:rsid w:val="00D96DEA"/>
    <w:rsid w:val="00DA4E41"/>
    <w:rsid w:val="00DB117A"/>
    <w:rsid w:val="00DB5173"/>
    <w:rsid w:val="00DB7873"/>
    <w:rsid w:val="00DC187B"/>
    <w:rsid w:val="00DD73C2"/>
    <w:rsid w:val="00DE319B"/>
    <w:rsid w:val="00DF34FE"/>
    <w:rsid w:val="00DF56AA"/>
    <w:rsid w:val="00DF78E7"/>
    <w:rsid w:val="00E110E0"/>
    <w:rsid w:val="00E15371"/>
    <w:rsid w:val="00E24104"/>
    <w:rsid w:val="00E302D0"/>
    <w:rsid w:val="00E35707"/>
    <w:rsid w:val="00E36AA1"/>
    <w:rsid w:val="00E41ECB"/>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5CD7"/>
    <w:rsid w:val="00EE5FB3"/>
    <w:rsid w:val="00EE7F79"/>
    <w:rsid w:val="00EF715A"/>
    <w:rsid w:val="00F06E14"/>
    <w:rsid w:val="00F179D4"/>
    <w:rsid w:val="00F33C56"/>
    <w:rsid w:val="00F347C7"/>
    <w:rsid w:val="00F34848"/>
    <w:rsid w:val="00F42D46"/>
    <w:rsid w:val="00F4496C"/>
    <w:rsid w:val="00F44F3A"/>
    <w:rsid w:val="00F51F10"/>
    <w:rsid w:val="00F521BD"/>
    <w:rsid w:val="00F529A5"/>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uiPriority w:val="99"/>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uiPriority w:val="99"/>
    <w:semiHidden/>
    <w:rsid w:val="00971914"/>
    <w:rPr>
      <w:rFonts w:ascii="Arial" w:hAnsi="Arial"/>
      <w:sz w:val="16"/>
    </w:rPr>
  </w:style>
  <w:style w:type="paragraph" w:customStyle="1" w:styleId="ReportTitle">
    <w:name w:val="Report Title"/>
    <w:basedOn w:val="Normal"/>
    <w:rsid w:val="00504BF3"/>
    <w:pPr>
      <w:spacing w:after="0" w:line="560" w:lineRule="exact"/>
    </w:pPr>
    <w:rPr>
      <w:b/>
      <w:color w:val="4D4D4F"/>
      <w:spacing w:val="-28"/>
      <w:sz w:val="53"/>
    </w:rPr>
  </w:style>
  <w:style w:type="paragraph" w:customStyle="1" w:styleId="ReportSubtitle">
    <w:name w:val="Report Sub title"/>
    <w:basedOn w:val="Normal"/>
    <w:rsid w:val="00504BF3"/>
    <w:pPr>
      <w:spacing w:after="0" w:line="560" w:lineRule="exact"/>
    </w:pPr>
    <w:rPr>
      <w:color w:val="808285"/>
      <w:spacing w:val="-28"/>
      <w:sz w:val="53"/>
    </w:rPr>
  </w:style>
  <w:style w:type="paragraph" w:customStyle="1" w:styleId="ReportDate">
    <w:name w:val="Report Date"/>
    <w:basedOn w:val="ReportSubtitle"/>
    <w:rsid w:val="00504BF3"/>
    <w:pPr>
      <w:spacing w:line="240" w:lineRule="auto"/>
    </w:pPr>
    <w:rPr>
      <w:caps/>
      <w:spacing w:val="-10"/>
      <w:sz w:val="20"/>
    </w:rPr>
  </w:style>
  <w:style w:type="paragraph" w:customStyle="1" w:styleId="Bodysubheader0">
    <w:name w:val="Body sub header"/>
    <w:basedOn w:val="Normal"/>
    <w:next w:val="Normal"/>
    <w:rsid w:val="00504BF3"/>
    <w:pPr>
      <w:spacing w:after="0"/>
    </w:pPr>
    <w:rPr>
      <w:b/>
      <w:i/>
    </w:rPr>
  </w:style>
  <w:style w:type="paragraph" w:customStyle="1" w:styleId="ExecSummaryHeading">
    <w:name w:val="Exec Summary Heading"/>
    <w:basedOn w:val="Normal"/>
    <w:rsid w:val="00504BF3"/>
    <w:pPr>
      <w:spacing w:after="1440" w:line="550" w:lineRule="exact"/>
    </w:pPr>
    <w:rPr>
      <w:b/>
      <w:color w:val="4D4D4F"/>
      <w:spacing w:val="-18"/>
      <w:sz w:val="53"/>
    </w:rPr>
  </w:style>
  <w:style w:type="paragraph" w:styleId="TOC9">
    <w:name w:val="toc 9"/>
    <w:aliases w:val="TOC ExecSumm"/>
    <w:basedOn w:val="Normal"/>
    <w:next w:val="Normal"/>
    <w:uiPriority w:val="39"/>
    <w:rsid w:val="00504BF3"/>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504BF3"/>
    <w:pPr>
      <w:spacing w:after="0" w:line="560" w:lineRule="exact"/>
    </w:pPr>
    <w:rPr>
      <w:color w:val="808285"/>
      <w:spacing w:val="-28"/>
      <w:sz w:val="53"/>
    </w:rPr>
  </w:style>
  <w:style w:type="character" w:customStyle="1" w:styleId="apple-style-span">
    <w:name w:val="apple-style-span"/>
    <w:basedOn w:val="DefaultParagraphFont"/>
    <w:rsid w:val="00504BF3"/>
  </w:style>
  <w:style w:type="paragraph" w:customStyle="1" w:styleId="ACMABodyText">
    <w:name w:val="ACMA Body Text"/>
    <w:link w:val="ACMABodyTextChar"/>
    <w:rsid w:val="00504BF3"/>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locked/>
    <w:rsid w:val="00504BF3"/>
    <w:rPr>
      <w:snapToGrid w:val="0"/>
      <w:szCs w:val="20"/>
      <w:lang w:eastAsia="en-US"/>
    </w:rPr>
  </w:style>
  <w:style w:type="table" w:customStyle="1" w:styleId="TableGrid2">
    <w:name w:val="Table Grid2"/>
    <w:basedOn w:val="TableNormal"/>
    <w:next w:val="TableGrid"/>
    <w:uiPriority w:val="59"/>
    <w:rsid w:val="00504BF3"/>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504BF3"/>
    <w:rPr>
      <w:rFonts w:ascii="Arial" w:hAnsi="Arial"/>
      <w:sz w:val="16"/>
      <w:szCs w:val="16"/>
    </w:rPr>
  </w:style>
  <w:style w:type="paragraph" w:styleId="Revision">
    <w:name w:val="Revision"/>
    <w:uiPriority w:val="99"/>
    <w:semiHidden/>
    <w:rsid w:val="00504BF3"/>
    <w:rPr>
      <w:rFonts w:asciiTheme="minorHAnsi" w:eastAsiaTheme="minorHAnsi" w:hAnsiTheme="minorHAnsi" w:cstheme="minorBidi"/>
      <w:sz w:val="22"/>
      <w:szCs w:val="22"/>
      <w:lang w:eastAsia="en-US"/>
    </w:rPr>
  </w:style>
  <w:style w:type="paragraph" w:customStyle="1" w:styleId="TableText">
    <w:name w:val="TableText"/>
    <w:basedOn w:val="Normal"/>
    <w:rsid w:val="00504BF3"/>
    <w:pPr>
      <w:spacing w:before="60" w:after="60" w:line="240" w:lineRule="exact"/>
    </w:pPr>
    <w:rPr>
      <w:rFonts w:ascii="Times New Roman" w:eastAsiaTheme="minorHAns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nfo@acma.gov.a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comlaw.gov.au/Details/F2013C0089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4494-0F1A-4BB1-96A0-14F0DEDC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15420</Words>
  <Characters>87894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2015-07-31T01:02:00Z</dcterms:created>
  <dcterms:modified xsi:type="dcterms:W3CDTF">2015-07-31T01:02:00Z</dcterms:modified>
  <cp:category/>
</cp:coreProperties>
</file>