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27780" w14:textId="77777777" w:rsidR="007B3818" w:rsidRDefault="006744F6" w:rsidP="00B2598B">
      <w:pPr>
        <w:pStyle w:val="ACMAReportTitle"/>
      </w:pPr>
      <w:r>
        <w:t>Annual report 2014–15</w:t>
      </w:r>
    </w:p>
    <w:p w14:paraId="603F6369" w14:textId="77777777" w:rsidR="00276C0B" w:rsidRDefault="00276C0B" w:rsidP="00B2598B">
      <w:pPr>
        <w:pStyle w:val="ACMAReportTitle"/>
      </w:pPr>
    </w:p>
    <w:p w14:paraId="7AD591ED" w14:textId="77777777" w:rsidR="00C97736" w:rsidRPr="000D76E0" w:rsidRDefault="00C97736" w:rsidP="0041071D">
      <w:pPr>
        <w:rPr>
          <w:rFonts w:cs="Arial"/>
        </w:rPr>
      </w:pPr>
    </w:p>
    <w:p w14:paraId="6E4C28AE"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7AC19784" w14:textId="77777777" w:rsidR="0005011A" w:rsidRPr="00F44F3A" w:rsidRDefault="0005011A" w:rsidP="00FC07B9">
      <w:pPr>
        <w:pStyle w:val="ACMACorporateAddressHeader"/>
      </w:pPr>
      <w:r w:rsidRPr="00F44F3A">
        <w:lastRenderedPageBreak/>
        <w:t>Canberra</w:t>
      </w:r>
    </w:p>
    <w:p w14:paraId="6FDE89FA"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76032BB" w14:textId="77777777" w:rsidR="0005011A" w:rsidRPr="00FC07B9" w:rsidRDefault="0005011A" w:rsidP="00FC07B9">
      <w:pPr>
        <w:pStyle w:val="ACMACorporateAddresses"/>
      </w:pPr>
      <w:r w:rsidRPr="00FC07B9">
        <w:t>PO Box 78</w:t>
      </w:r>
      <w:r w:rsidRPr="00FC07B9">
        <w:br/>
        <w:t>Belconnen ACT 2616</w:t>
      </w:r>
    </w:p>
    <w:p w14:paraId="508713F6"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915B103" w14:textId="77777777" w:rsidR="0005011A" w:rsidRPr="00F44F3A" w:rsidRDefault="0005011A" w:rsidP="00FC07B9">
      <w:pPr>
        <w:pStyle w:val="ACMACorporateAddressHeader"/>
      </w:pPr>
      <w:r w:rsidRPr="00F44F3A">
        <w:t>Melbourne</w:t>
      </w:r>
    </w:p>
    <w:p w14:paraId="0034A878"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F2FB80A"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64B45D8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675030B" w14:textId="77777777" w:rsidR="0005011A" w:rsidRPr="00F44F3A" w:rsidRDefault="0005011A" w:rsidP="00FC07B9">
      <w:pPr>
        <w:pStyle w:val="ACMACorporateAddressHeader"/>
      </w:pPr>
      <w:r w:rsidRPr="00F44F3A">
        <w:t>Sydney</w:t>
      </w:r>
    </w:p>
    <w:p w14:paraId="0202B8A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D71C73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0F54554"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6C719402" w14:textId="77777777" w:rsidR="00140318" w:rsidRPr="006D46E5" w:rsidRDefault="00140318" w:rsidP="00B2598B">
      <w:pPr>
        <w:pStyle w:val="ACMACopyrightHeader"/>
        <w:spacing w:before="2280"/>
      </w:pPr>
      <w:r w:rsidRPr="00140318">
        <w:t>Copyright notice</w:t>
      </w:r>
    </w:p>
    <w:p w14:paraId="5C481187" w14:textId="77777777" w:rsidR="00140318" w:rsidRPr="006D46E5" w:rsidRDefault="00623FF9" w:rsidP="00623FF9">
      <w:pPr>
        <w:pStyle w:val="ACMACClogo"/>
      </w:pPr>
      <w:r w:rsidRPr="00623FF9">
        <w:rPr>
          <w:noProof/>
        </w:rPr>
        <w:drawing>
          <wp:inline distT="0" distB="0" distL="0" distR="0" wp14:anchorId="45872FF0" wp14:editId="6E46EAC4">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53D54B2C" w14:textId="77777777" w:rsidR="00140318" w:rsidRPr="00431792" w:rsidRDefault="00583E1B"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38B1BCBD"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15A26BC4" w14:textId="77777777" w:rsidR="00140318" w:rsidRPr="006D46E5" w:rsidRDefault="00140318" w:rsidP="00FC07B9">
      <w:pPr>
        <w:pStyle w:val="ACMACorporateAddresses"/>
      </w:pPr>
      <w:r w:rsidRPr="006D46E5">
        <w:t>We request attribution as: © Commonwealth of Australia (Australian Communic</w:t>
      </w:r>
      <w:r w:rsidR="008408FF">
        <w:t>ations and Media Authority) 2015</w:t>
      </w:r>
      <w:r w:rsidRPr="006D46E5">
        <w:t>.</w:t>
      </w:r>
    </w:p>
    <w:p w14:paraId="130CEE29" w14:textId="77777777" w:rsidR="00140318" w:rsidRPr="006D46E5" w:rsidRDefault="00140318" w:rsidP="00FC07B9">
      <w:pPr>
        <w:pStyle w:val="ACMACorporateAddresses"/>
      </w:pPr>
      <w:r>
        <w:t>All other rights are reserved.</w:t>
      </w:r>
    </w:p>
    <w:p w14:paraId="721957F5"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15053A1" w14:textId="77777777" w:rsidR="00140318" w:rsidRPr="006D46E5" w:rsidRDefault="00140318" w:rsidP="00FC07B9">
      <w:pPr>
        <w:pStyle w:val="ACMACorporateAddresses"/>
      </w:pPr>
      <w:r w:rsidRPr="006D46E5">
        <w:t>Written enquiries may be sent to:</w:t>
      </w:r>
    </w:p>
    <w:p w14:paraId="11A52A9F"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Pr="00431792">
          <w:rPr>
            <w:rStyle w:val="Hyperlink"/>
          </w:rPr>
          <w:t>candinfo@acma.gov.au</w:t>
        </w:r>
      </w:hyperlink>
    </w:p>
    <w:p w14:paraId="0860D528" w14:textId="7E2F2350" w:rsidR="00B2598B" w:rsidRDefault="00B2598B" w:rsidP="00B2598B">
      <w:pPr>
        <w:pStyle w:val="ACMACorporateAddresses"/>
        <w:rPr>
          <w:rFonts w:cs="Arial"/>
        </w:rPr>
      </w:pPr>
      <w:r w:rsidRPr="00B2598B">
        <w:rPr>
          <w:rFonts w:cs="Arial"/>
        </w:rPr>
        <w:t>I</w:t>
      </w:r>
      <w:r w:rsidR="0026727D">
        <w:rPr>
          <w:rFonts w:cs="Arial"/>
        </w:rPr>
        <w:t>SSN 1834-1845</w:t>
      </w:r>
      <w:r w:rsidRPr="00B2598B">
        <w:rPr>
          <w:rFonts w:cs="Arial"/>
        </w:rPr>
        <w:t xml:space="preserve"> </w:t>
      </w:r>
    </w:p>
    <w:p w14:paraId="05DE0646" w14:textId="77777777" w:rsidR="00B2598B" w:rsidRDefault="00B2598B" w:rsidP="00B2598B">
      <w:pPr>
        <w:pStyle w:val="ACMACorporateAddresses"/>
        <w:rPr>
          <w:rStyle w:val="Hyperlink"/>
        </w:rPr>
      </w:pPr>
      <w:r w:rsidRPr="001E2783">
        <w:rPr>
          <w:rFonts w:cs="Arial"/>
          <w:b/>
        </w:rPr>
        <w:t xml:space="preserve">This report is available on the ACMA website at </w:t>
      </w:r>
      <w:hyperlink r:id="rId18" w:history="1">
        <w:r w:rsidRPr="00311E08">
          <w:rPr>
            <w:rStyle w:val="Hyperlink"/>
            <w:rFonts w:cs="Arial"/>
          </w:rPr>
          <w:t>www.acma.gov.au/annualreport</w:t>
        </w:r>
      </w:hyperlink>
      <w:r w:rsidRPr="00311E08">
        <w:rPr>
          <w:rStyle w:val="Hyperlink"/>
        </w:rPr>
        <w:t>.</w:t>
      </w:r>
    </w:p>
    <w:p w14:paraId="31A35B63" w14:textId="77777777" w:rsidR="00D16FE3" w:rsidRPr="00D16FE3" w:rsidRDefault="00D16FE3" w:rsidP="00D16FE3">
      <w:pPr>
        <w:pStyle w:val="ACMACorporateAddresses"/>
        <w:sectPr w:rsidR="00D16FE3" w:rsidRPr="00D16FE3">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1CD6F7B8" w14:textId="77777777" w:rsidR="00855B3D"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855B3D">
        <w:t>Part 1—The year in review</w:t>
      </w:r>
      <w:r w:rsidR="00855B3D">
        <w:tab/>
      </w:r>
      <w:r w:rsidR="00855B3D">
        <w:fldChar w:fldCharType="begin"/>
      </w:r>
      <w:r w:rsidR="00855B3D">
        <w:instrText xml:space="preserve"> PAGEREF _Toc433703249 \h </w:instrText>
      </w:r>
      <w:r w:rsidR="00855B3D">
        <w:fldChar w:fldCharType="separate"/>
      </w:r>
      <w:r w:rsidR="00855B3D">
        <w:t>1</w:t>
      </w:r>
      <w:r w:rsidR="00855B3D">
        <w:fldChar w:fldCharType="end"/>
      </w:r>
    </w:p>
    <w:p w14:paraId="7DEA13E6" w14:textId="77777777" w:rsidR="00855B3D" w:rsidRDefault="00855B3D">
      <w:pPr>
        <w:pStyle w:val="TOC1"/>
        <w:rPr>
          <w:rFonts w:asciiTheme="minorHAnsi" w:eastAsiaTheme="minorEastAsia" w:hAnsiTheme="minorHAnsi" w:cstheme="minorBidi"/>
          <w:b w:val="0"/>
          <w:spacing w:val="0"/>
          <w:sz w:val="22"/>
          <w:szCs w:val="22"/>
        </w:rPr>
      </w:pPr>
      <w:r>
        <w:t>Chairman’s foreword</w:t>
      </w:r>
      <w:r>
        <w:tab/>
      </w:r>
      <w:r>
        <w:fldChar w:fldCharType="begin"/>
      </w:r>
      <w:r>
        <w:instrText xml:space="preserve"> PAGEREF _Toc433703250 \h </w:instrText>
      </w:r>
      <w:r>
        <w:fldChar w:fldCharType="separate"/>
      </w:r>
      <w:r>
        <w:t>2</w:t>
      </w:r>
      <w:r>
        <w:fldChar w:fldCharType="end"/>
      </w:r>
    </w:p>
    <w:p w14:paraId="180A5864" w14:textId="77777777" w:rsidR="00855B3D" w:rsidRDefault="00855B3D">
      <w:pPr>
        <w:pStyle w:val="TOC1"/>
        <w:rPr>
          <w:rFonts w:asciiTheme="minorHAnsi" w:eastAsiaTheme="minorEastAsia" w:hAnsiTheme="minorHAnsi" w:cstheme="minorBidi"/>
          <w:b w:val="0"/>
          <w:spacing w:val="0"/>
          <w:sz w:val="22"/>
          <w:szCs w:val="22"/>
        </w:rPr>
      </w:pPr>
      <w:r>
        <w:t>At a glance— significant issues and developments</w:t>
      </w:r>
      <w:r>
        <w:tab/>
      </w:r>
      <w:r>
        <w:fldChar w:fldCharType="begin"/>
      </w:r>
      <w:r>
        <w:instrText xml:space="preserve"> PAGEREF _Toc433703251 \h </w:instrText>
      </w:r>
      <w:r>
        <w:fldChar w:fldCharType="separate"/>
      </w:r>
      <w:r>
        <w:t>6</w:t>
      </w:r>
      <w:r>
        <w:fldChar w:fldCharType="end"/>
      </w:r>
    </w:p>
    <w:p w14:paraId="5FEDB54A" w14:textId="77777777" w:rsidR="00855B3D" w:rsidRDefault="00855B3D">
      <w:pPr>
        <w:pStyle w:val="TOC1"/>
        <w:rPr>
          <w:rFonts w:asciiTheme="minorHAnsi" w:eastAsiaTheme="minorEastAsia" w:hAnsiTheme="minorHAnsi" w:cstheme="minorBidi"/>
          <w:b w:val="0"/>
          <w:spacing w:val="0"/>
          <w:sz w:val="22"/>
          <w:szCs w:val="22"/>
        </w:rPr>
      </w:pPr>
      <w:r>
        <w:t>Part 2—Agency overview</w:t>
      </w:r>
      <w:r>
        <w:tab/>
      </w:r>
      <w:r>
        <w:fldChar w:fldCharType="begin"/>
      </w:r>
      <w:r>
        <w:instrText xml:space="preserve"> PAGEREF _Toc433703252 \h </w:instrText>
      </w:r>
      <w:r>
        <w:fldChar w:fldCharType="separate"/>
      </w:r>
      <w:r>
        <w:t>8</w:t>
      </w:r>
      <w:r>
        <w:fldChar w:fldCharType="end"/>
      </w:r>
    </w:p>
    <w:p w14:paraId="3D50C43B" w14:textId="77777777" w:rsidR="00855B3D" w:rsidRDefault="00855B3D">
      <w:pPr>
        <w:pStyle w:val="TOC1"/>
        <w:rPr>
          <w:rFonts w:asciiTheme="minorHAnsi" w:eastAsiaTheme="minorEastAsia" w:hAnsiTheme="minorHAnsi" w:cstheme="minorBidi"/>
          <w:b w:val="0"/>
          <w:spacing w:val="0"/>
          <w:sz w:val="22"/>
          <w:szCs w:val="22"/>
        </w:rPr>
      </w:pPr>
      <w:r>
        <w:t>Chapter 1: About the ACMA</w:t>
      </w:r>
      <w:r>
        <w:tab/>
      </w:r>
      <w:r>
        <w:fldChar w:fldCharType="begin"/>
      </w:r>
      <w:r>
        <w:instrText xml:space="preserve"> PAGEREF _Toc433703253 \h </w:instrText>
      </w:r>
      <w:r>
        <w:fldChar w:fldCharType="separate"/>
      </w:r>
      <w:r>
        <w:t>9</w:t>
      </w:r>
      <w:r>
        <w:fldChar w:fldCharType="end"/>
      </w:r>
    </w:p>
    <w:p w14:paraId="5E84D7EF" w14:textId="77777777" w:rsidR="00855B3D" w:rsidRDefault="00855B3D">
      <w:pPr>
        <w:pStyle w:val="TOC2"/>
        <w:rPr>
          <w:rFonts w:asciiTheme="minorHAnsi" w:eastAsiaTheme="minorEastAsia" w:hAnsiTheme="minorHAnsi" w:cstheme="minorBidi"/>
          <w:spacing w:val="0"/>
          <w:sz w:val="22"/>
          <w:szCs w:val="22"/>
        </w:rPr>
      </w:pPr>
      <w:r>
        <w:t>Functions and responsibilities</w:t>
      </w:r>
      <w:r>
        <w:tab/>
      </w:r>
      <w:r>
        <w:fldChar w:fldCharType="begin"/>
      </w:r>
      <w:r>
        <w:instrText xml:space="preserve"> PAGEREF _Toc433703254 \h </w:instrText>
      </w:r>
      <w:r>
        <w:fldChar w:fldCharType="separate"/>
      </w:r>
      <w:r>
        <w:t>9</w:t>
      </w:r>
      <w:r>
        <w:fldChar w:fldCharType="end"/>
      </w:r>
    </w:p>
    <w:p w14:paraId="295CD720" w14:textId="77777777" w:rsidR="00855B3D" w:rsidRDefault="00855B3D">
      <w:pPr>
        <w:pStyle w:val="TOC2"/>
        <w:rPr>
          <w:rFonts w:asciiTheme="minorHAnsi" w:eastAsiaTheme="minorEastAsia" w:hAnsiTheme="minorHAnsi" w:cstheme="minorBidi"/>
          <w:spacing w:val="0"/>
          <w:sz w:val="22"/>
          <w:szCs w:val="22"/>
        </w:rPr>
      </w:pPr>
      <w:r>
        <w:t>Strategic work program</w:t>
      </w:r>
      <w:r>
        <w:tab/>
      </w:r>
      <w:r>
        <w:fldChar w:fldCharType="begin"/>
      </w:r>
      <w:r>
        <w:instrText xml:space="preserve"> PAGEREF _Toc433703255 \h </w:instrText>
      </w:r>
      <w:r>
        <w:fldChar w:fldCharType="separate"/>
      </w:r>
      <w:r>
        <w:t>9</w:t>
      </w:r>
      <w:r>
        <w:fldChar w:fldCharType="end"/>
      </w:r>
    </w:p>
    <w:p w14:paraId="69B59E4B" w14:textId="77777777" w:rsidR="00855B3D" w:rsidRDefault="00855B3D">
      <w:pPr>
        <w:pStyle w:val="TOC2"/>
        <w:rPr>
          <w:rFonts w:asciiTheme="minorHAnsi" w:eastAsiaTheme="minorEastAsia" w:hAnsiTheme="minorHAnsi" w:cstheme="minorBidi"/>
          <w:spacing w:val="0"/>
          <w:sz w:val="22"/>
          <w:szCs w:val="22"/>
        </w:rPr>
      </w:pPr>
      <w:r>
        <w:t>Structure</w:t>
      </w:r>
      <w:r>
        <w:tab/>
      </w:r>
      <w:r>
        <w:fldChar w:fldCharType="begin"/>
      </w:r>
      <w:r>
        <w:instrText xml:space="preserve"> PAGEREF _Toc433703256 \h </w:instrText>
      </w:r>
      <w:r>
        <w:fldChar w:fldCharType="separate"/>
      </w:r>
      <w:r>
        <w:t>10</w:t>
      </w:r>
      <w:r>
        <w:fldChar w:fldCharType="end"/>
      </w:r>
    </w:p>
    <w:p w14:paraId="7786A1DF" w14:textId="77777777" w:rsidR="00855B3D" w:rsidRDefault="00855B3D">
      <w:pPr>
        <w:pStyle w:val="TOC3"/>
        <w:rPr>
          <w:rFonts w:asciiTheme="minorHAnsi" w:eastAsiaTheme="minorEastAsia" w:hAnsiTheme="minorHAnsi" w:cstheme="minorBidi"/>
        </w:rPr>
      </w:pPr>
      <w:r>
        <w:t>The Authority</w:t>
      </w:r>
      <w:r>
        <w:tab/>
      </w:r>
      <w:r>
        <w:fldChar w:fldCharType="begin"/>
      </w:r>
      <w:r>
        <w:instrText xml:space="preserve"> PAGEREF _Toc433703257 \h </w:instrText>
      </w:r>
      <w:r>
        <w:fldChar w:fldCharType="separate"/>
      </w:r>
      <w:r>
        <w:t>10</w:t>
      </w:r>
      <w:r>
        <w:fldChar w:fldCharType="end"/>
      </w:r>
    </w:p>
    <w:p w14:paraId="02FCE72B" w14:textId="77777777" w:rsidR="00855B3D" w:rsidRDefault="00855B3D">
      <w:pPr>
        <w:pStyle w:val="TOC3"/>
        <w:rPr>
          <w:rFonts w:asciiTheme="minorHAnsi" w:eastAsiaTheme="minorEastAsia" w:hAnsiTheme="minorHAnsi" w:cstheme="minorBidi"/>
        </w:rPr>
      </w:pPr>
      <w:r>
        <w:t>Corporate structure</w:t>
      </w:r>
      <w:r>
        <w:tab/>
      </w:r>
      <w:r>
        <w:fldChar w:fldCharType="begin"/>
      </w:r>
      <w:r>
        <w:instrText xml:space="preserve"> PAGEREF _Toc433703258 \h </w:instrText>
      </w:r>
      <w:r>
        <w:fldChar w:fldCharType="separate"/>
      </w:r>
      <w:r>
        <w:t>12</w:t>
      </w:r>
      <w:r>
        <w:fldChar w:fldCharType="end"/>
      </w:r>
    </w:p>
    <w:p w14:paraId="3B3D198A" w14:textId="77777777" w:rsidR="00855B3D" w:rsidRDefault="00855B3D">
      <w:pPr>
        <w:pStyle w:val="TOC1"/>
        <w:rPr>
          <w:rFonts w:asciiTheme="minorHAnsi" w:eastAsiaTheme="minorEastAsia" w:hAnsiTheme="minorHAnsi" w:cstheme="minorBidi"/>
          <w:b w:val="0"/>
          <w:spacing w:val="0"/>
          <w:sz w:val="22"/>
          <w:szCs w:val="22"/>
        </w:rPr>
      </w:pPr>
      <w:r>
        <w:t>Chapter 2: Revenue and fees</w:t>
      </w:r>
      <w:r>
        <w:tab/>
      </w:r>
      <w:r>
        <w:fldChar w:fldCharType="begin"/>
      </w:r>
      <w:r>
        <w:instrText xml:space="preserve"> PAGEREF _Toc433703259 \h </w:instrText>
      </w:r>
      <w:r>
        <w:fldChar w:fldCharType="separate"/>
      </w:r>
      <w:r>
        <w:t>15</w:t>
      </w:r>
      <w:r>
        <w:fldChar w:fldCharType="end"/>
      </w:r>
    </w:p>
    <w:p w14:paraId="32099076" w14:textId="77777777" w:rsidR="00855B3D" w:rsidRDefault="00855B3D">
      <w:pPr>
        <w:pStyle w:val="TOC2"/>
        <w:rPr>
          <w:rFonts w:asciiTheme="minorHAnsi" w:eastAsiaTheme="minorEastAsia" w:hAnsiTheme="minorHAnsi" w:cstheme="minorBidi"/>
          <w:spacing w:val="0"/>
          <w:sz w:val="22"/>
          <w:szCs w:val="22"/>
        </w:rPr>
      </w:pPr>
      <w:r>
        <w:t>Revenue collection</w:t>
      </w:r>
      <w:r>
        <w:tab/>
      </w:r>
      <w:r>
        <w:fldChar w:fldCharType="begin"/>
      </w:r>
      <w:r>
        <w:instrText xml:space="preserve"> PAGEREF _Toc433703260 \h </w:instrText>
      </w:r>
      <w:r>
        <w:fldChar w:fldCharType="separate"/>
      </w:r>
      <w:r>
        <w:t>15</w:t>
      </w:r>
      <w:r>
        <w:fldChar w:fldCharType="end"/>
      </w:r>
    </w:p>
    <w:p w14:paraId="33F7DABB" w14:textId="77777777" w:rsidR="00855B3D" w:rsidRDefault="00855B3D">
      <w:pPr>
        <w:pStyle w:val="TOC2"/>
        <w:rPr>
          <w:rFonts w:asciiTheme="minorHAnsi" w:eastAsiaTheme="minorEastAsia" w:hAnsiTheme="minorHAnsi" w:cstheme="minorBidi"/>
          <w:spacing w:val="0"/>
          <w:sz w:val="22"/>
          <w:szCs w:val="22"/>
        </w:rPr>
      </w:pPr>
      <w:r>
        <w:t>Revenue and fees</w:t>
      </w:r>
      <w:r>
        <w:tab/>
      </w:r>
      <w:r>
        <w:fldChar w:fldCharType="begin"/>
      </w:r>
      <w:r>
        <w:instrText xml:space="preserve"> PAGEREF _Toc433703261 \h </w:instrText>
      </w:r>
      <w:r>
        <w:fldChar w:fldCharType="separate"/>
      </w:r>
      <w:r>
        <w:t>15</w:t>
      </w:r>
      <w:r>
        <w:fldChar w:fldCharType="end"/>
      </w:r>
    </w:p>
    <w:p w14:paraId="468F05EF" w14:textId="77777777" w:rsidR="00855B3D" w:rsidRDefault="00855B3D">
      <w:pPr>
        <w:pStyle w:val="TOC3"/>
        <w:rPr>
          <w:rFonts w:asciiTheme="minorHAnsi" w:eastAsiaTheme="minorEastAsia" w:hAnsiTheme="minorHAnsi" w:cstheme="minorBidi"/>
        </w:rPr>
      </w:pPr>
      <w:r>
        <w:t>Telecommunications services funding</w:t>
      </w:r>
      <w:r>
        <w:tab/>
      </w:r>
      <w:r>
        <w:fldChar w:fldCharType="begin"/>
      </w:r>
      <w:r>
        <w:instrText xml:space="preserve"> PAGEREF _Toc433703262 \h </w:instrText>
      </w:r>
      <w:r>
        <w:fldChar w:fldCharType="separate"/>
      </w:r>
      <w:r>
        <w:t>16</w:t>
      </w:r>
      <w:r>
        <w:fldChar w:fldCharType="end"/>
      </w:r>
    </w:p>
    <w:p w14:paraId="77E37F08" w14:textId="77777777" w:rsidR="00855B3D" w:rsidRDefault="00855B3D">
      <w:pPr>
        <w:pStyle w:val="TOC3"/>
        <w:rPr>
          <w:rFonts w:asciiTheme="minorHAnsi" w:eastAsiaTheme="minorEastAsia" w:hAnsiTheme="minorHAnsi" w:cstheme="minorBidi"/>
        </w:rPr>
      </w:pPr>
      <w:r>
        <w:t>Eligible revenue assessment</w:t>
      </w:r>
      <w:r>
        <w:tab/>
      </w:r>
      <w:r>
        <w:fldChar w:fldCharType="begin"/>
      </w:r>
      <w:r>
        <w:instrText xml:space="preserve"> PAGEREF _Toc433703263 \h </w:instrText>
      </w:r>
      <w:r>
        <w:fldChar w:fldCharType="separate"/>
      </w:r>
      <w:r>
        <w:t>17</w:t>
      </w:r>
      <w:r>
        <w:fldChar w:fldCharType="end"/>
      </w:r>
    </w:p>
    <w:p w14:paraId="6D8D549C" w14:textId="77777777" w:rsidR="00855B3D" w:rsidRDefault="00855B3D">
      <w:pPr>
        <w:pStyle w:val="TOC3"/>
        <w:rPr>
          <w:rFonts w:asciiTheme="minorHAnsi" w:eastAsiaTheme="minorEastAsia" w:hAnsiTheme="minorHAnsi" w:cstheme="minorBidi"/>
        </w:rPr>
      </w:pPr>
      <w:r>
        <w:t>Annual carrier licence charges</w:t>
      </w:r>
      <w:r>
        <w:tab/>
      </w:r>
      <w:r>
        <w:fldChar w:fldCharType="begin"/>
      </w:r>
      <w:r>
        <w:instrText xml:space="preserve"> PAGEREF _Toc433703264 \h </w:instrText>
      </w:r>
      <w:r>
        <w:fldChar w:fldCharType="separate"/>
      </w:r>
      <w:r>
        <w:t>17</w:t>
      </w:r>
      <w:r>
        <w:fldChar w:fldCharType="end"/>
      </w:r>
    </w:p>
    <w:p w14:paraId="61F3C481" w14:textId="77777777" w:rsidR="00855B3D" w:rsidRDefault="00855B3D">
      <w:pPr>
        <w:pStyle w:val="TOC3"/>
        <w:rPr>
          <w:rFonts w:asciiTheme="minorHAnsi" w:eastAsiaTheme="minorEastAsia" w:hAnsiTheme="minorHAnsi" w:cstheme="minorBidi"/>
        </w:rPr>
      </w:pPr>
      <w:r>
        <w:t>Do Not Call Register access fees</w:t>
      </w:r>
      <w:r>
        <w:tab/>
      </w:r>
      <w:r>
        <w:fldChar w:fldCharType="begin"/>
      </w:r>
      <w:r>
        <w:instrText xml:space="preserve"> PAGEREF _Toc433703265 \h </w:instrText>
      </w:r>
      <w:r>
        <w:fldChar w:fldCharType="separate"/>
      </w:r>
      <w:r>
        <w:t>17</w:t>
      </w:r>
      <w:r>
        <w:fldChar w:fldCharType="end"/>
      </w:r>
    </w:p>
    <w:p w14:paraId="5FC66EFD" w14:textId="77777777" w:rsidR="00855B3D" w:rsidRDefault="00855B3D">
      <w:pPr>
        <w:pStyle w:val="TOC3"/>
        <w:rPr>
          <w:rFonts w:asciiTheme="minorHAnsi" w:eastAsiaTheme="minorEastAsia" w:hAnsiTheme="minorHAnsi" w:cstheme="minorBidi"/>
        </w:rPr>
      </w:pPr>
      <w:r>
        <w:t>Numbering charges</w:t>
      </w:r>
      <w:r>
        <w:tab/>
      </w:r>
      <w:r>
        <w:fldChar w:fldCharType="begin"/>
      </w:r>
      <w:r>
        <w:instrText xml:space="preserve"> PAGEREF _Toc433703266 \h </w:instrText>
      </w:r>
      <w:r>
        <w:fldChar w:fldCharType="separate"/>
      </w:r>
      <w:r>
        <w:t>18</w:t>
      </w:r>
      <w:r>
        <w:fldChar w:fldCharType="end"/>
      </w:r>
    </w:p>
    <w:p w14:paraId="5A9CCFDA" w14:textId="77777777" w:rsidR="00855B3D" w:rsidRDefault="00855B3D">
      <w:pPr>
        <w:pStyle w:val="TOC3"/>
        <w:rPr>
          <w:rFonts w:asciiTheme="minorHAnsi" w:eastAsiaTheme="minorEastAsia" w:hAnsiTheme="minorHAnsi" w:cstheme="minorBidi"/>
        </w:rPr>
      </w:pPr>
      <w:r>
        <w:t>Number auctions</w:t>
      </w:r>
      <w:r>
        <w:tab/>
      </w:r>
      <w:r>
        <w:fldChar w:fldCharType="begin"/>
      </w:r>
      <w:r>
        <w:instrText xml:space="preserve"> PAGEREF _Toc433703267 \h </w:instrText>
      </w:r>
      <w:r>
        <w:fldChar w:fldCharType="separate"/>
      </w:r>
      <w:r>
        <w:t>19</w:t>
      </w:r>
      <w:r>
        <w:fldChar w:fldCharType="end"/>
      </w:r>
    </w:p>
    <w:p w14:paraId="4CDEC645" w14:textId="77777777" w:rsidR="00855B3D" w:rsidRDefault="00855B3D">
      <w:pPr>
        <w:pStyle w:val="TOC3"/>
        <w:rPr>
          <w:rFonts w:asciiTheme="minorHAnsi" w:eastAsiaTheme="minorEastAsia" w:hAnsiTheme="minorHAnsi" w:cstheme="minorBidi"/>
        </w:rPr>
      </w:pPr>
      <w:r>
        <w:t>Apparatus licence taxes</w:t>
      </w:r>
      <w:r>
        <w:tab/>
      </w:r>
      <w:r>
        <w:fldChar w:fldCharType="begin"/>
      </w:r>
      <w:r>
        <w:instrText xml:space="preserve"> PAGEREF _Toc433703268 \h </w:instrText>
      </w:r>
      <w:r>
        <w:fldChar w:fldCharType="separate"/>
      </w:r>
      <w:r>
        <w:t>19</w:t>
      </w:r>
      <w:r>
        <w:fldChar w:fldCharType="end"/>
      </w:r>
    </w:p>
    <w:p w14:paraId="19692A5F" w14:textId="77777777" w:rsidR="00855B3D" w:rsidRDefault="00855B3D">
      <w:pPr>
        <w:pStyle w:val="TOC3"/>
        <w:rPr>
          <w:rFonts w:asciiTheme="minorHAnsi" w:eastAsiaTheme="minorEastAsia" w:hAnsiTheme="minorHAnsi" w:cstheme="minorBidi"/>
        </w:rPr>
      </w:pPr>
      <w:r>
        <w:t>Spectrum licence tax</w:t>
      </w:r>
      <w:r>
        <w:tab/>
      </w:r>
      <w:r>
        <w:fldChar w:fldCharType="begin"/>
      </w:r>
      <w:r>
        <w:instrText xml:space="preserve"> PAGEREF _Toc433703269 \h </w:instrText>
      </w:r>
      <w:r>
        <w:fldChar w:fldCharType="separate"/>
      </w:r>
      <w:r>
        <w:t>20</w:t>
      </w:r>
      <w:r>
        <w:fldChar w:fldCharType="end"/>
      </w:r>
    </w:p>
    <w:p w14:paraId="728B482A" w14:textId="77777777" w:rsidR="00855B3D" w:rsidRDefault="00855B3D">
      <w:pPr>
        <w:pStyle w:val="TOC3"/>
        <w:rPr>
          <w:rFonts w:asciiTheme="minorHAnsi" w:eastAsiaTheme="minorEastAsia" w:hAnsiTheme="minorHAnsi" w:cstheme="minorBidi"/>
        </w:rPr>
      </w:pPr>
      <w:r>
        <w:t>Broadcasting licence fees and datacasting charge</w:t>
      </w:r>
      <w:r>
        <w:tab/>
      </w:r>
      <w:r>
        <w:fldChar w:fldCharType="begin"/>
      </w:r>
      <w:r>
        <w:instrText xml:space="preserve"> PAGEREF _Toc433703270 \h </w:instrText>
      </w:r>
      <w:r>
        <w:fldChar w:fldCharType="separate"/>
      </w:r>
      <w:r>
        <w:t>20</w:t>
      </w:r>
      <w:r>
        <w:fldChar w:fldCharType="end"/>
      </w:r>
    </w:p>
    <w:p w14:paraId="645C624D" w14:textId="77777777" w:rsidR="00855B3D" w:rsidRDefault="00855B3D">
      <w:pPr>
        <w:pStyle w:val="TOC1"/>
        <w:rPr>
          <w:rFonts w:asciiTheme="minorHAnsi" w:eastAsiaTheme="minorEastAsia" w:hAnsiTheme="minorHAnsi" w:cstheme="minorBidi"/>
          <w:b w:val="0"/>
          <w:spacing w:val="0"/>
          <w:sz w:val="22"/>
          <w:szCs w:val="22"/>
        </w:rPr>
      </w:pPr>
      <w:r>
        <w:t>Part 3—Report on performance</w:t>
      </w:r>
      <w:r>
        <w:tab/>
      </w:r>
      <w:r>
        <w:fldChar w:fldCharType="begin"/>
      </w:r>
      <w:r>
        <w:instrText xml:space="preserve"> PAGEREF _Toc433703271 \h </w:instrText>
      </w:r>
      <w:r>
        <w:fldChar w:fldCharType="separate"/>
      </w:r>
      <w:r>
        <w:t>22</w:t>
      </w:r>
      <w:r>
        <w:fldChar w:fldCharType="end"/>
      </w:r>
    </w:p>
    <w:p w14:paraId="4734054E" w14:textId="77777777" w:rsidR="00855B3D" w:rsidRDefault="00855B3D">
      <w:pPr>
        <w:pStyle w:val="TOC1"/>
        <w:rPr>
          <w:rFonts w:asciiTheme="minorHAnsi" w:eastAsiaTheme="minorEastAsia" w:hAnsiTheme="minorHAnsi" w:cstheme="minorBidi"/>
          <w:b w:val="0"/>
          <w:spacing w:val="0"/>
          <w:sz w:val="22"/>
          <w:szCs w:val="22"/>
        </w:rPr>
      </w:pPr>
      <w:r>
        <w:t>Chapter 3: Communications regulation, planning and licensing</w:t>
      </w:r>
      <w:r>
        <w:tab/>
      </w:r>
      <w:r>
        <w:fldChar w:fldCharType="begin"/>
      </w:r>
      <w:r>
        <w:instrText xml:space="preserve"> PAGEREF _Toc433703272 \h </w:instrText>
      </w:r>
      <w:r>
        <w:fldChar w:fldCharType="separate"/>
      </w:r>
      <w:r>
        <w:t>23</w:t>
      </w:r>
      <w:r>
        <w:fldChar w:fldCharType="end"/>
      </w:r>
    </w:p>
    <w:p w14:paraId="31BC594E" w14:textId="77777777" w:rsidR="00855B3D" w:rsidRDefault="00855B3D" w:rsidP="00855B3D">
      <w:pPr>
        <w:pStyle w:val="TOC1"/>
        <w:keepNext/>
        <w:keepLines/>
        <w:rPr>
          <w:rFonts w:asciiTheme="minorHAnsi" w:eastAsiaTheme="minorEastAsia" w:hAnsiTheme="minorHAnsi" w:cstheme="minorBidi"/>
          <w:b w:val="0"/>
          <w:spacing w:val="0"/>
          <w:sz w:val="22"/>
          <w:szCs w:val="22"/>
        </w:rPr>
      </w:pPr>
      <w:r w:rsidRPr="00590950">
        <w:rPr>
          <w:i/>
        </w:rPr>
        <w:t>Deliverable</w:t>
      </w:r>
      <w:r>
        <w:t>: Effective allocation and use of the radiofrequency spectrum</w:t>
      </w:r>
      <w:r>
        <w:tab/>
      </w:r>
      <w:r>
        <w:fldChar w:fldCharType="begin"/>
      </w:r>
      <w:r>
        <w:instrText xml:space="preserve"> PAGEREF _Toc433703273 \h </w:instrText>
      </w:r>
      <w:r>
        <w:fldChar w:fldCharType="separate"/>
      </w:r>
      <w:r>
        <w:t>24</w:t>
      </w:r>
      <w:r>
        <w:fldChar w:fldCharType="end"/>
      </w:r>
    </w:p>
    <w:p w14:paraId="21BAC241" w14:textId="77777777" w:rsidR="00855B3D" w:rsidRDefault="00855B3D" w:rsidP="00855B3D">
      <w:pPr>
        <w:pStyle w:val="TOC1"/>
        <w:keepNext/>
        <w:keepLines/>
        <w:spacing w:before="120"/>
        <w:rPr>
          <w:rFonts w:asciiTheme="minorHAnsi" w:eastAsiaTheme="minorEastAsia" w:hAnsiTheme="minorHAnsi" w:cstheme="minorBidi"/>
          <w:b w:val="0"/>
          <w:spacing w:val="0"/>
          <w:sz w:val="22"/>
          <w:szCs w:val="22"/>
        </w:rPr>
      </w:pPr>
      <w:r w:rsidRPr="00590950">
        <w:rPr>
          <w:i/>
        </w:rPr>
        <w:t>KPI</w:t>
      </w:r>
      <w:r>
        <w:t>: The public benefit from the allocation and use of the radiofrequency spectrum is maximised</w:t>
      </w:r>
      <w:r>
        <w:tab/>
      </w:r>
      <w:r>
        <w:fldChar w:fldCharType="begin"/>
      </w:r>
      <w:r>
        <w:instrText xml:space="preserve"> PAGEREF _Toc433703274 \h </w:instrText>
      </w:r>
      <w:r>
        <w:fldChar w:fldCharType="separate"/>
      </w:r>
      <w:r>
        <w:t>24</w:t>
      </w:r>
      <w:r>
        <w:fldChar w:fldCharType="end"/>
      </w:r>
    </w:p>
    <w:p w14:paraId="14BB04F1"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_Toc433703275 \h </w:instrText>
      </w:r>
      <w:r>
        <w:fldChar w:fldCharType="separate"/>
      </w:r>
      <w:r>
        <w:t>24</w:t>
      </w:r>
      <w:r>
        <w:fldChar w:fldCharType="end"/>
      </w:r>
    </w:p>
    <w:p w14:paraId="65B95668" w14:textId="77777777" w:rsidR="00855B3D" w:rsidRDefault="00855B3D">
      <w:pPr>
        <w:pStyle w:val="TOC2"/>
        <w:rPr>
          <w:rFonts w:asciiTheme="minorHAnsi" w:eastAsiaTheme="minorEastAsia" w:hAnsiTheme="minorHAnsi" w:cstheme="minorBidi"/>
          <w:spacing w:val="0"/>
          <w:sz w:val="22"/>
          <w:szCs w:val="22"/>
        </w:rPr>
      </w:pPr>
      <w:r>
        <w:t>Spectrum review</w:t>
      </w:r>
      <w:r>
        <w:tab/>
      </w:r>
      <w:r>
        <w:fldChar w:fldCharType="begin"/>
      </w:r>
      <w:r>
        <w:instrText xml:space="preserve"> PAGEREF _Toc433703276 \h </w:instrText>
      </w:r>
      <w:r>
        <w:fldChar w:fldCharType="separate"/>
      </w:r>
      <w:r>
        <w:t>24</w:t>
      </w:r>
      <w:r>
        <w:fldChar w:fldCharType="end"/>
      </w:r>
    </w:p>
    <w:p w14:paraId="1234D137" w14:textId="77777777" w:rsidR="00855B3D" w:rsidRDefault="00855B3D">
      <w:pPr>
        <w:pStyle w:val="TOC2"/>
        <w:rPr>
          <w:rFonts w:asciiTheme="minorHAnsi" w:eastAsiaTheme="minorEastAsia" w:hAnsiTheme="minorHAnsi" w:cstheme="minorBidi"/>
          <w:spacing w:val="0"/>
          <w:sz w:val="22"/>
          <w:szCs w:val="22"/>
        </w:rPr>
      </w:pPr>
      <w:r>
        <w:t>Early access to the 700 MHz band</w:t>
      </w:r>
      <w:r>
        <w:tab/>
      </w:r>
      <w:r>
        <w:fldChar w:fldCharType="begin"/>
      </w:r>
      <w:r>
        <w:instrText xml:space="preserve"> PAGEREF _Toc433703277 \h </w:instrText>
      </w:r>
      <w:r>
        <w:fldChar w:fldCharType="separate"/>
      </w:r>
      <w:r>
        <w:t>25</w:t>
      </w:r>
      <w:r>
        <w:fldChar w:fldCharType="end"/>
      </w:r>
    </w:p>
    <w:p w14:paraId="0F4AE102" w14:textId="77777777" w:rsidR="00855B3D" w:rsidRDefault="00855B3D">
      <w:pPr>
        <w:pStyle w:val="TOC2"/>
        <w:rPr>
          <w:rFonts w:asciiTheme="minorHAnsi" w:eastAsiaTheme="minorEastAsia" w:hAnsiTheme="minorHAnsi" w:cstheme="minorBidi"/>
          <w:spacing w:val="0"/>
          <w:sz w:val="22"/>
          <w:szCs w:val="22"/>
        </w:rPr>
      </w:pPr>
      <w:r>
        <w:t>Digital switchover</w:t>
      </w:r>
      <w:r>
        <w:tab/>
      </w:r>
      <w:r>
        <w:fldChar w:fldCharType="begin"/>
      </w:r>
      <w:r>
        <w:instrText xml:space="preserve"> PAGEREF _Toc433703278 \h </w:instrText>
      </w:r>
      <w:r>
        <w:fldChar w:fldCharType="separate"/>
      </w:r>
      <w:r>
        <w:t>25</w:t>
      </w:r>
      <w:r>
        <w:fldChar w:fldCharType="end"/>
      </w:r>
    </w:p>
    <w:p w14:paraId="46A6BBC7" w14:textId="77777777" w:rsidR="00855B3D" w:rsidRDefault="00855B3D">
      <w:pPr>
        <w:pStyle w:val="TOC3"/>
        <w:rPr>
          <w:rFonts w:asciiTheme="minorHAnsi" w:eastAsiaTheme="minorEastAsia" w:hAnsiTheme="minorHAnsi" w:cstheme="minorBidi"/>
        </w:rPr>
      </w:pPr>
      <w:r>
        <w:t>Restack coverage assessment project</w:t>
      </w:r>
      <w:r>
        <w:tab/>
      </w:r>
      <w:r>
        <w:fldChar w:fldCharType="begin"/>
      </w:r>
      <w:r>
        <w:instrText xml:space="preserve"> PAGEREF _Toc433703279 \h </w:instrText>
      </w:r>
      <w:r>
        <w:fldChar w:fldCharType="separate"/>
      </w:r>
      <w:r>
        <w:t>26</w:t>
      </w:r>
      <w:r>
        <w:fldChar w:fldCharType="end"/>
      </w:r>
    </w:p>
    <w:p w14:paraId="057EA806" w14:textId="20075D7C" w:rsidR="00855B3D" w:rsidRDefault="00855B3D">
      <w:pPr>
        <w:pStyle w:val="TOC3"/>
        <w:rPr>
          <w:rFonts w:asciiTheme="minorHAnsi" w:eastAsiaTheme="minorEastAsia" w:hAnsiTheme="minorHAnsi" w:cstheme="minorBidi"/>
        </w:rPr>
      </w:pPr>
      <w:r>
        <w:t xml:space="preserve">Complaints under the conditional access scheme for satellite access </w:t>
      </w:r>
      <w:r>
        <w:br/>
        <w:t>to digital television</w:t>
      </w:r>
      <w:r>
        <w:tab/>
      </w:r>
      <w:r>
        <w:fldChar w:fldCharType="begin"/>
      </w:r>
      <w:r>
        <w:instrText xml:space="preserve"> PAGEREF _Toc433703280 \h </w:instrText>
      </w:r>
      <w:r>
        <w:fldChar w:fldCharType="separate"/>
      </w:r>
      <w:r>
        <w:t>26</w:t>
      </w:r>
      <w:r>
        <w:fldChar w:fldCharType="end"/>
      </w:r>
    </w:p>
    <w:p w14:paraId="6700A2C7" w14:textId="77777777" w:rsidR="00855B3D" w:rsidRDefault="00855B3D">
      <w:pPr>
        <w:pStyle w:val="TOC2"/>
        <w:rPr>
          <w:rFonts w:asciiTheme="minorHAnsi" w:eastAsiaTheme="minorEastAsia" w:hAnsiTheme="minorHAnsi" w:cstheme="minorBidi"/>
          <w:spacing w:val="0"/>
          <w:sz w:val="22"/>
          <w:szCs w:val="22"/>
        </w:rPr>
      </w:pPr>
      <w:r>
        <w:t>Wireless microphones and the digital dividend</w:t>
      </w:r>
      <w:r>
        <w:tab/>
      </w:r>
      <w:r>
        <w:fldChar w:fldCharType="begin"/>
      </w:r>
      <w:r>
        <w:instrText xml:space="preserve"> PAGEREF _Toc433703281 \h </w:instrText>
      </w:r>
      <w:r>
        <w:fldChar w:fldCharType="separate"/>
      </w:r>
      <w:r>
        <w:t>26</w:t>
      </w:r>
      <w:r>
        <w:fldChar w:fldCharType="end"/>
      </w:r>
    </w:p>
    <w:p w14:paraId="1E7199C4" w14:textId="77777777" w:rsidR="00855B3D" w:rsidRDefault="00855B3D">
      <w:pPr>
        <w:pStyle w:val="TOC2"/>
        <w:rPr>
          <w:rFonts w:asciiTheme="minorHAnsi" w:eastAsiaTheme="minorEastAsia" w:hAnsiTheme="minorHAnsi" w:cstheme="minorBidi"/>
          <w:spacing w:val="0"/>
          <w:sz w:val="22"/>
          <w:szCs w:val="22"/>
        </w:rPr>
      </w:pPr>
      <w:r>
        <w:t>Broadcast planning</w:t>
      </w:r>
      <w:r>
        <w:tab/>
      </w:r>
      <w:r>
        <w:fldChar w:fldCharType="begin"/>
      </w:r>
      <w:r>
        <w:instrText xml:space="preserve"> PAGEREF _Toc433703282 \h </w:instrText>
      </w:r>
      <w:r>
        <w:fldChar w:fldCharType="separate"/>
      </w:r>
      <w:r>
        <w:t>27</w:t>
      </w:r>
      <w:r>
        <w:fldChar w:fldCharType="end"/>
      </w:r>
    </w:p>
    <w:p w14:paraId="0724B625" w14:textId="77777777" w:rsidR="00855B3D" w:rsidRDefault="00855B3D">
      <w:pPr>
        <w:pStyle w:val="TOC3"/>
        <w:rPr>
          <w:rFonts w:asciiTheme="minorHAnsi" w:eastAsiaTheme="minorEastAsia" w:hAnsiTheme="minorHAnsi" w:cstheme="minorBidi"/>
        </w:rPr>
      </w:pPr>
      <w:r>
        <w:t>Television licence area plans</w:t>
      </w:r>
      <w:r>
        <w:tab/>
      </w:r>
      <w:r>
        <w:fldChar w:fldCharType="begin"/>
      </w:r>
      <w:r>
        <w:instrText xml:space="preserve"> PAGEREF _Toc433703283 \h </w:instrText>
      </w:r>
      <w:r>
        <w:fldChar w:fldCharType="separate"/>
      </w:r>
      <w:r>
        <w:t>27</w:t>
      </w:r>
      <w:r>
        <w:fldChar w:fldCharType="end"/>
      </w:r>
    </w:p>
    <w:p w14:paraId="266C56ED" w14:textId="77777777" w:rsidR="00855B3D" w:rsidRDefault="00855B3D">
      <w:pPr>
        <w:pStyle w:val="TOC3"/>
        <w:rPr>
          <w:rFonts w:asciiTheme="minorHAnsi" w:eastAsiaTheme="minorEastAsia" w:hAnsiTheme="minorHAnsi" w:cstheme="minorBidi"/>
        </w:rPr>
      </w:pPr>
      <w:r>
        <w:t>Radio licence area plan variations</w:t>
      </w:r>
      <w:r>
        <w:tab/>
      </w:r>
      <w:r>
        <w:fldChar w:fldCharType="begin"/>
      </w:r>
      <w:r>
        <w:instrText xml:space="preserve"> PAGEREF _Toc433703284 \h </w:instrText>
      </w:r>
      <w:r>
        <w:fldChar w:fldCharType="separate"/>
      </w:r>
      <w:r>
        <w:t>28</w:t>
      </w:r>
      <w:r>
        <w:fldChar w:fldCharType="end"/>
      </w:r>
    </w:p>
    <w:p w14:paraId="254F7F64" w14:textId="77777777" w:rsidR="00855B3D" w:rsidRDefault="00855B3D">
      <w:pPr>
        <w:pStyle w:val="TOC3"/>
        <w:rPr>
          <w:rFonts w:asciiTheme="minorHAnsi" w:eastAsiaTheme="minorEastAsia" w:hAnsiTheme="minorHAnsi" w:cstheme="minorBidi"/>
        </w:rPr>
      </w:pPr>
      <w:r>
        <w:t>Digital radio</w:t>
      </w:r>
      <w:r>
        <w:tab/>
      </w:r>
      <w:r>
        <w:fldChar w:fldCharType="begin"/>
      </w:r>
      <w:r>
        <w:instrText xml:space="preserve"> PAGEREF _Toc433703285 \h </w:instrText>
      </w:r>
      <w:r>
        <w:fldChar w:fldCharType="separate"/>
      </w:r>
      <w:r>
        <w:t>29</w:t>
      </w:r>
      <w:r>
        <w:fldChar w:fldCharType="end"/>
      </w:r>
    </w:p>
    <w:p w14:paraId="75D6E921" w14:textId="77777777" w:rsidR="00855B3D" w:rsidRDefault="00855B3D">
      <w:pPr>
        <w:pStyle w:val="TOC2"/>
        <w:rPr>
          <w:rFonts w:asciiTheme="minorHAnsi" w:eastAsiaTheme="minorEastAsia" w:hAnsiTheme="minorHAnsi" w:cstheme="minorBidi"/>
          <w:spacing w:val="0"/>
          <w:sz w:val="22"/>
          <w:szCs w:val="22"/>
        </w:rPr>
      </w:pPr>
      <w:r>
        <w:t>Land mobile frequency coordination requirements</w:t>
      </w:r>
      <w:r>
        <w:tab/>
      </w:r>
      <w:r>
        <w:fldChar w:fldCharType="begin"/>
      </w:r>
      <w:r>
        <w:instrText xml:space="preserve"> PAGEREF _Toc433703286 \h </w:instrText>
      </w:r>
      <w:r>
        <w:fldChar w:fldCharType="separate"/>
      </w:r>
      <w:r>
        <w:t>29</w:t>
      </w:r>
      <w:r>
        <w:fldChar w:fldCharType="end"/>
      </w:r>
    </w:p>
    <w:p w14:paraId="50BA93F8" w14:textId="77777777" w:rsidR="00855B3D" w:rsidRDefault="00855B3D">
      <w:pPr>
        <w:pStyle w:val="TOC2"/>
        <w:rPr>
          <w:rFonts w:asciiTheme="minorHAnsi" w:eastAsiaTheme="minorEastAsia" w:hAnsiTheme="minorHAnsi" w:cstheme="minorBidi"/>
          <w:spacing w:val="0"/>
          <w:sz w:val="22"/>
          <w:szCs w:val="22"/>
        </w:rPr>
      </w:pPr>
      <w:r>
        <w:t>Ongoing review of spectrum planning and coordination frameworks</w:t>
      </w:r>
      <w:r>
        <w:tab/>
      </w:r>
      <w:r>
        <w:fldChar w:fldCharType="begin"/>
      </w:r>
      <w:r>
        <w:instrText xml:space="preserve"> PAGEREF _Toc433703287 \h </w:instrText>
      </w:r>
      <w:r>
        <w:fldChar w:fldCharType="separate"/>
      </w:r>
      <w:r>
        <w:t>29</w:t>
      </w:r>
      <w:r>
        <w:fldChar w:fldCharType="end"/>
      </w:r>
    </w:p>
    <w:p w14:paraId="20CB6A09" w14:textId="77777777" w:rsidR="00855B3D" w:rsidRDefault="00855B3D">
      <w:pPr>
        <w:pStyle w:val="TOC2"/>
        <w:rPr>
          <w:rFonts w:asciiTheme="minorHAnsi" w:eastAsiaTheme="minorEastAsia" w:hAnsiTheme="minorHAnsi" w:cstheme="minorBidi"/>
          <w:spacing w:val="0"/>
          <w:sz w:val="22"/>
          <w:szCs w:val="22"/>
        </w:rPr>
      </w:pPr>
      <w:r>
        <w:t>Five-year spectrum outlook</w:t>
      </w:r>
      <w:r>
        <w:tab/>
      </w:r>
      <w:r>
        <w:fldChar w:fldCharType="begin"/>
      </w:r>
      <w:r>
        <w:instrText xml:space="preserve"> PAGEREF _Toc433703288 \h </w:instrText>
      </w:r>
      <w:r>
        <w:fldChar w:fldCharType="separate"/>
      </w:r>
      <w:r>
        <w:t>29</w:t>
      </w:r>
      <w:r>
        <w:fldChar w:fldCharType="end"/>
      </w:r>
    </w:p>
    <w:p w14:paraId="36AFA60D" w14:textId="77777777" w:rsidR="00855B3D" w:rsidRDefault="00855B3D">
      <w:pPr>
        <w:pStyle w:val="TOC2"/>
        <w:rPr>
          <w:rFonts w:asciiTheme="minorHAnsi" w:eastAsiaTheme="minorEastAsia" w:hAnsiTheme="minorHAnsi" w:cstheme="minorBidi"/>
          <w:spacing w:val="0"/>
          <w:sz w:val="22"/>
          <w:szCs w:val="22"/>
        </w:rPr>
      </w:pPr>
      <w:r>
        <w:t>Mobile phone jammer trial at Lithgow Correctional Centre</w:t>
      </w:r>
      <w:r>
        <w:tab/>
      </w:r>
      <w:r>
        <w:fldChar w:fldCharType="begin"/>
      </w:r>
      <w:r>
        <w:instrText xml:space="preserve"> PAGEREF _Toc433703289 \h </w:instrText>
      </w:r>
      <w:r>
        <w:fldChar w:fldCharType="separate"/>
      </w:r>
      <w:r>
        <w:t>30</w:t>
      </w:r>
      <w:r>
        <w:fldChar w:fldCharType="end"/>
      </w:r>
    </w:p>
    <w:p w14:paraId="0B81FED7" w14:textId="77777777" w:rsidR="00855B3D" w:rsidRDefault="00855B3D">
      <w:pPr>
        <w:pStyle w:val="TOC2"/>
        <w:rPr>
          <w:rFonts w:asciiTheme="minorHAnsi" w:eastAsiaTheme="minorEastAsia" w:hAnsiTheme="minorHAnsi" w:cstheme="minorBidi"/>
          <w:spacing w:val="0"/>
          <w:sz w:val="22"/>
          <w:szCs w:val="22"/>
        </w:rPr>
      </w:pPr>
      <w:r>
        <w:t>1800 MHz band</w:t>
      </w:r>
      <w:r>
        <w:tab/>
      </w:r>
      <w:r>
        <w:fldChar w:fldCharType="begin"/>
      </w:r>
      <w:r>
        <w:instrText xml:space="preserve"> PAGEREF _Toc433703290 \h </w:instrText>
      </w:r>
      <w:r>
        <w:fldChar w:fldCharType="separate"/>
      </w:r>
      <w:r>
        <w:t>30</w:t>
      </w:r>
      <w:r>
        <w:fldChar w:fldCharType="end"/>
      </w:r>
    </w:p>
    <w:p w14:paraId="151A47D6" w14:textId="77777777" w:rsidR="00855B3D" w:rsidRDefault="00855B3D">
      <w:pPr>
        <w:pStyle w:val="TOC2"/>
        <w:rPr>
          <w:rFonts w:asciiTheme="minorHAnsi" w:eastAsiaTheme="minorEastAsia" w:hAnsiTheme="minorHAnsi" w:cstheme="minorBidi"/>
          <w:spacing w:val="0"/>
          <w:sz w:val="22"/>
          <w:szCs w:val="22"/>
        </w:rPr>
      </w:pPr>
      <w:r>
        <w:t>Apparatus licences in the 3.5 GHz band</w:t>
      </w:r>
      <w:r>
        <w:tab/>
      </w:r>
      <w:r>
        <w:fldChar w:fldCharType="begin"/>
      </w:r>
      <w:r>
        <w:instrText xml:space="preserve"> PAGEREF _Toc433703291 \h </w:instrText>
      </w:r>
      <w:r>
        <w:fldChar w:fldCharType="separate"/>
      </w:r>
      <w:r>
        <w:t>30</w:t>
      </w:r>
      <w:r>
        <w:fldChar w:fldCharType="end"/>
      </w:r>
    </w:p>
    <w:p w14:paraId="2C42AC64" w14:textId="77777777" w:rsidR="00855B3D" w:rsidRDefault="00855B3D">
      <w:pPr>
        <w:pStyle w:val="TOC2"/>
        <w:rPr>
          <w:rFonts w:asciiTheme="minorHAnsi" w:eastAsiaTheme="minorEastAsia" w:hAnsiTheme="minorHAnsi" w:cstheme="minorBidi"/>
          <w:spacing w:val="0"/>
          <w:sz w:val="22"/>
          <w:szCs w:val="22"/>
        </w:rPr>
      </w:pPr>
      <w:r>
        <w:t>International spectrum activities</w:t>
      </w:r>
      <w:r>
        <w:tab/>
      </w:r>
      <w:r>
        <w:fldChar w:fldCharType="begin"/>
      </w:r>
      <w:r>
        <w:instrText xml:space="preserve"> PAGEREF _Toc433703292 \h </w:instrText>
      </w:r>
      <w:r>
        <w:fldChar w:fldCharType="separate"/>
      </w:r>
      <w:r>
        <w:t>31</w:t>
      </w:r>
      <w:r>
        <w:fldChar w:fldCharType="end"/>
      </w:r>
    </w:p>
    <w:p w14:paraId="14DC5564" w14:textId="77777777" w:rsidR="00855B3D" w:rsidRDefault="00855B3D">
      <w:pPr>
        <w:pStyle w:val="TOC3"/>
        <w:rPr>
          <w:rFonts w:asciiTheme="minorHAnsi" w:eastAsiaTheme="minorEastAsia" w:hAnsiTheme="minorHAnsi" w:cstheme="minorBidi"/>
        </w:rPr>
      </w:pPr>
      <w:r>
        <w:t>Satellite coordination</w:t>
      </w:r>
      <w:r>
        <w:tab/>
      </w:r>
      <w:r>
        <w:fldChar w:fldCharType="begin"/>
      </w:r>
      <w:r>
        <w:instrText xml:space="preserve"> PAGEREF _Toc433703293 \h </w:instrText>
      </w:r>
      <w:r>
        <w:fldChar w:fldCharType="separate"/>
      </w:r>
      <w:r>
        <w:t>31</w:t>
      </w:r>
      <w:r>
        <w:fldChar w:fldCharType="end"/>
      </w:r>
    </w:p>
    <w:p w14:paraId="63C4A7BB"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Minimisation of unacceptable interference to radiocommunications services</w:t>
      </w:r>
      <w:r>
        <w:tab/>
      </w:r>
      <w:r>
        <w:fldChar w:fldCharType="begin"/>
      </w:r>
      <w:r>
        <w:instrText xml:space="preserve"> PAGEREF _Toc433703294 \h </w:instrText>
      </w:r>
      <w:r>
        <w:fldChar w:fldCharType="separate"/>
      </w:r>
      <w:r>
        <w:t>32</w:t>
      </w:r>
      <w:r>
        <w:fldChar w:fldCharType="end"/>
      </w:r>
    </w:p>
    <w:p w14:paraId="0A6398F0"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The instances of unacceptable interference are low; and interference complaints are resolved quickly and in a cost-effective manner</w:t>
      </w:r>
      <w:r>
        <w:tab/>
      </w:r>
      <w:r>
        <w:fldChar w:fldCharType="begin"/>
      </w:r>
      <w:r>
        <w:instrText xml:space="preserve"> PAGEREF _Toc433703295 \h </w:instrText>
      </w:r>
      <w:r>
        <w:fldChar w:fldCharType="separate"/>
      </w:r>
      <w:r>
        <w:t>32</w:t>
      </w:r>
      <w:r>
        <w:fldChar w:fldCharType="end"/>
      </w:r>
    </w:p>
    <w:p w14:paraId="29EEE729"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_Toc433703296 \h </w:instrText>
      </w:r>
      <w:r>
        <w:fldChar w:fldCharType="separate"/>
      </w:r>
      <w:r>
        <w:t>32</w:t>
      </w:r>
      <w:r>
        <w:fldChar w:fldCharType="end"/>
      </w:r>
    </w:p>
    <w:p w14:paraId="4D26DDAB" w14:textId="77777777" w:rsidR="00855B3D" w:rsidRDefault="00855B3D">
      <w:pPr>
        <w:pStyle w:val="TOC2"/>
        <w:rPr>
          <w:rFonts w:asciiTheme="minorHAnsi" w:eastAsiaTheme="minorEastAsia" w:hAnsiTheme="minorHAnsi" w:cstheme="minorBidi"/>
          <w:spacing w:val="0"/>
          <w:sz w:val="22"/>
          <w:szCs w:val="22"/>
        </w:rPr>
      </w:pPr>
      <w:r>
        <w:t>Technical standards and regulations</w:t>
      </w:r>
      <w:r>
        <w:tab/>
      </w:r>
      <w:r>
        <w:fldChar w:fldCharType="begin"/>
      </w:r>
      <w:r>
        <w:instrText xml:space="preserve"> PAGEREF _Toc433703297 \h </w:instrText>
      </w:r>
      <w:r>
        <w:fldChar w:fldCharType="separate"/>
      </w:r>
      <w:r>
        <w:t>32</w:t>
      </w:r>
      <w:r>
        <w:fldChar w:fldCharType="end"/>
      </w:r>
    </w:p>
    <w:p w14:paraId="6712D7CA" w14:textId="77777777" w:rsidR="00855B3D" w:rsidRDefault="00855B3D">
      <w:pPr>
        <w:pStyle w:val="TOC3"/>
        <w:rPr>
          <w:rFonts w:asciiTheme="minorHAnsi" w:eastAsiaTheme="minorEastAsia" w:hAnsiTheme="minorHAnsi" w:cstheme="minorBidi"/>
        </w:rPr>
      </w:pPr>
      <w:r>
        <w:t>Radiocommunications</w:t>
      </w:r>
      <w:r>
        <w:tab/>
      </w:r>
      <w:r>
        <w:fldChar w:fldCharType="begin"/>
      </w:r>
      <w:r>
        <w:instrText xml:space="preserve"> PAGEREF _Toc433703298 \h </w:instrText>
      </w:r>
      <w:r>
        <w:fldChar w:fldCharType="separate"/>
      </w:r>
      <w:r>
        <w:t>32</w:t>
      </w:r>
      <w:r>
        <w:fldChar w:fldCharType="end"/>
      </w:r>
    </w:p>
    <w:p w14:paraId="58ED4516" w14:textId="77777777" w:rsidR="00855B3D" w:rsidRDefault="00855B3D">
      <w:pPr>
        <w:pStyle w:val="TOC3"/>
        <w:rPr>
          <w:rFonts w:asciiTheme="minorHAnsi" w:eastAsiaTheme="minorEastAsia" w:hAnsiTheme="minorHAnsi" w:cstheme="minorBidi"/>
        </w:rPr>
      </w:pPr>
      <w:r>
        <w:t>Electromagnetic compatibility</w:t>
      </w:r>
      <w:r>
        <w:tab/>
      </w:r>
      <w:r>
        <w:fldChar w:fldCharType="begin"/>
      </w:r>
      <w:r>
        <w:instrText xml:space="preserve"> PAGEREF _Toc433703299 \h </w:instrText>
      </w:r>
      <w:r>
        <w:fldChar w:fldCharType="separate"/>
      </w:r>
      <w:r>
        <w:t>32</w:t>
      </w:r>
      <w:r>
        <w:fldChar w:fldCharType="end"/>
      </w:r>
    </w:p>
    <w:p w14:paraId="21803BA1" w14:textId="77777777" w:rsidR="00855B3D" w:rsidRDefault="00855B3D">
      <w:pPr>
        <w:pStyle w:val="TOC3"/>
        <w:rPr>
          <w:rFonts w:asciiTheme="minorHAnsi" w:eastAsiaTheme="minorEastAsia" w:hAnsiTheme="minorHAnsi" w:cstheme="minorBidi"/>
        </w:rPr>
      </w:pPr>
      <w:r>
        <w:t>Electromagnetic energy</w:t>
      </w:r>
      <w:r>
        <w:tab/>
      </w:r>
      <w:r>
        <w:fldChar w:fldCharType="begin"/>
      </w:r>
      <w:r>
        <w:instrText xml:space="preserve"> PAGEREF _Toc433703300 \h </w:instrText>
      </w:r>
      <w:r>
        <w:fldChar w:fldCharType="separate"/>
      </w:r>
      <w:r>
        <w:t>33</w:t>
      </w:r>
      <w:r>
        <w:fldChar w:fldCharType="end"/>
      </w:r>
    </w:p>
    <w:p w14:paraId="4F7C52C6" w14:textId="77777777" w:rsidR="00855B3D" w:rsidRDefault="00855B3D">
      <w:pPr>
        <w:pStyle w:val="TOC2"/>
        <w:rPr>
          <w:rFonts w:asciiTheme="minorHAnsi" w:eastAsiaTheme="minorEastAsia" w:hAnsiTheme="minorHAnsi" w:cstheme="minorBidi"/>
          <w:spacing w:val="0"/>
          <w:sz w:val="22"/>
          <w:szCs w:val="22"/>
        </w:rPr>
      </w:pPr>
      <w:r>
        <w:t>Field-based activities and investigations</w:t>
      </w:r>
      <w:r>
        <w:tab/>
      </w:r>
      <w:r>
        <w:fldChar w:fldCharType="begin"/>
      </w:r>
      <w:r>
        <w:instrText xml:space="preserve"> PAGEREF _Toc433703301 \h </w:instrText>
      </w:r>
      <w:r>
        <w:fldChar w:fldCharType="separate"/>
      </w:r>
      <w:r>
        <w:t>33</w:t>
      </w:r>
      <w:r>
        <w:fldChar w:fldCharType="end"/>
      </w:r>
    </w:p>
    <w:p w14:paraId="6F80541D" w14:textId="77777777" w:rsidR="00855B3D" w:rsidRDefault="00855B3D">
      <w:pPr>
        <w:pStyle w:val="TOC3"/>
        <w:rPr>
          <w:rFonts w:asciiTheme="minorHAnsi" w:eastAsiaTheme="minorEastAsia" w:hAnsiTheme="minorHAnsi" w:cstheme="minorBidi"/>
        </w:rPr>
      </w:pPr>
      <w:r>
        <w:t>Radiocommunications interference management</w:t>
      </w:r>
      <w:r>
        <w:tab/>
      </w:r>
      <w:r>
        <w:fldChar w:fldCharType="begin"/>
      </w:r>
      <w:r>
        <w:instrText xml:space="preserve"> PAGEREF _Toc433703302 \h </w:instrText>
      </w:r>
      <w:r>
        <w:fldChar w:fldCharType="separate"/>
      </w:r>
      <w:r>
        <w:t>33</w:t>
      </w:r>
      <w:r>
        <w:fldChar w:fldCharType="end"/>
      </w:r>
    </w:p>
    <w:p w14:paraId="2927C2BD" w14:textId="77777777" w:rsidR="00855B3D" w:rsidRDefault="00855B3D">
      <w:pPr>
        <w:pStyle w:val="TOC3"/>
        <w:rPr>
          <w:rFonts w:asciiTheme="minorHAnsi" w:eastAsiaTheme="minorEastAsia" w:hAnsiTheme="minorHAnsi" w:cstheme="minorBidi"/>
        </w:rPr>
      </w:pPr>
      <w:r>
        <w:t>Radiocommunications interference prosecutions</w:t>
      </w:r>
      <w:r>
        <w:tab/>
      </w:r>
      <w:r>
        <w:fldChar w:fldCharType="begin"/>
      </w:r>
      <w:r>
        <w:instrText xml:space="preserve"> PAGEREF _Toc433703303 \h </w:instrText>
      </w:r>
      <w:r>
        <w:fldChar w:fldCharType="separate"/>
      </w:r>
      <w:r>
        <w:t>34</w:t>
      </w:r>
      <w:r>
        <w:fldChar w:fldCharType="end"/>
      </w:r>
    </w:p>
    <w:p w14:paraId="75669D35" w14:textId="77777777" w:rsidR="00855B3D" w:rsidRDefault="00855B3D">
      <w:pPr>
        <w:pStyle w:val="TOC3"/>
        <w:rPr>
          <w:rFonts w:asciiTheme="minorHAnsi" w:eastAsiaTheme="minorEastAsia" w:hAnsiTheme="minorHAnsi" w:cstheme="minorBidi"/>
        </w:rPr>
      </w:pPr>
      <w:r>
        <w:t>Spectrum monitoring network</w:t>
      </w:r>
      <w:r>
        <w:tab/>
      </w:r>
      <w:r>
        <w:fldChar w:fldCharType="begin"/>
      </w:r>
      <w:r>
        <w:instrText xml:space="preserve"> PAGEREF _Toc433703304 \h </w:instrText>
      </w:r>
      <w:r>
        <w:fldChar w:fldCharType="separate"/>
      </w:r>
      <w:r>
        <w:t>34</w:t>
      </w:r>
      <w:r>
        <w:fldChar w:fldCharType="end"/>
      </w:r>
    </w:p>
    <w:p w14:paraId="7CA9DE34" w14:textId="77777777" w:rsidR="00855B3D" w:rsidRDefault="00855B3D">
      <w:pPr>
        <w:pStyle w:val="TOC3"/>
        <w:rPr>
          <w:rFonts w:asciiTheme="minorHAnsi" w:eastAsiaTheme="minorEastAsia" w:hAnsiTheme="minorHAnsi" w:cstheme="minorBidi"/>
        </w:rPr>
      </w:pPr>
      <w:r>
        <w:t>Radiocommunications compliance</w:t>
      </w:r>
      <w:r w:rsidRPr="00590950">
        <w:t xml:space="preserve"> </w:t>
      </w:r>
      <w:r>
        <w:t>laboratory</w:t>
      </w:r>
      <w:r>
        <w:tab/>
      </w:r>
      <w:r>
        <w:fldChar w:fldCharType="begin"/>
      </w:r>
      <w:r>
        <w:instrText xml:space="preserve"> PAGEREF _Toc433703305 \h </w:instrText>
      </w:r>
      <w:r>
        <w:fldChar w:fldCharType="separate"/>
      </w:r>
      <w:r>
        <w:t>35</w:t>
      </w:r>
      <w:r>
        <w:fldChar w:fldCharType="end"/>
      </w:r>
    </w:p>
    <w:p w14:paraId="1BBE7D16" w14:textId="77777777" w:rsidR="00855B3D" w:rsidRDefault="00855B3D">
      <w:pPr>
        <w:pStyle w:val="TOC3"/>
        <w:rPr>
          <w:rFonts w:asciiTheme="minorHAnsi" w:eastAsiaTheme="minorEastAsia" w:hAnsiTheme="minorHAnsi" w:cstheme="minorBidi"/>
        </w:rPr>
      </w:pPr>
      <w:r>
        <w:t>Compliance forbearance</w:t>
      </w:r>
      <w:r>
        <w:tab/>
      </w:r>
      <w:r>
        <w:fldChar w:fldCharType="begin"/>
      </w:r>
      <w:r>
        <w:instrText xml:space="preserve"> PAGEREF _Toc433703306 \h </w:instrText>
      </w:r>
      <w:r>
        <w:fldChar w:fldCharType="separate"/>
      </w:r>
      <w:r>
        <w:t>35</w:t>
      </w:r>
      <w:r>
        <w:fldChar w:fldCharType="end"/>
      </w:r>
    </w:p>
    <w:p w14:paraId="75D162C5" w14:textId="77777777" w:rsidR="00855B3D" w:rsidRDefault="00855B3D">
      <w:pPr>
        <w:pStyle w:val="TOC2"/>
        <w:rPr>
          <w:rFonts w:asciiTheme="minorHAnsi" w:eastAsiaTheme="minorEastAsia" w:hAnsiTheme="minorHAnsi" w:cstheme="minorBidi"/>
          <w:spacing w:val="0"/>
          <w:sz w:val="22"/>
          <w:szCs w:val="22"/>
        </w:rPr>
      </w:pPr>
      <w:r>
        <w:t>Telecommunications infrastructure regulation</w:t>
      </w:r>
      <w:r>
        <w:tab/>
      </w:r>
      <w:r>
        <w:fldChar w:fldCharType="begin"/>
      </w:r>
      <w:r>
        <w:instrText xml:space="preserve"> PAGEREF _Toc433703307 \h </w:instrText>
      </w:r>
      <w:r>
        <w:fldChar w:fldCharType="separate"/>
      </w:r>
      <w:r>
        <w:t>36</w:t>
      </w:r>
      <w:r>
        <w:fldChar w:fldCharType="end"/>
      </w:r>
    </w:p>
    <w:p w14:paraId="7CC71F17" w14:textId="77777777" w:rsidR="00855B3D" w:rsidRDefault="00855B3D">
      <w:pPr>
        <w:pStyle w:val="TOC3"/>
        <w:rPr>
          <w:rFonts w:asciiTheme="minorHAnsi" w:eastAsiaTheme="minorEastAsia" w:hAnsiTheme="minorHAnsi" w:cstheme="minorBidi"/>
        </w:rPr>
      </w:pPr>
      <w:r>
        <w:t>Carriers’ rights and obligations</w:t>
      </w:r>
      <w:r>
        <w:tab/>
      </w:r>
      <w:r>
        <w:fldChar w:fldCharType="begin"/>
      </w:r>
      <w:r>
        <w:instrText xml:space="preserve"> PAGEREF _Toc433703308 \h </w:instrText>
      </w:r>
      <w:r>
        <w:fldChar w:fldCharType="separate"/>
      </w:r>
      <w:r>
        <w:t>36</w:t>
      </w:r>
      <w:r>
        <w:fldChar w:fldCharType="end"/>
      </w:r>
    </w:p>
    <w:p w14:paraId="7E00BB8C" w14:textId="77777777" w:rsidR="00855B3D" w:rsidRDefault="00855B3D">
      <w:pPr>
        <w:pStyle w:val="TOC3"/>
        <w:rPr>
          <w:rFonts w:asciiTheme="minorHAnsi" w:eastAsiaTheme="minorEastAsia" w:hAnsiTheme="minorHAnsi" w:cstheme="minorBidi"/>
        </w:rPr>
      </w:pPr>
      <w:r>
        <w:t>Mobile phone base station deployment</w:t>
      </w:r>
      <w:r>
        <w:tab/>
      </w:r>
      <w:r>
        <w:fldChar w:fldCharType="begin"/>
      </w:r>
      <w:r>
        <w:instrText xml:space="preserve"> PAGEREF _Toc433703309 \h </w:instrText>
      </w:r>
      <w:r>
        <w:fldChar w:fldCharType="separate"/>
      </w:r>
      <w:r>
        <w:t>36</w:t>
      </w:r>
      <w:r>
        <w:fldChar w:fldCharType="end"/>
      </w:r>
    </w:p>
    <w:p w14:paraId="7D27F659"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Promotion of competition, efficiency and innovation in the Australian telecommunications industry</w:t>
      </w:r>
      <w:r>
        <w:tab/>
      </w:r>
      <w:r>
        <w:fldChar w:fldCharType="begin"/>
      </w:r>
      <w:r>
        <w:instrText xml:space="preserve"> PAGEREF _Toc433703310 \h </w:instrText>
      </w:r>
      <w:r>
        <w:fldChar w:fldCharType="separate"/>
      </w:r>
      <w:r>
        <w:t>37</w:t>
      </w:r>
      <w:r>
        <w:fldChar w:fldCharType="end"/>
      </w:r>
    </w:p>
    <w:p w14:paraId="0122A45B"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Competition, efficiency and innovation in the Australian telecommunications industry is maximised, resulting in a simple and flexible numbering scheme</w:t>
      </w:r>
      <w:r>
        <w:tab/>
      </w:r>
      <w:r>
        <w:fldChar w:fldCharType="begin"/>
      </w:r>
      <w:r>
        <w:instrText xml:space="preserve"> PAGEREF _Toc433703311 \h </w:instrText>
      </w:r>
      <w:r>
        <w:fldChar w:fldCharType="separate"/>
      </w:r>
      <w:r>
        <w:t>37</w:t>
      </w:r>
      <w:r>
        <w:fldChar w:fldCharType="end"/>
      </w:r>
    </w:p>
    <w:p w14:paraId="2907D974"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_Toc433703312 \h </w:instrText>
      </w:r>
      <w:r>
        <w:fldChar w:fldCharType="separate"/>
      </w:r>
      <w:r>
        <w:t>37</w:t>
      </w:r>
      <w:r>
        <w:fldChar w:fldCharType="end"/>
      </w:r>
    </w:p>
    <w:p w14:paraId="2D2DF8EE" w14:textId="77777777" w:rsidR="00855B3D" w:rsidRDefault="00855B3D">
      <w:pPr>
        <w:pStyle w:val="TOC2"/>
        <w:rPr>
          <w:rFonts w:asciiTheme="minorHAnsi" w:eastAsiaTheme="minorEastAsia" w:hAnsiTheme="minorHAnsi" w:cstheme="minorBidi"/>
          <w:spacing w:val="0"/>
          <w:sz w:val="22"/>
          <w:szCs w:val="22"/>
        </w:rPr>
      </w:pPr>
      <w:r>
        <w:t>Numbering reform activities</w:t>
      </w:r>
      <w:r>
        <w:tab/>
      </w:r>
      <w:r>
        <w:fldChar w:fldCharType="begin"/>
      </w:r>
      <w:r>
        <w:instrText xml:space="preserve"> PAGEREF _Toc433703313 \h </w:instrText>
      </w:r>
      <w:r>
        <w:fldChar w:fldCharType="separate"/>
      </w:r>
      <w:r>
        <w:t>37</w:t>
      </w:r>
      <w:r>
        <w:fldChar w:fldCharType="end"/>
      </w:r>
    </w:p>
    <w:p w14:paraId="57B393DF" w14:textId="77777777" w:rsidR="00855B3D" w:rsidRDefault="00855B3D">
      <w:pPr>
        <w:pStyle w:val="TOC2"/>
        <w:rPr>
          <w:rFonts w:asciiTheme="minorHAnsi" w:eastAsiaTheme="minorEastAsia" w:hAnsiTheme="minorHAnsi" w:cstheme="minorBidi"/>
          <w:spacing w:val="0"/>
          <w:sz w:val="22"/>
          <w:szCs w:val="22"/>
        </w:rPr>
      </w:pPr>
      <w:r>
        <w:t>New arrangements for mobile calls to 1800 and 13/1300 numbers</w:t>
      </w:r>
      <w:r>
        <w:tab/>
      </w:r>
      <w:r>
        <w:fldChar w:fldCharType="begin"/>
      </w:r>
      <w:r>
        <w:instrText xml:space="preserve"> PAGEREF _Toc433703314 \h </w:instrText>
      </w:r>
      <w:r>
        <w:fldChar w:fldCharType="separate"/>
      </w:r>
      <w:r>
        <w:t>38</w:t>
      </w:r>
      <w:r>
        <w:fldChar w:fldCharType="end"/>
      </w:r>
    </w:p>
    <w:p w14:paraId="1F3CA632" w14:textId="77777777" w:rsidR="00855B3D" w:rsidRDefault="00855B3D">
      <w:pPr>
        <w:pStyle w:val="TOC2"/>
        <w:rPr>
          <w:rFonts w:asciiTheme="minorHAnsi" w:eastAsiaTheme="minorEastAsia" w:hAnsiTheme="minorHAnsi" w:cstheme="minorBidi"/>
          <w:spacing w:val="0"/>
          <w:sz w:val="22"/>
          <w:szCs w:val="22"/>
        </w:rPr>
      </w:pPr>
      <w:r>
        <w:t>Numbering Advisory Committee</w:t>
      </w:r>
      <w:r>
        <w:tab/>
      </w:r>
      <w:r>
        <w:fldChar w:fldCharType="begin"/>
      </w:r>
      <w:r>
        <w:instrText xml:space="preserve"> PAGEREF _Toc433703315 \h </w:instrText>
      </w:r>
      <w:r>
        <w:fldChar w:fldCharType="separate"/>
      </w:r>
      <w:r>
        <w:t>38</w:t>
      </w:r>
      <w:r>
        <w:fldChar w:fldCharType="end"/>
      </w:r>
    </w:p>
    <w:p w14:paraId="74C09597"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Administration of licensing and number allocation arrangements</w:t>
      </w:r>
      <w:r>
        <w:tab/>
      </w:r>
      <w:r>
        <w:fldChar w:fldCharType="begin"/>
      </w:r>
      <w:r>
        <w:instrText xml:space="preserve"> PAGEREF _Toc433703316 \h </w:instrText>
      </w:r>
      <w:r>
        <w:fldChar w:fldCharType="separate"/>
      </w:r>
      <w:r>
        <w:t>40</w:t>
      </w:r>
      <w:r>
        <w:fldChar w:fldCharType="end"/>
      </w:r>
    </w:p>
    <w:p w14:paraId="1B37C25C"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In allocating or renewing broadcasting, telecommunications and radiocommunications licences and numbers, administrative costs on industry and citizens are minimised</w:t>
      </w:r>
      <w:r>
        <w:tab/>
      </w:r>
      <w:r>
        <w:fldChar w:fldCharType="begin"/>
      </w:r>
      <w:r>
        <w:instrText xml:space="preserve"> PAGEREF _Toc433703317 \h </w:instrText>
      </w:r>
      <w:r>
        <w:fldChar w:fldCharType="separate"/>
      </w:r>
      <w:r>
        <w:t>40</w:t>
      </w:r>
      <w:r>
        <w:fldChar w:fldCharType="end"/>
      </w:r>
    </w:p>
    <w:p w14:paraId="45280AAE"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_Toc433703318 \h </w:instrText>
      </w:r>
      <w:r>
        <w:fldChar w:fldCharType="separate"/>
      </w:r>
      <w:r>
        <w:t>40</w:t>
      </w:r>
      <w:r>
        <w:fldChar w:fldCharType="end"/>
      </w:r>
    </w:p>
    <w:p w14:paraId="2C2E8516" w14:textId="77777777" w:rsidR="00855B3D" w:rsidRDefault="00855B3D">
      <w:pPr>
        <w:pStyle w:val="TOC2"/>
        <w:rPr>
          <w:rFonts w:asciiTheme="minorHAnsi" w:eastAsiaTheme="minorEastAsia" w:hAnsiTheme="minorHAnsi" w:cstheme="minorBidi"/>
          <w:spacing w:val="0"/>
          <w:sz w:val="22"/>
          <w:szCs w:val="22"/>
        </w:rPr>
      </w:pPr>
      <w:r>
        <w:t>Radiocommunications licensing</w:t>
      </w:r>
      <w:r>
        <w:tab/>
      </w:r>
      <w:r>
        <w:fldChar w:fldCharType="begin"/>
      </w:r>
      <w:r>
        <w:instrText xml:space="preserve"> PAGEREF _Toc433703319 \h </w:instrText>
      </w:r>
      <w:r>
        <w:fldChar w:fldCharType="separate"/>
      </w:r>
      <w:r>
        <w:t>40</w:t>
      </w:r>
      <w:r>
        <w:fldChar w:fldCharType="end"/>
      </w:r>
    </w:p>
    <w:p w14:paraId="0FB46899" w14:textId="77777777" w:rsidR="00855B3D" w:rsidRDefault="00855B3D">
      <w:pPr>
        <w:pStyle w:val="TOC3"/>
        <w:rPr>
          <w:rFonts w:asciiTheme="minorHAnsi" w:eastAsiaTheme="minorEastAsia" w:hAnsiTheme="minorHAnsi" w:cstheme="minorBidi"/>
        </w:rPr>
      </w:pPr>
      <w:r>
        <w:t>Apparatus licensing</w:t>
      </w:r>
      <w:r>
        <w:tab/>
      </w:r>
      <w:r>
        <w:fldChar w:fldCharType="begin"/>
      </w:r>
      <w:r>
        <w:instrText xml:space="preserve"> PAGEREF _Toc433703320 \h </w:instrText>
      </w:r>
      <w:r>
        <w:fldChar w:fldCharType="separate"/>
      </w:r>
      <w:r>
        <w:t>40</w:t>
      </w:r>
      <w:r>
        <w:fldChar w:fldCharType="end"/>
      </w:r>
    </w:p>
    <w:p w14:paraId="171D73A0" w14:textId="77777777" w:rsidR="00855B3D" w:rsidRDefault="00855B3D">
      <w:pPr>
        <w:pStyle w:val="TOC3"/>
        <w:rPr>
          <w:rFonts w:asciiTheme="minorHAnsi" w:eastAsiaTheme="minorEastAsia" w:hAnsiTheme="minorHAnsi" w:cstheme="minorBidi"/>
        </w:rPr>
      </w:pPr>
      <w:r>
        <w:t>Spectrum licensing</w:t>
      </w:r>
      <w:r>
        <w:tab/>
      </w:r>
      <w:r>
        <w:fldChar w:fldCharType="begin"/>
      </w:r>
      <w:r>
        <w:instrText xml:space="preserve"> PAGEREF _Toc433703321 \h </w:instrText>
      </w:r>
      <w:r>
        <w:fldChar w:fldCharType="separate"/>
      </w:r>
      <w:r>
        <w:t>42</w:t>
      </w:r>
      <w:r>
        <w:fldChar w:fldCharType="end"/>
      </w:r>
    </w:p>
    <w:p w14:paraId="5FE983E2" w14:textId="77777777" w:rsidR="00855B3D" w:rsidRDefault="00855B3D">
      <w:pPr>
        <w:pStyle w:val="TOC3"/>
        <w:rPr>
          <w:rFonts w:asciiTheme="minorHAnsi" w:eastAsiaTheme="minorEastAsia" w:hAnsiTheme="minorHAnsi" w:cstheme="minorBidi"/>
        </w:rPr>
      </w:pPr>
      <w:r>
        <w:t>Class licensing</w:t>
      </w:r>
      <w:r>
        <w:tab/>
      </w:r>
      <w:r>
        <w:fldChar w:fldCharType="begin"/>
      </w:r>
      <w:r>
        <w:instrText xml:space="preserve"> PAGEREF _Toc433703322 \h </w:instrText>
      </w:r>
      <w:r>
        <w:fldChar w:fldCharType="separate"/>
      </w:r>
      <w:r>
        <w:t>43</w:t>
      </w:r>
      <w:r>
        <w:fldChar w:fldCharType="end"/>
      </w:r>
    </w:p>
    <w:p w14:paraId="1C756F3D" w14:textId="77777777" w:rsidR="00855B3D" w:rsidRDefault="00855B3D">
      <w:pPr>
        <w:pStyle w:val="TOC3"/>
        <w:rPr>
          <w:rFonts w:asciiTheme="minorHAnsi" w:eastAsiaTheme="minorEastAsia" w:hAnsiTheme="minorHAnsi" w:cstheme="minorBidi"/>
        </w:rPr>
      </w:pPr>
      <w:r>
        <w:t>Accredited persons scheme</w:t>
      </w:r>
      <w:r>
        <w:tab/>
      </w:r>
      <w:r>
        <w:fldChar w:fldCharType="begin"/>
      </w:r>
      <w:r>
        <w:instrText xml:space="preserve"> PAGEREF _Toc433703323 \h </w:instrText>
      </w:r>
      <w:r>
        <w:fldChar w:fldCharType="separate"/>
      </w:r>
      <w:r>
        <w:t>44</w:t>
      </w:r>
      <w:r>
        <w:fldChar w:fldCharType="end"/>
      </w:r>
    </w:p>
    <w:p w14:paraId="60392D7B" w14:textId="77777777" w:rsidR="00855B3D" w:rsidRDefault="00855B3D">
      <w:pPr>
        <w:pStyle w:val="TOC3"/>
        <w:rPr>
          <w:rFonts w:asciiTheme="minorHAnsi" w:eastAsiaTheme="minorEastAsia" w:hAnsiTheme="minorHAnsi" w:cstheme="minorBidi"/>
        </w:rPr>
      </w:pPr>
      <w:r>
        <w:t>Marine radio certificates of proficiency and operator examinations</w:t>
      </w:r>
      <w:r>
        <w:tab/>
      </w:r>
      <w:r>
        <w:fldChar w:fldCharType="begin"/>
      </w:r>
      <w:r>
        <w:instrText xml:space="preserve"> PAGEREF _Toc433703324 \h </w:instrText>
      </w:r>
      <w:r>
        <w:fldChar w:fldCharType="separate"/>
      </w:r>
      <w:r>
        <w:t>44</w:t>
      </w:r>
      <w:r>
        <w:fldChar w:fldCharType="end"/>
      </w:r>
    </w:p>
    <w:p w14:paraId="0C92BBFA" w14:textId="77777777" w:rsidR="00855B3D" w:rsidRDefault="00855B3D">
      <w:pPr>
        <w:pStyle w:val="TOC3"/>
        <w:rPr>
          <w:rFonts w:asciiTheme="minorHAnsi" w:eastAsiaTheme="minorEastAsia" w:hAnsiTheme="minorHAnsi" w:cstheme="minorBidi"/>
        </w:rPr>
      </w:pPr>
      <w:r>
        <w:t>Review of marine radio operator qualifications for recreational boaters</w:t>
      </w:r>
      <w:r>
        <w:tab/>
      </w:r>
      <w:r>
        <w:fldChar w:fldCharType="begin"/>
      </w:r>
      <w:r>
        <w:instrText xml:space="preserve"> PAGEREF _Toc433703325 \h </w:instrText>
      </w:r>
      <w:r>
        <w:fldChar w:fldCharType="separate"/>
      </w:r>
      <w:r>
        <w:t>45</w:t>
      </w:r>
      <w:r>
        <w:fldChar w:fldCharType="end"/>
      </w:r>
    </w:p>
    <w:p w14:paraId="744215B2" w14:textId="77777777" w:rsidR="00855B3D" w:rsidRDefault="00855B3D">
      <w:pPr>
        <w:pStyle w:val="TOC3"/>
        <w:rPr>
          <w:rFonts w:asciiTheme="minorHAnsi" w:eastAsiaTheme="minorEastAsia" w:hAnsiTheme="minorHAnsi" w:cstheme="minorBidi"/>
        </w:rPr>
      </w:pPr>
      <w:r>
        <w:t>Amateur radio operator examination services</w:t>
      </w:r>
      <w:r>
        <w:tab/>
      </w:r>
      <w:r>
        <w:fldChar w:fldCharType="begin"/>
      </w:r>
      <w:r>
        <w:instrText xml:space="preserve"> PAGEREF _Toc433703326 \h </w:instrText>
      </w:r>
      <w:r>
        <w:fldChar w:fldCharType="separate"/>
      </w:r>
      <w:r>
        <w:t>45</w:t>
      </w:r>
      <w:r>
        <w:fldChar w:fldCharType="end"/>
      </w:r>
    </w:p>
    <w:p w14:paraId="2647507E" w14:textId="77777777" w:rsidR="00855B3D" w:rsidRDefault="00855B3D">
      <w:pPr>
        <w:pStyle w:val="TOC2"/>
        <w:rPr>
          <w:rFonts w:asciiTheme="minorHAnsi" w:eastAsiaTheme="minorEastAsia" w:hAnsiTheme="minorHAnsi" w:cstheme="minorBidi"/>
          <w:spacing w:val="0"/>
          <w:sz w:val="22"/>
          <w:szCs w:val="22"/>
        </w:rPr>
      </w:pPr>
      <w:r>
        <w:t>Broadcasting licensing</w:t>
      </w:r>
      <w:r>
        <w:tab/>
      </w:r>
      <w:r>
        <w:fldChar w:fldCharType="begin"/>
      </w:r>
      <w:r>
        <w:instrText xml:space="preserve"> PAGEREF _Toc433703327 \h </w:instrText>
      </w:r>
      <w:r>
        <w:fldChar w:fldCharType="separate"/>
      </w:r>
      <w:r>
        <w:t>46</w:t>
      </w:r>
      <w:r>
        <w:fldChar w:fldCharType="end"/>
      </w:r>
    </w:p>
    <w:p w14:paraId="18E7AAF2" w14:textId="77777777" w:rsidR="00855B3D" w:rsidRDefault="00855B3D">
      <w:pPr>
        <w:pStyle w:val="TOC3"/>
        <w:rPr>
          <w:rFonts w:asciiTheme="minorHAnsi" w:eastAsiaTheme="minorEastAsia" w:hAnsiTheme="minorHAnsi" w:cstheme="minorBidi"/>
        </w:rPr>
      </w:pPr>
      <w:r>
        <w:t>Temporary community broadcasting licences</w:t>
      </w:r>
      <w:r>
        <w:tab/>
      </w:r>
      <w:r>
        <w:fldChar w:fldCharType="begin"/>
      </w:r>
      <w:r>
        <w:instrText xml:space="preserve"> PAGEREF _Toc433703328 \h </w:instrText>
      </w:r>
      <w:r>
        <w:fldChar w:fldCharType="separate"/>
      </w:r>
      <w:r>
        <w:t>46</w:t>
      </w:r>
      <w:r>
        <w:fldChar w:fldCharType="end"/>
      </w:r>
    </w:p>
    <w:p w14:paraId="0A95D019" w14:textId="77777777" w:rsidR="00855B3D" w:rsidRDefault="00855B3D">
      <w:pPr>
        <w:pStyle w:val="TOC3"/>
        <w:rPr>
          <w:rFonts w:asciiTheme="minorHAnsi" w:eastAsiaTheme="minorEastAsia" w:hAnsiTheme="minorHAnsi" w:cstheme="minorBidi"/>
        </w:rPr>
      </w:pPr>
      <w:r>
        <w:t>Community radio broadcasting licences</w:t>
      </w:r>
      <w:r>
        <w:tab/>
      </w:r>
      <w:r>
        <w:fldChar w:fldCharType="begin"/>
      </w:r>
      <w:r>
        <w:instrText xml:space="preserve"> PAGEREF _Toc433703329 \h </w:instrText>
      </w:r>
      <w:r>
        <w:fldChar w:fldCharType="separate"/>
      </w:r>
      <w:r>
        <w:t>46</w:t>
      </w:r>
      <w:r>
        <w:fldChar w:fldCharType="end"/>
      </w:r>
    </w:p>
    <w:p w14:paraId="305CFBD1" w14:textId="77777777" w:rsidR="00855B3D" w:rsidRDefault="00855B3D">
      <w:pPr>
        <w:pStyle w:val="TOC3"/>
        <w:rPr>
          <w:rFonts w:asciiTheme="minorHAnsi" w:eastAsiaTheme="minorEastAsia" w:hAnsiTheme="minorHAnsi" w:cstheme="minorBidi"/>
        </w:rPr>
      </w:pPr>
      <w:r>
        <w:t>Commercial radio broadcasting licences</w:t>
      </w:r>
      <w:r>
        <w:tab/>
      </w:r>
      <w:r>
        <w:fldChar w:fldCharType="begin"/>
      </w:r>
      <w:r>
        <w:instrText xml:space="preserve"> PAGEREF _Toc433703330 \h </w:instrText>
      </w:r>
      <w:r>
        <w:fldChar w:fldCharType="separate"/>
      </w:r>
      <w:r>
        <w:t>46</w:t>
      </w:r>
      <w:r>
        <w:fldChar w:fldCharType="end"/>
      </w:r>
    </w:p>
    <w:p w14:paraId="7A354542" w14:textId="77777777" w:rsidR="00855B3D" w:rsidRDefault="00855B3D">
      <w:pPr>
        <w:pStyle w:val="TOC3"/>
        <w:rPr>
          <w:rFonts w:asciiTheme="minorHAnsi" w:eastAsiaTheme="minorEastAsia" w:hAnsiTheme="minorHAnsi" w:cstheme="minorBidi"/>
        </w:rPr>
      </w:pPr>
      <w:r>
        <w:t>Commercial television broadcasting licences</w:t>
      </w:r>
      <w:r>
        <w:tab/>
      </w:r>
      <w:r>
        <w:fldChar w:fldCharType="begin"/>
      </w:r>
      <w:r>
        <w:instrText xml:space="preserve"> PAGEREF _Toc433703331 \h </w:instrText>
      </w:r>
      <w:r>
        <w:fldChar w:fldCharType="separate"/>
      </w:r>
      <w:r>
        <w:t>46</w:t>
      </w:r>
      <w:r>
        <w:fldChar w:fldCharType="end"/>
      </w:r>
    </w:p>
    <w:p w14:paraId="68AEE7FD" w14:textId="77777777" w:rsidR="00855B3D" w:rsidRDefault="00855B3D">
      <w:pPr>
        <w:pStyle w:val="TOC3"/>
        <w:rPr>
          <w:rFonts w:asciiTheme="minorHAnsi" w:eastAsiaTheme="minorEastAsia" w:hAnsiTheme="minorHAnsi" w:cstheme="minorBidi"/>
        </w:rPr>
      </w:pPr>
      <w:r>
        <w:t>Community television broadcasting licences</w:t>
      </w:r>
      <w:r>
        <w:tab/>
      </w:r>
      <w:r>
        <w:fldChar w:fldCharType="begin"/>
      </w:r>
      <w:r>
        <w:instrText xml:space="preserve"> PAGEREF _Toc433703332 \h </w:instrText>
      </w:r>
      <w:r>
        <w:fldChar w:fldCharType="separate"/>
      </w:r>
      <w:r>
        <w:t>47</w:t>
      </w:r>
      <w:r>
        <w:fldChar w:fldCharType="end"/>
      </w:r>
    </w:p>
    <w:p w14:paraId="1906CE39" w14:textId="77777777" w:rsidR="00855B3D" w:rsidRDefault="00855B3D">
      <w:pPr>
        <w:pStyle w:val="TOC2"/>
        <w:rPr>
          <w:rFonts w:asciiTheme="minorHAnsi" w:eastAsiaTheme="minorEastAsia" w:hAnsiTheme="minorHAnsi" w:cstheme="minorBidi"/>
          <w:spacing w:val="0"/>
          <w:sz w:val="22"/>
          <w:szCs w:val="22"/>
        </w:rPr>
      </w:pPr>
      <w:r>
        <w:t>Telecommunications licensing</w:t>
      </w:r>
      <w:r>
        <w:tab/>
      </w:r>
      <w:r>
        <w:fldChar w:fldCharType="begin"/>
      </w:r>
      <w:r>
        <w:instrText xml:space="preserve"> PAGEREF _Toc433703333 \h </w:instrText>
      </w:r>
      <w:r>
        <w:fldChar w:fldCharType="separate"/>
      </w:r>
      <w:r>
        <w:t>47</w:t>
      </w:r>
      <w:r>
        <w:fldChar w:fldCharType="end"/>
      </w:r>
    </w:p>
    <w:p w14:paraId="3522171B" w14:textId="77777777" w:rsidR="00855B3D" w:rsidRDefault="00855B3D">
      <w:pPr>
        <w:pStyle w:val="TOC3"/>
        <w:rPr>
          <w:rFonts w:asciiTheme="minorHAnsi" w:eastAsiaTheme="minorEastAsia" w:hAnsiTheme="minorHAnsi" w:cstheme="minorBidi"/>
        </w:rPr>
      </w:pPr>
      <w:r>
        <w:t>Carrier licensing</w:t>
      </w:r>
      <w:r>
        <w:tab/>
      </w:r>
      <w:r>
        <w:fldChar w:fldCharType="begin"/>
      </w:r>
      <w:r>
        <w:instrText xml:space="preserve"> PAGEREF _Toc433703334 \h </w:instrText>
      </w:r>
      <w:r>
        <w:fldChar w:fldCharType="separate"/>
      </w:r>
      <w:r>
        <w:t>47</w:t>
      </w:r>
      <w:r>
        <w:fldChar w:fldCharType="end"/>
      </w:r>
    </w:p>
    <w:p w14:paraId="77DD3BB3" w14:textId="77777777" w:rsidR="00855B3D" w:rsidRDefault="00855B3D">
      <w:pPr>
        <w:pStyle w:val="TOC3"/>
        <w:rPr>
          <w:rFonts w:asciiTheme="minorHAnsi" w:eastAsiaTheme="minorEastAsia" w:hAnsiTheme="minorHAnsi" w:cstheme="minorBidi"/>
        </w:rPr>
      </w:pPr>
      <w:r>
        <w:t>Number allocations register</w:t>
      </w:r>
      <w:r>
        <w:tab/>
      </w:r>
      <w:r>
        <w:fldChar w:fldCharType="begin"/>
      </w:r>
      <w:r>
        <w:instrText xml:space="preserve"> PAGEREF _Toc433703335 \h </w:instrText>
      </w:r>
      <w:r>
        <w:fldChar w:fldCharType="separate"/>
      </w:r>
      <w:r>
        <w:t>47</w:t>
      </w:r>
      <w:r>
        <w:fldChar w:fldCharType="end"/>
      </w:r>
    </w:p>
    <w:p w14:paraId="7D483A82" w14:textId="77777777" w:rsidR="00855B3D" w:rsidRDefault="00855B3D">
      <w:pPr>
        <w:pStyle w:val="TOC3"/>
        <w:rPr>
          <w:rFonts w:asciiTheme="minorHAnsi" w:eastAsiaTheme="minorEastAsia" w:hAnsiTheme="minorHAnsi" w:cstheme="minorBidi"/>
        </w:rPr>
      </w:pPr>
      <w:r>
        <w:t>Numbering transactions</w:t>
      </w:r>
      <w:r>
        <w:tab/>
      </w:r>
      <w:r>
        <w:fldChar w:fldCharType="begin"/>
      </w:r>
      <w:r>
        <w:instrText xml:space="preserve"> PAGEREF _Toc433703336 \h </w:instrText>
      </w:r>
      <w:r>
        <w:fldChar w:fldCharType="separate"/>
      </w:r>
      <w:r>
        <w:t>47</w:t>
      </w:r>
      <w:r>
        <w:fldChar w:fldCharType="end"/>
      </w:r>
    </w:p>
    <w:p w14:paraId="56F9906D" w14:textId="77777777" w:rsidR="00855B3D" w:rsidRDefault="00855B3D">
      <w:pPr>
        <w:pStyle w:val="TOC3"/>
        <w:rPr>
          <w:rFonts w:asciiTheme="minorHAnsi" w:eastAsiaTheme="minorEastAsia" w:hAnsiTheme="minorHAnsi" w:cstheme="minorBidi"/>
        </w:rPr>
      </w:pPr>
      <w:r>
        <w:t>Portability</w:t>
      </w:r>
      <w:r>
        <w:tab/>
      </w:r>
      <w:r>
        <w:fldChar w:fldCharType="begin"/>
      </w:r>
      <w:r>
        <w:instrText xml:space="preserve"> PAGEREF _Toc433703337 \h </w:instrText>
      </w:r>
      <w:r>
        <w:fldChar w:fldCharType="separate"/>
      </w:r>
      <w:r>
        <w:t>49</w:t>
      </w:r>
      <w:r>
        <w:fldChar w:fldCharType="end"/>
      </w:r>
    </w:p>
    <w:p w14:paraId="3F268189" w14:textId="77777777" w:rsidR="00855B3D" w:rsidRDefault="00855B3D">
      <w:pPr>
        <w:pStyle w:val="TOC3"/>
        <w:rPr>
          <w:rFonts w:asciiTheme="minorHAnsi" w:eastAsiaTheme="minorEastAsia" w:hAnsiTheme="minorHAnsi" w:cstheme="minorBidi"/>
        </w:rPr>
      </w:pPr>
      <w:r>
        <w:t>Pre-selection</w:t>
      </w:r>
      <w:r>
        <w:tab/>
      </w:r>
      <w:r>
        <w:fldChar w:fldCharType="begin"/>
      </w:r>
      <w:r>
        <w:instrText xml:space="preserve"> PAGEREF _Toc433703338 \h </w:instrText>
      </w:r>
      <w:r>
        <w:fldChar w:fldCharType="separate"/>
      </w:r>
      <w:r>
        <w:t>49</w:t>
      </w:r>
      <w:r>
        <w:fldChar w:fldCharType="end"/>
      </w:r>
    </w:p>
    <w:p w14:paraId="434439BD" w14:textId="77777777" w:rsidR="00855B3D" w:rsidRDefault="00855B3D">
      <w:pPr>
        <w:pStyle w:val="TOC3"/>
        <w:rPr>
          <w:rFonts w:asciiTheme="minorHAnsi" w:eastAsiaTheme="minorEastAsia" w:hAnsiTheme="minorHAnsi" w:cstheme="minorBidi"/>
        </w:rPr>
      </w:pPr>
      <w:r>
        <w:t>Submarine cable protection zones</w:t>
      </w:r>
      <w:r>
        <w:tab/>
      </w:r>
      <w:r>
        <w:fldChar w:fldCharType="begin"/>
      </w:r>
      <w:r>
        <w:instrText xml:space="preserve"> PAGEREF _Toc433703339 \h </w:instrText>
      </w:r>
      <w:r>
        <w:fldChar w:fldCharType="separate"/>
      </w:r>
      <w:r>
        <w:t>50</w:t>
      </w:r>
      <w:r>
        <w:fldChar w:fldCharType="end"/>
      </w:r>
    </w:p>
    <w:p w14:paraId="2B67E0C0" w14:textId="77777777" w:rsidR="00855B3D" w:rsidRDefault="00855B3D">
      <w:pPr>
        <w:pStyle w:val="TOC3"/>
        <w:rPr>
          <w:rFonts w:asciiTheme="minorHAnsi" w:eastAsiaTheme="minorEastAsia" w:hAnsiTheme="minorHAnsi" w:cstheme="minorBidi"/>
        </w:rPr>
      </w:pPr>
      <w:r>
        <w:t>Submarine cable installation permits</w:t>
      </w:r>
      <w:r>
        <w:tab/>
      </w:r>
      <w:r>
        <w:fldChar w:fldCharType="begin"/>
      </w:r>
      <w:r>
        <w:instrText xml:space="preserve"> PAGEREF _Toc433703340 \h </w:instrText>
      </w:r>
      <w:r>
        <w:fldChar w:fldCharType="separate"/>
      </w:r>
      <w:r>
        <w:t>50</w:t>
      </w:r>
      <w:r>
        <w:fldChar w:fldCharType="end"/>
      </w:r>
    </w:p>
    <w:p w14:paraId="4B25FE77"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Deliverables</w:t>
      </w:r>
      <w:r>
        <w:t>:</w:t>
      </w:r>
      <w:r>
        <w:tab/>
      </w:r>
      <w:r>
        <w:fldChar w:fldCharType="begin"/>
      </w:r>
      <w:r>
        <w:instrText xml:space="preserve"> PAGEREF _Toc433703341 \h </w:instrText>
      </w:r>
      <w:r>
        <w:fldChar w:fldCharType="separate"/>
      </w:r>
      <w:r>
        <w:t>51</w:t>
      </w:r>
      <w:r>
        <w:fldChar w:fldCharType="end"/>
      </w:r>
    </w:p>
    <w:p w14:paraId="0B9FF779" w14:textId="77777777" w:rsidR="00855B3D" w:rsidRDefault="00855B3D" w:rsidP="00855B3D">
      <w:pPr>
        <w:pStyle w:val="TOC1"/>
        <w:spacing w:before="120"/>
        <w:rPr>
          <w:rFonts w:asciiTheme="minorHAnsi" w:eastAsiaTheme="minorEastAsia" w:hAnsiTheme="minorHAnsi" w:cstheme="minorBidi"/>
          <w:b w:val="0"/>
          <w:spacing w:val="0"/>
          <w:sz w:val="22"/>
          <w:szCs w:val="22"/>
        </w:rPr>
      </w:pPr>
      <w:r>
        <w:t>Provision of appropriate and reasonable support to law enforcement, emergency services and national security</w:t>
      </w:r>
      <w:r>
        <w:tab/>
      </w:r>
      <w:r>
        <w:fldChar w:fldCharType="begin"/>
      </w:r>
      <w:r>
        <w:instrText xml:space="preserve"> PAGEREF _Toc433703342 \h </w:instrText>
      </w:r>
      <w:r>
        <w:fldChar w:fldCharType="separate"/>
      </w:r>
      <w:r>
        <w:t>51</w:t>
      </w:r>
      <w:r>
        <w:fldChar w:fldCharType="end"/>
      </w:r>
    </w:p>
    <w:p w14:paraId="12E58113" w14:textId="77777777" w:rsidR="00855B3D" w:rsidRDefault="00855B3D" w:rsidP="00855B3D">
      <w:pPr>
        <w:pStyle w:val="TOC1"/>
        <w:spacing w:before="120"/>
        <w:rPr>
          <w:rFonts w:asciiTheme="minorHAnsi" w:eastAsiaTheme="minorEastAsia" w:hAnsiTheme="minorHAnsi" w:cstheme="minorBidi"/>
          <w:b w:val="0"/>
          <w:spacing w:val="0"/>
          <w:sz w:val="22"/>
          <w:szCs w:val="22"/>
        </w:rPr>
      </w:pPr>
      <w:r>
        <w:t>Work in partnership with industry to improve the performance of Australia’s emergency call services</w:t>
      </w:r>
      <w:r>
        <w:tab/>
      </w:r>
      <w:r>
        <w:fldChar w:fldCharType="begin"/>
      </w:r>
      <w:r>
        <w:instrText xml:space="preserve"> PAGEREF _Toc433703343 \h </w:instrText>
      </w:r>
      <w:r>
        <w:fldChar w:fldCharType="separate"/>
      </w:r>
      <w:r>
        <w:t>51</w:t>
      </w:r>
      <w:r>
        <w:fldChar w:fldCharType="end"/>
      </w:r>
    </w:p>
    <w:p w14:paraId="09957E83"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Law enforcement, emergency services and national security providers are appropriately and reasonably supported by the ACMA and telecommunications industry</w:t>
      </w:r>
      <w:r>
        <w:tab/>
      </w:r>
      <w:r>
        <w:fldChar w:fldCharType="begin"/>
      </w:r>
      <w:r>
        <w:instrText xml:space="preserve"> PAGEREF _Toc433703344 \h </w:instrText>
      </w:r>
      <w:r>
        <w:fldChar w:fldCharType="separate"/>
      </w:r>
      <w:r>
        <w:t>51</w:t>
      </w:r>
      <w:r>
        <w:fldChar w:fldCharType="end"/>
      </w:r>
    </w:p>
    <w:p w14:paraId="47231B71"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_Toc433703345 \h </w:instrText>
      </w:r>
      <w:r>
        <w:fldChar w:fldCharType="separate"/>
      </w:r>
      <w:r>
        <w:t>51</w:t>
      </w:r>
      <w:r>
        <w:fldChar w:fldCharType="end"/>
      </w:r>
    </w:p>
    <w:p w14:paraId="28E08C34" w14:textId="77777777" w:rsidR="00855B3D" w:rsidRDefault="00855B3D">
      <w:pPr>
        <w:pStyle w:val="TOC2"/>
        <w:rPr>
          <w:rFonts w:asciiTheme="minorHAnsi" w:eastAsiaTheme="minorEastAsia" w:hAnsiTheme="minorHAnsi" w:cstheme="minorBidi"/>
          <w:spacing w:val="0"/>
          <w:sz w:val="22"/>
          <w:szCs w:val="22"/>
        </w:rPr>
      </w:pPr>
      <w:r>
        <w:t>Law enforcement and national security</w:t>
      </w:r>
      <w:r>
        <w:tab/>
      </w:r>
      <w:r>
        <w:fldChar w:fldCharType="begin"/>
      </w:r>
      <w:r>
        <w:instrText xml:space="preserve"> PAGEREF _Toc433703346 \h </w:instrText>
      </w:r>
      <w:r>
        <w:fldChar w:fldCharType="separate"/>
      </w:r>
      <w:r>
        <w:t>51</w:t>
      </w:r>
      <w:r>
        <w:fldChar w:fldCharType="end"/>
      </w:r>
    </w:p>
    <w:p w14:paraId="496F6BAD" w14:textId="77777777" w:rsidR="00855B3D" w:rsidRDefault="00855B3D">
      <w:pPr>
        <w:pStyle w:val="TOC3"/>
        <w:rPr>
          <w:rFonts w:asciiTheme="minorHAnsi" w:eastAsiaTheme="minorEastAsia" w:hAnsiTheme="minorHAnsi" w:cstheme="minorBidi"/>
        </w:rPr>
      </w:pPr>
      <w:r>
        <w:t>Supporting law enforcement and national security agencies</w:t>
      </w:r>
      <w:r>
        <w:tab/>
      </w:r>
      <w:r>
        <w:fldChar w:fldCharType="begin"/>
      </w:r>
      <w:r>
        <w:instrText xml:space="preserve"> PAGEREF _Toc433703347 \h </w:instrText>
      </w:r>
      <w:r>
        <w:fldChar w:fldCharType="separate"/>
      </w:r>
      <w:r>
        <w:t>51</w:t>
      </w:r>
      <w:r>
        <w:fldChar w:fldCharType="end"/>
      </w:r>
    </w:p>
    <w:p w14:paraId="52829BF2" w14:textId="77777777" w:rsidR="00855B3D" w:rsidRDefault="00855B3D">
      <w:pPr>
        <w:pStyle w:val="TOC3"/>
        <w:rPr>
          <w:rFonts w:asciiTheme="minorHAnsi" w:eastAsiaTheme="minorEastAsia" w:hAnsiTheme="minorHAnsi" w:cstheme="minorBidi"/>
        </w:rPr>
      </w:pPr>
      <w:r>
        <w:t>Identity-checking requirements for prepaid mobile phone services</w:t>
      </w:r>
      <w:r>
        <w:tab/>
      </w:r>
      <w:r>
        <w:fldChar w:fldCharType="begin"/>
      </w:r>
      <w:r>
        <w:instrText xml:space="preserve"> PAGEREF _Toc433703348 \h </w:instrText>
      </w:r>
      <w:r>
        <w:fldChar w:fldCharType="separate"/>
      </w:r>
      <w:r>
        <w:t>52</w:t>
      </w:r>
      <w:r>
        <w:fldChar w:fldCharType="end"/>
      </w:r>
    </w:p>
    <w:p w14:paraId="77A5736B" w14:textId="77777777" w:rsidR="00855B3D" w:rsidRDefault="00855B3D">
      <w:pPr>
        <w:pStyle w:val="TOC3"/>
        <w:rPr>
          <w:rFonts w:asciiTheme="minorHAnsi" w:eastAsiaTheme="minorEastAsia" w:hAnsiTheme="minorHAnsi" w:cstheme="minorBidi"/>
        </w:rPr>
      </w:pPr>
      <w:r>
        <w:t>Interception exemption for trial services</w:t>
      </w:r>
      <w:r>
        <w:tab/>
      </w:r>
      <w:r>
        <w:fldChar w:fldCharType="begin"/>
      </w:r>
      <w:r>
        <w:instrText xml:space="preserve"> PAGEREF _Toc433703349 \h </w:instrText>
      </w:r>
      <w:r>
        <w:fldChar w:fldCharType="separate"/>
      </w:r>
      <w:r>
        <w:t>52</w:t>
      </w:r>
      <w:r>
        <w:fldChar w:fldCharType="end"/>
      </w:r>
    </w:p>
    <w:p w14:paraId="2149CE47" w14:textId="559A2C45" w:rsidR="00855B3D" w:rsidRDefault="00855B3D">
      <w:pPr>
        <w:pStyle w:val="TOC3"/>
        <w:rPr>
          <w:rFonts w:asciiTheme="minorHAnsi" w:eastAsiaTheme="minorEastAsia" w:hAnsiTheme="minorHAnsi" w:cstheme="minorBidi"/>
        </w:rPr>
      </w:pPr>
      <w:r>
        <w:t xml:space="preserve">Disclosure of customer information to law enforcement and national </w:t>
      </w:r>
      <w:r>
        <w:br/>
        <w:t>security agencies</w:t>
      </w:r>
      <w:r>
        <w:tab/>
      </w:r>
      <w:r>
        <w:fldChar w:fldCharType="begin"/>
      </w:r>
      <w:r>
        <w:instrText xml:space="preserve"> PAGEREF _Toc433703350 \h </w:instrText>
      </w:r>
      <w:r>
        <w:fldChar w:fldCharType="separate"/>
      </w:r>
      <w:r>
        <w:t>52</w:t>
      </w:r>
      <w:r>
        <w:fldChar w:fldCharType="end"/>
      </w:r>
    </w:p>
    <w:p w14:paraId="277B3DC1" w14:textId="77777777" w:rsidR="00855B3D" w:rsidRDefault="00855B3D">
      <w:pPr>
        <w:pStyle w:val="TOC2"/>
        <w:rPr>
          <w:rFonts w:asciiTheme="minorHAnsi" w:eastAsiaTheme="minorEastAsia" w:hAnsiTheme="minorHAnsi" w:cstheme="minorBidi"/>
          <w:spacing w:val="0"/>
          <w:sz w:val="22"/>
          <w:szCs w:val="22"/>
        </w:rPr>
      </w:pPr>
      <w:r>
        <w:t>Integrated Public Number Database</w:t>
      </w:r>
      <w:r>
        <w:tab/>
      </w:r>
      <w:r>
        <w:fldChar w:fldCharType="begin"/>
      </w:r>
      <w:r>
        <w:instrText xml:space="preserve"> PAGEREF _Toc433703351 \h </w:instrText>
      </w:r>
      <w:r>
        <w:fldChar w:fldCharType="separate"/>
      </w:r>
      <w:r>
        <w:t>53</w:t>
      </w:r>
      <w:r>
        <w:fldChar w:fldCharType="end"/>
      </w:r>
    </w:p>
    <w:p w14:paraId="3DFCE549" w14:textId="77777777" w:rsidR="00855B3D" w:rsidRDefault="00855B3D">
      <w:pPr>
        <w:pStyle w:val="TOC3"/>
        <w:rPr>
          <w:rFonts w:asciiTheme="minorHAnsi" w:eastAsiaTheme="minorEastAsia" w:hAnsiTheme="minorHAnsi" w:cstheme="minorBidi"/>
        </w:rPr>
      </w:pPr>
      <w:r>
        <w:t>CSP compliance with IPND requirements</w:t>
      </w:r>
      <w:r>
        <w:tab/>
      </w:r>
      <w:r>
        <w:fldChar w:fldCharType="begin"/>
      </w:r>
      <w:r>
        <w:instrText xml:space="preserve"> PAGEREF _Toc433703352 \h </w:instrText>
      </w:r>
      <w:r>
        <w:fldChar w:fldCharType="separate"/>
      </w:r>
      <w:r>
        <w:t>53</w:t>
      </w:r>
      <w:r>
        <w:fldChar w:fldCharType="end"/>
      </w:r>
    </w:p>
    <w:p w14:paraId="29F508FF" w14:textId="16A1452F" w:rsidR="00855B3D" w:rsidRDefault="00855B3D">
      <w:pPr>
        <w:pStyle w:val="TOC3"/>
        <w:rPr>
          <w:rFonts w:asciiTheme="minorHAnsi" w:eastAsiaTheme="minorEastAsia" w:hAnsiTheme="minorHAnsi" w:cstheme="minorBidi"/>
        </w:rPr>
      </w:pPr>
      <w:r>
        <w:t xml:space="preserve">Southern Phone Company enforceable undertaking and direction to </w:t>
      </w:r>
      <w:r>
        <w:br/>
        <w:t>comply with TCP Code</w:t>
      </w:r>
      <w:r>
        <w:tab/>
      </w:r>
      <w:r>
        <w:fldChar w:fldCharType="begin"/>
      </w:r>
      <w:r>
        <w:instrText xml:space="preserve"> PAGEREF _Toc433703353 \h </w:instrText>
      </w:r>
      <w:r>
        <w:fldChar w:fldCharType="separate"/>
      </w:r>
      <w:r>
        <w:t>53</w:t>
      </w:r>
      <w:r>
        <w:fldChar w:fldCharType="end"/>
      </w:r>
    </w:p>
    <w:p w14:paraId="3866F28F" w14:textId="77777777" w:rsidR="00855B3D" w:rsidRDefault="00855B3D">
      <w:pPr>
        <w:pStyle w:val="TOC3"/>
        <w:rPr>
          <w:rFonts w:asciiTheme="minorHAnsi" w:eastAsiaTheme="minorEastAsia" w:hAnsiTheme="minorHAnsi" w:cstheme="minorBidi"/>
        </w:rPr>
      </w:pPr>
      <w:r>
        <w:t>IPND scheme</w:t>
      </w:r>
      <w:r>
        <w:tab/>
      </w:r>
      <w:r>
        <w:fldChar w:fldCharType="begin"/>
      </w:r>
      <w:r>
        <w:instrText xml:space="preserve"> PAGEREF _Toc433703354 \h </w:instrText>
      </w:r>
      <w:r>
        <w:fldChar w:fldCharType="separate"/>
      </w:r>
      <w:r>
        <w:t>54</w:t>
      </w:r>
      <w:r>
        <w:fldChar w:fldCharType="end"/>
      </w:r>
    </w:p>
    <w:p w14:paraId="60741C35" w14:textId="77777777" w:rsidR="00855B3D" w:rsidRDefault="00855B3D">
      <w:pPr>
        <w:pStyle w:val="TOC2"/>
        <w:rPr>
          <w:rFonts w:asciiTheme="minorHAnsi" w:eastAsiaTheme="minorEastAsia" w:hAnsiTheme="minorHAnsi" w:cstheme="minorBidi"/>
          <w:spacing w:val="0"/>
          <w:sz w:val="22"/>
          <w:szCs w:val="22"/>
        </w:rPr>
      </w:pPr>
      <w:r>
        <w:t>Emergency call service</w:t>
      </w:r>
      <w:r>
        <w:tab/>
      </w:r>
      <w:r>
        <w:fldChar w:fldCharType="begin"/>
      </w:r>
      <w:r>
        <w:instrText xml:space="preserve"> PAGEREF _Toc433703355 \h </w:instrText>
      </w:r>
      <w:r>
        <w:fldChar w:fldCharType="separate"/>
      </w:r>
      <w:r>
        <w:t>54</w:t>
      </w:r>
      <w:r>
        <w:fldChar w:fldCharType="end"/>
      </w:r>
    </w:p>
    <w:p w14:paraId="616B094C" w14:textId="77777777" w:rsidR="00855B3D" w:rsidRDefault="00855B3D">
      <w:pPr>
        <w:pStyle w:val="TOC3"/>
        <w:rPr>
          <w:rFonts w:asciiTheme="minorHAnsi" w:eastAsiaTheme="minorEastAsia" w:hAnsiTheme="minorHAnsi" w:cstheme="minorBidi"/>
        </w:rPr>
      </w:pPr>
      <w:r>
        <w:t>Emergency Call Service Advisory Committee</w:t>
      </w:r>
      <w:r>
        <w:tab/>
      </w:r>
      <w:r>
        <w:fldChar w:fldCharType="begin"/>
      </w:r>
      <w:r>
        <w:instrText xml:space="preserve"> PAGEREF _Toc433703356 \h </w:instrText>
      </w:r>
      <w:r>
        <w:fldChar w:fldCharType="separate"/>
      </w:r>
      <w:r>
        <w:t>54</w:t>
      </w:r>
      <w:r>
        <w:fldChar w:fldCharType="end"/>
      </w:r>
    </w:p>
    <w:p w14:paraId="6250A5F6" w14:textId="77777777" w:rsidR="00855B3D" w:rsidRDefault="00855B3D">
      <w:pPr>
        <w:pStyle w:val="TOC3"/>
        <w:rPr>
          <w:rFonts w:asciiTheme="minorHAnsi" w:eastAsiaTheme="minorEastAsia" w:hAnsiTheme="minorHAnsi" w:cstheme="minorBidi"/>
        </w:rPr>
      </w:pPr>
      <w:r>
        <w:t>Reducing the volume of non-emergency calls</w:t>
      </w:r>
      <w:r>
        <w:tab/>
      </w:r>
      <w:r>
        <w:fldChar w:fldCharType="begin"/>
      </w:r>
      <w:r>
        <w:instrText xml:space="preserve"> PAGEREF _Toc433703357 \h </w:instrText>
      </w:r>
      <w:r>
        <w:fldChar w:fldCharType="separate"/>
      </w:r>
      <w:r>
        <w:t>54</w:t>
      </w:r>
      <w:r>
        <w:fldChar w:fldCharType="end"/>
      </w:r>
    </w:p>
    <w:p w14:paraId="4AFBCA26" w14:textId="77777777" w:rsidR="00855B3D" w:rsidRDefault="00855B3D">
      <w:pPr>
        <w:pStyle w:val="TOC3"/>
        <w:rPr>
          <w:rFonts w:asciiTheme="minorHAnsi" w:eastAsiaTheme="minorEastAsia" w:hAnsiTheme="minorHAnsi" w:cstheme="minorBidi"/>
        </w:rPr>
      </w:pPr>
      <w:r>
        <w:t>Improved mobile location for emergency service organisations</w:t>
      </w:r>
      <w:r>
        <w:tab/>
      </w:r>
      <w:r>
        <w:fldChar w:fldCharType="begin"/>
      </w:r>
      <w:r>
        <w:instrText xml:space="preserve"> PAGEREF _Toc433703358 \h </w:instrText>
      </w:r>
      <w:r>
        <w:fldChar w:fldCharType="separate"/>
      </w:r>
      <w:r>
        <w:t>55</w:t>
      </w:r>
      <w:r>
        <w:fldChar w:fldCharType="end"/>
      </w:r>
    </w:p>
    <w:p w14:paraId="3886F058" w14:textId="77777777" w:rsidR="00855B3D" w:rsidRDefault="00855B3D">
      <w:pPr>
        <w:pStyle w:val="TOC3"/>
        <w:rPr>
          <w:rFonts w:asciiTheme="minorHAnsi" w:eastAsiaTheme="minorEastAsia" w:hAnsiTheme="minorHAnsi" w:cstheme="minorBidi"/>
        </w:rPr>
      </w:pPr>
      <w:r>
        <w:t>Awareness-raising activities</w:t>
      </w:r>
      <w:r>
        <w:tab/>
      </w:r>
      <w:r>
        <w:fldChar w:fldCharType="begin"/>
      </w:r>
      <w:r>
        <w:instrText xml:space="preserve"> PAGEREF _Toc433703359 \h </w:instrText>
      </w:r>
      <w:r>
        <w:fldChar w:fldCharType="separate"/>
      </w:r>
      <w:r>
        <w:t>55</w:t>
      </w:r>
      <w:r>
        <w:fldChar w:fldCharType="end"/>
      </w:r>
    </w:p>
    <w:p w14:paraId="2BBF1FF6" w14:textId="77777777" w:rsidR="00855B3D" w:rsidRDefault="00855B3D">
      <w:pPr>
        <w:pStyle w:val="TOC3"/>
        <w:rPr>
          <w:rFonts w:asciiTheme="minorHAnsi" w:eastAsiaTheme="minorEastAsia" w:hAnsiTheme="minorHAnsi" w:cstheme="minorBidi"/>
        </w:rPr>
      </w:pPr>
      <w:r>
        <w:t>Emergency+ app</w:t>
      </w:r>
      <w:r>
        <w:tab/>
      </w:r>
      <w:r>
        <w:fldChar w:fldCharType="begin"/>
      </w:r>
      <w:r>
        <w:instrText xml:space="preserve"> PAGEREF _Toc433703360 \h </w:instrText>
      </w:r>
      <w:r>
        <w:fldChar w:fldCharType="separate"/>
      </w:r>
      <w:r>
        <w:t>55</w:t>
      </w:r>
      <w:r>
        <w:fldChar w:fldCharType="end"/>
      </w:r>
    </w:p>
    <w:p w14:paraId="5E39D87D" w14:textId="77777777" w:rsidR="00855B3D" w:rsidRDefault="00855B3D">
      <w:pPr>
        <w:pStyle w:val="TOC3"/>
        <w:rPr>
          <w:rFonts w:asciiTheme="minorHAnsi" w:eastAsiaTheme="minorEastAsia" w:hAnsiTheme="minorHAnsi" w:cstheme="minorBidi"/>
        </w:rPr>
      </w:pPr>
      <w:r>
        <w:t>Complaints and investigations about the Triple Zero service</w:t>
      </w:r>
      <w:r>
        <w:tab/>
      </w:r>
      <w:r>
        <w:fldChar w:fldCharType="begin"/>
      </w:r>
      <w:r>
        <w:instrText xml:space="preserve"> PAGEREF _Toc433703361 \h </w:instrText>
      </w:r>
      <w:r>
        <w:fldChar w:fldCharType="separate"/>
      </w:r>
      <w:r>
        <w:t>55</w:t>
      </w:r>
      <w:r>
        <w:fldChar w:fldCharType="end"/>
      </w:r>
    </w:p>
    <w:p w14:paraId="6C330F1F" w14:textId="77777777" w:rsidR="00855B3D" w:rsidRDefault="00855B3D">
      <w:pPr>
        <w:pStyle w:val="TOC1"/>
        <w:rPr>
          <w:rFonts w:asciiTheme="minorHAnsi" w:eastAsiaTheme="minorEastAsia" w:hAnsiTheme="minorHAnsi" w:cstheme="minorBidi"/>
          <w:b w:val="0"/>
          <w:spacing w:val="0"/>
          <w:sz w:val="22"/>
          <w:szCs w:val="22"/>
        </w:rPr>
      </w:pPr>
      <w:r>
        <w:t>Chapter 4: Consumer safeguards, education and information</w:t>
      </w:r>
      <w:r>
        <w:tab/>
      </w:r>
      <w:r>
        <w:fldChar w:fldCharType="begin"/>
      </w:r>
      <w:r>
        <w:instrText xml:space="preserve"> PAGEREF _Toc433703362 \h </w:instrText>
      </w:r>
      <w:r>
        <w:fldChar w:fldCharType="separate"/>
      </w:r>
      <w:r>
        <w:t>56</w:t>
      </w:r>
      <w:r>
        <w:fldChar w:fldCharType="end"/>
      </w:r>
    </w:p>
    <w:p w14:paraId="7DD7FEAF"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Facilitate transition to the national broadband environment</w:t>
      </w:r>
      <w:r>
        <w:tab/>
      </w:r>
      <w:r>
        <w:fldChar w:fldCharType="begin"/>
      </w:r>
      <w:r>
        <w:instrText xml:space="preserve"> PAGEREF _Toc433703363 \h </w:instrText>
      </w:r>
      <w:r>
        <w:fldChar w:fldCharType="separate"/>
      </w:r>
      <w:r>
        <w:t>58</w:t>
      </w:r>
      <w:r>
        <w:fldChar w:fldCharType="end"/>
      </w:r>
    </w:p>
    <w:p w14:paraId="62528B77"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Businesses and consumers confidently transition to a national broadband environment</w:t>
      </w:r>
      <w:r>
        <w:tab/>
      </w:r>
      <w:r>
        <w:fldChar w:fldCharType="begin"/>
      </w:r>
      <w:r>
        <w:instrText xml:space="preserve"> PAGEREF _Toc433703364 \h </w:instrText>
      </w:r>
      <w:r>
        <w:fldChar w:fldCharType="separate"/>
      </w:r>
      <w:r>
        <w:t>58</w:t>
      </w:r>
      <w:r>
        <w:fldChar w:fldCharType="end"/>
      </w:r>
    </w:p>
    <w:p w14:paraId="13BD32DE"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_Toc433703365 \h </w:instrText>
      </w:r>
      <w:r>
        <w:fldChar w:fldCharType="separate"/>
      </w:r>
      <w:r>
        <w:t>58</w:t>
      </w:r>
      <w:r>
        <w:fldChar w:fldCharType="end"/>
      </w:r>
    </w:p>
    <w:p w14:paraId="5C5531EF" w14:textId="77777777" w:rsidR="00855B3D" w:rsidRDefault="00855B3D">
      <w:pPr>
        <w:pStyle w:val="TOC2"/>
        <w:rPr>
          <w:rFonts w:asciiTheme="minorHAnsi" w:eastAsiaTheme="minorEastAsia" w:hAnsiTheme="minorHAnsi" w:cstheme="minorBidi"/>
          <w:spacing w:val="0"/>
          <w:sz w:val="22"/>
          <w:szCs w:val="22"/>
        </w:rPr>
      </w:pPr>
      <w:r>
        <w:t>Telecommunications standards</w:t>
      </w:r>
      <w:r>
        <w:tab/>
      </w:r>
      <w:r>
        <w:fldChar w:fldCharType="begin"/>
      </w:r>
      <w:r>
        <w:instrText xml:space="preserve"> PAGEREF _Toc433703366 \h </w:instrText>
      </w:r>
      <w:r>
        <w:fldChar w:fldCharType="separate"/>
      </w:r>
      <w:r>
        <w:t>58</w:t>
      </w:r>
      <w:r>
        <w:fldChar w:fldCharType="end"/>
      </w:r>
    </w:p>
    <w:p w14:paraId="4B697C02" w14:textId="77777777" w:rsidR="00855B3D" w:rsidRDefault="00855B3D">
      <w:pPr>
        <w:pStyle w:val="TOC2"/>
        <w:rPr>
          <w:rFonts w:asciiTheme="minorHAnsi" w:eastAsiaTheme="minorEastAsia" w:hAnsiTheme="minorHAnsi" w:cstheme="minorBidi"/>
          <w:spacing w:val="0"/>
          <w:sz w:val="22"/>
          <w:szCs w:val="22"/>
        </w:rPr>
      </w:pPr>
      <w:r>
        <w:t>Cabling regulation</w:t>
      </w:r>
      <w:r>
        <w:tab/>
      </w:r>
      <w:r>
        <w:fldChar w:fldCharType="begin"/>
      </w:r>
      <w:r>
        <w:instrText xml:space="preserve"> PAGEREF _Toc433703367 \h </w:instrText>
      </w:r>
      <w:r>
        <w:fldChar w:fldCharType="separate"/>
      </w:r>
      <w:r>
        <w:t>58</w:t>
      </w:r>
      <w:r>
        <w:fldChar w:fldCharType="end"/>
      </w:r>
    </w:p>
    <w:p w14:paraId="28C73EEE" w14:textId="77777777" w:rsidR="00855B3D" w:rsidRDefault="00855B3D">
      <w:pPr>
        <w:pStyle w:val="TOC3"/>
        <w:rPr>
          <w:rFonts w:asciiTheme="minorHAnsi" w:eastAsiaTheme="minorEastAsia" w:hAnsiTheme="minorHAnsi" w:cstheme="minorBidi"/>
        </w:rPr>
      </w:pPr>
      <w:r>
        <w:t>Cabling registration scheme</w:t>
      </w:r>
      <w:r>
        <w:tab/>
      </w:r>
      <w:r>
        <w:fldChar w:fldCharType="begin"/>
      </w:r>
      <w:r>
        <w:instrText xml:space="preserve"> PAGEREF _Toc433703368 \h </w:instrText>
      </w:r>
      <w:r>
        <w:fldChar w:fldCharType="separate"/>
      </w:r>
      <w:r>
        <w:t>59</w:t>
      </w:r>
      <w:r>
        <w:fldChar w:fldCharType="end"/>
      </w:r>
    </w:p>
    <w:p w14:paraId="7EC60101" w14:textId="77777777" w:rsidR="00855B3D" w:rsidRDefault="00855B3D">
      <w:pPr>
        <w:pStyle w:val="TOC3"/>
        <w:rPr>
          <w:rFonts w:asciiTheme="minorHAnsi" w:eastAsiaTheme="minorEastAsia" w:hAnsiTheme="minorHAnsi" w:cstheme="minorBidi"/>
        </w:rPr>
      </w:pPr>
      <w:r>
        <w:t>Telecommunications Cabling Provider Rules 2014</w:t>
      </w:r>
      <w:r>
        <w:tab/>
      </w:r>
      <w:r>
        <w:fldChar w:fldCharType="begin"/>
      </w:r>
      <w:r>
        <w:instrText xml:space="preserve"> PAGEREF _Toc433703369 \h </w:instrText>
      </w:r>
      <w:r>
        <w:fldChar w:fldCharType="separate"/>
      </w:r>
      <w:r>
        <w:t>59</w:t>
      </w:r>
      <w:r>
        <w:fldChar w:fldCharType="end"/>
      </w:r>
    </w:p>
    <w:p w14:paraId="0D218DAF" w14:textId="77777777" w:rsidR="00855B3D" w:rsidRDefault="00855B3D">
      <w:pPr>
        <w:pStyle w:val="TOC3"/>
        <w:rPr>
          <w:rFonts w:asciiTheme="minorHAnsi" w:eastAsiaTheme="minorEastAsia" w:hAnsiTheme="minorHAnsi" w:cstheme="minorBidi"/>
        </w:rPr>
      </w:pPr>
      <w:r>
        <w:t>Telecommunications Cabling Determination 2015</w:t>
      </w:r>
      <w:r>
        <w:tab/>
      </w:r>
      <w:r>
        <w:fldChar w:fldCharType="begin"/>
      </w:r>
      <w:r>
        <w:instrText xml:space="preserve"> PAGEREF _Toc433703370 \h </w:instrText>
      </w:r>
      <w:r>
        <w:fldChar w:fldCharType="separate"/>
      </w:r>
      <w:r>
        <w:t>59</w:t>
      </w:r>
      <w:r>
        <w:fldChar w:fldCharType="end"/>
      </w:r>
    </w:p>
    <w:p w14:paraId="5B45320A" w14:textId="77777777" w:rsidR="00855B3D" w:rsidRDefault="00855B3D" w:rsidP="00855B3D">
      <w:pPr>
        <w:pStyle w:val="TOC2"/>
        <w:ind w:left="0" w:firstLine="0"/>
        <w:rPr>
          <w:rFonts w:asciiTheme="minorHAnsi" w:eastAsiaTheme="minorEastAsia" w:hAnsiTheme="minorHAnsi" w:cstheme="minorBidi"/>
          <w:spacing w:val="0"/>
          <w:sz w:val="22"/>
          <w:szCs w:val="22"/>
        </w:rPr>
      </w:pPr>
      <w:r>
        <w:t>Informed consent arrangements for the nbn network battery back</w:t>
      </w:r>
      <w:r>
        <w:noBreakHyphen/>
        <w:t>up services</w:t>
      </w:r>
      <w:r>
        <w:tab/>
      </w:r>
      <w:r>
        <w:fldChar w:fldCharType="begin"/>
      </w:r>
      <w:r>
        <w:instrText xml:space="preserve"> PAGEREF _Toc433703371 \h </w:instrText>
      </w:r>
      <w:r>
        <w:fldChar w:fldCharType="separate"/>
      </w:r>
      <w:r>
        <w:t>60</w:t>
      </w:r>
      <w:r>
        <w:fldChar w:fldCharType="end"/>
      </w:r>
    </w:p>
    <w:p w14:paraId="089D7DB5" w14:textId="77777777" w:rsidR="00855B3D" w:rsidRDefault="00855B3D" w:rsidP="003732C1">
      <w:pPr>
        <w:pStyle w:val="TOC1"/>
        <w:keepNext/>
        <w:keepLines/>
        <w:rPr>
          <w:rFonts w:asciiTheme="minorHAnsi" w:eastAsiaTheme="minorEastAsia" w:hAnsiTheme="minorHAnsi" w:cstheme="minorBidi"/>
          <w:b w:val="0"/>
          <w:spacing w:val="0"/>
          <w:sz w:val="22"/>
          <w:szCs w:val="22"/>
        </w:rPr>
      </w:pPr>
      <w:r w:rsidRPr="00590950">
        <w:rPr>
          <w:i/>
        </w:rPr>
        <w:t>Deliverable</w:t>
      </w:r>
      <w:r>
        <w:t>: Maintain effective telecommunications safeguards</w:t>
      </w:r>
      <w:r>
        <w:tab/>
      </w:r>
      <w:r>
        <w:fldChar w:fldCharType="begin"/>
      </w:r>
      <w:r>
        <w:instrText xml:space="preserve"> PAGEREF _Toc433703372 \h </w:instrText>
      </w:r>
      <w:r>
        <w:fldChar w:fldCharType="separate"/>
      </w:r>
      <w:r>
        <w:t>61</w:t>
      </w:r>
      <w:r>
        <w:fldChar w:fldCharType="end"/>
      </w:r>
    </w:p>
    <w:p w14:paraId="1CEC3497" w14:textId="77777777" w:rsidR="00855B3D" w:rsidRDefault="00855B3D" w:rsidP="003732C1">
      <w:pPr>
        <w:pStyle w:val="TOC1"/>
        <w:keepNext/>
        <w:keepLines/>
        <w:spacing w:before="120"/>
        <w:rPr>
          <w:rFonts w:asciiTheme="minorHAnsi" w:eastAsiaTheme="minorEastAsia" w:hAnsiTheme="minorHAnsi" w:cstheme="minorBidi"/>
          <w:b w:val="0"/>
          <w:spacing w:val="0"/>
          <w:sz w:val="22"/>
          <w:szCs w:val="22"/>
        </w:rPr>
      </w:pPr>
      <w:r w:rsidRPr="00590950">
        <w:rPr>
          <w:i/>
        </w:rPr>
        <w:t>KPI</w:t>
      </w:r>
      <w:r>
        <w:t>: Consumer interests are protected and promoted when telecommunications services are purchased and used</w:t>
      </w:r>
      <w:r>
        <w:tab/>
      </w:r>
      <w:r>
        <w:fldChar w:fldCharType="begin"/>
      </w:r>
      <w:r>
        <w:instrText xml:space="preserve"> PAGEREF _Toc433703373 \h </w:instrText>
      </w:r>
      <w:r>
        <w:fldChar w:fldCharType="separate"/>
      </w:r>
      <w:r>
        <w:t>61</w:t>
      </w:r>
      <w:r>
        <w:fldChar w:fldCharType="end"/>
      </w:r>
    </w:p>
    <w:p w14:paraId="2CAA424C"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_Toc433703374 \h </w:instrText>
      </w:r>
      <w:r>
        <w:fldChar w:fldCharType="separate"/>
      </w:r>
      <w:r>
        <w:t>61</w:t>
      </w:r>
      <w:r>
        <w:fldChar w:fldCharType="end"/>
      </w:r>
    </w:p>
    <w:p w14:paraId="1ABE355A" w14:textId="77777777" w:rsidR="00855B3D" w:rsidRDefault="00855B3D">
      <w:pPr>
        <w:pStyle w:val="TOC2"/>
        <w:rPr>
          <w:rFonts w:asciiTheme="minorHAnsi" w:eastAsiaTheme="minorEastAsia" w:hAnsiTheme="minorHAnsi" w:cstheme="minorBidi"/>
          <w:spacing w:val="0"/>
          <w:sz w:val="22"/>
          <w:szCs w:val="22"/>
        </w:rPr>
      </w:pPr>
      <w:r>
        <w:t>The TCP Code</w:t>
      </w:r>
      <w:r>
        <w:tab/>
      </w:r>
      <w:r>
        <w:fldChar w:fldCharType="begin"/>
      </w:r>
      <w:r>
        <w:instrText xml:space="preserve"> PAGEREF _Toc433703375 \h </w:instrText>
      </w:r>
      <w:r>
        <w:fldChar w:fldCharType="separate"/>
      </w:r>
      <w:r>
        <w:t>61</w:t>
      </w:r>
      <w:r>
        <w:fldChar w:fldCharType="end"/>
      </w:r>
    </w:p>
    <w:p w14:paraId="0E118C13" w14:textId="77777777" w:rsidR="00855B3D" w:rsidRDefault="00855B3D">
      <w:pPr>
        <w:pStyle w:val="TOC3"/>
        <w:rPr>
          <w:rFonts w:asciiTheme="minorHAnsi" w:eastAsiaTheme="minorEastAsia" w:hAnsiTheme="minorHAnsi" w:cstheme="minorBidi"/>
        </w:rPr>
      </w:pPr>
      <w:r>
        <w:t>The ACMA’s enforcement powers</w:t>
      </w:r>
      <w:r>
        <w:tab/>
      </w:r>
      <w:r>
        <w:fldChar w:fldCharType="begin"/>
      </w:r>
      <w:r>
        <w:instrText xml:space="preserve"> PAGEREF _Toc433703376 \h </w:instrText>
      </w:r>
      <w:r>
        <w:fldChar w:fldCharType="separate"/>
      </w:r>
      <w:r>
        <w:t>62</w:t>
      </w:r>
      <w:r>
        <w:fldChar w:fldCharType="end"/>
      </w:r>
    </w:p>
    <w:p w14:paraId="5237683A" w14:textId="77777777" w:rsidR="00855B3D" w:rsidRDefault="00855B3D">
      <w:pPr>
        <w:pStyle w:val="TOC3"/>
        <w:rPr>
          <w:rFonts w:asciiTheme="minorHAnsi" w:eastAsiaTheme="minorEastAsia" w:hAnsiTheme="minorHAnsi" w:cstheme="minorBidi"/>
        </w:rPr>
      </w:pPr>
      <w:r>
        <w:t>Enquiries and investigations about compliance with the TCP Code</w:t>
      </w:r>
      <w:r>
        <w:tab/>
      </w:r>
      <w:r>
        <w:fldChar w:fldCharType="begin"/>
      </w:r>
      <w:r>
        <w:instrText xml:space="preserve"> PAGEREF _Toc433703377 \h </w:instrText>
      </w:r>
      <w:r>
        <w:fldChar w:fldCharType="separate"/>
      </w:r>
      <w:r>
        <w:t>62</w:t>
      </w:r>
      <w:r>
        <w:fldChar w:fldCharType="end"/>
      </w:r>
    </w:p>
    <w:p w14:paraId="32A6632B" w14:textId="77777777" w:rsidR="00855B3D" w:rsidRDefault="00855B3D">
      <w:pPr>
        <w:pStyle w:val="TOC3"/>
        <w:rPr>
          <w:rFonts w:asciiTheme="minorHAnsi" w:eastAsiaTheme="minorEastAsia" w:hAnsiTheme="minorHAnsi" w:cstheme="minorBidi"/>
        </w:rPr>
      </w:pPr>
      <w:r>
        <w:t>Compliance attestations review</w:t>
      </w:r>
      <w:r>
        <w:tab/>
      </w:r>
      <w:r>
        <w:fldChar w:fldCharType="begin"/>
      </w:r>
      <w:r>
        <w:instrText xml:space="preserve"> PAGEREF _Toc433703378 \h </w:instrText>
      </w:r>
      <w:r>
        <w:fldChar w:fldCharType="separate"/>
      </w:r>
      <w:r>
        <w:t>62</w:t>
      </w:r>
      <w:r>
        <w:fldChar w:fldCharType="end"/>
      </w:r>
    </w:p>
    <w:p w14:paraId="34374A41" w14:textId="77777777" w:rsidR="00855B3D" w:rsidRDefault="00855B3D">
      <w:pPr>
        <w:pStyle w:val="TOC3"/>
        <w:rPr>
          <w:rFonts w:asciiTheme="minorHAnsi" w:eastAsiaTheme="minorEastAsia" w:hAnsiTheme="minorHAnsi" w:cstheme="minorBidi"/>
        </w:rPr>
      </w:pPr>
      <w:r>
        <w:t>Critical information summaries review</w:t>
      </w:r>
      <w:r>
        <w:tab/>
      </w:r>
      <w:r>
        <w:fldChar w:fldCharType="begin"/>
      </w:r>
      <w:r>
        <w:instrText xml:space="preserve"> PAGEREF _Toc433703379 \h </w:instrText>
      </w:r>
      <w:r>
        <w:fldChar w:fldCharType="separate"/>
      </w:r>
      <w:r>
        <w:t>63</w:t>
      </w:r>
      <w:r>
        <w:fldChar w:fldCharType="end"/>
      </w:r>
    </w:p>
    <w:p w14:paraId="48286D17" w14:textId="77777777" w:rsidR="00855B3D" w:rsidRDefault="00855B3D">
      <w:pPr>
        <w:pStyle w:val="TOC3"/>
        <w:rPr>
          <w:rFonts w:asciiTheme="minorHAnsi" w:eastAsiaTheme="minorEastAsia" w:hAnsiTheme="minorHAnsi" w:cstheme="minorBidi"/>
        </w:rPr>
      </w:pPr>
      <w:r>
        <w:t>Customer transfer investigations and review</w:t>
      </w:r>
      <w:r>
        <w:tab/>
      </w:r>
      <w:r>
        <w:fldChar w:fldCharType="begin"/>
      </w:r>
      <w:r>
        <w:instrText xml:space="preserve"> PAGEREF _Toc433703380 \h </w:instrText>
      </w:r>
      <w:r>
        <w:fldChar w:fldCharType="separate"/>
      </w:r>
      <w:r>
        <w:t>63</w:t>
      </w:r>
      <w:r>
        <w:fldChar w:fldCharType="end"/>
      </w:r>
    </w:p>
    <w:p w14:paraId="51EDDE27" w14:textId="77777777" w:rsidR="00855B3D" w:rsidRDefault="00855B3D">
      <w:pPr>
        <w:pStyle w:val="TOC2"/>
        <w:rPr>
          <w:rFonts w:asciiTheme="minorHAnsi" w:eastAsiaTheme="minorEastAsia" w:hAnsiTheme="minorHAnsi" w:cstheme="minorBidi"/>
          <w:spacing w:val="0"/>
          <w:sz w:val="22"/>
          <w:szCs w:val="22"/>
        </w:rPr>
      </w:pPr>
      <w:r>
        <w:t>Mobile premium services</w:t>
      </w:r>
      <w:r>
        <w:tab/>
      </w:r>
      <w:r>
        <w:fldChar w:fldCharType="begin"/>
      </w:r>
      <w:r>
        <w:instrText xml:space="preserve"> PAGEREF _Toc433703381 \h </w:instrText>
      </w:r>
      <w:r>
        <w:fldChar w:fldCharType="separate"/>
      </w:r>
      <w:r>
        <w:t>63</w:t>
      </w:r>
      <w:r>
        <w:fldChar w:fldCharType="end"/>
      </w:r>
    </w:p>
    <w:p w14:paraId="2D704CFE" w14:textId="77777777" w:rsidR="00855B3D" w:rsidRDefault="00855B3D">
      <w:pPr>
        <w:pStyle w:val="TOC2"/>
        <w:rPr>
          <w:rFonts w:asciiTheme="minorHAnsi" w:eastAsiaTheme="minorEastAsia" w:hAnsiTheme="minorHAnsi" w:cstheme="minorBidi"/>
          <w:spacing w:val="0"/>
          <w:sz w:val="22"/>
          <w:szCs w:val="22"/>
        </w:rPr>
      </w:pPr>
      <w:r>
        <w:t>International mobile roaming sta</w:t>
      </w:r>
      <w:r w:rsidRPr="00590950">
        <w:t>n</w:t>
      </w:r>
      <w:r>
        <w:t>dard</w:t>
      </w:r>
      <w:r>
        <w:tab/>
      </w:r>
      <w:r>
        <w:fldChar w:fldCharType="begin"/>
      </w:r>
      <w:r>
        <w:instrText xml:space="preserve"> PAGEREF _Toc433703382 \h </w:instrText>
      </w:r>
      <w:r>
        <w:fldChar w:fldCharType="separate"/>
      </w:r>
      <w:r>
        <w:t>64</w:t>
      </w:r>
      <w:r>
        <w:fldChar w:fldCharType="end"/>
      </w:r>
    </w:p>
    <w:p w14:paraId="48468969" w14:textId="77777777" w:rsidR="00855B3D" w:rsidRDefault="00855B3D">
      <w:pPr>
        <w:pStyle w:val="TOC2"/>
        <w:rPr>
          <w:rFonts w:asciiTheme="minorHAnsi" w:eastAsiaTheme="minorEastAsia" w:hAnsiTheme="minorHAnsi" w:cstheme="minorBidi"/>
          <w:spacing w:val="0"/>
          <w:sz w:val="22"/>
          <w:szCs w:val="22"/>
        </w:rPr>
      </w:pPr>
      <w:r>
        <w:t>Telecommunications Industry Ombudsman scheme</w:t>
      </w:r>
      <w:r>
        <w:tab/>
      </w:r>
      <w:r>
        <w:fldChar w:fldCharType="begin"/>
      </w:r>
      <w:r>
        <w:instrText xml:space="preserve"> PAGEREF _Toc433703383 \h </w:instrText>
      </w:r>
      <w:r>
        <w:fldChar w:fldCharType="separate"/>
      </w:r>
      <w:r>
        <w:t>64</w:t>
      </w:r>
      <w:r>
        <w:fldChar w:fldCharType="end"/>
      </w:r>
    </w:p>
    <w:p w14:paraId="55125284" w14:textId="77777777" w:rsidR="00855B3D" w:rsidRDefault="00855B3D">
      <w:pPr>
        <w:pStyle w:val="TOC3"/>
        <w:rPr>
          <w:rFonts w:asciiTheme="minorHAnsi" w:eastAsiaTheme="minorEastAsia" w:hAnsiTheme="minorHAnsi" w:cstheme="minorBidi"/>
        </w:rPr>
      </w:pPr>
      <w:r>
        <w:t>TIO scheme membership</w:t>
      </w:r>
      <w:r>
        <w:tab/>
      </w:r>
      <w:r>
        <w:fldChar w:fldCharType="begin"/>
      </w:r>
      <w:r>
        <w:instrText xml:space="preserve"> PAGEREF _Toc433703384 \h </w:instrText>
      </w:r>
      <w:r>
        <w:fldChar w:fldCharType="separate"/>
      </w:r>
      <w:r>
        <w:t>64</w:t>
      </w:r>
      <w:r>
        <w:fldChar w:fldCharType="end"/>
      </w:r>
    </w:p>
    <w:p w14:paraId="3AF475D5" w14:textId="77777777" w:rsidR="00855B3D" w:rsidRDefault="00855B3D">
      <w:pPr>
        <w:pStyle w:val="TOC3"/>
        <w:rPr>
          <w:rFonts w:asciiTheme="minorHAnsi" w:eastAsiaTheme="minorEastAsia" w:hAnsiTheme="minorHAnsi" w:cstheme="minorBidi"/>
        </w:rPr>
      </w:pPr>
      <w:r>
        <w:t>TIO scheme investigation</w:t>
      </w:r>
      <w:r>
        <w:tab/>
      </w:r>
      <w:r>
        <w:fldChar w:fldCharType="begin"/>
      </w:r>
      <w:r>
        <w:instrText xml:space="preserve"> PAGEREF _Toc433703385 \h </w:instrText>
      </w:r>
      <w:r>
        <w:fldChar w:fldCharType="separate"/>
      </w:r>
      <w:r>
        <w:t>64</w:t>
      </w:r>
      <w:r>
        <w:fldChar w:fldCharType="end"/>
      </w:r>
    </w:p>
    <w:p w14:paraId="4F594B16" w14:textId="77777777" w:rsidR="00855B3D" w:rsidRDefault="00855B3D">
      <w:pPr>
        <w:pStyle w:val="TOC3"/>
        <w:rPr>
          <w:rFonts w:asciiTheme="minorHAnsi" w:eastAsiaTheme="minorEastAsia" w:hAnsiTheme="minorHAnsi" w:cstheme="minorBidi"/>
        </w:rPr>
      </w:pPr>
      <w:r>
        <w:t>Exemptions from the TIO scheme</w:t>
      </w:r>
      <w:r>
        <w:tab/>
      </w:r>
      <w:r>
        <w:fldChar w:fldCharType="begin"/>
      </w:r>
      <w:r>
        <w:instrText xml:space="preserve"> PAGEREF _Toc433703386 \h </w:instrText>
      </w:r>
      <w:r>
        <w:fldChar w:fldCharType="separate"/>
      </w:r>
      <w:r>
        <w:t>65</w:t>
      </w:r>
      <w:r>
        <w:fldChar w:fldCharType="end"/>
      </w:r>
    </w:p>
    <w:p w14:paraId="2FA27B9C" w14:textId="77777777" w:rsidR="00855B3D" w:rsidRDefault="00855B3D">
      <w:pPr>
        <w:pStyle w:val="TOC2"/>
        <w:rPr>
          <w:rFonts w:asciiTheme="minorHAnsi" w:eastAsiaTheme="minorEastAsia" w:hAnsiTheme="minorHAnsi" w:cstheme="minorBidi"/>
          <w:spacing w:val="0"/>
          <w:sz w:val="22"/>
          <w:szCs w:val="22"/>
        </w:rPr>
      </w:pPr>
      <w:r>
        <w:t>Copyright Notice Scheme Code</w:t>
      </w:r>
      <w:r>
        <w:tab/>
      </w:r>
      <w:r>
        <w:fldChar w:fldCharType="begin"/>
      </w:r>
      <w:r>
        <w:instrText xml:space="preserve"> PAGEREF _Toc433703387 \h </w:instrText>
      </w:r>
      <w:r>
        <w:fldChar w:fldCharType="separate"/>
      </w:r>
      <w:r>
        <w:t>65</w:t>
      </w:r>
      <w:r>
        <w:fldChar w:fldCharType="end"/>
      </w:r>
    </w:p>
    <w:p w14:paraId="076CE9BD" w14:textId="77777777" w:rsidR="00855B3D" w:rsidRDefault="00855B3D">
      <w:pPr>
        <w:pStyle w:val="TOC2"/>
        <w:rPr>
          <w:rFonts w:asciiTheme="minorHAnsi" w:eastAsiaTheme="minorEastAsia" w:hAnsiTheme="minorHAnsi" w:cstheme="minorBidi"/>
          <w:spacing w:val="0"/>
          <w:sz w:val="22"/>
          <w:szCs w:val="22"/>
        </w:rPr>
      </w:pPr>
      <w:r>
        <w:t>Universal service obligation</w:t>
      </w:r>
      <w:r>
        <w:tab/>
      </w:r>
      <w:r>
        <w:fldChar w:fldCharType="begin"/>
      </w:r>
      <w:r>
        <w:instrText xml:space="preserve"> PAGEREF _Toc433703388 \h </w:instrText>
      </w:r>
      <w:r>
        <w:fldChar w:fldCharType="separate"/>
      </w:r>
      <w:r>
        <w:t>65</w:t>
      </w:r>
      <w:r>
        <w:fldChar w:fldCharType="end"/>
      </w:r>
    </w:p>
    <w:p w14:paraId="784FB7DF" w14:textId="77777777" w:rsidR="00855B3D" w:rsidRDefault="00855B3D">
      <w:pPr>
        <w:pStyle w:val="TOC2"/>
        <w:rPr>
          <w:rFonts w:asciiTheme="minorHAnsi" w:eastAsiaTheme="minorEastAsia" w:hAnsiTheme="minorHAnsi" w:cstheme="minorBidi"/>
          <w:spacing w:val="0"/>
          <w:sz w:val="22"/>
          <w:szCs w:val="22"/>
        </w:rPr>
      </w:pPr>
      <w:r>
        <w:t>Payphone performance</w:t>
      </w:r>
      <w:r>
        <w:tab/>
      </w:r>
      <w:r>
        <w:fldChar w:fldCharType="begin"/>
      </w:r>
      <w:r>
        <w:instrText xml:space="preserve"> PAGEREF _Toc433703389 \h </w:instrText>
      </w:r>
      <w:r>
        <w:fldChar w:fldCharType="separate"/>
      </w:r>
      <w:r>
        <w:t>65</w:t>
      </w:r>
      <w:r>
        <w:fldChar w:fldCharType="end"/>
      </w:r>
    </w:p>
    <w:p w14:paraId="254DD967" w14:textId="77777777" w:rsidR="00855B3D" w:rsidRDefault="00855B3D">
      <w:pPr>
        <w:pStyle w:val="TOC2"/>
        <w:rPr>
          <w:rFonts w:asciiTheme="minorHAnsi" w:eastAsiaTheme="minorEastAsia" w:hAnsiTheme="minorHAnsi" w:cstheme="minorBidi"/>
          <w:spacing w:val="0"/>
          <w:sz w:val="22"/>
          <w:szCs w:val="22"/>
        </w:rPr>
      </w:pPr>
      <w:r>
        <w:t>Customer Service Guarantee</w:t>
      </w:r>
      <w:r>
        <w:tab/>
      </w:r>
      <w:r>
        <w:fldChar w:fldCharType="begin"/>
      </w:r>
      <w:r>
        <w:instrText xml:space="preserve"> PAGEREF _Toc433703390 \h </w:instrText>
      </w:r>
      <w:r>
        <w:fldChar w:fldCharType="separate"/>
      </w:r>
      <w:r>
        <w:t>66</w:t>
      </w:r>
      <w:r>
        <w:fldChar w:fldCharType="end"/>
      </w:r>
    </w:p>
    <w:p w14:paraId="369A13C5" w14:textId="77777777" w:rsidR="00855B3D" w:rsidRDefault="00855B3D">
      <w:pPr>
        <w:pStyle w:val="TOC2"/>
        <w:rPr>
          <w:rFonts w:asciiTheme="minorHAnsi" w:eastAsiaTheme="minorEastAsia" w:hAnsiTheme="minorHAnsi" w:cstheme="minorBidi"/>
          <w:spacing w:val="0"/>
          <w:sz w:val="22"/>
          <w:szCs w:val="22"/>
        </w:rPr>
      </w:pPr>
      <w:r>
        <w:t>Network Reliability Framework</w:t>
      </w:r>
      <w:r>
        <w:tab/>
      </w:r>
      <w:r>
        <w:fldChar w:fldCharType="begin"/>
      </w:r>
      <w:r>
        <w:instrText xml:space="preserve"> PAGEREF _Toc433703391 \h </w:instrText>
      </w:r>
      <w:r>
        <w:fldChar w:fldCharType="separate"/>
      </w:r>
      <w:r>
        <w:t>66</w:t>
      </w:r>
      <w:r>
        <w:fldChar w:fldCharType="end"/>
      </w:r>
    </w:p>
    <w:p w14:paraId="4FF52DC1" w14:textId="77777777" w:rsidR="00855B3D" w:rsidRDefault="00855B3D">
      <w:pPr>
        <w:pStyle w:val="TOC2"/>
        <w:rPr>
          <w:rFonts w:asciiTheme="minorHAnsi" w:eastAsiaTheme="minorEastAsia" w:hAnsiTheme="minorHAnsi" w:cstheme="minorBidi"/>
          <w:spacing w:val="0"/>
          <w:sz w:val="22"/>
          <w:szCs w:val="22"/>
        </w:rPr>
      </w:pPr>
      <w:r>
        <w:t>Priority assistance</w:t>
      </w:r>
      <w:r>
        <w:tab/>
      </w:r>
      <w:r>
        <w:fldChar w:fldCharType="begin"/>
      </w:r>
      <w:r>
        <w:instrText xml:space="preserve"> PAGEREF _Toc433703392 \h </w:instrText>
      </w:r>
      <w:r>
        <w:fldChar w:fldCharType="separate"/>
      </w:r>
      <w:r>
        <w:t>67</w:t>
      </w:r>
      <w:r>
        <w:fldChar w:fldCharType="end"/>
      </w:r>
    </w:p>
    <w:p w14:paraId="0BE92001" w14:textId="77777777" w:rsidR="00855B3D" w:rsidRDefault="00855B3D">
      <w:pPr>
        <w:pStyle w:val="TOC2"/>
        <w:rPr>
          <w:rFonts w:asciiTheme="minorHAnsi" w:eastAsiaTheme="minorEastAsia" w:hAnsiTheme="minorHAnsi" w:cstheme="minorBidi"/>
          <w:spacing w:val="0"/>
          <w:sz w:val="22"/>
          <w:szCs w:val="22"/>
        </w:rPr>
      </w:pPr>
      <w:r>
        <w:t>Local presence plan</w:t>
      </w:r>
      <w:r>
        <w:tab/>
      </w:r>
      <w:r>
        <w:fldChar w:fldCharType="begin"/>
      </w:r>
      <w:r>
        <w:instrText xml:space="preserve"> PAGEREF _Toc433703393 \h </w:instrText>
      </w:r>
      <w:r>
        <w:fldChar w:fldCharType="separate"/>
      </w:r>
      <w:r>
        <w:t>67</w:t>
      </w:r>
      <w:r>
        <w:fldChar w:fldCharType="end"/>
      </w:r>
    </w:p>
    <w:p w14:paraId="097D8681" w14:textId="77777777" w:rsidR="00855B3D" w:rsidRDefault="00855B3D">
      <w:pPr>
        <w:pStyle w:val="TOC2"/>
        <w:rPr>
          <w:rFonts w:asciiTheme="minorHAnsi" w:eastAsiaTheme="minorEastAsia" w:hAnsiTheme="minorHAnsi" w:cstheme="minorBidi"/>
          <w:spacing w:val="0"/>
          <w:sz w:val="22"/>
          <w:szCs w:val="22"/>
        </w:rPr>
      </w:pPr>
      <w:r>
        <w:t>Consumer Consultative Forum</w:t>
      </w:r>
      <w:r>
        <w:tab/>
      </w:r>
      <w:r>
        <w:fldChar w:fldCharType="begin"/>
      </w:r>
      <w:r>
        <w:instrText xml:space="preserve"> PAGEREF _Toc433703394 \h </w:instrText>
      </w:r>
      <w:r>
        <w:fldChar w:fldCharType="separate"/>
      </w:r>
      <w:r>
        <w:t>67</w:t>
      </w:r>
      <w:r>
        <w:fldChar w:fldCharType="end"/>
      </w:r>
    </w:p>
    <w:p w14:paraId="2F9DC8EC"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Minimise unsolicited spam and telemarketing communications</w:t>
      </w:r>
      <w:r>
        <w:tab/>
      </w:r>
      <w:r>
        <w:fldChar w:fldCharType="begin"/>
      </w:r>
      <w:r>
        <w:instrText xml:space="preserve"> PAGEREF _Toc433703395 \h </w:instrText>
      </w:r>
      <w:r>
        <w:fldChar w:fldCharType="separate"/>
      </w:r>
      <w:r>
        <w:t>68</w:t>
      </w:r>
      <w:r>
        <w:fldChar w:fldCharType="end"/>
      </w:r>
    </w:p>
    <w:p w14:paraId="5331D934"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The adverse impacts of spam and unsolicited telemarketing on the economy and society are minimised</w:t>
      </w:r>
      <w:r>
        <w:tab/>
      </w:r>
      <w:r>
        <w:fldChar w:fldCharType="begin"/>
      </w:r>
      <w:r>
        <w:instrText xml:space="preserve"> PAGEREF _Toc433703396 \h </w:instrText>
      </w:r>
      <w:r>
        <w:fldChar w:fldCharType="separate"/>
      </w:r>
      <w:r>
        <w:t>68</w:t>
      </w:r>
      <w:r>
        <w:fldChar w:fldCharType="end"/>
      </w:r>
    </w:p>
    <w:p w14:paraId="3A668711"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_Toc433703397 \h </w:instrText>
      </w:r>
      <w:r>
        <w:fldChar w:fldCharType="separate"/>
      </w:r>
      <w:r>
        <w:t>68</w:t>
      </w:r>
      <w:r>
        <w:fldChar w:fldCharType="end"/>
      </w:r>
    </w:p>
    <w:p w14:paraId="0A587597" w14:textId="77777777" w:rsidR="00855B3D" w:rsidRDefault="00855B3D">
      <w:pPr>
        <w:pStyle w:val="TOC2"/>
        <w:rPr>
          <w:rFonts w:asciiTheme="minorHAnsi" w:eastAsiaTheme="minorEastAsia" w:hAnsiTheme="minorHAnsi" w:cstheme="minorBidi"/>
          <w:spacing w:val="0"/>
          <w:sz w:val="22"/>
          <w:szCs w:val="22"/>
        </w:rPr>
      </w:pPr>
      <w:r>
        <w:t>Unsolicited communications compliance</w:t>
      </w:r>
      <w:r>
        <w:tab/>
      </w:r>
      <w:r>
        <w:fldChar w:fldCharType="begin"/>
      </w:r>
      <w:r>
        <w:instrText xml:space="preserve"> PAGEREF _Toc433703398 \h </w:instrText>
      </w:r>
      <w:r>
        <w:fldChar w:fldCharType="separate"/>
      </w:r>
      <w:r>
        <w:t>68</w:t>
      </w:r>
      <w:r>
        <w:fldChar w:fldCharType="end"/>
      </w:r>
    </w:p>
    <w:p w14:paraId="7EA3D03C" w14:textId="77777777" w:rsidR="00855B3D" w:rsidRDefault="00855B3D">
      <w:pPr>
        <w:pStyle w:val="TOC3"/>
        <w:rPr>
          <w:rFonts w:asciiTheme="minorHAnsi" w:eastAsiaTheme="minorEastAsia" w:hAnsiTheme="minorHAnsi" w:cstheme="minorBidi"/>
        </w:rPr>
      </w:pPr>
      <w:r>
        <w:t>Education initiatives and stakeholder engagement</w:t>
      </w:r>
      <w:r>
        <w:tab/>
      </w:r>
      <w:r>
        <w:fldChar w:fldCharType="begin"/>
      </w:r>
      <w:r>
        <w:instrText xml:space="preserve"> PAGEREF _Toc433703399 \h </w:instrText>
      </w:r>
      <w:r>
        <w:fldChar w:fldCharType="separate"/>
      </w:r>
      <w:r>
        <w:t>70</w:t>
      </w:r>
      <w:r>
        <w:fldChar w:fldCharType="end"/>
      </w:r>
    </w:p>
    <w:p w14:paraId="6D787858" w14:textId="77777777" w:rsidR="00855B3D" w:rsidRDefault="00855B3D">
      <w:pPr>
        <w:pStyle w:val="TOC3"/>
        <w:rPr>
          <w:rFonts w:asciiTheme="minorHAnsi" w:eastAsiaTheme="minorEastAsia" w:hAnsiTheme="minorHAnsi" w:cstheme="minorBidi"/>
        </w:rPr>
      </w:pPr>
      <w:r>
        <w:t>International cooperation</w:t>
      </w:r>
      <w:r>
        <w:tab/>
      </w:r>
      <w:r>
        <w:fldChar w:fldCharType="begin"/>
      </w:r>
      <w:r>
        <w:instrText xml:space="preserve"> PAGEREF _Toc433703400 \h </w:instrText>
      </w:r>
      <w:r>
        <w:fldChar w:fldCharType="separate"/>
      </w:r>
      <w:r>
        <w:t>71</w:t>
      </w:r>
      <w:r>
        <w:fldChar w:fldCharType="end"/>
      </w:r>
    </w:p>
    <w:p w14:paraId="41ADAD32" w14:textId="77777777" w:rsidR="00855B3D" w:rsidRDefault="00855B3D">
      <w:pPr>
        <w:pStyle w:val="TOC2"/>
        <w:rPr>
          <w:rFonts w:asciiTheme="minorHAnsi" w:eastAsiaTheme="minorEastAsia" w:hAnsiTheme="minorHAnsi" w:cstheme="minorBidi"/>
          <w:spacing w:val="0"/>
          <w:sz w:val="22"/>
          <w:szCs w:val="22"/>
        </w:rPr>
      </w:pPr>
      <w:r>
        <w:t>Do Not Call Register</w:t>
      </w:r>
      <w:r>
        <w:tab/>
      </w:r>
      <w:r>
        <w:fldChar w:fldCharType="begin"/>
      </w:r>
      <w:r>
        <w:instrText xml:space="preserve"> PAGEREF _Toc433703401 \h </w:instrText>
      </w:r>
      <w:r>
        <w:fldChar w:fldCharType="separate"/>
      </w:r>
      <w:r>
        <w:t>71</w:t>
      </w:r>
      <w:r>
        <w:fldChar w:fldCharType="end"/>
      </w:r>
    </w:p>
    <w:p w14:paraId="3EDA404A" w14:textId="77777777" w:rsidR="00855B3D" w:rsidRDefault="00855B3D">
      <w:pPr>
        <w:pStyle w:val="TOC2"/>
        <w:rPr>
          <w:rFonts w:asciiTheme="minorHAnsi" w:eastAsiaTheme="minorEastAsia" w:hAnsiTheme="minorHAnsi" w:cstheme="minorBidi"/>
          <w:spacing w:val="0"/>
          <w:sz w:val="22"/>
          <w:szCs w:val="22"/>
        </w:rPr>
      </w:pPr>
      <w:r>
        <w:t>De-registration of Internet Industry Spam Code of Practice</w:t>
      </w:r>
      <w:r>
        <w:tab/>
      </w:r>
      <w:r>
        <w:fldChar w:fldCharType="begin"/>
      </w:r>
      <w:r>
        <w:instrText xml:space="preserve"> PAGEREF _Toc433703402 \h </w:instrText>
      </w:r>
      <w:r>
        <w:fldChar w:fldCharType="separate"/>
      </w:r>
      <w:r>
        <w:t>72</w:t>
      </w:r>
      <w:r>
        <w:fldChar w:fldCharType="end"/>
      </w:r>
    </w:p>
    <w:p w14:paraId="55E12AA7"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t>: Maintain effective broadcasting and community standards</w:t>
      </w:r>
      <w:r>
        <w:tab/>
      </w:r>
      <w:r>
        <w:fldChar w:fldCharType="begin"/>
      </w:r>
      <w:r>
        <w:instrText xml:space="preserve"> PAGEREF _Toc433703403 \h </w:instrText>
      </w:r>
      <w:r>
        <w:fldChar w:fldCharType="separate"/>
      </w:r>
      <w:r>
        <w:t>73</w:t>
      </w:r>
      <w:r>
        <w:fldChar w:fldCharType="end"/>
      </w:r>
    </w:p>
    <w:p w14:paraId="3A2E255B"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t>: Community’s confidence in the efficacy of broadcasting regulation is maintained</w:t>
      </w:r>
      <w:r>
        <w:tab/>
      </w:r>
      <w:r>
        <w:fldChar w:fldCharType="begin"/>
      </w:r>
      <w:r>
        <w:instrText xml:space="preserve"> PAGEREF _Toc433703404 \h </w:instrText>
      </w:r>
      <w:r>
        <w:fldChar w:fldCharType="separate"/>
      </w:r>
      <w:r>
        <w:t>73</w:t>
      </w:r>
      <w:r>
        <w:fldChar w:fldCharType="end"/>
      </w:r>
    </w:p>
    <w:p w14:paraId="175BE1FD"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_Toc433703405 \h </w:instrText>
      </w:r>
      <w:r>
        <w:fldChar w:fldCharType="separate"/>
      </w:r>
      <w:r>
        <w:t>73</w:t>
      </w:r>
      <w:r>
        <w:fldChar w:fldCharType="end"/>
      </w:r>
    </w:p>
    <w:p w14:paraId="3AF956CA" w14:textId="77777777" w:rsidR="00855B3D" w:rsidRDefault="00855B3D">
      <w:pPr>
        <w:pStyle w:val="TOC2"/>
        <w:rPr>
          <w:rFonts w:asciiTheme="minorHAnsi" w:eastAsiaTheme="minorEastAsia" w:hAnsiTheme="minorHAnsi" w:cstheme="minorBidi"/>
          <w:spacing w:val="0"/>
          <w:sz w:val="22"/>
          <w:szCs w:val="22"/>
        </w:rPr>
      </w:pPr>
      <w:r>
        <w:t>Ownership and control</w:t>
      </w:r>
      <w:r>
        <w:tab/>
      </w:r>
      <w:r>
        <w:fldChar w:fldCharType="begin"/>
      </w:r>
      <w:r>
        <w:instrText xml:space="preserve"> PAGEREF _Toc433703406 \h </w:instrText>
      </w:r>
      <w:r>
        <w:fldChar w:fldCharType="separate"/>
      </w:r>
      <w:r>
        <w:t>73</w:t>
      </w:r>
      <w:r>
        <w:fldChar w:fldCharType="end"/>
      </w:r>
    </w:p>
    <w:p w14:paraId="0A835FD9" w14:textId="77777777" w:rsidR="00855B3D" w:rsidRDefault="00855B3D">
      <w:pPr>
        <w:pStyle w:val="TOC3"/>
        <w:rPr>
          <w:rFonts w:asciiTheme="minorHAnsi" w:eastAsiaTheme="minorEastAsia" w:hAnsiTheme="minorHAnsi" w:cstheme="minorBidi"/>
        </w:rPr>
      </w:pPr>
      <w:r>
        <w:t>Compliance with ownership and control provisions</w:t>
      </w:r>
      <w:r>
        <w:tab/>
      </w:r>
      <w:r>
        <w:fldChar w:fldCharType="begin"/>
      </w:r>
      <w:r>
        <w:instrText xml:space="preserve"> PAGEREF _Toc433703407 \h </w:instrText>
      </w:r>
      <w:r>
        <w:fldChar w:fldCharType="separate"/>
      </w:r>
      <w:r>
        <w:t>73</w:t>
      </w:r>
      <w:r>
        <w:fldChar w:fldCharType="end"/>
      </w:r>
    </w:p>
    <w:p w14:paraId="6D00C0DA" w14:textId="77777777" w:rsidR="00855B3D" w:rsidRDefault="00855B3D">
      <w:pPr>
        <w:pStyle w:val="TOC2"/>
        <w:rPr>
          <w:rFonts w:asciiTheme="minorHAnsi" w:eastAsiaTheme="minorEastAsia" w:hAnsiTheme="minorHAnsi" w:cstheme="minorBidi"/>
          <w:spacing w:val="0"/>
          <w:sz w:val="22"/>
          <w:szCs w:val="22"/>
        </w:rPr>
      </w:pPr>
      <w:r>
        <w:t>Local content</w:t>
      </w:r>
      <w:r>
        <w:tab/>
      </w:r>
      <w:r>
        <w:fldChar w:fldCharType="begin"/>
      </w:r>
      <w:r>
        <w:instrText xml:space="preserve"> PAGEREF _Toc433703408 \h </w:instrText>
      </w:r>
      <w:r>
        <w:fldChar w:fldCharType="separate"/>
      </w:r>
      <w:r>
        <w:t>74</w:t>
      </w:r>
      <w:r>
        <w:fldChar w:fldCharType="end"/>
      </w:r>
    </w:p>
    <w:p w14:paraId="50F34DCD" w14:textId="77777777" w:rsidR="00855B3D" w:rsidRDefault="00855B3D">
      <w:pPr>
        <w:pStyle w:val="TOC3"/>
        <w:rPr>
          <w:rFonts w:asciiTheme="minorHAnsi" w:eastAsiaTheme="minorEastAsia" w:hAnsiTheme="minorHAnsi" w:cstheme="minorBidi"/>
        </w:rPr>
      </w:pPr>
      <w:r>
        <w:t>Regional television</w:t>
      </w:r>
      <w:r>
        <w:tab/>
      </w:r>
      <w:r>
        <w:fldChar w:fldCharType="begin"/>
      </w:r>
      <w:r>
        <w:instrText xml:space="preserve"> PAGEREF _Toc433703409 \h </w:instrText>
      </w:r>
      <w:r>
        <w:fldChar w:fldCharType="separate"/>
      </w:r>
      <w:r>
        <w:t>74</w:t>
      </w:r>
      <w:r>
        <w:fldChar w:fldCharType="end"/>
      </w:r>
    </w:p>
    <w:p w14:paraId="20FC8CD0" w14:textId="77777777" w:rsidR="00855B3D" w:rsidRDefault="00855B3D">
      <w:pPr>
        <w:pStyle w:val="TOC3"/>
        <w:rPr>
          <w:rFonts w:asciiTheme="minorHAnsi" w:eastAsiaTheme="minorEastAsia" w:hAnsiTheme="minorHAnsi" w:cstheme="minorBidi"/>
        </w:rPr>
      </w:pPr>
      <w:r>
        <w:t>Regional radio</w:t>
      </w:r>
      <w:r>
        <w:tab/>
      </w:r>
      <w:r>
        <w:fldChar w:fldCharType="begin"/>
      </w:r>
      <w:r>
        <w:instrText xml:space="preserve"> PAGEREF _Toc433703410 \h </w:instrText>
      </w:r>
      <w:r>
        <w:fldChar w:fldCharType="separate"/>
      </w:r>
      <w:r>
        <w:t>75</w:t>
      </w:r>
      <w:r>
        <w:fldChar w:fldCharType="end"/>
      </w:r>
    </w:p>
    <w:p w14:paraId="13B2CB27" w14:textId="77777777" w:rsidR="00855B3D" w:rsidRDefault="00855B3D">
      <w:pPr>
        <w:pStyle w:val="TOC2"/>
        <w:rPr>
          <w:rFonts w:asciiTheme="minorHAnsi" w:eastAsiaTheme="minorEastAsia" w:hAnsiTheme="minorHAnsi" w:cstheme="minorBidi"/>
          <w:spacing w:val="0"/>
          <w:sz w:val="22"/>
          <w:szCs w:val="22"/>
        </w:rPr>
      </w:pPr>
      <w:r>
        <w:t>Broadcasting compliance</w:t>
      </w:r>
      <w:r>
        <w:tab/>
      </w:r>
      <w:r>
        <w:fldChar w:fldCharType="begin"/>
      </w:r>
      <w:r>
        <w:instrText xml:space="preserve"> PAGEREF _Toc433703411 \h </w:instrText>
      </w:r>
      <w:r>
        <w:fldChar w:fldCharType="separate"/>
      </w:r>
      <w:r>
        <w:t>76</w:t>
      </w:r>
      <w:r>
        <w:fldChar w:fldCharType="end"/>
      </w:r>
    </w:p>
    <w:p w14:paraId="4D284480" w14:textId="77777777" w:rsidR="00855B3D" w:rsidRDefault="00855B3D">
      <w:pPr>
        <w:pStyle w:val="TOC3"/>
        <w:rPr>
          <w:rFonts w:asciiTheme="minorHAnsi" w:eastAsiaTheme="minorEastAsia" w:hAnsiTheme="minorHAnsi" w:cstheme="minorBidi"/>
        </w:rPr>
      </w:pPr>
      <w:r>
        <w:t>Broadcasting codes of practice, licence conditions and standards</w:t>
      </w:r>
      <w:r>
        <w:tab/>
      </w:r>
      <w:r>
        <w:fldChar w:fldCharType="begin"/>
      </w:r>
      <w:r>
        <w:instrText xml:space="preserve"> PAGEREF _Toc433703412 \h </w:instrText>
      </w:r>
      <w:r>
        <w:fldChar w:fldCharType="separate"/>
      </w:r>
      <w:r>
        <w:t>76</w:t>
      </w:r>
      <w:r>
        <w:fldChar w:fldCharType="end"/>
      </w:r>
    </w:p>
    <w:p w14:paraId="1CD8B838" w14:textId="77777777" w:rsidR="00855B3D" w:rsidRDefault="00855B3D">
      <w:pPr>
        <w:pStyle w:val="TOC3"/>
        <w:rPr>
          <w:rFonts w:asciiTheme="minorHAnsi" w:eastAsiaTheme="minorEastAsia" w:hAnsiTheme="minorHAnsi" w:cstheme="minorBidi"/>
        </w:rPr>
      </w:pPr>
      <w:r>
        <w:t>Code reviews</w:t>
      </w:r>
      <w:r>
        <w:tab/>
      </w:r>
      <w:r>
        <w:fldChar w:fldCharType="begin"/>
      </w:r>
      <w:r>
        <w:instrText xml:space="preserve"> PAGEREF _Toc433703413 \h </w:instrText>
      </w:r>
      <w:r>
        <w:fldChar w:fldCharType="separate"/>
      </w:r>
      <w:r>
        <w:t>77</w:t>
      </w:r>
      <w:r>
        <w:fldChar w:fldCharType="end"/>
      </w:r>
    </w:p>
    <w:p w14:paraId="41200E64" w14:textId="77777777" w:rsidR="00855B3D" w:rsidRDefault="00855B3D">
      <w:pPr>
        <w:pStyle w:val="TOC3"/>
        <w:rPr>
          <w:rFonts w:asciiTheme="minorHAnsi" w:eastAsiaTheme="minorEastAsia" w:hAnsiTheme="minorHAnsi" w:cstheme="minorBidi"/>
        </w:rPr>
      </w:pPr>
      <w:r>
        <w:t>The ACMA’s enforcement powers under the BSA</w:t>
      </w:r>
      <w:r>
        <w:tab/>
      </w:r>
      <w:r>
        <w:fldChar w:fldCharType="begin"/>
      </w:r>
      <w:r>
        <w:instrText xml:space="preserve"> PAGEREF _Toc433703414 \h </w:instrText>
      </w:r>
      <w:r>
        <w:fldChar w:fldCharType="separate"/>
      </w:r>
      <w:r>
        <w:t>77</w:t>
      </w:r>
      <w:r>
        <w:fldChar w:fldCharType="end"/>
      </w:r>
    </w:p>
    <w:p w14:paraId="05D4E833" w14:textId="77777777" w:rsidR="00855B3D" w:rsidRDefault="00855B3D">
      <w:pPr>
        <w:pStyle w:val="TOC3"/>
        <w:rPr>
          <w:rFonts w:asciiTheme="minorHAnsi" w:eastAsiaTheme="minorEastAsia" w:hAnsiTheme="minorHAnsi" w:cstheme="minorBidi"/>
        </w:rPr>
      </w:pPr>
      <w:r>
        <w:t>Investigations conducted by the ACMA in 2014–15</w:t>
      </w:r>
      <w:r>
        <w:tab/>
      </w:r>
      <w:r>
        <w:fldChar w:fldCharType="begin"/>
      </w:r>
      <w:r>
        <w:instrText xml:space="preserve"> PAGEREF _Toc433703415 \h </w:instrText>
      </w:r>
      <w:r>
        <w:fldChar w:fldCharType="separate"/>
      </w:r>
      <w:r>
        <w:t>78</w:t>
      </w:r>
      <w:r>
        <w:fldChar w:fldCharType="end"/>
      </w:r>
    </w:p>
    <w:p w14:paraId="53DCA625" w14:textId="77777777" w:rsidR="00855B3D" w:rsidRDefault="00855B3D">
      <w:pPr>
        <w:pStyle w:val="TOC3"/>
        <w:rPr>
          <w:rFonts w:asciiTheme="minorHAnsi" w:eastAsiaTheme="minorEastAsia" w:hAnsiTheme="minorHAnsi" w:cstheme="minorBidi"/>
        </w:rPr>
      </w:pPr>
      <w:r>
        <w:t>Anti-siphoning provisions</w:t>
      </w:r>
      <w:r>
        <w:tab/>
      </w:r>
      <w:r>
        <w:fldChar w:fldCharType="begin"/>
      </w:r>
      <w:r>
        <w:instrText xml:space="preserve"> PAGEREF _Toc433703416 \h </w:instrText>
      </w:r>
      <w:r>
        <w:fldChar w:fldCharType="separate"/>
      </w:r>
      <w:r>
        <w:t>79</w:t>
      </w:r>
      <w:r>
        <w:fldChar w:fldCharType="end"/>
      </w:r>
    </w:p>
    <w:p w14:paraId="52DECD6E" w14:textId="77777777" w:rsidR="00855B3D" w:rsidRDefault="00855B3D">
      <w:pPr>
        <w:pStyle w:val="TOC3"/>
        <w:rPr>
          <w:rFonts w:asciiTheme="minorHAnsi" w:eastAsiaTheme="minorEastAsia" w:hAnsiTheme="minorHAnsi" w:cstheme="minorBidi"/>
        </w:rPr>
      </w:pPr>
      <w:r>
        <w:t>Australian content</w:t>
      </w:r>
      <w:r>
        <w:tab/>
      </w:r>
      <w:r>
        <w:fldChar w:fldCharType="begin"/>
      </w:r>
      <w:r>
        <w:instrText xml:space="preserve"> PAGEREF _Toc433703417 \h </w:instrText>
      </w:r>
      <w:r>
        <w:fldChar w:fldCharType="separate"/>
      </w:r>
      <w:r>
        <w:t>79</w:t>
      </w:r>
      <w:r>
        <w:fldChar w:fldCharType="end"/>
      </w:r>
    </w:p>
    <w:p w14:paraId="487BD5B1" w14:textId="77777777" w:rsidR="00855B3D" w:rsidRDefault="00855B3D">
      <w:pPr>
        <w:pStyle w:val="TOC3"/>
        <w:rPr>
          <w:rFonts w:asciiTheme="minorHAnsi" w:eastAsiaTheme="minorEastAsia" w:hAnsiTheme="minorHAnsi" w:cstheme="minorBidi"/>
        </w:rPr>
      </w:pPr>
      <w:r>
        <w:t>Broadcasting (Australian Content) Standard 2005</w:t>
      </w:r>
      <w:r>
        <w:tab/>
      </w:r>
      <w:r>
        <w:fldChar w:fldCharType="begin"/>
      </w:r>
      <w:r>
        <w:instrText xml:space="preserve"> PAGEREF _Toc433703418 \h </w:instrText>
      </w:r>
      <w:r>
        <w:fldChar w:fldCharType="separate"/>
      </w:r>
      <w:r>
        <w:t>79</w:t>
      </w:r>
      <w:r>
        <w:fldChar w:fldCharType="end"/>
      </w:r>
    </w:p>
    <w:p w14:paraId="51C1D43F" w14:textId="77777777" w:rsidR="00855B3D" w:rsidRDefault="00855B3D">
      <w:pPr>
        <w:pStyle w:val="TOC3"/>
        <w:rPr>
          <w:rFonts w:asciiTheme="minorHAnsi" w:eastAsiaTheme="minorEastAsia" w:hAnsiTheme="minorHAnsi" w:cstheme="minorBidi"/>
        </w:rPr>
      </w:pPr>
      <w:r>
        <w:t>Children’s Television Standards 2009</w:t>
      </w:r>
      <w:r>
        <w:tab/>
      </w:r>
      <w:r>
        <w:fldChar w:fldCharType="begin"/>
      </w:r>
      <w:r>
        <w:instrText xml:space="preserve"> PAGEREF _Toc433703419 \h </w:instrText>
      </w:r>
      <w:r>
        <w:fldChar w:fldCharType="separate"/>
      </w:r>
      <w:r>
        <w:t>80</w:t>
      </w:r>
      <w:r>
        <w:fldChar w:fldCharType="end"/>
      </w:r>
    </w:p>
    <w:p w14:paraId="13F852C6" w14:textId="77777777" w:rsidR="00855B3D" w:rsidRDefault="00855B3D">
      <w:pPr>
        <w:pStyle w:val="TOC3"/>
        <w:rPr>
          <w:rFonts w:asciiTheme="minorHAnsi" w:eastAsiaTheme="minorEastAsia" w:hAnsiTheme="minorHAnsi" w:cstheme="minorBidi"/>
        </w:rPr>
      </w:pPr>
      <w:r>
        <w:t>Subscription television drama expenditure</w:t>
      </w:r>
      <w:r>
        <w:tab/>
      </w:r>
      <w:r>
        <w:fldChar w:fldCharType="begin"/>
      </w:r>
      <w:r>
        <w:instrText xml:space="preserve"> PAGEREF _Toc433703420 \h </w:instrText>
      </w:r>
      <w:r>
        <w:fldChar w:fldCharType="separate"/>
      </w:r>
      <w:r>
        <w:t>81</w:t>
      </w:r>
      <w:r>
        <w:fldChar w:fldCharType="end"/>
      </w:r>
    </w:p>
    <w:p w14:paraId="388C4042" w14:textId="77777777" w:rsidR="00855B3D" w:rsidRDefault="00855B3D">
      <w:pPr>
        <w:pStyle w:val="TOC3"/>
        <w:rPr>
          <w:rFonts w:asciiTheme="minorHAnsi" w:eastAsiaTheme="minorEastAsia" w:hAnsiTheme="minorHAnsi" w:cstheme="minorBidi"/>
        </w:rPr>
      </w:pPr>
      <w:r>
        <w:t>Captioning</w:t>
      </w:r>
      <w:r>
        <w:tab/>
      </w:r>
      <w:r>
        <w:fldChar w:fldCharType="begin"/>
      </w:r>
      <w:r>
        <w:instrText xml:space="preserve"> PAGEREF _Toc433703421 \h </w:instrText>
      </w:r>
      <w:r>
        <w:fldChar w:fldCharType="separate"/>
      </w:r>
      <w:r>
        <w:t>82</w:t>
      </w:r>
      <w:r>
        <w:fldChar w:fldCharType="end"/>
      </w:r>
    </w:p>
    <w:p w14:paraId="778A0501" w14:textId="77777777" w:rsidR="00855B3D" w:rsidRDefault="00855B3D" w:rsidP="00855B3D">
      <w:pPr>
        <w:pStyle w:val="TOC1"/>
        <w:keepNext/>
        <w:keepLines/>
        <w:rPr>
          <w:rFonts w:asciiTheme="minorHAnsi" w:eastAsiaTheme="minorEastAsia" w:hAnsiTheme="minorHAnsi" w:cstheme="minorBidi"/>
          <w:b w:val="0"/>
          <w:spacing w:val="0"/>
          <w:sz w:val="22"/>
          <w:szCs w:val="22"/>
        </w:rPr>
      </w:pPr>
      <w:r w:rsidRPr="00590950">
        <w:rPr>
          <w:i/>
        </w:rPr>
        <w:t>Deliverable</w:t>
      </w:r>
      <w:r>
        <w:t>: Maintain effective online content and community standards</w:t>
      </w:r>
      <w:r>
        <w:tab/>
      </w:r>
      <w:r>
        <w:fldChar w:fldCharType="begin"/>
      </w:r>
      <w:r>
        <w:instrText xml:space="preserve"> PAGEREF _Toc433703422 \h </w:instrText>
      </w:r>
      <w:r>
        <w:fldChar w:fldCharType="separate"/>
      </w:r>
      <w:r>
        <w:t>85</w:t>
      </w:r>
      <w:r>
        <w:fldChar w:fldCharType="end"/>
      </w:r>
    </w:p>
    <w:p w14:paraId="04EF0030" w14:textId="77777777" w:rsidR="00855B3D" w:rsidRDefault="00855B3D" w:rsidP="00855B3D">
      <w:pPr>
        <w:pStyle w:val="TOC1"/>
        <w:keepNext/>
        <w:keepLines/>
        <w:spacing w:before="120"/>
        <w:rPr>
          <w:rFonts w:asciiTheme="minorHAnsi" w:eastAsiaTheme="minorEastAsia" w:hAnsiTheme="minorHAnsi" w:cstheme="minorBidi"/>
          <w:b w:val="0"/>
          <w:spacing w:val="0"/>
          <w:sz w:val="22"/>
          <w:szCs w:val="22"/>
        </w:rPr>
      </w:pPr>
      <w:r w:rsidRPr="00590950">
        <w:rPr>
          <w:i/>
        </w:rPr>
        <w:t>KPI</w:t>
      </w:r>
      <w:r>
        <w:t>: Citizens have effective and accessible avenues of complaint for online content that breaches community standards</w:t>
      </w:r>
      <w:r>
        <w:tab/>
      </w:r>
      <w:r>
        <w:fldChar w:fldCharType="begin"/>
      </w:r>
      <w:r>
        <w:instrText xml:space="preserve"> PAGEREF _Toc433703423 \h </w:instrText>
      </w:r>
      <w:r>
        <w:fldChar w:fldCharType="separate"/>
      </w:r>
      <w:r>
        <w:t>85</w:t>
      </w:r>
      <w:r>
        <w:fldChar w:fldCharType="end"/>
      </w:r>
    </w:p>
    <w:p w14:paraId="5FE6D8A0"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_Toc433703424 \h </w:instrText>
      </w:r>
      <w:r>
        <w:fldChar w:fldCharType="separate"/>
      </w:r>
      <w:r>
        <w:t>85</w:t>
      </w:r>
      <w:r>
        <w:fldChar w:fldCharType="end"/>
      </w:r>
    </w:p>
    <w:p w14:paraId="36114BE4" w14:textId="77777777" w:rsidR="00855B3D" w:rsidRDefault="00855B3D">
      <w:pPr>
        <w:pStyle w:val="TOC2"/>
        <w:rPr>
          <w:rFonts w:asciiTheme="minorHAnsi" w:eastAsiaTheme="minorEastAsia" w:hAnsiTheme="minorHAnsi" w:cstheme="minorBidi"/>
          <w:spacing w:val="0"/>
          <w:sz w:val="22"/>
          <w:szCs w:val="22"/>
        </w:rPr>
      </w:pPr>
      <w:r>
        <w:t>Online content complaints</w:t>
      </w:r>
      <w:r>
        <w:tab/>
      </w:r>
      <w:r>
        <w:fldChar w:fldCharType="begin"/>
      </w:r>
      <w:r>
        <w:instrText xml:space="preserve"> PAGEREF _Toc433703425 \h </w:instrText>
      </w:r>
      <w:r>
        <w:fldChar w:fldCharType="separate"/>
      </w:r>
      <w:r>
        <w:t>85</w:t>
      </w:r>
      <w:r>
        <w:fldChar w:fldCharType="end"/>
      </w:r>
    </w:p>
    <w:p w14:paraId="50993488" w14:textId="77777777" w:rsidR="00855B3D" w:rsidRDefault="00855B3D">
      <w:pPr>
        <w:pStyle w:val="TOC3"/>
        <w:rPr>
          <w:rFonts w:asciiTheme="minorHAnsi" w:eastAsiaTheme="minorEastAsia" w:hAnsiTheme="minorHAnsi" w:cstheme="minorBidi"/>
        </w:rPr>
      </w:pPr>
      <w:r>
        <w:t>National Child Protection Week</w:t>
      </w:r>
      <w:r>
        <w:tab/>
      </w:r>
      <w:r>
        <w:fldChar w:fldCharType="begin"/>
      </w:r>
      <w:r>
        <w:instrText xml:space="preserve"> PAGEREF _Toc433703426 \h </w:instrText>
      </w:r>
      <w:r>
        <w:fldChar w:fldCharType="separate"/>
      </w:r>
      <w:r>
        <w:t>88</w:t>
      </w:r>
      <w:r>
        <w:fldChar w:fldCharType="end"/>
      </w:r>
    </w:p>
    <w:p w14:paraId="208122EB" w14:textId="77777777" w:rsidR="00855B3D" w:rsidRDefault="00855B3D">
      <w:pPr>
        <w:pStyle w:val="TOC3"/>
        <w:rPr>
          <w:rFonts w:asciiTheme="minorHAnsi" w:eastAsiaTheme="minorEastAsia" w:hAnsiTheme="minorHAnsi" w:cstheme="minorBidi"/>
        </w:rPr>
      </w:pPr>
      <w:r>
        <w:t>CCEMO forum</w:t>
      </w:r>
      <w:r>
        <w:tab/>
      </w:r>
      <w:r>
        <w:fldChar w:fldCharType="begin"/>
      </w:r>
      <w:r>
        <w:instrText xml:space="preserve"> PAGEREF _Toc433703427 \h </w:instrText>
      </w:r>
      <w:r>
        <w:fldChar w:fldCharType="separate"/>
      </w:r>
      <w:r>
        <w:t>88</w:t>
      </w:r>
      <w:r>
        <w:fldChar w:fldCharType="end"/>
      </w:r>
    </w:p>
    <w:p w14:paraId="15255F39" w14:textId="77777777" w:rsidR="00855B3D" w:rsidRDefault="00855B3D">
      <w:pPr>
        <w:pStyle w:val="TOC2"/>
        <w:rPr>
          <w:rFonts w:asciiTheme="minorHAnsi" w:eastAsiaTheme="minorEastAsia" w:hAnsiTheme="minorHAnsi" w:cstheme="minorBidi"/>
          <w:spacing w:val="0"/>
          <w:sz w:val="22"/>
          <w:szCs w:val="22"/>
        </w:rPr>
      </w:pPr>
      <w:r>
        <w:t>Interactive gambling</w:t>
      </w:r>
      <w:r>
        <w:tab/>
      </w:r>
      <w:r>
        <w:fldChar w:fldCharType="begin"/>
      </w:r>
      <w:r>
        <w:instrText xml:space="preserve"> PAGEREF _Toc433703428 \h </w:instrText>
      </w:r>
      <w:r>
        <w:fldChar w:fldCharType="separate"/>
      </w:r>
      <w:r>
        <w:t>89</w:t>
      </w:r>
      <w:r>
        <w:fldChar w:fldCharType="end"/>
      </w:r>
    </w:p>
    <w:p w14:paraId="55C2DCFB" w14:textId="77777777" w:rsidR="00855B3D" w:rsidRDefault="00855B3D">
      <w:pPr>
        <w:pStyle w:val="TOC1"/>
        <w:rPr>
          <w:rFonts w:asciiTheme="minorHAnsi" w:eastAsiaTheme="minorEastAsia" w:hAnsiTheme="minorHAnsi" w:cstheme="minorBidi"/>
          <w:b w:val="0"/>
          <w:spacing w:val="0"/>
          <w:sz w:val="22"/>
          <w:szCs w:val="22"/>
        </w:rPr>
      </w:pPr>
      <w:r w:rsidRPr="00590950">
        <w:rPr>
          <w:i/>
        </w:rPr>
        <w:t>Deliverable</w:t>
      </w:r>
      <w:r w:rsidRPr="00590950">
        <w:t>: Promote engagement in the information economy and evolving networked society</w:t>
      </w:r>
      <w:r>
        <w:tab/>
      </w:r>
      <w:r>
        <w:fldChar w:fldCharType="begin"/>
      </w:r>
      <w:r>
        <w:instrText xml:space="preserve"> PAGEREF _Toc433703429 \h </w:instrText>
      </w:r>
      <w:r>
        <w:fldChar w:fldCharType="separate"/>
      </w:r>
      <w:r>
        <w:t>90</w:t>
      </w:r>
      <w:r>
        <w:fldChar w:fldCharType="end"/>
      </w:r>
    </w:p>
    <w:p w14:paraId="2FA469C4" w14:textId="77777777" w:rsidR="00855B3D" w:rsidRDefault="00855B3D" w:rsidP="00855B3D">
      <w:pPr>
        <w:pStyle w:val="TOC1"/>
        <w:spacing w:before="120"/>
        <w:rPr>
          <w:rFonts w:asciiTheme="minorHAnsi" w:eastAsiaTheme="minorEastAsia" w:hAnsiTheme="minorHAnsi" w:cstheme="minorBidi"/>
          <w:b w:val="0"/>
          <w:spacing w:val="0"/>
          <w:sz w:val="22"/>
          <w:szCs w:val="22"/>
        </w:rPr>
      </w:pPr>
      <w:r w:rsidRPr="00590950">
        <w:rPr>
          <w:i/>
        </w:rPr>
        <w:t>KPI</w:t>
      </w:r>
      <w:r w:rsidRPr="00590950">
        <w:t>: Citizens engage positively, confidently and securely in the developing information economy and evolving networked society</w:t>
      </w:r>
      <w:r>
        <w:tab/>
      </w:r>
      <w:r>
        <w:fldChar w:fldCharType="begin"/>
      </w:r>
      <w:r>
        <w:instrText xml:space="preserve"> PAGEREF _Toc433703430 \h </w:instrText>
      </w:r>
      <w:r>
        <w:fldChar w:fldCharType="separate"/>
      </w:r>
      <w:r>
        <w:t>90</w:t>
      </w:r>
      <w:r>
        <w:fldChar w:fldCharType="end"/>
      </w:r>
    </w:p>
    <w:p w14:paraId="517A6336"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_Toc433703431 \h </w:instrText>
      </w:r>
      <w:r>
        <w:fldChar w:fldCharType="separate"/>
      </w:r>
      <w:r>
        <w:t>90</w:t>
      </w:r>
      <w:r>
        <w:fldChar w:fldCharType="end"/>
      </w:r>
    </w:p>
    <w:p w14:paraId="5F3CF4BE" w14:textId="77777777" w:rsidR="00855B3D" w:rsidRDefault="00855B3D">
      <w:pPr>
        <w:pStyle w:val="TOC2"/>
        <w:rPr>
          <w:rFonts w:asciiTheme="minorHAnsi" w:eastAsiaTheme="minorEastAsia" w:hAnsiTheme="minorHAnsi" w:cstheme="minorBidi"/>
          <w:spacing w:val="0"/>
          <w:sz w:val="22"/>
          <w:szCs w:val="22"/>
        </w:rPr>
      </w:pPr>
      <w:r>
        <w:t>Cybersafety—the Cybersmart program</w:t>
      </w:r>
      <w:r>
        <w:tab/>
      </w:r>
      <w:r>
        <w:fldChar w:fldCharType="begin"/>
      </w:r>
      <w:r>
        <w:instrText xml:space="preserve"> PAGEREF _Toc433703432 \h </w:instrText>
      </w:r>
      <w:r>
        <w:fldChar w:fldCharType="separate"/>
      </w:r>
      <w:r>
        <w:t>90</w:t>
      </w:r>
      <w:r>
        <w:fldChar w:fldCharType="end"/>
      </w:r>
    </w:p>
    <w:p w14:paraId="40860CF7" w14:textId="77777777" w:rsidR="00855B3D" w:rsidRDefault="00855B3D">
      <w:pPr>
        <w:pStyle w:val="TOC3"/>
        <w:rPr>
          <w:rFonts w:asciiTheme="minorHAnsi" w:eastAsiaTheme="minorEastAsia" w:hAnsiTheme="minorHAnsi" w:cstheme="minorBidi"/>
        </w:rPr>
      </w:pPr>
      <w:r>
        <w:t>New Cybersmart education resources</w:t>
      </w:r>
      <w:r>
        <w:tab/>
      </w:r>
      <w:r>
        <w:fldChar w:fldCharType="begin"/>
      </w:r>
      <w:r>
        <w:instrText xml:space="preserve"> PAGEREF _Toc433703433 \h </w:instrText>
      </w:r>
      <w:r>
        <w:fldChar w:fldCharType="separate"/>
      </w:r>
      <w:r>
        <w:t>91</w:t>
      </w:r>
      <w:r>
        <w:fldChar w:fldCharType="end"/>
      </w:r>
    </w:p>
    <w:p w14:paraId="71AC47CE" w14:textId="77777777" w:rsidR="00855B3D" w:rsidRDefault="00855B3D">
      <w:pPr>
        <w:pStyle w:val="TOC3"/>
        <w:rPr>
          <w:rFonts w:asciiTheme="minorHAnsi" w:eastAsiaTheme="minorEastAsia" w:hAnsiTheme="minorHAnsi" w:cstheme="minorBidi"/>
        </w:rPr>
      </w:pPr>
      <w:r>
        <w:t>Cybersmart Outreach program</w:t>
      </w:r>
      <w:r>
        <w:tab/>
      </w:r>
      <w:r>
        <w:fldChar w:fldCharType="begin"/>
      </w:r>
      <w:r>
        <w:instrText xml:space="preserve"> PAGEREF _Toc433703434 \h </w:instrText>
      </w:r>
      <w:r>
        <w:fldChar w:fldCharType="separate"/>
      </w:r>
      <w:r>
        <w:t>91</w:t>
      </w:r>
      <w:r>
        <w:fldChar w:fldCharType="end"/>
      </w:r>
    </w:p>
    <w:p w14:paraId="794B8F23" w14:textId="77777777" w:rsidR="00855B3D" w:rsidRDefault="00855B3D">
      <w:pPr>
        <w:pStyle w:val="TOC3"/>
        <w:rPr>
          <w:rFonts w:asciiTheme="minorHAnsi" w:eastAsiaTheme="minorEastAsia" w:hAnsiTheme="minorHAnsi" w:cstheme="minorBidi"/>
        </w:rPr>
      </w:pPr>
      <w:r>
        <w:t>Key partnerships</w:t>
      </w:r>
      <w:r>
        <w:tab/>
      </w:r>
      <w:r>
        <w:fldChar w:fldCharType="begin"/>
      </w:r>
      <w:r>
        <w:instrText xml:space="preserve"> PAGEREF _Toc433703435 \h </w:instrText>
      </w:r>
      <w:r>
        <w:fldChar w:fldCharType="separate"/>
      </w:r>
      <w:r>
        <w:t>92</w:t>
      </w:r>
      <w:r>
        <w:fldChar w:fldCharType="end"/>
      </w:r>
    </w:p>
    <w:p w14:paraId="62BF21BB" w14:textId="77777777" w:rsidR="00855B3D" w:rsidRDefault="00855B3D">
      <w:pPr>
        <w:pStyle w:val="TOC2"/>
        <w:rPr>
          <w:rFonts w:asciiTheme="minorHAnsi" w:eastAsiaTheme="minorEastAsia" w:hAnsiTheme="minorHAnsi" w:cstheme="minorBidi"/>
          <w:spacing w:val="0"/>
          <w:sz w:val="22"/>
          <w:szCs w:val="22"/>
        </w:rPr>
      </w:pPr>
      <w:r>
        <w:t>Cybersecurity</w:t>
      </w:r>
      <w:r>
        <w:tab/>
      </w:r>
      <w:r>
        <w:fldChar w:fldCharType="begin"/>
      </w:r>
      <w:r>
        <w:instrText xml:space="preserve"> PAGEREF _Toc433703436 \h </w:instrText>
      </w:r>
      <w:r>
        <w:fldChar w:fldCharType="separate"/>
      </w:r>
      <w:r>
        <w:t>93</w:t>
      </w:r>
      <w:r>
        <w:fldChar w:fldCharType="end"/>
      </w:r>
    </w:p>
    <w:p w14:paraId="597DF20D" w14:textId="77777777" w:rsidR="00855B3D" w:rsidRDefault="00855B3D">
      <w:pPr>
        <w:pStyle w:val="TOC2"/>
        <w:rPr>
          <w:rFonts w:asciiTheme="minorHAnsi" w:eastAsiaTheme="minorEastAsia" w:hAnsiTheme="minorHAnsi" w:cstheme="minorBidi"/>
          <w:spacing w:val="0"/>
          <w:sz w:val="22"/>
          <w:szCs w:val="22"/>
        </w:rPr>
      </w:pPr>
      <w:r w:rsidRPr="00590950">
        <w:t>research</w:t>
      </w:r>
      <w:r>
        <w:t>acma</w:t>
      </w:r>
      <w:r>
        <w:tab/>
      </w:r>
      <w:r>
        <w:fldChar w:fldCharType="begin"/>
      </w:r>
      <w:r>
        <w:instrText xml:space="preserve"> PAGEREF _Toc433703437 \h </w:instrText>
      </w:r>
      <w:r>
        <w:fldChar w:fldCharType="separate"/>
      </w:r>
      <w:r>
        <w:t>94</w:t>
      </w:r>
      <w:r>
        <w:fldChar w:fldCharType="end"/>
      </w:r>
    </w:p>
    <w:p w14:paraId="4FBBC4DF" w14:textId="77777777" w:rsidR="00855B3D" w:rsidRDefault="00855B3D">
      <w:pPr>
        <w:pStyle w:val="TOC3"/>
        <w:rPr>
          <w:rFonts w:asciiTheme="minorHAnsi" w:eastAsiaTheme="minorEastAsia" w:hAnsiTheme="minorHAnsi" w:cstheme="minorBidi"/>
        </w:rPr>
      </w:pPr>
      <w:r>
        <w:t>Market developments</w:t>
      </w:r>
      <w:r>
        <w:tab/>
      </w:r>
      <w:r>
        <w:fldChar w:fldCharType="begin"/>
      </w:r>
      <w:r>
        <w:instrText xml:space="preserve"> PAGEREF _Toc433703438 \h </w:instrText>
      </w:r>
      <w:r>
        <w:fldChar w:fldCharType="separate"/>
      </w:r>
      <w:r>
        <w:t>95</w:t>
      </w:r>
      <w:r>
        <w:fldChar w:fldCharType="end"/>
      </w:r>
    </w:p>
    <w:p w14:paraId="717C8B48" w14:textId="77777777" w:rsidR="00855B3D" w:rsidRDefault="00855B3D">
      <w:pPr>
        <w:pStyle w:val="TOC3"/>
        <w:rPr>
          <w:rFonts w:asciiTheme="minorHAnsi" w:eastAsiaTheme="minorEastAsia" w:hAnsiTheme="minorHAnsi" w:cstheme="minorBidi"/>
        </w:rPr>
      </w:pPr>
      <w:r>
        <w:t>Media content and culture</w:t>
      </w:r>
      <w:r>
        <w:tab/>
      </w:r>
      <w:r>
        <w:fldChar w:fldCharType="begin"/>
      </w:r>
      <w:r>
        <w:instrText xml:space="preserve"> PAGEREF _Toc433703439 \h </w:instrText>
      </w:r>
      <w:r>
        <w:fldChar w:fldCharType="separate"/>
      </w:r>
      <w:r>
        <w:t>96</w:t>
      </w:r>
      <w:r>
        <w:fldChar w:fldCharType="end"/>
      </w:r>
    </w:p>
    <w:p w14:paraId="51F8350D" w14:textId="77777777" w:rsidR="00855B3D" w:rsidRDefault="00855B3D">
      <w:pPr>
        <w:pStyle w:val="TOC3"/>
        <w:rPr>
          <w:rFonts w:asciiTheme="minorHAnsi" w:eastAsiaTheme="minorEastAsia" w:hAnsiTheme="minorHAnsi" w:cstheme="minorBidi"/>
        </w:rPr>
      </w:pPr>
      <w:r>
        <w:t>Social and economic participation</w:t>
      </w:r>
      <w:r>
        <w:tab/>
      </w:r>
      <w:r>
        <w:fldChar w:fldCharType="begin"/>
      </w:r>
      <w:r>
        <w:instrText xml:space="preserve"> PAGEREF _Toc433703440 \h </w:instrText>
      </w:r>
      <w:r>
        <w:fldChar w:fldCharType="separate"/>
      </w:r>
      <w:r>
        <w:t>96</w:t>
      </w:r>
      <w:r>
        <w:fldChar w:fldCharType="end"/>
      </w:r>
    </w:p>
    <w:p w14:paraId="3A182324" w14:textId="77777777" w:rsidR="00855B3D" w:rsidRDefault="00855B3D">
      <w:pPr>
        <w:pStyle w:val="TOC3"/>
        <w:rPr>
          <w:rFonts w:asciiTheme="minorHAnsi" w:eastAsiaTheme="minorEastAsia" w:hAnsiTheme="minorHAnsi" w:cstheme="minorBidi"/>
        </w:rPr>
      </w:pPr>
      <w:r>
        <w:t>Citizen and consumer safeguards</w:t>
      </w:r>
      <w:r>
        <w:tab/>
      </w:r>
      <w:r>
        <w:fldChar w:fldCharType="begin"/>
      </w:r>
      <w:r>
        <w:instrText xml:space="preserve"> PAGEREF _Toc433703441 \h </w:instrText>
      </w:r>
      <w:r>
        <w:fldChar w:fldCharType="separate"/>
      </w:r>
      <w:r>
        <w:t>96</w:t>
      </w:r>
      <w:r>
        <w:fldChar w:fldCharType="end"/>
      </w:r>
    </w:p>
    <w:p w14:paraId="4B08F9BD" w14:textId="77777777" w:rsidR="00855B3D" w:rsidRDefault="00855B3D">
      <w:pPr>
        <w:pStyle w:val="TOC3"/>
        <w:rPr>
          <w:rFonts w:asciiTheme="minorHAnsi" w:eastAsiaTheme="minorEastAsia" w:hAnsiTheme="minorHAnsi" w:cstheme="minorBidi"/>
        </w:rPr>
      </w:pPr>
      <w:r>
        <w:t>Regulatory best practice and development</w:t>
      </w:r>
      <w:r>
        <w:tab/>
      </w:r>
      <w:r>
        <w:fldChar w:fldCharType="begin"/>
      </w:r>
      <w:r>
        <w:instrText xml:space="preserve"> PAGEREF _Toc433703442 \h </w:instrText>
      </w:r>
      <w:r>
        <w:fldChar w:fldCharType="separate"/>
      </w:r>
      <w:r>
        <w:t>96</w:t>
      </w:r>
      <w:r>
        <w:fldChar w:fldCharType="end"/>
      </w:r>
    </w:p>
    <w:p w14:paraId="3261A373" w14:textId="77777777" w:rsidR="00855B3D" w:rsidRDefault="00855B3D" w:rsidP="00855B3D">
      <w:pPr>
        <w:pStyle w:val="TOC1"/>
        <w:keepNext/>
        <w:keepLines/>
        <w:rPr>
          <w:rFonts w:asciiTheme="minorHAnsi" w:eastAsiaTheme="minorEastAsia" w:hAnsiTheme="minorHAnsi" w:cstheme="minorBidi"/>
          <w:b w:val="0"/>
          <w:spacing w:val="0"/>
          <w:sz w:val="22"/>
          <w:szCs w:val="22"/>
        </w:rPr>
      </w:pPr>
      <w:r w:rsidRPr="00590950">
        <w:rPr>
          <w:i/>
        </w:rPr>
        <w:t>Deliverable</w:t>
      </w:r>
      <w:r>
        <w:t>: Develop and maintain appropriate regulatory settings for an information economy and network society</w:t>
      </w:r>
      <w:r>
        <w:tab/>
      </w:r>
      <w:r>
        <w:fldChar w:fldCharType="begin"/>
      </w:r>
      <w:r>
        <w:instrText xml:space="preserve"> PAGEREF _Toc433703443 \h </w:instrText>
      </w:r>
      <w:r>
        <w:fldChar w:fldCharType="separate"/>
      </w:r>
      <w:r>
        <w:t>97</w:t>
      </w:r>
      <w:r>
        <w:fldChar w:fldCharType="end"/>
      </w:r>
    </w:p>
    <w:p w14:paraId="66C839CF" w14:textId="77777777" w:rsidR="00855B3D" w:rsidRDefault="00855B3D" w:rsidP="00855B3D">
      <w:pPr>
        <w:pStyle w:val="TOC1"/>
        <w:keepNext/>
        <w:keepLines/>
        <w:spacing w:before="120"/>
        <w:rPr>
          <w:rFonts w:asciiTheme="minorHAnsi" w:eastAsiaTheme="minorEastAsia" w:hAnsiTheme="minorHAnsi" w:cstheme="minorBidi"/>
          <w:b w:val="0"/>
          <w:spacing w:val="0"/>
          <w:sz w:val="22"/>
          <w:szCs w:val="22"/>
        </w:rPr>
      </w:pPr>
      <w:r w:rsidRPr="00590950">
        <w:rPr>
          <w:i/>
        </w:rPr>
        <w:t>KPI</w:t>
      </w:r>
      <w:r>
        <w:t>: Industry and business have sufficient confidence in regulatory settings to continue development of innovative communications and media services</w:t>
      </w:r>
      <w:r>
        <w:tab/>
      </w:r>
      <w:r>
        <w:fldChar w:fldCharType="begin"/>
      </w:r>
      <w:r>
        <w:instrText xml:space="preserve"> PAGEREF _Toc433703444 \h </w:instrText>
      </w:r>
      <w:r>
        <w:fldChar w:fldCharType="separate"/>
      </w:r>
      <w:r>
        <w:t>97</w:t>
      </w:r>
      <w:r>
        <w:fldChar w:fldCharType="end"/>
      </w:r>
    </w:p>
    <w:p w14:paraId="2A5E9B88" w14:textId="77777777" w:rsidR="00855B3D" w:rsidRDefault="00855B3D">
      <w:pPr>
        <w:pStyle w:val="TOC2"/>
        <w:rPr>
          <w:rFonts w:asciiTheme="minorHAnsi" w:eastAsiaTheme="minorEastAsia" w:hAnsiTheme="minorHAnsi" w:cstheme="minorBidi"/>
          <w:spacing w:val="0"/>
          <w:sz w:val="22"/>
          <w:szCs w:val="22"/>
        </w:rPr>
      </w:pPr>
      <w:r>
        <w:t>Overview and significant outcomes</w:t>
      </w:r>
      <w:r>
        <w:tab/>
      </w:r>
      <w:r>
        <w:fldChar w:fldCharType="begin"/>
      </w:r>
      <w:r>
        <w:instrText xml:space="preserve"> PAGEREF _Toc433703445 \h </w:instrText>
      </w:r>
      <w:r>
        <w:fldChar w:fldCharType="separate"/>
      </w:r>
      <w:r>
        <w:t>97</w:t>
      </w:r>
      <w:r>
        <w:fldChar w:fldCharType="end"/>
      </w:r>
    </w:p>
    <w:p w14:paraId="0A818860" w14:textId="77777777" w:rsidR="00855B3D" w:rsidRDefault="00855B3D">
      <w:pPr>
        <w:pStyle w:val="TOC2"/>
        <w:rPr>
          <w:rFonts w:asciiTheme="minorHAnsi" w:eastAsiaTheme="minorEastAsia" w:hAnsiTheme="minorHAnsi" w:cstheme="minorBidi"/>
          <w:spacing w:val="0"/>
          <w:sz w:val="22"/>
          <w:szCs w:val="22"/>
        </w:rPr>
      </w:pPr>
      <w:r>
        <w:t>Better targeted regulation</w:t>
      </w:r>
      <w:r>
        <w:tab/>
      </w:r>
      <w:r>
        <w:fldChar w:fldCharType="begin"/>
      </w:r>
      <w:r>
        <w:instrText xml:space="preserve"> PAGEREF _Toc433703446 \h </w:instrText>
      </w:r>
      <w:r>
        <w:fldChar w:fldCharType="separate"/>
      </w:r>
      <w:r>
        <w:t>97</w:t>
      </w:r>
      <w:r>
        <w:fldChar w:fldCharType="end"/>
      </w:r>
    </w:p>
    <w:p w14:paraId="265987CB" w14:textId="77777777" w:rsidR="00855B3D" w:rsidRDefault="00855B3D">
      <w:pPr>
        <w:pStyle w:val="TOC2"/>
        <w:rPr>
          <w:rFonts w:asciiTheme="minorHAnsi" w:eastAsiaTheme="minorEastAsia" w:hAnsiTheme="minorHAnsi" w:cstheme="minorBidi"/>
          <w:spacing w:val="0"/>
          <w:sz w:val="22"/>
          <w:szCs w:val="22"/>
        </w:rPr>
      </w:pPr>
      <w:r>
        <w:t>Regulatory best-practice and development research</w:t>
      </w:r>
      <w:r>
        <w:tab/>
      </w:r>
      <w:r>
        <w:fldChar w:fldCharType="begin"/>
      </w:r>
      <w:r>
        <w:instrText xml:space="preserve"> PAGEREF _Toc433703447 \h </w:instrText>
      </w:r>
      <w:r>
        <w:fldChar w:fldCharType="separate"/>
      </w:r>
      <w:r>
        <w:t>98</w:t>
      </w:r>
      <w:r>
        <w:fldChar w:fldCharType="end"/>
      </w:r>
    </w:p>
    <w:p w14:paraId="53BB4412" w14:textId="77777777" w:rsidR="00855B3D" w:rsidRDefault="00855B3D">
      <w:pPr>
        <w:pStyle w:val="TOC2"/>
        <w:rPr>
          <w:rFonts w:asciiTheme="minorHAnsi" w:eastAsiaTheme="minorEastAsia" w:hAnsiTheme="minorHAnsi" w:cstheme="minorBidi"/>
          <w:spacing w:val="0"/>
          <w:sz w:val="22"/>
          <w:szCs w:val="22"/>
        </w:rPr>
      </w:pPr>
      <w:r>
        <w:t>Sunsetting</w:t>
      </w:r>
      <w:r>
        <w:tab/>
      </w:r>
      <w:r>
        <w:fldChar w:fldCharType="begin"/>
      </w:r>
      <w:r>
        <w:instrText xml:space="preserve"> PAGEREF _Toc433703448 \h </w:instrText>
      </w:r>
      <w:r>
        <w:fldChar w:fldCharType="separate"/>
      </w:r>
      <w:r>
        <w:t>99</w:t>
      </w:r>
      <w:r>
        <w:fldChar w:fldCharType="end"/>
      </w:r>
    </w:p>
    <w:p w14:paraId="522F51C3" w14:textId="77777777" w:rsidR="00855B3D" w:rsidRDefault="00855B3D">
      <w:pPr>
        <w:pStyle w:val="TOC1"/>
        <w:rPr>
          <w:rFonts w:asciiTheme="minorHAnsi" w:eastAsiaTheme="minorEastAsia" w:hAnsiTheme="minorHAnsi" w:cstheme="minorBidi"/>
          <w:b w:val="0"/>
          <w:spacing w:val="0"/>
          <w:sz w:val="22"/>
          <w:szCs w:val="22"/>
        </w:rPr>
      </w:pPr>
      <w:r>
        <w:t>Part 4—Management and accountability</w:t>
      </w:r>
      <w:r>
        <w:tab/>
      </w:r>
      <w:r>
        <w:fldChar w:fldCharType="begin"/>
      </w:r>
      <w:r>
        <w:instrText xml:space="preserve"> PAGEREF _Toc433703449 \h </w:instrText>
      </w:r>
      <w:r>
        <w:fldChar w:fldCharType="separate"/>
      </w:r>
      <w:r>
        <w:t>100</w:t>
      </w:r>
      <w:r>
        <w:fldChar w:fldCharType="end"/>
      </w:r>
    </w:p>
    <w:p w14:paraId="7C607CE7" w14:textId="77777777" w:rsidR="00855B3D" w:rsidRDefault="00855B3D">
      <w:pPr>
        <w:pStyle w:val="TOC1"/>
        <w:rPr>
          <w:rFonts w:asciiTheme="minorHAnsi" w:eastAsiaTheme="minorEastAsia" w:hAnsiTheme="minorHAnsi" w:cstheme="minorBidi"/>
          <w:b w:val="0"/>
          <w:spacing w:val="0"/>
          <w:sz w:val="22"/>
          <w:szCs w:val="22"/>
        </w:rPr>
      </w:pPr>
      <w:r w:rsidRPr="00590950">
        <w:t>Chapter 5: Managing and developing our resources</w:t>
      </w:r>
      <w:r>
        <w:tab/>
      </w:r>
      <w:r>
        <w:fldChar w:fldCharType="begin"/>
      </w:r>
      <w:r>
        <w:instrText xml:space="preserve"> PAGEREF _Toc433703450 \h </w:instrText>
      </w:r>
      <w:r>
        <w:fldChar w:fldCharType="separate"/>
      </w:r>
      <w:r>
        <w:t>101</w:t>
      </w:r>
      <w:r>
        <w:fldChar w:fldCharType="end"/>
      </w:r>
    </w:p>
    <w:p w14:paraId="1CA4ACAC" w14:textId="77777777" w:rsidR="00855B3D" w:rsidRDefault="00855B3D">
      <w:pPr>
        <w:pStyle w:val="TOC2"/>
        <w:rPr>
          <w:rFonts w:asciiTheme="minorHAnsi" w:eastAsiaTheme="minorEastAsia" w:hAnsiTheme="minorHAnsi" w:cstheme="minorBidi"/>
          <w:spacing w:val="0"/>
          <w:sz w:val="22"/>
          <w:szCs w:val="22"/>
        </w:rPr>
      </w:pPr>
      <w:r>
        <w:t>Governance</w:t>
      </w:r>
      <w:r>
        <w:tab/>
      </w:r>
      <w:r>
        <w:fldChar w:fldCharType="begin"/>
      </w:r>
      <w:r>
        <w:instrText xml:space="preserve"> PAGEREF _Toc433703451 \h </w:instrText>
      </w:r>
      <w:r>
        <w:fldChar w:fldCharType="separate"/>
      </w:r>
      <w:r>
        <w:t>101</w:t>
      </w:r>
      <w:r>
        <w:fldChar w:fldCharType="end"/>
      </w:r>
    </w:p>
    <w:p w14:paraId="7480F49C" w14:textId="77777777" w:rsidR="00855B3D" w:rsidRDefault="00855B3D">
      <w:pPr>
        <w:pStyle w:val="TOC3"/>
        <w:rPr>
          <w:rFonts w:asciiTheme="minorHAnsi" w:eastAsiaTheme="minorEastAsia" w:hAnsiTheme="minorHAnsi" w:cstheme="minorBidi"/>
        </w:rPr>
      </w:pPr>
      <w:r>
        <w:t>Corporate planning</w:t>
      </w:r>
      <w:r>
        <w:tab/>
      </w:r>
      <w:r>
        <w:fldChar w:fldCharType="begin"/>
      </w:r>
      <w:r>
        <w:instrText xml:space="preserve"> PAGEREF _Toc433703452 \h </w:instrText>
      </w:r>
      <w:r>
        <w:fldChar w:fldCharType="separate"/>
      </w:r>
      <w:r>
        <w:t>101</w:t>
      </w:r>
      <w:r>
        <w:fldChar w:fldCharType="end"/>
      </w:r>
    </w:p>
    <w:p w14:paraId="1234F25F" w14:textId="77777777" w:rsidR="00855B3D" w:rsidRDefault="00855B3D">
      <w:pPr>
        <w:pStyle w:val="TOC3"/>
        <w:rPr>
          <w:rFonts w:asciiTheme="minorHAnsi" w:eastAsiaTheme="minorEastAsia" w:hAnsiTheme="minorHAnsi" w:cstheme="minorBidi"/>
        </w:rPr>
      </w:pPr>
      <w:r>
        <w:t>Risk management and fraud control</w:t>
      </w:r>
      <w:r>
        <w:tab/>
      </w:r>
      <w:r>
        <w:fldChar w:fldCharType="begin"/>
      </w:r>
      <w:r>
        <w:instrText xml:space="preserve"> PAGEREF _Toc433703453 \h </w:instrText>
      </w:r>
      <w:r>
        <w:fldChar w:fldCharType="separate"/>
      </w:r>
      <w:r>
        <w:t>102</w:t>
      </w:r>
      <w:r>
        <w:fldChar w:fldCharType="end"/>
      </w:r>
    </w:p>
    <w:p w14:paraId="1442D6FE" w14:textId="77777777" w:rsidR="00855B3D" w:rsidRDefault="00855B3D">
      <w:pPr>
        <w:pStyle w:val="TOC3"/>
        <w:rPr>
          <w:rFonts w:asciiTheme="minorHAnsi" w:eastAsiaTheme="minorEastAsia" w:hAnsiTheme="minorHAnsi" w:cstheme="minorBidi"/>
        </w:rPr>
      </w:pPr>
      <w:r>
        <w:t>Audit</w:t>
      </w:r>
      <w:r>
        <w:tab/>
      </w:r>
      <w:r>
        <w:fldChar w:fldCharType="begin"/>
      </w:r>
      <w:r>
        <w:instrText xml:space="preserve"> PAGEREF _Toc433703454 \h </w:instrText>
      </w:r>
      <w:r>
        <w:fldChar w:fldCharType="separate"/>
      </w:r>
      <w:r>
        <w:t>102</w:t>
      </w:r>
      <w:r>
        <w:fldChar w:fldCharType="end"/>
      </w:r>
    </w:p>
    <w:p w14:paraId="633E95C1" w14:textId="77777777" w:rsidR="00855B3D" w:rsidRDefault="00855B3D">
      <w:pPr>
        <w:pStyle w:val="TOC3"/>
        <w:rPr>
          <w:rFonts w:asciiTheme="minorHAnsi" w:eastAsiaTheme="minorEastAsia" w:hAnsiTheme="minorHAnsi" w:cstheme="minorBidi"/>
        </w:rPr>
      </w:pPr>
      <w:r>
        <w:t>Security</w:t>
      </w:r>
      <w:r>
        <w:tab/>
      </w:r>
      <w:r>
        <w:fldChar w:fldCharType="begin"/>
      </w:r>
      <w:r>
        <w:instrText xml:space="preserve"> PAGEREF _Toc433703455 \h </w:instrText>
      </w:r>
      <w:r>
        <w:fldChar w:fldCharType="separate"/>
      </w:r>
      <w:r>
        <w:t>102</w:t>
      </w:r>
      <w:r>
        <w:fldChar w:fldCharType="end"/>
      </w:r>
    </w:p>
    <w:p w14:paraId="7303F1E4" w14:textId="77777777" w:rsidR="00855B3D" w:rsidRDefault="00855B3D">
      <w:pPr>
        <w:pStyle w:val="TOC2"/>
        <w:rPr>
          <w:rFonts w:asciiTheme="minorHAnsi" w:eastAsiaTheme="minorEastAsia" w:hAnsiTheme="minorHAnsi" w:cstheme="minorBidi"/>
          <w:spacing w:val="0"/>
          <w:sz w:val="22"/>
          <w:szCs w:val="22"/>
        </w:rPr>
      </w:pPr>
      <w:r>
        <w:t>Our people</w:t>
      </w:r>
      <w:r>
        <w:tab/>
      </w:r>
      <w:r>
        <w:fldChar w:fldCharType="begin"/>
      </w:r>
      <w:r>
        <w:instrText xml:space="preserve"> PAGEREF _Toc433703456 \h </w:instrText>
      </w:r>
      <w:r>
        <w:fldChar w:fldCharType="separate"/>
      </w:r>
      <w:r>
        <w:t>103</w:t>
      </w:r>
      <w:r>
        <w:fldChar w:fldCharType="end"/>
      </w:r>
    </w:p>
    <w:p w14:paraId="79639D6D" w14:textId="77777777" w:rsidR="00855B3D" w:rsidRDefault="00855B3D">
      <w:pPr>
        <w:pStyle w:val="TOC3"/>
        <w:rPr>
          <w:rFonts w:asciiTheme="minorHAnsi" w:eastAsiaTheme="minorEastAsia" w:hAnsiTheme="minorHAnsi" w:cstheme="minorBidi"/>
        </w:rPr>
      </w:pPr>
      <w:r>
        <w:t>Performance payments</w:t>
      </w:r>
      <w:r>
        <w:tab/>
      </w:r>
      <w:r>
        <w:fldChar w:fldCharType="begin"/>
      </w:r>
      <w:r>
        <w:instrText xml:space="preserve"> PAGEREF _Toc433703457 \h </w:instrText>
      </w:r>
      <w:r>
        <w:fldChar w:fldCharType="separate"/>
      </w:r>
      <w:r>
        <w:t>103</w:t>
      </w:r>
      <w:r>
        <w:fldChar w:fldCharType="end"/>
      </w:r>
    </w:p>
    <w:p w14:paraId="7D9B6A7C" w14:textId="77777777" w:rsidR="00855B3D" w:rsidRDefault="00855B3D">
      <w:pPr>
        <w:pStyle w:val="TOC3"/>
        <w:rPr>
          <w:rFonts w:asciiTheme="minorHAnsi" w:eastAsiaTheme="minorEastAsia" w:hAnsiTheme="minorHAnsi" w:cstheme="minorBidi"/>
        </w:rPr>
      </w:pPr>
      <w:r>
        <w:t>Enterprise agreement negotiations</w:t>
      </w:r>
      <w:r>
        <w:tab/>
      </w:r>
      <w:r>
        <w:fldChar w:fldCharType="begin"/>
      </w:r>
      <w:r>
        <w:instrText xml:space="preserve"> PAGEREF _Toc433703458 \h </w:instrText>
      </w:r>
      <w:r>
        <w:fldChar w:fldCharType="separate"/>
      </w:r>
      <w:r>
        <w:t>103</w:t>
      </w:r>
      <w:r>
        <w:fldChar w:fldCharType="end"/>
      </w:r>
    </w:p>
    <w:p w14:paraId="4E511C0B" w14:textId="77777777" w:rsidR="00855B3D" w:rsidRDefault="00855B3D">
      <w:pPr>
        <w:pStyle w:val="TOC3"/>
        <w:rPr>
          <w:rFonts w:asciiTheme="minorHAnsi" w:eastAsiaTheme="minorEastAsia" w:hAnsiTheme="minorHAnsi" w:cstheme="minorBidi"/>
        </w:rPr>
      </w:pPr>
      <w:r>
        <w:t>Workplace diversity plan</w:t>
      </w:r>
      <w:r>
        <w:tab/>
      </w:r>
      <w:r>
        <w:fldChar w:fldCharType="begin"/>
      </w:r>
      <w:r>
        <w:instrText xml:space="preserve"> PAGEREF _Toc433703459 \h </w:instrText>
      </w:r>
      <w:r>
        <w:fldChar w:fldCharType="separate"/>
      </w:r>
      <w:r>
        <w:t>103</w:t>
      </w:r>
      <w:r>
        <w:fldChar w:fldCharType="end"/>
      </w:r>
    </w:p>
    <w:p w14:paraId="18ADBBB9" w14:textId="77777777" w:rsidR="00855B3D" w:rsidRDefault="00855B3D">
      <w:pPr>
        <w:pStyle w:val="TOC3"/>
        <w:rPr>
          <w:rFonts w:asciiTheme="minorHAnsi" w:eastAsiaTheme="minorEastAsia" w:hAnsiTheme="minorHAnsi" w:cstheme="minorBidi"/>
        </w:rPr>
      </w:pPr>
      <w:r>
        <w:t>Changes to disability reporting in annual reports</w:t>
      </w:r>
      <w:r>
        <w:tab/>
      </w:r>
      <w:r>
        <w:fldChar w:fldCharType="begin"/>
      </w:r>
      <w:r>
        <w:instrText xml:space="preserve"> PAGEREF _Toc433703460 \h </w:instrText>
      </w:r>
      <w:r>
        <w:fldChar w:fldCharType="separate"/>
      </w:r>
      <w:r>
        <w:t>104</w:t>
      </w:r>
      <w:r>
        <w:fldChar w:fldCharType="end"/>
      </w:r>
    </w:p>
    <w:p w14:paraId="5C0766FF" w14:textId="77777777" w:rsidR="00855B3D" w:rsidRDefault="00855B3D">
      <w:pPr>
        <w:pStyle w:val="TOC3"/>
        <w:rPr>
          <w:rFonts w:asciiTheme="minorHAnsi" w:eastAsiaTheme="minorEastAsia" w:hAnsiTheme="minorHAnsi" w:cstheme="minorBidi"/>
        </w:rPr>
      </w:pPr>
      <w:r>
        <w:t>Agency multicultural plan</w:t>
      </w:r>
      <w:r>
        <w:tab/>
      </w:r>
      <w:r>
        <w:fldChar w:fldCharType="begin"/>
      </w:r>
      <w:r>
        <w:instrText xml:space="preserve"> PAGEREF _Toc433703461 \h </w:instrText>
      </w:r>
      <w:r>
        <w:fldChar w:fldCharType="separate"/>
      </w:r>
      <w:r>
        <w:t>104</w:t>
      </w:r>
      <w:r>
        <w:fldChar w:fldCharType="end"/>
      </w:r>
    </w:p>
    <w:p w14:paraId="230726B8" w14:textId="77777777" w:rsidR="00855B3D" w:rsidRDefault="00855B3D">
      <w:pPr>
        <w:pStyle w:val="TOC3"/>
        <w:rPr>
          <w:rFonts w:asciiTheme="minorHAnsi" w:eastAsiaTheme="minorEastAsia" w:hAnsiTheme="minorHAnsi" w:cstheme="minorBidi"/>
        </w:rPr>
      </w:pPr>
      <w:r>
        <w:t>Ethical standards</w:t>
      </w:r>
      <w:r>
        <w:tab/>
      </w:r>
      <w:r>
        <w:fldChar w:fldCharType="begin"/>
      </w:r>
      <w:r>
        <w:instrText xml:space="preserve"> PAGEREF _Toc433703462 \h </w:instrText>
      </w:r>
      <w:r>
        <w:fldChar w:fldCharType="separate"/>
      </w:r>
      <w:r>
        <w:t>105</w:t>
      </w:r>
      <w:r>
        <w:fldChar w:fldCharType="end"/>
      </w:r>
    </w:p>
    <w:p w14:paraId="646531C4" w14:textId="77777777" w:rsidR="00855B3D" w:rsidRDefault="00855B3D">
      <w:pPr>
        <w:pStyle w:val="TOC3"/>
        <w:rPr>
          <w:rFonts w:asciiTheme="minorHAnsi" w:eastAsiaTheme="minorEastAsia" w:hAnsiTheme="minorHAnsi" w:cstheme="minorBidi"/>
        </w:rPr>
      </w:pPr>
      <w:r>
        <w:t>Health and safety</w:t>
      </w:r>
      <w:r>
        <w:tab/>
      </w:r>
      <w:r>
        <w:fldChar w:fldCharType="begin"/>
      </w:r>
      <w:r>
        <w:instrText xml:space="preserve"> PAGEREF _Toc433703463 \h </w:instrText>
      </w:r>
      <w:r>
        <w:fldChar w:fldCharType="separate"/>
      </w:r>
      <w:r>
        <w:t>105</w:t>
      </w:r>
      <w:r>
        <w:fldChar w:fldCharType="end"/>
      </w:r>
    </w:p>
    <w:p w14:paraId="19330CA3" w14:textId="77777777" w:rsidR="00855B3D" w:rsidRDefault="00855B3D">
      <w:pPr>
        <w:pStyle w:val="TOC3"/>
        <w:rPr>
          <w:rFonts w:asciiTheme="minorHAnsi" w:eastAsiaTheme="minorEastAsia" w:hAnsiTheme="minorHAnsi" w:cstheme="minorBidi"/>
        </w:rPr>
      </w:pPr>
      <w:r>
        <w:t>Consultation and workplace relations</w:t>
      </w:r>
      <w:r>
        <w:tab/>
      </w:r>
      <w:r>
        <w:fldChar w:fldCharType="begin"/>
      </w:r>
      <w:r>
        <w:instrText xml:space="preserve"> PAGEREF _Toc433703464 \h </w:instrText>
      </w:r>
      <w:r>
        <w:fldChar w:fldCharType="separate"/>
      </w:r>
      <w:r>
        <w:t>106</w:t>
      </w:r>
      <w:r>
        <w:fldChar w:fldCharType="end"/>
      </w:r>
    </w:p>
    <w:p w14:paraId="56789A49" w14:textId="77777777" w:rsidR="00855B3D" w:rsidRDefault="00855B3D">
      <w:pPr>
        <w:pStyle w:val="TOC3"/>
        <w:rPr>
          <w:rFonts w:asciiTheme="minorHAnsi" w:eastAsiaTheme="minorEastAsia" w:hAnsiTheme="minorHAnsi" w:cstheme="minorBidi"/>
        </w:rPr>
      </w:pPr>
      <w:r>
        <w:t>People and capability development</w:t>
      </w:r>
      <w:r>
        <w:tab/>
      </w:r>
      <w:r>
        <w:fldChar w:fldCharType="begin"/>
      </w:r>
      <w:r>
        <w:instrText xml:space="preserve"> PAGEREF _Toc433703465 \h </w:instrText>
      </w:r>
      <w:r>
        <w:fldChar w:fldCharType="separate"/>
      </w:r>
      <w:r>
        <w:t>106</w:t>
      </w:r>
      <w:r>
        <w:fldChar w:fldCharType="end"/>
      </w:r>
    </w:p>
    <w:p w14:paraId="6BC3D0E3" w14:textId="77777777" w:rsidR="00855B3D" w:rsidRDefault="00855B3D">
      <w:pPr>
        <w:pStyle w:val="TOC3"/>
        <w:rPr>
          <w:rFonts w:asciiTheme="minorHAnsi" w:eastAsiaTheme="minorEastAsia" w:hAnsiTheme="minorHAnsi" w:cstheme="minorBidi"/>
        </w:rPr>
      </w:pPr>
      <w:r>
        <w:t>Performance management</w:t>
      </w:r>
      <w:r>
        <w:tab/>
      </w:r>
      <w:r>
        <w:fldChar w:fldCharType="begin"/>
      </w:r>
      <w:r>
        <w:instrText xml:space="preserve"> PAGEREF _Toc433703466 \h </w:instrText>
      </w:r>
      <w:r>
        <w:fldChar w:fldCharType="separate"/>
      </w:r>
      <w:r>
        <w:t>107</w:t>
      </w:r>
      <w:r>
        <w:fldChar w:fldCharType="end"/>
      </w:r>
    </w:p>
    <w:p w14:paraId="523183A8" w14:textId="77777777" w:rsidR="00855B3D" w:rsidRDefault="00855B3D">
      <w:pPr>
        <w:pStyle w:val="TOC3"/>
        <w:rPr>
          <w:rFonts w:asciiTheme="minorHAnsi" w:eastAsiaTheme="minorEastAsia" w:hAnsiTheme="minorHAnsi" w:cstheme="minorBidi"/>
        </w:rPr>
      </w:pPr>
      <w:r>
        <w:t>Client Service Charter</w:t>
      </w:r>
      <w:r>
        <w:tab/>
      </w:r>
      <w:r>
        <w:fldChar w:fldCharType="begin"/>
      </w:r>
      <w:r>
        <w:instrText xml:space="preserve"> PAGEREF _Toc433703467 \h </w:instrText>
      </w:r>
      <w:r>
        <w:fldChar w:fldCharType="separate"/>
      </w:r>
      <w:r>
        <w:t>107</w:t>
      </w:r>
      <w:r>
        <w:fldChar w:fldCharType="end"/>
      </w:r>
    </w:p>
    <w:p w14:paraId="5094B326" w14:textId="77777777" w:rsidR="00855B3D" w:rsidRDefault="00855B3D">
      <w:pPr>
        <w:pStyle w:val="TOC2"/>
        <w:rPr>
          <w:rFonts w:asciiTheme="minorHAnsi" w:eastAsiaTheme="minorEastAsia" w:hAnsiTheme="minorHAnsi" w:cstheme="minorBidi"/>
          <w:spacing w:val="0"/>
          <w:sz w:val="22"/>
          <w:szCs w:val="22"/>
        </w:rPr>
      </w:pPr>
      <w:r>
        <w:t>Information management</w:t>
      </w:r>
      <w:r>
        <w:tab/>
      </w:r>
      <w:r>
        <w:fldChar w:fldCharType="begin"/>
      </w:r>
      <w:r>
        <w:instrText xml:space="preserve"> PAGEREF _Toc433703468 \h </w:instrText>
      </w:r>
      <w:r>
        <w:fldChar w:fldCharType="separate"/>
      </w:r>
      <w:r>
        <w:t>107</w:t>
      </w:r>
      <w:r>
        <w:fldChar w:fldCharType="end"/>
      </w:r>
    </w:p>
    <w:p w14:paraId="73A9A0F4" w14:textId="77777777" w:rsidR="00855B3D" w:rsidRDefault="00855B3D">
      <w:pPr>
        <w:pStyle w:val="TOC2"/>
        <w:rPr>
          <w:rFonts w:asciiTheme="minorHAnsi" w:eastAsiaTheme="minorEastAsia" w:hAnsiTheme="minorHAnsi" w:cstheme="minorBidi"/>
          <w:spacing w:val="0"/>
          <w:sz w:val="22"/>
          <w:szCs w:val="22"/>
        </w:rPr>
      </w:pPr>
      <w:r>
        <w:t>Communications and engagement</w:t>
      </w:r>
      <w:r>
        <w:tab/>
      </w:r>
      <w:r>
        <w:fldChar w:fldCharType="begin"/>
      </w:r>
      <w:r>
        <w:instrText xml:space="preserve"> PAGEREF _Toc433703469 \h </w:instrText>
      </w:r>
      <w:r>
        <w:fldChar w:fldCharType="separate"/>
      </w:r>
      <w:r>
        <w:t>108</w:t>
      </w:r>
      <w:r>
        <w:fldChar w:fldCharType="end"/>
      </w:r>
    </w:p>
    <w:p w14:paraId="4D909CE9" w14:textId="77777777" w:rsidR="00855B3D" w:rsidRDefault="00855B3D">
      <w:pPr>
        <w:pStyle w:val="TOC3"/>
        <w:rPr>
          <w:rFonts w:asciiTheme="minorHAnsi" w:eastAsiaTheme="minorEastAsia" w:hAnsiTheme="minorHAnsi" w:cstheme="minorBidi"/>
        </w:rPr>
      </w:pPr>
      <w:r>
        <w:t>Customer Service Centre</w:t>
      </w:r>
      <w:r>
        <w:tab/>
      </w:r>
      <w:r>
        <w:fldChar w:fldCharType="begin"/>
      </w:r>
      <w:r>
        <w:instrText xml:space="preserve"> PAGEREF _Toc433703470 \h </w:instrText>
      </w:r>
      <w:r>
        <w:fldChar w:fldCharType="separate"/>
      </w:r>
      <w:r>
        <w:t>108</w:t>
      </w:r>
      <w:r>
        <w:fldChar w:fldCharType="end"/>
      </w:r>
    </w:p>
    <w:p w14:paraId="3FE0829E" w14:textId="77777777" w:rsidR="00855B3D" w:rsidRDefault="00855B3D">
      <w:pPr>
        <w:pStyle w:val="TOC3"/>
        <w:rPr>
          <w:rFonts w:asciiTheme="minorHAnsi" w:eastAsiaTheme="minorEastAsia" w:hAnsiTheme="minorHAnsi" w:cstheme="minorBidi"/>
        </w:rPr>
      </w:pPr>
      <w:r>
        <w:t>External stakeholder engagement</w:t>
      </w:r>
      <w:r>
        <w:tab/>
      </w:r>
      <w:r>
        <w:fldChar w:fldCharType="begin"/>
      </w:r>
      <w:r>
        <w:instrText xml:space="preserve"> PAGEREF _Toc433703471 \h </w:instrText>
      </w:r>
      <w:r>
        <w:fldChar w:fldCharType="separate"/>
      </w:r>
      <w:r>
        <w:t>109</w:t>
      </w:r>
      <w:r>
        <w:fldChar w:fldCharType="end"/>
      </w:r>
    </w:p>
    <w:p w14:paraId="22FFB76D" w14:textId="77777777" w:rsidR="00855B3D" w:rsidRDefault="00855B3D">
      <w:pPr>
        <w:pStyle w:val="TOC3"/>
        <w:rPr>
          <w:rFonts w:asciiTheme="minorHAnsi" w:eastAsiaTheme="minorEastAsia" w:hAnsiTheme="minorHAnsi" w:cstheme="minorBidi"/>
        </w:rPr>
      </w:pPr>
      <w:r>
        <w:t>International agenda and engagement</w:t>
      </w:r>
      <w:r>
        <w:tab/>
      </w:r>
      <w:r>
        <w:fldChar w:fldCharType="begin"/>
      </w:r>
      <w:r>
        <w:instrText xml:space="preserve"> PAGEREF _Toc433703472 \h </w:instrText>
      </w:r>
      <w:r>
        <w:fldChar w:fldCharType="separate"/>
      </w:r>
      <w:r>
        <w:t>109</w:t>
      </w:r>
      <w:r>
        <w:fldChar w:fldCharType="end"/>
      </w:r>
    </w:p>
    <w:p w14:paraId="472C83C6" w14:textId="77777777" w:rsidR="00855B3D" w:rsidRDefault="00855B3D">
      <w:pPr>
        <w:pStyle w:val="TOC2"/>
        <w:rPr>
          <w:rFonts w:asciiTheme="minorHAnsi" w:eastAsiaTheme="minorEastAsia" w:hAnsiTheme="minorHAnsi" w:cstheme="minorBidi"/>
          <w:spacing w:val="0"/>
          <w:sz w:val="22"/>
          <w:szCs w:val="22"/>
        </w:rPr>
      </w:pPr>
      <w:r>
        <w:t>Financial management</w:t>
      </w:r>
      <w:r>
        <w:tab/>
      </w:r>
      <w:r>
        <w:fldChar w:fldCharType="begin"/>
      </w:r>
      <w:r>
        <w:instrText xml:space="preserve"> PAGEREF _Toc433703473 \h </w:instrText>
      </w:r>
      <w:r>
        <w:fldChar w:fldCharType="separate"/>
      </w:r>
      <w:r>
        <w:t>110</w:t>
      </w:r>
      <w:r>
        <w:fldChar w:fldCharType="end"/>
      </w:r>
    </w:p>
    <w:p w14:paraId="11C81F18" w14:textId="77777777" w:rsidR="00855B3D" w:rsidRDefault="00855B3D">
      <w:pPr>
        <w:pStyle w:val="TOC3"/>
        <w:rPr>
          <w:rFonts w:asciiTheme="minorHAnsi" w:eastAsiaTheme="minorEastAsia" w:hAnsiTheme="minorHAnsi" w:cstheme="minorBidi"/>
        </w:rPr>
      </w:pPr>
      <w:r>
        <w:t>Procurement and contract management</w:t>
      </w:r>
      <w:r>
        <w:tab/>
      </w:r>
      <w:r>
        <w:fldChar w:fldCharType="begin"/>
      </w:r>
      <w:r>
        <w:instrText xml:space="preserve"> PAGEREF _Toc433703474 \h </w:instrText>
      </w:r>
      <w:r>
        <w:fldChar w:fldCharType="separate"/>
      </w:r>
      <w:r>
        <w:t>110</w:t>
      </w:r>
      <w:r>
        <w:fldChar w:fldCharType="end"/>
      </w:r>
    </w:p>
    <w:p w14:paraId="455D9F3B" w14:textId="77777777" w:rsidR="00855B3D" w:rsidRDefault="00855B3D">
      <w:pPr>
        <w:pStyle w:val="TOC3"/>
        <w:rPr>
          <w:rFonts w:asciiTheme="minorHAnsi" w:eastAsiaTheme="minorEastAsia" w:hAnsiTheme="minorHAnsi" w:cstheme="minorBidi"/>
        </w:rPr>
      </w:pPr>
      <w:r>
        <w:t>Grant programs</w:t>
      </w:r>
      <w:r>
        <w:tab/>
      </w:r>
      <w:r>
        <w:fldChar w:fldCharType="begin"/>
      </w:r>
      <w:r>
        <w:instrText xml:space="preserve"> PAGEREF _Toc433703475 \h </w:instrText>
      </w:r>
      <w:r>
        <w:fldChar w:fldCharType="separate"/>
      </w:r>
      <w:r>
        <w:t>111</w:t>
      </w:r>
      <w:r>
        <w:fldChar w:fldCharType="end"/>
      </w:r>
    </w:p>
    <w:p w14:paraId="33B26729" w14:textId="77777777" w:rsidR="00855B3D" w:rsidRDefault="00855B3D">
      <w:pPr>
        <w:pStyle w:val="TOC3"/>
        <w:rPr>
          <w:rFonts w:asciiTheme="minorHAnsi" w:eastAsiaTheme="minorEastAsia" w:hAnsiTheme="minorHAnsi" w:cstheme="minorBidi"/>
        </w:rPr>
      </w:pPr>
      <w:r>
        <w:t>Asset management</w:t>
      </w:r>
      <w:r>
        <w:tab/>
      </w:r>
      <w:r>
        <w:fldChar w:fldCharType="begin"/>
      </w:r>
      <w:r>
        <w:instrText xml:space="preserve"> PAGEREF _Toc433703476 \h </w:instrText>
      </w:r>
      <w:r>
        <w:fldChar w:fldCharType="separate"/>
      </w:r>
      <w:r>
        <w:t>111</w:t>
      </w:r>
      <w:r>
        <w:fldChar w:fldCharType="end"/>
      </w:r>
    </w:p>
    <w:p w14:paraId="5E2C69BB" w14:textId="77777777" w:rsidR="00855B3D" w:rsidRDefault="00855B3D">
      <w:pPr>
        <w:pStyle w:val="TOC2"/>
        <w:rPr>
          <w:rFonts w:asciiTheme="minorHAnsi" w:eastAsiaTheme="minorEastAsia" w:hAnsiTheme="minorHAnsi" w:cstheme="minorBidi"/>
          <w:spacing w:val="0"/>
          <w:sz w:val="22"/>
          <w:szCs w:val="22"/>
        </w:rPr>
      </w:pPr>
      <w:r>
        <w:t>Property management</w:t>
      </w:r>
      <w:r>
        <w:tab/>
      </w:r>
      <w:r>
        <w:fldChar w:fldCharType="begin"/>
      </w:r>
      <w:r>
        <w:instrText xml:space="preserve"> PAGEREF _Toc433703477 \h </w:instrText>
      </w:r>
      <w:r>
        <w:fldChar w:fldCharType="separate"/>
      </w:r>
      <w:r>
        <w:t>111</w:t>
      </w:r>
      <w:r>
        <w:fldChar w:fldCharType="end"/>
      </w:r>
    </w:p>
    <w:p w14:paraId="68E122F7" w14:textId="77777777" w:rsidR="00855B3D" w:rsidRDefault="00855B3D">
      <w:pPr>
        <w:pStyle w:val="TOC3"/>
        <w:rPr>
          <w:rFonts w:asciiTheme="minorHAnsi" w:eastAsiaTheme="minorEastAsia" w:hAnsiTheme="minorHAnsi" w:cstheme="minorBidi"/>
        </w:rPr>
      </w:pPr>
      <w:r>
        <w:t>Ecologically sustainable development and environmental performance</w:t>
      </w:r>
      <w:r>
        <w:tab/>
      </w:r>
      <w:r>
        <w:fldChar w:fldCharType="begin"/>
      </w:r>
      <w:r>
        <w:instrText xml:space="preserve"> PAGEREF _Toc433703478 \h </w:instrText>
      </w:r>
      <w:r>
        <w:fldChar w:fldCharType="separate"/>
      </w:r>
      <w:r>
        <w:t>111</w:t>
      </w:r>
      <w:r>
        <w:fldChar w:fldCharType="end"/>
      </w:r>
    </w:p>
    <w:p w14:paraId="0F080E0A" w14:textId="77777777" w:rsidR="00EB6B0D" w:rsidRDefault="007A6CC0">
      <w:pPr>
        <w:rPr>
          <w:rFonts w:cs="Arial"/>
          <w:b/>
          <w:noProof/>
          <w:spacing w:val="-14"/>
          <w:sz w:val="28"/>
        </w:rPr>
        <w:sectPr w:rsidR="00EB6B0D" w:rsidSect="00C77380">
          <w:headerReference w:type="even" r:id="rId23"/>
          <w:headerReference w:type="default" r:id="rId24"/>
          <w:footerReference w:type="even" r:id="rId25"/>
          <w:footerReference w:type="default" r:id="rId26"/>
          <w:footerReference w:type="first" r:id="rId27"/>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430F5027" w14:textId="4F8ACBD5" w:rsidR="000A4A51" w:rsidRPr="000D76E0" w:rsidRDefault="00630216">
      <w:pPr>
        <w:rPr>
          <w:rFonts w:cs="Arial"/>
        </w:rPr>
      </w:pPr>
      <w:r>
        <w:rPr>
          <w:noProof/>
        </w:rPr>
        <w:lastRenderedPageBreak/>
        <w:drawing>
          <wp:inline distT="0" distB="0" distL="0" distR="0" wp14:anchorId="1ABA84AC" wp14:editId="390FD9E4">
            <wp:extent cx="5199010" cy="7306128"/>
            <wp:effectExtent l="0" t="0" r="1905" b="9525"/>
            <wp:docPr id="3" name="Picture 3"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03819" cy="7312885"/>
                    </a:xfrm>
                    <a:prstGeom prst="rect">
                      <a:avLst/>
                    </a:prstGeom>
                  </pic:spPr>
                </pic:pic>
              </a:graphicData>
            </a:graphic>
          </wp:inline>
        </w:drawing>
      </w:r>
    </w:p>
    <w:p w14:paraId="3D82BCB0" w14:textId="77777777" w:rsidR="00EB6B0D" w:rsidRDefault="00EB6B0D">
      <w:pPr>
        <w:rPr>
          <w:rFonts w:cs="Arial"/>
        </w:rPr>
      </w:pPr>
    </w:p>
    <w:p w14:paraId="5B8D8194" w14:textId="77777777" w:rsidR="00EB6B0D" w:rsidRPr="000D76E0" w:rsidRDefault="00EB6B0D">
      <w:pPr>
        <w:rPr>
          <w:rFonts w:cs="Arial"/>
        </w:rPr>
        <w:sectPr w:rsidR="00EB6B0D" w:rsidRPr="000D76E0" w:rsidSect="00C77380">
          <w:headerReference w:type="first" r:id="rId29"/>
          <w:pgSz w:w="11906" w:h="16838" w:code="9"/>
          <w:pgMar w:top="3646" w:right="3101" w:bottom="1134" w:left="1134" w:header="709" w:footer="119" w:gutter="0"/>
          <w:cols w:space="708"/>
          <w:titlePg/>
          <w:docGrid w:linePitch="360"/>
        </w:sectPr>
      </w:pPr>
    </w:p>
    <w:p w14:paraId="5EB0FC35" w14:textId="77777777" w:rsidR="009D6C71" w:rsidRPr="009174F3" w:rsidRDefault="006744F6" w:rsidP="009174F3">
      <w:pPr>
        <w:pStyle w:val="ACMAExecSummaryHeading"/>
      </w:pPr>
      <w:bookmarkStart w:id="0" w:name="_Toc419124243"/>
      <w:bookmarkStart w:id="1" w:name="_Toc433703249"/>
      <w:r>
        <w:lastRenderedPageBreak/>
        <w:t>Part 1—</w:t>
      </w:r>
      <w:bookmarkEnd w:id="0"/>
      <w:r w:rsidR="00EB6B0D">
        <w:t>The year in review</w:t>
      </w:r>
      <w:bookmarkEnd w:id="1"/>
    </w:p>
    <w:p w14:paraId="46C8573E" w14:textId="77777777" w:rsidR="006744F6" w:rsidRDefault="006744F6" w:rsidP="00222E9F">
      <w:pPr>
        <w:pStyle w:val="Heading1"/>
      </w:pPr>
      <w:bookmarkStart w:id="2" w:name="_Toc433703250"/>
      <w:r w:rsidRPr="00222E9F">
        <w:lastRenderedPageBreak/>
        <w:t>Chairman’s</w:t>
      </w:r>
      <w:r>
        <w:t xml:space="preserve"> foreword</w:t>
      </w:r>
      <w:bookmarkEnd w:id="2"/>
    </w:p>
    <w:p w14:paraId="0EC7C523" w14:textId="77777777" w:rsidR="00222E9F" w:rsidRPr="0010407D" w:rsidRDefault="00222E9F" w:rsidP="00222E9F">
      <w:pPr>
        <w:rPr>
          <w:rFonts w:eastAsia="Calibri"/>
          <w:lang w:eastAsia="en-US"/>
        </w:rPr>
      </w:pPr>
      <w:bookmarkStart w:id="3" w:name="_Toc348105631"/>
      <w:r w:rsidRPr="0010407D">
        <w:rPr>
          <w:rFonts w:eastAsia="Calibri"/>
          <w:lang w:eastAsia="en-US"/>
        </w:rPr>
        <w:t xml:space="preserve">This </w:t>
      </w:r>
      <w:r>
        <w:rPr>
          <w:rFonts w:eastAsia="Calibri"/>
          <w:lang w:eastAsia="en-US"/>
        </w:rPr>
        <w:t>is</w:t>
      </w:r>
      <w:r w:rsidRPr="0010407D">
        <w:rPr>
          <w:rFonts w:eastAsia="Calibri"/>
          <w:lang w:eastAsia="en-US"/>
        </w:rPr>
        <w:t xml:space="preserve"> the </w:t>
      </w:r>
      <w:r>
        <w:rPr>
          <w:rFonts w:eastAsia="Calibri"/>
          <w:lang w:eastAsia="en-US"/>
        </w:rPr>
        <w:t>10</w:t>
      </w:r>
      <w:r w:rsidRPr="000D43D9">
        <w:rPr>
          <w:rFonts w:eastAsia="Calibri"/>
          <w:vertAlign w:val="superscript"/>
          <w:lang w:eastAsia="en-US"/>
        </w:rPr>
        <w:t>th</w:t>
      </w:r>
      <w:r>
        <w:rPr>
          <w:rFonts w:eastAsia="Calibri"/>
          <w:lang w:eastAsia="en-US"/>
        </w:rPr>
        <w:t xml:space="preserve"> a</w:t>
      </w:r>
      <w:r w:rsidRPr="0010407D">
        <w:rPr>
          <w:rFonts w:eastAsia="Calibri"/>
          <w:lang w:eastAsia="en-US"/>
        </w:rPr>
        <w:t xml:space="preserve">nnual </w:t>
      </w:r>
      <w:r>
        <w:rPr>
          <w:rFonts w:eastAsia="Calibri"/>
          <w:lang w:eastAsia="en-US"/>
        </w:rPr>
        <w:t>r</w:t>
      </w:r>
      <w:r w:rsidRPr="0010407D">
        <w:rPr>
          <w:rFonts w:eastAsia="Calibri"/>
          <w:lang w:eastAsia="en-US"/>
        </w:rPr>
        <w:t>eport</w:t>
      </w:r>
      <w:r>
        <w:rPr>
          <w:rFonts w:eastAsia="Calibri"/>
          <w:lang w:eastAsia="en-US"/>
        </w:rPr>
        <w:t xml:space="preserve"> of the Australian Communications and Media Authority (the ACMA)</w:t>
      </w:r>
      <w:r w:rsidRPr="0010407D">
        <w:rPr>
          <w:rFonts w:eastAsia="Calibri"/>
          <w:lang w:eastAsia="en-US"/>
        </w:rPr>
        <w:t xml:space="preserve"> and</w:t>
      </w:r>
      <w:r>
        <w:rPr>
          <w:rFonts w:eastAsia="Calibri"/>
          <w:lang w:eastAsia="en-US"/>
        </w:rPr>
        <w:t>,</w:t>
      </w:r>
      <w:r w:rsidRPr="0010407D">
        <w:rPr>
          <w:rFonts w:eastAsia="Calibri"/>
          <w:lang w:eastAsia="en-US"/>
        </w:rPr>
        <w:t xml:space="preserve"> since I am reaching the statutory limit o</w:t>
      </w:r>
      <w:r>
        <w:rPr>
          <w:rFonts w:eastAsia="Calibri"/>
          <w:lang w:eastAsia="en-US"/>
        </w:rPr>
        <w:t>n</w:t>
      </w:r>
      <w:r w:rsidRPr="0010407D">
        <w:rPr>
          <w:rFonts w:eastAsia="Calibri"/>
          <w:lang w:eastAsia="en-US"/>
        </w:rPr>
        <w:t xml:space="preserve"> my term as an Authority Member, the final one for which I will </w:t>
      </w:r>
      <w:r>
        <w:rPr>
          <w:rFonts w:eastAsia="Calibri"/>
          <w:lang w:eastAsia="en-US"/>
        </w:rPr>
        <w:t xml:space="preserve">be </w:t>
      </w:r>
      <w:r w:rsidRPr="0010407D">
        <w:rPr>
          <w:rFonts w:eastAsia="Calibri"/>
          <w:lang w:eastAsia="en-US"/>
        </w:rPr>
        <w:t>provid</w:t>
      </w:r>
      <w:r>
        <w:rPr>
          <w:rFonts w:eastAsia="Calibri"/>
          <w:lang w:eastAsia="en-US"/>
        </w:rPr>
        <w:t>ing</w:t>
      </w:r>
      <w:r w:rsidRPr="0010407D">
        <w:rPr>
          <w:rFonts w:eastAsia="Calibri"/>
          <w:lang w:eastAsia="en-US"/>
        </w:rPr>
        <w:t xml:space="preserve"> a </w:t>
      </w:r>
      <w:r>
        <w:rPr>
          <w:rFonts w:eastAsia="Calibri"/>
          <w:lang w:eastAsia="en-US"/>
        </w:rPr>
        <w:t>f</w:t>
      </w:r>
      <w:r w:rsidRPr="0010407D">
        <w:rPr>
          <w:rFonts w:eastAsia="Calibri"/>
          <w:lang w:eastAsia="en-US"/>
        </w:rPr>
        <w:t xml:space="preserve">oreword. In such circumstances, it is hopefully understandable if my remarks here reflect not only on what has happened during the last year or so but also </w:t>
      </w:r>
      <w:r>
        <w:rPr>
          <w:rFonts w:eastAsia="Calibri"/>
          <w:lang w:eastAsia="en-US"/>
        </w:rPr>
        <w:t>a little</w:t>
      </w:r>
      <w:r w:rsidRPr="0010407D">
        <w:rPr>
          <w:rFonts w:eastAsia="Calibri"/>
          <w:lang w:eastAsia="en-US"/>
        </w:rPr>
        <w:t xml:space="preserve"> perspective o</w:t>
      </w:r>
      <w:r>
        <w:rPr>
          <w:rFonts w:eastAsia="Calibri"/>
          <w:lang w:eastAsia="en-US"/>
        </w:rPr>
        <w:t>n</w:t>
      </w:r>
      <w:r w:rsidRPr="0010407D">
        <w:rPr>
          <w:rFonts w:eastAsia="Calibri"/>
          <w:lang w:eastAsia="en-US"/>
        </w:rPr>
        <w:t xml:space="preserve"> the last decade.</w:t>
      </w:r>
    </w:p>
    <w:p w14:paraId="20E27A80" w14:textId="77777777" w:rsidR="00222E9F" w:rsidRPr="0010407D" w:rsidRDefault="00222E9F" w:rsidP="00222E9F">
      <w:pPr>
        <w:rPr>
          <w:rFonts w:eastAsia="Calibri" w:cs="Arial"/>
          <w:szCs w:val="20"/>
          <w:lang w:eastAsia="en-US"/>
        </w:rPr>
      </w:pPr>
      <w:r w:rsidRPr="00222E9F">
        <w:rPr>
          <w:rFonts w:eastAsia="Calibri"/>
          <w:lang w:eastAsia="en-US"/>
        </w:rPr>
        <w:t>The</w:t>
      </w:r>
      <w:r w:rsidRPr="0010407D">
        <w:rPr>
          <w:rFonts w:eastAsia="Calibri" w:cs="Arial"/>
          <w:szCs w:val="20"/>
          <w:lang w:eastAsia="en-US"/>
        </w:rPr>
        <w:t xml:space="preserve"> ACMA has had to work with a diverse collection of legislated objectives, conceived as </w:t>
      </w:r>
      <w:r>
        <w:rPr>
          <w:rFonts w:eastAsia="Calibri" w:cs="Arial"/>
          <w:szCs w:val="20"/>
          <w:lang w:eastAsia="en-US"/>
        </w:rPr>
        <w:t>the ACMA</w:t>
      </w:r>
      <w:r w:rsidRPr="0010407D">
        <w:rPr>
          <w:rFonts w:eastAsia="Calibri" w:cs="Arial"/>
          <w:szCs w:val="20"/>
          <w:lang w:eastAsia="en-US"/>
        </w:rPr>
        <w:t xml:space="preserve"> was to bring regulatory coherence to the convergence of the four ‘worlds’ of telecommunications, broadcasting, radiocommunications and the internet. This has been </w:t>
      </w:r>
      <w:r>
        <w:rPr>
          <w:rFonts w:eastAsia="Calibri" w:cs="Arial"/>
          <w:szCs w:val="20"/>
          <w:lang w:eastAsia="en-US"/>
        </w:rPr>
        <w:t>our</w:t>
      </w:r>
      <w:r w:rsidRPr="0010407D">
        <w:rPr>
          <w:rFonts w:eastAsia="Calibri" w:cs="Arial"/>
          <w:szCs w:val="20"/>
          <w:lang w:eastAsia="en-US"/>
        </w:rPr>
        <w:t xml:space="preserve"> key operational challenge over the last </w:t>
      </w:r>
      <w:r>
        <w:rPr>
          <w:rFonts w:eastAsia="Calibri" w:cs="Arial"/>
          <w:szCs w:val="20"/>
          <w:lang w:eastAsia="en-US"/>
        </w:rPr>
        <w:t>10</w:t>
      </w:r>
      <w:r w:rsidRPr="0010407D">
        <w:rPr>
          <w:rFonts w:eastAsia="Calibri" w:cs="Arial"/>
          <w:szCs w:val="20"/>
          <w:lang w:eastAsia="en-US"/>
        </w:rPr>
        <w:t xml:space="preserve"> years</w:t>
      </w:r>
      <w:r>
        <w:rPr>
          <w:rFonts w:eastAsia="Calibri" w:cs="Arial"/>
          <w:szCs w:val="20"/>
          <w:lang w:eastAsia="en-US"/>
        </w:rPr>
        <w:t>—</w:t>
      </w:r>
      <w:r w:rsidRPr="0010407D">
        <w:rPr>
          <w:rFonts w:eastAsia="Calibri" w:cs="Arial"/>
          <w:szCs w:val="20"/>
          <w:lang w:eastAsia="en-US"/>
        </w:rPr>
        <w:t xml:space="preserve">bridging </w:t>
      </w:r>
      <w:r w:rsidRPr="0010407D">
        <w:rPr>
          <w:rFonts w:eastAsia="Calibri" w:cs="Arial"/>
          <w:szCs w:val="20"/>
          <w:lang w:val="en-US" w:eastAsia="en-US"/>
        </w:rPr>
        <w:t xml:space="preserve">the gap between the legacy legislative architecture and the complex </w:t>
      </w:r>
      <w:r>
        <w:rPr>
          <w:rFonts w:eastAsia="Calibri" w:cs="Arial"/>
          <w:szCs w:val="20"/>
          <w:lang w:val="en-US" w:eastAsia="en-US"/>
        </w:rPr>
        <w:t xml:space="preserve">and constantly changing </w:t>
      </w:r>
      <w:r w:rsidRPr="0010407D">
        <w:rPr>
          <w:rFonts w:eastAsia="Calibri" w:cs="Arial"/>
          <w:szCs w:val="20"/>
          <w:lang w:val="en-US" w:eastAsia="en-US"/>
        </w:rPr>
        <w:t>networked environment that now characteri</w:t>
      </w:r>
      <w:r>
        <w:rPr>
          <w:rFonts w:eastAsia="Calibri" w:cs="Arial"/>
          <w:szCs w:val="20"/>
          <w:lang w:val="en-US" w:eastAsia="en-US"/>
        </w:rPr>
        <w:t>s</w:t>
      </w:r>
      <w:r w:rsidRPr="0010407D">
        <w:rPr>
          <w:rFonts w:eastAsia="Calibri" w:cs="Arial"/>
          <w:szCs w:val="20"/>
          <w:lang w:val="en-US" w:eastAsia="en-US"/>
        </w:rPr>
        <w:t>es media and communications</w:t>
      </w:r>
      <w:r w:rsidRPr="0010407D">
        <w:rPr>
          <w:rFonts w:eastAsia="Calibri" w:cs="Arial"/>
          <w:szCs w:val="20"/>
          <w:lang w:eastAsia="en-US"/>
        </w:rPr>
        <w:t>.</w:t>
      </w:r>
    </w:p>
    <w:p w14:paraId="2B824F7A" w14:textId="77777777" w:rsidR="00222E9F" w:rsidRPr="0010407D" w:rsidRDefault="00222E9F" w:rsidP="00222E9F">
      <w:pPr>
        <w:rPr>
          <w:rFonts w:eastAsia="Calibri" w:cs="Arial"/>
          <w:szCs w:val="20"/>
          <w:lang w:val="en-US" w:eastAsia="en-US"/>
        </w:rPr>
      </w:pPr>
      <w:r w:rsidRPr="00222E9F">
        <w:rPr>
          <w:rFonts w:eastAsia="Calibri"/>
          <w:lang w:eastAsia="en-US"/>
        </w:rPr>
        <w:t>We have sought to evolve our regulatory practice to suit the times, adapting existing</w:t>
      </w:r>
      <w:r w:rsidRPr="0010407D">
        <w:rPr>
          <w:rFonts w:eastAsia="Calibri" w:cs="Arial"/>
          <w:szCs w:val="20"/>
          <w:lang w:val="en-US" w:eastAsia="en-US"/>
        </w:rPr>
        <w:t xml:space="preserve"> tools to new purposes</w:t>
      </w:r>
      <w:r>
        <w:rPr>
          <w:rFonts w:eastAsia="Calibri" w:cs="Arial"/>
          <w:szCs w:val="20"/>
          <w:lang w:val="en-US" w:eastAsia="en-US"/>
        </w:rPr>
        <w:t xml:space="preserve"> and </w:t>
      </w:r>
      <w:r w:rsidRPr="0010407D">
        <w:rPr>
          <w:rFonts w:eastAsia="Calibri" w:cs="Arial"/>
          <w:szCs w:val="20"/>
          <w:lang w:val="en-US" w:eastAsia="en-US"/>
        </w:rPr>
        <w:t xml:space="preserve">extending our </w:t>
      </w:r>
      <w:r>
        <w:rPr>
          <w:rFonts w:eastAsia="Calibri" w:cs="Arial"/>
          <w:szCs w:val="20"/>
          <w:lang w:val="en-US" w:eastAsia="en-US"/>
        </w:rPr>
        <w:t>influence</w:t>
      </w:r>
      <w:r w:rsidRPr="0010407D">
        <w:rPr>
          <w:rFonts w:eastAsia="Calibri" w:cs="Arial"/>
          <w:szCs w:val="20"/>
          <w:lang w:val="en-US" w:eastAsia="en-US"/>
        </w:rPr>
        <w:t xml:space="preserve"> in the market </w:t>
      </w:r>
      <w:r>
        <w:rPr>
          <w:rFonts w:eastAsia="Calibri" w:cs="Arial"/>
          <w:szCs w:val="20"/>
          <w:lang w:val="en-US" w:eastAsia="en-US"/>
        </w:rPr>
        <w:t xml:space="preserve">by </w:t>
      </w:r>
      <w:r w:rsidRPr="0010407D">
        <w:rPr>
          <w:rFonts w:eastAsia="Calibri" w:cs="Arial"/>
          <w:szCs w:val="20"/>
          <w:lang w:val="en-US" w:eastAsia="en-US"/>
        </w:rPr>
        <w:t>using communication and facilitation techniques, extending forbearance and exercising regulatory discretion where possible.</w:t>
      </w:r>
      <w:r>
        <w:rPr>
          <w:rFonts w:eastAsia="Calibri" w:cs="Arial"/>
          <w:szCs w:val="20"/>
          <w:lang w:val="en-US" w:eastAsia="en-US"/>
        </w:rPr>
        <w:t xml:space="preserve"> </w:t>
      </w:r>
      <w:r w:rsidRPr="0010407D">
        <w:rPr>
          <w:rFonts w:eastAsia="Calibri" w:cs="Arial"/>
          <w:szCs w:val="20"/>
          <w:lang w:val="en-US" w:eastAsia="en-US"/>
        </w:rPr>
        <w:t>However, these ‘workaround’ mechanisms have themselves come under strain, as the gap between legacy forms and the complex reality of modern communications has continued to widen.</w:t>
      </w:r>
    </w:p>
    <w:p w14:paraId="412FC008" w14:textId="77777777" w:rsidR="00222E9F" w:rsidRPr="0010407D" w:rsidRDefault="00222E9F" w:rsidP="00222E9F">
      <w:pPr>
        <w:rPr>
          <w:rFonts w:eastAsia="Calibri" w:cs="Arial"/>
          <w:szCs w:val="20"/>
          <w:lang w:val="en-US" w:eastAsia="en-US"/>
        </w:rPr>
      </w:pPr>
      <w:r w:rsidRPr="0010407D">
        <w:rPr>
          <w:rFonts w:eastAsia="Calibri" w:cs="Arial"/>
          <w:szCs w:val="20"/>
          <w:lang w:val="en-US" w:eastAsia="en-US"/>
        </w:rPr>
        <w:t xml:space="preserve">In this context, the ACMA has this year worked diligently to engage with the required self-assessment under the </w:t>
      </w:r>
      <w:r>
        <w:rPr>
          <w:rFonts w:eastAsia="Calibri" w:cs="Arial"/>
          <w:szCs w:val="20"/>
          <w:lang w:val="en-US" w:eastAsia="en-US"/>
        </w:rPr>
        <w:t xml:space="preserve">government’s </w:t>
      </w:r>
      <w:r w:rsidRPr="0010407D">
        <w:rPr>
          <w:rFonts w:eastAsia="Calibri" w:cs="Arial"/>
          <w:szCs w:val="20"/>
          <w:lang w:val="en-US" w:eastAsia="en-US"/>
        </w:rPr>
        <w:t>Regulator Performance Framework (RPF)</w:t>
      </w:r>
      <w:r>
        <w:rPr>
          <w:rFonts w:eastAsia="Calibri" w:cs="Arial"/>
          <w:szCs w:val="20"/>
          <w:lang w:val="en-US" w:eastAsia="en-US"/>
        </w:rPr>
        <w:t>,</w:t>
      </w:r>
      <w:r w:rsidRPr="0010407D">
        <w:rPr>
          <w:rFonts w:eastAsia="Calibri" w:cs="Arial"/>
          <w:szCs w:val="20"/>
          <w:lang w:val="en-US" w:eastAsia="en-US"/>
        </w:rPr>
        <w:t xml:space="preserve"> released in October 2014. We have received feedback from industry stakeholders on a set of indicators and </w:t>
      </w:r>
      <w:r>
        <w:rPr>
          <w:rFonts w:eastAsia="Calibri" w:cs="Arial"/>
          <w:szCs w:val="20"/>
          <w:lang w:val="en-US" w:eastAsia="en-US"/>
        </w:rPr>
        <w:t xml:space="preserve">a </w:t>
      </w:r>
      <w:r w:rsidRPr="0010407D">
        <w:rPr>
          <w:rFonts w:eastAsia="Calibri" w:cs="Arial"/>
          <w:szCs w:val="20"/>
          <w:lang w:val="en-US" w:eastAsia="en-US"/>
        </w:rPr>
        <w:t xml:space="preserve">self-assessment methodology developed to support </w:t>
      </w:r>
      <w:r>
        <w:rPr>
          <w:rFonts w:eastAsia="Calibri" w:cs="Arial"/>
          <w:szCs w:val="20"/>
          <w:lang w:val="en-US" w:eastAsia="en-US"/>
        </w:rPr>
        <w:t xml:space="preserve">the </w:t>
      </w:r>
      <w:r w:rsidRPr="0010407D">
        <w:rPr>
          <w:rFonts w:eastAsia="Calibri" w:cs="Arial"/>
          <w:szCs w:val="20"/>
          <w:lang w:val="en-US" w:eastAsia="en-US"/>
        </w:rPr>
        <w:t xml:space="preserve">implementation of the RPF and will issue our first </w:t>
      </w:r>
      <w:r>
        <w:rPr>
          <w:rFonts w:eastAsia="Calibri" w:cs="Arial"/>
          <w:szCs w:val="20"/>
          <w:lang w:val="en-US" w:eastAsia="en-US"/>
        </w:rPr>
        <w:t xml:space="preserve">formal </w:t>
      </w:r>
      <w:r w:rsidRPr="0010407D">
        <w:rPr>
          <w:rFonts w:eastAsia="Calibri" w:cs="Arial"/>
          <w:szCs w:val="20"/>
          <w:lang w:val="en-US" w:eastAsia="en-US"/>
        </w:rPr>
        <w:t>report under the RPF in December 2016.</w:t>
      </w:r>
    </w:p>
    <w:p w14:paraId="5FE6BC09" w14:textId="77777777" w:rsidR="00222E9F" w:rsidRPr="0010407D" w:rsidRDefault="00222E9F" w:rsidP="00222E9F">
      <w:pPr>
        <w:rPr>
          <w:rFonts w:eastAsia="Calibri" w:cs="Arial"/>
          <w:szCs w:val="20"/>
          <w:lang w:val="en-US" w:eastAsia="en-US"/>
        </w:rPr>
      </w:pPr>
      <w:r w:rsidRPr="0010407D">
        <w:rPr>
          <w:rFonts w:eastAsia="Calibri" w:cs="Arial"/>
          <w:szCs w:val="20"/>
          <w:lang w:val="en-US" w:eastAsia="en-US"/>
        </w:rPr>
        <w:t xml:space="preserve">We welcome the opportunity to undertake this assessment, as one </w:t>
      </w:r>
      <w:r>
        <w:rPr>
          <w:rFonts w:eastAsia="Calibri" w:cs="Arial"/>
          <w:szCs w:val="20"/>
          <w:lang w:val="en-US" w:eastAsia="en-US"/>
        </w:rPr>
        <w:t xml:space="preserve">helpful </w:t>
      </w:r>
      <w:r w:rsidRPr="0010407D">
        <w:rPr>
          <w:rFonts w:eastAsia="Calibri" w:cs="Arial"/>
          <w:szCs w:val="20"/>
          <w:lang w:val="en-US" w:eastAsia="en-US"/>
        </w:rPr>
        <w:t xml:space="preserve">part of evaluating </w:t>
      </w:r>
      <w:r>
        <w:rPr>
          <w:rFonts w:eastAsia="Calibri" w:cs="Arial"/>
          <w:szCs w:val="20"/>
          <w:lang w:val="en-US" w:eastAsia="en-US"/>
        </w:rPr>
        <w:t>our</w:t>
      </w:r>
      <w:r w:rsidRPr="0010407D">
        <w:rPr>
          <w:rFonts w:eastAsia="Calibri" w:cs="Arial"/>
          <w:szCs w:val="20"/>
          <w:lang w:val="en-US" w:eastAsia="en-US"/>
        </w:rPr>
        <w:t xml:space="preserve"> success in achieving public interest outcomes across our broad and varied remit. Coincident with </w:t>
      </w:r>
      <w:r>
        <w:rPr>
          <w:rFonts w:eastAsia="Calibri" w:cs="Arial"/>
          <w:szCs w:val="20"/>
          <w:lang w:val="en-US" w:eastAsia="en-US"/>
        </w:rPr>
        <w:t>our</w:t>
      </w:r>
      <w:r w:rsidRPr="0010407D">
        <w:rPr>
          <w:rFonts w:eastAsia="Calibri" w:cs="Arial"/>
          <w:szCs w:val="20"/>
          <w:lang w:val="en-US" w:eastAsia="en-US"/>
        </w:rPr>
        <w:t xml:space="preserve"> </w:t>
      </w:r>
      <w:r>
        <w:rPr>
          <w:rFonts w:eastAsia="Calibri" w:cs="Arial"/>
          <w:szCs w:val="20"/>
          <w:lang w:val="en-US" w:eastAsia="en-US"/>
        </w:rPr>
        <w:t>10th</w:t>
      </w:r>
      <w:r w:rsidRPr="0010407D">
        <w:rPr>
          <w:rFonts w:eastAsia="Calibri" w:cs="Arial"/>
          <w:szCs w:val="20"/>
          <w:lang w:val="en-US" w:eastAsia="en-US"/>
        </w:rPr>
        <w:t xml:space="preserve"> anniversary, </w:t>
      </w:r>
      <w:r>
        <w:rPr>
          <w:rFonts w:eastAsia="Calibri" w:cs="Arial"/>
          <w:szCs w:val="20"/>
          <w:lang w:val="en-US" w:eastAsia="en-US"/>
        </w:rPr>
        <w:t xml:space="preserve">the Minister for Communications announced </w:t>
      </w:r>
      <w:r w:rsidRPr="0010407D">
        <w:rPr>
          <w:rFonts w:eastAsia="Calibri" w:cs="Arial"/>
          <w:szCs w:val="20"/>
          <w:lang w:val="en-US" w:eastAsia="en-US"/>
        </w:rPr>
        <w:t xml:space="preserve">a </w:t>
      </w:r>
      <w:r w:rsidRPr="0010407D">
        <w:rPr>
          <w:rFonts w:eastAsia="Calibri" w:cs="Arial"/>
          <w:szCs w:val="20"/>
          <w:lang w:eastAsia="en-US"/>
        </w:rPr>
        <w:t xml:space="preserve">‘root and branch’ review of the ACMA. The impulse for this review dovetails neatly with the </w:t>
      </w:r>
      <w:r w:rsidRPr="0010407D">
        <w:rPr>
          <w:rFonts w:eastAsia="Calibri" w:cs="Arial"/>
          <w:szCs w:val="20"/>
          <w:lang w:val="en-US" w:eastAsia="en-US"/>
        </w:rPr>
        <w:t>three ‘tent-pole’ thought leadership pieces progressively published by the ACMA to frame the question of the future of regulation in communications and media</w:t>
      </w:r>
      <w:r>
        <w:rPr>
          <w:rFonts w:eastAsia="Calibri" w:cs="Arial"/>
          <w:szCs w:val="20"/>
          <w:lang w:val="en-US" w:eastAsia="en-US"/>
        </w:rPr>
        <w:t>—</w:t>
      </w:r>
      <w:r w:rsidRPr="0010407D">
        <w:rPr>
          <w:rFonts w:eastAsia="Calibri" w:cs="Arial"/>
          <w:i/>
          <w:szCs w:val="20"/>
          <w:lang w:val="en-US" w:eastAsia="en-US"/>
        </w:rPr>
        <w:t xml:space="preserve">Broken </w:t>
      </w:r>
      <w:r>
        <w:rPr>
          <w:rFonts w:eastAsia="Calibri" w:cs="Arial"/>
          <w:i/>
          <w:szCs w:val="20"/>
          <w:lang w:val="en-US" w:eastAsia="en-US"/>
        </w:rPr>
        <w:t>c</w:t>
      </w:r>
      <w:r w:rsidRPr="0010407D">
        <w:rPr>
          <w:rFonts w:eastAsia="Calibri" w:cs="Arial"/>
          <w:i/>
          <w:szCs w:val="20"/>
          <w:lang w:val="en-US" w:eastAsia="en-US"/>
        </w:rPr>
        <w:t>oncepts</w:t>
      </w:r>
      <w:r>
        <w:rPr>
          <w:rFonts w:eastAsia="Calibri" w:cs="Arial"/>
          <w:szCs w:val="20"/>
          <w:lang w:val="en-US" w:eastAsia="en-US"/>
        </w:rPr>
        <w:t xml:space="preserve"> (</w:t>
      </w:r>
      <w:r w:rsidRPr="0010407D">
        <w:rPr>
          <w:rFonts w:eastAsia="Calibri" w:cs="Arial"/>
          <w:szCs w:val="20"/>
          <w:lang w:val="en-US" w:eastAsia="en-US"/>
        </w:rPr>
        <w:t>published in August 2011, updated in 2013</w:t>
      </w:r>
      <w:r>
        <w:rPr>
          <w:rFonts w:eastAsia="Calibri" w:cs="Arial"/>
          <w:szCs w:val="20"/>
          <w:lang w:val="en-US" w:eastAsia="en-US"/>
        </w:rPr>
        <w:t xml:space="preserve">), </w:t>
      </w:r>
      <w:r w:rsidRPr="0010407D">
        <w:rPr>
          <w:rFonts w:eastAsia="Calibri" w:cs="Arial"/>
          <w:i/>
          <w:szCs w:val="20"/>
          <w:lang w:val="en-US" w:eastAsia="en-US"/>
        </w:rPr>
        <w:t xml:space="preserve">Enduring </w:t>
      </w:r>
      <w:r>
        <w:rPr>
          <w:rFonts w:eastAsia="Calibri" w:cs="Arial"/>
          <w:i/>
          <w:szCs w:val="20"/>
          <w:lang w:val="en-US" w:eastAsia="en-US"/>
        </w:rPr>
        <w:t>c</w:t>
      </w:r>
      <w:r w:rsidRPr="0010407D">
        <w:rPr>
          <w:rFonts w:eastAsia="Calibri" w:cs="Arial"/>
          <w:i/>
          <w:szCs w:val="20"/>
          <w:lang w:val="en-US" w:eastAsia="en-US"/>
        </w:rPr>
        <w:t>oncepts</w:t>
      </w:r>
      <w:r w:rsidRPr="0010407D">
        <w:rPr>
          <w:rFonts w:eastAsia="Calibri" w:cs="Arial"/>
          <w:szCs w:val="20"/>
          <w:lang w:val="en-US" w:eastAsia="en-US"/>
        </w:rPr>
        <w:t xml:space="preserve"> </w:t>
      </w:r>
      <w:r>
        <w:rPr>
          <w:rFonts w:eastAsia="Calibri" w:cs="Arial"/>
          <w:szCs w:val="20"/>
          <w:lang w:val="en-US" w:eastAsia="en-US"/>
        </w:rPr>
        <w:t>(</w:t>
      </w:r>
      <w:r w:rsidRPr="0010407D">
        <w:rPr>
          <w:rFonts w:eastAsia="Calibri" w:cs="Arial"/>
          <w:szCs w:val="20"/>
          <w:lang w:val="en-US" w:eastAsia="en-US"/>
        </w:rPr>
        <w:t>November 2011</w:t>
      </w:r>
      <w:r>
        <w:rPr>
          <w:rFonts w:eastAsia="Calibri" w:cs="Arial"/>
          <w:szCs w:val="20"/>
          <w:lang w:val="en-US" w:eastAsia="en-US"/>
        </w:rPr>
        <w:t>)</w:t>
      </w:r>
      <w:r w:rsidRPr="0010407D">
        <w:rPr>
          <w:rFonts w:eastAsia="Calibri" w:cs="Arial"/>
          <w:szCs w:val="20"/>
          <w:lang w:val="en-US" w:eastAsia="en-US"/>
        </w:rPr>
        <w:t xml:space="preserve"> and</w:t>
      </w:r>
      <w:r>
        <w:rPr>
          <w:rFonts w:eastAsia="Calibri" w:cs="Arial"/>
          <w:szCs w:val="20"/>
          <w:lang w:val="en-US" w:eastAsia="en-US"/>
        </w:rPr>
        <w:t xml:space="preserve"> </w:t>
      </w:r>
      <w:r w:rsidRPr="0010407D">
        <w:rPr>
          <w:rFonts w:eastAsia="Calibri" w:cs="Arial"/>
          <w:i/>
          <w:szCs w:val="20"/>
          <w:lang w:val="en-US" w:eastAsia="en-US"/>
        </w:rPr>
        <w:t xml:space="preserve">Connected </w:t>
      </w:r>
      <w:r>
        <w:rPr>
          <w:rFonts w:eastAsia="Calibri" w:cs="Arial"/>
          <w:i/>
          <w:szCs w:val="20"/>
          <w:lang w:val="en-US" w:eastAsia="en-US"/>
        </w:rPr>
        <w:t>c</w:t>
      </w:r>
      <w:r w:rsidRPr="0010407D">
        <w:rPr>
          <w:rFonts w:eastAsia="Calibri" w:cs="Arial"/>
          <w:i/>
          <w:szCs w:val="20"/>
          <w:lang w:val="en-US" w:eastAsia="en-US"/>
        </w:rPr>
        <w:t>itizens</w:t>
      </w:r>
      <w:r>
        <w:rPr>
          <w:rFonts w:eastAsia="Calibri" w:cs="Arial"/>
          <w:szCs w:val="20"/>
          <w:lang w:val="en-US" w:eastAsia="en-US"/>
        </w:rPr>
        <w:t xml:space="preserve"> (</w:t>
      </w:r>
      <w:r w:rsidRPr="0010407D">
        <w:rPr>
          <w:rFonts w:eastAsia="Calibri" w:cs="Arial"/>
          <w:szCs w:val="20"/>
          <w:lang w:val="en-US" w:eastAsia="en-US"/>
        </w:rPr>
        <w:t>June 2013</w:t>
      </w:r>
      <w:r>
        <w:rPr>
          <w:rFonts w:eastAsia="Calibri" w:cs="Arial"/>
          <w:szCs w:val="20"/>
          <w:lang w:val="en-US" w:eastAsia="en-US"/>
        </w:rPr>
        <w:t>)</w:t>
      </w:r>
      <w:r w:rsidRPr="0010407D">
        <w:rPr>
          <w:rFonts w:eastAsia="Calibri" w:cs="Arial"/>
          <w:szCs w:val="20"/>
          <w:lang w:val="en-US" w:eastAsia="en-US"/>
        </w:rPr>
        <w:t>.</w:t>
      </w:r>
    </w:p>
    <w:p w14:paraId="31C889E6" w14:textId="77777777" w:rsidR="00222E9F" w:rsidRPr="0010407D" w:rsidRDefault="00222E9F" w:rsidP="00222E9F">
      <w:pPr>
        <w:rPr>
          <w:rFonts w:eastAsia="Calibri" w:cs="Arial"/>
          <w:szCs w:val="20"/>
          <w:lang w:val="en-US" w:eastAsia="en-US"/>
        </w:rPr>
      </w:pPr>
      <w:r w:rsidRPr="0010407D">
        <w:rPr>
          <w:rFonts w:eastAsia="Calibri" w:cs="Arial"/>
          <w:szCs w:val="20"/>
          <w:lang w:val="en-US" w:eastAsia="en-US"/>
        </w:rPr>
        <w:t xml:space="preserve">Taken together, and combined with the most recent </w:t>
      </w:r>
      <w:r w:rsidRPr="0010407D">
        <w:rPr>
          <w:rFonts w:eastAsia="Calibri" w:cs="Arial"/>
          <w:szCs w:val="20"/>
          <w:lang w:eastAsia="en-US"/>
        </w:rPr>
        <w:t xml:space="preserve">update of our occasional paper </w:t>
      </w:r>
      <w:r w:rsidRPr="0010407D">
        <w:rPr>
          <w:rFonts w:eastAsia="Calibri" w:cs="Arial"/>
          <w:i/>
          <w:iCs/>
          <w:szCs w:val="20"/>
          <w:lang w:val="en" w:eastAsia="en-US"/>
        </w:rPr>
        <w:t>Optimal conditions for effective self- and co</w:t>
      </w:r>
      <w:r w:rsidRPr="0010407D">
        <w:rPr>
          <w:rFonts w:eastAsia="Calibri" w:cs="Arial"/>
          <w:i/>
          <w:iCs/>
          <w:szCs w:val="20"/>
          <w:lang w:val="en" w:eastAsia="en-US"/>
        </w:rPr>
        <w:noBreakHyphen/>
        <w:t>regulatory arrangements</w:t>
      </w:r>
      <w:r w:rsidRPr="0010407D">
        <w:rPr>
          <w:rFonts w:eastAsia="Calibri" w:cs="Arial"/>
          <w:iCs/>
          <w:szCs w:val="20"/>
          <w:lang w:val="en" w:eastAsia="en-US"/>
        </w:rPr>
        <w:t xml:space="preserve"> </w:t>
      </w:r>
      <w:r>
        <w:rPr>
          <w:rFonts w:eastAsia="Calibri" w:cs="Arial"/>
          <w:iCs/>
          <w:szCs w:val="20"/>
          <w:lang w:val="en" w:eastAsia="en-US"/>
        </w:rPr>
        <w:t>(June 2015)</w:t>
      </w:r>
      <w:r w:rsidRPr="0010407D">
        <w:rPr>
          <w:rFonts w:eastAsia="Calibri" w:cs="Arial"/>
          <w:szCs w:val="20"/>
          <w:lang w:val="en" w:eastAsia="en-US"/>
        </w:rPr>
        <w:t xml:space="preserve">, </w:t>
      </w:r>
      <w:r w:rsidRPr="0010407D">
        <w:rPr>
          <w:rFonts w:eastAsia="Calibri" w:cs="Arial"/>
          <w:szCs w:val="20"/>
          <w:lang w:val="en-US" w:eastAsia="en-US"/>
        </w:rPr>
        <w:t>the</w:t>
      </w:r>
      <w:r>
        <w:rPr>
          <w:rFonts w:eastAsia="Calibri" w:cs="Arial"/>
          <w:szCs w:val="20"/>
          <w:lang w:val="en-US" w:eastAsia="en-US"/>
        </w:rPr>
        <w:t>y</w:t>
      </w:r>
      <w:r w:rsidRPr="0010407D">
        <w:rPr>
          <w:rFonts w:eastAsia="Calibri" w:cs="Arial"/>
          <w:szCs w:val="20"/>
          <w:lang w:val="en-US" w:eastAsia="en-US"/>
        </w:rPr>
        <w:t xml:space="preserve"> frame the view that it is indeed time to consider the regulatory framework for media and communications. </w:t>
      </w:r>
      <w:r>
        <w:rPr>
          <w:rFonts w:eastAsia="Calibri" w:cs="Arial"/>
          <w:szCs w:val="20"/>
          <w:lang w:val="en-US" w:eastAsia="en-US"/>
        </w:rPr>
        <w:t>T</w:t>
      </w:r>
      <w:r w:rsidRPr="0010407D">
        <w:rPr>
          <w:rFonts w:eastAsia="Calibri" w:cs="Arial"/>
          <w:szCs w:val="20"/>
          <w:lang w:val="en-US" w:eastAsia="en-US"/>
        </w:rPr>
        <w:t>hey articulate and support the proposition</w:t>
      </w:r>
      <w:r>
        <w:rPr>
          <w:rFonts w:eastAsia="Calibri" w:cs="Arial"/>
          <w:szCs w:val="20"/>
          <w:lang w:val="en-US" w:eastAsia="en-US"/>
        </w:rPr>
        <w:t>—</w:t>
      </w:r>
      <w:r w:rsidRPr="0010407D">
        <w:rPr>
          <w:rFonts w:eastAsia="Calibri" w:cs="Arial"/>
          <w:szCs w:val="20"/>
          <w:lang w:val="en-US" w:eastAsia="en-US"/>
        </w:rPr>
        <w:t>born</w:t>
      </w:r>
      <w:r>
        <w:rPr>
          <w:rFonts w:eastAsia="Calibri" w:cs="Arial"/>
          <w:szCs w:val="20"/>
          <w:lang w:val="en-US" w:eastAsia="en-US"/>
        </w:rPr>
        <w:t>e</w:t>
      </w:r>
      <w:r w:rsidRPr="0010407D">
        <w:rPr>
          <w:rFonts w:eastAsia="Calibri" w:cs="Arial"/>
          <w:szCs w:val="20"/>
          <w:lang w:val="en-US" w:eastAsia="en-US"/>
        </w:rPr>
        <w:t xml:space="preserve"> of the ACMA’s day-to-day engagement with the marketplace</w:t>
      </w:r>
      <w:r>
        <w:rPr>
          <w:rFonts w:eastAsia="Calibri" w:cs="Arial"/>
          <w:szCs w:val="20"/>
          <w:lang w:val="en-US" w:eastAsia="en-US"/>
        </w:rPr>
        <w:t xml:space="preserve"> and its broad array of stakeholders—</w:t>
      </w:r>
      <w:r w:rsidRPr="0010407D">
        <w:rPr>
          <w:rFonts w:eastAsia="Calibri" w:cs="Arial"/>
          <w:szCs w:val="20"/>
          <w:lang w:val="en-US" w:eastAsia="en-US"/>
        </w:rPr>
        <w:t>that the current arrangement</w:t>
      </w:r>
      <w:r>
        <w:rPr>
          <w:rFonts w:eastAsia="Calibri" w:cs="Arial"/>
          <w:szCs w:val="20"/>
          <w:lang w:val="en-US" w:eastAsia="en-US"/>
        </w:rPr>
        <w:t>s for</w:t>
      </w:r>
      <w:r w:rsidRPr="0010407D">
        <w:rPr>
          <w:rFonts w:eastAsia="Calibri" w:cs="Arial"/>
          <w:szCs w:val="20"/>
          <w:lang w:val="en-US" w:eastAsia="en-US"/>
        </w:rPr>
        <w:t xml:space="preserve"> media and communications legislation and regulation in Australia are under strain and increasingly unsuited to </w:t>
      </w:r>
      <w:r>
        <w:rPr>
          <w:rFonts w:eastAsia="Calibri" w:cs="Arial"/>
          <w:szCs w:val="20"/>
          <w:lang w:val="en-US" w:eastAsia="en-US"/>
        </w:rPr>
        <w:t>optimising</w:t>
      </w:r>
      <w:r w:rsidRPr="0010407D">
        <w:rPr>
          <w:rFonts w:eastAsia="Calibri" w:cs="Arial"/>
          <w:szCs w:val="20"/>
          <w:lang w:val="en-US" w:eastAsia="en-US"/>
        </w:rPr>
        <w:t xml:space="preserve"> the public interest. </w:t>
      </w:r>
      <w:r>
        <w:rPr>
          <w:rFonts w:eastAsia="Calibri" w:cs="Arial"/>
          <w:szCs w:val="20"/>
          <w:lang w:val="en-US" w:eastAsia="en-US"/>
        </w:rPr>
        <w:t>T</w:t>
      </w:r>
      <w:r w:rsidRPr="0010407D">
        <w:rPr>
          <w:rFonts w:eastAsia="Calibri" w:cs="Arial"/>
          <w:szCs w:val="20"/>
          <w:lang w:val="en-US" w:eastAsia="en-US"/>
        </w:rPr>
        <w:t xml:space="preserve">he opportunity for all portfolio stakeholders to engage fully with the promise of a </w:t>
      </w:r>
      <w:r>
        <w:rPr>
          <w:rFonts w:eastAsia="Calibri" w:cs="Arial"/>
          <w:szCs w:val="20"/>
          <w:lang w:val="en-US" w:eastAsia="en-US"/>
        </w:rPr>
        <w:t>‘</w:t>
      </w:r>
      <w:r w:rsidRPr="0010407D">
        <w:rPr>
          <w:rFonts w:eastAsia="Calibri" w:cs="Arial"/>
          <w:szCs w:val="20"/>
          <w:lang w:val="en-US" w:eastAsia="en-US"/>
        </w:rPr>
        <w:t>first</w:t>
      </w:r>
      <w:r>
        <w:rPr>
          <w:rFonts w:eastAsia="Calibri" w:cs="Arial"/>
          <w:szCs w:val="20"/>
          <w:lang w:val="en-US" w:eastAsia="en-US"/>
        </w:rPr>
        <w:t xml:space="preserve"> </w:t>
      </w:r>
      <w:r w:rsidRPr="0010407D">
        <w:rPr>
          <w:rFonts w:eastAsia="Calibri" w:cs="Arial"/>
          <w:szCs w:val="20"/>
          <w:lang w:val="en-US" w:eastAsia="en-US"/>
        </w:rPr>
        <w:t>principles</w:t>
      </w:r>
      <w:r>
        <w:rPr>
          <w:rFonts w:eastAsia="Calibri" w:cs="Arial"/>
          <w:szCs w:val="20"/>
          <w:lang w:val="en-US" w:eastAsia="en-US"/>
        </w:rPr>
        <w:t>’</w:t>
      </w:r>
      <w:r w:rsidRPr="0010407D">
        <w:rPr>
          <w:rFonts w:eastAsia="Calibri" w:cs="Arial"/>
          <w:szCs w:val="20"/>
          <w:lang w:val="en-US" w:eastAsia="en-US"/>
        </w:rPr>
        <w:t xml:space="preserve"> look at regulation in our dynamic and complex communications environment is very welcome.</w:t>
      </w:r>
    </w:p>
    <w:p w14:paraId="755F1438" w14:textId="0F51F8AE" w:rsidR="00222E9F" w:rsidRPr="0010407D" w:rsidRDefault="00222E9F" w:rsidP="00222E9F">
      <w:pPr>
        <w:keepLines/>
        <w:rPr>
          <w:rFonts w:eastAsia="Calibri" w:cs="Arial"/>
          <w:szCs w:val="20"/>
          <w:lang w:val="en-US" w:eastAsia="en-US"/>
        </w:rPr>
      </w:pPr>
      <w:r w:rsidRPr="0010407D">
        <w:rPr>
          <w:rFonts w:eastAsia="Calibri" w:cs="Arial"/>
          <w:szCs w:val="20"/>
          <w:lang w:val="en-US" w:eastAsia="en-US"/>
        </w:rPr>
        <w:lastRenderedPageBreak/>
        <w:t xml:space="preserve">Another fundamental </w:t>
      </w:r>
      <w:r w:rsidRPr="0010407D">
        <w:rPr>
          <w:rFonts w:eastAsia="Calibri" w:cs="Arial"/>
          <w:szCs w:val="20"/>
          <w:lang w:eastAsia="en-US"/>
        </w:rPr>
        <w:t>review coincident with our decade of work</w:t>
      </w:r>
      <w:r w:rsidRPr="0010407D">
        <w:rPr>
          <w:rFonts w:eastAsia="Calibri" w:cs="Arial"/>
          <w:szCs w:val="20"/>
          <w:lang w:val="en-US" w:eastAsia="en-US"/>
        </w:rPr>
        <w:t xml:space="preserve"> </w:t>
      </w:r>
      <w:r>
        <w:rPr>
          <w:rFonts w:eastAsia="Calibri" w:cs="Arial"/>
          <w:szCs w:val="20"/>
          <w:lang w:val="en-US" w:eastAsia="en-US"/>
        </w:rPr>
        <w:t>i</w:t>
      </w:r>
      <w:r w:rsidRPr="0010407D">
        <w:rPr>
          <w:rFonts w:eastAsia="Calibri" w:cs="Arial"/>
          <w:szCs w:val="20"/>
          <w:lang w:val="en-US" w:eastAsia="en-US"/>
        </w:rPr>
        <w:t xml:space="preserve">s the </w:t>
      </w:r>
      <w:r>
        <w:rPr>
          <w:rFonts w:eastAsia="Calibri" w:cs="Arial"/>
          <w:szCs w:val="20"/>
          <w:lang w:val="en-US" w:eastAsia="en-US"/>
        </w:rPr>
        <w:t>government’s current</w:t>
      </w:r>
      <w:r w:rsidRPr="0010407D">
        <w:rPr>
          <w:rFonts w:eastAsia="Calibri" w:cs="Arial"/>
          <w:szCs w:val="20"/>
          <w:lang w:val="en-US" w:eastAsia="en-US"/>
        </w:rPr>
        <w:t xml:space="preserve"> </w:t>
      </w:r>
      <w:r>
        <w:rPr>
          <w:rFonts w:eastAsia="Calibri" w:cs="Arial"/>
          <w:szCs w:val="20"/>
          <w:lang w:val="en-US" w:eastAsia="en-US"/>
        </w:rPr>
        <w:t xml:space="preserve">spectrum </w:t>
      </w:r>
      <w:r w:rsidRPr="003437C1">
        <w:rPr>
          <w:rFonts w:eastAsia="Calibri" w:cs="Arial"/>
          <w:szCs w:val="20"/>
          <w:lang w:val="en-US" w:eastAsia="en-US"/>
        </w:rPr>
        <w:t xml:space="preserve">review. I am hopeful that </w:t>
      </w:r>
      <w:r w:rsidR="00AE0F0B" w:rsidRPr="003437C1">
        <w:rPr>
          <w:rFonts w:eastAsia="Calibri" w:cs="Arial"/>
          <w:szCs w:val="20"/>
          <w:lang w:val="en-US" w:eastAsia="en-US"/>
        </w:rPr>
        <w:t>the implementation of</w:t>
      </w:r>
      <w:r w:rsidR="00AE0F0B" w:rsidRPr="003437C1" w:rsidDel="00AE0F0B">
        <w:rPr>
          <w:rFonts w:eastAsia="Calibri" w:cs="Arial"/>
          <w:szCs w:val="20"/>
          <w:lang w:val="en-US" w:eastAsia="en-US"/>
        </w:rPr>
        <w:t xml:space="preserve"> </w:t>
      </w:r>
      <w:r w:rsidRPr="003437C1">
        <w:rPr>
          <w:rFonts w:eastAsia="Calibri" w:cs="Arial"/>
          <w:szCs w:val="20"/>
          <w:lang w:val="en-US" w:eastAsia="en-US"/>
        </w:rPr>
        <w:t>the recommendations from this review will result</w:t>
      </w:r>
      <w:r w:rsidRPr="0010407D">
        <w:rPr>
          <w:rFonts w:eastAsia="Calibri" w:cs="Arial"/>
          <w:szCs w:val="20"/>
          <w:lang w:val="en-US" w:eastAsia="en-US"/>
        </w:rPr>
        <w:t xml:space="preserve"> in a paradigm-shifting overhaul of the Radiocommunications Act and, as a consequence, </w:t>
      </w:r>
      <w:r>
        <w:rPr>
          <w:rFonts w:eastAsia="Calibri" w:cs="Arial"/>
          <w:szCs w:val="20"/>
          <w:lang w:val="en-US" w:eastAsia="en-US"/>
        </w:rPr>
        <w:t>how</w:t>
      </w:r>
      <w:r w:rsidRPr="0010407D">
        <w:rPr>
          <w:rFonts w:eastAsia="Calibri" w:cs="Arial"/>
          <w:szCs w:val="20"/>
          <w:lang w:val="en-US" w:eastAsia="en-US"/>
        </w:rPr>
        <w:t xml:space="preserve"> the ACMA can manage spectrum. This will be a signature opportunity to continue the </w:t>
      </w:r>
      <w:r>
        <w:rPr>
          <w:rFonts w:eastAsia="Calibri" w:cs="Arial"/>
          <w:szCs w:val="20"/>
          <w:lang w:val="en-US" w:eastAsia="en-US"/>
        </w:rPr>
        <w:t xml:space="preserve">ACMA’s </w:t>
      </w:r>
      <w:r w:rsidRPr="0010407D">
        <w:rPr>
          <w:rFonts w:eastAsia="Calibri" w:cs="Arial"/>
          <w:szCs w:val="20"/>
          <w:lang w:val="en-US" w:eastAsia="en-US"/>
        </w:rPr>
        <w:t xml:space="preserve">renaissance in spectrum management we </w:t>
      </w:r>
      <w:r>
        <w:rPr>
          <w:rFonts w:eastAsia="Calibri" w:cs="Arial"/>
          <w:szCs w:val="20"/>
          <w:lang w:val="en-US" w:eastAsia="en-US"/>
        </w:rPr>
        <w:t>sought to effect</w:t>
      </w:r>
      <w:r w:rsidRPr="0010407D">
        <w:rPr>
          <w:rFonts w:eastAsia="Calibri" w:cs="Arial"/>
          <w:szCs w:val="20"/>
          <w:lang w:val="en-US" w:eastAsia="en-US"/>
        </w:rPr>
        <w:t>. The public face of that renaissance</w:t>
      </w:r>
      <w:r>
        <w:rPr>
          <w:rFonts w:eastAsia="Calibri" w:cs="Arial"/>
          <w:i/>
          <w:szCs w:val="20"/>
          <w:lang w:val="en-US" w:eastAsia="en-US"/>
        </w:rPr>
        <w:t>—</w:t>
      </w:r>
      <w:r w:rsidRPr="0010407D">
        <w:rPr>
          <w:rFonts w:eastAsia="Calibri" w:cs="Arial"/>
          <w:i/>
          <w:szCs w:val="20"/>
          <w:lang w:val="en-US" w:eastAsia="en-US"/>
        </w:rPr>
        <w:t>RadComms</w:t>
      </w:r>
      <w:r w:rsidRPr="0010407D">
        <w:rPr>
          <w:rFonts w:eastAsia="Calibri" w:cs="Arial"/>
          <w:szCs w:val="20"/>
          <w:lang w:val="en-US" w:eastAsia="en-US"/>
        </w:rPr>
        <w:t xml:space="preserve">, </w:t>
      </w:r>
      <w:r>
        <w:rPr>
          <w:rFonts w:eastAsia="Calibri" w:cs="Arial"/>
          <w:szCs w:val="20"/>
          <w:lang w:val="en-US" w:eastAsia="en-US"/>
        </w:rPr>
        <w:t xml:space="preserve">our </w:t>
      </w:r>
      <w:r w:rsidRPr="0010407D">
        <w:rPr>
          <w:rFonts w:eastAsia="Calibri" w:cs="Arial"/>
          <w:szCs w:val="20"/>
          <w:lang w:val="en-US" w:eastAsia="en-US"/>
        </w:rPr>
        <w:t>annual conference on spectrum issues</w:t>
      </w:r>
      <w:r>
        <w:rPr>
          <w:rFonts w:eastAsia="Calibri" w:cs="Arial"/>
          <w:szCs w:val="20"/>
          <w:lang w:val="en-US" w:eastAsia="en-US"/>
        </w:rPr>
        <w:t>—</w:t>
      </w:r>
      <w:r w:rsidRPr="0010407D">
        <w:rPr>
          <w:rFonts w:eastAsia="Calibri" w:cs="Arial"/>
          <w:szCs w:val="20"/>
          <w:lang w:val="en-US" w:eastAsia="en-US"/>
        </w:rPr>
        <w:t xml:space="preserve">was </w:t>
      </w:r>
      <w:r>
        <w:rPr>
          <w:rFonts w:eastAsia="Calibri" w:cs="Arial"/>
          <w:szCs w:val="20"/>
          <w:lang w:val="en-US" w:eastAsia="en-US"/>
        </w:rPr>
        <w:t xml:space="preserve">first </w:t>
      </w:r>
      <w:r w:rsidRPr="0010407D">
        <w:rPr>
          <w:rFonts w:eastAsia="Calibri" w:cs="Arial"/>
          <w:szCs w:val="20"/>
          <w:lang w:val="en-US" w:eastAsia="en-US"/>
        </w:rPr>
        <w:t xml:space="preserve">held </w:t>
      </w:r>
      <w:r>
        <w:rPr>
          <w:rFonts w:eastAsia="Calibri" w:cs="Arial"/>
          <w:szCs w:val="20"/>
          <w:lang w:val="en-US" w:eastAsia="en-US"/>
        </w:rPr>
        <w:t xml:space="preserve">in </w:t>
      </w:r>
      <w:r w:rsidRPr="0010407D">
        <w:rPr>
          <w:rFonts w:eastAsia="Calibri" w:cs="Arial"/>
          <w:szCs w:val="20"/>
          <w:lang w:val="en-US" w:eastAsia="en-US"/>
        </w:rPr>
        <w:t>2006. Th</w:t>
      </w:r>
      <w:r>
        <w:rPr>
          <w:rFonts w:eastAsia="Calibri" w:cs="Arial"/>
          <w:szCs w:val="20"/>
          <w:lang w:val="en-US" w:eastAsia="en-US"/>
        </w:rPr>
        <w:t>is</w:t>
      </w:r>
      <w:r w:rsidRPr="0010407D">
        <w:rPr>
          <w:rFonts w:eastAsia="Calibri" w:cs="Arial"/>
          <w:szCs w:val="20"/>
          <w:lang w:val="en-US" w:eastAsia="en-US"/>
        </w:rPr>
        <w:t xml:space="preserve"> initiative ushered in a rolling spectrum strategy</w:t>
      </w:r>
      <w:r>
        <w:rPr>
          <w:rFonts w:eastAsia="Calibri" w:cs="Arial"/>
          <w:szCs w:val="20"/>
          <w:lang w:val="en-US" w:eastAsia="en-US"/>
        </w:rPr>
        <w:t>—</w:t>
      </w:r>
      <w:r w:rsidRPr="000D43D9">
        <w:rPr>
          <w:rFonts w:eastAsia="Calibri" w:cs="Arial"/>
          <w:szCs w:val="20"/>
          <w:lang w:val="en-US" w:eastAsia="en-US"/>
        </w:rPr>
        <w:t>the</w:t>
      </w:r>
      <w:r w:rsidRPr="0010407D">
        <w:rPr>
          <w:rFonts w:eastAsia="Calibri" w:cs="Arial"/>
          <w:i/>
          <w:szCs w:val="20"/>
          <w:lang w:val="en-US" w:eastAsia="en-US"/>
        </w:rPr>
        <w:t xml:space="preserve"> </w:t>
      </w:r>
      <w:r w:rsidRPr="003437C1">
        <w:rPr>
          <w:rFonts w:eastAsia="Calibri" w:cs="Arial"/>
          <w:szCs w:val="20"/>
          <w:lang w:val="en-US" w:eastAsia="en-US"/>
        </w:rPr>
        <w:t>Five-year spectrum outlook,</w:t>
      </w:r>
      <w:r w:rsidRPr="0010407D">
        <w:rPr>
          <w:rFonts w:eastAsia="Calibri" w:cs="Arial"/>
          <w:szCs w:val="20"/>
          <w:lang w:val="en-US" w:eastAsia="en-US"/>
        </w:rPr>
        <w:t xml:space="preserve"> </w:t>
      </w:r>
      <w:r>
        <w:rPr>
          <w:rFonts w:eastAsia="Calibri" w:cs="Arial"/>
          <w:szCs w:val="20"/>
          <w:lang w:val="en-US" w:eastAsia="en-US"/>
        </w:rPr>
        <w:t xml:space="preserve">first </w:t>
      </w:r>
      <w:r w:rsidRPr="0010407D">
        <w:rPr>
          <w:rFonts w:eastAsia="Calibri" w:cs="Arial"/>
          <w:szCs w:val="20"/>
          <w:lang w:val="en-US" w:eastAsia="en-US"/>
        </w:rPr>
        <w:t xml:space="preserve">released in 2008 and continued each year thereafter. </w:t>
      </w:r>
    </w:p>
    <w:p w14:paraId="5B97961D" w14:textId="77777777" w:rsidR="00222E9F" w:rsidRPr="0010407D" w:rsidRDefault="00222E9F" w:rsidP="00222E9F">
      <w:pPr>
        <w:rPr>
          <w:rFonts w:eastAsia="Calibri" w:cs="Arial"/>
          <w:szCs w:val="20"/>
          <w:lang w:val="en-US" w:eastAsia="en-US"/>
        </w:rPr>
      </w:pPr>
      <w:r w:rsidRPr="0010407D">
        <w:rPr>
          <w:rFonts w:eastAsia="Calibri" w:cs="Arial"/>
          <w:szCs w:val="20"/>
          <w:lang w:val="en-US" w:eastAsia="en-US"/>
        </w:rPr>
        <w:t xml:space="preserve">In my assessment, our strategic spectrum work reached a high point in 2012–13 when we concluded the innovative digital dividend auction process to reallocate spectrum previously required for </w:t>
      </w:r>
      <w:r w:rsidR="009E3F95">
        <w:rPr>
          <w:rFonts w:eastAsia="Calibri" w:cs="Arial"/>
          <w:szCs w:val="20"/>
          <w:lang w:val="en-US" w:eastAsia="en-US"/>
        </w:rPr>
        <w:t xml:space="preserve">simulcasting </w:t>
      </w:r>
      <w:r w:rsidRPr="0010407D">
        <w:rPr>
          <w:rFonts w:eastAsia="Calibri" w:cs="Arial"/>
          <w:szCs w:val="20"/>
          <w:lang w:val="en-US" w:eastAsia="en-US"/>
        </w:rPr>
        <w:t xml:space="preserve">analog </w:t>
      </w:r>
      <w:r w:rsidR="009E3F95">
        <w:rPr>
          <w:rFonts w:eastAsia="Calibri" w:cs="Arial"/>
          <w:szCs w:val="20"/>
          <w:lang w:val="en-US" w:eastAsia="en-US"/>
        </w:rPr>
        <w:t xml:space="preserve">and digital </w:t>
      </w:r>
      <w:r w:rsidRPr="0010407D">
        <w:rPr>
          <w:rFonts w:eastAsia="Calibri" w:cs="Arial"/>
          <w:szCs w:val="20"/>
          <w:lang w:val="en-US" w:eastAsia="en-US"/>
        </w:rPr>
        <w:t xml:space="preserve">television transmissions. The allocation </w:t>
      </w:r>
      <w:r w:rsidR="009E3F95">
        <w:rPr>
          <w:rFonts w:eastAsia="Calibri" w:cs="Arial"/>
          <w:szCs w:val="20"/>
          <w:lang w:val="en-US" w:eastAsia="en-US"/>
        </w:rPr>
        <w:t xml:space="preserve">of the 700 MHz digital dividend </w:t>
      </w:r>
      <w:r w:rsidRPr="0010407D">
        <w:rPr>
          <w:rFonts w:eastAsia="Calibri" w:cs="Arial"/>
          <w:szCs w:val="20"/>
          <w:lang w:val="en-US" w:eastAsia="en-US"/>
        </w:rPr>
        <w:t>via an auction was the third and concluding step to three important tranches of work in the switch to digital</w:t>
      </w:r>
      <w:r w:rsidR="009E3F95">
        <w:rPr>
          <w:rFonts w:eastAsia="Calibri" w:cs="Arial"/>
          <w:szCs w:val="20"/>
          <w:lang w:val="en-US" w:eastAsia="en-US"/>
        </w:rPr>
        <w:t>-only</w:t>
      </w:r>
      <w:r w:rsidRPr="0010407D">
        <w:rPr>
          <w:rFonts w:eastAsia="Calibri" w:cs="Arial"/>
          <w:szCs w:val="20"/>
          <w:lang w:val="en-US" w:eastAsia="en-US"/>
        </w:rPr>
        <w:t xml:space="preserve"> television broadcasting. The first was completin</w:t>
      </w:r>
      <w:r>
        <w:rPr>
          <w:rFonts w:eastAsia="Calibri" w:cs="Arial"/>
          <w:szCs w:val="20"/>
          <w:lang w:val="en-US" w:eastAsia="en-US"/>
        </w:rPr>
        <w:t>g</w:t>
      </w:r>
      <w:r w:rsidRPr="0010407D">
        <w:rPr>
          <w:rFonts w:eastAsia="Calibri" w:cs="Arial"/>
          <w:szCs w:val="20"/>
          <w:lang w:val="en-US" w:eastAsia="en-US"/>
        </w:rPr>
        <w:t xml:space="preserve"> the switchover to digital television, while the second was </w:t>
      </w:r>
      <w:r>
        <w:rPr>
          <w:rFonts w:eastAsia="Calibri" w:cs="Arial"/>
          <w:szCs w:val="20"/>
          <w:lang w:val="en-US" w:eastAsia="en-US"/>
        </w:rPr>
        <w:t>to</w:t>
      </w:r>
      <w:r w:rsidRPr="0010407D">
        <w:rPr>
          <w:rFonts w:eastAsia="Calibri" w:cs="Arial"/>
          <w:szCs w:val="20"/>
          <w:lang w:val="en-US" w:eastAsia="en-US"/>
        </w:rPr>
        <w:t xml:space="preserve"> successfull</w:t>
      </w:r>
      <w:r>
        <w:rPr>
          <w:rFonts w:eastAsia="Calibri" w:cs="Arial"/>
          <w:szCs w:val="20"/>
          <w:lang w:val="en-US" w:eastAsia="en-US"/>
        </w:rPr>
        <w:t>y</w:t>
      </w:r>
      <w:r w:rsidRPr="0010407D">
        <w:rPr>
          <w:rFonts w:eastAsia="Calibri" w:cs="Arial"/>
          <w:szCs w:val="20"/>
          <w:lang w:val="en-US" w:eastAsia="en-US"/>
        </w:rPr>
        <w:t xml:space="preserve"> clear all digital television services from the identified digital dividend band (694–820 MHz)—commonly referred to as </w:t>
      </w:r>
      <w:r>
        <w:rPr>
          <w:rFonts w:eastAsia="Calibri" w:cs="Arial"/>
          <w:szCs w:val="20"/>
          <w:lang w:val="en-US" w:eastAsia="en-US"/>
        </w:rPr>
        <w:t xml:space="preserve">‘the </w:t>
      </w:r>
      <w:r w:rsidRPr="0010407D">
        <w:rPr>
          <w:rFonts w:eastAsia="Calibri" w:cs="Arial"/>
          <w:szCs w:val="20"/>
          <w:lang w:val="en-US" w:eastAsia="en-US"/>
        </w:rPr>
        <w:t xml:space="preserve">restack’. </w:t>
      </w:r>
    </w:p>
    <w:p w14:paraId="6166B46B" w14:textId="77777777" w:rsidR="00222E9F" w:rsidRPr="0010407D" w:rsidRDefault="00222E9F" w:rsidP="00222E9F">
      <w:pPr>
        <w:rPr>
          <w:rFonts w:eastAsia="Calibri" w:cs="Arial"/>
          <w:szCs w:val="20"/>
          <w:lang w:val="en-US" w:eastAsia="en-US"/>
        </w:rPr>
      </w:pPr>
      <w:r>
        <w:rPr>
          <w:rFonts w:eastAsia="Calibri" w:cs="Arial"/>
          <w:szCs w:val="20"/>
          <w:lang w:eastAsia="en-US"/>
        </w:rPr>
        <w:t>A</w:t>
      </w:r>
      <w:r w:rsidRPr="0010407D">
        <w:rPr>
          <w:rFonts w:eastAsia="Calibri" w:cs="Arial"/>
          <w:szCs w:val="20"/>
          <w:lang w:eastAsia="en-US"/>
        </w:rPr>
        <w:t xml:space="preserve">s the national spectrum manager, </w:t>
      </w:r>
      <w:r>
        <w:rPr>
          <w:rFonts w:eastAsia="Calibri" w:cs="Arial"/>
          <w:szCs w:val="20"/>
          <w:lang w:eastAsia="en-US"/>
        </w:rPr>
        <w:t>the ACMA has played</w:t>
      </w:r>
      <w:r w:rsidRPr="0010407D">
        <w:rPr>
          <w:rFonts w:eastAsia="Calibri" w:cs="Arial"/>
          <w:szCs w:val="20"/>
          <w:lang w:eastAsia="en-US"/>
        </w:rPr>
        <w:t xml:space="preserve"> a critical role over the last decade </w:t>
      </w:r>
      <w:r>
        <w:rPr>
          <w:rFonts w:eastAsia="Calibri" w:cs="Arial"/>
          <w:szCs w:val="20"/>
          <w:lang w:eastAsia="en-US"/>
        </w:rPr>
        <w:t>in</w:t>
      </w:r>
      <w:r w:rsidRPr="0010407D">
        <w:rPr>
          <w:rFonts w:eastAsia="Calibri" w:cs="Arial"/>
          <w:szCs w:val="20"/>
          <w:lang w:eastAsia="en-US"/>
        </w:rPr>
        <w:t xml:space="preserve"> facilitat</w:t>
      </w:r>
      <w:r>
        <w:rPr>
          <w:rFonts w:eastAsia="Calibri" w:cs="Arial"/>
          <w:szCs w:val="20"/>
          <w:lang w:eastAsia="en-US"/>
        </w:rPr>
        <w:t>ing</w:t>
      </w:r>
      <w:r w:rsidRPr="0010407D">
        <w:rPr>
          <w:rFonts w:eastAsia="Calibri" w:cs="Arial"/>
          <w:szCs w:val="20"/>
          <w:lang w:eastAsia="en-US"/>
        </w:rPr>
        <w:t xml:space="preserve"> continued growth in mobile broadband capacity. Australia is currently well placed </w:t>
      </w:r>
      <w:r>
        <w:rPr>
          <w:rFonts w:eastAsia="Calibri" w:cs="Arial"/>
          <w:szCs w:val="20"/>
          <w:lang w:eastAsia="en-US"/>
        </w:rPr>
        <w:t>to provide</w:t>
      </w:r>
      <w:r w:rsidRPr="0010407D">
        <w:rPr>
          <w:rFonts w:eastAsia="Calibri" w:cs="Arial"/>
          <w:szCs w:val="20"/>
          <w:lang w:eastAsia="en-US"/>
        </w:rPr>
        <w:t xml:space="preserve"> spectrum for mobile broadband services, and the release of spectrum has been harmonised with international arrangements and </w:t>
      </w:r>
      <w:r>
        <w:rPr>
          <w:rFonts w:eastAsia="Calibri" w:cs="Arial"/>
          <w:szCs w:val="20"/>
          <w:lang w:eastAsia="en-US"/>
        </w:rPr>
        <w:t xml:space="preserve">is </w:t>
      </w:r>
      <w:r w:rsidRPr="0010407D">
        <w:rPr>
          <w:rFonts w:eastAsia="Calibri" w:cs="Arial"/>
          <w:szCs w:val="20"/>
          <w:lang w:eastAsia="en-US"/>
        </w:rPr>
        <w:t xml:space="preserve">consistent with international standards. </w:t>
      </w:r>
      <w:r>
        <w:rPr>
          <w:rFonts w:eastAsia="Calibri" w:cs="Arial"/>
          <w:szCs w:val="20"/>
          <w:lang w:eastAsia="en-US"/>
        </w:rPr>
        <w:t>T</w:t>
      </w:r>
      <w:r w:rsidRPr="0010407D">
        <w:rPr>
          <w:rFonts w:eastAsia="Calibri" w:cs="Arial"/>
          <w:szCs w:val="20"/>
          <w:lang w:val="en-US" w:eastAsia="en-US"/>
        </w:rPr>
        <w:t>he ACMA continues to be an active contributor on global spectrum management issues at forums such a</w:t>
      </w:r>
      <w:r w:rsidRPr="00E60ED9">
        <w:rPr>
          <w:rFonts w:eastAsia="Calibri" w:cs="Arial"/>
          <w:szCs w:val="20"/>
          <w:lang w:eastAsia="en-US"/>
        </w:rPr>
        <w:t xml:space="preserve">s the </w:t>
      </w:r>
      <w:r w:rsidR="009E3F95" w:rsidRPr="00E60ED9">
        <w:rPr>
          <w:rFonts w:eastAsia="Calibri" w:cs="Arial"/>
          <w:szCs w:val="20"/>
          <w:lang w:eastAsia="en-US"/>
        </w:rPr>
        <w:t>International Telecommunication Union (</w:t>
      </w:r>
      <w:r w:rsidRPr="00E60ED9">
        <w:rPr>
          <w:rFonts w:eastAsia="Calibri" w:cs="Arial"/>
          <w:szCs w:val="20"/>
          <w:lang w:eastAsia="en-US"/>
        </w:rPr>
        <w:t>ITU</w:t>
      </w:r>
      <w:r w:rsidR="009E3F95" w:rsidRPr="00E60ED9">
        <w:rPr>
          <w:rFonts w:eastAsia="Calibri" w:cs="Arial"/>
          <w:szCs w:val="20"/>
          <w:lang w:eastAsia="en-US"/>
        </w:rPr>
        <w:t>)</w:t>
      </w:r>
      <w:r>
        <w:rPr>
          <w:rFonts w:eastAsia="Calibri" w:cs="Arial"/>
          <w:szCs w:val="20"/>
          <w:lang w:val="en-US" w:eastAsia="en-US"/>
        </w:rPr>
        <w:t xml:space="preserve"> </w:t>
      </w:r>
      <w:r w:rsidRPr="0010407D">
        <w:rPr>
          <w:rFonts w:eastAsia="Calibri" w:cs="Arial"/>
          <w:szCs w:val="20"/>
          <w:lang w:val="en-US" w:eastAsia="en-US"/>
        </w:rPr>
        <w:t xml:space="preserve">and </w:t>
      </w:r>
      <w:r w:rsidR="009E3F95" w:rsidRPr="0010407D">
        <w:rPr>
          <w:rFonts w:eastAsia="Calibri" w:cs="Arial"/>
          <w:szCs w:val="20"/>
          <w:lang w:val="en-US" w:eastAsia="en-US"/>
        </w:rPr>
        <w:t>Asia–Pacific Telecommunity</w:t>
      </w:r>
      <w:r w:rsidR="009E3F95" w:rsidRPr="0010407D">
        <w:rPr>
          <w:rFonts w:eastAsia="Calibri" w:cs="Arial"/>
          <w:szCs w:val="20"/>
          <w:lang w:eastAsia="en-US"/>
        </w:rPr>
        <w:t xml:space="preserve"> </w:t>
      </w:r>
      <w:r w:rsidR="009E3F95">
        <w:rPr>
          <w:rFonts w:eastAsia="Calibri" w:cs="Arial"/>
          <w:szCs w:val="20"/>
          <w:lang w:eastAsia="en-US"/>
        </w:rPr>
        <w:t>(</w:t>
      </w:r>
      <w:r w:rsidRPr="0010407D">
        <w:rPr>
          <w:rFonts w:eastAsia="Calibri" w:cs="Arial"/>
          <w:szCs w:val="20"/>
          <w:lang w:val="en-US" w:eastAsia="en-US"/>
        </w:rPr>
        <w:t>APT</w:t>
      </w:r>
      <w:r w:rsidR="009E3F95">
        <w:rPr>
          <w:rFonts w:eastAsia="Calibri" w:cs="Arial"/>
          <w:szCs w:val="20"/>
          <w:lang w:val="en-US" w:eastAsia="en-US"/>
        </w:rPr>
        <w:t>)</w:t>
      </w:r>
      <w:r w:rsidRPr="0010407D">
        <w:rPr>
          <w:rFonts w:eastAsia="Calibri" w:cs="Arial"/>
          <w:szCs w:val="20"/>
          <w:lang w:val="en-US" w:eastAsia="en-US"/>
        </w:rPr>
        <w:t xml:space="preserve">, and this year </w:t>
      </w:r>
      <w:r>
        <w:rPr>
          <w:rFonts w:eastAsia="Calibri" w:cs="Arial"/>
          <w:szCs w:val="20"/>
          <w:lang w:val="en-US" w:eastAsia="en-US"/>
        </w:rPr>
        <w:t xml:space="preserve">is </w:t>
      </w:r>
      <w:r w:rsidRPr="0010407D">
        <w:rPr>
          <w:rFonts w:eastAsia="Calibri" w:cs="Arial"/>
          <w:szCs w:val="20"/>
          <w:lang w:val="en-US" w:eastAsia="en-US"/>
        </w:rPr>
        <w:t>coordinat</w:t>
      </w:r>
      <w:r>
        <w:rPr>
          <w:rFonts w:eastAsia="Calibri" w:cs="Arial"/>
          <w:szCs w:val="20"/>
          <w:lang w:val="en-US" w:eastAsia="en-US"/>
        </w:rPr>
        <w:t>ing</w:t>
      </w:r>
      <w:r w:rsidRPr="0010407D">
        <w:rPr>
          <w:rFonts w:eastAsia="Calibri" w:cs="Arial"/>
          <w:szCs w:val="20"/>
          <w:lang w:val="en-US" w:eastAsia="en-US"/>
        </w:rPr>
        <w:t xml:space="preserve"> the Australian contribution to the World </w:t>
      </w:r>
      <w:r w:rsidR="009E3F95" w:rsidRPr="0010407D">
        <w:rPr>
          <w:rFonts w:eastAsia="Calibri" w:cs="Arial"/>
          <w:szCs w:val="20"/>
          <w:lang w:val="en-US" w:eastAsia="en-US"/>
        </w:rPr>
        <w:t>Radio</w:t>
      </w:r>
      <w:r w:rsidR="009E3F95">
        <w:rPr>
          <w:rFonts w:eastAsia="Calibri" w:cs="Arial"/>
          <w:szCs w:val="20"/>
          <w:lang w:val="en-US" w:eastAsia="en-US"/>
        </w:rPr>
        <w:t>communication</w:t>
      </w:r>
      <w:r w:rsidR="009E3F95" w:rsidRPr="0010407D">
        <w:rPr>
          <w:rFonts w:eastAsia="Calibri" w:cs="Arial"/>
          <w:szCs w:val="20"/>
          <w:lang w:val="en-US" w:eastAsia="en-US"/>
        </w:rPr>
        <w:t xml:space="preserve"> </w:t>
      </w:r>
      <w:r w:rsidR="009E3F95">
        <w:rPr>
          <w:rFonts w:eastAsia="Calibri" w:cs="Arial"/>
          <w:szCs w:val="20"/>
          <w:lang w:val="en-US" w:eastAsia="en-US"/>
        </w:rPr>
        <w:t>Conference</w:t>
      </w:r>
      <w:r w:rsidR="009E3F95" w:rsidRPr="0010407D">
        <w:rPr>
          <w:rFonts w:eastAsia="Calibri" w:cs="Arial"/>
          <w:szCs w:val="20"/>
          <w:lang w:val="en-US" w:eastAsia="en-US"/>
        </w:rPr>
        <w:t xml:space="preserve"> </w:t>
      </w:r>
      <w:r w:rsidRPr="0010407D">
        <w:rPr>
          <w:rFonts w:eastAsia="Calibri" w:cs="Arial"/>
          <w:szCs w:val="20"/>
          <w:lang w:val="en-US" w:eastAsia="en-US"/>
        </w:rPr>
        <w:t xml:space="preserve">in November 2015. </w:t>
      </w:r>
    </w:p>
    <w:p w14:paraId="3C245D90" w14:textId="77777777" w:rsidR="00222E9F" w:rsidRPr="0010407D" w:rsidRDefault="00222E9F" w:rsidP="00222E9F">
      <w:pPr>
        <w:rPr>
          <w:rFonts w:eastAsia="Calibri" w:cs="Arial"/>
          <w:szCs w:val="20"/>
          <w:lang w:eastAsia="en-US"/>
        </w:rPr>
      </w:pPr>
      <w:r w:rsidRPr="00222E9F">
        <w:rPr>
          <w:rFonts w:eastAsia="Calibri"/>
          <w:lang w:eastAsia="en-US"/>
        </w:rPr>
        <w:t>One</w:t>
      </w:r>
      <w:r w:rsidRPr="0010407D">
        <w:rPr>
          <w:rFonts w:eastAsia="Calibri" w:cs="Arial"/>
          <w:szCs w:val="20"/>
          <w:lang w:val="en-US" w:eastAsia="en-US"/>
        </w:rPr>
        <w:t xml:space="preserve"> outstanding example of this international engagement was </w:t>
      </w:r>
      <w:r w:rsidRPr="0010407D">
        <w:rPr>
          <w:rFonts w:eastAsia="Calibri" w:cs="Arial"/>
          <w:szCs w:val="20"/>
          <w:lang w:eastAsia="en-US"/>
        </w:rPr>
        <w:t>our involvement over a number of years in develop</w:t>
      </w:r>
      <w:r>
        <w:rPr>
          <w:rFonts w:eastAsia="Calibri" w:cs="Arial"/>
          <w:szCs w:val="20"/>
          <w:lang w:eastAsia="en-US"/>
        </w:rPr>
        <w:t>ing</w:t>
      </w:r>
      <w:r w:rsidRPr="0010407D">
        <w:rPr>
          <w:rFonts w:eastAsia="Calibri" w:cs="Arial"/>
          <w:szCs w:val="20"/>
          <w:lang w:eastAsia="en-US"/>
        </w:rPr>
        <w:t xml:space="preserve"> and promoti</w:t>
      </w:r>
      <w:r>
        <w:rPr>
          <w:rFonts w:eastAsia="Calibri" w:cs="Arial"/>
          <w:szCs w:val="20"/>
          <w:lang w:eastAsia="en-US"/>
        </w:rPr>
        <w:t>ng</w:t>
      </w:r>
      <w:r w:rsidRPr="0010407D">
        <w:rPr>
          <w:rFonts w:eastAsia="Calibri" w:cs="Arial"/>
          <w:szCs w:val="20"/>
          <w:lang w:eastAsia="en-US"/>
        </w:rPr>
        <w:t xml:space="preserve"> the </w:t>
      </w:r>
      <w:r w:rsidR="009E3F95">
        <w:rPr>
          <w:rFonts w:eastAsia="Calibri" w:cs="Arial"/>
          <w:szCs w:val="20"/>
          <w:lang w:val="en-US" w:eastAsia="en-US"/>
        </w:rPr>
        <w:t>APT</w:t>
      </w:r>
      <w:r w:rsidRPr="0010407D">
        <w:rPr>
          <w:rFonts w:eastAsia="Calibri" w:cs="Arial"/>
          <w:szCs w:val="20"/>
          <w:lang w:eastAsia="en-US"/>
        </w:rPr>
        <w:t xml:space="preserve"> plan for 700 MHz, which is now being adopted or seriously considered in markets with a combined population </w:t>
      </w:r>
      <w:r>
        <w:rPr>
          <w:rFonts w:eastAsia="Calibri" w:cs="Arial"/>
          <w:szCs w:val="20"/>
          <w:lang w:eastAsia="en-US"/>
        </w:rPr>
        <w:t xml:space="preserve">of </w:t>
      </w:r>
      <w:r w:rsidRPr="0010407D">
        <w:rPr>
          <w:rFonts w:eastAsia="Calibri" w:cs="Arial"/>
          <w:szCs w:val="20"/>
          <w:lang w:eastAsia="en-US"/>
        </w:rPr>
        <w:t xml:space="preserve">over </w:t>
      </w:r>
      <w:r>
        <w:rPr>
          <w:rFonts w:eastAsia="Calibri" w:cs="Arial"/>
          <w:szCs w:val="20"/>
          <w:lang w:eastAsia="en-US"/>
        </w:rPr>
        <w:t>two</w:t>
      </w:r>
      <w:r w:rsidRPr="0010407D">
        <w:rPr>
          <w:rFonts w:eastAsia="Calibri" w:cs="Arial"/>
          <w:szCs w:val="20"/>
          <w:lang w:eastAsia="en-US"/>
        </w:rPr>
        <w:t xml:space="preserve"> billion people. Australia fully participate</w:t>
      </w:r>
      <w:r>
        <w:rPr>
          <w:rFonts w:eastAsia="Calibri" w:cs="Arial"/>
          <w:szCs w:val="20"/>
          <w:lang w:eastAsia="en-US"/>
        </w:rPr>
        <w:t>d</w:t>
      </w:r>
      <w:r w:rsidRPr="0010407D">
        <w:rPr>
          <w:rFonts w:eastAsia="Calibri" w:cs="Arial"/>
          <w:szCs w:val="20"/>
          <w:lang w:eastAsia="en-US"/>
        </w:rPr>
        <w:t xml:space="preserve"> with other countries in the region in develop</w:t>
      </w:r>
      <w:r>
        <w:rPr>
          <w:rFonts w:eastAsia="Calibri" w:cs="Arial"/>
          <w:szCs w:val="20"/>
          <w:lang w:eastAsia="en-US"/>
        </w:rPr>
        <w:t>ing</w:t>
      </w:r>
      <w:r w:rsidRPr="0010407D">
        <w:rPr>
          <w:rFonts w:eastAsia="Calibri" w:cs="Arial"/>
          <w:szCs w:val="20"/>
          <w:lang w:eastAsia="en-US"/>
        </w:rPr>
        <w:t>, from the ground up, a new internationally</w:t>
      </w:r>
      <w:r>
        <w:rPr>
          <w:rFonts w:eastAsia="Calibri" w:cs="Arial"/>
          <w:szCs w:val="20"/>
          <w:lang w:eastAsia="en-US"/>
        </w:rPr>
        <w:t xml:space="preserve"> </w:t>
      </w:r>
      <w:r w:rsidRPr="0010407D">
        <w:rPr>
          <w:rFonts w:eastAsia="Calibri" w:cs="Arial"/>
          <w:szCs w:val="20"/>
          <w:lang w:eastAsia="en-US"/>
        </w:rPr>
        <w:t>harmonised plan optimised for mobile broadband, using the spectrum in the 700 MH</w:t>
      </w:r>
      <w:r>
        <w:rPr>
          <w:rFonts w:eastAsia="Calibri" w:cs="Arial"/>
          <w:szCs w:val="20"/>
          <w:lang w:eastAsia="en-US"/>
        </w:rPr>
        <w:t>z</w:t>
      </w:r>
      <w:r w:rsidRPr="0010407D">
        <w:rPr>
          <w:rFonts w:eastAsia="Calibri" w:cs="Arial"/>
          <w:szCs w:val="20"/>
          <w:lang w:eastAsia="en-US"/>
        </w:rPr>
        <w:t xml:space="preserve"> band freed by broadcasting’s digital switchover. </w:t>
      </w:r>
      <w:r w:rsidRPr="0010407D">
        <w:rPr>
          <w:rFonts w:eastAsia="Calibri" w:cs="Arial"/>
          <w:szCs w:val="20"/>
          <w:lang w:val="en-US" w:eastAsia="en-US"/>
        </w:rPr>
        <w:t>Harmoni</w:t>
      </w:r>
      <w:r>
        <w:rPr>
          <w:rFonts w:eastAsia="Calibri" w:cs="Arial"/>
          <w:szCs w:val="20"/>
          <w:lang w:val="en-US" w:eastAsia="en-US"/>
        </w:rPr>
        <w:t>s</w:t>
      </w:r>
      <w:r w:rsidRPr="0010407D">
        <w:rPr>
          <w:rFonts w:eastAsia="Calibri" w:cs="Arial"/>
          <w:szCs w:val="20"/>
          <w:lang w:val="en-US" w:eastAsia="en-US"/>
        </w:rPr>
        <w:t xml:space="preserve">ation on such </w:t>
      </w:r>
      <w:r>
        <w:rPr>
          <w:rFonts w:eastAsia="Calibri" w:cs="Arial"/>
          <w:szCs w:val="20"/>
          <w:lang w:val="en-US" w:eastAsia="en-US"/>
        </w:rPr>
        <w:t xml:space="preserve">a </w:t>
      </w:r>
      <w:r w:rsidRPr="0010407D">
        <w:rPr>
          <w:rFonts w:eastAsia="Calibri" w:cs="Arial"/>
          <w:szCs w:val="20"/>
          <w:lang w:val="en-US" w:eastAsia="en-US"/>
        </w:rPr>
        <w:t xml:space="preserve">scale </w:t>
      </w:r>
      <w:r>
        <w:rPr>
          <w:rFonts w:eastAsia="Calibri" w:cs="Arial"/>
          <w:szCs w:val="20"/>
          <w:lang w:val="en-US" w:eastAsia="en-US"/>
        </w:rPr>
        <w:t>will</w:t>
      </w:r>
      <w:r w:rsidRPr="0010407D">
        <w:rPr>
          <w:rFonts w:eastAsia="Calibri" w:cs="Arial"/>
          <w:szCs w:val="20"/>
          <w:lang w:val="en-US" w:eastAsia="en-US"/>
        </w:rPr>
        <w:t xml:space="preserve"> lead to materially cheaper</w:t>
      </w:r>
      <w:r w:rsidR="00E60ED9">
        <w:rPr>
          <w:rFonts w:eastAsia="Calibri" w:cs="Arial"/>
          <w:szCs w:val="20"/>
          <w:lang w:val="en-US" w:eastAsia="en-US"/>
        </w:rPr>
        <w:t xml:space="preserve"> 4G LTE (</w:t>
      </w:r>
      <w:r w:rsidRPr="0010407D">
        <w:rPr>
          <w:rFonts w:eastAsia="Calibri" w:cs="Arial"/>
          <w:szCs w:val="20"/>
          <w:lang w:val="en-US" w:eastAsia="en-US"/>
        </w:rPr>
        <w:t>Long Term Evolution</w:t>
      </w:r>
      <w:r w:rsidR="00E60ED9">
        <w:rPr>
          <w:rFonts w:eastAsia="Calibri" w:cs="Arial"/>
          <w:szCs w:val="20"/>
          <w:lang w:val="en-US" w:eastAsia="en-US"/>
        </w:rPr>
        <w:t>)</w:t>
      </w:r>
      <w:r w:rsidRPr="0010407D">
        <w:rPr>
          <w:rFonts w:eastAsia="Calibri" w:cs="Arial"/>
          <w:szCs w:val="20"/>
          <w:lang w:val="en-US" w:eastAsia="en-US"/>
        </w:rPr>
        <w:t xml:space="preserve"> devices (including smartphones and tablets)</w:t>
      </w:r>
      <w:r>
        <w:rPr>
          <w:rFonts w:eastAsia="Calibri" w:cs="Arial"/>
          <w:szCs w:val="20"/>
          <w:lang w:val="en-US" w:eastAsia="en-US"/>
        </w:rPr>
        <w:t xml:space="preserve">, </w:t>
      </w:r>
      <w:r w:rsidRPr="0010407D">
        <w:rPr>
          <w:rFonts w:eastAsia="Calibri" w:cs="Arial"/>
          <w:szCs w:val="20"/>
          <w:lang w:val="en-US" w:eastAsia="en-US"/>
        </w:rPr>
        <w:t>while international roaming is also made easier.</w:t>
      </w:r>
    </w:p>
    <w:p w14:paraId="5A263E58" w14:textId="77777777" w:rsidR="008E28DA" w:rsidRPr="00C42ED0" w:rsidRDefault="008E28DA" w:rsidP="008E28DA">
      <w:pPr>
        <w:rPr>
          <w:rFonts w:eastAsia="Calibri" w:cs="Arial"/>
          <w:szCs w:val="20"/>
        </w:rPr>
      </w:pPr>
      <w:r w:rsidRPr="00C42ED0">
        <w:rPr>
          <w:rFonts w:eastAsia="Calibri" w:cs="Arial"/>
          <w:szCs w:val="20"/>
          <w:lang w:val="en-US"/>
        </w:rPr>
        <w:t xml:space="preserve">A further example of international cooperation and coordination is in the area of </w:t>
      </w:r>
      <w:r>
        <w:rPr>
          <w:rFonts w:eastAsia="Calibri" w:cs="Arial"/>
          <w:szCs w:val="20"/>
          <w:lang w:val="en-US"/>
        </w:rPr>
        <w:t xml:space="preserve">online </w:t>
      </w:r>
      <w:r w:rsidRPr="00C42ED0">
        <w:rPr>
          <w:rFonts w:eastAsia="Calibri" w:cs="Arial"/>
          <w:szCs w:val="20"/>
        </w:rPr>
        <w:t>child sexual abuse material, with the ACMA an active participant in INHOPE. And, through the multi</w:t>
      </w:r>
      <w:r>
        <w:rPr>
          <w:rFonts w:eastAsia="Calibri" w:cs="Arial"/>
          <w:szCs w:val="20"/>
        </w:rPr>
        <w:t>-</w:t>
      </w:r>
      <w:r w:rsidRPr="00C42ED0">
        <w:rPr>
          <w:rFonts w:eastAsia="Calibri" w:cs="Arial"/>
          <w:szCs w:val="20"/>
        </w:rPr>
        <w:t>count</w:t>
      </w:r>
      <w:r>
        <w:rPr>
          <w:rFonts w:eastAsia="Calibri" w:cs="Arial"/>
          <w:szCs w:val="20"/>
        </w:rPr>
        <w:t>r</w:t>
      </w:r>
      <w:r w:rsidRPr="00C42ED0">
        <w:rPr>
          <w:rFonts w:eastAsia="Calibri" w:cs="Arial"/>
          <w:szCs w:val="20"/>
        </w:rPr>
        <w:t>y agreements with those who participate in the London Action Plan, the ACMA has made international cooperation a key element in a multi-tiered strategy to combat spam and unsolicited telemarketing.</w:t>
      </w:r>
    </w:p>
    <w:p w14:paraId="0832986E" w14:textId="469F8483" w:rsidR="00222E9F" w:rsidRDefault="00222E9F" w:rsidP="00222E9F">
      <w:pPr>
        <w:rPr>
          <w:rFonts w:eastAsia="Calibri" w:cs="Arial"/>
          <w:szCs w:val="20"/>
          <w:lang w:eastAsia="en-US"/>
        </w:rPr>
      </w:pPr>
      <w:r w:rsidRPr="00222E9F">
        <w:rPr>
          <w:rFonts w:eastAsia="Calibri"/>
          <w:lang w:eastAsia="en-US"/>
        </w:rPr>
        <w:t>T</w:t>
      </w:r>
      <w:r w:rsidRPr="0010407D">
        <w:rPr>
          <w:rFonts w:eastAsia="Calibri" w:cs="Arial"/>
          <w:szCs w:val="20"/>
          <w:lang w:eastAsia="en-US"/>
        </w:rPr>
        <w:t>hese international linkages have complemented our domestic remit to deliver online consumer and citizen protection</w:t>
      </w:r>
      <w:r>
        <w:rPr>
          <w:rFonts w:eastAsia="Calibri" w:cs="Arial"/>
          <w:szCs w:val="20"/>
          <w:lang w:eastAsia="en-US"/>
        </w:rPr>
        <w:t>. T</w:t>
      </w:r>
      <w:r w:rsidRPr="0010407D">
        <w:rPr>
          <w:rFonts w:eastAsia="Calibri" w:cs="Arial"/>
          <w:szCs w:val="20"/>
          <w:lang w:eastAsia="en-US"/>
        </w:rPr>
        <w:t>he Australian Internet Security Initiative</w:t>
      </w:r>
      <w:r>
        <w:rPr>
          <w:rFonts w:eastAsia="Calibri" w:cs="Arial"/>
          <w:szCs w:val="20"/>
          <w:lang w:eastAsia="en-US"/>
        </w:rPr>
        <w:t xml:space="preserve"> is</w:t>
      </w:r>
      <w:r w:rsidRPr="0010407D">
        <w:rPr>
          <w:rFonts w:eastAsia="Calibri" w:cs="Arial"/>
          <w:szCs w:val="20"/>
          <w:lang w:eastAsia="en-US"/>
        </w:rPr>
        <w:t xml:space="preserve"> a unique program that sees the ACMA partnering with ISPs to address the threat </w:t>
      </w:r>
      <w:r>
        <w:rPr>
          <w:rFonts w:eastAsia="Calibri" w:cs="Arial"/>
          <w:szCs w:val="20"/>
          <w:lang w:eastAsia="en-US"/>
        </w:rPr>
        <w:t>of</w:t>
      </w:r>
      <w:r w:rsidRPr="0010407D">
        <w:rPr>
          <w:rFonts w:eastAsia="Calibri" w:cs="Arial"/>
          <w:szCs w:val="20"/>
          <w:lang w:eastAsia="en-US"/>
        </w:rPr>
        <w:t xml:space="preserve"> malware. Another example, primarily focused on information and skills</w:t>
      </w:r>
      <w:r>
        <w:rPr>
          <w:rFonts w:eastAsia="Calibri" w:cs="Arial"/>
          <w:szCs w:val="20"/>
          <w:lang w:eastAsia="en-US"/>
        </w:rPr>
        <w:t>-</w:t>
      </w:r>
      <w:r w:rsidRPr="0010407D">
        <w:rPr>
          <w:rFonts w:eastAsia="Calibri" w:cs="Arial"/>
          <w:szCs w:val="20"/>
          <w:lang w:eastAsia="en-US"/>
        </w:rPr>
        <w:t>building</w:t>
      </w:r>
      <w:r>
        <w:rPr>
          <w:rFonts w:eastAsia="Calibri" w:cs="Arial"/>
          <w:szCs w:val="20"/>
          <w:lang w:eastAsia="en-US"/>
        </w:rPr>
        <w:t>,</w:t>
      </w:r>
      <w:r w:rsidRPr="0010407D">
        <w:rPr>
          <w:rFonts w:eastAsia="Calibri" w:cs="Arial"/>
          <w:szCs w:val="20"/>
          <w:lang w:eastAsia="en-US"/>
        </w:rPr>
        <w:t xml:space="preserve"> has been our Cybersafety programs</w:t>
      </w:r>
      <w:r>
        <w:rPr>
          <w:rFonts w:eastAsia="Calibri" w:cs="Arial"/>
          <w:szCs w:val="20"/>
          <w:lang w:eastAsia="en-US"/>
        </w:rPr>
        <w:t>,</w:t>
      </w:r>
      <w:r w:rsidRPr="0010407D">
        <w:rPr>
          <w:rFonts w:eastAsia="Calibri" w:cs="Arial"/>
          <w:szCs w:val="20"/>
          <w:lang w:eastAsia="en-US"/>
        </w:rPr>
        <w:t xml:space="preserve"> which </w:t>
      </w:r>
      <w:r>
        <w:rPr>
          <w:rFonts w:eastAsia="Calibri" w:cs="Arial"/>
          <w:szCs w:val="20"/>
          <w:lang w:eastAsia="en-US"/>
        </w:rPr>
        <w:t>began</w:t>
      </w:r>
      <w:r w:rsidRPr="0010407D">
        <w:rPr>
          <w:rFonts w:eastAsia="Calibri" w:cs="Arial"/>
          <w:szCs w:val="20"/>
          <w:lang w:eastAsia="en-US"/>
        </w:rPr>
        <w:t xml:space="preserve"> in 2007</w:t>
      </w:r>
      <w:r>
        <w:rPr>
          <w:rFonts w:eastAsia="Calibri" w:cs="Arial"/>
          <w:szCs w:val="20"/>
          <w:lang w:eastAsia="en-US"/>
        </w:rPr>
        <w:t>–</w:t>
      </w:r>
      <w:r w:rsidRPr="0010407D">
        <w:rPr>
          <w:rFonts w:eastAsia="Calibri" w:cs="Arial"/>
          <w:szCs w:val="20"/>
          <w:lang w:eastAsia="en-US"/>
        </w:rPr>
        <w:t xml:space="preserve">08 when the internet safety agency NetAlert merged with </w:t>
      </w:r>
      <w:r>
        <w:rPr>
          <w:rFonts w:eastAsia="Calibri" w:cs="Arial"/>
          <w:szCs w:val="20"/>
          <w:lang w:eastAsia="en-US"/>
        </w:rPr>
        <w:t xml:space="preserve">the </w:t>
      </w:r>
      <w:r w:rsidRPr="0010407D">
        <w:rPr>
          <w:rFonts w:eastAsia="Calibri" w:cs="Arial"/>
          <w:szCs w:val="20"/>
          <w:lang w:eastAsia="en-US"/>
        </w:rPr>
        <w:t>ACMA</w:t>
      </w:r>
      <w:r w:rsidRPr="003437C1">
        <w:rPr>
          <w:rFonts w:eastAsia="Calibri" w:cs="Arial"/>
          <w:szCs w:val="20"/>
          <w:lang w:eastAsia="en-US"/>
        </w:rPr>
        <w:t xml:space="preserve">. </w:t>
      </w:r>
      <w:r w:rsidR="00AE0F0B" w:rsidRPr="003437C1">
        <w:rPr>
          <w:rFonts w:eastAsia="Calibri" w:cs="Arial"/>
          <w:szCs w:val="20"/>
          <w:lang w:eastAsia="en-US"/>
        </w:rPr>
        <w:t xml:space="preserve">From 1 July 2015, this highly successful program (together with the </w:t>
      </w:r>
      <w:r w:rsidR="00F50A9D" w:rsidRPr="003437C1">
        <w:rPr>
          <w:rFonts w:eastAsia="Calibri" w:cs="Arial"/>
          <w:szCs w:val="20"/>
          <w:lang w:eastAsia="en-US"/>
        </w:rPr>
        <w:t xml:space="preserve">ACMA Hotline for offensive and illegal online content </w:t>
      </w:r>
      <w:r w:rsidR="00AE0F0B" w:rsidRPr="003437C1">
        <w:rPr>
          <w:rFonts w:cs="Arial"/>
        </w:rPr>
        <w:t>and Cybersmart activities)</w:t>
      </w:r>
      <w:r w:rsidR="00AE0F0B" w:rsidRPr="003437C1">
        <w:rPr>
          <w:rFonts w:eastAsia="Calibri" w:cs="Arial"/>
          <w:szCs w:val="20"/>
          <w:lang w:eastAsia="en-US"/>
        </w:rPr>
        <w:t xml:space="preserve"> passed to the Office of the Children’s eSafety Commissioner, although these will still be serviced by the ACMA. Throughout 2014–15, the ACMA has worked to ensure this new body was up and running from day one of its formal establishment.</w:t>
      </w:r>
    </w:p>
    <w:p w14:paraId="180E5B00" w14:textId="77777777" w:rsidR="008E28DA" w:rsidRPr="00C42ED0" w:rsidRDefault="008E28DA" w:rsidP="00DE4300">
      <w:pPr>
        <w:keepLines/>
        <w:rPr>
          <w:rFonts w:eastAsia="Calibri" w:cs="Arial"/>
          <w:szCs w:val="20"/>
        </w:rPr>
      </w:pPr>
      <w:r w:rsidRPr="00C42ED0">
        <w:rPr>
          <w:rFonts w:eastAsia="Calibri" w:cs="Arial"/>
          <w:szCs w:val="20"/>
        </w:rPr>
        <w:lastRenderedPageBreak/>
        <w:t xml:space="preserve">An important milestone was reached in February </w:t>
      </w:r>
      <w:r>
        <w:rPr>
          <w:rFonts w:eastAsia="Calibri" w:cs="Arial"/>
          <w:szCs w:val="20"/>
        </w:rPr>
        <w:t xml:space="preserve">2015 </w:t>
      </w:r>
      <w:r w:rsidRPr="00C42ED0">
        <w:rPr>
          <w:rFonts w:eastAsia="Calibri" w:cs="Arial"/>
          <w:szCs w:val="20"/>
        </w:rPr>
        <w:t xml:space="preserve">when the 10 millionth number was listed on the Do Not Call Register. </w:t>
      </w:r>
      <w:r>
        <w:rPr>
          <w:rFonts w:eastAsia="Calibri" w:cs="Arial"/>
          <w:szCs w:val="20"/>
        </w:rPr>
        <w:t xml:space="preserve">Of numbers listed on the register, </w:t>
      </w:r>
      <w:r w:rsidRPr="00C42ED0">
        <w:rPr>
          <w:rFonts w:eastAsia="Calibri" w:cs="Arial"/>
          <w:szCs w:val="20"/>
        </w:rPr>
        <w:t>45 per cent are mobile numbers, On average, almost 3,500 numbers have been added to the register every day since it launched in May 2007.</w:t>
      </w:r>
    </w:p>
    <w:p w14:paraId="79C5DAD3" w14:textId="77777777" w:rsidR="008E28DA" w:rsidRPr="00C42ED0" w:rsidRDefault="008E28DA" w:rsidP="008E28DA">
      <w:pPr>
        <w:rPr>
          <w:rFonts w:eastAsia="Calibri" w:cs="Arial"/>
          <w:szCs w:val="20"/>
          <w:lang w:val="en-US"/>
        </w:rPr>
      </w:pPr>
      <w:r w:rsidRPr="00C42ED0">
        <w:rPr>
          <w:rFonts w:eastAsia="Calibri" w:cs="Arial"/>
          <w:szCs w:val="20"/>
          <w:lang w:val="en-US"/>
        </w:rPr>
        <w:t xml:space="preserve">One consistently high-profile aspect of the ACMA’s work has been various broadcasting investigations, which are frequently matters attracting public attention. Rather than add to the notoriety or profile of any particular case, I’ll merely note that various review outcomes this year have demonstrated the rigour of our work in this domain. In 2013–14, our </w:t>
      </w:r>
      <w:r w:rsidRPr="00C42ED0">
        <w:rPr>
          <w:rFonts w:eastAsia="Calibri" w:cs="Arial"/>
          <w:i/>
          <w:szCs w:val="20"/>
          <w:lang w:val="en-US"/>
        </w:rPr>
        <w:t>Contemporary community safeguards inquiry</w:t>
      </w:r>
      <w:r w:rsidRPr="00C42ED0">
        <w:rPr>
          <w:rFonts w:eastAsia="Calibri" w:cs="Arial"/>
          <w:szCs w:val="20"/>
          <w:lang w:val="en-US"/>
        </w:rPr>
        <w:t xml:space="preserve"> examined how effectively regulation manages what people see and hear on television and radio, and whether the protections the community expects are being maintained in line with rapid changes in society. The inquiry was brought to a successful resting point with the release of a consolidated report.  </w:t>
      </w:r>
    </w:p>
    <w:p w14:paraId="3668C9F6" w14:textId="77777777" w:rsidR="00222E9F" w:rsidRPr="0010407D" w:rsidRDefault="00222E9F" w:rsidP="00222E9F">
      <w:pPr>
        <w:rPr>
          <w:rFonts w:eastAsia="Calibri" w:cs="Arial"/>
          <w:szCs w:val="20"/>
          <w:lang w:val="en-US" w:eastAsia="en-US"/>
        </w:rPr>
      </w:pPr>
      <w:r w:rsidRPr="00222E9F">
        <w:rPr>
          <w:rFonts w:eastAsia="Calibri"/>
          <w:lang w:eastAsia="en-US"/>
        </w:rPr>
        <w:t>To</w:t>
      </w:r>
      <w:r w:rsidRPr="0010407D">
        <w:rPr>
          <w:rFonts w:eastAsia="Calibri" w:cs="Arial"/>
          <w:szCs w:val="20"/>
          <w:lang w:val="en-US" w:eastAsia="en-US"/>
        </w:rPr>
        <w:t xml:space="preserve"> further consolidate our general communication of content regulation perspectives, </w:t>
      </w:r>
      <w:r>
        <w:rPr>
          <w:rFonts w:eastAsia="Calibri" w:cs="Arial"/>
          <w:szCs w:val="20"/>
          <w:lang w:val="en-US" w:eastAsia="en-US"/>
        </w:rPr>
        <w:t xml:space="preserve">this year we developed </w:t>
      </w:r>
      <w:r w:rsidRPr="0010407D">
        <w:rPr>
          <w:rFonts w:eastAsia="Calibri" w:cs="Arial"/>
          <w:szCs w:val="20"/>
          <w:lang w:val="en-US" w:eastAsia="en-US"/>
        </w:rPr>
        <w:t xml:space="preserve">the </w:t>
      </w:r>
      <w:r w:rsidRPr="000D43D9">
        <w:rPr>
          <w:rFonts w:eastAsia="Calibri" w:cs="Arial"/>
          <w:i/>
          <w:szCs w:val="20"/>
          <w:lang w:val="en-US" w:eastAsia="en-US"/>
        </w:rPr>
        <w:t>Investigations concepts</w:t>
      </w:r>
      <w:r>
        <w:rPr>
          <w:rFonts w:eastAsia="Calibri" w:cs="Arial"/>
          <w:szCs w:val="20"/>
          <w:lang w:val="en-US" w:eastAsia="en-US"/>
        </w:rPr>
        <w:t xml:space="preserve"> series of papers </w:t>
      </w:r>
      <w:r w:rsidRPr="0010407D">
        <w:rPr>
          <w:rFonts w:eastAsia="Calibri" w:cs="Arial"/>
          <w:szCs w:val="20"/>
          <w:lang w:val="en-US" w:eastAsia="en-US"/>
        </w:rPr>
        <w:t xml:space="preserve">to </w:t>
      </w:r>
      <w:r>
        <w:rPr>
          <w:rFonts w:eastAsia="Calibri" w:cs="Arial"/>
          <w:szCs w:val="20"/>
          <w:lang w:val="en-US" w:eastAsia="en-US"/>
        </w:rPr>
        <w:t>help</w:t>
      </w:r>
      <w:r w:rsidRPr="0010407D">
        <w:rPr>
          <w:rFonts w:eastAsia="Calibri" w:cs="Arial"/>
          <w:szCs w:val="20"/>
          <w:lang w:val="en-US" w:eastAsia="en-US"/>
        </w:rPr>
        <w:t xml:space="preserve"> a broad range of stakeholders better </w:t>
      </w:r>
      <w:r>
        <w:rPr>
          <w:rFonts w:eastAsia="Calibri" w:cs="Arial"/>
          <w:szCs w:val="20"/>
          <w:lang w:val="en-US" w:eastAsia="en-US"/>
        </w:rPr>
        <w:t>understand</w:t>
      </w:r>
      <w:r w:rsidRPr="0010407D">
        <w:rPr>
          <w:rFonts w:eastAsia="Calibri" w:cs="Arial"/>
          <w:szCs w:val="20"/>
          <w:lang w:val="en-US" w:eastAsia="en-US"/>
        </w:rPr>
        <w:t xml:space="preserve"> the ACMA’s approach to the broadcasting code requirements. </w:t>
      </w:r>
      <w:r>
        <w:rPr>
          <w:rFonts w:eastAsia="Calibri" w:cs="Arial"/>
          <w:szCs w:val="20"/>
          <w:lang w:val="en-US" w:eastAsia="en-US"/>
        </w:rPr>
        <w:t xml:space="preserve">Topics included </w:t>
      </w:r>
      <w:r w:rsidRPr="0010407D">
        <w:rPr>
          <w:rFonts w:eastAsia="Calibri" w:cs="Arial"/>
          <w:szCs w:val="20"/>
          <w:lang w:val="en-US" w:eastAsia="en-US"/>
        </w:rPr>
        <w:t>‘Accuracy’; ‘Fairness, impartiality and viewpoints’ and ‘Decency, classification, and harm and offence’</w:t>
      </w:r>
      <w:r>
        <w:rPr>
          <w:rFonts w:eastAsia="Calibri" w:cs="Arial"/>
          <w:szCs w:val="20"/>
          <w:lang w:val="en-US" w:eastAsia="en-US"/>
        </w:rPr>
        <w:t>.</w:t>
      </w:r>
    </w:p>
    <w:p w14:paraId="6D18BF33" w14:textId="77777777" w:rsidR="00222E9F" w:rsidRPr="0010407D" w:rsidRDefault="00222E9F" w:rsidP="00222E9F">
      <w:pPr>
        <w:rPr>
          <w:rFonts w:eastAsia="Calibri" w:cs="Arial"/>
          <w:szCs w:val="20"/>
          <w:lang w:eastAsia="en-US"/>
        </w:rPr>
      </w:pPr>
      <w:r w:rsidRPr="0010407D">
        <w:rPr>
          <w:rFonts w:eastAsia="Calibri" w:cs="Arial"/>
          <w:szCs w:val="20"/>
          <w:lang w:val="en-US" w:eastAsia="en-US"/>
        </w:rPr>
        <w:t>Another key activity for the ACMA has been the body of work that began in 2010</w:t>
      </w:r>
      <w:r>
        <w:rPr>
          <w:rFonts w:eastAsia="Calibri" w:cs="Arial"/>
          <w:szCs w:val="20"/>
          <w:lang w:val="en-US" w:eastAsia="en-US"/>
        </w:rPr>
        <w:t xml:space="preserve"> with our </w:t>
      </w:r>
      <w:r w:rsidRPr="0010407D">
        <w:rPr>
          <w:rFonts w:eastAsia="Calibri" w:cs="Arial"/>
          <w:szCs w:val="20"/>
          <w:lang w:val="en-US" w:eastAsia="en-US"/>
        </w:rPr>
        <w:t>formal inquiry into customer service and complaints-handling in the telecommunications industry</w:t>
      </w:r>
      <w:r>
        <w:rPr>
          <w:rFonts w:eastAsia="Calibri" w:cs="Arial"/>
          <w:szCs w:val="20"/>
          <w:lang w:val="en-US" w:eastAsia="en-US"/>
        </w:rPr>
        <w:t>—</w:t>
      </w:r>
      <w:r w:rsidRPr="0010407D">
        <w:rPr>
          <w:rFonts w:eastAsia="Calibri" w:cs="Arial"/>
          <w:szCs w:val="20"/>
          <w:lang w:val="en-US" w:eastAsia="en-US"/>
        </w:rPr>
        <w:t xml:space="preserve">part of a broad strategy called </w:t>
      </w:r>
      <w:r w:rsidRPr="000D43D9">
        <w:rPr>
          <w:rFonts w:eastAsia="Calibri" w:cs="Arial"/>
          <w:i/>
          <w:szCs w:val="20"/>
          <w:lang w:val="en-US" w:eastAsia="en-US"/>
        </w:rPr>
        <w:t>Reconnecting the Customer</w:t>
      </w:r>
      <w:r w:rsidRPr="0010407D">
        <w:rPr>
          <w:rFonts w:eastAsia="Calibri" w:cs="Arial"/>
          <w:szCs w:val="20"/>
          <w:lang w:val="en-US" w:eastAsia="en-US"/>
        </w:rPr>
        <w:t xml:space="preserve"> (RTC)</w:t>
      </w:r>
      <w:r>
        <w:rPr>
          <w:rFonts w:eastAsia="Calibri" w:cs="Arial"/>
          <w:szCs w:val="20"/>
          <w:lang w:val="en-US" w:eastAsia="en-US"/>
        </w:rPr>
        <w:t xml:space="preserve">, the outcome of which was that </w:t>
      </w:r>
      <w:r w:rsidRPr="0010407D">
        <w:rPr>
          <w:rFonts w:eastAsia="Calibri" w:cs="Arial"/>
          <w:szCs w:val="20"/>
          <w:lang w:val="en-US" w:eastAsia="en-US"/>
        </w:rPr>
        <w:t>industry re-engage</w:t>
      </w:r>
      <w:r>
        <w:rPr>
          <w:rFonts w:eastAsia="Calibri" w:cs="Arial"/>
          <w:szCs w:val="20"/>
          <w:lang w:val="en-US" w:eastAsia="en-US"/>
        </w:rPr>
        <w:t>d</w:t>
      </w:r>
      <w:r w:rsidRPr="0010407D">
        <w:rPr>
          <w:rFonts w:eastAsia="Calibri" w:cs="Arial"/>
          <w:szCs w:val="20"/>
          <w:lang w:val="en-US" w:eastAsia="en-US"/>
        </w:rPr>
        <w:t xml:space="preserve"> with key consumer issues. Following </w:t>
      </w:r>
      <w:r>
        <w:rPr>
          <w:rFonts w:eastAsia="Calibri" w:cs="Arial"/>
          <w:szCs w:val="20"/>
          <w:lang w:val="en-US" w:eastAsia="en-US"/>
        </w:rPr>
        <w:t xml:space="preserve">a </w:t>
      </w:r>
      <w:r w:rsidRPr="0010407D">
        <w:rPr>
          <w:rFonts w:eastAsia="Calibri" w:cs="Arial"/>
          <w:szCs w:val="20"/>
          <w:lang w:val="en-US" w:eastAsia="en-US"/>
        </w:rPr>
        <w:t xml:space="preserve">groundbreaking report, </w:t>
      </w:r>
      <w:r>
        <w:rPr>
          <w:rFonts w:eastAsia="Calibri" w:cs="Arial"/>
          <w:szCs w:val="20"/>
          <w:lang w:val="en-US" w:eastAsia="en-US"/>
        </w:rPr>
        <w:t>the inquiry</w:t>
      </w:r>
      <w:r w:rsidRPr="0010407D">
        <w:rPr>
          <w:rFonts w:eastAsia="Calibri" w:cs="Arial"/>
          <w:szCs w:val="20"/>
          <w:lang w:val="en-US" w:eastAsia="en-US"/>
        </w:rPr>
        <w:t xml:space="preserve"> culminated </w:t>
      </w:r>
      <w:r>
        <w:rPr>
          <w:rFonts w:eastAsia="Calibri" w:cs="Arial"/>
          <w:szCs w:val="20"/>
          <w:lang w:val="en-US" w:eastAsia="en-US"/>
        </w:rPr>
        <w:t>in</w:t>
      </w:r>
      <w:r w:rsidRPr="0010407D">
        <w:rPr>
          <w:rFonts w:eastAsia="Calibri" w:cs="Arial"/>
          <w:szCs w:val="20"/>
          <w:lang w:val="en-US" w:eastAsia="en-US"/>
        </w:rPr>
        <w:t xml:space="preserve"> the registration of a new Telecommunications Consumer Protections (TCP) Code on 1 September 2012 </w:t>
      </w:r>
      <w:r w:rsidRPr="0010407D">
        <w:rPr>
          <w:rFonts w:eastAsia="Calibri" w:cs="Arial"/>
          <w:szCs w:val="20"/>
          <w:lang w:eastAsia="en-US"/>
        </w:rPr>
        <w:t xml:space="preserve">that has helped </w:t>
      </w:r>
      <w:r>
        <w:rPr>
          <w:rFonts w:eastAsia="Calibri" w:cs="Arial"/>
          <w:szCs w:val="20"/>
          <w:lang w:eastAsia="en-US"/>
        </w:rPr>
        <w:t xml:space="preserve">ever since </w:t>
      </w:r>
      <w:r w:rsidRPr="0010407D">
        <w:rPr>
          <w:rFonts w:eastAsia="Calibri" w:cs="Arial"/>
          <w:szCs w:val="20"/>
          <w:lang w:eastAsia="en-US"/>
        </w:rPr>
        <w:t xml:space="preserve">reset the norms of behaviour and customer service for the industry.  </w:t>
      </w:r>
    </w:p>
    <w:p w14:paraId="696C09C0" w14:textId="77777777" w:rsidR="00222E9F" w:rsidRPr="0010407D" w:rsidRDefault="00222E9F" w:rsidP="00222E9F">
      <w:pPr>
        <w:rPr>
          <w:rFonts w:eastAsia="Calibri" w:cs="Arial"/>
          <w:szCs w:val="20"/>
          <w:lang w:val="en-US" w:eastAsia="en-US"/>
        </w:rPr>
      </w:pPr>
      <w:r w:rsidRPr="00222E9F">
        <w:rPr>
          <w:rFonts w:eastAsia="Calibri"/>
          <w:lang w:eastAsia="en-US"/>
        </w:rPr>
        <w:t>Of</w:t>
      </w:r>
      <w:r w:rsidRPr="0010407D">
        <w:rPr>
          <w:rFonts w:eastAsia="Calibri" w:cs="Arial"/>
          <w:szCs w:val="20"/>
          <w:lang w:eastAsia="en-US"/>
        </w:rPr>
        <w:t xml:space="preserve"> course the </w:t>
      </w:r>
      <w:r>
        <w:rPr>
          <w:rFonts w:eastAsia="Calibri" w:cs="Arial"/>
          <w:szCs w:val="20"/>
          <w:lang w:eastAsia="en-US"/>
        </w:rPr>
        <w:t>TCP C</w:t>
      </w:r>
      <w:r w:rsidRPr="0010407D">
        <w:rPr>
          <w:rFonts w:eastAsia="Calibri" w:cs="Arial"/>
          <w:szCs w:val="20"/>
          <w:lang w:eastAsia="en-US"/>
        </w:rPr>
        <w:t>ode has not been the whole story</w:t>
      </w:r>
      <w:r>
        <w:rPr>
          <w:rFonts w:eastAsia="Calibri" w:cs="Arial"/>
          <w:szCs w:val="20"/>
          <w:lang w:eastAsia="en-US"/>
        </w:rPr>
        <w:t>. K</w:t>
      </w:r>
      <w:r w:rsidRPr="0010407D">
        <w:rPr>
          <w:rFonts w:eastAsia="Calibri" w:cs="Arial"/>
          <w:szCs w:val="20"/>
          <w:lang w:eastAsia="en-US"/>
        </w:rPr>
        <w:t>ey industry players have also stepped up to take customer service seriously and with a view to being a sustainable product and brand differentiator</w:t>
      </w:r>
      <w:r>
        <w:rPr>
          <w:rFonts w:eastAsia="Calibri" w:cs="Arial"/>
          <w:szCs w:val="20"/>
          <w:lang w:eastAsia="en-US"/>
        </w:rPr>
        <w:t>. This</w:t>
      </w:r>
      <w:r w:rsidRPr="0010407D">
        <w:rPr>
          <w:rFonts w:eastAsia="Calibri" w:cs="Arial"/>
          <w:szCs w:val="20"/>
          <w:lang w:eastAsia="en-US"/>
        </w:rPr>
        <w:t xml:space="preserve"> is now being dramatically reflected in statistics</w:t>
      </w:r>
      <w:r>
        <w:rPr>
          <w:rFonts w:eastAsia="Calibri" w:cs="Arial"/>
          <w:szCs w:val="20"/>
          <w:lang w:eastAsia="en-US"/>
        </w:rPr>
        <w:t xml:space="preserve"> from the Telecommunications Industry Ombudsman</w:t>
      </w:r>
      <w:r w:rsidR="00E975D6">
        <w:rPr>
          <w:rFonts w:eastAsia="Calibri" w:cs="Arial"/>
          <w:szCs w:val="20"/>
          <w:lang w:eastAsia="en-US"/>
        </w:rPr>
        <w:t xml:space="preserve"> (TIO)</w:t>
      </w:r>
      <w:r w:rsidRPr="0010407D">
        <w:rPr>
          <w:rFonts w:eastAsia="Calibri" w:cs="Arial"/>
          <w:szCs w:val="20"/>
          <w:lang w:eastAsia="en-US"/>
        </w:rPr>
        <w:t>. The ACMA has also not rested on its laurels</w:t>
      </w:r>
      <w:r>
        <w:rPr>
          <w:rFonts w:eastAsia="Calibri" w:cs="Arial"/>
          <w:szCs w:val="20"/>
          <w:lang w:eastAsia="en-US"/>
        </w:rPr>
        <w:t>,</w:t>
      </w:r>
      <w:r w:rsidRPr="0010407D">
        <w:rPr>
          <w:rFonts w:eastAsia="Calibri" w:cs="Arial"/>
          <w:szCs w:val="20"/>
          <w:lang w:eastAsia="en-US"/>
        </w:rPr>
        <w:t xml:space="preserve"> continu</w:t>
      </w:r>
      <w:r>
        <w:rPr>
          <w:rFonts w:eastAsia="Calibri" w:cs="Arial"/>
          <w:szCs w:val="20"/>
          <w:lang w:eastAsia="en-US"/>
        </w:rPr>
        <w:t xml:space="preserve">ing </w:t>
      </w:r>
      <w:r w:rsidRPr="0010407D">
        <w:rPr>
          <w:rFonts w:eastAsia="Calibri" w:cs="Arial"/>
          <w:szCs w:val="20"/>
          <w:lang w:eastAsia="en-US"/>
        </w:rPr>
        <w:t xml:space="preserve">with </w:t>
      </w:r>
      <w:r>
        <w:rPr>
          <w:rFonts w:eastAsia="Calibri" w:cs="Arial"/>
          <w:szCs w:val="20"/>
          <w:lang w:eastAsia="en-US"/>
        </w:rPr>
        <w:t xml:space="preserve">multi-faceted </w:t>
      </w:r>
      <w:r w:rsidRPr="0010407D">
        <w:rPr>
          <w:rFonts w:eastAsia="Calibri" w:cs="Arial"/>
          <w:szCs w:val="20"/>
          <w:lang w:eastAsia="en-US"/>
        </w:rPr>
        <w:t>compliance work over the last year in areas such as complaint</w:t>
      </w:r>
      <w:r>
        <w:rPr>
          <w:rFonts w:eastAsia="Calibri" w:cs="Arial"/>
          <w:szCs w:val="20"/>
          <w:lang w:eastAsia="en-US"/>
        </w:rPr>
        <w:t>s</w:t>
      </w:r>
      <w:r w:rsidRPr="0010407D">
        <w:rPr>
          <w:rFonts w:eastAsia="Calibri" w:cs="Arial"/>
          <w:szCs w:val="20"/>
          <w:lang w:eastAsia="en-US"/>
        </w:rPr>
        <w:t>-handling policy and practices</w:t>
      </w:r>
      <w:r>
        <w:rPr>
          <w:rFonts w:cs="Arial"/>
          <w:szCs w:val="20"/>
        </w:rPr>
        <w:t xml:space="preserve">; </w:t>
      </w:r>
      <w:r w:rsidRPr="0010407D">
        <w:rPr>
          <w:rFonts w:eastAsia="Calibri" w:cs="Arial"/>
          <w:szCs w:val="20"/>
          <w:lang w:eastAsia="en-US"/>
        </w:rPr>
        <w:t>usage alert</w:t>
      </w:r>
      <w:r w:rsidRPr="0010407D">
        <w:rPr>
          <w:rFonts w:cs="Arial"/>
          <w:szCs w:val="20"/>
        </w:rPr>
        <w:t xml:space="preserve"> </w:t>
      </w:r>
      <w:r w:rsidRPr="0010407D">
        <w:rPr>
          <w:rFonts w:eastAsia="Calibri" w:cs="Arial"/>
          <w:szCs w:val="20"/>
          <w:lang w:eastAsia="en-US"/>
        </w:rPr>
        <w:t>notifications for data, voice calls and SMS</w:t>
      </w:r>
      <w:r>
        <w:rPr>
          <w:rFonts w:eastAsia="Calibri" w:cs="Arial"/>
          <w:szCs w:val="20"/>
          <w:lang w:eastAsia="en-US"/>
        </w:rPr>
        <w:t>;</w:t>
      </w:r>
      <w:r w:rsidRPr="0010407D">
        <w:rPr>
          <w:rFonts w:eastAsia="Calibri" w:cs="Arial"/>
          <w:szCs w:val="20"/>
          <w:lang w:eastAsia="en-US"/>
        </w:rPr>
        <w:t xml:space="preserve"> lodgement of documents with the industry compliance body and </w:t>
      </w:r>
      <w:r>
        <w:rPr>
          <w:rFonts w:eastAsia="Calibri" w:cs="Arial"/>
          <w:szCs w:val="20"/>
          <w:lang w:eastAsia="en-US"/>
        </w:rPr>
        <w:t xml:space="preserve">the </w:t>
      </w:r>
      <w:r w:rsidRPr="0010407D">
        <w:rPr>
          <w:rFonts w:eastAsia="Calibri" w:cs="Arial"/>
          <w:szCs w:val="20"/>
          <w:lang w:eastAsia="en-US"/>
        </w:rPr>
        <w:t xml:space="preserve">provision of </w:t>
      </w:r>
      <w:r>
        <w:rPr>
          <w:rFonts w:eastAsia="Calibri" w:cs="Arial"/>
          <w:szCs w:val="20"/>
          <w:lang w:eastAsia="en-US"/>
        </w:rPr>
        <w:t>a c</w:t>
      </w:r>
      <w:r w:rsidRPr="0010407D">
        <w:rPr>
          <w:rFonts w:eastAsia="Calibri" w:cs="Arial"/>
          <w:szCs w:val="20"/>
          <w:lang w:eastAsia="en-US"/>
        </w:rPr>
        <w:t xml:space="preserve">ritical </w:t>
      </w:r>
      <w:r>
        <w:rPr>
          <w:rFonts w:eastAsia="Calibri" w:cs="Arial"/>
          <w:szCs w:val="20"/>
          <w:lang w:eastAsia="en-US"/>
        </w:rPr>
        <w:t>i</w:t>
      </w:r>
      <w:r w:rsidRPr="0010407D">
        <w:rPr>
          <w:rFonts w:eastAsia="Calibri" w:cs="Arial"/>
          <w:szCs w:val="20"/>
          <w:lang w:eastAsia="en-US"/>
        </w:rPr>
        <w:t xml:space="preserve">nformation </w:t>
      </w:r>
      <w:r>
        <w:rPr>
          <w:rFonts w:eastAsia="Calibri" w:cs="Arial"/>
          <w:szCs w:val="20"/>
          <w:lang w:eastAsia="en-US"/>
        </w:rPr>
        <w:t>s</w:t>
      </w:r>
      <w:r w:rsidRPr="0010407D">
        <w:rPr>
          <w:rFonts w:eastAsia="Calibri" w:cs="Arial"/>
          <w:szCs w:val="20"/>
          <w:lang w:eastAsia="en-US"/>
        </w:rPr>
        <w:t>ummary to customers.</w:t>
      </w:r>
      <w:r w:rsidRPr="0010407D">
        <w:rPr>
          <w:rFonts w:eastAsia="Calibri" w:cs="Arial"/>
          <w:szCs w:val="20"/>
          <w:lang w:val="en-US" w:eastAsia="en-US"/>
        </w:rPr>
        <w:t xml:space="preserve"> </w:t>
      </w:r>
    </w:p>
    <w:p w14:paraId="70BEFF43" w14:textId="3ED5D58A" w:rsidR="00222E9F" w:rsidRPr="0010407D" w:rsidRDefault="004D5065" w:rsidP="00222E9F">
      <w:pPr>
        <w:rPr>
          <w:rFonts w:eastAsia="Calibri" w:cs="Arial"/>
          <w:szCs w:val="20"/>
          <w:lang w:val="en-US" w:eastAsia="en-US"/>
        </w:rPr>
      </w:pPr>
      <w:r w:rsidRPr="003437C1">
        <w:rPr>
          <w:rFonts w:eastAsia="Calibri" w:cs="Arial"/>
          <w:szCs w:val="20"/>
          <w:lang w:val="en-US" w:eastAsia="en-US"/>
        </w:rPr>
        <w:t xml:space="preserve">The ACMA’s </w:t>
      </w:r>
      <w:r w:rsidR="00222E9F" w:rsidRPr="003437C1">
        <w:rPr>
          <w:rFonts w:eastAsia="Calibri" w:cs="Arial"/>
          <w:szCs w:val="20"/>
          <w:lang w:val="en-US" w:eastAsia="en-US"/>
        </w:rPr>
        <w:t>long-term strategic numbering work since 2010 includes remaking</w:t>
      </w:r>
      <w:r w:rsidR="00E60ED9" w:rsidRPr="003437C1">
        <w:rPr>
          <w:rFonts w:eastAsia="Calibri" w:cs="Arial"/>
          <w:szCs w:val="20"/>
          <w:lang w:val="en-US" w:eastAsia="en-US"/>
        </w:rPr>
        <w:t>, in 2015,</w:t>
      </w:r>
      <w:r w:rsidR="00222E9F" w:rsidRPr="003437C1">
        <w:rPr>
          <w:rFonts w:eastAsia="Calibri" w:cs="Arial"/>
          <w:szCs w:val="20"/>
          <w:lang w:val="en-US" w:eastAsia="en-US"/>
        </w:rPr>
        <w:t xml:space="preserve"> the</w:t>
      </w:r>
      <w:r w:rsidR="00222E9F" w:rsidRPr="0010407D">
        <w:rPr>
          <w:rFonts w:eastAsia="Calibri" w:cs="Arial"/>
          <w:szCs w:val="20"/>
          <w:lang w:val="en-US" w:eastAsia="en-US"/>
        </w:rPr>
        <w:t xml:space="preserve"> Telecommunications Numbering Plan (to provide flexible, efficient and effective numbering arrangements for the future communications environment) and outsourcing the ACMA’s numbering allocation and administrative services to ZOAK Solutions Pty Ltd (which </w:t>
      </w:r>
      <w:r w:rsidR="00222E9F">
        <w:rPr>
          <w:rFonts w:eastAsia="Calibri" w:cs="Arial"/>
          <w:szCs w:val="20"/>
          <w:lang w:val="en-US" w:eastAsia="en-US"/>
        </w:rPr>
        <w:t>will over time</w:t>
      </w:r>
      <w:r w:rsidR="00222E9F" w:rsidRPr="0010407D">
        <w:rPr>
          <w:rFonts w:eastAsia="Calibri" w:cs="Arial"/>
          <w:szCs w:val="20"/>
          <w:lang w:val="en-US" w:eastAsia="en-US"/>
        </w:rPr>
        <w:t xml:space="preserve"> deliver significant cost savings to industry).</w:t>
      </w:r>
    </w:p>
    <w:p w14:paraId="6A53987C" w14:textId="77777777" w:rsidR="00222E9F" w:rsidRPr="0010407D" w:rsidRDefault="00222E9F" w:rsidP="00222E9F">
      <w:pPr>
        <w:rPr>
          <w:rFonts w:eastAsia="Calibri" w:cs="Arial"/>
          <w:szCs w:val="20"/>
          <w:lang w:val="en-US" w:eastAsia="en-US"/>
        </w:rPr>
      </w:pPr>
      <w:r>
        <w:rPr>
          <w:rFonts w:eastAsia="Calibri" w:cs="Arial"/>
          <w:szCs w:val="20"/>
          <w:lang w:val="en-US" w:eastAsia="en-US"/>
        </w:rPr>
        <w:t>H</w:t>
      </w:r>
      <w:r w:rsidRPr="0010407D">
        <w:rPr>
          <w:rFonts w:eastAsia="Calibri" w:cs="Arial"/>
          <w:szCs w:val="20"/>
          <w:lang w:val="en-US" w:eastAsia="en-US"/>
        </w:rPr>
        <w:t xml:space="preserve">aving </w:t>
      </w:r>
      <w:r>
        <w:rPr>
          <w:rFonts w:eastAsia="Calibri" w:cs="Arial"/>
          <w:szCs w:val="20"/>
          <w:lang w:val="en-US" w:eastAsia="en-US"/>
        </w:rPr>
        <w:t xml:space="preserve">already </w:t>
      </w:r>
      <w:r w:rsidRPr="0010407D">
        <w:rPr>
          <w:rFonts w:eastAsia="Calibri" w:cs="Arial"/>
          <w:szCs w:val="20"/>
          <w:lang w:val="en-US" w:eastAsia="en-US"/>
        </w:rPr>
        <w:t xml:space="preserve">been a significant portfolio contributor to the </w:t>
      </w:r>
      <w:r>
        <w:rPr>
          <w:rFonts w:eastAsia="Calibri" w:cs="Arial"/>
          <w:szCs w:val="20"/>
          <w:lang w:val="en-US" w:eastAsia="en-US"/>
        </w:rPr>
        <w:t>g</w:t>
      </w:r>
      <w:r w:rsidRPr="0010407D">
        <w:rPr>
          <w:rFonts w:eastAsia="Calibri" w:cs="Arial"/>
          <w:szCs w:val="20"/>
          <w:lang w:val="en-US" w:eastAsia="en-US"/>
        </w:rPr>
        <w:t xml:space="preserve">overnment’s red-tape reduction </w:t>
      </w:r>
      <w:r>
        <w:rPr>
          <w:rFonts w:eastAsia="Calibri" w:cs="Arial"/>
          <w:szCs w:val="20"/>
          <w:lang w:val="en-US" w:eastAsia="en-US"/>
        </w:rPr>
        <w:t>program</w:t>
      </w:r>
      <w:r w:rsidRPr="0010407D">
        <w:rPr>
          <w:rFonts w:eastAsia="Calibri" w:cs="Arial"/>
          <w:szCs w:val="20"/>
          <w:lang w:val="en-US" w:eastAsia="en-US"/>
        </w:rPr>
        <w:t xml:space="preserve">, </w:t>
      </w:r>
      <w:r>
        <w:rPr>
          <w:rFonts w:eastAsia="Calibri" w:cs="Arial"/>
          <w:szCs w:val="20"/>
          <w:lang w:val="en-US" w:eastAsia="en-US"/>
        </w:rPr>
        <w:t>a</w:t>
      </w:r>
      <w:r w:rsidRPr="0010407D">
        <w:rPr>
          <w:rFonts w:eastAsia="Calibri" w:cs="Arial"/>
          <w:szCs w:val="20"/>
          <w:lang w:val="en-US" w:eastAsia="en-US"/>
        </w:rPr>
        <w:t>t the start of 2014</w:t>
      </w:r>
      <w:r>
        <w:rPr>
          <w:rFonts w:eastAsia="Calibri" w:cs="Arial"/>
          <w:szCs w:val="20"/>
          <w:lang w:val="en-US" w:eastAsia="en-US"/>
        </w:rPr>
        <w:t>–</w:t>
      </w:r>
      <w:r w:rsidRPr="0010407D">
        <w:rPr>
          <w:rFonts w:eastAsia="Calibri" w:cs="Arial"/>
          <w:szCs w:val="20"/>
          <w:lang w:val="en-US" w:eastAsia="en-US"/>
        </w:rPr>
        <w:t xml:space="preserve">15 the ACMA restructured to respond further to </w:t>
      </w:r>
      <w:r>
        <w:rPr>
          <w:rFonts w:eastAsia="Calibri" w:cs="Arial"/>
          <w:szCs w:val="20"/>
          <w:lang w:val="en-US" w:eastAsia="en-US"/>
        </w:rPr>
        <w:t>c</w:t>
      </w:r>
      <w:r w:rsidRPr="0010407D">
        <w:rPr>
          <w:rFonts w:eastAsia="Calibri" w:cs="Arial"/>
          <w:szCs w:val="20"/>
          <w:lang w:val="en-US" w:eastAsia="en-US"/>
        </w:rPr>
        <w:t xml:space="preserve">ontinued financial pressures and </w:t>
      </w:r>
      <w:r>
        <w:rPr>
          <w:rFonts w:eastAsia="Calibri" w:cs="Arial"/>
          <w:szCs w:val="20"/>
          <w:lang w:val="en-US" w:eastAsia="en-US"/>
        </w:rPr>
        <w:t>our dynamic</w:t>
      </w:r>
      <w:r w:rsidRPr="0010407D">
        <w:rPr>
          <w:rFonts w:eastAsia="Calibri" w:cs="Arial"/>
          <w:szCs w:val="20"/>
          <w:lang w:val="en-US" w:eastAsia="en-US"/>
        </w:rPr>
        <w:t xml:space="preserve"> role in the context of media and communications reform in Australia. The successful and relatively seamless implementation of this change, as well as various prior structural adjustments, </w:t>
      </w:r>
      <w:r>
        <w:rPr>
          <w:rFonts w:eastAsia="Calibri" w:cs="Arial"/>
          <w:szCs w:val="20"/>
          <w:lang w:val="en-US" w:eastAsia="en-US"/>
        </w:rPr>
        <w:t>highlights the</w:t>
      </w:r>
      <w:r w:rsidRPr="0010407D">
        <w:rPr>
          <w:rFonts w:eastAsia="Calibri" w:cs="Arial"/>
          <w:szCs w:val="20"/>
          <w:lang w:val="en-US" w:eastAsia="en-US"/>
        </w:rPr>
        <w:t xml:space="preserve"> </w:t>
      </w:r>
      <w:r>
        <w:rPr>
          <w:rFonts w:eastAsia="Calibri" w:cs="Arial"/>
          <w:szCs w:val="20"/>
          <w:lang w:val="en-US" w:eastAsia="en-US"/>
        </w:rPr>
        <w:t xml:space="preserve">ongoing </w:t>
      </w:r>
      <w:r w:rsidRPr="0010407D">
        <w:rPr>
          <w:rFonts w:eastAsia="Calibri" w:cs="Arial"/>
          <w:szCs w:val="20"/>
          <w:lang w:val="en-US" w:eastAsia="en-US"/>
        </w:rPr>
        <w:t xml:space="preserve">effectiveness of </w:t>
      </w:r>
      <w:r>
        <w:rPr>
          <w:rFonts w:eastAsia="Calibri" w:cs="Arial"/>
          <w:szCs w:val="20"/>
          <w:lang w:val="en-US" w:eastAsia="en-US"/>
        </w:rPr>
        <w:t>the ACMA’s</w:t>
      </w:r>
      <w:r w:rsidRPr="0010407D">
        <w:rPr>
          <w:rFonts w:eastAsia="Calibri" w:cs="Arial"/>
          <w:szCs w:val="20"/>
          <w:lang w:val="en-US" w:eastAsia="en-US"/>
        </w:rPr>
        <w:t xml:space="preserve"> transformational program, which was </w:t>
      </w:r>
      <w:r>
        <w:rPr>
          <w:rFonts w:eastAsia="Calibri" w:cs="Arial"/>
          <w:szCs w:val="20"/>
          <w:lang w:val="en-US" w:eastAsia="en-US"/>
        </w:rPr>
        <w:t xml:space="preserve">first </w:t>
      </w:r>
      <w:r w:rsidRPr="0010407D">
        <w:rPr>
          <w:rFonts w:eastAsia="Calibri" w:cs="Arial"/>
          <w:szCs w:val="20"/>
          <w:lang w:val="en-US" w:eastAsia="en-US"/>
        </w:rPr>
        <w:t xml:space="preserve">launched in 2007. </w:t>
      </w:r>
    </w:p>
    <w:p w14:paraId="240DC3A9" w14:textId="77777777" w:rsidR="00222E9F" w:rsidRPr="0010407D" w:rsidRDefault="00222E9F" w:rsidP="00222E9F">
      <w:pPr>
        <w:keepLines/>
        <w:rPr>
          <w:rFonts w:eastAsia="Calibri" w:cs="Arial"/>
          <w:bCs/>
          <w:szCs w:val="20"/>
          <w:lang w:eastAsia="en-US"/>
        </w:rPr>
      </w:pPr>
      <w:r w:rsidRPr="0010407D">
        <w:rPr>
          <w:rFonts w:eastAsia="Calibri" w:cs="Arial"/>
          <w:szCs w:val="20"/>
          <w:lang w:val="en-US" w:eastAsia="en-US"/>
        </w:rPr>
        <w:lastRenderedPageBreak/>
        <w:t xml:space="preserve">This </w:t>
      </w:r>
      <w:r w:rsidRPr="00222E9F">
        <w:rPr>
          <w:rFonts w:eastAsia="Calibri"/>
          <w:lang w:eastAsia="en-US"/>
        </w:rPr>
        <w:t>program</w:t>
      </w:r>
      <w:r w:rsidRPr="0010407D">
        <w:rPr>
          <w:rFonts w:eastAsia="Calibri" w:cs="Arial"/>
          <w:szCs w:val="20"/>
          <w:lang w:val="en-US" w:eastAsia="en-US"/>
        </w:rPr>
        <w:t xml:space="preserve"> has been a vigorous investment in leadership, </w:t>
      </w:r>
      <w:r>
        <w:rPr>
          <w:rFonts w:eastAsia="Calibri" w:cs="Arial"/>
          <w:szCs w:val="20"/>
          <w:lang w:val="en-US" w:eastAsia="en-US"/>
        </w:rPr>
        <w:t xml:space="preserve">a </w:t>
      </w:r>
      <w:r w:rsidRPr="0010407D">
        <w:rPr>
          <w:rFonts w:eastAsia="Calibri" w:cs="Arial"/>
          <w:szCs w:val="20"/>
          <w:lang w:val="en-US" w:eastAsia="en-US"/>
        </w:rPr>
        <w:t xml:space="preserve">reinvention of processes, </w:t>
      </w:r>
      <w:r>
        <w:rPr>
          <w:rFonts w:eastAsia="Calibri" w:cs="Arial"/>
          <w:szCs w:val="20"/>
          <w:lang w:val="en-US" w:eastAsia="en-US"/>
        </w:rPr>
        <w:t xml:space="preserve">the </w:t>
      </w:r>
      <w:r w:rsidRPr="0010407D">
        <w:rPr>
          <w:rFonts w:eastAsia="Calibri" w:cs="Arial"/>
          <w:szCs w:val="20"/>
          <w:lang w:val="en-US" w:eastAsia="en-US"/>
        </w:rPr>
        <w:t xml:space="preserve">eradication of legacy systems and a heightened focus on the policy context. </w:t>
      </w:r>
      <w:r>
        <w:rPr>
          <w:rFonts w:eastAsia="Calibri" w:cs="Arial"/>
          <w:szCs w:val="20"/>
          <w:lang w:val="en-US" w:eastAsia="en-US"/>
        </w:rPr>
        <w:t>H</w:t>
      </w:r>
      <w:r w:rsidRPr="0010407D">
        <w:rPr>
          <w:rFonts w:eastAsia="Calibri" w:cs="Arial"/>
          <w:szCs w:val="20"/>
          <w:lang w:val="en-US" w:eastAsia="en-US"/>
        </w:rPr>
        <w:t>av</w:t>
      </w:r>
      <w:r>
        <w:rPr>
          <w:rFonts w:eastAsia="Calibri" w:cs="Arial"/>
          <w:szCs w:val="20"/>
          <w:lang w:val="en-US" w:eastAsia="en-US"/>
        </w:rPr>
        <w:t xml:space="preserve">ing </w:t>
      </w:r>
      <w:r w:rsidRPr="0010407D">
        <w:rPr>
          <w:rFonts w:eastAsia="Calibri" w:cs="Arial"/>
          <w:szCs w:val="20"/>
          <w:lang w:val="en-US" w:eastAsia="en-US"/>
        </w:rPr>
        <w:t>placed a premium on agility and resilience</w:t>
      </w:r>
      <w:r>
        <w:rPr>
          <w:rFonts w:eastAsia="Calibri" w:cs="Arial"/>
          <w:szCs w:val="20"/>
          <w:lang w:val="en-US" w:eastAsia="en-US"/>
        </w:rPr>
        <w:t xml:space="preserve">, </w:t>
      </w:r>
      <w:r w:rsidRPr="0010407D">
        <w:rPr>
          <w:rFonts w:eastAsia="Calibri" w:cs="Arial"/>
          <w:szCs w:val="20"/>
          <w:lang w:val="en-US" w:eastAsia="en-US"/>
        </w:rPr>
        <w:t>I am pleased to report that the resultant organi</w:t>
      </w:r>
      <w:r>
        <w:rPr>
          <w:rFonts w:eastAsia="Calibri" w:cs="Arial"/>
          <w:szCs w:val="20"/>
          <w:lang w:val="en-US" w:eastAsia="en-US"/>
        </w:rPr>
        <w:t>s</w:t>
      </w:r>
      <w:r w:rsidRPr="0010407D">
        <w:rPr>
          <w:rFonts w:eastAsia="Calibri" w:cs="Arial"/>
          <w:szCs w:val="20"/>
          <w:lang w:val="en-US" w:eastAsia="en-US"/>
        </w:rPr>
        <w:t xml:space="preserve">ation has embraced </w:t>
      </w:r>
      <w:r w:rsidRPr="0010407D">
        <w:rPr>
          <w:rFonts w:eastAsia="Calibri" w:cs="Arial"/>
          <w:bCs/>
          <w:szCs w:val="20"/>
          <w:lang w:eastAsia="en-US"/>
        </w:rPr>
        <w:t>an outcome</w:t>
      </w:r>
      <w:r>
        <w:rPr>
          <w:rFonts w:eastAsia="Calibri" w:cs="Arial"/>
          <w:bCs/>
          <w:szCs w:val="20"/>
          <w:lang w:eastAsia="en-US"/>
        </w:rPr>
        <w:t>s</w:t>
      </w:r>
      <w:r w:rsidRPr="0010407D">
        <w:rPr>
          <w:rFonts w:eastAsia="Calibri" w:cs="Arial"/>
          <w:bCs/>
          <w:szCs w:val="20"/>
          <w:lang w:eastAsia="en-US"/>
        </w:rPr>
        <w:t xml:space="preserve"> focus and the application of innovative thinking to </w:t>
      </w:r>
      <w:r>
        <w:rPr>
          <w:rFonts w:eastAsia="Calibri" w:cs="Arial"/>
          <w:bCs/>
          <w:szCs w:val="20"/>
          <w:lang w:eastAsia="en-US"/>
        </w:rPr>
        <w:t>match</w:t>
      </w:r>
      <w:r w:rsidRPr="0010407D">
        <w:rPr>
          <w:rFonts w:eastAsia="Calibri" w:cs="Arial"/>
          <w:bCs/>
          <w:szCs w:val="20"/>
          <w:lang w:eastAsia="en-US"/>
        </w:rPr>
        <w:t xml:space="preserve"> the realities of an ever-changing environment. </w:t>
      </w:r>
    </w:p>
    <w:p w14:paraId="3F17F27A" w14:textId="77777777" w:rsidR="00222E9F" w:rsidRPr="0010407D" w:rsidRDefault="00222E9F" w:rsidP="00222E9F">
      <w:pPr>
        <w:rPr>
          <w:rFonts w:eastAsia="Calibri" w:cs="Arial"/>
          <w:szCs w:val="20"/>
          <w:lang w:val="en-US" w:eastAsia="en-US"/>
        </w:rPr>
      </w:pPr>
      <w:r w:rsidRPr="00222E9F">
        <w:rPr>
          <w:rFonts w:eastAsia="Calibri"/>
          <w:lang w:eastAsia="en-US"/>
        </w:rPr>
        <w:t>On</w:t>
      </w:r>
      <w:r w:rsidRPr="0010407D">
        <w:rPr>
          <w:rFonts w:eastAsia="Calibri" w:cs="Arial"/>
          <w:bCs/>
          <w:szCs w:val="20"/>
          <w:lang w:eastAsia="en-US"/>
        </w:rPr>
        <w:t xml:space="preserve"> a personal note, the level of engagement and commitment from the </w:t>
      </w:r>
      <w:r>
        <w:rPr>
          <w:rFonts w:eastAsia="Calibri" w:cs="Arial"/>
          <w:bCs/>
          <w:szCs w:val="20"/>
          <w:lang w:eastAsia="en-US"/>
        </w:rPr>
        <w:t xml:space="preserve">ACMA </w:t>
      </w:r>
      <w:r w:rsidRPr="0010407D">
        <w:rPr>
          <w:rFonts w:eastAsia="Calibri" w:cs="Arial"/>
          <w:bCs/>
          <w:szCs w:val="20"/>
          <w:lang w:eastAsia="en-US"/>
        </w:rPr>
        <w:t xml:space="preserve">staff and Members of the Authority through our transformation, as well as in </w:t>
      </w:r>
      <w:r>
        <w:rPr>
          <w:rFonts w:eastAsia="Calibri" w:cs="Arial"/>
          <w:bCs/>
          <w:szCs w:val="20"/>
          <w:lang w:eastAsia="en-US"/>
        </w:rPr>
        <w:t>our</w:t>
      </w:r>
      <w:r w:rsidRPr="0010407D">
        <w:rPr>
          <w:rFonts w:eastAsia="Calibri" w:cs="Arial"/>
          <w:bCs/>
          <w:szCs w:val="20"/>
          <w:lang w:eastAsia="en-US"/>
        </w:rPr>
        <w:t xml:space="preserve"> myriad other activities, has made</w:t>
      </w:r>
      <w:r w:rsidRPr="0010407D">
        <w:rPr>
          <w:rFonts w:eastAsia="Calibri" w:cs="Arial"/>
          <w:szCs w:val="20"/>
          <w:lang w:val="en-US" w:eastAsia="en-US"/>
        </w:rPr>
        <w:t xml:space="preserve"> the last </w:t>
      </w:r>
      <w:r>
        <w:rPr>
          <w:rFonts w:eastAsia="Calibri" w:cs="Arial"/>
          <w:szCs w:val="20"/>
          <w:lang w:val="en-US" w:eastAsia="en-US"/>
        </w:rPr>
        <w:t>10</w:t>
      </w:r>
      <w:r w:rsidRPr="0010407D">
        <w:rPr>
          <w:rFonts w:eastAsia="Calibri" w:cs="Arial"/>
          <w:szCs w:val="20"/>
          <w:lang w:val="en-US" w:eastAsia="en-US"/>
        </w:rPr>
        <w:t xml:space="preserve"> years the most professional</w:t>
      </w:r>
      <w:r>
        <w:rPr>
          <w:rFonts w:eastAsia="Calibri" w:cs="Arial"/>
          <w:szCs w:val="20"/>
          <w:lang w:val="en-US" w:eastAsia="en-US"/>
        </w:rPr>
        <w:t>ly</w:t>
      </w:r>
      <w:r w:rsidRPr="0010407D">
        <w:rPr>
          <w:rFonts w:eastAsia="Calibri" w:cs="Arial"/>
          <w:szCs w:val="20"/>
          <w:lang w:val="en-US" w:eastAsia="en-US"/>
        </w:rPr>
        <w:t xml:space="preserve"> interesting and stimulating of my career, and a delight to reflect on and report.</w:t>
      </w:r>
    </w:p>
    <w:p w14:paraId="14BE021F" w14:textId="77777777" w:rsidR="00222E9F" w:rsidRPr="0010407D" w:rsidRDefault="00222E9F" w:rsidP="00222E9F">
      <w:pPr>
        <w:rPr>
          <w:rFonts w:eastAsia="Calibri" w:cs="Arial"/>
          <w:szCs w:val="20"/>
          <w:lang w:eastAsia="en-US"/>
        </w:rPr>
      </w:pPr>
      <w:r w:rsidRPr="0010407D">
        <w:rPr>
          <w:rFonts w:eastAsia="Calibri" w:cs="Arial"/>
          <w:szCs w:val="20"/>
          <w:lang w:eastAsia="en-US"/>
        </w:rPr>
        <w:t>Chris Chapman</w:t>
      </w:r>
      <w:r>
        <w:rPr>
          <w:rFonts w:eastAsia="Calibri" w:cs="Arial"/>
          <w:szCs w:val="20"/>
          <w:lang w:eastAsia="en-US"/>
        </w:rPr>
        <w:br/>
      </w:r>
      <w:r w:rsidRPr="0010407D">
        <w:rPr>
          <w:rFonts w:eastAsia="Calibri" w:cs="Arial"/>
          <w:szCs w:val="20"/>
          <w:lang w:eastAsia="en-US"/>
        </w:rPr>
        <w:t>Chairman</w:t>
      </w:r>
    </w:p>
    <w:p w14:paraId="586423E5" w14:textId="77777777" w:rsidR="004B33A8" w:rsidRDefault="00356C79" w:rsidP="00996667">
      <w:pPr>
        <w:pStyle w:val="Heading1"/>
      </w:pPr>
      <w:bookmarkStart w:id="4" w:name="_Toc433703251"/>
      <w:r>
        <w:lastRenderedPageBreak/>
        <w:t>At a glance—</w:t>
      </w:r>
      <w:r>
        <w:br/>
        <w:t>s</w:t>
      </w:r>
      <w:r w:rsidR="00112324">
        <w:t>ignificant issues and developments</w:t>
      </w:r>
      <w:bookmarkEnd w:id="4"/>
    </w:p>
    <w:p w14:paraId="14C1F0B8" w14:textId="77777777" w:rsidR="004B33A8" w:rsidRPr="001E1D65" w:rsidRDefault="004B33A8" w:rsidP="004767D2">
      <w:pPr>
        <w:spacing w:after="0"/>
        <w:rPr>
          <w:b/>
        </w:rPr>
      </w:pPr>
      <w:r w:rsidRPr="001E1D65">
        <w:rPr>
          <w:b/>
        </w:rPr>
        <w:t>BROADCASTING</w:t>
      </w:r>
    </w:p>
    <w:p w14:paraId="6F3C853A" w14:textId="77777777" w:rsidR="004B33A8" w:rsidRPr="00996667" w:rsidRDefault="004B33A8" w:rsidP="00996667">
      <w:pPr>
        <w:spacing w:after="120"/>
        <w:rPr>
          <w:i/>
        </w:rPr>
      </w:pPr>
      <w:r w:rsidRPr="00996667">
        <w:rPr>
          <w:i/>
        </w:rPr>
        <w:t>Maintain effective broadcasting and community standards</w:t>
      </w:r>
    </w:p>
    <w:p w14:paraId="7FCFFFB9" w14:textId="48863407" w:rsidR="004B33A8" w:rsidRPr="00427CB4" w:rsidRDefault="004B33A8" w:rsidP="00427CB4">
      <w:pPr>
        <w:pStyle w:val="ListBullet"/>
        <w:rPr>
          <w:rStyle w:val="bodylight"/>
          <w:rFonts w:ascii="Arial" w:hAnsi="Arial" w:cs="Times New Roman"/>
          <w:i/>
        </w:rPr>
      </w:pPr>
      <w:r w:rsidRPr="00427CB4">
        <w:t>New</w:t>
      </w:r>
      <w:r w:rsidRPr="00996667">
        <w:rPr>
          <w:rStyle w:val="bodydark"/>
          <w:rFonts w:ascii="Arial" w:hAnsi="Arial" w:cs="Times New Roman"/>
        </w:rPr>
        <w:t xml:space="preserve"> broadcasting complaints processes</w:t>
      </w:r>
      <w:r w:rsidR="00583E1B">
        <w:rPr>
          <w:rStyle w:val="bodydark"/>
          <w:rFonts w:ascii="Arial" w:hAnsi="Arial" w:cs="Times New Roman"/>
        </w:rPr>
        <w:t>—see D</w:t>
      </w:r>
      <w:r w:rsidR="00427CB4">
        <w:rPr>
          <w:rStyle w:val="bodydark"/>
          <w:rFonts w:ascii="Arial" w:hAnsi="Arial" w:cs="Times New Roman"/>
        </w:rPr>
        <w:t xml:space="preserve">eliverable </w:t>
      </w:r>
      <w:hyperlink w:anchor="maintain_OV" w:history="1">
        <w:r w:rsidR="00427CB4" w:rsidRPr="00E90896">
          <w:rPr>
            <w:rStyle w:val="Hyperlink"/>
            <w:i/>
          </w:rPr>
          <w:t>Maint</w:t>
        </w:r>
        <w:r w:rsidR="00427CB4" w:rsidRPr="00E90896">
          <w:rPr>
            <w:rStyle w:val="Hyperlink"/>
            <w:i/>
          </w:rPr>
          <w:t>a</w:t>
        </w:r>
        <w:r w:rsidR="00427CB4" w:rsidRPr="00E90896">
          <w:rPr>
            <w:rStyle w:val="Hyperlink"/>
            <w:i/>
          </w:rPr>
          <w:t>in effective broadcasting and community standards</w:t>
        </w:r>
      </w:hyperlink>
      <w:r w:rsidR="00427CB4" w:rsidRPr="00427CB4">
        <w:rPr>
          <w:rStyle w:val="bodydark"/>
          <w:rFonts w:ascii="Arial" w:hAnsi="Arial" w:cs="Times New Roman"/>
          <w:i/>
        </w:rPr>
        <w:t xml:space="preserve"> </w:t>
      </w:r>
      <w:r w:rsidR="00427CB4">
        <w:rPr>
          <w:rStyle w:val="bodylight"/>
          <w:rFonts w:ascii="Arial" w:hAnsi="Arial" w:cs="Times New Roman"/>
        </w:rPr>
        <w:t xml:space="preserve">and </w:t>
      </w:r>
      <w:hyperlink w:anchor="Invest" w:history="1">
        <w:r w:rsidR="00427CB4" w:rsidRPr="00C744F2">
          <w:rPr>
            <w:rStyle w:val="Hyperlink"/>
            <w:i/>
          </w:rPr>
          <w:t>Inve</w:t>
        </w:r>
        <w:r w:rsidR="00427CB4" w:rsidRPr="00C744F2">
          <w:rPr>
            <w:rStyle w:val="Hyperlink"/>
            <w:i/>
          </w:rPr>
          <w:t>s</w:t>
        </w:r>
        <w:r w:rsidR="00427CB4" w:rsidRPr="00C744F2">
          <w:rPr>
            <w:rStyle w:val="Hyperlink"/>
            <w:i/>
          </w:rPr>
          <w:t>tigations conducted by the ACMA in 2014–15</w:t>
        </w:r>
      </w:hyperlink>
      <w:r w:rsidR="00427CB4" w:rsidRPr="00427CB4">
        <w:rPr>
          <w:rStyle w:val="bodylight"/>
          <w:rFonts w:ascii="Arial" w:hAnsi="Arial" w:cs="Times New Roman"/>
          <w:i/>
        </w:rPr>
        <w:t>.</w:t>
      </w:r>
      <w:r w:rsidR="00996667" w:rsidRPr="00427CB4">
        <w:rPr>
          <w:rStyle w:val="bodylight"/>
          <w:rFonts w:ascii="Arial" w:hAnsi="Arial" w:cs="Times New Roman"/>
        </w:rPr>
        <w:t xml:space="preserve"> </w:t>
      </w:r>
    </w:p>
    <w:p w14:paraId="69924D92" w14:textId="4F9D0801" w:rsidR="00996667" w:rsidRPr="00996667" w:rsidRDefault="00996667" w:rsidP="00996667">
      <w:pPr>
        <w:pStyle w:val="ListBullet"/>
        <w:rPr>
          <w:rStyle w:val="bodylight"/>
          <w:rFonts w:ascii="Arial" w:hAnsi="Arial" w:cs="Times New Roman"/>
        </w:rPr>
      </w:pPr>
      <w:r w:rsidRPr="00996667">
        <w:t>Industry review of the Commercial Television Industry Code of Practice 2010</w:t>
      </w:r>
      <w:r w:rsidRPr="00996667">
        <w:rPr>
          <w:rStyle w:val="bodylight"/>
          <w:rFonts w:ascii="Arial" w:hAnsi="Arial" w:cs="Times New Roman"/>
        </w:rPr>
        <w:t xml:space="preserve">, </w:t>
      </w:r>
      <w:r w:rsidR="00427CB4">
        <w:rPr>
          <w:rStyle w:val="bodylight"/>
          <w:rFonts w:ascii="Arial" w:hAnsi="Arial" w:cs="Times New Roman"/>
        </w:rPr>
        <w:t xml:space="preserve">see </w:t>
      </w:r>
      <w:hyperlink w:anchor="Code_rev" w:history="1">
        <w:r w:rsidR="00427CB4" w:rsidRPr="00694382">
          <w:rPr>
            <w:rStyle w:val="Hyperlink"/>
            <w:i/>
          </w:rPr>
          <w:t>Code re</w:t>
        </w:r>
        <w:r w:rsidR="00427CB4" w:rsidRPr="00694382">
          <w:rPr>
            <w:rStyle w:val="Hyperlink"/>
            <w:i/>
          </w:rPr>
          <w:t>v</w:t>
        </w:r>
        <w:r w:rsidR="00427CB4" w:rsidRPr="00694382">
          <w:rPr>
            <w:rStyle w:val="Hyperlink"/>
            <w:i/>
          </w:rPr>
          <w:t>iews</w:t>
        </w:r>
      </w:hyperlink>
      <w:r w:rsidR="00427CB4" w:rsidRPr="00427CB4">
        <w:rPr>
          <w:rStyle w:val="bodylight"/>
          <w:rFonts w:ascii="Arial" w:hAnsi="Arial" w:cs="Times New Roman"/>
        </w:rPr>
        <w:t>.</w:t>
      </w:r>
    </w:p>
    <w:p w14:paraId="2CB6D380" w14:textId="497F01F8" w:rsidR="00996667" w:rsidRPr="00996667" w:rsidRDefault="00996667" w:rsidP="00996667">
      <w:pPr>
        <w:pStyle w:val="ListBullet"/>
        <w:spacing w:after="240"/>
        <w:rPr>
          <w:rStyle w:val="bodylight"/>
          <w:rFonts w:ascii="Arial" w:hAnsi="Arial" w:cs="Times New Roman"/>
        </w:rPr>
      </w:pPr>
      <w:r w:rsidRPr="00996667">
        <w:rPr>
          <w:rStyle w:val="bodydark"/>
          <w:rFonts w:ascii="Arial" w:hAnsi="Arial" w:cs="Times New Roman"/>
        </w:rPr>
        <w:t>High Court of Australia judgement</w:t>
      </w:r>
      <w:r w:rsidRPr="00996667">
        <w:t xml:space="preserve">, </w:t>
      </w:r>
      <w:r w:rsidR="00427CB4">
        <w:t xml:space="preserve">see </w:t>
      </w:r>
      <w:r w:rsidRPr="00996667">
        <w:t xml:space="preserve">Appendix </w:t>
      </w:r>
      <w:r>
        <w:t>12</w:t>
      </w:r>
      <w:r w:rsidR="00583E1B">
        <w:t xml:space="preserve"> (refer to PDF)</w:t>
      </w:r>
      <w:r w:rsidR="00427CB4">
        <w:t>.</w:t>
      </w:r>
    </w:p>
    <w:p w14:paraId="7CDC99D5" w14:textId="77777777" w:rsidR="004B33A8" w:rsidRPr="001E1D65" w:rsidRDefault="004B33A8" w:rsidP="004767D2">
      <w:pPr>
        <w:spacing w:after="0"/>
        <w:rPr>
          <w:b/>
        </w:rPr>
      </w:pPr>
      <w:r w:rsidRPr="001E1D65">
        <w:rPr>
          <w:b/>
        </w:rPr>
        <w:t>TELECOMMUNICATIONS</w:t>
      </w:r>
    </w:p>
    <w:p w14:paraId="36067365" w14:textId="77777777" w:rsidR="004B33A8" w:rsidRPr="00996667" w:rsidRDefault="004B33A8" w:rsidP="00996667">
      <w:pPr>
        <w:spacing w:after="120"/>
        <w:rPr>
          <w:i/>
        </w:rPr>
      </w:pPr>
      <w:r w:rsidRPr="00996667">
        <w:rPr>
          <w:i/>
        </w:rPr>
        <w:t>Promotion of competition, efficiency and innovation in the Australian telecommunications industry</w:t>
      </w:r>
    </w:p>
    <w:p w14:paraId="3085BCA3" w14:textId="77777777" w:rsidR="004B33A8" w:rsidRPr="00996667" w:rsidRDefault="004B33A8" w:rsidP="00996667">
      <w:pPr>
        <w:spacing w:after="120"/>
        <w:rPr>
          <w:i/>
        </w:rPr>
      </w:pPr>
      <w:r w:rsidRPr="00996667">
        <w:rPr>
          <w:i/>
        </w:rPr>
        <w:t>Maintain effective telecommunications safeguards</w:t>
      </w:r>
    </w:p>
    <w:p w14:paraId="15A295FB" w14:textId="5648EDE5" w:rsidR="004B33A8" w:rsidRDefault="004B33A8" w:rsidP="00996667">
      <w:pPr>
        <w:pStyle w:val="ListBullet"/>
        <w:rPr>
          <w:rFonts w:ascii="HelveticaNeueLT Std Lt" w:hAnsi="HelveticaNeueLT Std Lt" w:cs="HelveticaNeueLT Std Lt"/>
        </w:rPr>
      </w:pPr>
      <w:r>
        <w:t>Numbering reform,</w:t>
      </w:r>
      <w:r w:rsidR="00427CB4">
        <w:t xml:space="preserve"> see </w:t>
      </w:r>
      <w:hyperlink w:anchor="Num_ref" w:history="1">
        <w:r w:rsidR="00427CB4" w:rsidRPr="00694382">
          <w:rPr>
            <w:rStyle w:val="Hyperlink"/>
            <w:i/>
          </w:rPr>
          <w:t>Numberi</w:t>
        </w:r>
        <w:r w:rsidR="00427CB4" w:rsidRPr="00694382">
          <w:rPr>
            <w:rStyle w:val="Hyperlink"/>
            <w:i/>
          </w:rPr>
          <w:t>n</w:t>
        </w:r>
        <w:r w:rsidR="00427CB4" w:rsidRPr="00694382">
          <w:rPr>
            <w:rStyle w:val="Hyperlink"/>
            <w:i/>
          </w:rPr>
          <w:t>g reform activities</w:t>
        </w:r>
      </w:hyperlink>
      <w:r w:rsidR="00427CB4">
        <w:rPr>
          <w:rFonts w:ascii="HelveticaNeueLT Std Lt" w:hAnsi="HelveticaNeueLT Std Lt" w:cs="HelveticaNeueLT Std Lt"/>
        </w:rPr>
        <w:t>.</w:t>
      </w:r>
    </w:p>
    <w:p w14:paraId="19606CB7" w14:textId="46DB5ABC" w:rsidR="004B33A8" w:rsidRPr="00996667" w:rsidRDefault="004B33A8" w:rsidP="00996667">
      <w:pPr>
        <w:pStyle w:val="ListBullet"/>
      </w:pPr>
      <w:r w:rsidRPr="00996667">
        <w:rPr>
          <w:rStyle w:val="bodydark"/>
          <w:rFonts w:ascii="Arial" w:hAnsi="Arial" w:cs="Times New Roman"/>
        </w:rPr>
        <w:t>New arrangements for mobile calls to 1800 and 13/1300 numbers</w:t>
      </w:r>
      <w:r w:rsidRPr="00996667">
        <w:t>,</w:t>
      </w:r>
      <w:r w:rsidR="00427CB4">
        <w:t xml:space="preserve"> see </w:t>
      </w:r>
      <w:hyperlink w:anchor="new_arr" w:history="1">
        <w:r w:rsidR="00427CB4" w:rsidRPr="00694382">
          <w:rPr>
            <w:rStyle w:val="Hyperlink"/>
            <w:i/>
          </w:rPr>
          <w:t>New arrangements for mob</w:t>
        </w:r>
        <w:r w:rsidR="00427CB4" w:rsidRPr="00694382">
          <w:rPr>
            <w:rStyle w:val="Hyperlink"/>
            <w:i/>
          </w:rPr>
          <w:t>i</w:t>
        </w:r>
        <w:r w:rsidR="00427CB4" w:rsidRPr="00694382">
          <w:rPr>
            <w:rStyle w:val="Hyperlink"/>
            <w:i/>
          </w:rPr>
          <w:t>le calls to 1800 and 13/1300 numbers</w:t>
        </w:r>
      </w:hyperlink>
      <w:r w:rsidR="002554CB" w:rsidRPr="002554CB">
        <w:rPr>
          <w:rStyle w:val="bodylight"/>
          <w:rFonts w:ascii="Arial" w:hAnsi="Arial" w:cs="Times New Roman"/>
        </w:rPr>
        <w:t>.</w:t>
      </w:r>
    </w:p>
    <w:p w14:paraId="23377A9B" w14:textId="5F86BD31" w:rsidR="004B33A8" w:rsidRPr="002554CB" w:rsidRDefault="004B33A8" w:rsidP="00996667">
      <w:pPr>
        <w:pStyle w:val="ListBullet"/>
        <w:spacing w:after="240"/>
        <w:rPr>
          <w:rStyle w:val="bodylight"/>
          <w:rFonts w:ascii="Arial" w:hAnsi="Arial" w:cs="Times New Roman"/>
        </w:rPr>
      </w:pPr>
      <w:r w:rsidRPr="00996667">
        <w:rPr>
          <w:rStyle w:val="bodydark"/>
          <w:rFonts w:ascii="Arial" w:hAnsi="Arial" w:cs="Times New Roman"/>
        </w:rPr>
        <w:t>TCP Code compliance,</w:t>
      </w:r>
      <w:r w:rsidR="002554CB">
        <w:rPr>
          <w:rStyle w:val="bodylight"/>
          <w:rFonts w:ascii="Arial" w:hAnsi="Arial" w:cs="Times New Roman"/>
        </w:rPr>
        <w:t xml:space="preserve"> see </w:t>
      </w:r>
      <w:r w:rsidR="002554CB" w:rsidRPr="00694382">
        <w:rPr>
          <w:rStyle w:val="bodylight"/>
          <w:rFonts w:ascii="Arial" w:hAnsi="Arial" w:cs="Times New Roman"/>
        </w:rPr>
        <w:t>Deliverable</w:t>
      </w:r>
      <w:r w:rsidR="002554CB" w:rsidRPr="002554CB">
        <w:rPr>
          <w:rStyle w:val="bodylight"/>
          <w:rFonts w:ascii="Arial" w:hAnsi="Arial" w:cs="Times New Roman"/>
          <w:i/>
        </w:rPr>
        <w:t xml:space="preserve"> </w:t>
      </w:r>
      <w:hyperlink w:anchor="Main_telco" w:history="1">
        <w:r w:rsidR="002554CB" w:rsidRPr="00694382">
          <w:rPr>
            <w:rStyle w:val="Hyperlink"/>
            <w:i/>
          </w:rPr>
          <w:t>Maint</w:t>
        </w:r>
        <w:r w:rsidR="002554CB" w:rsidRPr="00694382">
          <w:rPr>
            <w:rStyle w:val="Hyperlink"/>
            <w:i/>
          </w:rPr>
          <w:t>a</w:t>
        </w:r>
        <w:r w:rsidR="002554CB" w:rsidRPr="00694382">
          <w:rPr>
            <w:rStyle w:val="Hyperlink"/>
            <w:i/>
          </w:rPr>
          <w:t>in effective telecommunications safeguards</w:t>
        </w:r>
      </w:hyperlink>
      <w:r w:rsidR="002554CB">
        <w:rPr>
          <w:rStyle w:val="bodylight"/>
          <w:rFonts w:ascii="Arial" w:hAnsi="Arial" w:cs="Times New Roman"/>
          <w:i/>
        </w:rPr>
        <w:t xml:space="preserve"> </w:t>
      </w:r>
      <w:r w:rsidR="002554CB" w:rsidRPr="002554CB">
        <w:rPr>
          <w:rStyle w:val="bodylight"/>
          <w:rFonts w:ascii="Arial" w:hAnsi="Arial" w:cs="Times New Roman"/>
        </w:rPr>
        <w:t xml:space="preserve">and </w:t>
      </w:r>
      <w:hyperlink w:anchor="TCP_Code" w:history="1">
        <w:r w:rsidR="002554CB" w:rsidRPr="00694382">
          <w:rPr>
            <w:rStyle w:val="Hyperlink"/>
            <w:i/>
          </w:rPr>
          <w:t>The TCP C</w:t>
        </w:r>
        <w:r w:rsidR="002554CB" w:rsidRPr="00694382">
          <w:rPr>
            <w:rStyle w:val="Hyperlink"/>
            <w:i/>
          </w:rPr>
          <w:t>o</w:t>
        </w:r>
        <w:r w:rsidR="002554CB" w:rsidRPr="00694382">
          <w:rPr>
            <w:rStyle w:val="Hyperlink"/>
            <w:i/>
          </w:rPr>
          <w:t>de</w:t>
        </w:r>
      </w:hyperlink>
      <w:r w:rsidR="002554CB">
        <w:rPr>
          <w:rStyle w:val="bodylight"/>
          <w:rFonts w:ascii="Arial" w:hAnsi="Arial" w:cs="Times New Roman"/>
        </w:rPr>
        <w:t>.</w:t>
      </w:r>
    </w:p>
    <w:p w14:paraId="226742C9" w14:textId="77777777" w:rsidR="004B33A8" w:rsidRPr="001E1D65" w:rsidRDefault="004B33A8" w:rsidP="004767D2">
      <w:pPr>
        <w:spacing w:after="0"/>
        <w:rPr>
          <w:b/>
        </w:rPr>
      </w:pPr>
      <w:r w:rsidRPr="001E1D65">
        <w:rPr>
          <w:b/>
        </w:rPr>
        <w:t>SPECTRUM MANAGEMENT</w:t>
      </w:r>
    </w:p>
    <w:p w14:paraId="6E79CE84" w14:textId="77777777" w:rsidR="004B33A8" w:rsidRPr="00996667" w:rsidRDefault="004B33A8" w:rsidP="00583E1B">
      <w:pPr>
        <w:spacing w:after="80"/>
        <w:rPr>
          <w:i/>
        </w:rPr>
      </w:pPr>
      <w:r w:rsidRPr="00996667">
        <w:rPr>
          <w:i/>
        </w:rPr>
        <w:t>Effective allocation and use of the radiofrequency spectrum</w:t>
      </w:r>
    </w:p>
    <w:p w14:paraId="51F49251" w14:textId="77777777" w:rsidR="004B33A8" w:rsidRPr="00996667" w:rsidRDefault="004B33A8" w:rsidP="00996667">
      <w:pPr>
        <w:spacing w:after="120"/>
        <w:rPr>
          <w:i/>
        </w:rPr>
      </w:pPr>
      <w:r w:rsidRPr="00996667">
        <w:rPr>
          <w:i/>
        </w:rPr>
        <w:t>Minimisation of unacceptable interference to radiocommunications</w:t>
      </w:r>
    </w:p>
    <w:p w14:paraId="2E9E0AB7" w14:textId="7778E5C2" w:rsidR="00124637" w:rsidRPr="002554CB" w:rsidRDefault="00124637" w:rsidP="00124637">
      <w:pPr>
        <w:pStyle w:val="ListBullet"/>
      </w:pPr>
      <w:r w:rsidRPr="00996667">
        <w:t>Early access to the 700 MHz band</w:t>
      </w:r>
      <w:r w:rsidRPr="002554CB">
        <w:t xml:space="preserve">, </w:t>
      </w:r>
      <w:r w:rsidR="002554CB">
        <w:t xml:space="preserve">see Deliverable </w:t>
      </w:r>
      <w:hyperlink w:anchor="Effect_radio" w:history="1">
        <w:r w:rsidR="002554CB" w:rsidRPr="00E90896">
          <w:rPr>
            <w:rStyle w:val="Hyperlink"/>
            <w:i/>
          </w:rPr>
          <w:t>Effecti</w:t>
        </w:r>
        <w:r w:rsidR="002554CB" w:rsidRPr="00E90896">
          <w:rPr>
            <w:rStyle w:val="Hyperlink"/>
            <w:i/>
          </w:rPr>
          <w:t>v</w:t>
        </w:r>
        <w:r w:rsidR="002554CB" w:rsidRPr="00E90896">
          <w:rPr>
            <w:rStyle w:val="Hyperlink"/>
            <w:i/>
          </w:rPr>
          <w:t>e allocation and use of the radiofrequency spectrum</w:t>
        </w:r>
      </w:hyperlink>
      <w:r w:rsidR="002554CB" w:rsidRPr="002554CB">
        <w:t xml:space="preserve"> </w:t>
      </w:r>
      <w:r w:rsidR="002554CB">
        <w:t xml:space="preserve">and </w:t>
      </w:r>
      <w:hyperlink w:anchor="early_700" w:history="1">
        <w:r w:rsidR="002554CB" w:rsidRPr="00E90896">
          <w:rPr>
            <w:rStyle w:val="Hyperlink"/>
            <w:i/>
          </w:rPr>
          <w:t>Early a</w:t>
        </w:r>
        <w:r w:rsidR="002554CB" w:rsidRPr="00E90896">
          <w:rPr>
            <w:rStyle w:val="Hyperlink"/>
            <w:i/>
          </w:rPr>
          <w:t>c</w:t>
        </w:r>
        <w:r w:rsidR="002554CB" w:rsidRPr="00E90896">
          <w:rPr>
            <w:rStyle w:val="Hyperlink"/>
            <w:i/>
          </w:rPr>
          <w:t>cess to the 700 MHz band</w:t>
        </w:r>
      </w:hyperlink>
      <w:r w:rsidR="002554CB">
        <w:t>.</w:t>
      </w:r>
    </w:p>
    <w:p w14:paraId="000DC76E" w14:textId="74134A32" w:rsidR="004B33A8" w:rsidRPr="002554CB" w:rsidRDefault="004B33A8" w:rsidP="004B33A8">
      <w:pPr>
        <w:pStyle w:val="ListBullet"/>
        <w:rPr>
          <w:rStyle w:val="bodylight"/>
          <w:rFonts w:ascii="Arial" w:hAnsi="Arial" w:cs="Times New Roman"/>
        </w:rPr>
      </w:pPr>
      <w:r w:rsidRPr="002554CB">
        <w:t xml:space="preserve">Access to the 1800 MHz band, </w:t>
      </w:r>
      <w:r w:rsidR="002554CB">
        <w:t xml:space="preserve">see Deliverable </w:t>
      </w:r>
      <w:hyperlink w:anchor="Effect_radio" w:history="1">
        <w:r w:rsidR="002554CB" w:rsidRPr="00E90896">
          <w:rPr>
            <w:rStyle w:val="Hyperlink"/>
            <w:i/>
          </w:rPr>
          <w:t>Effective alloca</w:t>
        </w:r>
        <w:r w:rsidR="002554CB" w:rsidRPr="00E90896">
          <w:rPr>
            <w:rStyle w:val="Hyperlink"/>
            <w:i/>
          </w:rPr>
          <w:t>t</w:t>
        </w:r>
        <w:r w:rsidR="002554CB" w:rsidRPr="00E90896">
          <w:rPr>
            <w:rStyle w:val="Hyperlink"/>
            <w:i/>
          </w:rPr>
          <w:t>ion and use of the radiofrequency spectrum</w:t>
        </w:r>
      </w:hyperlink>
      <w:r w:rsidR="002554CB" w:rsidRPr="002554CB">
        <w:t xml:space="preserve"> </w:t>
      </w:r>
      <w:r w:rsidR="002554CB">
        <w:t xml:space="preserve">and </w:t>
      </w:r>
      <w:hyperlink w:anchor="band_1800" w:history="1">
        <w:r w:rsidR="002554CB" w:rsidRPr="00E90896">
          <w:rPr>
            <w:rStyle w:val="Hyperlink"/>
            <w:i/>
          </w:rPr>
          <w:t xml:space="preserve">1800 </w:t>
        </w:r>
        <w:r w:rsidR="002554CB" w:rsidRPr="00E90896">
          <w:rPr>
            <w:rStyle w:val="Hyperlink"/>
            <w:i/>
          </w:rPr>
          <w:t>M</w:t>
        </w:r>
        <w:r w:rsidR="002554CB" w:rsidRPr="00E90896">
          <w:rPr>
            <w:rStyle w:val="Hyperlink"/>
            <w:i/>
          </w:rPr>
          <w:t>Hz band</w:t>
        </w:r>
      </w:hyperlink>
      <w:r w:rsidR="002554CB">
        <w:t>.</w:t>
      </w:r>
    </w:p>
    <w:p w14:paraId="2BA87C3D" w14:textId="231250C9" w:rsidR="004B33A8" w:rsidRPr="002554CB" w:rsidRDefault="00996667" w:rsidP="00996667">
      <w:pPr>
        <w:pStyle w:val="ListBullet"/>
        <w:spacing w:after="240"/>
        <w:rPr>
          <w:rStyle w:val="bodylight"/>
          <w:rFonts w:ascii="Arial" w:hAnsi="Arial" w:cs="Times New Roman"/>
        </w:rPr>
      </w:pPr>
      <w:r w:rsidRPr="002554CB">
        <w:t xml:space="preserve">MOU with ARPANSA, </w:t>
      </w:r>
      <w:r w:rsidR="002554CB">
        <w:rPr>
          <w:rStyle w:val="bodylight"/>
          <w:rFonts w:ascii="Arial" w:hAnsi="Arial" w:cs="Times New Roman"/>
        </w:rPr>
        <w:t xml:space="preserve">see </w:t>
      </w:r>
      <w:hyperlink w:anchor="Elec_ener" w:history="1">
        <w:r w:rsidR="002554CB" w:rsidRPr="00E90896">
          <w:rPr>
            <w:rStyle w:val="Hyperlink"/>
            <w:i/>
          </w:rPr>
          <w:t>Electromagnetic e</w:t>
        </w:r>
        <w:r w:rsidR="002554CB" w:rsidRPr="00E90896">
          <w:rPr>
            <w:rStyle w:val="Hyperlink"/>
            <w:i/>
          </w:rPr>
          <w:t>n</w:t>
        </w:r>
        <w:r w:rsidR="002554CB" w:rsidRPr="00E90896">
          <w:rPr>
            <w:rStyle w:val="Hyperlink"/>
            <w:i/>
          </w:rPr>
          <w:t>ergy</w:t>
        </w:r>
      </w:hyperlink>
      <w:r w:rsidR="002554CB">
        <w:rPr>
          <w:rStyle w:val="bodylight"/>
          <w:rFonts w:ascii="Arial" w:hAnsi="Arial" w:cs="Times New Roman"/>
          <w:i/>
        </w:rPr>
        <w:t>.</w:t>
      </w:r>
    </w:p>
    <w:p w14:paraId="79B2E941" w14:textId="77777777" w:rsidR="004B33A8" w:rsidRPr="001E1D65" w:rsidRDefault="004B33A8" w:rsidP="004767D2">
      <w:pPr>
        <w:spacing w:after="0"/>
        <w:rPr>
          <w:b/>
        </w:rPr>
      </w:pPr>
      <w:r w:rsidRPr="001E1D65">
        <w:rPr>
          <w:b/>
        </w:rPr>
        <w:t>THE INFORMATION ECONOMY</w:t>
      </w:r>
    </w:p>
    <w:p w14:paraId="5FAB59D3" w14:textId="77777777" w:rsidR="004B33A8" w:rsidRPr="00996667" w:rsidRDefault="004B33A8" w:rsidP="00996667">
      <w:pPr>
        <w:pStyle w:val="ListBullet"/>
        <w:numPr>
          <w:ilvl w:val="0"/>
          <w:numId w:val="0"/>
        </w:numPr>
        <w:ind w:left="295" w:hanging="295"/>
        <w:rPr>
          <w:i/>
        </w:rPr>
      </w:pPr>
      <w:r w:rsidRPr="00996667">
        <w:rPr>
          <w:i/>
        </w:rPr>
        <w:t>Promote engagement in the information economy and evolving networked society</w:t>
      </w:r>
    </w:p>
    <w:p w14:paraId="4BA1CD31" w14:textId="527820E4" w:rsidR="004B33A8" w:rsidRPr="002554CB" w:rsidRDefault="004B33A8" w:rsidP="002554CB">
      <w:pPr>
        <w:pStyle w:val="ListBullet"/>
        <w:rPr>
          <w:rStyle w:val="bodylight"/>
          <w:rFonts w:ascii="Arial" w:hAnsi="Arial" w:cs="Times New Roman"/>
          <w:i/>
        </w:rPr>
      </w:pPr>
      <w:r>
        <w:t xml:space="preserve">AISI portal, </w:t>
      </w:r>
      <w:r w:rsidR="002554CB">
        <w:t xml:space="preserve">see Deliverable </w:t>
      </w:r>
      <w:hyperlink w:anchor="promote_Ov" w:history="1">
        <w:r w:rsidR="002554CB" w:rsidRPr="00E90896">
          <w:rPr>
            <w:rStyle w:val="Hyperlink"/>
            <w:i/>
          </w:rPr>
          <w:t>Promote e</w:t>
        </w:r>
        <w:r w:rsidR="002554CB" w:rsidRPr="00E90896">
          <w:rPr>
            <w:rStyle w:val="Hyperlink"/>
            <w:i/>
          </w:rPr>
          <w:t>n</w:t>
        </w:r>
        <w:r w:rsidR="002554CB" w:rsidRPr="00E90896">
          <w:rPr>
            <w:rStyle w:val="Hyperlink"/>
            <w:i/>
          </w:rPr>
          <w:t>gagement in the information economy and evolving networked society</w:t>
        </w:r>
      </w:hyperlink>
      <w:r w:rsidR="002554CB">
        <w:rPr>
          <w:i/>
        </w:rPr>
        <w:t xml:space="preserve"> </w:t>
      </w:r>
      <w:r w:rsidR="002554CB" w:rsidRPr="002554CB">
        <w:t xml:space="preserve">and </w:t>
      </w:r>
      <w:hyperlink w:anchor="cybersecurity" w:history="1">
        <w:r w:rsidR="002554CB" w:rsidRPr="00E90896">
          <w:rPr>
            <w:rStyle w:val="Hyperlink"/>
            <w:i/>
          </w:rPr>
          <w:t>Cyber</w:t>
        </w:r>
        <w:r w:rsidR="002554CB" w:rsidRPr="00E90896">
          <w:rPr>
            <w:rStyle w:val="Hyperlink"/>
            <w:i/>
          </w:rPr>
          <w:t>s</w:t>
        </w:r>
        <w:r w:rsidR="002554CB" w:rsidRPr="00E90896">
          <w:rPr>
            <w:rStyle w:val="Hyperlink"/>
            <w:i/>
          </w:rPr>
          <w:t>ecurity</w:t>
        </w:r>
      </w:hyperlink>
      <w:r w:rsidR="00E90896">
        <w:rPr>
          <w:i/>
        </w:rPr>
        <w:t>.</w:t>
      </w:r>
    </w:p>
    <w:p w14:paraId="1949ACF7" w14:textId="602BA684" w:rsidR="004B33A8" w:rsidRPr="00996667" w:rsidRDefault="004B33A8" w:rsidP="002554CB">
      <w:pPr>
        <w:pStyle w:val="ListBullet"/>
      </w:pPr>
      <w:r w:rsidRPr="00996667">
        <w:t>Cybersmart program</w:t>
      </w:r>
      <w:r>
        <w:t>,</w:t>
      </w:r>
      <w:r w:rsidR="002554CB">
        <w:t xml:space="preserve"> see </w:t>
      </w:r>
      <w:hyperlink w:anchor="Cybersafety" w:history="1">
        <w:r w:rsidR="002554CB" w:rsidRPr="00E90896">
          <w:rPr>
            <w:rStyle w:val="Hyperlink"/>
            <w:i/>
          </w:rPr>
          <w:t>Cybersafety—the C</w:t>
        </w:r>
        <w:r w:rsidR="002554CB" w:rsidRPr="00E90896">
          <w:rPr>
            <w:rStyle w:val="Hyperlink"/>
            <w:i/>
          </w:rPr>
          <w:t>y</w:t>
        </w:r>
        <w:r w:rsidR="002554CB" w:rsidRPr="00E90896">
          <w:rPr>
            <w:rStyle w:val="Hyperlink"/>
            <w:i/>
          </w:rPr>
          <w:t>bersmart program</w:t>
        </w:r>
      </w:hyperlink>
      <w:r w:rsidR="002554CB">
        <w:t>.</w:t>
      </w:r>
    </w:p>
    <w:p w14:paraId="3A7D433E" w14:textId="059FF57E" w:rsidR="004B33A8" w:rsidRPr="00996667" w:rsidRDefault="004B33A8" w:rsidP="00996667">
      <w:pPr>
        <w:pStyle w:val="ListBullet"/>
        <w:spacing w:after="240"/>
      </w:pPr>
      <w:r>
        <w:t>research</w:t>
      </w:r>
      <w:r w:rsidRPr="00996667">
        <w:rPr>
          <w:b/>
        </w:rPr>
        <w:t>acma</w:t>
      </w:r>
      <w:r>
        <w:t xml:space="preserve"> program,</w:t>
      </w:r>
      <w:r w:rsidR="00B64764">
        <w:t xml:space="preserve"> see Deliverable </w:t>
      </w:r>
      <w:hyperlink w:anchor="promote_Ov" w:history="1">
        <w:r w:rsidR="00B64764" w:rsidRPr="009908FC">
          <w:rPr>
            <w:rStyle w:val="Hyperlink"/>
            <w:i/>
          </w:rPr>
          <w:t>Prom</w:t>
        </w:r>
        <w:r w:rsidR="00B64764" w:rsidRPr="009908FC">
          <w:rPr>
            <w:rStyle w:val="Hyperlink"/>
            <w:i/>
          </w:rPr>
          <w:t>o</w:t>
        </w:r>
        <w:r w:rsidR="00B64764" w:rsidRPr="009908FC">
          <w:rPr>
            <w:rStyle w:val="Hyperlink"/>
            <w:i/>
          </w:rPr>
          <w:t>te engagement in the information economy and evolving networked society</w:t>
        </w:r>
      </w:hyperlink>
      <w:r w:rsidR="00B64764">
        <w:rPr>
          <w:i/>
        </w:rPr>
        <w:t xml:space="preserve"> </w:t>
      </w:r>
      <w:r w:rsidR="00B64764" w:rsidRPr="002554CB">
        <w:t xml:space="preserve">and </w:t>
      </w:r>
      <w:hyperlink w:anchor="researchacma" w:history="1">
        <w:r w:rsidR="00B64764" w:rsidRPr="009908FC">
          <w:rPr>
            <w:rStyle w:val="Hyperlink"/>
            <w:i/>
          </w:rPr>
          <w:t>resear</w:t>
        </w:r>
        <w:r w:rsidR="00B64764" w:rsidRPr="009908FC">
          <w:rPr>
            <w:rStyle w:val="Hyperlink"/>
            <w:i/>
          </w:rPr>
          <w:t>c</w:t>
        </w:r>
        <w:r w:rsidR="00B64764" w:rsidRPr="009908FC">
          <w:rPr>
            <w:rStyle w:val="Hyperlink"/>
            <w:i/>
          </w:rPr>
          <w:t>h</w:t>
        </w:r>
        <w:r w:rsidR="00B64764" w:rsidRPr="009908FC">
          <w:rPr>
            <w:rStyle w:val="Hyperlink"/>
            <w:b/>
            <w:i/>
          </w:rPr>
          <w:t>acma</w:t>
        </w:r>
      </w:hyperlink>
      <w:r w:rsidR="00B64764" w:rsidRPr="00B64764">
        <w:rPr>
          <w:i/>
        </w:rPr>
        <w:t>.</w:t>
      </w:r>
    </w:p>
    <w:p w14:paraId="72896E3F" w14:textId="77777777" w:rsidR="004B33A8" w:rsidRPr="001E1D65" w:rsidRDefault="004B33A8" w:rsidP="004767D2">
      <w:pPr>
        <w:spacing w:after="0"/>
        <w:rPr>
          <w:b/>
        </w:rPr>
      </w:pPr>
      <w:r w:rsidRPr="001E1D65">
        <w:rPr>
          <w:b/>
        </w:rPr>
        <w:t>LICENSING &amp; NUMBER ALLOCATION</w:t>
      </w:r>
    </w:p>
    <w:p w14:paraId="1D576717" w14:textId="77777777" w:rsidR="004B33A8" w:rsidRDefault="004B33A8" w:rsidP="00996667">
      <w:pPr>
        <w:pStyle w:val="ListBullet"/>
        <w:numPr>
          <w:ilvl w:val="0"/>
          <w:numId w:val="0"/>
        </w:numPr>
        <w:ind w:left="295" w:hanging="295"/>
      </w:pPr>
      <w:r w:rsidRPr="00996667">
        <w:rPr>
          <w:i/>
        </w:rPr>
        <w:t>Administration of licensing and number allocation arrangements</w:t>
      </w:r>
    </w:p>
    <w:p w14:paraId="3D1AAF1A" w14:textId="64998696" w:rsidR="004B33A8" w:rsidRPr="00B64764" w:rsidRDefault="004B33A8" w:rsidP="004B33A8">
      <w:pPr>
        <w:pStyle w:val="ListBullet"/>
      </w:pPr>
      <w:r>
        <w:t xml:space="preserve">400 MHz band </w:t>
      </w:r>
      <w:r w:rsidRPr="00B64764">
        <w:t>implementation,</w:t>
      </w:r>
      <w:r w:rsidR="00FC1B57" w:rsidRPr="00B64764">
        <w:t xml:space="preserve"> </w:t>
      </w:r>
      <w:r w:rsidR="00B64764">
        <w:rPr>
          <w:rStyle w:val="bodylight"/>
          <w:rFonts w:ascii="Arial" w:hAnsi="Arial" w:cs="Times New Roman"/>
        </w:rPr>
        <w:t xml:space="preserve">see Deliverable </w:t>
      </w:r>
      <w:hyperlink w:anchor="Admin_Ov" w:history="1">
        <w:r w:rsidR="00B64764" w:rsidRPr="009908FC">
          <w:rPr>
            <w:rStyle w:val="Hyperlink"/>
            <w:i/>
          </w:rPr>
          <w:t>Admini</w:t>
        </w:r>
        <w:r w:rsidR="00B64764" w:rsidRPr="009908FC">
          <w:rPr>
            <w:rStyle w:val="Hyperlink"/>
            <w:i/>
          </w:rPr>
          <w:t>s</w:t>
        </w:r>
        <w:r w:rsidR="00B64764" w:rsidRPr="009908FC">
          <w:rPr>
            <w:rStyle w:val="Hyperlink"/>
            <w:i/>
          </w:rPr>
          <w:t>tration of licensing and number allocation arrangements</w:t>
        </w:r>
      </w:hyperlink>
      <w:r w:rsidR="00B64764">
        <w:rPr>
          <w:i/>
        </w:rPr>
        <w:t xml:space="preserve"> </w:t>
      </w:r>
      <w:r w:rsidR="00B64764" w:rsidRPr="00B64764">
        <w:t xml:space="preserve">and </w:t>
      </w:r>
      <w:hyperlink w:anchor="band_400" w:history="1">
        <w:r w:rsidR="00B64764" w:rsidRPr="009908FC">
          <w:rPr>
            <w:rStyle w:val="Hyperlink"/>
            <w:i/>
          </w:rPr>
          <w:t>400 MHz b</w:t>
        </w:r>
        <w:r w:rsidR="00B64764" w:rsidRPr="009908FC">
          <w:rPr>
            <w:rStyle w:val="Hyperlink"/>
            <w:i/>
          </w:rPr>
          <w:t>a</w:t>
        </w:r>
        <w:r w:rsidR="00B64764" w:rsidRPr="009908FC">
          <w:rPr>
            <w:rStyle w:val="Hyperlink"/>
            <w:i/>
          </w:rPr>
          <w:t>nd implementation</w:t>
        </w:r>
      </w:hyperlink>
      <w:r w:rsidR="00B64764">
        <w:t>.</w:t>
      </w:r>
    </w:p>
    <w:p w14:paraId="43BC58CE" w14:textId="70CD21F3" w:rsidR="004B33A8" w:rsidRPr="00B64764" w:rsidRDefault="00FC1B57" w:rsidP="004B33A8">
      <w:pPr>
        <w:pStyle w:val="ListBullet"/>
      </w:pPr>
      <w:r w:rsidRPr="00B64764">
        <w:t>Expiring spectrum licences</w:t>
      </w:r>
      <w:r w:rsidR="004B33A8" w:rsidRPr="00B64764">
        <w:t xml:space="preserve">, </w:t>
      </w:r>
      <w:r w:rsidR="00B64764">
        <w:rPr>
          <w:rStyle w:val="bodylight"/>
          <w:rFonts w:ascii="Arial" w:hAnsi="Arial" w:cs="Times New Roman"/>
        </w:rPr>
        <w:t xml:space="preserve">see Deliverable </w:t>
      </w:r>
      <w:hyperlink w:anchor="Admin_Ov" w:history="1">
        <w:r w:rsidR="00B64764" w:rsidRPr="009908FC">
          <w:rPr>
            <w:rStyle w:val="Hyperlink"/>
            <w:i/>
          </w:rPr>
          <w:t>Adm</w:t>
        </w:r>
        <w:r w:rsidR="00B64764" w:rsidRPr="009908FC">
          <w:rPr>
            <w:rStyle w:val="Hyperlink"/>
            <w:i/>
          </w:rPr>
          <w:t>i</w:t>
        </w:r>
        <w:r w:rsidR="00B64764" w:rsidRPr="009908FC">
          <w:rPr>
            <w:rStyle w:val="Hyperlink"/>
            <w:i/>
          </w:rPr>
          <w:t>nistration of licensing and number allocation arrangements</w:t>
        </w:r>
      </w:hyperlink>
      <w:r w:rsidR="00B64764">
        <w:rPr>
          <w:i/>
        </w:rPr>
        <w:t xml:space="preserve"> </w:t>
      </w:r>
      <w:r w:rsidR="00B64764" w:rsidRPr="00B64764">
        <w:t xml:space="preserve">and </w:t>
      </w:r>
      <w:hyperlink w:anchor="Exp_lic" w:history="1">
        <w:r w:rsidR="00B64764" w:rsidRPr="009908FC">
          <w:rPr>
            <w:rStyle w:val="Hyperlink"/>
            <w:i/>
          </w:rPr>
          <w:t>Expiring spectru</w:t>
        </w:r>
        <w:r w:rsidR="00B64764" w:rsidRPr="009908FC">
          <w:rPr>
            <w:rStyle w:val="Hyperlink"/>
            <w:i/>
          </w:rPr>
          <w:t>m</w:t>
        </w:r>
        <w:r w:rsidR="00B64764" w:rsidRPr="009908FC">
          <w:rPr>
            <w:rStyle w:val="Hyperlink"/>
            <w:i/>
          </w:rPr>
          <w:t xml:space="preserve"> licences</w:t>
        </w:r>
      </w:hyperlink>
      <w:r w:rsidR="00B64764">
        <w:rPr>
          <w:i/>
        </w:rPr>
        <w:t>.</w:t>
      </w:r>
    </w:p>
    <w:p w14:paraId="2BA7A0F1" w14:textId="5C3B93F4" w:rsidR="004B33A8" w:rsidRPr="00B64764" w:rsidRDefault="00702E51" w:rsidP="00B64764">
      <w:pPr>
        <w:pStyle w:val="ListBullet"/>
        <w:spacing w:after="240"/>
        <w:rPr>
          <w:rStyle w:val="bodylight"/>
          <w:rFonts w:ascii="Arial" w:hAnsi="Arial" w:cs="Times New Roman"/>
        </w:rPr>
      </w:pPr>
      <w:r w:rsidRPr="00B64764">
        <w:lastRenderedPageBreak/>
        <w:t>Marine radio</w:t>
      </w:r>
      <w:r w:rsidR="004B33A8" w:rsidRPr="00B64764">
        <w:t xml:space="preserve">, </w:t>
      </w:r>
      <w:r w:rsidR="00B64764">
        <w:t xml:space="preserve">see </w:t>
      </w:r>
      <w:hyperlink w:anchor="Marine_1" w:history="1">
        <w:r w:rsidR="00B64764" w:rsidRPr="009908FC">
          <w:rPr>
            <w:rStyle w:val="Hyperlink"/>
            <w:i/>
          </w:rPr>
          <w:t>Mar</w:t>
        </w:r>
        <w:r w:rsidR="00B64764" w:rsidRPr="009908FC">
          <w:rPr>
            <w:rStyle w:val="Hyperlink"/>
            <w:i/>
          </w:rPr>
          <w:t>i</w:t>
        </w:r>
        <w:r w:rsidR="00B64764" w:rsidRPr="009908FC">
          <w:rPr>
            <w:rStyle w:val="Hyperlink"/>
            <w:i/>
          </w:rPr>
          <w:t>ne radio certificates of proficiency and operator examinations</w:t>
        </w:r>
      </w:hyperlink>
      <w:r w:rsidR="00B64764">
        <w:t xml:space="preserve">, </w:t>
      </w:r>
      <w:hyperlink w:anchor="marine_2" w:history="1">
        <w:r w:rsidR="00B64764" w:rsidRPr="009908FC">
          <w:rPr>
            <w:rStyle w:val="Hyperlink"/>
            <w:i/>
          </w:rPr>
          <w:t>Review of marine radio operator quali</w:t>
        </w:r>
        <w:r w:rsidR="00B64764" w:rsidRPr="009908FC">
          <w:rPr>
            <w:rStyle w:val="Hyperlink"/>
            <w:i/>
          </w:rPr>
          <w:t>f</w:t>
        </w:r>
        <w:r w:rsidR="00B64764" w:rsidRPr="009908FC">
          <w:rPr>
            <w:rStyle w:val="Hyperlink"/>
            <w:i/>
          </w:rPr>
          <w:t>ications for recreational boaters</w:t>
        </w:r>
      </w:hyperlink>
      <w:r w:rsidR="00B64764">
        <w:t xml:space="preserve"> and </w:t>
      </w:r>
      <w:hyperlink w:anchor="marine_3" w:history="1">
        <w:r w:rsidR="00B64764" w:rsidRPr="009908FC">
          <w:rPr>
            <w:rStyle w:val="Hyperlink"/>
            <w:i/>
          </w:rPr>
          <w:t>Amateur radio operat</w:t>
        </w:r>
        <w:r w:rsidR="00B64764" w:rsidRPr="009908FC">
          <w:rPr>
            <w:rStyle w:val="Hyperlink"/>
            <w:i/>
          </w:rPr>
          <w:t>o</w:t>
        </w:r>
        <w:r w:rsidR="00B64764" w:rsidRPr="009908FC">
          <w:rPr>
            <w:rStyle w:val="Hyperlink"/>
            <w:i/>
          </w:rPr>
          <w:t>r examination services</w:t>
        </w:r>
      </w:hyperlink>
      <w:r w:rsidR="00B64764">
        <w:t>.</w:t>
      </w:r>
    </w:p>
    <w:p w14:paraId="58D609AD" w14:textId="77777777" w:rsidR="004B33A8" w:rsidRPr="001E1D65" w:rsidRDefault="004B33A8" w:rsidP="004767D2">
      <w:pPr>
        <w:keepNext/>
        <w:keepLines/>
        <w:spacing w:after="0"/>
        <w:rPr>
          <w:b/>
        </w:rPr>
      </w:pPr>
      <w:r w:rsidRPr="001E1D65">
        <w:rPr>
          <w:b/>
        </w:rPr>
        <w:t>INTERNET</w:t>
      </w:r>
    </w:p>
    <w:p w14:paraId="263E20AB" w14:textId="77777777" w:rsidR="004B33A8" w:rsidRPr="00996667" w:rsidRDefault="004B33A8" w:rsidP="00996667">
      <w:pPr>
        <w:pStyle w:val="ListBullet"/>
        <w:numPr>
          <w:ilvl w:val="0"/>
          <w:numId w:val="0"/>
        </w:numPr>
        <w:ind w:left="295" w:hanging="295"/>
        <w:rPr>
          <w:i/>
        </w:rPr>
      </w:pPr>
      <w:r w:rsidRPr="00996667">
        <w:rPr>
          <w:i/>
        </w:rPr>
        <w:t>Maintain effective online content and community standards</w:t>
      </w:r>
    </w:p>
    <w:p w14:paraId="16946E64" w14:textId="74A7E781" w:rsidR="00B64764" w:rsidRDefault="00702E51" w:rsidP="00B64764">
      <w:pPr>
        <w:pStyle w:val="ListBullet"/>
        <w:rPr>
          <w:rStyle w:val="bodylight"/>
          <w:rFonts w:ascii="Arial" w:hAnsi="Arial" w:cs="Times New Roman"/>
          <w:i/>
        </w:rPr>
      </w:pPr>
      <w:r w:rsidRPr="00B64764">
        <w:t>Combating</w:t>
      </w:r>
      <w:r w:rsidRPr="00702E51">
        <w:rPr>
          <w:i/>
        </w:rPr>
        <w:t xml:space="preserve"> child exploitation material online</w:t>
      </w:r>
      <w:r>
        <w:t xml:space="preserve"> (CCEMO)</w:t>
      </w:r>
      <w:r w:rsidRPr="00996667">
        <w:t xml:space="preserve"> </w:t>
      </w:r>
      <w:r>
        <w:t>forum</w:t>
      </w:r>
      <w:r w:rsidR="004B33A8">
        <w:t>,</w:t>
      </w:r>
      <w:r w:rsidR="004B33A8" w:rsidRPr="00996667">
        <w:t xml:space="preserve"> </w:t>
      </w:r>
      <w:r w:rsidR="00B64764">
        <w:t xml:space="preserve">see Deliverable </w:t>
      </w:r>
      <w:hyperlink w:anchor="main_online" w:history="1">
        <w:r w:rsidR="00B64764" w:rsidRPr="009908FC">
          <w:rPr>
            <w:rStyle w:val="Hyperlink"/>
            <w:i/>
          </w:rPr>
          <w:t>Maintain effective online co</w:t>
        </w:r>
        <w:r w:rsidR="00B64764" w:rsidRPr="009908FC">
          <w:rPr>
            <w:rStyle w:val="Hyperlink"/>
            <w:i/>
          </w:rPr>
          <w:t>n</w:t>
        </w:r>
        <w:r w:rsidR="00B64764" w:rsidRPr="009908FC">
          <w:rPr>
            <w:rStyle w:val="Hyperlink"/>
            <w:i/>
          </w:rPr>
          <w:t>tent and community standards</w:t>
        </w:r>
      </w:hyperlink>
      <w:r w:rsidR="00B64764" w:rsidRPr="00B64764">
        <w:rPr>
          <w:i/>
        </w:rPr>
        <w:t xml:space="preserve"> </w:t>
      </w:r>
      <w:r w:rsidR="00B64764" w:rsidRPr="00B64764">
        <w:t xml:space="preserve">and </w:t>
      </w:r>
      <w:hyperlink w:anchor="CCEMO" w:history="1">
        <w:r w:rsidR="00B64764" w:rsidRPr="009908FC">
          <w:rPr>
            <w:rStyle w:val="Hyperlink"/>
            <w:i/>
          </w:rPr>
          <w:t>CCEM</w:t>
        </w:r>
        <w:r w:rsidR="00B64764" w:rsidRPr="009908FC">
          <w:rPr>
            <w:rStyle w:val="Hyperlink"/>
            <w:i/>
          </w:rPr>
          <w:t>O</w:t>
        </w:r>
        <w:r w:rsidR="00B64764" w:rsidRPr="009908FC">
          <w:rPr>
            <w:rStyle w:val="Hyperlink"/>
            <w:i/>
          </w:rPr>
          <w:t xml:space="preserve"> forum</w:t>
        </w:r>
      </w:hyperlink>
      <w:r w:rsidR="00B64764" w:rsidRPr="00B64764">
        <w:t>.</w:t>
      </w:r>
    </w:p>
    <w:p w14:paraId="70807B72" w14:textId="74362799" w:rsidR="00702E51" w:rsidRPr="00B64764" w:rsidRDefault="007E5C66" w:rsidP="00B64764">
      <w:pPr>
        <w:pStyle w:val="ListBullet"/>
        <w:spacing w:after="240"/>
        <w:rPr>
          <w:rStyle w:val="bodylight"/>
          <w:rFonts w:ascii="Arial" w:hAnsi="Arial" w:cs="Times New Roman"/>
          <w:i/>
        </w:rPr>
      </w:pPr>
      <w:r w:rsidRPr="00B64764">
        <w:t>Online content</w:t>
      </w:r>
      <w:r w:rsidRPr="007E5C66">
        <w:t xml:space="preserve"> complaints, </w:t>
      </w:r>
      <w:r w:rsidR="00B64764">
        <w:t xml:space="preserve">see </w:t>
      </w:r>
      <w:hyperlink w:anchor="Online_comp" w:history="1">
        <w:r w:rsidR="00B64764" w:rsidRPr="009908FC">
          <w:rPr>
            <w:rStyle w:val="Hyperlink"/>
            <w:i/>
          </w:rPr>
          <w:t>Online conten</w:t>
        </w:r>
        <w:r w:rsidR="00B64764" w:rsidRPr="009908FC">
          <w:rPr>
            <w:rStyle w:val="Hyperlink"/>
            <w:i/>
          </w:rPr>
          <w:t>t</w:t>
        </w:r>
        <w:r w:rsidR="00B64764" w:rsidRPr="009908FC">
          <w:rPr>
            <w:rStyle w:val="Hyperlink"/>
            <w:i/>
          </w:rPr>
          <w:t xml:space="preserve"> complaints</w:t>
        </w:r>
      </w:hyperlink>
      <w:r w:rsidR="00B64764">
        <w:t>.</w:t>
      </w:r>
    </w:p>
    <w:p w14:paraId="0C0CAED1" w14:textId="77777777" w:rsidR="004B33A8" w:rsidRPr="00996667" w:rsidRDefault="00996667" w:rsidP="004767D2">
      <w:pPr>
        <w:keepNext/>
        <w:keepLines/>
        <w:spacing w:after="0"/>
        <w:rPr>
          <w:b/>
        </w:rPr>
      </w:pPr>
      <w:r>
        <w:rPr>
          <w:b/>
        </w:rPr>
        <w:t xml:space="preserve">EMERGENCY SERVICES &amp; </w:t>
      </w:r>
      <w:r w:rsidR="004B33A8" w:rsidRPr="00996667">
        <w:rPr>
          <w:b/>
        </w:rPr>
        <w:t>LAW ENFORCEMENT</w:t>
      </w:r>
    </w:p>
    <w:p w14:paraId="5D9B38B4" w14:textId="77777777" w:rsidR="004B33A8" w:rsidRPr="00996667" w:rsidRDefault="004B33A8" w:rsidP="004767D2">
      <w:pPr>
        <w:pStyle w:val="ListBullet"/>
        <w:keepNext/>
        <w:keepLines/>
        <w:numPr>
          <w:ilvl w:val="0"/>
          <w:numId w:val="0"/>
        </w:numPr>
        <w:rPr>
          <w:i/>
        </w:rPr>
      </w:pPr>
      <w:r w:rsidRPr="00996667">
        <w:rPr>
          <w:i/>
        </w:rPr>
        <w:t>Provision of appropriate and reasonable support to law enforcement, emergency services and national security</w:t>
      </w:r>
    </w:p>
    <w:p w14:paraId="26DB34BF" w14:textId="77777777" w:rsidR="004B33A8" w:rsidRPr="00996667" w:rsidRDefault="004B33A8" w:rsidP="004767D2">
      <w:pPr>
        <w:pStyle w:val="ListBullet"/>
        <w:keepNext/>
        <w:keepLines/>
        <w:numPr>
          <w:ilvl w:val="0"/>
          <w:numId w:val="0"/>
        </w:numPr>
        <w:rPr>
          <w:i/>
        </w:rPr>
      </w:pPr>
      <w:r w:rsidRPr="00996667">
        <w:rPr>
          <w:i/>
        </w:rPr>
        <w:t>Work in partnership with industry to improve the performance of Australia’s emergency call services</w:t>
      </w:r>
    </w:p>
    <w:p w14:paraId="428357AE" w14:textId="5C9A0E71" w:rsidR="00124637" w:rsidRPr="00B64764" w:rsidRDefault="00124637" w:rsidP="00124637">
      <w:pPr>
        <w:pStyle w:val="ListBullet"/>
      </w:pPr>
      <w:r>
        <w:t xml:space="preserve">Identity-checking requirements for pre-paid mobile phone services, </w:t>
      </w:r>
      <w:r w:rsidR="00B64764">
        <w:rPr>
          <w:rStyle w:val="bodylight"/>
          <w:rFonts w:ascii="Arial" w:hAnsi="Arial" w:cs="Times New Roman"/>
        </w:rPr>
        <w:t xml:space="preserve">see </w:t>
      </w:r>
      <w:hyperlink w:anchor="ID" w:history="1">
        <w:r w:rsidR="00B64764" w:rsidRPr="009908FC">
          <w:rPr>
            <w:rStyle w:val="Hyperlink"/>
            <w:i/>
          </w:rPr>
          <w:t>Iden</w:t>
        </w:r>
        <w:r w:rsidR="00B64764" w:rsidRPr="009908FC">
          <w:rPr>
            <w:rStyle w:val="Hyperlink"/>
            <w:i/>
          </w:rPr>
          <w:t>t</w:t>
        </w:r>
        <w:r w:rsidR="00B64764" w:rsidRPr="009908FC">
          <w:rPr>
            <w:rStyle w:val="Hyperlink"/>
            <w:i/>
          </w:rPr>
          <w:t>ity-checking requirements for pre-paid mobile phone services</w:t>
        </w:r>
      </w:hyperlink>
      <w:r w:rsidR="009908FC">
        <w:rPr>
          <w:i/>
        </w:rPr>
        <w:t>.</w:t>
      </w:r>
      <w:bookmarkStart w:id="5" w:name="_GoBack"/>
      <w:bookmarkEnd w:id="5"/>
    </w:p>
    <w:p w14:paraId="43C79550" w14:textId="1A5BD40D" w:rsidR="004B33A8" w:rsidRPr="0001746B" w:rsidRDefault="004B33A8" w:rsidP="0001746B">
      <w:pPr>
        <w:pStyle w:val="ListBullet"/>
        <w:rPr>
          <w:i/>
        </w:rPr>
      </w:pPr>
      <w:r w:rsidRPr="00B64764">
        <w:t xml:space="preserve">Improved mobile location for emergency service organisations, </w:t>
      </w:r>
      <w:r w:rsidR="00B64764">
        <w:t xml:space="preserve">see Deliverable </w:t>
      </w:r>
      <w:hyperlink w:anchor="Prov_Work" w:history="1">
        <w:r w:rsidR="00B64764" w:rsidRPr="009908FC">
          <w:rPr>
            <w:rStyle w:val="Hyperlink"/>
            <w:i/>
          </w:rPr>
          <w:t>Provision of appropriate and reasonable support to law</w:t>
        </w:r>
        <w:r w:rsidR="0001746B" w:rsidRPr="009908FC">
          <w:rPr>
            <w:rStyle w:val="Hyperlink"/>
            <w:i/>
          </w:rPr>
          <w:t xml:space="preserve"> </w:t>
        </w:r>
        <w:r w:rsidR="00B64764" w:rsidRPr="009908FC">
          <w:rPr>
            <w:rStyle w:val="Hyperlink"/>
            <w:i/>
          </w:rPr>
          <w:t>enforcement,</w:t>
        </w:r>
        <w:r w:rsidR="00B64764" w:rsidRPr="009908FC">
          <w:rPr>
            <w:rStyle w:val="Hyperlink"/>
            <w:i/>
          </w:rPr>
          <w:t xml:space="preserve"> </w:t>
        </w:r>
        <w:r w:rsidR="00B64764" w:rsidRPr="009908FC">
          <w:rPr>
            <w:rStyle w:val="Hyperlink"/>
            <w:i/>
          </w:rPr>
          <w:t>emergency</w:t>
        </w:r>
        <w:r w:rsidR="0001746B" w:rsidRPr="009908FC">
          <w:rPr>
            <w:rStyle w:val="Hyperlink"/>
            <w:i/>
          </w:rPr>
          <w:t xml:space="preserve"> services and national security/</w:t>
        </w:r>
        <w:r w:rsidR="00B64764" w:rsidRPr="009908FC">
          <w:rPr>
            <w:rStyle w:val="Hyperlink"/>
            <w:i/>
          </w:rPr>
          <w:t>Work in partnersh</w:t>
        </w:r>
        <w:r w:rsidR="0001746B" w:rsidRPr="009908FC">
          <w:rPr>
            <w:rStyle w:val="Hyperlink"/>
            <w:i/>
          </w:rPr>
          <w:t xml:space="preserve">ip with industry to improve the </w:t>
        </w:r>
        <w:r w:rsidR="00B64764" w:rsidRPr="009908FC">
          <w:rPr>
            <w:rStyle w:val="Hyperlink"/>
            <w:i/>
          </w:rPr>
          <w:t>performance of Australia’s emergency call services</w:t>
        </w:r>
      </w:hyperlink>
      <w:r w:rsidR="00B64764" w:rsidRPr="0001746B">
        <w:rPr>
          <w:rStyle w:val="bodylight"/>
          <w:rFonts w:ascii="Arial" w:hAnsi="Arial" w:cs="Times New Roman"/>
        </w:rPr>
        <w:t xml:space="preserve"> </w:t>
      </w:r>
      <w:r w:rsidR="0001746B">
        <w:rPr>
          <w:rStyle w:val="bodylight"/>
          <w:rFonts w:ascii="Arial" w:hAnsi="Arial" w:cs="Times New Roman"/>
        </w:rPr>
        <w:t xml:space="preserve">and </w:t>
      </w:r>
      <w:hyperlink w:anchor="Imp_mobile" w:history="1">
        <w:r w:rsidR="0001746B" w:rsidRPr="009908FC">
          <w:rPr>
            <w:rStyle w:val="Hyperlink"/>
            <w:i/>
          </w:rPr>
          <w:t>Improved m</w:t>
        </w:r>
        <w:r w:rsidR="0001746B" w:rsidRPr="009908FC">
          <w:rPr>
            <w:rStyle w:val="Hyperlink"/>
            <w:i/>
          </w:rPr>
          <w:t>o</w:t>
        </w:r>
        <w:r w:rsidR="0001746B" w:rsidRPr="009908FC">
          <w:rPr>
            <w:rStyle w:val="Hyperlink"/>
            <w:i/>
          </w:rPr>
          <w:t>bile location for emergency service organisations</w:t>
        </w:r>
      </w:hyperlink>
      <w:r w:rsidR="0001746B">
        <w:rPr>
          <w:rStyle w:val="bodylight"/>
          <w:rFonts w:ascii="Arial" w:hAnsi="Arial" w:cs="Times New Roman"/>
          <w:i/>
        </w:rPr>
        <w:t>.</w:t>
      </w:r>
    </w:p>
    <w:p w14:paraId="5AB7F581" w14:textId="4FE2A6D3" w:rsidR="00702E51" w:rsidRPr="00B64764" w:rsidRDefault="00702E51" w:rsidP="00996667">
      <w:pPr>
        <w:pStyle w:val="ListBullet"/>
        <w:spacing w:after="240"/>
        <w:rPr>
          <w:rStyle w:val="bodylight"/>
          <w:rFonts w:ascii="Arial" w:hAnsi="Arial" w:cs="Times New Roman"/>
        </w:rPr>
      </w:pPr>
      <w:r w:rsidRPr="00B64764">
        <w:t xml:space="preserve">Reducing the volume of non-emergency calls, </w:t>
      </w:r>
      <w:r w:rsidR="0001746B">
        <w:t xml:space="preserve">see </w:t>
      </w:r>
      <w:hyperlink w:anchor="Red_non" w:history="1">
        <w:r w:rsidR="0001746B" w:rsidRPr="009908FC">
          <w:rPr>
            <w:rStyle w:val="Hyperlink"/>
            <w:i/>
          </w:rPr>
          <w:t>Reducing the volum</w:t>
        </w:r>
        <w:r w:rsidR="0001746B" w:rsidRPr="009908FC">
          <w:rPr>
            <w:rStyle w:val="Hyperlink"/>
            <w:i/>
          </w:rPr>
          <w:t>e</w:t>
        </w:r>
        <w:r w:rsidR="0001746B" w:rsidRPr="009908FC">
          <w:rPr>
            <w:rStyle w:val="Hyperlink"/>
            <w:i/>
          </w:rPr>
          <w:t xml:space="preserve"> of non-emergency calls</w:t>
        </w:r>
      </w:hyperlink>
      <w:r w:rsidR="0001746B">
        <w:rPr>
          <w:i/>
        </w:rPr>
        <w:t>.</w:t>
      </w:r>
    </w:p>
    <w:p w14:paraId="5E522EBA" w14:textId="77777777" w:rsidR="004B33A8" w:rsidRPr="00996667" w:rsidRDefault="004B33A8" w:rsidP="004767D2">
      <w:pPr>
        <w:spacing w:after="0"/>
        <w:rPr>
          <w:b/>
        </w:rPr>
      </w:pPr>
      <w:r w:rsidRPr="00996667">
        <w:rPr>
          <w:b/>
        </w:rPr>
        <w:t>BETTER TARGETED REGULATION</w:t>
      </w:r>
    </w:p>
    <w:p w14:paraId="11D77FBF" w14:textId="77777777" w:rsidR="004B33A8" w:rsidRPr="0001746B" w:rsidRDefault="004B33A8" w:rsidP="00702E51">
      <w:pPr>
        <w:pStyle w:val="ListBullet"/>
        <w:numPr>
          <w:ilvl w:val="0"/>
          <w:numId w:val="0"/>
        </w:numPr>
        <w:rPr>
          <w:i/>
        </w:rPr>
      </w:pPr>
      <w:r w:rsidRPr="00996667">
        <w:rPr>
          <w:i/>
        </w:rPr>
        <w:t xml:space="preserve">Develop and maintain appropriate regulatory settings for an information economy and network </w:t>
      </w:r>
      <w:r w:rsidRPr="0001746B">
        <w:rPr>
          <w:i/>
        </w:rPr>
        <w:t>society</w:t>
      </w:r>
    </w:p>
    <w:p w14:paraId="134C84A0" w14:textId="2C775A7C" w:rsidR="004B33A8" w:rsidRPr="0001746B" w:rsidRDefault="004B33A8" w:rsidP="0001746B">
      <w:pPr>
        <w:pStyle w:val="ListBullet"/>
        <w:rPr>
          <w:rStyle w:val="bodylight"/>
          <w:rFonts w:ascii="Arial" w:hAnsi="Arial" w:cs="Times New Roman"/>
        </w:rPr>
      </w:pPr>
      <w:r w:rsidRPr="0001746B">
        <w:t xml:space="preserve">De-regulation work plan, </w:t>
      </w:r>
      <w:r w:rsidR="0001746B" w:rsidRPr="0001746B">
        <w:t xml:space="preserve">see </w:t>
      </w:r>
      <w:hyperlink w:anchor="Better_reg" w:history="1">
        <w:r w:rsidR="0001746B" w:rsidRPr="009908FC">
          <w:rPr>
            <w:rStyle w:val="Hyperlink"/>
            <w:i/>
          </w:rPr>
          <w:t>Better targeted reg</w:t>
        </w:r>
        <w:r w:rsidR="0001746B" w:rsidRPr="009908FC">
          <w:rPr>
            <w:rStyle w:val="Hyperlink"/>
            <w:i/>
          </w:rPr>
          <w:t>u</w:t>
        </w:r>
        <w:r w:rsidR="0001746B" w:rsidRPr="009908FC">
          <w:rPr>
            <w:rStyle w:val="Hyperlink"/>
            <w:i/>
          </w:rPr>
          <w:t>lation</w:t>
        </w:r>
      </w:hyperlink>
      <w:r w:rsidR="0001746B" w:rsidRPr="0001746B">
        <w:t>.</w:t>
      </w:r>
    </w:p>
    <w:p w14:paraId="7988B77A" w14:textId="4526DE05" w:rsidR="004767D2" w:rsidRPr="0001746B" w:rsidRDefault="004767D2" w:rsidP="00996667">
      <w:pPr>
        <w:pStyle w:val="ListBullet"/>
        <w:spacing w:after="240"/>
      </w:pPr>
      <w:r w:rsidRPr="0001746B">
        <w:t xml:space="preserve">Regulatory best-practice and development research, </w:t>
      </w:r>
      <w:r w:rsidR="0001746B">
        <w:t xml:space="preserve">see </w:t>
      </w:r>
      <w:hyperlink w:anchor="Reg_research" w:history="1">
        <w:r w:rsidR="0001746B" w:rsidRPr="009908FC">
          <w:rPr>
            <w:rStyle w:val="Hyperlink"/>
            <w:i/>
          </w:rPr>
          <w:t>Regulatory be</w:t>
        </w:r>
        <w:r w:rsidR="0001746B" w:rsidRPr="009908FC">
          <w:rPr>
            <w:rStyle w:val="Hyperlink"/>
            <w:i/>
          </w:rPr>
          <w:t>s</w:t>
        </w:r>
        <w:r w:rsidR="0001746B" w:rsidRPr="009908FC">
          <w:rPr>
            <w:rStyle w:val="Hyperlink"/>
            <w:i/>
          </w:rPr>
          <w:t>t-practice and development research</w:t>
        </w:r>
      </w:hyperlink>
      <w:r w:rsidR="0001746B">
        <w:t>.</w:t>
      </w:r>
    </w:p>
    <w:p w14:paraId="0CF3BCDC" w14:textId="77777777" w:rsidR="004B33A8" w:rsidRPr="0001746B" w:rsidRDefault="00996667" w:rsidP="004767D2">
      <w:pPr>
        <w:spacing w:after="0"/>
        <w:rPr>
          <w:b/>
        </w:rPr>
      </w:pPr>
      <w:r w:rsidRPr="0001746B">
        <w:rPr>
          <w:b/>
        </w:rPr>
        <w:t xml:space="preserve">UNSOLICITED </w:t>
      </w:r>
      <w:r w:rsidR="004B33A8" w:rsidRPr="0001746B">
        <w:rPr>
          <w:b/>
        </w:rPr>
        <w:t>COMMUNICATIONS</w:t>
      </w:r>
    </w:p>
    <w:p w14:paraId="7DA0E902" w14:textId="77777777" w:rsidR="004B33A8" w:rsidRPr="0001746B" w:rsidRDefault="004B33A8" w:rsidP="00996667">
      <w:pPr>
        <w:pStyle w:val="ListBullet"/>
        <w:numPr>
          <w:ilvl w:val="0"/>
          <w:numId w:val="0"/>
        </w:numPr>
        <w:ind w:left="295" w:hanging="295"/>
        <w:rPr>
          <w:i/>
        </w:rPr>
      </w:pPr>
      <w:r w:rsidRPr="0001746B">
        <w:rPr>
          <w:i/>
        </w:rPr>
        <w:t>Minimise unsolicited spam and telemarketing communications</w:t>
      </w:r>
    </w:p>
    <w:p w14:paraId="2117EE8F" w14:textId="5F85943A" w:rsidR="004B33A8" w:rsidRPr="0001746B" w:rsidRDefault="004B33A8" w:rsidP="0001746B">
      <w:pPr>
        <w:pStyle w:val="ListBullet"/>
        <w:rPr>
          <w:rStyle w:val="bodylight"/>
          <w:rFonts w:ascii="Arial" w:hAnsi="Arial" w:cs="Times New Roman"/>
          <w:i/>
        </w:rPr>
      </w:pPr>
      <w:r w:rsidRPr="0001746B">
        <w:t xml:space="preserve">Unsolicited communications compliance, </w:t>
      </w:r>
      <w:r w:rsidR="0001746B">
        <w:rPr>
          <w:rStyle w:val="bodylight"/>
          <w:rFonts w:ascii="Arial" w:hAnsi="Arial" w:cs="Times New Roman"/>
        </w:rPr>
        <w:t xml:space="preserve">see Deliverable </w:t>
      </w:r>
      <w:hyperlink w:anchor="Min_Ov" w:history="1">
        <w:r w:rsidR="0001746B" w:rsidRPr="00ED479E">
          <w:rPr>
            <w:rStyle w:val="Hyperlink"/>
            <w:i/>
          </w:rPr>
          <w:t>Minimi</w:t>
        </w:r>
        <w:r w:rsidR="0001746B" w:rsidRPr="00ED479E">
          <w:rPr>
            <w:rStyle w:val="Hyperlink"/>
            <w:i/>
          </w:rPr>
          <w:t>s</w:t>
        </w:r>
        <w:r w:rsidR="0001746B" w:rsidRPr="00ED479E">
          <w:rPr>
            <w:rStyle w:val="Hyperlink"/>
            <w:i/>
          </w:rPr>
          <w:t>e unsolicited spam and telemarketing communications</w:t>
        </w:r>
      </w:hyperlink>
      <w:r w:rsidR="0001746B">
        <w:rPr>
          <w:i/>
        </w:rPr>
        <w:t xml:space="preserve"> </w:t>
      </w:r>
      <w:r w:rsidR="0001746B" w:rsidRPr="0001746B">
        <w:t>a</w:t>
      </w:r>
      <w:r w:rsidR="0001746B">
        <w:rPr>
          <w:rStyle w:val="bodylight"/>
          <w:rFonts w:ascii="Arial" w:hAnsi="Arial" w:cs="Times New Roman"/>
        </w:rPr>
        <w:t xml:space="preserve">nd </w:t>
      </w:r>
      <w:hyperlink w:anchor="Unsol_comp" w:history="1">
        <w:r w:rsidR="0001746B" w:rsidRPr="0022095A">
          <w:rPr>
            <w:rStyle w:val="Hyperlink"/>
            <w:i/>
          </w:rPr>
          <w:t>Unsolicited communicatio</w:t>
        </w:r>
        <w:r w:rsidR="0001746B" w:rsidRPr="0022095A">
          <w:rPr>
            <w:rStyle w:val="Hyperlink"/>
            <w:i/>
          </w:rPr>
          <w:t>n</w:t>
        </w:r>
        <w:r w:rsidR="0001746B" w:rsidRPr="0022095A">
          <w:rPr>
            <w:rStyle w:val="Hyperlink"/>
            <w:i/>
          </w:rPr>
          <w:t>s compliance</w:t>
        </w:r>
      </w:hyperlink>
      <w:r w:rsidR="0001746B">
        <w:t>.</w:t>
      </w:r>
    </w:p>
    <w:p w14:paraId="2E27AF1B" w14:textId="2EE4174D" w:rsidR="004B33A8" w:rsidRPr="0001746B" w:rsidRDefault="004B33A8" w:rsidP="00996667">
      <w:pPr>
        <w:pStyle w:val="ListBullet"/>
        <w:spacing w:after="240"/>
        <w:rPr>
          <w:rStyle w:val="bodylight"/>
          <w:rFonts w:ascii="Arial" w:hAnsi="Arial" w:cs="Times New Roman"/>
        </w:rPr>
      </w:pPr>
      <w:r w:rsidRPr="0001746B">
        <w:t>Do Not Call Register,</w:t>
      </w:r>
      <w:r w:rsidR="00996667" w:rsidRPr="0001746B">
        <w:t xml:space="preserve"> </w:t>
      </w:r>
      <w:r w:rsidR="0001746B">
        <w:rPr>
          <w:rStyle w:val="bodylight"/>
          <w:rFonts w:ascii="Arial" w:hAnsi="Arial" w:cs="Times New Roman"/>
        </w:rPr>
        <w:t xml:space="preserve">see Deliverable </w:t>
      </w:r>
      <w:hyperlink w:anchor="Min_Ov" w:history="1">
        <w:r w:rsidR="0001746B" w:rsidRPr="00ED479E">
          <w:rPr>
            <w:rStyle w:val="Hyperlink"/>
            <w:i/>
          </w:rPr>
          <w:t>Minimise unsolicite</w:t>
        </w:r>
        <w:r w:rsidR="0001746B" w:rsidRPr="00ED479E">
          <w:rPr>
            <w:rStyle w:val="Hyperlink"/>
            <w:i/>
          </w:rPr>
          <w:t>d</w:t>
        </w:r>
        <w:r w:rsidR="0001746B" w:rsidRPr="00ED479E">
          <w:rPr>
            <w:rStyle w:val="Hyperlink"/>
            <w:i/>
          </w:rPr>
          <w:t xml:space="preserve"> spam and telemarketing communications</w:t>
        </w:r>
      </w:hyperlink>
      <w:r w:rsidR="0001746B">
        <w:rPr>
          <w:i/>
        </w:rPr>
        <w:t xml:space="preserve"> </w:t>
      </w:r>
      <w:r w:rsidR="0001746B" w:rsidRPr="0001746B">
        <w:t>a</w:t>
      </w:r>
      <w:r w:rsidR="0001746B">
        <w:rPr>
          <w:rStyle w:val="bodylight"/>
          <w:rFonts w:ascii="Arial" w:hAnsi="Arial" w:cs="Times New Roman"/>
        </w:rPr>
        <w:t xml:space="preserve">nd </w:t>
      </w:r>
      <w:hyperlink w:anchor="DNCR" w:history="1">
        <w:r w:rsidR="0001746B" w:rsidRPr="00ED479E">
          <w:rPr>
            <w:rStyle w:val="Hyperlink"/>
            <w:i/>
          </w:rPr>
          <w:t>Do Not Call R</w:t>
        </w:r>
        <w:r w:rsidR="0001746B" w:rsidRPr="00ED479E">
          <w:rPr>
            <w:rStyle w:val="Hyperlink"/>
            <w:i/>
          </w:rPr>
          <w:t>e</w:t>
        </w:r>
        <w:r w:rsidR="0001746B" w:rsidRPr="00ED479E">
          <w:rPr>
            <w:rStyle w:val="Hyperlink"/>
            <w:i/>
          </w:rPr>
          <w:t>gister</w:t>
        </w:r>
      </w:hyperlink>
      <w:r w:rsidR="0001746B">
        <w:t>.</w:t>
      </w:r>
    </w:p>
    <w:p w14:paraId="07F39FE9" w14:textId="77777777" w:rsidR="006744F6" w:rsidRDefault="003C1FFD" w:rsidP="006744F6">
      <w:pPr>
        <w:pStyle w:val="ACMAExecSummaryHeading"/>
        <w:pageBreakBefore/>
      </w:pPr>
      <w:bookmarkStart w:id="6" w:name="_Toc419124248"/>
      <w:bookmarkStart w:id="7" w:name="_Toc433703252"/>
      <w:bookmarkEnd w:id="3"/>
      <w:r>
        <w:lastRenderedPageBreak/>
        <w:t>Part 2—Agency o</w:t>
      </w:r>
      <w:r w:rsidR="006744F6">
        <w:t>verview</w:t>
      </w:r>
      <w:bookmarkEnd w:id="6"/>
      <w:bookmarkEnd w:id="7"/>
    </w:p>
    <w:p w14:paraId="284A58CE" w14:textId="77777777" w:rsidR="006744F6" w:rsidRDefault="006744F6" w:rsidP="006744F6">
      <w:pPr>
        <w:pStyle w:val="Heading1"/>
      </w:pPr>
      <w:bookmarkStart w:id="8" w:name="_Toc433703253"/>
      <w:r>
        <w:lastRenderedPageBreak/>
        <w:t>Chapter 1</w:t>
      </w:r>
      <w:r w:rsidR="00163CCB">
        <w:t xml:space="preserve">: </w:t>
      </w:r>
      <w:r>
        <w:t>About the ACMA</w:t>
      </w:r>
      <w:bookmarkEnd w:id="8"/>
    </w:p>
    <w:p w14:paraId="473DA24A" w14:textId="77777777" w:rsidR="008970E9" w:rsidRPr="001E2783" w:rsidRDefault="008970E9" w:rsidP="008970E9">
      <w:pPr>
        <w:rPr>
          <w:rFonts w:cs="Arial"/>
        </w:rPr>
      </w:pPr>
      <w:r w:rsidRPr="001E2783">
        <w:rPr>
          <w:rFonts w:cs="Arial"/>
        </w:rPr>
        <w:t>Chapter 1 details the functions, structure and corporate governance that enable the ACMA to perform its role, administer regulations and legislation, and deliver its services.</w:t>
      </w:r>
    </w:p>
    <w:p w14:paraId="2287C75A" w14:textId="77777777" w:rsidR="008970E9" w:rsidRPr="001E2783" w:rsidRDefault="008970E9" w:rsidP="008970E9">
      <w:pPr>
        <w:pStyle w:val="Heading2"/>
      </w:pPr>
      <w:bookmarkStart w:id="9" w:name="_Toc337727517"/>
      <w:bookmarkStart w:id="10" w:name="_Toc400018485"/>
      <w:bookmarkStart w:id="11" w:name="_Toc433703254"/>
      <w:r w:rsidRPr="001E2783">
        <w:t>Functions and responsibilities</w:t>
      </w:r>
      <w:bookmarkEnd w:id="9"/>
      <w:bookmarkEnd w:id="10"/>
      <w:bookmarkEnd w:id="11"/>
    </w:p>
    <w:p w14:paraId="4DF792B3" w14:textId="4B62EBDF" w:rsidR="008970E9" w:rsidRPr="001E2783" w:rsidRDefault="008970E9" w:rsidP="008970E9">
      <w:pPr>
        <w:rPr>
          <w:rFonts w:cs="Arial"/>
        </w:rPr>
      </w:pPr>
      <w:r w:rsidRPr="001E2783">
        <w:rPr>
          <w:rFonts w:cs="Arial"/>
        </w:rPr>
        <w:t xml:space="preserve">The ACMA’s regulatory functions and responsibilities are set out in Part 2, Division 2 of the </w:t>
      </w:r>
      <w:r w:rsidRPr="001E2783">
        <w:rPr>
          <w:rFonts w:cs="Arial"/>
          <w:i/>
        </w:rPr>
        <w:t>Australian Communications and Media Authority Act 2005</w:t>
      </w:r>
      <w:r w:rsidRPr="001E2783">
        <w:rPr>
          <w:rFonts w:cs="Arial"/>
        </w:rPr>
        <w:t xml:space="preserve"> (the ACMA Act). D</w:t>
      </w:r>
      <w:r w:rsidR="003437C1">
        <w:rPr>
          <w:rFonts w:cs="Arial"/>
        </w:rPr>
        <w:t>uring the reporting period, the ACMA</w:t>
      </w:r>
      <w:r w:rsidRPr="001E2783">
        <w:rPr>
          <w:rFonts w:cs="Arial"/>
        </w:rPr>
        <w:t xml:space="preserve"> was a statutory authority within the Communications portfolio. </w:t>
      </w:r>
      <w:r w:rsidR="007078D1">
        <w:rPr>
          <w:rFonts w:cs="Arial"/>
        </w:rPr>
        <w:t>The Department of Communications has changed its name to the Department of Communications and the Arts in accordance with the Administrative Arrangements Orders issued on 21 September 2015.</w:t>
      </w:r>
    </w:p>
    <w:p w14:paraId="2DC3B00D" w14:textId="77777777" w:rsidR="008970E9" w:rsidRPr="001E2783" w:rsidRDefault="008970E9" w:rsidP="008970E9">
      <w:pPr>
        <w:rPr>
          <w:rFonts w:cs="Arial"/>
        </w:rPr>
      </w:pPr>
      <w:r w:rsidRPr="001E2783">
        <w:rPr>
          <w:rFonts w:cs="Arial"/>
        </w:rPr>
        <w:t>The ACMA is responsible for the regulation of broadcasting, the internet, radiocommunications and telecommunications.</w:t>
      </w:r>
    </w:p>
    <w:p w14:paraId="4745A017" w14:textId="77777777" w:rsidR="008970E9" w:rsidRPr="001E2783" w:rsidRDefault="008970E9" w:rsidP="008970E9">
      <w:pPr>
        <w:spacing w:after="80"/>
        <w:rPr>
          <w:rFonts w:cs="Arial"/>
        </w:rPr>
      </w:pPr>
      <w:r w:rsidRPr="001E2783">
        <w:rPr>
          <w:rFonts w:cs="Arial"/>
        </w:rPr>
        <w:t>In accordance with the relevant legislation, the ACMA’s specific responsibilities include:</w:t>
      </w:r>
    </w:p>
    <w:p w14:paraId="551B6321" w14:textId="77777777" w:rsidR="008970E9" w:rsidRPr="001E2783" w:rsidRDefault="008970E9" w:rsidP="008970E9">
      <w:pPr>
        <w:pStyle w:val="ListBullet"/>
        <w:ind w:left="284" w:hanging="284"/>
        <w:rPr>
          <w:rFonts w:cs="Arial"/>
        </w:rPr>
      </w:pPr>
      <w:r w:rsidRPr="001E2783">
        <w:rPr>
          <w:rFonts w:cs="Arial"/>
        </w:rPr>
        <w:t>regulating telecommunications and broadcasting services, internet content and datacasting services</w:t>
      </w:r>
    </w:p>
    <w:p w14:paraId="16B6BB7D" w14:textId="77777777" w:rsidR="008970E9" w:rsidRPr="001E2783" w:rsidRDefault="008970E9" w:rsidP="008970E9">
      <w:pPr>
        <w:pStyle w:val="ListBullet"/>
        <w:ind w:left="284" w:hanging="284"/>
        <w:rPr>
          <w:rFonts w:cs="Arial"/>
        </w:rPr>
      </w:pPr>
      <w:r w:rsidRPr="001E2783">
        <w:rPr>
          <w:rFonts w:cs="Arial"/>
        </w:rPr>
        <w:t>managing access to radiofrequency spectrum bands through radiocommunications licence arrangements, and resolving competing demands for that spectrum through price-based allocation methods</w:t>
      </w:r>
    </w:p>
    <w:p w14:paraId="7B435D5C" w14:textId="77777777" w:rsidR="008970E9" w:rsidRPr="001E2783" w:rsidRDefault="008970E9" w:rsidP="008970E9">
      <w:pPr>
        <w:pStyle w:val="ListBullet"/>
        <w:ind w:left="284" w:hanging="284"/>
        <w:rPr>
          <w:rFonts w:cs="Arial"/>
        </w:rPr>
      </w:pPr>
      <w:r w:rsidRPr="001E2783">
        <w:rPr>
          <w:rFonts w:cs="Arial"/>
        </w:rPr>
        <w:t>planning the availability of segments of radiofrequency spectrum bands used by broadcasting services, and managing access to that spectrum through broadcasting licence arrangements</w:t>
      </w:r>
    </w:p>
    <w:p w14:paraId="6261800A" w14:textId="77777777" w:rsidR="008970E9" w:rsidRPr="001E2783" w:rsidRDefault="008970E9" w:rsidP="008970E9">
      <w:pPr>
        <w:pStyle w:val="ListBullet"/>
        <w:ind w:left="284" w:hanging="284"/>
        <w:rPr>
          <w:rFonts w:cs="Arial"/>
        </w:rPr>
      </w:pPr>
      <w:r w:rsidRPr="001E2783">
        <w:rPr>
          <w:rFonts w:cs="Arial"/>
        </w:rPr>
        <w:t>regulating compliance with the relevant legislation, licence conditions, codes of practice, standards, service guarantees and other safeguards</w:t>
      </w:r>
    </w:p>
    <w:p w14:paraId="5179F5F2" w14:textId="77777777" w:rsidR="008970E9" w:rsidRPr="001E2783" w:rsidRDefault="008970E9" w:rsidP="008970E9">
      <w:pPr>
        <w:pStyle w:val="ListBullet"/>
        <w:ind w:left="284" w:hanging="284"/>
        <w:rPr>
          <w:rFonts w:cs="Arial"/>
        </w:rPr>
      </w:pPr>
      <w:r w:rsidRPr="001E2783">
        <w:rPr>
          <w:rFonts w:cs="Arial"/>
        </w:rPr>
        <w:t>promoting and facilitating industry self-regulatory and co-regulatory solutions to emerging issues</w:t>
      </w:r>
    </w:p>
    <w:p w14:paraId="4EDD177C" w14:textId="77777777" w:rsidR="008970E9" w:rsidRPr="001E2783" w:rsidRDefault="008970E9" w:rsidP="008970E9">
      <w:pPr>
        <w:pStyle w:val="ListBullet"/>
        <w:ind w:left="284" w:hanging="284"/>
        <w:rPr>
          <w:rFonts w:cs="Arial"/>
        </w:rPr>
      </w:pPr>
      <w:r w:rsidRPr="001E2783">
        <w:rPr>
          <w:rFonts w:cs="Arial"/>
        </w:rPr>
        <w:t>where necessary, exercising powers to create legislative and other instruments, often in the form of standards or service provider rules</w:t>
      </w:r>
    </w:p>
    <w:p w14:paraId="12DAD055" w14:textId="77777777" w:rsidR="008970E9" w:rsidRPr="001E2783" w:rsidRDefault="008970E9" w:rsidP="008970E9">
      <w:pPr>
        <w:pStyle w:val="ListBullet"/>
        <w:ind w:left="284" w:hanging="284"/>
        <w:rPr>
          <w:rFonts w:cs="Arial"/>
        </w:rPr>
      </w:pPr>
      <w:r w:rsidRPr="001E2783">
        <w:rPr>
          <w:rFonts w:cs="Arial"/>
        </w:rPr>
        <w:t>facilitating the provision of community information to promote informed decisions about communications products and services</w:t>
      </w:r>
    </w:p>
    <w:p w14:paraId="6F771003" w14:textId="77777777" w:rsidR="008970E9" w:rsidRPr="001E2783" w:rsidRDefault="008970E9" w:rsidP="008970E9">
      <w:pPr>
        <w:pStyle w:val="ListBullet"/>
        <w:ind w:left="284" w:hanging="284"/>
        <w:rPr>
          <w:rFonts w:cs="Arial"/>
        </w:rPr>
      </w:pPr>
      <w:r w:rsidRPr="001E2783">
        <w:rPr>
          <w:rFonts w:cs="Arial"/>
        </w:rPr>
        <w:t>reporting on matters relating to the communications industry, including its performance</w:t>
      </w:r>
    </w:p>
    <w:p w14:paraId="45AE39B4" w14:textId="77777777" w:rsidR="008970E9" w:rsidRPr="001E2783" w:rsidRDefault="008970E9" w:rsidP="008970E9">
      <w:pPr>
        <w:pStyle w:val="ListBullet"/>
        <w:ind w:left="284" w:hanging="284"/>
        <w:rPr>
          <w:rFonts w:cs="Arial"/>
        </w:rPr>
      </w:pPr>
      <w:r w:rsidRPr="001E2783">
        <w:rPr>
          <w:rFonts w:cs="Arial"/>
        </w:rPr>
        <w:t>representing Australia’s communications interests internationally</w:t>
      </w:r>
    </w:p>
    <w:p w14:paraId="47E8768C" w14:textId="77777777" w:rsidR="008970E9" w:rsidRDefault="008970E9" w:rsidP="00BD79AA">
      <w:pPr>
        <w:pStyle w:val="ListBulletLast"/>
      </w:pPr>
      <w:r w:rsidRPr="001E2783">
        <w:t>advising the government on specific matters from time to time.</w:t>
      </w:r>
    </w:p>
    <w:p w14:paraId="4EC4A73A" w14:textId="77777777" w:rsidR="00BA2DFF" w:rsidRPr="003437C1" w:rsidRDefault="00BA2DFF" w:rsidP="00BA2DFF">
      <w:pPr>
        <w:pStyle w:val="Heading2"/>
      </w:pPr>
      <w:bookmarkStart w:id="12" w:name="_Toc433703255"/>
      <w:r w:rsidRPr="003437C1">
        <w:t>Strategic work program</w:t>
      </w:r>
      <w:bookmarkEnd w:id="12"/>
    </w:p>
    <w:p w14:paraId="30667E5A" w14:textId="65C0F625" w:rsidR="0083427F" w:rsidRPr="003437C1" w:rsidRDefault="0083427F" w:rsidP="00E63649">
      <w:pPr>
        <w:spacing w:after="80"/>
      </w:pPr>
      <w:r w:rsidRPr="003437C1">
        <w:t>To enhance the ability to effectively deliver against th</w:t>
      </w:r>
      <w:r w:rsidR="00D04BE3">
        <w:t>e ACMA’s o</w:t>
      </w:r>
      <w:r w:rsidRPr="003437C1">
        <w:t>utcome of a communications and media environment that balances the needs of the industry and the Australian community through regulation, education and advice, the ACMA has framed its strategic work program around five Key Results Areas (KRAs).:</w:t>
      </w:r>
    </w:p>
    <w:p w14:paraId="6A6D0CE6" w14:textId="54AF5A7C" w:rsidR="00E63649" w:rsidRPr="003437C1" w:rsidRDefault="00E63649" w:rsidP="00E63649">
      <w:pPr>
        <w:spacing w:after="80"/>
      </w:pPr>
      <w:r w:rsidRPr="003437C1">
        <w:t>The</w:t>
      </w:r>
      <w:r w:rsidR="0083427F" w:rsidRPr="003437C1">
        <w:t xml:space="preserve"> ACMA’s</w:t>
      </w:r>
      <w:r w:rsidRPr="003437C1">
        <w:t xml:space="preserve"> KRAs are:</w:t>
      </w:r>
    </w:p>
    <w:p w14:paraId="7494B8C8" w14:textId="77777777" w:rsidR="00E63649" w:rsidRPr="003437C1" w:rsidRDefault="00176545" w:rsidP="00E63649">
      <w:pPr>
        <w:pStyle w:val="ListBullet"/>
      </w:pPr>
      <w:r w:rsidRPr="003437C1">
        <w:t>KRA 1—</w:t>
      </w:r>
      <w:r w:rsidR="00E63649" w:rsidRPr="003437C1">
        <w:t xml:space="preserve">That the allocation and use of public resources maximise the public value to the Australian community. </w:t>
      </w:r>
    </w:p>
    <w:p w14:paraId="0881B9B6" w14:textId="77777777" w:rsidR="00E63649" w:rsidRPr="003437C1" w:rsidRDefault="00176545" w:rsidP="00E63649">
      <w:pPr>
        <w:pStyle w:val="ListBullet"/>
      </w:pPr>
      <w:r w:rsidRPr="003437C1">
        <w:lastRenderedPageBreak/>
        <w:t>KRA 2—</w:t>
      </w:r>
      <w:r w:rsidR="00E63649" w:rsidRPr="003437C1">
        <w:t xml:space="preserve">That national safety and security interests are appropriately supported in the planning and delivery of communication infrastructure services. </w:t>
      </w:r>
    </w:p>
    <w:p w14:paraId="73BE21B4" w14:textId="77777777" w:rsidR="00E63649" w:rsidRPr="003437C1" w:rsidRDefault="00176545" w:rsidP="00E63649">
      <w:pPr>
        <w:pStyle w:val="ListBullet"/>
      </w:pPr>
      <w:r w:rsidRPr="003437C1">
        <w:t>KRA 3—</w:t>
      </w:r>
      <w:r w:rsidR="00E63649" w:rsidRPr="003437C1">
        <w:t xml:space="preserve">That consumer, citizen and audience safeguards are effective, reflect community standards and deliver on consumer experience. </w:t>
      </w:r>
    </w:p>
    <w:p w14:paraId="601FE522" w14:textId="77777777" w:rsidR="00E63649" w:rsidRPr="003437C1" w:rsidRDefault="00176545" w:rsidP="00E63649">
      <w:pPr>
        <w:pStyle w:val="ListBullet"/>
      </w:pPr>
      <w:r w:rsidRPr="003437C1">
        <w:t>KRA 4—</w:t>
      </w:r>
      <w:r w:rsidR="00E63649" w:rsidRPr="003437C1">
        <w:t xml:space="preserve">That citizens engage positively, confidently and securely in the developing information economy and evolving networked society. </w:t>
      </w:r>
    </w:p>
    <w:p w14:paraId="42A6352C" w14:textId="77777777" w:rsidR="00E63649" w:rsidRPr="003437C1" w:rsidRDefault="00176545" w:rsidP="00E63649">
      <w:pPr>
        <w:pStyle w:val="ListBulletLast"/>
      </w:pPr>
      <w:r w:rsidRPr="003437C1">
        <w:t>KRA 5—</w:t>
      </w:r>
      <w:r w:rsidR="00E63649" w:rsidRPr="003437C1">
        <w:t xml:space="preserve">That the ACMA remains relevant as an increasingly resilient, agile, efficient and knowledge-based organisation. </w:t>
      </w:r>
    </w:p>
    <w:p w14:paraId="6AD3A11A" w14:textId="5EF01D6B" w:rsidR="00E63649" w:rsidRDefault="003437C1" w:rsidP="00E63649">
      <w:r>
        <w:t>These KRA</w:t>
      </w:r>
      <w:r w:rsidR="0083427F" w:rsidRPr="003437C1">
        <w:t>s are mapped and contribute directly to the strategies and deliverables contained within the Portfolio Budget</w:t>
      </w:r>
      <w:r>
        <w:t xml:space="preserve"> Statements. The use of the KRA</w:t>
      </w:r>
      <w:r w:rsidR="0083427F" w:rsidRPr="003437C1">
        <w:t>s lends coherence to the implementation of the</w:t>
      </w:r>
      <w:r>
        <w:t xml:space="preserve"> ACMA strategic vision. The KRA</w:t>
      </w:r>
      <w:r w:rsidR="0083427F" w:rsidRPr="003437C1">
        <w:t>s are used in business planning within the organisation and to structure the ACMA corporate plan.</w:t>
      </w:r>
      <w:r w:rsidR="0083427F" w:rsidRPr="0083427F">
        <w:t xml:space="preserve"> </w:t>
      </w:r>
      <w:r w:rsidR="00E63649">
        <w:t xml:space="preserve"> </w:t>
      </w:r>
    </w:p>
    <w:p w14:paraId="53D8644C" w14:textId="77777777" w:rsidR="008970E9" w:rsidRPr="00124637" w:rsidRDefault="008970E9" w:rsidP="008970E9">
      <w:pPr>
        <w:pStyle w:val="Heading2"/>
        <w:keepLines/>
      </w:pPr>
      <w:bookmarkStart w:id="13" w:name="_Toc337727518"/>
      <w:bookmarkStart w:id="14" w:name="_Toc400018486"/>
      <w:bookmarkStart w:id="15" w:name="_Toc433703256"/>
      <w:r w:rsidRPr="00124637">
        <w:t>Structure</w:t>
      </w:r>
      <w:bookmarkEnd w:id="13"/>
      <w:bookmarkEnd w:id="14"/>
      <w:bookmarkEnd w:id="15"/>
    </w:p>
    <w:p w14:paraId="2F8C8935" w14:textId="77777777" w:rsidR="008970E9" w:rsidRPr="00124637" w:rsidRDefault="008970E9" w:rsidP="008970E9">
      <w:pPr>
        <w:pStyle w:val="Heading3"/>
        <w:keepLines/>
      </w:pPr>
      <w:bookmarkStart w:id="16" w:name="_Toc337727519"/>
      <w:bookmarkStart w:id="17" w:name="_Toc400018487"/>
      <w:bookmarkStart w:id="18" w:name="_Toc433703257"/>
      <w:r w:rsidRPr="00124637">
        <w:t>The Authority</w:t>
      </w:r>
      <w:bookmarkEnd w:id="16"/>
      <w:bookmarkEnd w:id="17"/>
      <w:bookmarkEnd w:id="18"/>
    </w:p>
    <w:p w14:paraId="3D7888AD" w14:textId="77777777" w:rsidR="008970E9" w:rsidRPr="00124637" w:rsidRDefault="00FB09C9" w:rsidP="008970E9">
      <w:pPr>
        <w:keepNext/>
        <w:keepLines/>
        <w:rPr>
          <w:rFonts w:cs="Arial"/>
          <w:b/>
        </w:rPr>
      </w:pPr>
      <w:bookmarkStart w:id="19" w:name="_Toc335744218"/>
      <w:r w:rsidRPr="00124637">
        <w:rPr>
          <w:rFonts w:cs="Arial"/>
        </w:rPr>
        <w:t>At 30 June 2015</w:t>
      </w:r>
      <w:r w:rsidR="008970E9" w:rsidRPr="00124637">
        <w:rPr>
          <w:rFonts w:cs="Arial"/>
        </w:rPr>
        <w:t>, the Authority comprised the Ch</w:t>
      </w:r>
      <w:r w:rsidR="00800C4D" w:rsidRPr="00124637">
        <w:rPr>
          <w:rFonts w:cs="Arial"/>
        </w:rPr>
        <w:t>airman, the Deputy Chair, one F</w:t>
      </w:r>
      <w:r w:rsidR="008970E9" w:rsidRPr="00124637">
        <w:rPr>
          <w:rFonts w:cs="Arial"/>
        </w:rPr>
        <w:t>ull</w:t>
      </w:r>
      <w:r w:rsidR="00800C4D" w:rsidRPr="00124637">
        <w:rPr>
          <w:rFonts w:cs="Arial"/>
        </w:rPr>
        <w:noBreakHyphen/>
      </w:r>
      <w:r w:rsidR="008970E9" w:rsidRPr="00124637">
        <w:rPr>
          <w:rFonts w:cs="Arial"/>
        </w:rPr>
        <w:t xml:space="preserve">time Member, four </w:t>
      </w:r>
      <w:r w:rsidR="00800C4D" w:rsidRPr="00124637">
        <w:rPr>
          <w:rFonts w:cs="Arial"/>
        </w:rPr>
        <w:t>P</w:t>
      </w:r>
      <w:r w:rsidR="008970E9" w:rsidRPr="00124637">
        <w:rPr>
          <w:rFonts w:cs="Arial"/>
        </w:rPr>
        <w:t>art-time Members and one Associate Member (see Table 1)</w:t>
      </w:r>
      <w:bookmarkStart w:id="20" w:name="_Toc295392714"/>
      <w:bookmarkStart w:id="21" w:name="_Toc264458259"/>
      <w:bookmarkEnd w:id="19"/>
      <w:r w:rsidR="008970E9" w:rsidRPr="00124637">
        <w:rPr>
          <w:rFonts w:cs="Arial"/>
        </w:rPr>
        <w:t>.</w:t>
      </w:r>
    </w:p>
    <w:bookmarkEnd w:id="20"/>
    <w:p w14:paraId="54202731" w14:textId="5A238DB7" w:rsidR="008970E9" w:rsidRPr="00124637" w:rsidRDefault="008970E9" w:rsidP="00EB6B0D">
      <w:pPr>
        <w:pStyle w:val="BodysubheaderH4"/>
        <w:keepLines/>
        <w:rPr>
          <w:rFonts w:cs="Arial"/>
        </w:rPr>
      </w:pPr>
      <w:r w:rsidRPr="00124637">
        <w:rPr>
          <w:rFonts w:cs="Arial"/>
        </w:rPr>
        <w:t>Chairman—Chris Chapman</w:t>
      </w:r>
    </w:p>
    <w:p w14:paraId="708C748A" w14:textId="77777777" w:rsidR="008970E9" w:rsidRPr="00124637" w:rsidRDefault="008970E9" w:rsidP="00EB6B0D">
      <w:pPr>
        <w:keepNext/>
        <w:keepLines/>
        <w:spacing w:after="0"/>
        <w:rPr>
          <w:rFonts w:cs="Arial"/>
          <w:i/>
        </w:rPr>
      </w:pPr>
      <w:r w:rsidRPr="00124637">
        <w:rPr>
          <w:rFonts w:cs="Arial"/>
          <w:i/>
        </w:rPr>
        <w:t>Appointed 27 February 2006 for five years</w:t>
      </w:r>
    </w:p>
    <w:p w14:paraId="575FC7FE" w14:textId="77777777" w:rsidR="008970E9" w:rsidRPr="00124637" w:rsidRDefault="008970E9" w:rsidP="00EB6B0D">
      <w:pPr>
        <w:keepNext/>
        <w:keepLines/>
        <w:spacing w:after="0"/>
        <w:rPr>
          <w:rFonts w:cs="Arial"/>
          <w:i/>
        </w:rPr>
      </w:pPr>
      <w:r w:rsidRPr="00124637">
        <w:rPr>
          <w:rFonts w:cs="Arial"/>
          <w:i/>
        </w:rPr>
        <w:t>Reappointed 14 October 2010 for five years</w:t>
      </w:r>
    </w:p>
    <w:p w14:paraId="108850D7" w14:textId="77777777" w:rsidR="008970E9" w:rsidRPr="00124637" w:rsidRDefault="008970E9" w:rsidP="008970E9">
      <w:pPr>
        <w:keepNext/>
        <w:keepLines/>
        <w:spacing w:after="120"/>
        <w:rPr>
          <w:rFonts w:cs="Arial"/>
          <w:i/>
        </w:rPr>
      </w:pPr>
      <w:r w:rsidRPr="00124637">
        <w:rPr>
          <w:rFonts w:cs="Arial"/>
          <w:i/>
        </w:rPr>
        <w:t>Reappointed 28 March 2013 until 26 February 2016</w:t>
      </w:r>
    </w:p>
    <w:p w14:paraId="5891FB5B" w14:textId="77777777" w:rsidR="008970E9" w:rsidRPr="00124637" w:rsidRDefault="008970E9" w:rsidP="008970E9">
      <w:pPr>
        <w:keepNext/>
        <w:keepLines/>
        <w:rPr>
          <w:rFonts w:cs="Arial"/>
        </w:rPr>
      </w:pPr>
      <w:r w:rsidRPr="00124637">
        <w:rPr>
          <w:rFonts w:cs="Arial"/>
        </w:rPr>
        <w:t xml:space="preserve">Chris Chapman commenced as the inaugural Chairman and CEO of the ACMA in February 2006. He was also appointed an Associate Member of the Australian Competition and Consumer Commission (ACCC) in September 2007. </w:t>
      </w:r>
    </w:p>
    <w:p w14:paraId="7364B530" w14:textId="77777777" w:rsidR="008970E9" w:rsidRPr="00124637" w:rsidRDefault="008970E9" w:rsidP="008970E9">
      <w:pPr>
        <w:rPr>
          <w:rFonts w:cs="Arial"/>
        </w:rPr>
      </w:pPr>
      <w:r w:rsidRPr="00124637">
        <w:rPr>
          <w:rFonts w:cs="Arial"/>
        </w:rPr>
        <w:t xml:space="preserve">Mr Chapman has had an extensive career including leadership roles in the media; broadcasting and film; internet, telecommunications and internet business; and the sports and infrastructure sectors. Before joining the ACMA, Mr Chapman held a number of senior management positions with Babcock &amp; Brown, Optus, Stadium Australia Management and the Seven Network. Mr Chapman has also been the Chairman of Film Australia and SportsVision Australia, and a previous member of the National Film and Sound Archive’s Advisory Council. </w:t>
      </w:r>
    </w:p>
    <w:p w14:paraId="7987D830" w14:textId="77777777" w:rsidR="008970E9" w:rsidRPr="00124637" w:rsidRDefault="008970E9" w:rsidP="00EB6B0D">
      <w:pPr>
        <w:rPr>
          <w:rFonts w:cs="Arial"/>
        </w:rPr>
      </w:pPr>
      <w:r w:rsidRPr="00124637">
        <w:rPr>
          <w:rFonts w:cs="Arial"/>
        </w:rPr>
        <w:t>Mr Chapman has a Bachelor of Laws and a Bachelor of Commerce from the University of New South Wales, and has completed the Harvard Business School Adv</w:t>
      </w:r>
      <w:r w:rsidR="00EB6B0D" w:rsidRPr="00124637">
        <w:rPr>
          <w:rFonts w:cs="Arial"/>
        </w:rPr>
        <w:t>anced Management Program (AMP).</w:t>
      </w:r>
    </w:p>
    <w:p w14:paraId="6B7D9D0D" w14:textId="77777777" w:rsidR="008970E9" w:rsidRPr="00124637" w:rsidRDefault="008970E9" w:rsidP="00B333E8">
      <w:pPr>
        <w:pStyle w:val="BodysubheaderH4"/>
        <w:keepLines/>
        <w:rPr>
          <w:rFonts w:cs="Arial"/>
        </w:rPr>
      </w:pPr>
      <w:r w:rsidRPr="00124637">
        <w:rPr>
          <w:rFonts w:cs="Arial"/>
        </w:rPr>
        <w:t>Deputy Chair—Richard Bean</w:t>
      </w:r>
    </w:p>
    <w:p w14:paraId="4CFEE00D" w14:textId="77777777" w:rsidR="008970E9" w:rsidRPr="00124637" w:rsidRDefault="008970E9" w:rsidP="00B333E8">
      <w:pPr>
        <w:keepNext/>
        <w:keepLines/>
        <w:spacing w:after="120"/>
        <w:rPr>
          <w:rFonts w:cs="Arial"/>
          <w:i/>
        </w:rPr>
      </w:pPr>
      <w:r w:rsidRPr="00124637">
        <w:rPr>
          <w:rFonts w:cs="Arial"/>
          <w:i/>
        </w:rPr>
        <w:t>Appointed 14 October 2010 for five years</w:t>
      </w:r>
    </w:p>
    <w:p w14:paraId="68E634F4" w14:textId="77777777" w:rsidR="008970E9" w:rsidRPr="00124637" w:rsidRDefault="008970E9" w:rsidP="00B333E8">
      <w:pPr>
        <w:keepLines/>
        <w:rPr>
          <w:rFonts w:cs="Arial"/>
        </w:rPr>
      </w:pPr>
      <w:r w:rsidRPr="00124637">
        <w:rPr>
          <w:rFonts w:cs="Arial"/>
        </w:rPr>
        <w:t xml:space="preserve">Richard Bean has worked in a variety of senior roles in Australia’s media and communications industries. Before joining the ACMA, he oversaw the legal and regulatory affairs and human resources functions at Unwired, the wireless broadband infrastructure owner and ISP. </w:t>
      </w:r>
    </w:p>
    <w:p w14:paraId="628A5380" w14:textId="77777777" w:rsidR="008970E9" w:rsidRPr="00124637" w:rsidRDefault="008970E9" w:rsidP="008970E9">
      <w:pPr>
        <w:rPr>
          <w:rFonts w:cs="Arial"/>
        </w:rPr>
      </w:pPr>
      <w:r w:rsidRPr="00124637">
        <w:rPr>
          <w:rFonts w:cs="Arial"/>
        </w:rPr>
        <w:t>He had previously held positions responsible for the legal and busin</w:t>
      </w:r>
      <w:r w:rsidR="00800C4D" w:rsidRPr="00124637">
        <w:rPr>
          <w:rFonts w:cs="Arial"/>
        </w:rPr>
        <w:t>ess affairs side of Network Ten’</w:t>
      </w:r>
      <w:r w:rsidRPr="00124637">
        <w:rPr>
          <w:rFonts w:cs="Arial"/>
        </w:rPr>
        <w:t xml:space="preserve">s programming activities, and practised as a commercial, media and litigation lawyer at national commercial law firm Blake Dawson. Prior to that, Mr Bean worked in program administration and policy development in a number of Australian Government organisations. </w:t>
      </w:r>
    </w:p>
    <w:p w14:paraId="6FB22DB0" w14:textId="77777777" w:rsidR="008970E9" w:rsidRPr="00124637" w:rsidRDefault="008970E9" w:rsidP="008970E9">
      <w:pPr>
        <w:rPr>
          <w:rFonts w:cs="Arial"/>
        </w:rPr>
      </w:pPr>
      <w:r w:rsidRPr="00124637">
        <w:rPr>
          <w:rFonts w:cs="Arial"/>
        </w:rPr>
        <w:t>Mr Bean holds an honours degree in Literature and Philosophy from the University of Sydney, and a law degree from the University of New South Wales.</w:t>
      </w:r>
    </w:p>
    <w:p w14:paraId="218FB120" w14:textId="77777777" w:rsidR="008970E9" w:rsidRPr="00124637" w:rsidRDefault="008970E9" w:rsidP="00EB6B0D">
      <w:pPr>
        <w:pStyle w:val="BodysubheaderH4"/>
        <w:rPr>
          <w:rFonts w:cs="Arial"/>
        </w:rPr>
      </w:pPr>
      <w:r w:rsidRPr="00124637">
        <w:rPr>
          <w:rFonts w:cs="Arial"/>
        </w:rPr>
        <w:lastRenderedPageBreak/>
        <w:t>Full-time Member—Chris Cheah</w:t>
      </w:r>
    </w:p>
    <w:p w14:paraId="208AD997" w14:textId="77777777" w:rsidR="008970E9" w:rsidRPr="00124637" w:rsidRDefault="008970E9" w:rsidP="00EB6B0D">
      <w:pPr>
        <w:spacing w:after="0"/>
        <w:rPr>
          <w:rFonts w:cs="Arial"/>
          <w:i/>
        </w:rPr>
      </w:pPr>
      <w:r w:rsidRPr="00124637">
        <w:rPr>
          <w:rFonts w:cs="Arial"/>
          <w:i/>
        </w:rPr>
        <w:t>Appointed 1 July 2005 for four years</w:t>
      </w:r>
    </w:p>
    <w:p w14:paraId="09CA3BD8" w14:textId="77777777" w:rsidR="008970E9" w:rsidRPr="00124637" w:rsidRDefault="008970E9" w:rsidP="00EB6B0D">
      <w:pPr>
        <w:spacing w:after="0"/>
        <w:rPr>
          <w:rFonts w:cs="Arial"/>
          <w:i/>
        </w:rPr>
      </w:pPr>
      <w:r w:rsidRPr="00124637">
        <w:rPr>
          <w:rFonts w:cs="Arial"/>
          <w:i/>
        </w:rPr>
        <w:t>Reappointed 1 July 2009 for five years</w:t>
      </w:r>
    </w:p>
    <w:p w14:paraId="2E66739C" w14:textId="77777777" w:rsidR="008970E9" w:rsidRPr="00124637" w:rsidRDefault="008970E9" w:rsidP="008970E9">
      <w:pPr>
        <w:spacing w:after="120"/>
        <w:rPr>
          <w:rFonts w:cs="Arial"/>
          <w:i/>
          <w:szCs w:val="20"/>
        </w:rPr>
      </w:pPr>
      <w:r w:rsidRPr="00124637">
        <w:rPr>
          <w:rFonts w:cs="Arial"/>
          <w:i/>
          <w:szCs w:val="20"/>
        </w:rPr>
        <w:t>Reappointed 1 July 2014 for one year until 30 June 2015</w:t>
      </w:r>
    </w:p>
    <w:p w14:paraId="2B6DEC9C" w14:textId="77777777" w:rsidR="008970E9" w:rsidRPr="00124637" w:rsidRDefault="008970E9" w:rsidP="008970E9">
      <w:pPr>
        <w:spacing w:line="240" w:lineRule="auto"/>
        <w:rPr>
          <w:rFonts w:cs="Arial"/>
        </w:rPr>
      </w:pPr>
      <w:r w:rsidRPr="00124637">
        <w:rPr>
          <w:rFonts w:cs="Arial"/>
        </w:rPr>
        <w:t xml:space="preserve">Chris Cheah was previously head of the Telecommunications Division of the then Department of Communications, Information Technology and the Arts (now DoC), advising the government on telecommunications issues. He has also managed accessibility funding programs and held positions with Austel and Telstra. </w:t>
      </w:r>
    </w:p>
    <w:p w14:paraId="331AD458" w14:textId="77777777" w:rsidR="008970E9" w:rsidRPr="00124637" w:rsidRDefault="008970E9" w:rsidP="008970E9">
      <w:pPr>
        <w:pStyle w:val="BodysubheaderH4"/>
        <w:rPr>
          <w:rFonts w:cs="Arial"/>
        </w:rPr>
      </w:pPr>
      <w:r w:rsidRPr="00124637">
        <w:rPr>
          <w:rFonts w:cs="Arial"/>
        </w:rPr>
        <w:t>Part-time Member—Louise Benjamin</w:t>
      </w:r>
    </w:p>
    <w:p w14:paraId="27510C3C" w14:textId="77777777" w:rsidR="008970E9" w:rsidRPr="00124637" w:rsidRDefault="008970E9" w:rsidP="00131DDF">
      <w:pPr>
        <w:keepNext/>
        <w:spacing w:after="120" w:line="240" w:lineRule="auto"/>
        <w:rPr>
          <w:rFonts w:cs="Arial"/>
          <w:i/>
        </w:rPr>
      </w:pPr>
      <w:r w:rsidRPr="00124637">
        <w:rPr>
          <w:rFonts w:cs="Arial"/>
          <w:i/>
        </w:rPr>
        <w:t>Appointed 14 October 2010 for five years</w:t>
      </w:r>
    </w:p>
    <w:p w14:paraId="6B4F3296" w14:textId="77777777" w:rsidR="008970E9" w:rsidRPr="00124637" w:rsidRDefault="008970E9" w:rsidP="00131DDF">
      <w:pPr>
        <w:keepNext/>
        <w:keepLines/>
        <w:spacing w:line="240" w:lineRule="auto"/>
        <w:rPr>
          <w:rFonts w:cs="Arial"/>
        </w:rPr>
      </w:pPr>
      <w:r w:rsidRPr="00124637">
        <w:rPr>
          <w:rFonts w:cs="Arial"/>
        </w:rPr>
        <w:t xml:space="preserve">Louise Benjamin has extensive experience in media and telecommunications, from both a regulatory and executive perspective. Prior to joining the ACMA, Miss Benjamin held senior strategy positions with News Ltd and Foxtel. She was a competition law partner at Allens Arthur Robinson from 1995 to 2004 and the national Chair of the Law Council of Australia's Trade Practices Committee, which plays a significant role in competition law policy. She has also served as Deputy Chair of the Australian Publishers’ Bureau. </w:t>
      </w:r>
    </w:p>
    <w:p w14:paraId="585487B2" w14:textId="77777777" w:rsidR="008970E9" w:rsidRPr="00124637" w:rsidRDefault="008970E9" w:rsidP="00131DDF">
      <w:pPr>
        <w:keepLines/>
        <w:rPr>
          <w:rFonts w:cs="Arial"/>
        </w:rPr>
      </w:pPr>
      <w:r w:rsidRPr="00124637">
        <w:rPr>
          <w:rFonts w:cs="Arial"/>
        </w:rPr>
        <w:t>Miss Benjamin holds a Bachelor of Arts, Bachelor of Laws and Master of Laws from the University of Sydney.</w:t>
      </w:r>
    </w:p>
    <w:p w14:paraId="3DE6A463" w14:textId="77777777" w:rsidR="008970E9" w:rsidRPr="00124637" w:rsidRDefault="008970E9" w:rsidP="008970E9">
      <w:pPr>
        <w:pStyle w:val="BodysubheaderH4"/>
        <w:rPr>
          <w:rFonts w:cs="Arial"/>
          <w:szCs w:val="20"/>
        </w:rPr>
      </w:pPr>
      <w:r w:rsidRPr="00124637">
        <w:rPr>
          <w:rFonts w:cs="Arial"/>
          <w:szCs w:val="20"/>
        </w:rPr>
        <w:t>Part-time Member—Anita Jacoby</w:t>
      </w:r>
    </w:p>
    <w:p w14:paraId="543D32F2" w14:textId="77777777" w:rsidR="008970E9" w:rsidRPr="00124637" w:rsidRDefault="008970E9" w:rsidP="00131DDF">
      <w:pPr>
        <w:keepNext/>
        <w:spacing w:after="120"/>
        <w:rPr>
          <w:rFonts w:cs="Arial"/>
          <w:i/>
          <w:szCs w:val="20"/>
        </w:rPr>
      </w:pPr>
      <w:r w:rsidRPr="00124637">
        <w:rPr>
          <w:rFonts w:cs="Arial"/>
          <w:i/>
          <w:szCs w:val="20"/>
        </w:rPr>
        <w:t>Appointed 5 August 2013 for five years</w:t>
      </w:r>
    </w:p>
    <w:p w14:paraId="4AD8449B" w14:textId="77777777" w:rsidR="008970E9" w:rsidRPr="00124637" w:rsidRDefault="008970E9" w:rsidP="008970E9">
      <w:pPr>
        <w:rPr>
          <w:rFonts w:cs="Arial"/>
          <w:szCs w:val="20"/>
        </w:rPr>
      </w:pPr>
      <w:r w:rsidRPr="00124637">
        <w:rPr>
          <w:rFonts w:cs="Arial"/>
          <w:szCs w:val="20"/>
        </w:rPr>
        <w:t xml:space="preserve">Anita Jacoby is one of Australia’s most experienced media professionals. In a career spanning 30 years, she’s worked as a journalist and editor in print and publishing, and produced TV programs for every major network. For 10 years, Anita was an executive with Zapruder’s other films, an independent TV production company creating original content including </w:t>
      </w:r>
      <w:r w:rsidRPr="00124637">
        <w:rPr>
          <w:rFonts w:cs="Arial"/>
          <w:i/>
          <w:szCs w:val="20"/>
        </w:rPr>
        <w:t xml:space="preserve">Gruen Planet </w:t>
      </w:r>
      <w:r w:rsidRPr="00124637">
        <w:rPr>
          <w:rFonts w:cs="Arial"/>
          <w:szCs w:val="20"/>
        </w:rPr>
        <w:t>and</w:t>
      </w:r>
      <w:r w:rsidRPr="00124637">
        <w:rPr>
          <w:rFonts w:cs="Arial"/>
          <w:i/>
          <w:szCs w:val="20"/>
        </w:rPr>
        <w:t xml:space="preserve"> Enough Rope</w:t>
      </w:r>
      <w:r w:rsidRPr="00124637">
        <w:rPr>
          <w:rFonts w:cs="Arial"/>
          <w:szCs w:val="20"/>
        </w:rPr>
        <w:t xml:space="preserve">. </w:t>
      </w:r>
    </w:p>
    <w:p w14:paraId="65CCCE37" w14:textId="77777777" w:rsidR="008970E9" w:rsidRPr="00124637" w:rsidRDefault="008970E9" w:rsidP="008970E9">
      <w:pPr>
        <w:rPr>
          <w:rFonts w:cs="Arial"/>
          <w:szCs w:val="20"/>
        </w:rPr>
      </w:pPr>
      <w:r w:rsidRPr="00124637">
        <w:rPr>
          <w:rFonts w:cs="Arial"/>
          <w:szCs w:val="20"/>
        </w:rPr>
        <w:t>Anita is currently Managing Director of ITV Studios. She is also a director of Headspace and the Arts Law Centre of Australia.</w:t>
      </w:r>
    </w:p>
    <w:p w14:paraId="7D1000FF" w14:textId="77777777" w:rsidR="008970E9" w:rsidRPr="00124637" w:rsidRDefault="008970E9" w:rsidP="008970E9">
      <w:pPr>
        <w:pStyle w:val="BodysubheaderH4"/>
        <w:rPr>
          <w:rFonts w:cs="Arial"/>
          <w:szCs w:val="20"/>
        </w:rPr>
      </w:pPr>
      <w:r w:rsidRPr="00124637">
        <w:rPr>
          <w:rFonts w:cs="Arial"/>
          <w:szCs w:val="20"/>
        </w:rPr>
        <w:t>Part-time Member—James Cameron</w:t>
      </w:r>
    </w:p>
    <w:p w14:paraId="6A0341DA" w14:textId="77777777" w:rsidR="008970E9" w:rsidRPr="00124637" w:rsidRDefault="008970E9" w:rsidP="00131DDF">
      <w:pPr>
        <w:keepNext/>
        <w:spacing w:after="120"/>
        <w:rPr>
          <w:rFonts w:cs="Arial"/>
          <w:i/>
          <w:szCs w:val="20"/>
        </w:rPr>
      </w:pPr>
      <w:r w:rsidRPr="00124637">
        <w:rPr>
          <w:rFonts w:cs="Arial"/>
          <w:i/>
          <w:szCs w:val="20"/>
        </w:rPr>
        <w:t>Appointed 5 August 2013 for five years</w:t>
      </w:r>
    </w:p>
    <w:p w14:paraId="1A0234EB" w14:textId="77777777" w:rsidR="008970E9" w:rsidRPr="00124637" w:rsidRDefault="008970E9" w:rsidP="008970E9">
      <w:pPr>
        <w:spacing w:line="240" w:lineRule="auto"/>
        <w:rPr>
          <w:rFonts w:cs="Arial"/>
        </w:rPr>
      </w:pPr>
      <w:r w:rsidRPr="00124637">
        <w:rPr>
          <w:rFonts w:cs="Arial"/>
        </w:rPr>
        <w:t xml:space="preserve">James Cameron has over 20 years </w:t>
      </w:r>
      <w:r w:rsidR="00131DDF" w:rsidRPr="00124637">
        <w:rPr>
          <w:rFonts w:cs="Arial"/>
        </w:rPr>
        <w:t xml:space="preserve">of </w:t>
      </w:r>
      <w:r w:rsidRPr="00124637">
        <w:rPr>
          <w:rFonts w:cs="Arial"/>
        </w:rPr>
        <w:t xml:space="preserve">Australian Government public policy experience, including senior executive roles in the telecommunications, radiocommunications, broadcasting and digital economy fields. James has held executive positions managing government policies and programs supporting Australia’s arts and sports sectors and, immediately prior to joining the ACMA, was Chief Executive Officer of the National Water Commission. </w:t>
      </w:r>
    </w:p>
    <w:p w14:paraId="61B4E459" w14:textId="77777777" w:rsidR="008970E9" w:rsidRPr="00124637" w:rsidRDefault="008970E9" w:rsidP="008970E9">
      <w:pPr>
        <w:spacing w:line="240" w:lineRule="auto"/>
        <w:rPr>
          <w:rFonts w:cs="Arial"/>
        </w:rPr>
      </w:pPr>
      <w:r w:rsidRPr="00124637">
        <w:rPr>
          <w:rFonts w:cs="Arial"/>
        </w:rPr>
        <w:t>James has also represented government agencies in parliament, in the media, at conferences and internationally.</w:t>
      </w:r>
    </w:p>
    <w:p w14:paraId="73A92762" w14:textId="77777777" w:rsidR="008970E9" w:rsidRPr="00124637" w:rsidRDefault="008970E9" w:rsidP="008970E9">
      <w:pPr>
        <w:pStyle w:val="BodysubheaderH4"/>
        <w:rPr>
          <w:rFonts w:cs="Arial"/>
          <w:szCs w:val="20"/>
        </w:rPr>
      </w:pPr>
      <w:r w:rsidRPr="00124637">
        <w:rPr>
          <w:rFonts w:cs="Arial"/>
          <w:szCs w:val="20"/>
        </w:rPr>
        <w:lastRenderedPageBreak/>
        <w:t>Part-time Member—Rosemary Sinclair</w:t>
      </w:r>
    </w:p>
    <w:p w14:paraId="3B58E0E0" w14:textId="77777777" w:rsidR="008970E9" w:rsidRPr="00124637" w:rsidRDefault="008970E9" w:rsidP="00131DDF">
      <w:pPr>
        <w:keepNext/>
        <w:spacing w:after="120"/>
        <w:rPr>
          <w:rFonts w:cs="Arial"/>
          <w:i/>
          <w:szCs w:val="20"/>
        </w:rPr>
      </w:pPr>
      <w:r w:rsidRPr="00124637">
        <w:rPr>
          <w:rFonts w:cs="Arial"/>
          <w:i/>
          <w:szCs w:val="20"/>
        </w:rPr>
        <w:t>Appointed 5 August 2013 for five years</w:t>
      </w:r>
    </w:p>
    <w:p w14:paraId="5BB7B808" w14:textId="77777777" w:rsidR="00860741" w:rsidRPr="00124637" w:rsidRDefault="00860741" w:rsidP="00860741">
      <w:pPr>
        <w:keepNext/>
        <w:keepLines/>
        <w:rPr>
          <w:rFonts w:cs="Arial"/>
          <w:b/>
          <w:i/>
          <w:szCs w:val="20"/>
        </w:rPr>
      </w:pPr>
      <w:r w:rsidRPr="00124637">
        <w:rPr>
          <w:rFonts w:cs="Arial"/>
          <w:szCs w:val="20"/>
        </w:rPr>
        <w:t xml:space="preserve">Rosemary Sinclair is CEO of Energy Consumers Australia, a company established by COAG </w:t>
      </w:r>
      <w:r w:rsidRPr="00124637">
        <w:t>Energy</w:t>
      </w:r>
      <w:r w:rsidR="00FD1891" w:rsidRPr="00124637">
        <w:t xml:space="preserve"> </w:t>
      </w:r>
      <w:r w:rsidRPr="00124637">
        <w:rPr>
          <w:rFonts w:cs="Arial"/>
          <w:szCs w:val="20"/>
        </w:rPr>
        <w:t xml:space="preserve">Ministers. Rosemary was a Member of the Telecommunications Universal Service Management Agency and Chair of the Regional </w:t>
      </w:r>
      <w:r w:rsidR="00FD1891" w:rsidRPr="00124637">
        <w:rPr>
          <w:rFonts w:cs="Arial"/>
          <w:szCs w:val="20"/>
        </w:rPr>
        <w:t>Telecommunications Inquiry 2011–</w:t>
      </w:r>
      <w:r w:rsidRPr="00124637">
        <w:rPr>
          <w:rFonts w:cs="Arial"/>
          <w:szCs w:val="20"/>
        </w:rPr>
        <w:t xml:space="preserve">2012. </w:t>
      </w:r>
      <w:r w:rsidR="00FD1891" w:rsidRPr="00124637">
        <w:rPr>
          <w:rFonts w:cs="Arial"/>
          <w:szCs w:val="20"/>
        </w:rPr>
        <w:t>She</w:t>
      </w:r>
      <w:r w:rsidRPr="00124637">
        <w:rPr>
          <w:rFonts w:cs="Arial"/>
          <w:szCs w:val="20"/>
        </w:rPr>
        <w:t xml:space="preserve"> was </w:t>
      </w:r>
      <w:r w:rsidR="00FD1891" w:rsidRPr="00124637">
        <w:rPr>
          <w:rFonts w:cs="Arial"/>
          <w:szCs w:val="20"/>
        </w:rPr>
        <w:t xml:space="preserve">also </w:t>
      </w:r>
      <w:r w:rsidRPr="00124637">
        <w:rPr>
          <w:rFonts w:cs="Arial"/>
          <w:szCs w:val="20"/>
        </w:rPr>
        <w:t xml:space="preserve">CEO of the Australian Telecommunications Users Group and Director of Strategic Development at the Australian Broadcasting Corporation. </w:t>
      </w:r>
    </w:p>
    <w:p w14:paraId="321BEFC3" w14:textId="77777777" w:rsidR="008970E9" w:rsidRPr="00124637" w:rsidRDefault="008970E9" w:rsidP="00860741">
      <w:pPr>
        <w:pStyle w:val="BodysubheaderH4"/>
        <w:rPr>
          <w:rFonts w:cs="Arial"/>
          <w:szCs w:val="20"/>
        </w:rPr>
      </w:pPr>
      <w:r w:rsidRPr="00124637">
        <w:rPr>
          <w:rFonts w:cs="Arial"/>
          <w:szCs w:val="20"/>
        </w:rPr>
        <w:t>Associate Member—Rod Sims</w:t>
      </w:r>
    </w:p>
    <w:p w14:paraId="74C9D20B" w14:textId="77777777" w:rsidR="008970E9" w:rsidRPr="00124637" w:rsidRDefault="008970E9" w:rsidP="00131DDF">
      <w:pPr>
        <w:keepNext/>
        <w:keepLines/>
        <w:spacing w:after="120" w:line="240" w:lineRule="auto"/>
        <w:rPr>
          <w:rFonts w:cs="Arial"/>
          <w:i/>
        </w:rPr>
      </w:pPr>
      <w:r w:rsidRPr="00124637">
        <w:rPr>
          <w:rFonts w:cs="Arial"/>
          <w:i/>
        </w:rPr>
        <w:t xml:space="preserve">Appointed 1 August 2011 for five years </w:t>
      </w:r>
    </w:p>
    <w:p w14:paraId="7D8BF7C3" w14:textId="77777777" w:rsidR="008970E9" w:rsidRPr="00124637" w:rsidRDefault="008970E9" w:rsidP="00131DDF">
      <w:pPr>
        <w:keepNext/>
        <w:keepLines/>
      </w:pPr>
      <w:r w:rsidRPr="00124637">
        <w:t xml:space="preserve">Rod Sims was appointed Chairman of the </w:t>
      </w:r>
      <w:r w:rsidR="00131DDF" w:rsidRPr="00124637">
        <w:t>ACCC</w:t>
      </w:r>
      <w:r w:rsidRPr="00124637">
        <w:t xml:space="preserve"> in August 2011 for a five-year term. </w:t>
      </w:r>
    </w:p>
    <w:p w14:paraId="7DACF922" w14:textId="77777777" w:rsidR="008970E9" w:rsidRPr="00124637" w:rsidRDefault="008970E9" w:rsidP="00131DDF">
      <w:pPr>
        <w:keepNext/>
        <w:keepLines/>
      </w:pPr>
      <w:r w:rsidRPr="00124637">
        <w:t xml:space="preserve">Mr Sims has extensive business and public sector experience as Chairman of the Independent Pricing and Regulatory Tribunal of New South Wales, Chairman of InfraCo Asia, Commissioner on the National Competition Council, Director of Ingeus Limited, and member of the Research and Policy Council of the Committee for Economic Development of Australia. Mr Sims was </w:t>
      </w:r>
      <w:r w:rsidR="00131DDF" w:rsidRPr="00124637">
        <w:t>also a Director of Port Jackson’</w:t>
      </w:r>
      <w:r w:rsidRPr="00124637">
        <w:t>s Partners Limited</w:t>
      </w:r>
      <w:r w:rsidR="00131DDF" w:rsidRPr="00124637">
        <w:t>,</w:t>
      </w:r>
      <w:r w:rsidRPr="00124637">
        <w:t xml:space="preserve"> where he advised the CEOs and boards of some of Australia's top 50 companies on commercial corporate strategy over many years. </w:t>
      </w:r>
    </w:p>
    <w:p w14:paraId="6FDE92F2" w14:textId="77777777" w:rsidR="00AA196F" w:rsidRPr="00124637" w:rsidRDefault="00AA196F" w:rsidP="00AA196F">
      <w:pPr>
        <w:pStyle w:val="Caption"/>
        <w:spacing w:after="120"/>
        <w:rPr>
          <w:color w:val="auto"/>
        </w:rPr>
      </w:pPr>
      <w:r w:rsidRPr="00124637">
        <w:rPr>
          <w:color w:val="auto"/>
        </w:rPr>
        <w:t>The Authority membership, 30 June 2015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2235"/>
        <w:gridCol w:w="1740"/>
        <w:gridCol w:w="5490"/>
      </w:tblGrid>
      <w:tr w:rsidR="00AA196F" w:rsidRPr="001E2783" w14:paraId="17894E4B" w14:textId="77777777" w:rsidTr="00AA196F">
        <w:trPr>
          <w:trHeight w:val="30"/>
        </w:trPr>
        <w:tc>
          <w:tcPr>
            <w:tcW w:w="2235" w:type="dxa"/>
            <w:shd w:val="clear" w:color="auto" w:fill="404040" w:themeFill="text1" w:themeFillTint="BF"/>
            <w:tcMar>
              <w:top w:w="57" w:type="dxa"/>
              <w:left w:w="57" w:type="dxa"/>
              <w:bottom w:w="57" w:type="dxa"/>
              <w:right w:w="57" w:type="dxa"/>
            </w:tcMar>
          </w:tcPr>
          <w:p w14:paraId="48B84905" w14:textId="77777777" w:rsidR="00AA196F" w:rsidRPr="00E73B1F" w:rsidRDefault="00AA196F" w:rsidP="00AA196F">
            <w:pPr>
              <w:pStyle w:val="TableHeading"/>
              <w:keepNext/>
              <w:keepLines/>
              <w:rPr>
                <w:rFonts w:cs="Arial"/>
                <w:color w:val="FFFFFF" w:themeColor="background1"/>
              </w:rPr>
            </w:pPr>
            <w:r w:rsidRPr="00E73B1F">
              <w:rPr>
                <w:rFonts w:cs="Arial"/>
                <w:color w:val="FFFFFF" w:themeColor="background1"/>
              </w:rPr>
              <w:t>Role</w:t>
            </w:r>
          </w:p>
        </w:tc>
        <w:tc>
          <w:tcPr>
            <w:tcW w:w="1740" w:type="dxa"/>
            <w:shd w:val="clear" w:color="auto" w:fill="404040" w:themeFill="text1" w:themeFillTint="BF"/>
            <w:tcMar>
              <w:top w:w="57" w:type="dxa"/>
              <w:left w:w="57" w:type="dxa"/>
              <w:bottom w:w="57" w:type="dxa"/>
              <w:right w:w="57" w:type="dxa"/>
            </w:tcMar>
          </w:tcPr>
          <w:p w14:paraId="60D62F70" w14:textId="77777777" w:rsidR="00AA196F" w:rsidRPr="00E73B1F" w:rsidRDefault="00AA196F" w:rsidP="00AA196F">
            <w:pPr>
              <w:pStyle w:val="TableHeading"/>
              <w:keepNext/>
              <w:keepLines/>
              <w:rPr>
                <w:rFonts w:cs="Arial"/>
                <w:color w:val="FFFFFF" w:themeColor="background1"/>
              </w:rPr>
            </w:pPr>
            <w:r w:rsidRPr="00E73B1F">
              <w:rPr>
                <w:rFonts w:cs="Arial"/>
                <w:color w:val="FFFFFF" w:themeColor="background1"/>
              </w:rPr>
              <w:t>Name</w:t>
            </w:r>
          </w:p>
        </w:tc>
        <w:tc>
          <w:tcPr>
            <w:tcW w:w="5490" w:type="dxa"/>
            <w:shd w:val="clear" w:color="auto" w:fill="404040" w:themeFill="text1" w:themeFillTint="BF"/>
            <w:tcMar>
              <w:top w:w="57" w:type="dxa"/>
              <w:left w:w="57" w:type="dxa"/>
              <w:bottom w:w="57" w:type="dxa"/>
              <w:right w:w="57" w:type="dxa"/>
            </w:tcMar>
          </w:tcPr>
          <w:p w14:paraId="13E6C7BD" w14:textId="77777777" w:rsidR="00AA196F" w:rsidRPr="00E73B1F" w:rsidRDefault="00AA196F" w:rsidP="00AA196F">
            <w:pPr>
              <w:pStyle w:val="TableHeading"/>
              <w:keepNext/>
              <w:keepLines/>
              <w:rPr>
                <w:rFonts w:cs="Arial"/>
                <w:color w:val="FFFFFF" w:themeColor="background1"/>
              </w:rPr>
            </w:pPr>
            <w:r w:rsidRPr="00E73B1F">
              <w:rPr>
                <w:rFonts w:cs="Arial"/>
                <w:color w:val="FFFFFF" w:themeColor="background1"/>
              </w:rPr>
              <w:t>Appointment date</w:t>
            </w:r>
          </w:p>
        </w:tc>
      </w:tr>
      <w:tr w:rsidR="00AA196F" w:rsidRPr="001E2783" w14:paraId="5042DECB" w14:textId="77777777" w:rsidTr="00AA196F">
        <w:tc>
          <w:tcPr>
            <w:tcW w:w="2235" w:type="dxa"/>
            <w:tcMar>
              <w:top w:w="57" w:type="dxa"/>
              <w:left w:w="57" w:type="dxa"/>
              <w:bottom w:w="57" w:type="dxa"/>
              <w:right w:w="57" w:type="dxa"/>
            </w:tcMar>
          </w:tcPr>
          <w:p w14:paraId="098D424E" w14:textId="210099FF" w:rsidR="00AA196F" w:rsidRPr="00124637" w:rsidRDefault="00AA196F" w:rsidP="00AA196F">
            <w:pPr>
              <w:pStyle w:val="TableBody"/>
            </w:pPr>
            <w:r w:rsidRPr="00124637">
              <w:t>Chairman and Chief Executive Officer</w:t>
            </w:r>
            <w:r w:rsidR="006037DC">
              <w:t>*</w:t>
            </w:r>
          </w:p>
        </w:tc>
        <w:tc>
          <w:tcPr>
            <w:tcW w:w="1740" w:type="dxa"/>
            <w:tcMar>
              <w:top w:w="57" w:type="dxa"/>
              <w:left w:w="57" w:type="dxa"/>
              <w:bottom w:w="57" w:type="dxa"/>
              <w:right w:w="57" w:type="dxa"/>
            </w:tcMar>
          </w:tcPr>
          <w:p w14:paraId="0B356083" w14:textId="77777777" w:rsidR="00AA196F" w:rsidRPr="00124637" w:rsidRDefault="00AA196F" w:rsidP="00AA196F">
            <w:pPr>
              <w:pStyle w:val="TableBody"/>
            </w:pPr>
            <w:r w:rsidRPr="00124637">
              <w:t>Chris Chapman</w:t>
            </w:r>
          </w:p>
        </w:tc>
        <w:tc>
          <w:tcPr>
            <w:tcW w:w="5490" w:type="dxa"/>
            <w:tcMar>
              <w:top w:w="57" w:type="dxa"/>
              <w:left w:w="57" w:type="dxa"/>
              <w:bottom w:w="57" w:type="dxa"/>
              <w:right w:w="57" w:type="dxa"/>
            </w:tcMar>
          </w:tcPr>
          <w:p w14:paraId="19C44195" w14:textId="77777777" w:rsidR="00AA196F" w:rsidRPr="00124637" w:rsidRDefault="00AA196F" w:rsidP="00AA196F">
            <w:pPr>
              <w:pStyle w:val="TableBody"/>
            </w:pPr>
            <w:r w:rsidRPr="00124637">
              <w:t>27 February 2006 for five years</w:t>
            </w:r>
          </w:p>
          <w:p w14:paraId="1914A941" w14:textId="77777777" w:rsidR="00AA196F" w:rsidRPr="00124637" w:rsidRDefault="00AA196F" w:rsidP="00AA196F">
            <w:pPr>
              <w:pStyle w:val="TableBody"/>
            </w:pPr>
            <w:r w:rsidRPr="00124637">
              <w:t xml:space="preserve">Reappointed 14 October 2010 for five years </w:t>
            </w:r>
          </w:p>
          <w:p w14:paraId="48ADD7F6" w14:textId="77777777" w:rsidR="00AA196F" w:rsidRPr="00124637" w:rsidRDefault="00AA196F" w:rsidP="00AA196F">
            <w:pPr>
              <w:pStyle w:val="TableBody"/>
            </w:pPr>
            <w:r w:rsidRPr="00124637">
              <w:t>Reappointed 28 March 2013 until 26 February 2016</w:t>
            </w:r>
          </w:p>
        </w:tc>
      </w:tr>
      <w:tr w:rsidR="00AA196F" w:rsidRPr="001E2783" w14:paraId="3C2294F6" w14:textId="77777777" w:rsidTr="0022095A">
        <w:tc>
          <w:tcPr>
            <w:tcW w:w="2235" w:type="dxa"/>
            <w:shd w:val="clear" w:color="auto" w:fill="F2F2F2" w:themeFill="background1" w:themeFillShade="F2"/>
            <w:tcMar>
              <w:top w:w="57" w:type="dxa"/>
              <w:left w:w="57" w:type="dxa"/>
              <w:bottom w:w="57" w:type="dxa"/>
              <w:right w:w="57" w:type="dxa"/>
            </w:tcMar>
          </w:tcPr>
          <w:p w14:paraId="3069F733" w14:textId="77777777" w:rsidR="00AA196F" w:rsidRPr="00124637" w:rsidRDefault="00AA196F" w:rsidP="00AA196F">
            <w:pPr>
              <w:pStyle w:val="TableBody"/>
            </w:pPr>
            <w:r w:rsidRPr="00124637">
              <w:t>Deputy Chair</w:t>
            </w:r>
          </w:p>
        </w:tc>
        <w:tc>
          <w:tcPr>
            <w:tcW w:w="1740" w:type="dxa"/>
            <w:shd w:val="clear" w:color="auto" w:fill="F2F2F2" w:themeFill="background1" w:themeFillShade="F2"/>
            <w:tcMar>
              <w:top w:w="57" w:type="dxa"/>
              <w:left w:w="57" w:type="dxa"/>
              <w:bottom w:w="57" w:type="dxa"/>
              <w:right w:w="57" w:type="dxa"/>
            </w:tcMar>
          </w:tcPr>
          <w:p w14:paraId="6C3D371E" w14:textId="77777777" w:rsidR="00AA196F" w:rsidRPr="00124637" w:rsidRDefault="00AA196F" w:rsidP="00AA196F">
            <w:pPr>
              <w:pStyle w:val="TableBody"/>
            </w:pPr>
            <w:r w:rsidRPr="00124637">
              <w:t>Richard Bean</w:t>
            </w:r>
          </w:p>
        </w:tc>
        <w:tc>
          <w:tcPr>
            <w:tcW w:w="5490" w:type="dxa"/>
            <w:shd w:val="clear" w:color="auto" w:fill="F2F2F2" w:themeFill="background1" w:themeFillShade="F2"/>
            <w:tcMar>
              <w:top w:w="57" w:type="dxa"/>
              <w:left w:w="57" w:type="dxa"/>
              <w:bottom w:w="57" w:type="dxa"/>
              <w:right w:w="57" w:type="dxa"/>
            </w:tcMar>
          </w:tcPr>
          <w:p w14:paraId="037860B4" w14:textId="77777777" w:rsidR="00AA196F" w:rsidRPr="00124637" w:rsidRDefault="00AA196F" w:rsidP="00AA196F">
            <w:pPr>
              <w:pStyle w:val="TableBody"/>
            </w:pPr>
            <w:r w:rsidRPr="00124637">
              <w:t>14 October 2010 for five years</w:t>
            </w:r>
          </w:p>
        </w:tc>
      </w:tr>
      <w:tr w:rsidR="00AA196F" w:rsidRPr="001E2783" w14:paraId="21BE3A9C" w14:textId="77777777" w:rsidTr="00AA196F">
        <w:tc>
          <w:tcPr>
            <w:tcW w:w="2235" w:type="dxa"/>
            <w:tcMar>
              <w:top w:w="57" w:type="dxa"/>
              <w:left w:w="57" w:type="dxa"/>
              <w:bottom w:w="57" w:type="dxa"/>
              <w:right w:w="57" w:type="dxa"/>
            </w:tcMar>
          </w:tcPr>
          <w:p w14:paraId="15B9645B" w14:textId="77777777" w:rsidR="00AA196F" w:rsidRPr="00124637" w:rsidRDefault="00AA196F" w:rsidP="00AA196F">
            <w:pPr>
              <w:pStyle w:val="TableBody"/>
            </w:pPr>
            <w:r w:rsidRPr="00124637">
              <w:t>Full-time Member</w:t>
            </w:r>
          </w:p>
        </w:tc>
        <w:tc>
          <w:tcPr>
            <w:tcW w:w="1740" w:type="dxa"/>
            <w:tcMar>
              <w:top w:w="57" w:type="dxa"/>
              <w:left w:w="57" w:type="dxa"/>
              <w:bottom w:w="57" w:type="dxa"/>
              <w:right w:w="57" w:type="dxa"/>
            </w:tcMar>
          </w:tcPr>
          <w:p w14:paraId="044BB960" w14:textId="77777777" w:rsidR="00AA196F" w:rsidRPr="00124637" w:rsidRDefault="00AA196F" w:rsidP="00AA196F">
            <w:pPr>
              <w:pStyle w:val="TableBody"/>
            </w:pPr>
            <w:r w:rsidRPr="00124637">
              <w:t>Chris Cheah</w:t>
            </w:r>
          </w:p>
        </w:tc>
        <w:tc>
          <w:tcPr>
            <w:tcW w:w="5490" w:type="dxa"/>
            <w:tcMar>
              <w:top w:w="57" w:type="dxa"/>
              <w:left w:w="57" w:type="dxa"/>
              <w:bottom w:w="57" w:type="dxa"/>
              <w:right w:w="57" w:type="dxa"/>
            </w:tcMar>
          </w:tcPr>
          <w:p w14:paraId="681341D5" w14:textId="77777777" w:rsidR="00AA196F" w:rsidRPr="00124637" w:rsidRDefault="00AA196F" w:rsidP="00AA196F">
            <w:pPr>
              <w:pStyle w:val="TableBody"/>
            </w:pPr>
            <w:r w:rsidRPr="00124637">
              <w:t>1 July 2005 for four years</w:t>
            </w:r>
          </w:p>
          <w:p w14:paraId="45D17DCB" w14:textId="77777777" w:rsidR="00AA196F" w:rsidRPr="00124637" w:rsidRDefault="00AA196F" w:rsidP="00AA196F">
            <w:pPr>
              <w:pStyle w:val="TableBody"/>
            </w:pPr>
            <w:r w:rsidRPr="00124637">
              <w:t xml:space="preserve">Reappointed 1 July 2009 for five years </w:t>
            </w:r>
          </w:p>
          <w:p w14:paraId="10D3A06D" w14:textId="77777777" w:rsidR="00AA196F" w:rsidRPr="00124637" w:rsidRDefault="00AA196F" w:rsidP="00AA196F">
            <w:pPr>
              <w:pStyle w:val="TableBody"/>
            </w:pPr>
            <w:r w:rsidRPr="00124637">
              <w:t>Reappointed 1 July 2014 for one year to 30 June 2015</w:t>
            </w:r>
          </w:p>
        </w:tc>
      </w:tr>
      <w:tr w:rsidR="00AA196F" w:rsidRPr="001E2783" w14:paraId="31FF588E" w14:textId="77777777" w:rsidTr="0022095A">
        <w:tc>
          <w:tcPr>
            <w:tcW w:w="2235" w:type="dxa"/>
            <w:shd w:val="clear" w:color="auto" w:fill="F2F2F2" w:themeFill="background1" w:themeFillShade="F2"/>
            <w:tcMar>
              <w:top w:w="57" w:type="dxa"/>
              <w:left w:w="57" w:type="dxa"/>
              <w:bottom w:w="57" w:type="dxa"/>
              <w:right w:w="57" w:type="dxa"/>
            </w:tcMar>
          </w:tcPr>
          <w:p w14:paraId="19DB3151" w14:textId="77777777" w:rsidR="00AA196F" w:rsidRPr="00124637" w:rsidRDefault="00AA196F" w:rsidP="00AA196F">
            <w:pPr>
              <w:pStyle w:val="TableBody"/>
            </w:pPr>
            <w:r w:rsidRPr="00124637">
              <w:t>Part-time Member</w:t>
            </w:r>
          </w:p>
        </w:tc>
        <w:tc>
          <w:tcPr>
            <w:tcW w:w="1740" w:type="dxa"/>
            <w:shd w:val="clear" w:color="auto" w:fill="F2F2F2" w:themeFill="background1" w:themeFillShade="F2"/>
            <w:tcMar>
              <w:top w:w="57" w:type="dxa"/>
              <w:left w:w="57" w:type="dxa"/>
              <w:bottom w:w="57" w:type="dxa"/>
              <w:right w:w="57" w:type="dxa"/>
            </w:tcMar>
          </w:tcPr>
          <w:p w14:paraId="08FF9E36" w14:textId="77777777" w:rsidR="00AA196F" w:rsidRPr="00124637" w:rsidRDefault="00AA196F" w:rsidP="00AA196F">
            <w:pPr>
              <w:pStyle w:val="TableBody"/>
            </w:pPr>
            <w:r w:rsidRPr="00124637">
              <w:t>Louise Benjamin</w:t>
            </w:r>
          </w:p>
        </w:tc>
        <w:tc>
          <w:tcPr>
            <w:tcW w:w="5490" w:type="dxa"/>
            <w:shd w:val="clear" w:color="auto" w:fill="F2F2F2" w:themeFill="background1" w:themeFillShade="F2"/>
            <w:tcMar>
              <w:top w:w="57" w:type="dxa"/>
              <w:left w:w="57" w:type="dxa"/>
              <w:bottom w:w="57" w:type="dxa"/>
              <w:right w:w="57" w:type="dxa"/>
            </w:tcMar>
          </w:tcPr>
          <w:p w14:paraId="5165306B" w14:textId="77777777" w:rsidR="00AA196F" w:rsidRPr="00124637" w:rsidRDefault="00AA196F" w:rsidP="00AA196F">
            <w:pPr>
              <w:pStyle w:val="TableBody"/>
            </w:pPr>
            <w:r w:rsidRPr="00124637">
              <w:t>14 October 2010 for five years</w:t>
            </w:r>
          </w:p>
        </w:tc>
      </w:tr>
      <w:tr w:rsidR="00AA196F" w:rsidRPr="001E2783" w14:paraId="72CFAE36" w14:textId="77777777" w:rsidTr="00AA196F">
        <w:tc>
          <w:tcPr>
            <w:tcW w:w="2235" w:type="dxa"/>
            <w:tcMar>
              <w:top w:w="57" w:type="dxa"/>
              <w:left w:w="57" w:type="dxa"/>
              <w:bottom w:w="57" w:type="dxa"/>
              <w:right w:w="57" w:type="dxa"/>
            </w:tcMar>
          </w:tcPr>
          <w:p w14:paraId="2BF517B4" w14:textId="77777777" w:rsidR="00AA196F" w:rsidRPr="00124637" w:rsidRDefault="00AA196F" w:rsidP="00AA196F">
            <w:pPr>
              <w:pStyle w:val="TableBody"/>
            </w:pPr>
            <w:r w:rsidRPr="00124637">
              <w:t>Part-time Member</w:t>
            </w:r>
          </w:p>
        </w:tc>
        <w:tc>
          <w:tcPr>
            <w:tcW w:w="1740" w:type="dxa"/>
            <w:tcMar>
              <w:top w:w="57" w:type="dxa"/>
              <w:left w:w="57" w:type="dxa"/>
              <w:bottom w:w="57" w:type="dxa"/>
              <w:right w:w="57" w:type="dxa"/>
            </w:tcMar>
          </w:tcPr>
          <w:p w14:paraId="749B1F3E" w14:textId="77777777" w:rsidR="00AA196F" w:rsidRPr="00124637" w:rsidRDefault="00AA196F" w:rsidP="00AA196F">
            <w:pPr>
              <w:pStyle w:val="TableBody"/>
            </w:pPr>
            <w:r w:rsidRPr="00124637">
              <w:t>Anita Jacoby</w:t>
            </w:r>
          </w:p>
        </w:tc>
        <w:tc>
          <w:tcPr>
            <w:tcW w:w="5490" w:type="dxa"/>
            <w:tcMar>
              <w:top w:w="57" w:type="dxa"/>
              <w:left w:w="57" w:type="dxa"/>
              <w:bottom w:w="57" w:type="dxa"/>
              <w:right w:w="57" w:type="dxa"/>
            </w:tcMar>
          </w:tcPr>
          <w:p w14:paraId="7E0A78F8" w14:textId="77777777" w:rsidR="00AA196F" w:rsidRPr="00124637" w:rsidRDefault="00AA196F" w:rsidP="00AA196F">
            <w:pPr>
              <w:pStyle w:val="TableBody"/>
            </w:pPr>
            <w:r w:rsidRPr="00124637">
              <w:t>5 August 2013 for five years</w:t>
            </w:r>
          </w:p>
        </w:tc>
      </w:tr>
      <w:tr w:rsidR="00AA196F" w:rsidRPr="001E2783" w14:paraId="03CFC5F4" w14:textId="77777777" w:rsidTr="0022095A">
        <w:tc>
          <w:tcPr>
            <w:tcW w:w="2235" w:type="dxa"/>
            <w:shd w:val="clear" w:color="auto" w:fill="F2F2F2" w:themeFill="background1" w:themeFillShade="F2"/>
            <w:tcMar>
              <w:top w:w="57" w:type="dxa"/>
              <w:left w:w="57" w:type="dxa"/>
              <w:bottom w:w="57" w:type="dxa"/>
              <w:right w:w="57" w:type="dxa"/>
            </w:tcMar>
          </w:tcPr>
          <w:p w14:paraId="245B5204" w14:textId="77777777" w:rsidR="00AA196F" w:rsidRPr="00124637" w:rsidRDefault="00AA196F" w:rsidP="00AA196F">
            <w:pPr>
              <w:pStyle w:val="TableBody"/>
            </w:pPr>
            <w:r w:rsidRPr="00124637">
              <w:t>Part-time Member</w:t>
            </w:r>
          </w:p>
        </w:tc>
        <w:tc>
          <w:tcPr>
            <w:tcW w:w="1740" w:type="dxa"/>
            <w:shd w:val="clear" w:color="auto" w:fill="F2F2F2" w:themeFill="background1" w:themeFillShade="F2"/>
            <w:tcMar>
              <w:top w:w="57" w:type="dxa"/>
              <w:left w:w="57" w:type="dxa"/>
              <w:bottom w:w="57" w:type="dxa"/>
              <w:right w:w="57" w:type="dxa"/>
            </w:tcMar>
          </w:tcPr>
          <w:p w14:paraId="5E663BCB" w14:textId="77777777" w:rsidR="00AA196F" w:rsidRPr="00124637" w:rsidRDefault="00AA196F" w:rsidP="00AA196F">
            <w:pPr>
              <w:pStyle w:val="TableBody"/>
            </w:pPr>
            <w:r w:rsidRPr="00124637">
              <w:t>James Cameron</w:t>
            </w:r>
          </w:p>
        </w:tc>
        <w:tc>
          <w:tcPr>
            <w:tcW w:w="5490" w:type="dxa"/>
            <w:shd w:val="clear" w:color="auto" w:fill="F2F2F2" w:themeFill="background1" w:themeFillShade="F2"/>
            <w:tcMar>
              <w:top w:w="57" w:type="dxa"/>
              <w:left w:w="57" w:type="dxa"/>
              <w:bottom w:w="57" w:type="dxa"/>
              <w:right w:w="57" w:type="dxa"/>
            </w:tcMar>
          </w:tcPr>
          <w:p w14:paraId="1310BA82" w14:textId="77777777" w:rsidR="00AA196F" w:rsidRPr="00124637" w:rsidRDefault="00AA196F" w:rsidP="00AA196F">
            <w:pPr>
              <w:pStyle w:val="TableBody"/>
            </w:pPr>
            <w:r w:rsidRPr="00124637">
              <w:t>5 August 2013 for five years</w:t>
            </w:r>
          </w:p>
        </w:tc>
      </w:tr>
      <w:tr w:rsidR="00AA196F" w:rsidRPr="001E2783" w14:paraId="73F3F17A" w14:textId="77777777" w:rsidTr="00AA196F">
        <w:tc>
          <w:tcPr>
            <w:tcW w:w="2235" w:type="dxa"/>
            <w:tcMar>
              <w:top w:w="57" w:type="dxa"/>
              <w:left w:w="57" w:type="dxa"/>
              <w:bottom w:w="57" w:type="dxa"/>
              <w:right w:w="57" w:type="dxa"/>
            </w:tcMar>
          </w:tcPr>
          <w:p w14:paraId="54E9C202" w14:textId="77777777" w:rsidR="00AA196F" w:rsidRPr="00124637" w:rsidRDefault="00AA196F" w:rsidP="00AA196F">
            <w:pPr>
              <w:pStyle w:val="TableBody"/>
            </w:pPr>
            <w:r w:rsidRPr="00124637">
              <w:t>Part-time Member</w:t>
            </w:r>
          </w:p>
        </w:tc>
        <w:tc>
          <w:tcPr>
            <w:tcW w:w="1740" w:type="dxa"/>
            <w:tcMar>
              <w:top w:w="57" w:type="dxa"/>
              <w:left w:w="57" w:type="dxa"/>
              <w:bottom w:w="57" w:type="dxa"/>
              <w:right w:w="57" w:type="dxa"/>
            </w:tcMar>
          </w:tcPr>
          <w:p w14:paraId="26C4B28D" w14:textId="77777777" w:rsidR="00AA196F" w:rsidRPr="00124637" w:rsidRDefault="00AA196F" w:rsidP="00AA196F">
            <w:pPr>
              <w:pStyle w:val="TableBody"/>
            </w:pPr>
            <w:r w:rsidRPr="00124637">
              <w:t>Rosemary Sinclair</w:t>
            </w:r>
          </w:p>
        </w:tc>
        <w:tc>
          <w:tcPr>
            <w:tcW w:w="5490" w:type="dxa"/>
            <w:tcMar>
              <w:top w:w="57" w:type="dxa"/>
              <w:left w:w="57" w:type="dxa"/>
              <w:bottom w:w="57" w:type="dxa"/>
              <w:right w:w="57" w:type="dxa"/>
            </w:tcMar>
          </w:tcPr>
          <w:p w14:paraId="63028D4F" w14:textId="77777777" w:rsidR="00AA196F" w:rsidRPr="00124637" w:rsidRDefault="00AA196F" w:rsidP="00AA196F">
            <w:pPr>
              <w:pStyle w:val="TableBody"/>
            </w:pPr>
            <w:r w:rsidRPr="00124637">
              <w:t>5 August 2013 for five years</w:t>
            </w:r>
          </w:p>
        </w:tc>
      </w:tr>
      <w:tr w:rsidR="00AA196F" w:rsidRPr="001E2783" w14:paraId="12488B59" w14:textId="77777777" w:rsidTr="0022095A">
        <w:tc>
          <w:tcPr>
            <w:tcW w:w="2235" w:type="dxa"/>
            <w:shd w:val="clear" w:color="auto" w:fill="F2F2F2" w:themeFill="background1" w:themeFillShade="F2"/>
            <w:tcMar>
              <w:top w:w="57" w:type="dxa"/>
              <w:left w:w="57" w:type="dxa"/>
              <w:bottom w:w="57" w:type="dxa"/>
              <w:right w:w="57" w:type="dxa"/>
            </w:tcMar>
          </w:tcPr>
          <w:p w14:paraId="7083D718" w14:textId="77777777" w:rsidR="00AA196F" w:rsidRPr="00124637" w:rsidRDefault="00AA196F" w:rsidP="00AA196F">
            <w:pPr>
              <w:pStyle w:val="TableBody"/>
            </w:pPr>
            <w:r w:rsidRPr="00124637">
              <w:t>Associate Member</w:t>
            </w:r>
          </w:p>
        </w:tc>
        <w:tc>
          <w:tcPr>
            <w:tcW w:w="1740" w:type="dxa"/>
            <w:shd w:val="clear" w:color="auto" w:fill="F2F2F2" w:themeFill="background1" w:themeFillShade="F2"/>
            <w:tcMar>
              <w:top w:w="57" w:type="dxa"/>
              <w:left w:w="57" w:type="dxa"/>
              <w:bottom w:w="57" w:type="dxa"/>
              <w:right w:w="57" w:type="dxa"/>
            </w:tcMar>
          </w:tcPr>
          <w:p w14:paraId="0CDFA4A4" w14:textId="77777777" w:rsidR="00AA196F" w:rsidRPr="00124637" w:rsidRDefault="00AA196F" w:rsidP="00AA196F">
            <w:pPr>
              <w:pStyle w:val="TableBody"/>
            </w:pPr>
            <w:r w:rsidRPr="00124637">
              <w:t>Rod Sims</w:t>
            </w:r>
          </w:p>
        </w:tc>
        <w:tc>
          <w:tcPr>
            <w:tcW w:w="5490" w:type="dxa"/>
            <w:shd w:val="clear" w:color="auto" w:fill="F2F2F2" w:themeFill="background1" w:themeFillShade="F2"/>
            <w:tcMar>
              <w:top w:w="57" w:type="dxa"/>
              <w:left w:w="57" w:type="dxa"/>
              <w:bottom w:w="57" w:type="dxa"/>
              <w:right w:w="57" w:type="dxa"/>
            </w:tcMar>
          </w:tcPr>
          <w:p w14:paraId="7ABBD0DC" w14:textId="77777777" w:rsidR="00AA196F" w:rsidRPr="00124637" w:rsidRDefault="00AA196F" w:rsidP="00AA196F">
            <w:pPr>
              <w:pStyle w:val="TableBody"/>
            </w:pPr>
            <w:r w:rsidRPr="00124637">
              <w:t>1 August 2011 for five years</w:t>
            </w:r>
          </w:p>
        </w:tc>
      </w:tr>
    </w:tbl>
    <w:p w14:paraId="2F20906C" w14:textId="02FA20DB" w:rsidR="006037DC" w:rsidRDefault="006037DC" w:rsidP="006037DC">
      <w:pPr>
        <w:pStyle w:val="ACMANotes"/>
      </w:pPr>
      <w:bookmarkStart w:id="22" w:name="_Toc337727521"/>
      <w:bookmarkStart w:id="23" w:name="_Toc400018489"/>
      <w:bookmarkEnd w:id="21"/>
      <w:r>
        <w:t>*From 1 July 2014, for the purposes of the PGPA Act 2013, the Chair is the accountable authority of the ACMA.</w:t>
      </w:r>
    </w:p>
    <w:p w14:paraId="04169FE4" w14:textId="0F514F56" w:rsidR="008970E9" w:rsidRPr="00124637" w:rsidRDefault="008970E9" w:rsidP="00AA196F">
      <w:pPr>
        <w:pStyle w:val="Heading3"/>
        <w:spacing w:before="240"/>
      </w:pPr>
      <w:bookmarkStart w:id="24" w:name="_Toc433703258"/>
      <w:r w:rsidRPr="00124637">
        <w:t>Corporate structure</w:t>
      </w:r>
      <w:bookmarkEnd w:id="22"/>
      <w:bookmarkEnd w:id="23"/>
      <w:bookmarkEnd w:id="24"/>
    </w:p>
    <w:p w14:paraId="73009709" w14:textId="1E76BEA4" w:rsidR="001E2869" w:rsidRPr="00124637" w:rsidRDefault="001E2869" w:rsidP="001E2869">
      <w:pPr>
        <w:rPr>
          <w:rFonts w:cs="Arial"/>
        </w:rPr>
      </w:pPr>
      <w:r w:rsidRPr="00124637">
        <w:rPr>
          <w:rFonts w:cs="Arial"/>
        </w:rPr>
        <w:t xml:space="preserve">The ACMA’s day-to-day activities are managed by an executive team comprising the Chairman, the Deputy Chair, </w:t>
      </w:r>
      <w:r w:rsidR="003437C1">
        <w:rPr>
          <w:rFonts w:cs="Arial"/>
        </w:rPr>
        <w:t xml:space="preserve">the </w:t>
      </w:r>
      <w:r w:rsidR="003437C1" w:rsidRPr="00124637">
        <w:rPr>
          <w:rFonts w:cs="Arial"/>
        </w:rPr>
        <w:t>Full</w:t>
      </w:r>
      <w:r w:rsidR="003437C1" w:rsidRPr="00124637">
        <w:rPr>
          <w:rFonts w:cs="Arial"/>
        </w:rPr>
        <w:noBreakHyphen/>
        <w:t>time Member</w:t>
      </w:r>
      <w:r w:rsidR="003437C1">
        <w:rPr>
          <w:rFonts w:cs="Arial"/>
        </w:rPr>
        <w:t xml:space="preserve">, </w:t>
      </w:r>
      <w:r w:rsidRPr="00124637">
        <w:rPr>
          <w:rFonts w:cs="Arial"/>
        </w:rPr>
        <w:t xml:space="preserve">four general managers and 11 executive managers. </w:t>
      </w:r>
    </w:p>
    <w:p w14:paraId="78AF30B9" w14:textId="77777777" w:rsidR="001E2869" w:rsidRPr="00124637" w:rsidRDefault="001E2869" w:rsidP="001E2869">
      <w:pPr>
        <w:rPr>
          <w:rFonts w:cs="Arial"/>
        </w:rPr>
      </w:pPr>
      <w:r w:rsidRPr="00124637">
        <w:rPr>
          <w:rFonts w:cs="Arial"/>
        </w:rPr>
        <w:t>The ACMA’s corporate structure at 30 June 2015 is set out in Figure 1.</w:t>
      </w:r>
    </w:p>
    <w:p w14:paraId="73ED1E2B" w14:textId="77777777" w:rsidR="001E2869" w:rsidRPr="00124637" w:rsidRDefault="001E2869" w:rsidP="001E2869">
      <w:pPr>
        <w:rPr>
          <w:rFonts w:cs="Arial"/>
        </w:rPr>
      </w:pPr>
      <w:r w:rsidRPr="00124637">
        <w:rPr>
          <w:rFonts w:cs="Arial"/>
        </w:rPr>
        <w:t xml:space="preserve">At 30 June 2015, the ACMA employed 470 staff under the </w:t>
      </w:r>
      <w:r w:rsidRPr="00124637">
        <w:rPr>
          <w:rFonts w:cs="Arial"/>
          <w:i/>
        </w:rPr>
        <w:t>Public Service Act 1999</w:t>
      </w:r>
      <w:r w:rsidRPr="00124637">
        <w:rPr>
          <w:rFonts w:cs="Arial"/>
        </w:rPr>
        <w:t>, most of whom are located in the ACMA’s offices in Canberra, Melbourne and Sydney. The ACMA also has field offices in Brisbane, Hobart and Parramatta.</w:t>
      </w:r>
    </w:p>
    <w:p w14:paraId="6AAB464A" w14:textId="77777777" w:rsidR="008970E9" w:rsidRPr="00124637" w:rsidRDefault="001E2869" w:rsidP="008970E9">
      <w:pPr>
        <w:rPr>
          <w:rFonts w:cs="Arial"/>
        </w:rPr>
      </w:pPr>
      <w:r w:rsidRPr="00124637">
        <w:rPr>
          <w:rFonts w:cs="Arial"/>
        </w:rPr>
        <w:t xml:space="preserve">The ACMA will continue to provide service within acceptable time frames to all areas of Australia by utilising field staff from </w:t>
      </w:r>
      <w:r w:rsidR="00EA6A6B" w:rsidRPr="00124637">
        <w:rPr>
          <w:rFonts w:cs="Arial"/>
        </w:rPr>
        <w:t>its</w:t>
      </w:r>
      <w:r w:rsidRPr="00124637">
        <w:rPr>
          <w:rFonts w:cs="Arial"/>
        </w:rPr>
        <w:t xml:space="preserve"> Melbourne, Sydney, Canberra, Brisbane and </w:t>
      </w:r>
      <w:r w:rsidRPr="00124637">
        <w:rPr>
          <w:rFonts w:cs="Arial"/>
        </w:rPr>
        <w:lastRenderedPageBreak/>
        <w:t>Hobart offices. Contact details for offices are provided in Appendix 1. Detailed information about the ACMA’s staff is provided in Appendix 3.</w:t>
      </w:r>
    </w:p>
    <w:p w14:paraId="47B469A9" w14:textId="77777777" w:rsidR="00AA196F" w:rsidRDefault="00EA6A6B" w:rsidP="00AA196F">
      <w:pPr>
        <w:pStyle w:val="Captionfigure"/>
        <w:spacing w:after="120"/>
      </w:pPr>
      <w:r>
        <w:lastRenderedPageBreak/>
        <w:t>ACMA c</w:t>
      </w:r>
      <w:r w:rsidR="00AA196F" w:rsidRPr="00D3485F">
        <w:t xml:space="preserve">orporate structure as at 30 June </w:t>
      </w:r>
      <w:r w:rsidR="001E2869" w:rsidRPr="00D3485F">
        <w:t>201</w:t>
      </w:r>
      <w:r w:rsidR="001E2869">
        <w:t>5</w:t>
      </w:r>
    </w:p>
    <w:p w14:paraId="6F465DFF" w14:textId="7BB08D05" w:rsidR="00AA196F" w:rsidRPr="001E2783" w:rsidRDefault="003437C1" w:rsidP="00AA196F">
      <w:pPr>
        <w:pStyle w:val="Captionfigure"/>
        <w:numPr>
          <w:ilvl w:val="0"/>
          <w:numId w:val="0"/>
        </w:numPr>
        <w:jc w:val="both"/>
      </w:pPr>
      <w:r>
        <w:rPr>
          <w:noProof/>
        </w:rPr>
        <w:drawing>
          <wp:inline distT="0" distB="0" distL="0" distR="0" wp14:anchorId="3F1EFD71" wp14:editId="6FD91408">
            <wp:extent cx="5426766" cy="8345992"/>
            <wp:effectExtent l="0" t="0" r="2540" b="0"/>
            <wp:docPr id="10" name="Picture 10" title="Organisational chart showing executive managers and general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3668" cy="8356607"/>
                    </a:xfrm>
                    <a:prstGeom prst="rect">
                      <a:avLst/>
                    </a:prstGeom>
                  </pic:spPr>
                </pic:pic>
              </a:graphicData>
            </a:graphic>
          </wp:inline>
        </w:drawing>
      </w:r>
    </w:p>
    <w:p w14:paraId="7990E529" w14:textId="77777777" w:rsidR="00163CCB" w:rsidRDefault="00163CCB" w:rsidP="00163CCB">
      <w:pPr>
        <w:pStyle w:val="Heading1"/>
      </w:pPr>
      <w:bookmarkStart w:id="25" w:name="_Toc433703259"/>
      <w:r>
        <w:lastRenderedPageBreak/>
        <w:t>Chapter 2: Revenue and fees</w:t>
      </w:r>
      <w:bookmarkEnd w:id="25"/>
    </w:p>
    <w:p w14:paraId="46B45AE4" w14:textId="77777777" w:rsidR="008970E9" w:rsidRPr="00124637" w:rsidRDefault="008970E9" w:rsidP="008970E9">
      <w:pPr>
        <w:pStyle w:val="Heading2"/>
      </w:pPr>
      <w:bookmarkStart w:id="26" w:name="_Toc337727522"/>
      <w:bookmarkStart w:id="27" w:name="_Toc400018490"/>
      <w:bookmarkStart w:id="28" w:name="_Toc433703260"/>
      <w:r w:rsidRPr="00124637">
        <w:t>Revenue collection</w:t>
      </w:r>
      <w:bookmarkEnd w:id="26"/>
      <w:bookmarkEnd w:id="27"/>
      <w:bookmarkEnd w:id="28"/>
    </w:p>
    <w:p w14:paraId="100FC68E" w14:textId="77777777" w:rsidR="001E2869" w:rsidRPr="00124637" w:rsidRDefault="001E2869" w:rsidP="001E2869">
      <w:pPr>
        <w:rPr>
          <w:rFonts w:cs="Arial"/>
        </w:rPr>
      </w:pPr>
      <w:r w:rsidRPr="00124637">
        <w:rPr>
          <w:rFonts w:cs="Arial"/>
        </w:rPr>
        <w:t xml:space="preserve">The ACMA collects revenue on behalf of the Australian Government through broadcasting, radiocommunications and telecommunications taxes, charges and licence fees. It also administers non-regular revenue from spectrum auctions. </w:t>
      </w:r>
    </w:p>
    <w:p w14:paraId="4840F460" w14:textId="77777777" w:rsidR="00C8005E" w:rsidRPr="00124637" w:rsidRDefault="00C8005E" w:rsidP="00C8005E">
      <w:pPr>
        <w:rPr>
          <w:rFonts w:cs="Arial"/>
        </w:rPr>
      </w:pPr>
      <w:r w:rsidRPr="00124637">
        <w:rPr>
          <w:rFonts w:cs="Arial"/>
        </w:rPr>
        <w:t>In 2014–15, the ACMA administered $2,789.16 million of revenue (2013–14: $656.98 million) and nil expenses (2013–14: nil). The significant increase in revenue is due to the digital dividend spectrum auction and expiring 15 year</w:t>
      </w:r>
      <w:r w:rsidRPr="00124637">
        <w:rPr>
          <w:rFonts w:cs="Arial"/>
        </w:rPr>
        <w:noBreakHyphen/>
        <w:t>spectrum licences (see Figure 2).</w:t>
      </w:r>
    </w:p>
    <w:p w14:paraId="7EEBE8F4" w14:textId="77777777" w:rsidR="00AA196F" w:rsidRPr="00124637" w:rsidRDefault="00AA196F" w:rsidP="00AA196F">
      <w:pPr>
        <w:pStyle w:val="Captionfigure"/>
        <w:spacing w:after="120"/>
        <w:rPr>
          <w:color w:val="auto"/>
        </w:rPr>
      </w:pPr>
      <w:r w:rsidRPr="00124637">
        <w:rPr>
          <w:color w:val="auto"/>
        </w:rPr>
        <w:t>Revenues and expenses administered on behalf of government</w:t>
      </w:r>
    </w:p>
    <w:p w14:paraId="3B54CFED" w14:textId="2B3F61F0" w:rsidR="00AA196F" w:rsidRPr="007B3818" w:rsidRDefault="009F68B0" w:rsidP="00AA196F">
      <w:r>
        <w:rPr>
          <w:noProof/>
        </w:rPr>
        <w:drawing>
          <wp:inline distT="0" distB="0" distL="0" distR="0" wp14:anchorId="399D0556" wp14:editId="20F2E9C2">
            <wp:extent cx="5118653" cy="3096050"/>
            <wp:effectExtent l="0" t="0" r="6350" b="9525"/>
            <wp:docPr id="14" name="Picture 14" title="Revenues and expenses administered on behalf of government. Figures are available in surroun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44661" cy="3111781"/>
                    </a:xfrm>
                    <a:prstGeom prst="rect">
                      <a:avLst/>
                    </a:prstGeom>
                  </pic:spPr>
                </pic:pic>
              </a:graphicData>
            </a:graphic>
          </wp:inline>
        </w:drawing>
      </w:r>
    </w:p>
    <w:p w14:paraId="3FB99788" w14:textId="77777777" w:rsidR="008970E9" w:rsidRPr="00124637" w:rsidRDefault="008970E9" w:rsidP="008970E9">
      <w:pPr>
        <w:pStyle w:val="Heading2"/>
      </w:pPr>
      <w:bookmarkStart w:id="29" w:name="_Toc337727569"/>
      <w:bookmarkStart w:id="30" w:name="_Toc400018534"/>
      <w:bookmarkStart w:id="31" w:name="_Toc433703261"/>
      <w:r w:rsidRPr="00124637">
        <w:t>Revenue and fees</w:t>
      </w:r>
      <w:bookmarkEnd w:id="29"/>
      <w:bookmarkEnd w:id="30"/>
      <w:bookmarkEnd w:id="31"/>
    </w:p>
    <w:p w14:paraId="4DF70D7A" w14:textId="77777777" w:rsidR="008970E9" w:rsidRPr="00124637" w:rsidRDefault="008970E9" w:rsidP="008970E9">
      <w:pPr>
        <w:rPr>
          <w:rFonts w:cs="Arial"/>
        </w:rPr>
      </w:pPr>
      <w:r w:rsidRPr="00124637">
        <w:rPr>
          <w:rFonts w:cs="Arial"/>
        </w:rPr>
        <w:t>The ACMA is responsible for the efficient regulation and allocation of public resources such as telecommunications numbering and the radiofrequency spectrum. It also collects annual revenues through broadcasting, radiocommunications and telecommunications licence taxes, levies, fees and charges. The administration of taxes, levies, fees and charges plays a key role in the planning, allocation and use of public resources. These public resources are indispensable inputs to industry in the innovative and dynamic communications sector of the economy.</w:t>
      </w:r>
    </w:p>
    <w:p w14:paraId="19CCEFB1" w14:textId="77777777" w:rsidR="008970E9" w:rsidRPr="00124637" w:rsidRDefault="008970E9" w:rsidP="008970E9">
      <w:pPr>
        <w:rPr>
          <w:rFonts w:cs="Arial"/>
        </w:rPr>
      </w:pPr>
      <w:r w:rsidRPr="00124637">
        <w:rPr>
          <w:rFonts w:cs="Arial"/>
        </w:rPr>
        <w:t>Where feasible under the applicable legislation, the ACMA sets fees, taxes and charges so they support the effective use of public resources. They also recover the costs of regulating the industry. In accordance with government cost-recovery policy and guidelines, and where it is cost-effective, the ACMA seeks to charge individuals or firms for the costs of providing the activity.</w:t>
      </w:r>
    </w:p>
    <w:p w14:paraId="66142221" w14:textId="77777777" w:rsidR="007B3818" w:rsidRPr="00124637" w:rsidRDefault="007B3818" w:rsidP="007B3818">
      <w:pPr>
        <w:rPr>
          <w:rFonts w:cs="Arial"/>
        </w:rPr>
      </w:pPr>
      <w:r w:rsidRPr="00124637">
        <w:rPr>
          <w:rFonts w:cs="Arial"/>
        </w:rPr>
        <w:t>Revenue raised by the ACMA in taxes, charges, levies and other revenue is shown in tables 2 to 5.</w:t>
      </w:r>
    </w:p>
    <w:p w14:paraId="2D6E3B1C" w14:textId="77777777" w:rsidR="00AA196F" w:rsidRPr="00124637" w:rsidRDefault="00AA196F" w:rsidP="00AA196F">
      <w:pPr>
        <w:pStyle w:val="Caption"/>
        <w:keepNext/>
        <w:spacing w:after="120"/>
        <w:rPr>
          <w:color w:val="auto"/>
        </w:rPr>
      </w:pPr>
      <w:r w:rsidRPr="00124637">
        <w:rPr>
          <w:color w:val="auto"/>
        </w:rPr>
        <w:lastRenderedPageBreak/>
        <w:t>Resource taxes</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396"/>
        <w:gridCol w:w="2396"/>
      </w:tblGrid>
      <w:tr w:rsidR="00C8005E" w:rsidRPr="00C8005E" w14:paraId="676B4970" w14:textId="77777777" w:rsidTr="00C8005E">
        <w:trPr>
          <w:cantSplit/>
          <w:tblHeader/>
        </w:trPr>
        <w:tc>
          <w:tcPr>
            <w:tcW w:w="4531" w:type="dxa"/>
            <w:shd w:val="clear" w:color="auto" w:fill="404040" w:themeFill="text1" w:themeFillTint="BF"/>
            <w:tcMar>
              <w:top w:w="57" w:type="dxa"/>
              <w:left w:w="57" w:type="dxa"/>
              <w:bottom w:w="57" w:type="dxa"/>
              <w:right w:w="57" w:type="dxa"/>
            </w:tcMar>
          </w:tcPr>
          <w:p w14:paraId="78DE62F5" w14:textId="77777777" w:rsidR="00C8005E" w:rsidRPr="00C8005E" w:rsidRDefault="00C8005E" w:rsidP="00C8005E">
            <w:pPr>
              <w:pStyle w:val="TableHeading"/>
              <w:keepNext/>
              <w:keepLines/>
              <w:rPr>
                <w:rFonts w:cs="Arial"/>
                <w:color w:val="FFFFFF" w:themeColor="background1"/>
              </w:rPr>
            </w:pPr>
            <w:r w:rsidRPr="00C8005E">
              <w:rPr>
                <w:rFonts w:cs="Arial"/>
                <w:color w:val="FFFFFF" w:themeColor="background1"/>
              </w:rPr>
              <w:t>Description</w:t>
            </w:r>
          </w:p>
        </w:tc>
        <w:tc>
          <w:tcPr>
            <w:tcW w:w="2396" w:type="dxa"/>
            <w:shd w:val="clear" w:color="auto" w:fill="404040" w:themeFill="text1" w:themeFillTint="BF"/>
            <w:tcMar>
              <w:top w:w="57" w:type="dxa"/>
              <w:left w:w="57" w:type="dxa"/>
              <w:bottom w:w="57" w:type="dxa"/>
              <w:right w:w="57" w:type="dxa"/>
            </w:tcMar>
          </w:tcPr>
          <w:p w14:paraId="06873D47" w14:textId="77777777" w:rsidR="00C8005E" w:rsidRPr="00C8005E" w:rsidRDefault="00C8005E" w:rsidP="00C8005E">
            <w:pPr>
              <w:pStyle w:val="TableHeading"/>
              <w:keepNext/>
              <w:keepLines/>
              <w:rPr>
                <w:rFonts w:cs="Arial"/>
                <w:color w:val="FFFFFF" w:themeColor="background1"/>
              </w:rPr>
            </w:pPr>
            <w:r w:rsidRPr="00C8005E">
              <w:rPr>
                <w:color w:val="FFFFFF" w:themeColor="background1"/>
              </w:rPr>
              <w:t>Revenue in 2013–14 ($m)</w:t>
            </w:r>
          </w:p>
        </w:tc>
        <w:tc>
          <w:tcPr>
            <w:tcW w:w="2396" w:type="dxa"/>
            <w:shd w:val="clear" w:color="auto" w:fill="404040" w:themeFill="text1" w:themeFillTint="BF"/>
            <w:tcMar>
              <w:top w:w="57" w:type="dxa"/>
              <w:left w:w="57" w:type="dxa"/>
              <w:bottom w:w="57" w:type="dxa"/>
              <w:right w:w="57" w:type="dxa"/>
            </w:tcMar>
          </w:tcPr>
          <w:p w14:paraId="0D469268" w14:textId="77777777" w:rsidR="00C8005E" w:rsidRPr="00C8005E" w:rsidRDefault="00C8005E" w:rsidP="00C8005E">
            <w:pPr>
              <w:pStyle w:val="TableHeading"/>
              <w:keepNext/>
              <w:keepLines/>
              <w:jc w:val="right"/>
              <w:rPr>
                <w:rFonts w:cs="Arial"/>
                <w:color w:val="FFFFFF" w:themeColor="background1"/>
              </w:rPr>
            </w:pPr>
            <w:r w:rsidRPr="00C8005E">
              <w:rPr>
                <w:rFonts w:cs="Arial"/>
                <w:color w:val="FFFFFF" w:themeColor="background1"/>
              </w:rPr>
              <w:t>Revenue in 2014–15 ($m)</w:t>
            </w:r>
          </w:p>
        </w:tc>
      </w:tr>
      <w:tr w:rsidR="00124637" w:rsidRPr="00124637" w14:paraId="1264A03F" w14:textId="77777777" w:rsidTr="00C8005E">
        <w:trPr>
          <w:cantSplit/>
        </w:trPr>
        <w:tc>
          <w:tcPr>
            <w:tcW w:w="4531" w:type="dxa"/>
            <w:tcMar>
              <w:top w:w="57" w:type="dxa"/>
              <w:left w:w="57" w:type="dxa"/>
              <w:bottom w:w="57" w:type="dxa"/>
              <w:right w:w="57" w:type="dxa"/>
            </w:tcMar>
          </w:tcPr>
          <w:p w14:paraId="19ED4D98" w14:textId="77777777" w:rsidR="00C8005E" w:rsidRPr="00124637" w:rsidRDefault="00C8005E" w:rsidP="00C8005E">
            <w:pPr>
              <w:pStyle w:val="TableBody"/>
              <w:keepNext/>
              <w:keepLines/>
            </w:pPr>
            <w:r w:rsidRPr="00124637">
              <w:t>Reissue of 15-year spectrum licences</w:t>
            </w:r>
            <w:r w:rsidRPr="00124637">
              <w:rPr>
                <w:vertAlign w:val="superscript"/>
              </w:rPr>
              <w:t>^</w:t>
            </w:r>
          </w:p>
        </w:tc>
        <w:tc>
          <w:tcPr>
            <w:tcW w:w="2396" w:type="dxa"/>
            <w:tcMar>
              <w:top w:w="57" w:type="dxa"/>
              <w:left w:w="57" w:type="dxa"/>
              <w:bottom w:w="57" w:type="dxa"/>
              <w:right w:w="57" w:type="dxa"/>
            </w:tcMar>
          </w:tcPr>
          <w:p w14:paraId="3FC67605" w14:textId="77777777" w:rsidR="00C8005E" w:rsidRPr="00124637" w:rsidRDefault="00C8005E" w:rsidP="00C8005E">
            <w:pPr>
              <w:pStyle w:val="TableBody"/>
              <w:keepNext/>
              <w:keepLines/>
            </w:pPr>
            <w:r w:rsidRPr="00124637">
              <w:t>nil</w:t>
            </w:r>
          </w:p>
        </w:tc>
        <w:tc>
          <w:tcPr>
            <w:tcW w:w="2396" w:type="dxa"/>
            <w:tcMar>
              <w:top w:w="57" w:type="dxa"/>
              <w:left w:w="57" w:type="dxa"/>
              <w:bottom w:w="57" w:type="dxa"/>
              <w:right w:w="57" w:type="dxa"/>
            </w:tcMar>
          </w:tcPr>
          <w:p w14:paraId="3BAA6154" w14:textId="77777777" w:rsidR="00C8005E" w:rsidRPr="00124637" w:rsidRDefault="00C8005E" w:rsidP="00C8005E">
            <w:pPr>
              <w:pStyle w:val="TableBody"/>
              <w:keepNext/>
              <w:keepLines/>
              <w:jc w:val="right"/>
            </w:pPr>
            <w:r w:rsidRPr="00124637">
              <w:t>172.39</w:t>
            </w:r>
          </w:p>
        </w:tc>
      </w:tr>
      <w:tr w:rsidR="00124637" w:rsidRPr="00124637" w14:paraId="7F32396A" w14:textId="77777777" w:rsidTr="00C8005E">
        <w:trPr>
          <w:cantSplit/>
        </w:trPr>
        <w:tc>
          <w:tcPr>
            <w:tcW w:w="4531" w:type="dxa"/>
            <w:tcMar>
              <w:top w:w="57" w:type="dxa"/>
              <w:left w:w="57" w:type="dxa"/>
              <w:bottom w:w="57" w:type="dxa"/>
              <w:right w:w="57" w:type="dxa"/>
            </w:tcMar>
          </w:tcPr>
          <w:p w14:paraId="3964445D" w14:textId="77777777" w:rsidR="00C8005E" w:rsidRPr="00124637" w:rsidRDefault="00C8005E" w:rsidP="00C8005E">
            <w:pPr>
              <w:pStyle w:val="TableBody"/>
              <w:keepNext/>
              <w:keepLines/>
            </w:pPr>
            <w:r w:rsidRPr="00124637">
              <w:t>Apparatus auctions</w:t>
            </w:r>
          </w:p>
        </w:tc>
        <w:tc>
          <w:tcPr>
            <w:tcW w:w="2396" w:type="dxa"/>
            <w:tcMar>
              <w:top w:w="57" w:type="dxa"/>
              <w:left w:w="57" w:type="dxa"/>
              <w:bottom w:w="57" w:type="dxa"/>
              <w:right w:w="57" w:type="dxa"/>
            </w:tcMar>
          </w:tcPr>
          <w:p w14:paraId="569F7575" w14:textId="77777777" w:rsidR="00C8005E" w:rsidRPr="00124637" w:rsidRDefault="00C8005E" w:rsidP="00C8005E">
            <w:pPr>
              <w:pStyle w:val="TableBody"/>
              <w:keepNext/>
              <w:keepLines/>
            </w:pPr>
            <w:r w:rsidRPr="00124637">
              <w:t>0.04</w:t>
            </w:r>
          </w:p>
        </w:tc>
        <w:tc>
          <w:tcPr>
            <w:tcW w:w="2396" w:type="dxa"/>
            <w:tcMar>
              <w:top w:w="57" w:type="dxa"/>
              <w:left w:w="57" w:type="dxa"/>
              <w:bottom w:w="57" w:type="dxa"/>
              <w:right w:w="57" w:type="dxa"/>
            </w:tcMar>
          </w:tcPr>
          <w:p w14:paraId="3E69E2E5" w14:textId="77777777" w:rsidR="00C8005E" w:rsidRPr="00124637" w:rsidRDefault="00C8005E" w:rsidP="00C8005E">
            <w:pPr>
              <w:pStyle w:val="TableBody"/>
              <w:keepNext/>
              <w:keepLines/>
              <w:jc w:val="right"/>
            </w:pPr>
            <w:r w:rsidRPr="00124637">
              <w:t>0.20</w:t>
            </w:r>
          </w:p>
        </w:tc>
      </w:tr>
      <w:tr w:rsidR="00124637" w:rsidRPr="00124637" w14:paraId="0208E5EE" w14:textId="77777777" w:rsidTr="00C8005E">
        <w:trPr>
          <w:cantSplit/>
        </w:trPr>
        <w:tc>
          <w:tcPr>
            <w:tcW w:w="4531" w:type="dxa"/>
            <w:tcMar>
              <w:top w:w="57" w:type="dxa"/>
              <w:left w:w="57" w:type="dxa"/>
              <w:bottom w:w="57" w:type="dxa"/>
              <w:right w:w="57" w:type="dxa"/>
            </w:tcMar>
          </w:tcPr>
          <w:p w14:paraId="44D189A0" w14:textId="77777777" w:rsidR="00C8005E" w:rsidRPr="00124637" w:rsidRDefault="00C8005E" w:rsidP="00C8005E">
            <w:pPr>
              <w:pStyle w:val="TableBody"/>
              <w:keepNext/>
              <w:keepLines/>
            </w:pPr>
            <w:r w:rsidRPr="00124637">
              <w:t>Number auctions</w:t>
            </w:r>
          </w:p>
        </w:tc>
        <w:tc>
          <w:tcPr>
            <w:tcW w:w="2396" w:type="dxa"/>
            <w:tcMar>
              <w:top w:w="57" w:type="dxa"/>
              <w:left w:w="57" w:type="dxa"/>
              <w:bottom w:w="57" w:type="dxa"/>
              <w:right w:w="57" w:type="dxa"/>
            </w:tcMar>
          </w:tcPr>
          <w:p w14:paraId="35998B2E" w14:textId="77777777" w:rsidR="00C8005E" w:rsidRPr="00124637" w:rsidRDefault="00C8005E" w:rsidP="00C8005E">
            <w:pPr>
              <w:pStyle w:val="TableBody"/>
              <w:keepNext/>
              <w:keepLines/>
            </w:pPr>
            <w:r w:rsidRPr="00124637">
              <w:t>1.54</w:t>
            </w:r>
          </w:p>
        </w:tc>
        <w:tc>
          <w:tcPr>
            <w:tcW w:w="2396" w:type="dxa"/>
            <w:tcMar>
              <w:top w:w="57" w:type="dxa"/>
              <w:left w:w="57" w:type="dxa"/>
              <w:bottom w:w="57" w:type="dxa"/>
              <w:right w:w="57" w:type="dxa"/>
            </w:tcMar>
          </w:tcPr>
          <w:p w14:paraId="5E7D2532" w14:textId="77777777" w:rsidR="00C8005E" w:rsidRPr="00124637" w:rsidRDefault="00C8005E" w:rsidP="00C8005E">
            <w:pPr>
              <w:pStyle w:val="TableBody"/>
              <w:keepNext/>
              <w:keepLines/>
              <w:jc w:val="right"/>
            </w:pPr>
            <w:r w:rsidRPr="00124637">
              <w:t>1.66</w:t>
            </w:r>
          </w:p>
        </w:tc>
      </w:tr>
      <w:tr w:rsidR="00124637" w:rsidRPr="009F68B0" w14:paraId="0CF7043F" w14:textId="77777777" w:rsidTr="00C8005E">
        <w:trPr>
          <w:cantSplit/>
        </w:trPr>
        <w:tc>
          <w:tcPr>
            <w:tcW w:w="4531" w:type="dxa"/>
            <w:tcMar>
              <w:top w:w="57" w:type="dxa"/>
              <w:left w:w="57" w:type="dxa"/>
              <w:bottom w:w="57" w:type="dxa"/>
              <w:right w:w="57" w:type="dxa"/>
            </w:tcMar>
          </w:tcPr>
          <w:p w14:paraId="2A698B1E" w14:textId="3469E58C" w:rsidR="00C8005E" w:rsidRPr="009F68B0" w:rsidRDefault="00401169" w:rsidP="00C8005E">
            <w:pPr>
              <w:pStyle w:val="TableBody"/>
              <w:keepNext/>
              <w:keepLines/>
            </w:pPr>
            <w:r w:rsidRPr="009F68B0">
              <w:t>Spectrum licence tax</w:t>
            </w:r>
          </w:p>
        </w:tc>
        <w:tc>
          <w:tcPr>
            <w:tcW w:w="2396" w:type="dxa"/>
            <w:tcMar>
              <w:top w:w="57" w:type="dxa"/>
              <w:left w:w="57" w:type="dxa"/>
              <w:bottom w:w="57" w:type="dxa"/>
              <w:right w:w="57" w:type="dxa"/>
            </w:tcMar>
          </w:tcPr>
          <w:p w14:paraId="2E0AC575" w14:textId="77777777" w:rsidR="00C8005E" w:rsidRPr="009F68B0" w:rsidRDefault="00C8005E" w:rsidP="00C8005E">
            <w:pPr>
              <w:pStyle w:val="TableBody"/>
              <w:keepNext/>
              <w:keepLines/>
            </w:pPr>
            <w:r w:rsidRPr="009F68B0">
              <w:t xml:space="preserve">0.32 </w:t>
            </w:r>
          </w:p>
        </w:tc>
        <w:tc>
          <w:tcPr>
            <w:tcW w:w="2396" w:type="dxa"/>
            <w:tcMar>
              <w:top w:w="57" w:type="dxa"/>
              <w:left w:w="57" w:type="dxa"/>
              <w:bottom w:w="57" w:type="dxa"/>
              <w:right w:w="57" w:type="dxa"/>
            </w:tcMar>
          </w:tcPr>
          <w:p w14:paraId="6E45F5E3" w14:textId="77777777" w:rsidR="00C8005E" w:rsidRPr="009F68B0" w:rsidRDefault="00C8005E" w:rsidP="00C8005E">
            <w:pPr>
              <w:pStyle w:val="TableBody"/>
              <w:keepNext/>
              <w:keepLines/>
              <w:jc w:val="right"/>
            </w:pPr>
            <w:r w:rsidRPr="009F68B0">
              <w:t>0.37</w:t>
            </w:r>
          </w:p>
        </w:tc>
      </w:tr>
      <w:tr w:rsidR="00124637" w:rsidRPr="009F68B0" w14:paraId="2E3D8009" w14:textId="77777777" w:rsidTr="00C8005E">
        <w:trPr>
          <w:cantSplit/>
        </w:trPr>
        <w:tc>
          <w:tcPr>
            <w:tcW w:w="4531" w:type="dxa"/>
            <w:tcMar>
              <w:top w:w="57" w:type="dxa"/>
              <w:left w:w="57" w:type="dxa"/>
              <w:bottom w:w="57" w:type="dxa"/>
              <w:right w:w="57" w:type="dxa"/>
            </w:tcMar>
          </w:tcPr>
          <w:p w14:paraId="7B6AA53F" w14:textId="77777777" w:rsidR="00C8005E" w:rsidRPr="009F68B0" w:rsidRDefault="00C8005E" w:rsidP="00C8005E">
            <w:pPr>
              <w:pStyle w:val="TableBody"/>
              <w:keepNext/>
              <w:keepLines/>
            </w:pPr>
            <w:r w:rsidRPr="009F68B0">
              <w:t>Annual numbering charge</w:t>
            </w:r>
          </w:p>
        </w:tc>
        <w:tc>
          <w:tcPr>
            <w:tcW w:w="2396" w:type="dxa"/>
            <w:tcMar>
              <w:top w:w="57" w:type="dxa"/>
              <w:left w:w="57" w:type="dxa"/>
              <w:bottom w:w="57" w:type="dxa"/>
              <w:right w:w="57" w:type="dxa"/>
            </w:tcMar>
          </w:tcPr>
          <w:p w14:paraId="45526337" w14:textId="77777777" w:rsidR="00C8005E" w:rsidRPr="009F68B0" w:rsidRDefault="00C8005E" w:rsidP="00C8005E">
            <w:pPr>
              <w:pStyle w:val="TableBody"/>
              <w:keepNext/>
              <w:keepLines/>
            </w:pPr>
            <w:r w:rsidRPr="009F68B0">
              <w:t>60.00</w:t>
            </w:r>
          </w:p>
        </w:tc>
        <w:tc>
          <w:tcPr>
            <w:tcW w:w="2396" w:type="dxa"/>
            <w:tcMar>
              <w:top w:w="57" w:type="dxa"/>
              <w:left w:w="57" w:type="dxa"/>
              <w:bottom w:w="57" w:type="dxa"/>
              <w:right w:w="57" w:type="dxa"/>
            </w:tcMar>
          </w:tcPr>
          <w:p w14:paraId="04B4FC3E" w14:textId="77777777" w:rsidR="00C8005E" w:rsidRPr="009F68B0" w:rsidRDefault="00C8005E" w:rsidP="00C8005E">
            <w:pPr>
              <w:pStyle w:val="TableBody"/>
              <w:keepNext/>
              <w:keepLines/>
              <w:jc w:val="right"/>
            </w:pPr>
            <w:r w:rsidRPr="009F68B0">
              <w:t>60.00</w:t>
            </w:r>
          </w:p>
        </w:tc>
      </w:tr>
      <w:tr w:rsidR="00124637" w:rsidRPr="009F68B0" w14:paraId="7188149E" w14:textId="77777777" w:rsidTr="00C8005E">
        <w:trPr>
          <w:cantSplit/>
        </w:trPr>
        <w:tc>
          <w:tcPr>
            <w:tcW w:w="4531" w:type="dxa"/>
            <w:tcMar>
              <w:top w:w="57" w:type="dxa"/>
              <w:left w:w="57" w:type="dxa"/>
              <w:bottom w:w="57" w:type="dxa"/>
              <w:right w:w="57" w:type="dxa"/>
            </w:tcMar>
          </w:tcPr>
          <w:p w14:paraId="0865A4E0" w14:textId="77777777" w:rsidR="00C8005E" w:rsidRPr="009F68B0" w:rsidRDefault="00C8005E" w:rsidP="00C8005E">
            <w:pPr>
              <w:pStyle w:val="TableBody"/>
              <w:keepNext/>
              <w:keepLines/>
            </w:pPr>
            <w:r w:rsidRPr="009F68B0">
              <w:t>Apparatus licence tax</w:t>
            </w:r>
          </w:p>
        </w:tc>
        <w:tc>
          <w:tcPr>
            <w:tcW w:w="2396" w:type="dxa"/>
            <w:tcMar>
              <w:top w:w="57" w:type="dxa"/>
              <w:left w:w="57" w:type="dxa"/>
              <w:bottom w:w="57" w:type="dxa"/>
              <w:right w:w="57" w:type="dxa"/>
            </w:tcMar>
          </w:tcPr>
          <w:p w14:paraId="3E72E36B" w14:textId="77777777" w:rsidR="00C8005E" w:rsidRPr="009F68B0" w:rsidRDefault="00C8005E" w:rsidP="00C8005E">
            <w:pPr>
              <w:pStyle w:val="TableBody"/>
              <w:keepNext/>
              <w:keepLines/>
            </w:pPr>
            <w:r w:rsidRPr="009F68B0">
              <w:t>171.00</w:t>
            </w:r>
          </w:p>
        </w:tc>
        <w:tc>
          <w:tcPr>
            <w:tcW w:w="2396" w:type="dxa"/>
            <w:tcMar>
              <w:top w:w="57" w:type="dxa"/>
              <w:left w:w="57" w:type="dxa"/>
              <w:bottom w:w="57" w:type="dxa"/>
              <w:right w:w="57" w:type="dxa"/>
            </w:tcMar>
          </w:tcPr>
          <w:p w14:paraId="588B42A2" w14:textId="77777777" w:rsidR="00C8005E" w:rsidRPr="009F68B0" w:rsidRDefault="00C8005E" w:rsidP="00C8005E">
            <w:pPr>
              <w:pStyle w:val="TableBody"/>
              <w:keepNext/>
              <w:keepLines/>
              <w:jc w:val="right"/>
            </w:pPr>
            <w:r w:rsidRPr="009F68B0">
              <w:t>149.14</w:t>
            </w:r>
          </w:p>
        </w:tc>
      </w:tr>
      <w:tr w:rsidR="00124637" w:rsidRPr="009F68B0" w14:paraId="2F319535" w14:textId="77777777" w:rsidTr="00C8005E">
        <w:trPr>
          <w:cantSplit/>
        </w:trPr>
        <w:tc>
          <w:tcPr>
            <w:tcW w:w="4531" w:type="dxa"/>
            <w:tcMar>
              <w:top w:w="57" w:type="dxa"/>
              <w:left w:w="57" w:type="dxa"/>
              <w:bottom w:w="57" w:type="dxa"/>
              <w:right w:w="57" w:type="dxa"/>
            </w:tcMar>
          </w:tcPr>
          <w:p w14:paraId="0C8BF474" w14:textId="5D97F750" w:rsidR="00C8005E" w:rsidRPr="009F68B0" w:rsidRDefault="00C8005E" w:rsidP="00C8005E">
            <w:pPr>
              <w:pStyle w:val="TableBody"/>
              <w:keepNext/>
              <w:keepLines/>
            </w:pPr>
            <w:r w:rsidRPr="009F68B0">
              <w:t>Broadcasting licence fees and datacasting charge</w:t>
            </w:r>
            <w:r w:rsidR="00401169" w:rsidRPr="009F68B0">
              <w:t>*</w:t>
            </w:r>
          </w:p>
        </w:tc>
        <w:tc>
          <w:tcPr>
            <w:tcW w:w="2396" w:type="dxa"/>
            <w:tcMar>
              <w:top w:w="57" w:type="dxa"/>
              <w:left w:w="57" w:type="dxa"/>
              <w:bottom w:w="57" w:type="dxa"/>
              <w:right w:w="57" w:type="dxa"/>
            </w:tcMar>
          </w:tcPr>
          <w:p w14:paraId="702DADC6" w14:textId="77777777" w:rsidR="00C8005E" w:rsidRPr="009F68B0" w:rsidRDefault="00C8005E" w:rsidP="00C8005E">
            <w:pPr>
              <w:pStyle w:val="TableBody"/>
              <w:keepNext/>
              <w:keepLines/>
            </w:pPr>
            <w:r w:rsidRPr="009F68B0">
              <w:t>157.19</w:t>
            </w:r>
          </w:p>
        </w:tc>
        <w:tc>
          <w:tcPr>
            <w:tcW w:w="2396" w:type="dxa"/>
            <w:tcMar>
              <w:top w:w="57" w:type="dxa"/>
              <w:left w:w="57" w:type="dxa"/>
              <w:bottom w:w="57" w:type="dxa"/>
              <w:right w:w="57" w:type="dxa"/>
            </w:tcMar>
          </w:tcPr>
          <w:p w14:paraId="23708881" w14:textId="77777777" w:rsidR="00C8005E" w:rsidRPr="009F68B0" w:rsidRDefault="00C8005E" w:rsidP="00C8005E">
            <w:pPr>
              <w:pStyle w:val="TableBody"/>
              <w:keepNext/>
              <w:keepLines/>
              <w:jc w:val="right"/>
            </w:pPr>
            <w:r w:rsidRPr="009F68B0">
              <w:t>185.35</w:t>
            </w:r>
          </w:p>
        </w:tc>
      </w:tr>
      <w:tr w:rsidR="00124637" w:rsidRPr="009F68B0" w14:paraId="2761F046" w14:textId="77777777" w:rsidTr="00C8005E">
        <w:trPr>
          <w:cantSplit/>
        </w:trPr>
        <w:tc>
          <w:tcPr>
            <w:tcW w:w="4531" w:type="dxa"/>
            <w:tcMar>
              <w:top w:w="57" w:type="dxa"/>
              <w:left w:w="57" w:type="dxa"/>
              <w:bottom w:w="57" w:type="dxa"/>
              <w:right w:w="57" w:type="dxa"/>
            </w:tcMar>
          </w:tcPr>
          <w:p w14:paraId="1C35CBA7" w14:textId="77777777" w:rsidR="00C8005E" w:rsidRPr="009F68B0" w:rsidRDefault="00C8005E" w:rsidP="00C8005E">
            <w:pPr>
              <w:pStyle w:val="TableBody"/>
              <w:keepNext/>
              <w:keepLines/>
            </w:pPr>
            <w:r w:rsidRPr="009F68B0">
              <w:t>Digital dividend spectrum auction</w:t>
            </w:r>
          </w:p>
        </w:tc>
        <w:tc>
          <w:tcPr>
            <w:tcW w:w="2396" w:type="dxa"/>
            <w:tcMar>
              <w:top w:w="57" w:type="dxa"/>
              <w:left w:w="57" w:type="dxa"/>
              <w:bottom w:w="57" w:type="dxa"/>
              <w:right w:w="57" w:type="dxa"/>
            </w:tcMar>
          </w:tcPr>
          <w:p w14:paraId="56D27E63" w14:textId="77777777" w:rsidR="00C8005E" w:rsidRPr="009F68B0" w:rsidRDefault="00C8005E" w:rsidP="00C8005E">
            <w:pPr>
              <w:pStyle w:val="TableBody"/>
              <w:keepNext/>
              <w:keepLines/>
            </w:pPr>
            <w:r w:rsidRPr="009F68B0">
              <w:t>nil</w:t>
            </w:r>
          </w:p>
        </w:tc>
        <w:tc>
          <w:tcPr>
            <w:tcW w:w="2396" w:type="dxa"/>
            <w:tcMar>
              <w:top w:w="57" w:type="dxa"/>
              <w:left w:w="57" w:type="dxa"/>
              <w:bottom w:w="57" w:type="dxa"/>
              <w:right w:w="57" w:type="dxa"/>
            </w:tcMar>
          </w:tcPr>
          <w:p w14:paraId="6447890F" w14:textId="77777777" w:rsidR="00C8005E" w:rsidRPr="009F68B0" w:rsidRDefault="00C8005E" w:rsidP="00C8005E">
            <w:pPr>
              <w:pStyle w:val="TableBody"/>
              <w:keepNext/>
              <w:keepLines/>
              <w:jc w:val="right"/>
            </w:pPr>
            <w:r w:rsidRPr="009F68B0">
              <w:t>1,953.77</w:t>
            </w:r>
          </w:p>
        </w:tc>
      </w:tr>
      <w:tr w:rsidR="00124637" w:rsidRPr="009F68B0" w14:paraId="3CB7578B" w14:textId="77777777" w:rsidTr="0022095A">
        <w:trPr>
          <w:cantSplit/>
        </w:trPr>
        <w:tc>
          <w:tcPr>
            <w:tcW w:w="4531" w:type="dxa"/>
            <w:shd w:val="clear" w:color="auto" w:fill="F2F2F2" w:themeFill="background1" w:themeFillShade="F2"/>
            <w:tcMar>
              <w:top w:w="57" w:type="dxa"/>
              <w:left w:w="57" w:type="dxa"/>
              <w:bottom w:w="57" w:type="dxa"/>
              <w:right w:w="57" w:type="dxa"/>
            </w:tcMar>
          </w:tcPr>
          <w:p w14:paraId="734B6F83" w14:textId="77777777" w:rsidR="00C8005E" w:rsidRPr="009F68B0" w:rsidRDefault="00C8005E" w:rsidP="00C8005E">
            <w:pPr>
              <w:pStyle w:val="TableBody"/>
              <w:keepNext/>
              <w:keepLines/>
              <w:rPr>
                <w:b/>
              </w:rPr>
            </w:pPr>
            <w:r w:rsidRPr="009F68B0">
              <w:rPr>
                <w:b/>
              </w:rPr>
              <w:t>Total taxes</w:t>
            </w:r>
          </w:p>
        </w:tc>
        <w:tc>
          <w:tcPr>
            <w:tcW w:w="2396" w:type="dxa"/>
            <w:shd w:val="clear" w:color="auto" w:fill="F2F2F2" w:themeFill="background1" w:themeFillShade="F2"/>
            <w:tcMar>
              <w:top w:w="57" w:type="dxa"/>
              <w:left w:w="57" w:type="dxa"/>
              <w:bottom w:w="57" w:type="dxa"/>
              <w:right w:w="57" w:type="dxa"/>
            </w:tcMar>
          </w:tcPr>
          <w:p w14:paraId="3001FCBC" w14:textId="77777777" w:rsidR="00C8005E" w:rsidRPr="009F68B0" w:rsidRDefault="00C8005E" w:rsidP="00C8005E">
            <w:pPr>
              <w:pStyle w:val="TableBody"/>
              <w:keepNext/>
              <w:keepLines/>
              <w:rPr>
                <w:b/>
              </w:rPr>
            </w:pPr>
            <w:r w:rsidRPr="009F68B0">
              <w:t>390.09</w:t>
            </w:r>
          </w:p>
        </w:tc>
        <w:tc>
          <w:tcPr>
            <w:tcW w:w="2396" w:type="dxa"/>
            <w:shd w:val="clear" w:color="auto" w:fill="F2F2F2" w:themeFill="background1" w:themeFillShade="F2"/>
            <w:tcMar>
              <w:top w:w="57" w:type="dxa"/>
              <w:left w:w="57" w:type="dxa"/>
              <w:bottom w:w="57" w:type="dxa"/>
              <w:right w:w="57" w:type="dxa"/>
            </w:tcMar>
            <w:vAlign w:val="bottom"/>
          </w:tcPr>
          <w:p w14:paraId="574993C9" w14:textId="77777777" w:rsidR="00C8005E" w:rsidRPr="009F68B0" w:rsidRDefault="00C8005E" w:rsidP="00C8005E">
            <w:pPr>
              <w:pStyle w:val="TableBody"/>
              <w:keepNext/>
              <w:keepLines/>
              <w:jc w:val="right"/>
              <w:rPr>
                <w:b/>
              </w:rPr>
            </w:pPr>
            <w:r w:rsidRPr="009F68B0">
              <w:rPr>
                <w:b/>
              </w:rPr>
              <w:t>2,522.88</w:t>
            </w:r>
          </w:p>
        </w:tc>
      </w:tr>
    </w:tbl>
    <w:p w14:paraId="60A63AF2" w14:textId="77777777" w:rsidR="00AA196F" w:rsidRPr="009F68B0" w:rsidRDefault="00AA196F" w:rsidP="00AA196F">
      <w:pPr>
        <w:pStyle w:val="ACMANotes"/>
      </w:pPr>
      <w:r w:rsidRPr="009F68B0">
        <w:t>^Previously reported as ‘Spectrum auctions’.</w:t>
      </w:r>
    </w:p>
    <w:p w14:paraId="0BE6092B" w14:textId="6D63F32D" w:rsidR="00401169" w:rsidRPr="00124637" w:rsidRDefault="00401169" w:rsidP="00AA196F">
      <w:pPr>
        <w:pStyle w:val="ACMANotes"/>
      </w:pPr>
      <w:r w:rsidRPr="009F68B0">
        <w:t xml:space="preserve">*Relates to 2013–14 return </w:t>
      </w:r>
      <w:r w:rsidR="009F68B0" w:rsidRPr="009F68B0">
        <w:t>period</w:t>
      </w:r>
      <w:r w:rsidRPr="009F68B0">
        <w:t xml:space="preserve"> plus accrued estimates for 2014–15.</w:t>
      </w:r>
    </w:p>
    <w:p w14:paraId="643052BE" w14:textId="77777777" w:rsidR="007B3818" w:rsidRPr="00124637" w:rsidRDefault="007B3818" w:rsidP="00AA196F">
      <w:pPr>
        <w:pStyle w:val="ACMASpaceaftertable"/>
      </w:pPr>
    </w:p>
    <w:p w14:paraId="2CE33464" w14:textId="77777777" w:rsidR="00AA196F" w:rsidRPr="00124637" w:rsidRDefault="00AA196F" w:rsidP="00AA196F">
      <w:pPr>
        <w:pStyle w:val="Caption"/>
        <w:spacing w:after="120"/>
        <w:rPr>
          <w:color w:val="auto"/>
        </w:rPr>
      </w:pPr>
      <w:r w:rsidRPr="00124637">
        <w:rPr>
          <w:color w:val="auto"/>
        </w:rPr>
        <w:t>Cost recov</w:t>
      </w:r>
      <w:r w:rsidR="001A1409" w:rsidRPr="00124637">
        <w:rPr>
          <w:color w:val="auto"/>
        </w:rPr>
        <w:t>ery charges</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2722"/>
        <w:gridCol w:w="2665"/>
      </w:tblGrid>
      <w:tr w:rsidR="00356F15" w:rsidRPr="007B3818" w14:paraId="09C3F3FE" w14:textId="77777777" w:rsidTr="00F814F6">
        <w:trPr>
          <w:cantSplit/>
        </w:trPr>
        <w:tc>
          <w:tcPr>
            <w:tcW w:w="3936" w:type="dxa"/>
            <w:shd w:val="clear" w:color="auto" w:fill="404040" w:themeFill="text1" w:themeFillTint="BF"/>
            <w:tcMar>
              <w:top w:w="57" w:type="dxa"/>
              <w:left w:w="57" w:type="dxa"/>
              <w:bottom w:w="57" w:type="dxa"/>
              <w:right w:w="57" w:type="dxa"/>
            </w:tcMar>
          </w:tcPr>
          <w:p w14:paraId="235DB35A" w14:textId="77777777" w:rsidR="00356F15" w:rsidRPr="00AA196F" w:rsidRDefault="00356F15" w:rsidP="00F814F6">
            <w:pPr>
              <w:pStyle w:val="TableHeading"/>
              <w:rPr>
                <w:rFonts w:cs="Arial"/>
                <w:color w:val="FFFFFF" w:themeColor="background1"/>
              </w:rPr>
            </w:pPr>
            <w:r w:rsidRPr="00AA196F">
              <w:rPr>
                <w:rFonts w:cs="Arial"/>
                <w:color w:val="FFFFFF" w:themeColor="background1"/>
              </w:rPr>
              <w:t>Description</w:t>
            </w:r>
          </w:p>
        </w:tc>
        <w:tc>
          <w:tcPr>
            <w:tcW w:w="2722" w:type="dxa"/>
            <w:shd w:val="clear" w:color="auto" w:fill="404040" w:themeFill="text1" w:themeFillTint="BF"/>
            <w:tcMar>
              <w:top w:w="57" w:type="dxa"/>
              <w:left w:w="57" w:type="dxa"/>
              <w:bottom w:w="57" w:type="dxa"/>
              <w:right w:w="57" w:type="dxa"/>
            </w:tcMar>
          </w:tcPr>
          <w:p w14:paraId="5CB6410F" w14:textId="77777777" w:rsidR="00356F15" w:rsidRPr="00AA196F" w:rsidRDefault="00356F15" w:rsidP="00F814F6">
            <w:pPr>
              <w:pStyle w:val="TableHeading"/>
              <w:rPr>
                <w:rFonts w:cs="Arial"/>
                <w:color w:val="FFFFFF" w:themeColor="background1"/>
              </w:rPr>
            </w:pPr>
            <w:r w:rsidRPr="00AA196F">
              <w:rPr>
                <w:color w:val="FFFFFF" w:themeColor="background1"/>
              </w:rPr>
              <w:t>Revenue in 2013–14 ($m)</w:t>
            </w:r>
          </w:p>
        </w:tc>
        <w:tc>
          <w:tcPr>
            <w:tcW w:w="2665" w:type="dxa"/>
            <w:shd w:val="clear" w:color="auto" w:fill="404040" w:themeFill="text1" w:themeFillTint="BF"/>
            <w:tcMar>
              <w:top w:w="57" w:type="dxa"/>
              <w:left w:w="57" w:type="dxa"/>
              <w:bottom w:w="57" w:type="dxa"/>
              <w:right w:w="57" w:type="dxa"/>
            </w:tcMar>
          </w:tcPr>
          <w:p w14:paraId="56EAD396" w14:textId="77777777" w:rsidR="00356F15" w:rsidRPr="00AA196F" w:rsidRDefault="00356F15" w:rsidP="00F814F6">
            <w:pPr>
              <w:pStyle w:val="TableHeading"/>
              <w:jc w:val="right"/>
              <w:rPr>
                <w:rFonts w:cs="Arial"/>
                <w:color w:val="FFFFFF" w:themeColor="background1"/>
              </w:rPr>
            </w:pPr>
            <w:r w:rsidRPr="00AA196F">
              <w:rPr>
                <w:rFonts w:cs="Arial"/>
                <w:color w:val="FFFFFF" w:themeColor="background1"/>
              </w:rPr>
              <w:t>Revenue in 2014–15 ($m)</w:t>
            </w:r>
          </w:p>
        </w:tc>
      </w:tr>
      <w:tr w:rsidR="00356F15" w:rsidRPr="007B3818" w14:paraId="77013FEE" w14:textId="77777777" w:rsidTr="00F814F6">
        <w:trPr>
          <w:cantSplit/>
        </w:trPr>
        <w:tc>
          <w:tcPr>
            <w:tcW w:w="3936" w:type="dxa"/>
            <w:tcMar>
              <w:top w:w="57" w:type="dxa"/>
              <w:left w:w="57" w:type="dxa"/>
              <w:bottom w:w="57" w:type="dxa"/>
              <w:right w:w="57" w:type="dxa"/>
            </w:tcMar>
          </w:tcPr>
          <w:p w14:paraId="3D740A3A" w14:textId="77777777" w:rsidR="00356F15" w:rsidRPr="00124637" w:rsidRDefault="00356F15" w:rsidP="00F814F6">
            <w:pPr>
              <w:pStyle w:val="TableBody"/>
            </w:pPr>
            <w:r w:rsidRPr="00124637">
              <w:t>Annual carrier licence charge</w:t>
            </w:r>
          </w:p>
        </w:tc>
        <w:tc>
          <w:tcPr>
            <w:tcW w:w="2722" w:type="dxa"/>
            <w:tcMar>
              <w:top w:w="57" w:type="dxa"/>
              <w:left w:w="57" w:type="dxa"/>
              <w:bottom w:w="57" w:type="dxa"/>
              <w:right w:w="57" w:type="dxa"/>
            </w:tcMar>
          </w:tcPr>
          <w:p w14:paraId="27B91A54" w14:textId="77777777" w:rsidR="00356F15" w:rsidRPr="00124637" w:rsidRDefault="00356F15" w:rsidP="00F814F6">
            <w:pPr>
              <w:pStyle w:val="TableBody"/>
            </w:pPr>
            <w:r w:rsidRPr="00124637">
              <w:t>38.30</w:t>
            </w:r>
          </w:p>
        </w:tc>
        <w:tc>
          <w:tcPr>
            <w:tcW w:w="2665" w:type="dxa"/>
            <w:tcMar>
              <w:top w:w="57" w:type="dxa"/>
              <w:left w:w="57" w:type="dxa"/>
              <w:bottom w:w="57" w:type="dxa"/>
              <w:right w:w="57" w:type="dxa"/>
            </w:tcMar>
          </w:tcPr>
          <w:p w14:paraId="0333D865" w14:textId="77777777" w:rsidR="00356F15" w:rsidRPr="00124637" w:rsidRDefault="00356F15" w:rsidP="00F814F6">
            <w:pPr>
              <w:pStyle w:val="TableBody"/>
              <w:jc w:val="right"/>
            </w:pPr>
            <w:r w:rsidRPr="00124637">
              <w:t>38.65</w:t>
            </w:r>
          </w:p>
        </w:tc>
      </w:tr>
      <w:tr w:rsidR="00356F15" w:rsidRPr="007B3818" w14:paraId="730FFB04" w14:textId="77777777" w:rsidTr="00F814F6">
        <w:trPr>
          <w:cantSplit/>
        </w:trPr>
        <w:tc>
          <w:tcPr>
            <w:tcW w:w="3936" w:type="dxa"/>
            <w:tcMar>
              <w:top w:w="57" w:type="dxa"/>
              <w:left w:w="57" w:type="dxa"/>
              <w:bottom w:w="57" w:type="dxa"/>
              <w:right w:w="57" w:type="dxa"/>
            </w:tcMar>
          </w:tcPr>
          <w:p w14:paraId="05FE71DF" w14:textId="77777777" w:rsidR="00356F15" w:rsidRPr="00124637" w:rsidRDefault="00356F15" w:rsidP="00F814F6">
            <w:pPr>
              <w:pStyle w:val="TableBody"/>
            </w:pPr>
            <w:r w:rsidRPr="00124637">
              <w:t>Fee-for-service charges</w:t>
            </w:r>
          </w:p>
        </w:tc>
        <w:tc>
          <w:tcPr>
            <w:tcW w:w="2722" w:type="dxa"/>
            <w:tcMar>
              <w:top w:w="57" w:type="dxa"/>
              <w:left w:w="57" w:type="dxa"/>
              <w:bottom w:w="57" w:type="dxa"/>
              <w:right w:w="57" w:type="dxa"/>
            </w:tcMar>
          </w:tcPr>
          <w:p w14:paraId="0D632B7E" w14:textId="77777777" w:rsidR="00356F15" w:rsidRPr="00124637" w:rsidRDefault="00356F15" w:rsidP="00F814F6">
            <w:pPr>
              <w:pStyle w:val="TableBody"/>
            </w:pPr>
            <w:r w:rsidRPr="00124637">
              <w:t>3.92</w:t>
            </w:r>
          </w:p>
        </w:tc>
        <w:tc>
          <w:tcPr>
            <w:tcW w:w="2665" w:type="dxa"/>
            <w:tcMar>
              <w:top w:w="57" w:type="dxa"/>
              <w:left w:w="57" w:type="dxa"/>
              <w:bottom w:w="57" w:type="dxa"/>
              <w:right w:w="57" w:type="dxa"/>
            </w:tcMar>
          </w:tcPr>
          <w:p w14:paraId="30882C15" w14:textId="77777777" w:rsidR="00356F15" w:rsidRPr="00124637" w:rsidRDefault="00356F15" w:rsidP="00F814F6">
            <w:pPr>
              <w:pStyle w:val="TableBody"/>
              <w:jc w:val="right"/>
            </w:pPr>
            <w:r w:rsidRPr="00124637">
              <w:t>3.26</w:t>
            </w:r>
          </w:p>
        </w:tc>
      </w:tr>
      <w:tr w:rsidR="00356F15" w:rsidRPr="007B3818" w14:paraId="41C8D774" w14:textId="77777777" w:rsidTr="00F814F6">
        <w:trPr>
          <w:cantSplit/>
        </w:trPr>
        <w:tc>
          <w:tcPr>
            <w:tcW w:w="3936" w:type="dxa"/>
            <w:tcMar>
              <w:top w:w="57" w:type="dxa"/>
              <w:left w:w="57" w:type="dxa"/>
              <w:bottom w:w="57" w:type="dxa"/>
              <w:right w:w="57" w:type="dxa"/>
            </w:tcMar>
          </w:tcPr>
          <w:p w14:paraId="471DBD0B" w14:textId="77777777" w:rsidR="00356F15" w:rsidRPr="00124637" w:rsidRDefault="00356F15" w:rsidP="00F814F6">
            <w:pPr>
              <w:pStyle w:val="TableBody"/>
            </w:pPr>
            <w:r w:rsidRPr="00124637">
              <w:t>Do Not Call Register charges</w:t>
            </w:r>
          </w:p>
        </w:tc>
        <w:tc>
          <w:tcPr>
            <w:tcW w:w="2722" w:type="dxa"/>
            <w:tcMar>
              <w:top w:w="57" w:type="dxa"/>
              <w:left w:w="57" w:type="dxa"/>
              <w:bottom w:w="57" w:type="dxa"/>
              <w:right w:w="57" w:type="dxa"/>
            </w:tcMar>
          </w:tcPr>
          <w:p w14:paraId="5AEA1ABF" w14:textId="77777777" w:rsidR="00356F15" w:rsidRPr="00124637" w:rsidRDefault="00356F15" w:rsidP="00F814F6">
            <w:pPr>
              <w:pStyle w:val="TableBody"/>
            </w:pPr>
            <w:r w:rsidRPr="00124637">
              <w:t>3.30</w:t>
            </w:r>
          </w:p>
        </w:tc>
        <w:tc>
          <w:tcPr>
            <w:tcW w:w="2665" w:type="dxa"/>
            <w:tcMar>
              <w:top w:w="57" w:type="dxa"/>
              <w:left w:w="57" w:type="dxa"/>
              <w:bottom w:w="57" w:type="dxa"/>
              <w:right w:w="57" w:type="dxa"/>
            </w:tcMar>
          </w:tcPr>
          <w:p w14:paraId="621103BA" w14:textId="77777777" w:rsidR="00356F15" w:rsidRPr="00124637" w:rsidRDefault="00356F15" w:rsidP="00F814F6">
            <w:pPr>
              <w:pStyle w:val="TableBody"/>
              <w:jc w:val="right"/>
            </w:pPr>
            <w:r w:rsidRPr="00124637">
              <w:t>2.41</w:t>
            </w:r>
          </w:p>
        </w:tc>
      </w:tr>
      <w:tr w:rsidR="00356F15" w:rsidRPr="007B3818" w14:paraId="29CFC81C" w14:textId="77777777" w:rsidTr="0022095A">
        <w:trPr>
          <w:cantSplit/>
          <w:trHeight w:val="198"/>
        </w:trPr>
        <w:tc>
          <w:tcPr>
            <w:tcW w:w="3936" w:type="dxa"/>
            <w:shd w:val="clear" w:color="auto" w:fill="F2F2F2" w:themeFill="background1" w:themeFillShade="F2"/>
            <w:tcMar>
              <w:top w:w="57" w:type="dxa"/>
              <w:left w:w="57" w:type="dxa"/>
              <w:bottom w:w="57" w:type="dxa"/>
              <w:right w:w="57" w:type="dxa"/>
            </w:tcMar>
          </w:tcPr>
          <w:p w14:paraId="50FE51A9" w14:textId="77777777" w:rsidR="00356F15" w:rsidRPr="00124637" w:rsidRDefault="00356F15" w:rsidP="00F814F6">
            <w:pPr>
              <w:pStyle w:val="TableBody"/>
              <w:rPr>
                <w:b/>
              </w:rPr>
            </w:pPr>
            <w:r w:rsidRPr="00124637">
              <w:rPr>
                <w:b/>
              </w:rPr>
              <w:t>Total charges</w:t>
            </w:r>
          </w:p>
        </w:tc>
        <w:tc>
          <w:tcPr>
            <w:tcW w:w="2722" w:type="dxa"/>
            <w:shd w:val="clear" w:color="auto" w:fill="F2F2F2" w:themeFill="background1" w:themeFillShade="F2"/>
            <w:tcMar>
              <w:top w:w="57" w:type="dxa"/>
              <w:left w:w="57" w:type="dxa"/>
              <w:bottom w:w="57" w:type="dxa"/>
              <w:right w:w="57" w:type="dxa"/>
            </w:tcMar>
          </w:tcPr>
          <w:p w14:paraId="478F960A" w14:textId="77777777" w:rsidR="00356F15" w:rsidRPr="00124637" w:rsidRDefault="00356F15" w:rsidP="00F814F6">
            <w:pPr>
              <w:pStyle w:val="TableBody"/>
            </w:pPr>
            <w:r w:rsidRPr="00124637">
              <w:t>45.52</w:t>
            </w:r>
          </w:p>
        </w:tc>
        <w:tc>
          <w:tcPr>
            <w:tcW w:w="2665" w:type="dxa"/>
            <w:shd w:val="clear" w:color="auto" w:fill="F2F2F2" w:themeFill="background1" w:themeFillShade="F2"/>
            <w:tcMar>
              <w:top w:w="57" w:type="dxa"/>
              <w:left w:w="57" w:type="dxa"/>
              <w:bottom w:w="57" w:type="dxa"/>
              <w:right w:w="57" w:type="dxa"/>
            </w:tcMar>
          </w:tcPr>
          <w:p w14:paraId="6A7BC8B5" w14:textId="77777777" w:rsidR="00356F15" w:rsidRPr="00124637" w:rsidRDefault="00356F15" w:rsidP="00F814F6">
            <w:pPr>
              <w:pStyle w:val="TableBody"/>
              <w:jc w:val="right"/>
              <w:rPr>
                <w:b/>
              </w:rPr>
            </w:pPr>
            <w:r w:rsidRPr="00124637">
              <w:rPr>
                <w:b/>
              </w:rPr>
              <w:t>44.32</w:t>
            </w:r>
          </w:p>
        </w:tc>
      </w:tr>
    </w:tbl>
    <w:p w14:paraId="233C936B" w14:textId="77777777" w:rsidR="00AA196F" w:rsidRPr="00AA196F" w:rsidRDefault="00AA196F" w:rsidP="00AA196F">
      <w:pPr>
        <w:pStyle w:val="ACMASpaceaftertable"/>
      </w:pPr>
    </w:p>
    <w:p w14:paraId="65F04104" w14:textId="77777777" w:rsidR="007B3818" w:rsidRPr="00124637" w:rsidRDefault="00AA196F" w:rsidP="006A4DAE">
      <w:pPr>
        <w:pStyle w:val="Caption"/>
        <w:spacing w:after="120"/>
        <w:rPr>
          <w:color w:val="auto"/>
        </w:rPr>
      </w:pPr>
      <w:r w:rsidRPr="00124637">
        <w:rPr>
          <w:color w:val="auto"/>
        </w:rPr>
        <w:t>Industry levies</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2708"/>
        <w:gridCol w:w="2651"/>
      </w:tblGrid>
      <w:tr w:rsidR="00356F15" w:rsidRPr="007B3818" w14:paraId="28071F7B" w14:textId="77777777" w:rsidTr="00F814F6">
        <w:trPr>
          <w:cantSplit/>
        </w:trPr>
        <w:tc>
          <w:tcPr>
            <w:tcW w:w="3964" w:type="dxa"/>
            <w:shd w:val="clear" w:color="auto" w:fill="404040" w:themeFill="text1" w:themeFillTint="BF"/>
            <w:tcMar>
              <w:top w:w="57" w:type="dxa"/>
              <w:left w:w="57" w:type="dxa"/>
              <w:bottom w:w="57" w:type="dxa"/>
              <w:right w:w="57" w:type="dxa"/>
            </w:tcMar>
          </w:tcPr>
          <w:p w14:paraId="4CFB2BCA" w14:textId="77777777" w:rsidR="00356F15" w:rsidRPr="006A4DAE" w:rsidRDefault="00356F15" w:rsidP="00F814F6">
            <w:pPr>
              <w:pStyle w:val="TableHeading"/>
              <w:rPr>
                <w:rFonts w:cs="Arial"/>
                <w:color w:val="FFFFFF" w:themeColor="background1"/>
              </w:rPr>
            </w:pPr>
            <w:r w:rsidRPr="006A4DAE">
              <w:rPr>
                <w:rFonts w:cs="Arial"/>
                <w:color w:val="FFFFFF" w:themeColor="background1"/>
              </w:rPr>
              <w:t>Description</w:t>
            </w:r>
          </w:p>
        </w:tc>
        <w:tc>
          <w:tcPr>
            <w:tcW w:w="2708" w:type="dxa"/>
            <w:shd w:val="clear" w:color="auto" w:fill="404040" w:themeFill="text1" w:themeFillTint="BF"/>
            <w:tcMar>
              <w:top w:w="57" w:type="dxa"/>
              <w:left w:w="57" w:type="dxa"/>
              <w:bottom w:w="57" w:type="dxa"/>
              <w:right w:w="57" w:type="dxa"/>
            </w:tcMar>
          </w:tcPr>
          <w:p w14:paraId="5ACBCF74" w14:textId="77777777" w:rsidR="00356F15" w:rsidRPr="006A4DAE" w:rsidRDefault="00356F15" w:rsidP="00F814F6">
            <w:pPr>
              <w:pStyle w:val="TableHeading"/>
              <w:rPr>
                <w:rFonts w:cs="Arial"/>
                <w:color w:val="FFFFFF" w:themeColor="background1"/>
              </w:rPr>
            </w:pPr>
            <w:r w:rsidRPr="006A4DAE">
              <w:rPr>
                <w:rFonts w:cs="Arial"/>
                <w:color w:val="FFFFFF" w:themeColor="background1"/>
              </w:rPr>
              <w:t>Revenue in 2013–14 ($m)</w:t>
            </w:r>
          </w:p>
        </w:tc>
        <w:tc>
          <w:tcPr>
            <w:tcW w:w="2651" w:type="dxa"/>
            <w:shd w:val="clear" w:color="auto" w:fill="404040" w:themeFill="text1" w:themeFillTint="BF"/>
            <w:tcMar>
              <w:top w:w="57" w:type="dxa"/>
              <w:left w:w="57" w:type="dxa"/>
              <w:bottom w:w="57" w:type="dxa"/>
              <w:right w:w="57" w:type="dxa"/>
            </w:tcMar>
          </w:tcPr>
          <w:p w14:paraId="57E284A2" w14:textId="77777777" w:rsidR="00356F15" w:rsidRPr="006A4DAE" w:rsidRDefault="00356F15" w:rsidP="00F814F6">
            <w:pPr>
              <w:pStyle w:val="TableHeading"/>
              <w:jc w:val="right"/>
              <w:rPr>
                <w:rFonts w:cs="Arial"/>
                <w:color w:val="FFFFFF" w:themeColor="background1"/>
              </w:rPr>
            </w:pPr>
            <w:r w:rsidRPr="006A4DAE">
              <w:rPr>
                <w:rFonts w:cs="Arial"/>
                <w:color w:val="FFFFFF" w:themeColor="background1"/>
              </w:rPr>
              <w:t>Revenue in 2014–15 ($m)</w:t>
            </w:r>
          </w:p>
        </w:tc>
      </w:tr>
      <w:tr w:rsidR="00356F15" w:rsidRPr="007B3818" w14:paraId="68888F56" w14:textId="77777777" w:rsidTr="00F814F6">
        <w:trPr>
          <w:cantSplit/>
        </w:trPr>
        <w:tc>
          <w:tcPr>
            <w:tcW w:w="3964" w:type="dxa"/>
            <w:tcMar>
              <w:top w:w="57" w:type="dxa"/>
              <w:left w:w="57" w:type="dxa"/>
              <w:bottom w:w="57" w:type="dxa"/>
              <w:right w:w="57" w:type="dxa"/>
            </w:tcMar>
          </w:tcPr>
          <w:p w14:paraId="344F895A" w14:textId="77777777" w:rsidR="00356F15" w:rsidRPr="00124637" w:rsidRDefault="00356F15" w:rsidP="00F814F6">
            <w:pPr>
              <w:pStyle w:val="TableBody"/>
            </w:pPr>
            <w:r w:rsidRPr="00124637">
              <w:t>Telecommunications Industry Levy (TIL)</w:t>
            </w:r>
          </w:p>
        </w:tc>
        <w:tc>
          <w:tcPr>
            <w:tcW w:w="2708" w:type="dxa"/>
            <w:tcMar>
              <w:top w:w="57" w:type="dxa"/>
              <w:left w:w="57" w:type="dxa"/>
              <w:bottom w:w="57" w:type="dxa"/>
              <w:right w:w="57" w:type="dxa"/>
            </w:tcMar>
          </w:tcPr>
          <w:p w14:paraId="6A55091A" w14:textId="77777777" w:rsidR="00356F15" w:rsidRPr="00124637" w:rsidRDefault="00356F15" w:rsidP="00F814F6">
            <w:pPr>
              <w:pStyle w:val="TableBody"/>
            </w:pPr>
            <w:r w:rsidRPr="00124637">
              <w:t>220.81</w:t>
            </w:r>
          </w:p>
        </w:tc>
        <w:tc>
          <w:tcPr>
            <w:tcW w:w="2651" w:type="dxa"/>
            <w:tcMar>
              <w:top w:w="57" w:type="dxa"/>
              <w:left w:w="57" w:type="dxa"/>
              <w:bottom w:w="57" w:type="dxa"/>
              <w:right w:w="57" w:type="dxa"/>
            </w:tcMar>
          </w:tcPr>
          <w:p w14:paraId="5B4B0841" w14:textId="77777777" w:rsidR="00356F15" w:rsidRPr="00124637" w:rsidRDefault="00356F15" w:rsidP="00F814F6">
            <w:pPr>
              <w:pStyle w:val="TableBody"/>
              <w:jc w:val="right"/>
            </w:pPr>
            <w:r w:rsidRPr="00124637">
              <w:t>221.00</w:t>
            </w:r>
          </w:p>
        </w:tc>
      </w:tr>
      <w:tr w:rsidR="00356F15" w:rsidRPr="007B3818" w14:paraId="68BE62A0" w14:textId="77777777" w:rsidTr="0022095A">
        <w:trPr>
          <w:cantSplit/>
        </w:trPr>
        <w:tc>
          <w:tcPr>
            <w:tcW w:w="3964" w:type="dxa"/>
            <w:shd w:val="clear" w:color="auto" w:fill="F2F2F2" w:themeFill="background1" w:themeFillShade="F2"/>
            <w:tcMar>
              <w:top w:w="57" w:type="dxa"/>
              <w:left w:w="57" w:type="dxa"/>
              <w:bottom w:w="57" w:type="dxa"/>
              <w:right w:w="57" w:type="dxa"/>
            </w:tcMar>
            <w:vAlign w:val="bottom"/>
          </w:tcPr>
          <w:p w14:paraId="59EFBB65" w14:textId="77777777" w:rsidR="00356F15" w:rsidRPr="00124637" w:rsidRDefault="00356F15" w:rsidP="00F814F6">
            <w:pPr>
              <w:pStyle w:val="TableBody"/>
              <w:rPr>
                <w:b/>
              </w:rPr>
            </w:pPr>
            <w:r w:rsidRPr="00124637">
              <w:rPr>
                <w:b/>
              </w:rPr>
              <w:t>Total levies</w:t>
            </w:r>
          </w:p>
        </w:tc>
        <w:tc>
          <w:tcPr>
            <w:tcW w:w="2708" w:type="dxa"/>
            <w:shd w:val="clear" w:color="auto" w:fill="F2F2F2" w:themeFill="background1" w:themeFillShade="F2"/>
            <w:tcMar>
              <w:top w:w="57" w:type="dxa"/>
              <w:left w:w="57" w:type="dxa"/>
              <w:bottom w:w="57" w:type="dxa"/>
              <w:right w:w="57" w:type="dxa"/>
            </w:tcMar>
            <w:vAlign w:val="bottom"/>
          </w:tcPr>
          <w:p w14:paraId="5CF4F3C5" w14:textId="77777777" w:rsidR="00356F15" w:rsidRPr="00124637" w:rsidRDefault="00356F15" w:rsidP="00F814F6">
            <w:pPr>
              <w:pStyle w:val="TableBody"/>
            </w:pPr>
            <w:r w:rsidRPr="00124637">
              <w:t>220.90</w:t>
            </w:r>
          </w:p>
        </w:tc>
        <w:tc>
          <w:tcPr>
            <w:tcW w:w="2651" w:type="dxa"/>
            <w:shd w:val="clear" w:color="auto" w:fill="F2F2F2" w:themeFill="background1" w:themeFillShade="F2"/>
            <w:tcMar>
              <w:top w:w="57" w:type="dxa"/>
              <w:left w:w="57" w:type="dxa"/>
              <w:bottom w:w="57" w:type="dxa"/>
              <w:right w:w="57" w:type="dxa"/>
            </w:tcMar>
            <w:vAlign w:val="bottom"/>
          </w:tcPr>
          <w:p w14:paraId="3C38C3DA" w14:textId="77777777" w:rsidR="00356F15" w:rsidRPr="00124637" w:rsidRDefault="00356F15" w:rsidP="00F814F6">
            <w:pPr>
              <w:pStyle w:val="TableBody"/>
              <w:jc w:val="right"/>
              <w:rPr>
                <w:b/>
              </w:rPr>
            </w:pPr>
            <w:r w:rsidRPr="00124637">
              <w:rPr>
                <w:b/>
              </w:rPr>
              <w:t>221.00</w:t>
            </w:r>
          </w:p>
        </w:tc>
      </w:tr>
    </w:tbl>
    <w:p w14:paraId="6ADA8B8F" w14:textId="77777777" w:rsidR="00AA196F" w:rsidRPr="007B3818" w:rsidRDefault="00AA196F" w:rsidP="00AA196F"/>
    <w:p w14:paraId="5D28DB51" w14:textId="77777777" w:rsidR="007B3818" w:rsidRPr="00124637" w:rsidRDefault="006A4DAE" w:rsidP="006A4DAE">
      <w:pPr>
        <w:pStyle w:val="Caption"/>
        <w:spacing w:after="120"/>
        <w:rPr>
          <w:color w:val="auto"/>
        </w:rPr>
      </w:pPr>
      <w:r w:rsidRPr="00124637">
        <w:rPr>
          <w:color w:val="auto"/>
        </w:rPr>
        <w:t>Other administered revenue</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2694"/>
        <w:gridCol w:w="2665"/>
      </w:tblGrid>
      <w:tr w:rsidR="00356F15" w:rsidRPr="007B3818" w14:paraId="604CB2EB" w14:textId="77777777" w:rsidTr="00F814F6">
        <w:trPr>
          <w:cantSplit/>
        </w:trPr>
        <w:tc>
          <w:tcPr>
            <w:tcW w:w="3964" w:type="dxa"/>
            <w:shd w:val="clear" w:color="auto" w:fill="404040" w:themeFill="text1" w:themeFillTint="BF"/>
            <w:tcMar>
              <w:top w:w="57" w:type="dxa"/>
              <w:left w:w="57" w:type="dxa"/>
              <w:bottom w:w="57" w:type="dxa"/>
              <w:right w:w="57" w:type="dxa"/>
            </w:tcMar>
          </w:tcPr>
          <w:p w14:paraId="0372A1B3" w14:textId="77777777" w:rsidR="00356F15" w:rsidRPr="006A4DAE" w:rsidRDefault="00356F15" w:rsidP="00F814F6">
            <w:pPr>
              <w:pStyle w:val="TableHeading"/>
              <w:keepNext/>
              <w:keepLines/>
              <w:rPr>
                <w:rFonts w:cs="Arial"/>
                <w:color w:val="FFFFFF" w:themeColor="background1"/>
              </w:rPr>
            </w:pPr>
            <w:r w:rsidRPr="006A4DAE">
              <w:rPr>
                <w:rFonts w:cs="Arial"/>
                <w:color w:val="FFFFFF" w:themeColor="background1"/>
              </w:rPr>
              <w:t>Description</w:t>
            </w:r>
          </w:p>
        </w:tc>
        <w:tc>
          <w:tcPr>
            <w:tcW w:w="2694" w:type="dxa"/>
            <w:shd w:val="clear" w:color="auto" w:fill="404040" w:themeFill="text1" w:themeFillTint="BF"/>
            <w:tcMar>
              <w:top w:w="57" w:type="dxa"/>
              <w:left w:w="57" w:type="dxa"/>
              <w:bottom w:w="57" w:type="dxa"/>
              <w:right w:w="57" w:type="dxa"/>
            </w:tcMar>
          </w:tcPr>
          <w:p w14:paraId="5FB1F963" w14:textId="77777777" w:rsidR="00356F15" w:rsidRPr="006A4DAE" w:rsidRDefault="00356F15" w:rsidP="00F814F6">
            <w:pPr>
              <w:pStyle w:val="TableHeading"/>
              <w:keepNext/>
              <w:keepLines/>
              <w:rPr>
                <w:rFonts w:cs="Arial"/>
                <w:color w:val="FFFFFF" w:themeColor="background1"/>
              </w:rPr>
            </w:pPr>
            <w:r w:rsidRPr="006A4DAE">
              <w:rPr>
                <w:rFonts w:cs="Arial"/>
                <w:color w:val="FFFFFF" w:themeColor="background1"/>
              </w:rPr>
              <w:t>Revenue in 2013–14 ($m)</w:t>
            </w:r>
          </w:p>
        </w:tc>
        <w:tc>
          <w:tcPr>
            <w:tcW w:w="2665" w:type="dxa"/>
            <w:shd w:val="clear" w:color="auto" w:fill="404040" w:themeFill="text1" w:themeFillTint="BF"/>
            <w:tcMar>
              <w:top w:w="57" w:type="dxa"/>
              <w:left w:w="57" w:type="dxa"/>
              <w:bottom w:w="57" w:type="dxa"/>
              <w:right w:w="57" w:type="dxa"/>
            </w:tcMar>
          </w:tcPr>
          <w:p w14:paraId="49B92EFE" w14:textId="77777777" w:rsidR="00356F15" w:rsidRPr="006A4DAE" w:rsidRDefault="00356F15" w:rsidP="00F814F6">
            <w:pPr>
              <w:pStyle w:val="TableHeading"/>
              <w:keepNext/>
              <w:keepLines/>
              <w:jc w:val="right"/>
              <w:rPr>
                <w:rFonts w:cs="Arial"/>
                <w:color w:val="FFFFFF" w:themeColor="background1"/>
              </w:rPr>
            </w:pPr>
            <w:r w:rsidRPr="006A4DAE">
              <w:rPr>
                <w:rFonts w:cs="Arial"/>
                <w:color w:val="FFFFFF" w:themeColor="background1"/>
              </w:rPr>
              <w:t>Revenue in 2014–15 ($m)</w:t>
            </w:r>
          </w:p>
        </w:tc>
      </w:tr>
      <w:tr w:rsidR="00356F15" w:rsidRPr="007B3818" w14:paraId="5D21DAFD" w14:textId="77777777" w:rsidTr="00F814F6">
        <w:trPr>
          <w:cantSplit/>
        </w:trPr>
        <w:tc>
          <w:tcPr>
            <w:tcW w:w="3964" w:type="dxa"/>
            <w:tcMar>
              <w:top w:w="57" w:type="dxa"/>
              <w:left w:w="57" w:type="dxa"/>
              <w:bottom w:w="57" w:type="dxa"/>
              <w:right w:w="57" w:type="dxa"/>
            </w:tcMar>
          </w:tcPr>
          <w:p w14:paraId="7978C9BE" w14:textId="77777777" w:rsidR="00356F15" w:rsidRPr="00124637" w:rsidRDefault="00356F15" w:rsidP="00F814F6">
            <w:pPr>
              <w:pStyle w:val="TableBody"/>
            </w:pPr>
            <w:r w:rsidRPr="00124637">
              <w:t>Fines and penalties</w:t>
            </w:r>
          </w:p>
        </w:tc>
        <w:tc>
          <w:tcPr>
            <w:tcW w:w="2694" w:type="dxa"/>
            <w:tcMar>
              <w:top w:w="57" w:type="dxa"/>
              <w:left w:w="57" w:type="dxa"/>
              <w:bottom w:w="57" w:type="dxa"/>
              <w:right w:w="57" w:type="dxa"/>
            </w:tcMar>
          </w:tcPr>
          <w:p w14:paraId="29E07F34" w14:textId="77777777" w:rsidR="00356F15" w:rsidRPr="00124637" w:rsidRDefault="00356F15" w:rsidP="00F814F6">
            <w:pPr>
              <w:pStyle w:val="TableBody"/>
            </w:pPr>
            <w:r w:rsidRPr="00124637">
              <w:t>1.15</w:t>
            </w:r>
          </w:p>
        </w:tc>
        <w:tc>
          <w:tcPr>
            <w:tcW w:w="2665" w:type="dxa"/>
            <w:tcMar>
              <w:top w:w="57" w:type="dxa"/>
              <w:left w:w="57" w:type="dxa"/>
              <w:bottom w:w="57" w:type="dxa"/>
              <w:right w:w="57" w:type="dxa"/>
            </w:tcMar>
          </w:tcPr>
          <w:p w14:paraId="247CA710" w14:textId="77777777" w:rsidR="00356F15" w:rsidRPr="00124637" w:rsidRDefault="00356F15" w:rsidP="00F814F6">
            <w:pPr>
              <w:pStyle w:val="TableBody"/>
              <w:jc w:val="right"/>
            </w:pPr>
            <w:r w:rsidRPr="00124637">
              <w:t>0.19</w:t>
            </w:r>
          </w:p>
        </w:tc>
      </w:tr>
      <w:tr w:rsidR="00356F15" w:rsidRPr="007B3818" w14:paraId="357E3DEB" w14:textId="77777777" w:rsidTr="00F814F6">
        <w:trPr>
          <w:cantSplit/>
        </w:trPr>
        <w:tc>
          <w:tcPr>
            <w:tcW w:w="3964" w:type="dxa"/>
            <w:tcMar>
              <w:top w:w="57" w:type="dxa"/>
              <w:left w:w="57" w:type="dxa"/>
              <w:bottom w:w="57" w:type="dxa"/>
              <w:right w:w="57" w:type="dxa"/>
            </w:tcMar>
          </w:tcPr>
          <w:p w14:paraId="76DB155E" w14:textId="77777777" w:rsidR="00356F15" w:rsidRPr="00124637" w:rsidRDefault="00356F15" w:rsidP="00F814F6">
            <w:pPr>
              <w:pStyle w:val="TableBody"/>
            </w:pPr>
            <w:r w:rsidRPr="00124637">
              <w:t>Other</w:t>
            </w:r>
          </w:p>
        </w:tc>
        <w:tc>
          <w:tcPr>
            <w:tcW w:w="2694" w:type="dxa"/>
            <w:tcMar>
              <w:top w:w="57" w:type="dxa"/>
              <w:left w:w="57" w:type="dxa"/>
              <w:bottom w:w="57" w:type="dxa"/>
              <w:right w:w="57" w:type="dxa"/>
            </w:tcMar>
          </w:tcPr>
          <w:p w14:paraId="4DCFA1D9" w14:textId="77777777" w:rsidR="00356F15" w:rsidRPr="00124637" w:rsidRDefault="00356F15" w:rsidP="00F814F6">
            <w:pPr>
              <w:pStyle w:val="TableBody"/>
            </w:pPr>
            <w:r w:rsidRPr="00124637">
              <w:t>0.47</w:t>
            </w:r>
          </w:p>
        </w:tc>
        <w:tc>
          <w:tcPr>
            <w:tcW w:w="2665" w:type="dxa"/>
            <w:tcMar>
              <w:top w:w="57" w:type="dxa"/>
              <w:left w:w="57" w:type="dxa"/>
              <w:bottom w:w="57" w:type="dxa"/>
              <w:right w:w="57" w:type="dxa"/>
            </w:tcMar>
          </w:tcPr>
          <w:p w14:paraId="3180CE7C" w14:textId="77777777" w:rsidR="00356F15" w:rsidRPr="00124637" w:rsidRDefault="00356F15" w:rsidP="00F814F6">
            <w:pPr>
              <w:pStyle w:val="TableBody"/>
              <w:jc w:val="right"/>
            </w:pPr>
            <w:r w:rsidRPr="00124637">
              <w:t>1.76</w:t>
            </w:r>
          </w:p>
        </w:tc>
      </w:tr>
      <w:tr w:rsidR="00356F15" w:rsidRPr="006037DC" w14:paraId="0793A3B6" w14:textId="77777777" w:rsidTr="0022095A">
        <w:trPr>
          <w:cantSplit/>
        </w:trPr>
        <w:tc>
          <w:tcPr>
            <w:tcW w:w="3964" w:type="dxa"/>
            <w:shd w:val="clear" w:color="auto" w:fill="F2F2F2" w:themeFill="background1" w:themeFillShade="F2"/>
            <w:tcMar>
              <w:top w:w="57" w:type="dxa"/>
              <w:left w:w="57" w:type="dxa"/>
              <w:bottom w:w="57" w:type="dxa"/>
              <w:right w:w="57" w:type="dxa"/>
            </w:tcMar>
          </w:tcPr>
          <w:p w14:paraId="471A362A" w14:textId="77777777" w:rsidR="00356F15" w:rsidRPr="00124637" w:rsidRDefault="00356F15" w:rsidP="00F814F6">
            <w:pPr>
              <w:pStyle w:val="TableBody"/>
              <w:rPr>
                <w:b/>
              </w:rPr>
            </w:pPr>
            <w:r w:rsidRPr="00124637">
              <w:rPr>
                <w:b/>
              </w:rPr>
              <w:t>Total other administered revenue</w:t>
            </w:r>
          </w:p>
        </w:tc>
        <w:tc>
          <w:tcPr>
            <w:tcW w:w="2694" w:type="dxa"/>
            <w:shd w:val="clear" w:color="auto" w:fill="F2F2F2" w:themeFill="background1" w:themeFillShade="F2"/>
            <w:tcMar>
              <w:top w:w="57" w:type="dxa"/>
              <w:left w:w="57" w:type="dxa"/>
              <w:bottom w:w="57" w:type="dxa"/>
              <w:right w:w="57" w:type="dxa"/>
            </w:tcMar>
          </w:tcPr>
          <w:p w14:paraId="539CC246" w14:textId="77777777" w:rsidR="00356F15" w:rsidRPr="00124637" w:rsidRDefault="00356F15" w:rsidP="00F814F6">
            <w:pPr>
              <w:pStyle w:val="TableBody"/>
            </w:pPr>
            <w:r w:rsidRPr="00124637">
              <w:t>1.62</w:t>
            </w:r>
          </w:p>
        </w:tc>
        <w:tc>
          <w:tcPr>
            <w:tcW w:w="2665" w:type="dxa"/>
            <w:shd w:val="clear" w:color="auto" w:fill="F2F2F2" w:themeFill="background1" w:themeFillShade="F2"/>
            <w:tcMar>
              <w:top w:w="57" w:type="dxa"/>
              <w:left w:w="57" w:type="dxa"/>
              <w:bottom w:w="57" w:type="dxa"/>
              <w:right w:w="57" w:type="dxa"/>
            </w:tcMar>
          </w:tcPr>
          <w:p w14:paraId="3FD5C92D" w14:textId="61FE2A44" w:rsidR="00356F15" w:rsidRPr="006037DC" w:rsidRDefault="00714A57" w:rsidP="00F814F6">
            <w:pPr>
              <w:pStyle w:val="TableBody"/>
              <w:jc w:val="right"/>
              <w:rPr>
                <w:b/>
              </w:rPr>
            </w:pPr>
            <w:r w:rsidRPr="006037DC">
              <w:rPr>
                <w:b/>
              </w:rPr>
              <w:t>1</w:t>
            </w:r>
            <w:r w:rsidR="00356F15" w:rsidRPr="006037DC">
              <w:rPr>
                <w:b/>
              </w:rPr>
              <w:t>.95</w:t>
            </w:r>
          </w:p>
        </w:tc>
      </w:tr>
    </w:tbl>
    <w:p w14:paraId="45FC20DC" w14:textId="77777777" w:rsidR="006A4DAE" w:rsidRPr="006A4DAE" w:rsidRDefault="006A4DAE" w:rsidP="006A4DAE">
      <w:pPr>
        <w:pStyle w:val="ACMASpaceaftertable"/>
      </w:pPr>
    </w:p>
    <w:p w14:paraId="7485640C" w14:textId="77777777" w:rsidR="007B3818" w:rsidRPr="00124637" w:rsidRDefault="007B3818" w:rsidP="007B3818">
      <w:pPr>
        <w:pStyle w:val="Heading3"/>
      </w:pPr>
      <w:bookmarkStart w:id="32" w:name="_Toc433703262"/>
      <w:r w:rsidRPr="00124637">
        <w:t>Telecommunications services funding</w:t>
      </w:r>
      <w:bookmarkEnd w:id="32"/>
    </w:p>
    <w:p w14:paraId="3C5C0F2E" w14:textId="07522303" w:rsidR="007B3818" w:rsidRPr="00124637" w:rsidRDefault="007B3818" w:rsidP="007B3818">
      <w:pPr>
        <w:rPr>
          <w:rFonts w:cs="Arial"/>
        </w:rPr>
      </w:pPr>
      <w:r w:rsidRPr="00124637">
        <w:rPr>
          <w:rFonts w:cs="Arial"/>
        </w:rPr>
        <w:t xml:space="preserve">In 2011, the government signed an agreement with Telstra for basic universal telecommunications service outcomes during and after the rollout of the </w:t>
      </w:r>
      <w:r w:rsidR="009F68B0">
        <w:rPr>
          <w:rFonts w:cs="Arial"/>
        </w:rPr>
        <w:t>nbn network</w:t>
      </w:r>
      <w:r w:rsidRPr="00124637">
        <w:rPr>
          <w:rFonts w:cs="Arial"/>
        </w:rPr>
        <w:t xml:space="preserve">. Public policy reforms to support the transition to the </w:t>
      </w:r>
      <w:r w:rsidR="006037DC">
        <w:rPr>
          <w:rFonts w:cs="Arial"/>
        </w:rPr>
        <w:t>nbn network</w:t>
      </w:r>
      <w:r w:rsidRPr="00124637">
        <w:rPr>
          <w:rFonts w:cs="Arial"/>
        </w:rPr>
        <w:t xml:space="preserve"> included establishing </w:t>
      </w:r>
      <w:r w:rsidR="00C47361" w:rsidRPr="00124637">
        <w:rPr>
          <w:rFonts w:cs="Arial"/>
        </w:rPr>
        <w:t>the Telecommunications Universal Service Management Agency (</w:t>
      </w:r>
      <w:r w:rsidRPr="00124637">
        <w:rPr>
          <w:rFonts w:cs="Arial"/>
        </w:rPr>
        <w:t>TUSMA</w:t>
      </w:r>
      <w:r w:rsidR="00C47361" w:rsidRPr="00124637">
        <w:rPr>
          <w:rFonts w:cs="Arial"/>
        </w:rPr>
        <w:t>)</w:t>
      </w:r>
      <w:r w:rsidRPr="00124637">
        <w:rPr>
          <w:rFonts w:cs="Arial"/>
        </w:rPr>
        <w:t xml:space="preserve"> under the </w:t>
      </w:r>
      <w:r w:rsidRPr="00124637">
        <w:rPr>
          <w:rFonts w:cs="Arial"/>
          <w:i/>
        </w:rPr>
        <w:t>Telecommunications Universal Service Management Agency Act 2012</w:t>
      </w:r>
      <w:r w:rsidRPr="00124637">
        <w:rPr>
          <w:rFonts w:cs="Arial"/>
        </w:rPr>
        <w:t xml:space="preserve"> (TUSMA Act). </w:t>
      </w:r>
      <w:r w:rsidRPr="00124637">
        <w:rPr>
          <w:rFonts w:cs="Arial"/>
        </w:rPr>
        <w:lastRenderedPageBreak/>
        <w:t xml:space="preserve">TUSMA commenced operations from 1 July 2012 to deliver the government’s public policy objectives in the telecommunications sector, including giving all Australians reasonable access to a standard telephone service and payphones (the universal service obligation or USO) and managing emergency call-handling and the National Relay Service (NRS). </w:t>
      </w:r>
    </w:p>
    <w:p w14:paraId="32BF2410" w14:textId="77777777" w:rsidR="007B3818" w:rsidRPr="00124637" w:rsidRDefault="007B3818" w:rsidP="007B3818">
      <w:pPr>
        <w:rPr>
          <w:rFonts w:cs="Arial"/>
        </w:rPr>
      </w:pPr>
      <w:r w:rsidRPr="00124637">
        <w:rPr>
          <w:rFonts w:cs="Arial"/>
        </w:rPr>
        <w:t xml:space="preserve">The funding of these telecommunications services and TUSMA’s administrative costs were provided by the government, with the remainder shared by a telecommunications industry levy (TIL) on telecommunications carriers that earn above $25 million. </w:t>
      </w:r>
    </w:p>
    <w:p w14:paraId="69D7572C" w14:textId="6471635F" w:rsidR="007B3818" w:rsidRPr="00124637" w:rsidRDefault="00C47361" w:rsidP="007B3818">
      <w:pPr>
        <w:rPr>
          <w:rFonts w:cs="Arial"/>
        </w:rPr>
      </w:pPr>
      <w:r w:rsidRPr="00124637">
        <w:rPr>
          <w:rFonts w:cs="Arial"/>
        </w:rPr>
        <w:t>On 20 October 2014, t</w:t>
      </w:r>
      <w:r w:rsidR="007B3818" w:rsidRPr="00124637">
        <w:rPr>
          <w:rFonts w:cs="Arial"/>
        </w:rPr>
        <w:t>he ACMA made a written assessment under the TUSMA Act of each participating person’s TIL for the 2013–14 eligible levy period, which was based on eligible re</w:t>
      </w:r>
      <w:r w:rsidR="007B3818" w:rsidRPr="009F68B0">
        <w:rPr>
          <w:rFonts w:cs="Arial"/>
        </w:rPr>
        <w:t>venue for the 2012–13 period. The total TIL assessed</w:t>
      </w:r>
      <w:r w:rsidRPr="009F68B0">
        <w:rPr>
          <w:rFonts w:cs="Arial"/>
        </w:rPr>
        <w:t xml:space="preserve"> was $221 million, based on the M</w:t>
      </w:r>
      <w:r w:rsidR="007B3818" w:rsidRPr="009F68B0">
        <w:rPr>
          <w:rFonts w:cs="Arial"/>
        </w:rPr>
        <w:t>inister</w:t>
      </w:r>
      <w:r w:rsidRPr="009F68B0">
        <w:rPr>
          <w:rFonts w:cs="Arial"/>
        </w:rPr>
        <w:t xml:space="preserve"> for Communication’s</w:t>
      </w:r>
      <w:r w:rsidR="007B3818" w:rsidRPr="009F68B0">
        <w:rPr>
          <w:rFonts w:cs="Arial"/>
        </w:rPr>
        <w:t xml:space="preserve"> advice of 24 September 2014.</w:t>
      </w:r>
      <w:r w:rsidR="00401169" w:rsidRPr="009F68B0">
        <w:rPr>
          <w:rFonts w:cs="Arial"/>
        </w:rPr>
        <w:t xml:space="preserve"> A participating person is a carrier th</w:t>
      </w:r>
      <w:r w:rsidR="006037DC">
        <w:rPr>
          <w:rFonts w:cs="Arial"/>
        </w:rPr>
        <w:t>at earns eligible revenue of</w:t>
      </w:r>
      <w:r w:rsidR="00401169" w:rsidRPr="009F68B0">
        <w:rPr>
          <w:rFonts w:cs="Arial"/>
        </w:rPr>
        <w:t xml:space="preserve"> $25 million or more for an eligible revenue period.</w:t>
      </w:r>
    </w:p>
    <w:p w14:paraId="05381944" w14:textId="77777777" w:rsidR="008970E9" w:rsidRPr="00124637" w:rsidRDefault="008970E9" w:rsidP="008970E9">
      <w:pPr>
        <w:pStyle w:val="Heading3"/>
      </w:pPr>
      <w:bookmarkStart w:id="33" w:name="_Toc433703263"/>
      <w:r w:rsidRPr="00124637">
        <w:t>Eligible revenue assessment</w:t>
      </w:r>
      <w:bookmarkEnd w:id="33"/>
    </w:p>
    <w:p w14:paraId="542DF6DB" w14:textId="77777777" w:rsidR="00866105" w:rsidRPr="00124637" w:rsidRDefault="00866105" w:rsidP="00866105">
      <w:pPr>
        <w:tabs>
          <w:tab w:val="left" w:pos="2630"/>
        </w:tabs>
        <w:rPr>
          <w:rFonts w:cs="Arial"/>
        </w:rPr>
      </w:pPr>
      <w:bookmarkStart w:id="34" w:name="_Toc400018536"/>
      <w:r w:rsidRPr="00124637">
        <w:rPr>
          <w:rFonts w:cs="Arial"/>
        </w:rPr>
        <w:t>Any person holding a telecommunications carrier licence for any time during an eligible revenue period is required to submit an eligible revenue submission so that the ACMA may determine each carrier’s eligible revenue. Carriers that earn revenue below $25 million during an eligible revenue period and submit an eligible statutory declaration to the ACMA by 31 October of the relevant period are not required to submit an eligible revenue return, and are exempt from the TIL and the annual carrier licence charge. For the 2013–14 eligible revenue period, participating persons were required to lodge submissions with the ACMA by 31 October 2014. The ACMA made a written assessment of participating persons’ eligible revenue for the 2013–14 eligible revenue period on 7 May 2015.</w:t>
      </w:r>
    </w:p>
    <w:p w14:paraId="02640F65" w14:textId="77777777" w:rsidR="00866105" w:rsidRPr="00124637" w:rsidRDefault="00866105" w:rsidP="00866105">
      <w:pPr>
        <w:tabs>
          <w:tab w:val="left" w:pos="2630"/>
        </w:tabs>
        <w:rPr>
          <w:rFonts w:cs="Arial"/>
        </w:rPr>
      </w:pPr>
      <w:r w:rsidRPr="00124637">
        <w:rPr>
          <w:rFonts w:cs="Arial"/>
        </w:rPr>
        <w:t xml:space="preserve">The primary function of the eligible revenue process is to determine the contribution that each participating person makes to the cost of providing the USO and NRS, based on its proportion of total industry eligible revenue. The eligible revenue process is also used to determine each participating person’s contribution to annual carrier licence charges. </w:t>
      </w:r>
    </w:p>
    <w:p w14:paraId="53AF5561" w14:textId="77777777" w:rsidR="00866105" w:rsidRPr="00124637" w:rsidRDefault="00866105" w:rsidP="00866105">
      <w:pPr>
        <w:tabs>
          <w:tab w:val="left" w:pos="2630"/>
        </w:tabs>
        <w:rPr>
          <w:rFonts w:cs="Arial"/>
        </w:rPr>
      </w:pPr>
      <w:r w:rsidRPr="00124637">
        <w:rPr>
          <w:rFonts w:cs="Arial"/>
        </w:rPr>
        <w:t>The ACMA’s written assessment of each participating person’s eligible revenue for the 2013–14 eligible revenue period will be used to determine the TIL and annual carrier licence charge (ACLC) for each participating person for the 2014–15 eligible levy period.</w:t>
      </w:r>
    </w:p>
    <w:p w14:paraId="086B5338" w14:textId="77777777" w:rsidR="008970E9" w:rsidRPr="00124637" w:rsidRDefault="008970E9" w:rsidP="008970E9">
      <w:pPr>
        <w:pStyle w:val="Heading3"/>
      </w:pPr>
      <w:bookmarkStart w:id="35" w:name="_Toc433703264"/>
      <w:r w:rsidRPr="00124637">
        <w:t>Annual carrier licence charges</w:t>
      </w:r>
      <w:bookmarkEnd w:id="34"/>
      <w:bookmarkEnd w:id="35"/>
    </w:p>
    <w:p w14:paraId="186441D2" w14:textId="77777777" w:rsidR="008970E9" w:rsidRPr="00124637" w:rsidRDefault="008970E9" w:rsidP="008970E9">
      <w:pPr>
        <w:rPr>
          <w:rFonts w:cs="Arial"/>
        </w:rPr>
      </w:pPr>
      <w:r w:rsidRPr="00124637">
        <w:rPr>
          <w:rFonts w:cs="Arial"/>
        </w:rPr>
        <w:t xml:space="preserve">Annual carrier licence charges are imposed under the </w:t>
      </w:r>
      <w:r w:rsidRPr="00124637">
        <w:rPr>
          <w:rFonts w:cs="Arial"/>
          <w:i/>
        </w:rPr>
        <w:t xml:space="preserve">Telecommunications (Carrier Licence Charges) Act </w:t>
      </w:r>
      <w:r w:rsidRPr="009F68B0">
        <w:rPr>
          <w:rFonts w:cs="Arial"/>
          <w:i/>
        </w:rPr>
        <w:t xml:space="preserve">1997 </w:t>
      </w:r>
      <w:r w:rsidRPr="00124637">
        <w:rPr>
          <w:rFonts w:cs="Arial"/>
        </w:rPr>
        <w:t>on participating carriers under cost recovery arrangements in order to recover the costs incurred by the ACMA, ACCC and Australian Government in regulating the telecommunications industry. The total charge is allocated to participating carriers based on their eligible revenue for the previous eligible period as determined by the eligible revenue assessment.</w:t>
      </w:r>
    </w:p>
    <w:p w14:paraId="593DCAC9" w14:textId="77777777" w:rsidR="00866105" w:rsidRPr="00124637" w:rsidRDefault="00866105" w:rsidP="00866105">
      <w:pPr>
        <w:rPr>
          <w:rFonts w:cs="Arial"/>
        </w:rPr>
      </w:pPr>
      <w:bookmarkStart w:id="36" w:name="_Toc400018537"/>
      <w:bookmarkStart w:id="37" w:name="_Toc260730528"/>
      <w:bookmarkStart w:id="38" w:name="_Toc274124047"/>
      <w:bookmarkStart w:id="39" w:name="_Toc337727571"/>
      <w:r w:rsidRPr="00124637">
        <w:rPr>
          <w:rFonts w:cs="Arial"/>
        </w:rPr>
        <w:t>In 2014–15, the total annual carrier licence charge was $</w:t>
      </w:r>
      <w:r w:rsidR="00EC4BCE" w:rsidRPr="00124637">
        <w:rPr>
          <w:rFonts w:cs="Arial"/>
        </w:rPr>
        <w:t xml:space="preserve">38.65 </w:t>
      </w:r>
      <w:r w:rsidRPr="00124637">
        <w:rPr>
          <w:rFonts w:cs="Arial"/>
        </w:rPr>
        <w:t>million.</w:t>
      </w:r>
    </w:p>
    <w:p w14:paraId="32997562" w14:textId="77777777" w:rsidR="008970E9" w:rsidRPr="00124637" w:rsidRDefault="008970E9" w:rsidP="008970E9">
      <w:pPr>
        <w:pStyle w:val="Heading3"/>
      </w:pPr>
      <w:bookmarkStart w:id="40" w:name="_Toc433703265"/>
      <w:r w:rsidRPr="00124637">
        <w:t>Do Not Call Register access fees</w:t>
      </w:r>
      <w:bookmarkEnd w:id="36"/>
      <w:bookmarkEnd w:id="40"/>
      <w:r w:rsidRPr="00124637">
        <w:t xml:space="preserve"> </w:t>
      </w:r>
      <w:bookmarkEnd w:id="37"/>
      <w:bookmarkEnd w:id="38"/>
      <w:bookmarkEnd w:id="39"/>
    </w:p>
    <w:p w14:paraId="44390DD0" w14:textId="77777777" w:rsidR="008970E9" w:rsidRPr="00124637" w:rsidRDefault="008970E9" w:rsidP="008970E9">
      <w:pPr>
        <w:rPr>
          <w:rFonts w:cs="Arial"/>
        </w:rPr>
      </w:pPr>
      <w:r w:rsidRPr="00124637">
        <w:rPr>
          <w:rFonts w:cs="Arial"/>
        </w:rPr>
        <w:t>Annual subscription fees for telemarketers and fax marketers to check their call lists against the Do Not Call Register ranged from $79 (to check or ‘wash’ up to 20,000 numbers against the register) to $90,000 (to wash up to 100 million numbers). There is also a subscription type that allows telemarketers to wash up to 500 numbers each year at no cost.</w:t>
      </w:r>
    </w:p>
    <w:p w14:paraId="5BD3BCE7" w14:textId="77777777" w:rsidR="008970E9" w:rsidRPr="00124637" w:rsidRDefault="008970E9" w:rsidP="008970E9">
      <w:pPr>
        <w:pStyle w:val="Heading3"/>
      </w:pPr>
      <w:bookmarkStart w:id="41" w:name="_Toc337727572"/>
      <w:bookmarkStart w:id="42" w:name="_Toc400018538"/>
      <w:bookmarkStart w:id="43" w:name="_Toc433703266"/>
      <w:r w:rsidRPr="00124637">
        <w:lastRenderedPageBreak/>
        <w:t>Numbering charges</w:t>
      </w:r>
      <w:bookmarkEnd w:id="41"/>
      <w:bookmarkEnd w:id="42"/>
      <w:bookmarkEnd w:id="43"/>
    </w:p>
    <w:p w14:paraId="6502C9AD" w14:textId="7D32685C" w:rsidR="00866105" w:rsidRPr="00124637" w:rsidRDefault="00401169" w:rsidP="00124637">
      <w:pPr>
        <w:keepLines/>
        <w:rPr>
          <w:rFonts w:cs="Arial"/>
        </w:rPr>
      </w:pPr>
      <w:r w:rsidRPr="009F68B0">
        <w:rPr>
          <w:rFonts w:cs="Arial"/>
        </w:rPr>
        <w:t>On behalf of the Australian Government, the ACMA collects a set amount of revenue each year from carrier service providers (CSPs) that hold telephone numbers. The ACMA collects this revenue through the annual numbering charge (ANC), which remains at $60 million (2013–14 $60 million)</w:t>
      </w:r>
      <w:r w:rsidR="00866105" w:rsidRPr="009F68B0">
        <w:rPr>
          <w:rFonts w:cs="Arial"/>
        </w:rPr>
        <w:t>.</w:t>
      </w:r>
    </w:p>
    <w:p w14:paraId="36FFD0EF" w14:textId="77777777" w:rsidR="00866105" w:rsidRPr="00124637" w:rsidRDefault="00866105" w:rsidP="00866105">
      <w:pPr>
        <w:rPr>
          <w:rFonts w:cs="Arial"/>
        </w:rPr>
      </w:pPr>
      <w:r w:rsidRPr="00124637">
        <w:rPr>
          <w:rFonts w:cs="Arial"/>
        </w:rPr>
        <w:t xml:space="preserve">CSPs are liable for the charges they incur for the numbers they hold on the census date. The census date is in April, with the exact date determined by the ACMA each year. The census date for 2014–15 was 12 April 2015. To enable the ACMA to determine the quantity of numbers held by each CSP on the census date, an embargo on the surrender of most numbers commences 15 working days prior to the census date each year. In 2014–15, the embargo commenced on </w:t>
      </w:r>
      <w:r w:rsidR="00F736DF" w:rsidRPr="00124637">
        <w:rPr>
          <w:rFonts w:cs="Arial"/>
        </w:rPr>
        <w:t>19</w:t>
      </w:r>
      <w:r w:rsidRPr="00124637">
        <w:rPr>
          <w:rFonts w:cs="Arial"/>
        </w:rPr>
        <w:t> </w:t>
      </w:r>
      <w:r w:rsidR="00A34FBB" w:rsidRPr="00124637">
        <w:rPr>
          <w:rFonts w:cs="Arial"/>
        </w:rPr>
        <w:t>March 2015</w:t>
      </w:r>
      <w:r w:rsidRPr="00124637">
        <w:rPr>
          <w:rFonts w:cs="Arial"/>
        </w:rPr>
        <w:t>.</w:t>
      </w:r>
    </w:p>
    <w:p w14:paraId="0EFF278F" w14:textId="77777777" w:rsidR="00F736DF" w:rsidRPr="00124637" w:rsidRDefault="00F736DF" w:rsidP="00F736DF">
      <w:pPr>
        <w:pStyle w:val="BodysubheaderH4"/>
        <w:rPr>
          <w:rFonts w:cs="Arial"/>
        </w:rPr>
      </w:pPr>
      <w:r w:rsidRPr="00124637">
        <w:rPr>
          <w:rFonts w:cs="Arial"/>
        </w:rPr>
        <w:t>Amount of charge</w:t>
      </w:r>
    </w:p>
    <w:p w14:paraId="6D9D5E68" w14:textId="77777777" w:rsidR="00F736DF" w:rsidRPr="00124637" w:rsidRDefault="00F736DF" w:rsidP="00F736DF">
      <w:pPr>
        <w:rPr>
          <w:rFonts w:cs="Arial"/>
        </w:rPr>
      </w:pPr>
      <w:r w:rsidRPr="00124637">
        <w:rPr>
          <w:rFonts w:cs="Arial"/>
        </w:rPr>
        <w:t xml:space="preserve">The base number charge for 2014–15 was $0.6546107728. Employing the opportunity-cost methodology applied in previous years, nine-digit numbers were charged at $6.546107728, eight-digit numbers at $65.46107728 and so on. No numbers incurred the maximum cost of $100,000 allowable under the </w:t>
      </w:r>
      <w:r w:rsidRPr="00124637">
        <w:rPr>
          <w:rFonts w:cs="Arial"/>
          <w:i/>
        </w:rPr>
        <w:t>Telecommunications (Numbering Charges) Act 1997</w:t>
      </w:r>
      <w:r w:rsidRPr="00124637">
        <w:rPr>
          <w:rFonts w:cs="Arial"/>
        </w:rPr>
        <w:t>.</w:t>
      </w:r>
    </w:p>
    <w:p w14:paraId="493BA43B" w14:textId="77777777" w:rsidR="00F736DF" w:rsidRPr="00124637" w:rsidRDefault="00F736DF" w:rsidP="00F736DF">
      <w:pPr>
        <w:rPr>
          <w:rFonts w:cs="Arial"/>
        </w:rPr>
      </w:pPr>
      <w:r w:rsidRPr="00124637">
        <w:rPr>
          <w:rFonts w:cs="Arial"/>
        </w:rPr>
        <w:t>Numbers used for incoming-only international services, internal network services and testing services were subject to a reduced rate of charge. Geographic numbers allocated to a CSP for the purposes of providing a standard telephone service to a customer are exempt from the charge.</w:t>
      </w:r>
    </w:p>
    <w:p w14:paraId="10184D5E" w14:textId="052B975A" w:rsidR="009D01E4" w:rsidRPr="00124637" w:rsidRDefault="009D01E4" w:rsidP="009D01E4">
      <w:pPr>
        <w:rPr>
          <w:rFonts w:cs="Arial"/>
        </w:rPr>
      </w:pPr>
      <w:r w:rsidRPr="009F68B0">
        <w:rPr>
          <w:rFonts w:cs="Arial"/>
        </w:rPr>
        <w:t xml:space="preserve">At 30 June 2015, the ACMA had received </w:t>
      </w:r>
      <w:r w:rsidR="00EC4BCE" w:rsidRPr="009F68B0">
        <w:rPr>
          <w:rFonts w:cs="Arial"/>
        </w:rPr>
        <w:t>$44.79 </w:t>
      </w:r>
      <w:r w:rsidRPr="009F68B0">
        <w:rPr>
          <w:rFonts w:cs="Arial"/>
        </w:rPr>
        <w:t>million of the $60 million revenue target</w:t>
      </w:r>
      <w:r w:rsidR="00ED71F4" w:rsidRPr="009F68B0">
        <w:rPr>
          <w:rFonts w:cs="Arial"/>
        </w:rPr>
        <w:t>, and is actively recovering the outstanding amounts.</w:t>
      </w:r>
      <w:r w:rsidRPr="009F68B0">
        <w:rPr>
          <w:rFonts w:cs="Arial"/>
        </w:rPr>
        <w:t xml:space="preserve"> The amounts</w:t>
      </w:r>
      <w:r w:rsidRPr="00124637">
        <w:rPr>
          <w:rFonts w:cs="Arial"/>
        </w:rPr>
        <w:t xml:space="preserve"> outstanding fo</w:t>
      </w:r>
      <w:r w:rsidR="00C47361" w:rsidRPr="00124637">
        <w:rPr>
          <w:rFonts w:cs="Arial"/>
        </w:rPr>
        <w:t>r each CSP are shown in Table 6</w:t>
      </w:r>
      <w:r w:rsidRPr="00124637">
        <w:rPr>
          <w:rFonts w:cs="Arial"/>
        </w:rPr>
        <w:t>.</w:t>
      </w:r>
    </w:p>
    <w:p w14:paraId="0F5CD223" w14:textId="77777777" w:rsidR="006A4DAE" w:rsidRPr="00124637" w:rsidRDefault="006A4DAE" w:rsidP="006A4DAE">
      <w:pPr>
        <w:pStyle w:val="Caption"/>
        <w:keepNext/>
        <w:keepLines/>
        <w:spacing w:after="120"/>
        <w:rPr>
          <w:color w:val="auto"/>
        </w:rPr>
      </w:pPr>
      <w:r w:rsidRPr="00124637">
        <w:rPr>
          <w:color w:val="auto"/>
        </w:rPr>
        <w:lastRenderedPageBreak/>
        <w:t>Annual numbering charge amounts outstanding at 30 June 2015</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4957"/>
        <w:gridCol w:w="2408"/>
      </w:tblGrid>
      <w:tr w:rsidR="006A4DAE" w:rsidRPr="009D01E4" w14:paraId="2F9EE2B3" w14:textId="77777777" w:rsidTr="006A4DAE">
        <w:trPr>
          <w:cantSplit/>
        </w:trPr>
        <w:tc>
          <w:tcPr>
            <w:tcW w:w="3365" w:type="pct"/>
            <w:shd w:val="clear" w:color="auto" w:fill="404040" w:themeFill="text1" w:themeFillTint="BF"/>
            <w:tcMar>
              <w:top w:w="57" w:type="dxa"/>
              <w:left w:w="57" w:type="dxa"/>
              <w:bottom w:w="57" w:type="dxa"/>
              <w:right w:w="57" w:type="dxa"/>
            </w:tcMar>
          </w:tcPr>
          <w:p w14:paraId="76F64B06" w14:textId="77777777" w:rsidR="006A4DAE" w:rsidRPr="006A4DAE" w:rsidRDefault="006A4DAE" w:rsidP="006A4DAE">
            <w:pPr>
              <w:pStyle w:val="TableHeading"/>
              <w:keepNext/>
              <w:keepLines/>
              <w:rPr>
                <w:rFonts w:cs="Arial"/>
                <w:color w:val="FFFFFF" w:themeColor="background1"/>
              </w:rPr>
            </w:pPr>
            <w:r w:rsidRPr="006A4DAE">
              <w:rPr>
                <w:rFonts w:cs="Arial"/>
                <w:color w:val="FFFFFF" w:themeColor="background1"/>
              </w:rPr>
              <w:t>CSP</w:t>
            </w:r>
          </w:p>
        </w:tc>
        <w:tc>
          <w:tcPr>
            <w:tcW w:w="1635" w:type="pct"/>
            <w:shd w:val="clear" w:color="auto" w:fill="404040" w:themeFill="text1" w:themeFillTint="BF"/>
            <w:tcMar>
              <w:top w:w="57" w:type="dxa"/>
              <w:left w:w="57" w:type="dxa"/>
              <w:bottom w:w="57" w:type="dxa"/>
              <w:right w:w="57" w:type="dxa"/>
            </w:tcMar>
          </w:tcPr>
          <w:p w14:paraId="61A91BDD" w14:textId="77777777" w:rsidR="006A4DAE" w:rsidRPr="006A4DAE" w:rsidRDefault="006A4DAE" w:rsidP="006A4DAE">
            <w:pPr>
              <w:pStyle w:val="TableHeading"/>
              <w:keepNext/>
              <w:keepLines/>
              <w:rPr>
                <w:rFonts w:cs="Arial"/>
                <w:color w:val="FFFFFF" w:themeColor="background1"/>
              </w:rPr>
            </w:pPr>
            <w:r w:rsidRPr="006A4DAE">
              <w:rPr>
                <w:rFonts w:cs="Arial"/>
                <w:color w:val="FFFFFF" w:themeColor="background1"/>
              </w:rPr>
              <w:t>Amount outstanding ($)</w:t>
            </w:r>
          </w:p>
        </w:tc>
      </w:tr>
      <w:tr w:rsidR="00124637" w:rsidRPr="00124637" w14:paraId="2CEB69EB" w14:textId="77777777" w:rsidTr="006A4DAE">
        <w:trPr>
          <w:cantSplit/>
        </w:trPr>
        <w:tc>
          <w:tcPr>
            <w:tcW w:w="3365" w:type="pct"/>
            <w:shd w:val="clear" w:color="auto" w:fill="auto"/>
            <w:tcMar>
              <w:top w:w="57" w:type="dxa"/>
              <w:left w:w="57" w:type="dxa"/>
              <w:bottom w:w="57" w:type="dxa"/>
              <w:right w:w="57" w:type="dxa"/>
            </w:tcMar>
            <w:vAlign w:val="bottom"/>
          </w:tcPr>
          <w:p w14:paraId="7D6BB8B4" w14:textId="77777777" w:rsidR="006A4DAE" w:rsidRPr="00124637" w:rsidRDefault="00C47361" w:rsidP="006A4DAE">
            <w:pPr>
              <w:pStyle w:val="TableBody"/>
              <w:keepNext/>
              <w:keepLines/>
            </w:pPr>
            <w:r w:rsidRPr="00124637">
              <w:t>iseek Communications Pty Ltd</w:t>
            </w:r>
          </w:p>
        </w:tc>
        <w:tc>
          <w:tcPr>
            <w:tcW w:w="1635" w:type="pct"/>
            <w:shd w:val="clear" w:color="auto" w:fill="auto"/>
            <w:tcMar>
              <w:top w:w="57" w:type="dxa"/>
              <w:left w:w="57" w:type="dxa"/>
              <w:bottom w:w="57" w:type="dxa"/>
              <w:right w:w="57" w:type="dxa"/>
            </w:tcMar>
            <w:vAlign w:val="bottom"/>
          </w:tcPr>
          <w:p w14:paraId="2899BCC4" w14:textId="77777777" w:rsidR="006A4DAE" w:rsidRPr="00124637" w:rsidRDefault="006A4DAE" w:rsidP="006A4DAE">
            <w:pPr>
              <w:pStyle w:val="TableBody"/>
              <w:keepNext/>
              <w:keepLines/>
              <w:jc w:val="right"/>
            </w:pPr>
            <w:r w:rsidRPr="00124637">
              <w:t xml:space="preserve">$6,436.13 </w:t>
            </w:r>
          </w:p>
        </w:tc>
      </w:tr>
      <w:tr w:rsidR="00124637" w:rsidRPr="00124637" w14:paraId="38DF036A" w14:textId="77777777" w:rsidTr="006A4DAE">
        <w:trPr>
          <w:cantSplit/>
        </w:trPr>
        <w:tc>
          <w:tcPr>
            <w:tcW w:w="3365" w:type="pct"/>
            <w:shd w:val="clear" w:color="auto" w:fill="auto"/>
            <w:tcMar>
              <w:top w:w="57" w:type="dxa"/>
              <w:left w:w="57" w:type="dxa"/>
              <w:bottom w:w="57" w:type="dxa"/>
              <w:right w:w="57" w:type="dxa"/>
            </w:tcMar>
          </w:tcPr>
          <w:p w14:paraId="5E4B377B" w14:textId="77777777" w:rsidR="006A4DAE" w:rsidRPr="00124637" w:rsidRDefault="006A4DAE" w:rsidP="006A4DAE">
            <w:pPr>
              <w:pStyle w:val="TableBody"/>
              <w:keepNext/>
              <w:keepLines/>
            </w:pPr>
            <w:r w:rsidRPr="00124637">
              <w:t>Live Connected</w:t>
            </w:r>
          </w:p>
        </w:tc>
        <w:tc>
          <w:tcPr>
            <w:tcW w:w="1635" w:type="pct"/>
            <w:shd w:val="clear" w:color="auto" w:fill="auto"/>
            <w:tcMar>
              <w:top w:w="57" w:type="dxa"/>
              <w:left w:w="57" w:type="dxa"/>
              <w:bottom w:w="57" w:type="dxa"/>
              <w:right w:w="57" w:type="dxa"/>
            </w:tcMar>
          </w:tcPr>
          <w:p w14:paraId="069C6518" w14:textId="77777777" w:rsidR="006A4DAE" w:rsidRPr="00124637" w:rsidRDefault="006A4DAE" w:rsidP="006A4DAE">
            <w:pPr>
              <w:pStyle w:val="TableBody"/>
              <w:keepNext/>
              <w:keepLines/>
              <w:jc w:val="right"/>
            </w:pPr>
            <w:r w:rsidRPr="00124637">
              <w:t xml:space="preserve">$11,248.83 </w:t>
            </w:r>
          </w:p>
        </w:tc>
      </w:tr>
      <w:tr w:rsidR="00124637" w:rsidRPr="00124637" w14:paraId="424B3E68" w14:textId="77777777" w:rsidTr="006A4DAE">
        <w:trPr>
          <w:cantSplit/>
        </w:trPr>
        <w:tc>
          <w:tcPr>
            <w:tcW w:w="3365" w:type="pct"/>
            <w:shd w:val="clear" w:color="auto" w:fill="auto"/>
            <w:tcMar>
              <w:top w:w="57" w:type="dxa"/>
              <w:left w:w="57" w:type="dxa"/>
              <w:bottom w:w="57" w:type="dxa"/>
              <w:right w:w="57" w:type="dxa"/>
            </w:tcMar>
            <w:vAlign w:val="bottom"/>
          </w:tcPr>
          <w:p w14:paraId="5E92CE1A" w14:textId="77777777" w:rsidR="006A4DAE" w:rsidRPr="00124637" w:rsidRDefault="006A4DAE" w:rsidP="006A4DAE">
            <w:pPr>
              <w:pStyle w:val="TableBody"/>
              <w:keepNext/>
              <w:keepLines/>
            </w:pPr>
            <w:r w:rsidRPr="00124637">
              <w:t>Lycamobile Pty Ltd</w:t>
            </w:r>
          </w:p>
        </w:tc>
        <w:tc>
          <w:tcPr>
            <w:tcW w:w="1635" w:type="pct"/>
            <w:shd w:val="clear" w:color="auto" w:fill="auto"/>
            <w:tcMar>
              <w:top w:w="57" w:type="dxa"/>
              <w:left w:w="57" w:type="dxa"/>
              <w:bottom w:w="57" w:type="dxa"/>
              <w:right w:w="57" w:type="dxa"/>
            </w:tcMar>
            <w:vAlign w:val="bottom"/>
          </w:tcPr>
          <w:p w14:paraId="40F9980F" w14:textId="77777777" w:rsidR="006A4DAE" w:rsidRPr="00124637" w:rsidRDefault="006A4DAE" w:rsidP="006A4DAE">
            <w:pPr>
              <w:pStyle w:val="TableBody"/>
              <w:keepNext/>
              <w:keepLines/>
              <w:jc w:val="right"/>
            </w:pPr>
            <w:r w:rsidRPr="00124637">
              <w:t xml:space="preserve">$1,200,466.48 </w:t>
            </w:r>
          </w:p>
        </w:tc>
      </w:tr>
      <w:tr w:rsidR="00124637" w:rsidRPr="00124637" w14:paraId="3206AEF3" w14:textId="77777777" w:rsidTr="006A4DAE">
        <w:trPr>
          <w:cantSplit/>
        </w:trPr>
        <w:tc>
          <w:tcPr>
            <w:tcW w:w="3365" w:type="pct"/>
            <w:shd w:val="clear" w:color="auto" w:fill="auto"/>
            <w:tcMar>
              <w:top w:w="57" w:type="dxa"/>
              <w:left w:w="57" w:type="dxa"/>
              <w:bottom w:w="57" w:type="dxa"/>
              <w:right w:w="57" w:type="dxa"/>
            </w:tcMar>
            <w:vAlign w:val="bottom"/>
          </w:tcPr>
          <w:p w14:paraId="5BA5F625" w14:textId="77777777" w:rsidR="006A4DAE" w:rsidRPr="00124637" w:rsidRDefault="006A4DAE" w:rsidP="006A4DAE">
            <w:pPr>
              <w:pStyle w:val="TableBody"/>
              <w:keepNext/>
              <w:keepLines/>
            </w:pPr>
            <w:r w:rsidRPr="00124637">
              <w:t>Netsize Pty Ltd</w:t>
            </w:r>
          </w:p>
        </w:tc>
        <w:tc>
          <w:tcPr>
            <w:tcW w:w="1635" w:type="pct"/>
            <w:shd w:val="clear" w:color="auto" w:fill="auto"/>
            <w:tcMar>
              <w:top w:w="57" w:type="dxa"/>
              <w:left w:w="57" w:type="dxa"/>
              <w:bottom w:w="57" w:type="dxa"/>
              <w:right w:w="57" w:type="dxa"/>
            </w:tcMar>
            <w:vAlign w:val="bottom"/>
          </w:tcPr>
          <w:p w14:paraId="08E0C588" w14:textId="77777777" w:rsidR="006A4DAE" w:rsidRPr="00124637" w:rsidRDefault="006A4DAE" w:rsidP="006A4DAE">
            <w:pPr>
              <w:pStyle w:val="TableBody"/>
              <w:keepNext/>
              <w:keepLines/>
              <w:jc w:val="right"/>
            </w:pPr>
            <w:r w:rsidRPr="00124637">
              <w:t xml:space="preserve">$29,653.87 </w:t>
            </w:r>
          </w:p>
        </w:tc>
      </w:tr>
      <w:tr w:rsidR="00124637" w:rsidRPr="00124637" w14:paraId="623EF18C" w14:textId="77777777" w:rsidTr="006A4DAE">
        <w:trPr>
          <w:cantSplit/>
        </w:trPr>
        <w:tc>
          <w:tcPr>
            <w:tcW w:w="3365" w:type="pct"/>
            <w:shd w:val="clear" w:color="auto" w:fill="auto"/>
            <w:tcMar>
              <w:top w:w="57" w:type="dxa"/>
              <w:left w:w="57" w:type="dxa"/>
              <w:bottom w:w="57" w:type="dxa"/>
              <w:right w:w="57" w:type="dxa"/>
            </w:tcMar>
            <w:vAlign w:val="bottom"/>
          </w:tcPr>
          <w:p w14:paraId="45727120" w14:textId="77777777" w:rsidR="006A4DAE" w:rsidRPr="00124637" w:rsidRDefault="006A4DAE" w:rsidP="006A4DAE">
            <w:pPr>
              <w:pStyle w:val="TableBody"/>
              <w:keepNext/>
              <w:keepLines/>
            </w:pPr>
            <w:r w:rsidRPr="00124637">
              <w:t>Novatel Telephony Pty Ltd</w:t>
            </w:r>
          </w:p>
        </w:tc>
        <w:tc>
          <w:tcPr>
            <w:tcW w:w="1635" w:type="pct"/>
            <w:shd w:val="clear" w:color="auto" w:fill="auto"/>
            <w:tcMar>
              <w:top w:w="57" w:type="dxa"/>
              <w:left w:w="57" w:type="dxa"/>
              <w:bottom w:w="57" w:type="dxa"/>
              <w:right w:w="57" w:type="dxa"/>
            </w:tcMar>
            <w:vAlign w:val="bottom"/>
          </w:tcPr>
          <w:p w14:paraId="526AB217" w14:textId="77777777" w:rsidR="006A4DAE" w:rsidRPr="00124637" w:rsidRDefault="006A4DAE" w:rsidP="006A4DAE">
            <w:pPr>
              <w:pStyle w:val="TableBody"/>
              <w:keepNext/>
              <w:keepLines/>
              <w:jc w:val="right"/>
            </w:pPr>
            <w:r w:rsidRPr="00124637">
              <w:t xml:space="preserve">$65,461.08 </w:t>
            </w:r>
          </w:p>
        </w:tc>
      </w:tr>
      <w:tr w:rsidR="00124637" w:rsidRPr="00124637" w14:paraId="6879AE01" w14:textId="77777777" w:rsidTr="006A4DAE">
        <w:trPr>
          <w:cantSplit/>
        </w:trPr>
        <w:tc>
          <w:tcPr>
            <w:tcW w:w="3365" w:type="pct"/>
            <w:shd w:val="clear" w:color="auto" w:fill="auto"/>
            <w:tcMar>
              <w:top w:w="57" w:type="dxa"/>
              <w:left w:w="57" w:type="dxa"/>
              <w:bottom w:w="57" w:type="dxa"/>
              <w:right w:w="57" w:type="dxa"/>
            </w:tcMar>
            <w:vAlign w:val="bottom"/>
          </w:tcPr>
          <w:p w14:paraId="23C575DB" w14:textId="77777777" w:rsidR="006A4DAE" w:rsidRPr="00124637" w:rsidRDefault="006A4DAE" w:rsidP="006A4DAE">
            <w:pPr>
              <w:pStyle w:val="TableBody"/>
              <w:keepNext/>
              <w:keepLines/>
            </w:pPr>
            <w:r w:rsidRPr="00124637">
              <w:t>Optus Mobile Pty Limited</w:t>
            </w:r>
          </w:p>
        </w:tc>
        <w:tc>
          <w:tcPr>
            <w:tcW w:w="1635" w:type="pct"/>
            <w:shd w:val="clear" w:color="auto" w:fill="auto"/>
            <w:tcMar>
              <w:top w:w="57" w:type="dxa"/>
              <w:left w:w="57" w:type="dxa"/>
              <w:bottom w:w="57" w:type="dxa"/>
              <w:right w:w="57" w:type="dxa"/>
            </w:tcMar>
            <w:vAlign w:val="bottom"/>
          </w:tcPr>
          <w:p w14:paraId="69471EE9" w14:textId="77777777" w:rsidR="006A4DAE" w:rsidRPr="00124637" w:rsidRDefault="006A4DAE" w:rsidP="006A4DAE">
            <w:pPr>
              <w:pStyle w:val="TableBody"/>
              <w:keepNext/>
              <w:keepLines/>
              <w:jc w:val="right"/>
            </w:pPr>
            <w:r w:rsidRPr="00124637">
              <w:t xml:space="preserve">$7,709,663.98 </w:t>
            </w:r>
          </w:p>
        </w:tc>
      </w:tr>
      <w:tr w:rsidR="00124637" w:rsidRPr="00124637" w14:paraId="5CF5298D" w14:textId="77777777" w:rsidTr="006A4DAE">
        <w:trPr>
          <w:cantSplit/>
        </w:trPr>
        <w:tc>
          <w:tcPr>
            <w:tcW w:w="3365" w:type="pct"/>
            <w:shd w:val="clear" w:color="auto" w:fill="auto"/>
            <w:tcMar>
              <w:top w:w="57" w:type="dxa"/>
              <w:left w:w="57" w:type="dxa"/>
              <w:bottom w:w="57" w:type="dxa"/>
              <w:right w:w="57" w:type="dxa"/>
            </w:tcMar>
            <w:vAlign w:val="bottom"/>
          </w:tcPr>
          <w:p w14:paraId="1F1542A5" w14:textId="77777777" w:rsidR="006A4DAE" w:rsidRPr="00124637" w:rsidRDefault="006A4DAE" w:rsidP="006A4DAE">
            <w:pPr>
              <w:pStyle w:val="TableBody"/>
              <w:keepNext/>
              <w:keepLines/>
            </w:pPr>
            <w:r w:rsidRPr="00124637">
              <w:t>Optus Networks Pty Limited</w:t>
            </w:r>
          </w:p>
        </w:tc>
        <w:tc>
          <w:tcPr>
            <w:tcW w:w="1635" w:type="pct"/>
            <w:shd w:val="clear" w:color="auto" w:fill="auto"/>
            <w:tcMar>
              <w:top w:w="57" w:type="dxa"/>
              <w:left w:w="57" w:type="dxa"/>
              <w:bottom w:w="57" w:type="dxa"/>
              <w:right w:w="57" w:type="dxa"/>
            </w:tcMar>
            <w:vAlign w:val="bottom"/>
          </w:tcPr>
          <w:p w14:paraId="0DAA6519" w14:textId="77777777" w:rsidR="006A4DAE" w:rsidRPr="00124637" w:rsidRDefault="006A4DAE" w:rsidP="006A4DAE">
            <w:pPr>
              <w:pStyle w:val="TableBody"/>
              <w:keepNext/>
              <w:keepLines/>
              <w:jc w:val="right"/>
            </w:pPr>
            <w:r w:rsidRPr="00124637">
              <w:t>$3,622,244.20</w:t>
            </w:r>
          </w:p>
        </w:tc>
      </w:tr>
      <w:tr w:rsidR="00124637" w:rsidRPr="00124637" w14:paraId="3574B59E" w14:textId="77777777" w:rsidTr="006A4DAE">
        <w:trPr>
          <w:cantSplit/>
        </w:trPr>
        <w:tc>
          <w:tcPr>
            <w:tcW w:w="3365" w:type="pct"/>
            <w:shd w:val="clear" w:color="auto" w:fill="auto"/>
            <w:tcMar>
              <w:top w:w="57" w:type="dxa"/>
              <w:left w:w="57" w:type="dxa"/>
              <w:bottom w:w="57" w:type="dxa"/>
              <w:right w:w="57" w:type="dxa"/>
            </w:tcMar>
            <w:vAlign w:val="bottom"/>
          </w:tcPr>
          <w:p w14:paraId="4447EC46" w14:textId="77777777" w:rsidR="006A4DAE" w:rsidRPr="00124637" w:rsidRDefault="006A4DAE" w:rsidP="006A4DAE">
            <w:pPr>
              <w:pStyle w:val="TableBody"/>
              <w:keepNext/>
              <w:keepLines/>
            </w:pPr>
            <w:r w:rsidRPr="00124637">
              <w:t>PowerTel Limited</w:t>
            </w:r>
          </w:p>
        </w:tc>
        <w:tc>
          <w:tcPr>
            <w:tcW w:w="1635" w:type="pct"/>
            <w:shd w:val="clear" w:color="auto" w:fill="auto"/>
            <w:tcMar>
              <w:top w:w="57" w:type="dxa"/>
              <w:left w:w="57" w:type="dxa"/>
              <w:bottom w:w="57" w:type="dxa"/>
              <w:right w:w="57" w:type="dxa"/>
            </w:tcMar>
            <w:vAlign w:val="bottom"/>
          </w:tcPr>
          <w:p w14:paraId="16402268" w14:textId="77777777" w:rsidR="006A4DAE" w:rsidRPr="00124637" w:rsidRDefault="006A4DAE" w:rsidP="006A4DAE">
            <w:pPr>
              <w:pStyle w:val="TableBody"/>
              <w:keepNext/>
              <w:keepLines/>
              <w:jc w:val="right"/>
            </w:pPr>
            <w:r w:rsidRPr="00124637">
              <w:t>$7.20</w:t>
            </w:r>
          </w:p>
        </w:tc>
      </w:tr>
      <w:tr w:rsidR="00124637" w:rsidRPr="00124637" w14:paraId="506EBD91" w14:textId="77777777" w:rsidTr="006A4DAE">
        <w:trPr>
          <w:cantSplit/>
        </w:trPr>
        <w:tc>
          <w:tcPr>
            <w:tcW w:w="3365" w:type="pct"/>
            <w:shd w:val="clear" w:color="auto" w:fill="auto"/>
            <w:tcMar>
              <w:top w:w="57" w:type="dxa"/>
              <w:left w:w="57" w:type="dxa"/>
              <w:bottom w:w="57" w:type="dxa"/>
              <w:right w:w="57" w:type="dxa"/>
            </w:tcMar>
            <w:vAlign w:val="bottom"/>
          </w:tcPr>
          <w:p w14:paraId="59682CF6" w14:textId="77777777" w:rsidR="006A4DAE" w:rsidRPr="00124637" w:rsidRDefault="006A4DAE" w:rsidP="006A4DAE">
            <w:pPr>
              <w:pStyle w:val="TableBody"/>
              <w:keepNext/>
              <w:keepLines/>
            </w:pPr>
            <w:r w:rsidRPr="00124637">
              <w:t>Singtel Optus Pty Limited</w:t>
            </w:r>
          </w:p>
        </w:tc>
        <w:tc>
          <w:tcPr>
            <w:tcW w:w="1635" w:type="pct"/>
            <w:shd w:val="clear" w:color="auto" w:fill="auto"/>
            <w:tcMar>
              <w:top w:w="57" w:type="dxa"/>
              <w:left w:w="57" w:type="dxa"/>
              <w:bottom w:w="57" w:type="dxa"/>
              <w:right w:w="57" w:type="dxa"/>
            </w:tcMar>
            <w:vAlign w:val="bottom"/>
          </w:tcPr>
          <w:p w14:paraId="0C91CCE9" w14:textId="77777777" w:rsidR="006A4DAE" w:rsidRPr="00124637" w:rsidRDefault="006A4DAE" w:rsidP="006A4DAE">
            <w:pPr>
              <w:pStyle w:val="TableBody"/>
              <w:keepNext/>
              <w:keepLines/>
              <w:jc w:val="right"/>
            </w:pPr>
            <w:r w:rsidRPr="00124637">
              <w:t>$738,547.58</w:t>
            </w:r>
          </w:p>
        </w:tc>
      </w:tr>
      <w:tr w:rsidR="00124637" w:rsidRPr="00124637" w14:paraId="5D027F88" w14:textId="77777777" w:rsidTr="006A4DAE">
        <w:trPr>
          <w:cantSplit/>
        </w:trPr>
        <w:tc>
          <w:tcPr>
            <w:tcW w:w="3365" w:type="pct"/>
            <w:shd w:val="clear" w:color="auto" w:fill="auto"/>
            <w:tcMar>
              <w:top w:w="57" w:type="dxa"/>
              <w:left w:w="57" w:type="dxa"/>
              <w:bottom w:w="57" w:type="dxa"/>
              <w:right w:w="57" w:type="dxa"/>
            </w:tcMar>
            <w:vAlign w:val="bottom"/>
          </w:tcPr>
          <w:p w14:paraId="436B42FC" w14:textId="77777777" w:rsidR="006A4DAE" w:rsidRPr="00124637" w:rsidRDefault="006A4DAE" w:rsidP="006A4DAE">
            <w:pPr>
              <w:pStyle w:val="TableBody"/>
              <w:keepNext/>
              <w:keepLines/>
            </w:pPr>
            <w:r w:rsidRPr="00124637">
              <w:t>Vaya Pty Ltd</w:t>
            </w:r>
          </w:p>
        </w:tc>
        <w:tc>
          <w:tcPr>
            <w:tcW w:w="1635" w:type="pct"/>
            <w:shd w:val="clear" w:color="auto" w:fill="auto"/>
            <w:tcMar>
              <w:top w:w="57" w:type="dxa"/>
              <w:left w:w="57" w:type="dxa"/>
              <w:bottom w:w="57" w:type="dxa"/>
              <w:right w:w="57" w:type="dxa"/>
            </w:tcMar>
            <w:vAlign w:val="bottom"/>
          </w:tcPr>
          <w:p w14:paraId="04F59930" w14:textId="77777777" w:rsidR="006A4DAE" w:rsidRPr="00124637" w:rsidRDefault="006A4DAE" w:rsidP="006A4DAE">
            <w:pPr>
              <w:pStyle w:val="TableBody"/>
              <w:keepNext/>
              <w:keepLines/>
              <w:jc w:val="right"/>
            </w:pPr>
            <w:r w:rsidRPr="00124637">
              <w:t>$84,182.95</w:t>
            </w:r>
          </w:p>
        </w:tc>
      </w:tr>
      <w:tr w:rsidR="00124637" w:rsidRPr="00124637" w14:paraId="01B1EC62" w14:textId="77777777" w:rsidTr="006A4DAE">
        <w:trPr>
          <w:cantSplit/>
        </w:trPr>
        <w:tc>
          <w:tcPr>
            <w:tcW w:w="3365" w:type="pct"/>
            <w:shd w:val="clear" w:color="auto" w:fill="auto"/>
            <w:tcMar>
              <w:top w:w="57" w:type="dxa"/>
              <w:left w:w="57" w:type="dxa"/>
              <w:bottom w:w="57" w:type="dxa"/>
              <w:right w:w="57" w:type="dxa"/>
            </w:tcMar>
            <w:vAlign w:val="bottom"/>
          </w:tcPr>
          <w:p w14:paraId="43E36DFB" w14:textId="77777777" w:rsidR="006A4DAE" w:rsidRPr="00124637" w:rsidRDefault="00C47361" w:rsidP="006A4DAE">
            <w:pPr>
              <w:pStyle w:val="TableBody"/>
              <w:keepNext/>
              <w:keepLines/>
            </w:pPr>
            <w:r w:rsidRPr="00124637">
              <w:t>Virgin Mobile (Australia) Pty Limited</w:t>
            </w:r>
          </w:p>
        </w:tc>
        <w:tc>
          <w:tcPr>
            <w:tcW w:w="1635" w:type="pct"/>
            <w:shd w:val="clear" w:color="auto" w:fill="auto"/>
            <w:tcMar>
              <w:top w:w="57" w:type="dxa"/>
              <w:left w:w="57" w:type="dxa"/>
              <w:bottom w:w="57" w:type="dxa"/>
              <w:right w:w="57" w:type="dxa"/>
            </w:tcMar>
            <w:vAlign w:val="bottom"/>
          </w:tcPr>
          <w:p w14:paraId="06FF0D67" w14:textId="77777777" w:rsidR="006A4DAE" w:rsidRPr="00124637" w:rsidRDefault="006A4DAE" w:rsidP="006A4DAE">
            <w:pPr>
              <w:pStyle w:val="TableBody"/>
              <w:keepNext/>
              <w:keepLines/>
              <w:jc w:val="right"/>
            </w:pPr>
            <w:r w:rsidRPr="00124637">
              <w:t>$1,709,590.00</w:t>
            </w:r>
          </w:p>
        </w:tc>
      </w:tr>
      <w:tr w:rsidR="00124637" w:rsidRPr="00124637" w14:paraId="21C572B0" w14:textId="77777777" w:rsidTr="006A4DAE">
        <w:trPr>
          <w:cantSplit/>
        </w:trPr>
        <w:tc>
          <w:tcPr>
            <w:tcW w:w="3365" w:type="pct"/>
            <w:shd w:val="clear" w:color="auto" w:fill="auto"/>
            <w:tcMar>
              <w:top w:w="57" w:type="dxa"/>
              <w:left w:w="57" w:type="dxa"/>
              <w:bottom w:w="57" w:type="dxa"/>
              <w:right w:w="57" w:type="dxa"/>
            </w:tcMar>
            <w:vAlign w:val="bottom"/>
          </w:tcPr>
          <w:p w14:paraId="21C6156A" w14:textId="77777777" w:rsidR="006A4DAE" w:rsidRPr="00124637" w:rsidRDefault="006A4DAE" w:rsidP="006A4DAE">
            <w:pPr>
              <w:pStyle w:val="TableBody"/>
              <w:keepNext/>
              <w:keepLines/>
            </w:pPr>
            <w:r w:rsidRPr="00124637">
              <w:t>Yatango Mobile (Australia) Pty Ltd</w:t>
            </w:r>
          </w:p>
        </w:tc>
        <w:tc>
          <w:tcPr>
            <w:tcW w:w="1635" w:type="pct"/>
            <w:shd w:val="clear" w:color="auto" w:fill="auto"/>
            <w:tcMar>
              <w:top w:w="57" w:type="dxa"/>
              <w:left w:w="57" w:type="dxa"/>
              <w:bottom w:w="57" w:type="dxa"/>
              <w:right w:w="57" w:type="dxa"/>
            </w:tcMar>
            <w:vAlign w:val="bottom"/>
          </w:tcPr>
          <w:p w14:paraId="4730449F" w14:textId="77777777" w:rsidR="006A4DAE" w:rsidRPr="00124637" w:rsidRDefault="006A4DAE" w:rsidP="006A4DAE">
            <w:pPr>
              <w:pStyle w:val="TableBody"/>
              <w:keepNext/>
              <w:keepLines/>
              <w:jc w:val="right"/>
            </w:pPr>
            <w:r w:rsidRPr="00124637">
              <w:t>$33,699.36</w:t>
            </w:r>
          </w:p>
        </w:tc>
      </w:tr>
      <w:tr w:rsidR="00124637" w:rsidRPr="00124637" w14:paraId="4D2DE1D7" w14:textId="77777777" w:rsidTr="0022095A">
        <w:trPr>
          <w:cantSplit/>
        </w:trPr>
        <w:tc>
          <w:tcPr>
            <w:tcW w:w="3365" w:type="pct"/>
            <w:shd w:val="clear" w:color="auto" w:fill="F2F2F2" w:themeFill="background1" w:themeFillShade="F2"/>
            <w:tcMar>
              <w:top w:w="57" w:type="dxa"/>
              <w:left w:w="57" w:type="dxa"/>
              <w:bottom w:w="57" w:type="dxa"/>
              <w:right w:w="57" w:type="dxa"/>
            </w:tcMar>
          </w:tcPr>
          <w:p w14:paraId="2ECD8522" w14:textId="77777777" w:rsidR="006A4DAE" w:rsidRPr="00124637" w:rsidRDefault="006A4DAE" w:rsidP="006A4DAE">
            <w:pPr>
              <w:pStyle w:val="TableBody"/>
              <w:keepNext/>
              <w:keepLines/>
              <w:rPr>
                <w:b/>
              </w:rPr>
            </w:pPr>
            <w:r w:rsidRPr="00124637">
              <w:rPr>
                <w:b/>
              </w:rPr>
              <w:t>Total</w:t>
            </w:r>
          </w:p>
        </w:tc>
        <w:tc>
          <w:tcPr>
            <w:tcW w:w="1635" w:type="pct"/>
            <w:shd w:val="clear" w:color="auto" w:fill="F2F2F2" w:themeFill="background1" w:themeFillShade="F2"/>
            <w:tcMar>
              <w:top w:w="57" w:type="dxa"/>
              <w:left w:w="57" w:type="dxa"/>
              <w:bottom w:w="57" w:type="dxa"/>
              <w:right w:w="57" w:type="dxa"/>
            </w:tcMar>
          </w:tcPr>
          <w:p w14:paraId="1D792FDD" w14:textId="77777777" w:rsidR="006A4DAE" w:rsidRPr="00124637" w:rsidRDefault="006A4DAE" w:rsidP="006A4DAE">
            <w:pPr>
              <w:pStyle w:val="TableBody"/>
              <w:keepNext/>
              <w:keepLines/>
              <w:jc w:val="right"/>
              <w:rPr>
                <w:b/>
              </w:rPr>
            </w:pPr>
            <w:r w:rsidRPr="00124637">
              <w:rPr>
                <w:b/>
              </w:rPr>
              <w:t>$15,211,201.66</w:t>
            </w:r>
          </w:p>
        </w:tc>
      </w:tr>
    </w:tbl>
    <w:p w14:paraId="743DC38D" w14:textId="77777777" w:rsidR="006A4DAE" w:rsidRPr="00124637" w:rsidRDefault="006A4DAE" w:rsidP="006A4DAE">
      <w:pPr>
        <w:pStyle w:val="ACMANotes"/>
        <w:keepNext/>
        <w:keepLines/>
      </w:pPr>
      <w:r w:rsidRPr="00124637">
        <w:t>Note: Does not include late payment penalties that apply after 15 June 2014, the due date for payment.</w:t>
      </w:r>
    </w:p>
    <w:p w14:paraId="0083FF3F" w14:textId="77777777" w:rsidR="008970E9" w:rsidRPr="00124637" w:rsidRDefault="008970E9" w:rsidP="00A83B67">
      <w:pPr>
        <w:pStyle w:val="Heading3"/>
        <w:spacing w:before="360"/>
      </w:pPr>
      <w:bookmarkStart w:id="44" w:name="_Toc337727573"/>
      <w:bookmarkStart w:id="45" w:name="_Toc400018539"/>
      <w:bookmarkStart w:id="46" w:name="_Toc433703267"/>
      <w:r w:rsidRPr="00124637">
        <w:t>Number auctions</w:t>
      </w:r>
      <w:bookmarkEnd w:id="44"/>
      <w:bookmarkEnd w:id="45"/>
      <w:bookmarkEnd w:id="46"/>
    </w:p>
    <w:p w14:paraId="62E3D3A6" w14:textId="2A549A56" w:rsidR="00BD417D" w:rsidRPr="00124637" w:rsidRDefault="00F658B2" w:rsidP="00BD417D">
      <w:pPr>
        <w:rPr>
          <w:rFonts w:cs="Arial"/>
        </w:rPr>
      </w:pPr>
      <w:bookmarkStart w:id="47" w:name="_Toc337727574"/>
      <w:bookmarkStart w:id="48" w:name="_Toc400018540"/>
      <w:r w:rsidRPr="009F68B0">
        <w:rPr>
          <w:rFonts w:cs="Arial"/>
        </w:rPr>
        <w:t>The smartnumbers online auction system was introduced in 2004 to allocate certain freephone and local rate numbers (FLRNs)—13, 1300 and 1800 numbers. In 2014–15, the ACMA sold 4,330 smartnumbers and received $1,655,795 in revenue—the corresponding figures for 2013–14 were $1.54 million in revenue raised from the sale of 3,891 smartnumbers. The ACMA continued to meet its KPIs for smartnumbers auctions. The ACMA decided to replace the smartnumber auction system with an over-the-counter system to reduce the delay, uncertainty and complexity. It commenced operation in August 2015</w:t>
      </w:r>
      <w:r w:rsidR="00BD417D" w:rsidRPr="009F68B0">
        <w:rPr>
          <w:rFonts w:cs="Arial"/>
        </w:rPr>
        <w:t>.</w:t>
      </w:r>
    </w:p>
    <w:p w14:paraId="593B773F" w14:textId="77777777" w:rsidR="008970E9" w:rsidRPr="00124637" w:rsidRDefault="008970E9" w:rsidP="008970E9">
      <w:pPr>
        <w:pStyle w:val="Heading3"/>
      </w:pPr>
      <w:bookmarkStart w:id="49" w:name="_Toc433703268"/>
      <w:r w:rsidRPr="00124637">
        <w:t>Apparatus licence taxes</w:t>
      </w:r>
      <w:bookmarkEnd w:id="47"/>
      <w:bookmarkEnd w:id="48"/>
      <w:bookmarkEnd w:id="49"/>
    </w:p>
    <w:p w14:paraId="595A9F6D" w14:textId="77777777" w:rsidR="00866105" w:rsidRPr="00124637" w:rsidRDefault="00866105" w:rsidP="00866105">
      <w:pPr>
        <w:rPr>
          <w:rFonts w:cs="Arial"/>
        </w:rPr>
      </w:pPr>
      <w:bookmarkStart w:id="50" w:name="_Toc337727575"/>
      <w:bookmarkStart w:id="51" w:name="_Toc400018541"/>
      <w:r w:rsidRPr="00124637">
        <w:rPr>
          <w:rFonts w:cs="Arial"/>
        </w:rPr>
        <w:t>The ACMA uses taxes on the issue of radiocommunications apparatus licences to support the efficient use of spectrum and recover the indirect costs of spectrum management. The tax is calculated by a formula that makes fees determinate, consistent, equitable and transparent. The formula encourages efficiency by making taxes higher in congested locations and spectrum bands, making taxes proportional to the bandwidth and giving discounts for low power.</w:t>
      </w:r>
    </w:p>
    <w:p w14:paraId="04A2F5E3" w14:textId="2E74E602" w:rsidR="00A34FBB" w:rsidRPr="00124637" w:rsidRDefault="00A34FBB" w:rsidP="00A34FBB">
      <w:pPr>
        <w:spacing w:before="100" w:beforeAutospacing="1" w:after="100" w:afterAutospacing="1"/>
        <w:rPr>
          <w:bCs/>
          <w:i/>
        </w:rPr>
      </w:pPr>
      <w:r w:rsidRPr="00124637">
        <w:rPr>
          <w:rFonts w:cs="Arial"/>
        </w:rPr>
        <w:t xml:space="preserve">In March 2015, the ACMA remade the </w:t>
      </w:r>
      <w:r w:rsidRPr="00124637">
        <w:t>Radiocommunications (Transmitter Licence Tax) Determination 2015</w:t>
      </w:r>
      <w:r w:rsidRPr="00124637">
        <w:rPr>
          <w:b/>
          <w:bCs/>
        </w:rPr>
        <w:t xml:space="preserve"> </w:t>
      </w:r>
      <w:r w:rsidRPr="00124637">
        <w:rPr>
          <w:bCs/>
        </w:rPr>
        <w:t>and Radiocommunications (Receiver Licence Tax) Determination 2015</w:t>
      </w:r>
      <w:r w:rsidRPr="00124637">
        <w:rPr>
          <w:bCs/>
          <w:i/>
        </w:rPr>
        <w:t xml:space="preserve"> </w:t>
      </w:r>
      <w:r w:rsidRPr="00124637">
        <w:rPr>
          <w:bCs/>
        </w:rPr>
        <w:t>to reflect</w:t>
      </w:r>
      <w:r w:rsidRPr="00124637">
        <w:rPr>
          <w:bCs/>
          <w:i/>
        </w:rPr>
        <w:t xml:space="preserve"> </w:t>
      </w:r>
      <w:r w:rsidRPr="00124637">
        <w:rPr>
          <w:bCs/>
        </w:rPr>
        <w:t xml:space="preserve">annual CPI adjustments </w:t>
      </w:r>
      <w:r w:rsidRPr="00124637">
        <w:rPr>
          <w:rFonts w:cs="Arial"/>
        </w:rPr>
        <w:t>of three per cent and other updates related to the sunsetting process. The CPI adjustment reflects price changes from July 2013 to June 2014 and applies to all licence taxes except for fixed services operating below 960 MHz in remote density areas</w:t>
      </w:r>
      <w:r w:rsidRPr="00124637">
        <w:rPr>
          <w:bCs/>
        </w:rPr>
        <w:t>. Other updates made to the Transmitter Licence Tax Determination included changes in the census year and geographical areas for Public Mobile Telecommunications Services, and</w:t>
      </w:r>
      <w:r w:rsidR="009F68B0">
        <w:rPr>
          <w:bCs/>
        </w:rPr>
        <w:t xml:space="preserve"> the</w:t>
      </w:r>
      <w:r w:rsidRPr="00124637">
        <w:rPr>
          <w:bCs/>
        </w:rPr>
        <w:t xml:space="preserve"> addition of a new tax in the 3.5 GHz band.</w:t>
      </w:r>
      <w:r w:rsidRPr="00124637">
        <w:rPr>
          <w:bCs/>
          <w:i/>
        </w:rPr>
        <w:t xml:space="preserve"> </w:t>
      </w:r>
    </w:p>
    <w:p w14:paraId="7ABFBE68" w14:textId="77777777" w:rsidR="00866105" w:rsidRPr="00124637" w:rsidRDefault="00866105" w:rsidP="00866105">
      <w:r w:rsidRPr="00124637">
        <w:t xml:space="preserve">As part of its sunsetting process, the ACMA also remade the </w:t>
      </w:r>
      <w:r w:rsidRPr="00124637">
        <w:rPr>
          <w:iCs/>
        </w:rPr>
        <w:t>Radiocommunications Taxes Collection (Penalties on Unpaid Tax) Determination 2015</w:t>
      </w:r>
      <w:r w:rsidR="00C47361" w:rsidRPr="00124637">
        <w:rPr>
          <w:iCs/>
        </w:rPr>
        <w:t>,</w:t>
      </w:r>
      <w:r w:rsidRPr="00124637">
        <w:t xml:space="preserve"> which sets out the </w:t>
      </w:r>
      <w:r w:rsidRPr="00124637">
        <w:lastRenderedPageBreak/>
        <w:t>penalty amounts and collection procedure for unpaid licence tax payable by apparatus licence holders.</w:t>
      </w:r>
      <w:r w:rsidR="00C831B5" w:rsidRPr="00124637">
        <w:t xml:space="preserve"> </w:t>
      </w:r>
      <w:r w:rsidRPr="00124637">
        <w:t>The method of calculating the penal</w:t>
      </w:r>
      <w:r w:rsidR="00C831B5" w:rsidRPr="00124637">
        <w:t>ty interest remains unchanged.</w:t>
      </w:r>
    </w:p>
    <w:p w14:paraId="28F89DC9" w14:textId="77777777" w:rsidR="00601436" w:rsidRPr="00124637" w:rsidRDefault="00601436" w:rsidP="00601436">
      <w:pPr>
        <w:rPr>
          <w:rFonts w:cs="Arial"/>
        </w:rPr>
      </w:pPr>
      <w:r w:rsidRPr="00124637">
        <w:rPr>
          <w:rFonts w:cs="Arial"/>
        </w:rPr>
        <w:t xml:space="preserve">Table 7 shows total </w:t>
      </w:r>
      <w:r w:rsidRPr="00124637">
        <w:rPr>
          <w:rFonts w:cs="Arial"/>
          <w:bCs/>
          <w:szCs w:val="26"/>
        </w:rPr>
        <w:t xml:space="preserve">revenue from radiocommunications apparatus licences </w:t>
      </w:r>
      <w:r w:rsidRPr="00124637">
        <w:rPr>
          <w:rFonts w:cs="Arial"/>
        </w:rPr>
        <w:t>collected by the ACMA in 2014–15.</w:t>
      </w:r>
    </w:p>
    <w:p w14:paraId="64C9E130" w14:textId="77777777" w:rsidR="00506B0A" w:rsidRPr="00124637" w:rsidRDefault="00682018" w:rsidP="00506B0A">
      <w:pPr>
        <w:pStyle w:val="Caption"/>
        <w:keepNext/>
        <w:spacing w:after="120"/>
        <w:rPr>
          <w:rFonts w:cs="Arial"/>
          <w:color w:val="auto"/>
        </w:rPr>
      </w:pPr>
      <w:r w:rsidRPr="00124637">
        <w:rPr>
          <w:color w:val="auto"/>
        </w:rPr>
        <w:t>Revenue from r</w:t>
      </w:r>
      <w:r w:rsidR="00506B0A" w:rsidRPr="00124637">
        <w:rPr>
          <w:color w:val="auto"/>
        </w:rPr>
        <w:t>adioco</w:t>
      </w:r>
      <w:r w:rsidRPr="00124637">
        <w:rPr>
          <w:color w:val="auto"/>
        </w:rPr>
        <w:t>mmunications apparatus licences</w:t>
      </w:r>
      <w:r w:rsidR="00601436" w:rsidRPr="00124637">
        <w:rPr>
          <w:color w:val="auto"/>
        </w:rPr>
        <w:t>, 2014–15</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8"/>
        <w:gridCol w:w="3119"/>
      </w:tblGrid>
      <w:tr w:rsidR="006A6FEF" w:rsidRPr="001E2783" w14:paraId="59EE8C7D" w14:textId="77777777" w:rsidTr="00F814F6">
        <w:trPr>
          <w:trHeight w:val="273"/>
        </w:trPr>
        <w:tc>
          <w:tcPr>
            <w:tcW w:w="6248" w:type="dxa"/>
            <w:shd w:val="clear" w:color="auto" w:fill="404040" w:themeFill="text1" w:themeFillTint="BF"/>
            <w:tcMar>
              <w:top w:w="57" w:type="dxa"/>
              <w:left w:w="57" w:type="dxa"/>
              <w:bottom w:w="57" w:type="dxa"/>
              <w:right w:w="57" w:type="dxa"/>
            </w:tcMar>
            <w:vAlign w:val="center"/>
          </w:tcPr>
          <w:p w14:paraId="2FD0DEFB" w14:textId="77777777" w:rsidR="006A6FEF" w:rsidRPr="004E4548" w:rsidRDefault="006A6FEF" w:rsidP="00F814F6">
            <w:pPr>
              <w:pStyle w:val="TableHeading"/>
              <w:rPr>
                <w:rFonts w:cs="Arial"/>
                <w:color w:val="FFFFFF" w:themeColor="background1"/>
              </w:rPr>
            </w:pPr>
            <w:r w:rsidRPr="004E4548">
              <w:rPr>
                <w:rFonts w:cs="Arial"/>
                <w:color w:val="FFFFFF" w:themeColor="background1"/>
              </w:rPr>
              <w:t>Type of licence</w:t>
            </w:r>
          </w:p>
        </w:tc>
        <w:tc>
          <w:tcPr>
            <w:tcW w:w="3119" w:type="dxa"/>
            <w:shd w:val="clear" w:color="auto" w:fill="404040" w:themeFill="text1" w:themeFillTint="BF"/>
            <w:tcMar>
              <w:top w:w="57" w:type="dxa"/>
              <w:left w:w="57" w:type="dxa"/>
              <w:bottom w:w="57" w:type="dxa"/>
              <w:right w:w="57" w:type="dxa"/>
            </w:tcMar>
            <w:vAlign w:val="center"/>
          </w:tcPr>
          <w:p w14:paraId="7B071647" w14:textId="77777777" w:rsidR="006A6FEF" w:rsidRPr="004E4548" w:rsidRDefault="006A6FEF" w:rsidP="00F814F6">
            <w:pPr>
              <w:pStyle w:val="TableHeading"/>
              <w:jc w:val="right"/>
              <w:rPr>
                <w:rFonts w:cs="Arial"/>
                <w:color w:val="FFFFFF" w:themeColor="background1"/>
              </w:rPr>
            </w:pPr>
            <w:r>
              <w:rPr>
                <w:rFonts w:cs="Arial"/>
                <w:color w:val="FFFFFF" w:themeColor="background1"/>
              </w:rPr>
              <w:t xml:space="preserve">Revenue </w:t>
            </w:r>
            <w:r w:rsidR="00682018">
              <w:rPr>
                <w:rFonts w:cs="Arial"/>
                <w:color w:val="FFFFFF" w:themeColor="background1"/>
              </w:rPr>
              <w:t xml:space="preserve">2014–15 </w:t>
            </w:r>
            <w:r>
              <w:rPr>
                <w:rFonts w:cs="Arial"/>
                <w:color w:val="FFFFFF" w:themeColor="background1"/>
              </w:rPr>
              <w:t>($m)</w:t>
            </w:r>
          </w:p>
        </w:tc>
      </w:tr>
      <w:tr w:rsidR="00124637" w:rsidRPr="00124637" w14:paraId="571B4A78" w14:textId="77777777" w:rsidTr="0022095A">
        <w:trPr>
          <w:trHeight w:val="250"/>
        </w:trPr>
        <w:tc>
          <w:tcPr>
            <w:tcW w:w="9367" w:type="dxa"/>
            <w:gridSpan w:val="2"/>
            <w:shd w:val="clear" w:color="auto" w:fill="F2F2F2" w:themeFill="background1" w:themeFillShade="F2"/>
            <w:noWrap/>
            <w:tcMar>
              <w:top w:w="57" w:type="dxa"/>
              <w:left w:w="57" w:type="dxa"/>
              <w:bottom w:w="57" w:type="dxa"/>
              <w:right w:w="57" w:type="dxa"/>
            </w:tcMar>
            <w:vAlign w:val="bottom"/>
          </w:tcPr>
          <w:p w14:paraId="2F908A6D" w14:textId="77777777" w:rsidR="006A6FEF" w:rsidRPr="00124637" w:rsidRDefault="006A6FEF" w:rsidP="00F814F6">
            <w:pPr>
              <w:pStyle w:val="TableBody"/>
              <w:rPr>
                <w:i/>
                <w:highlight w:val="yellow"/>
              </w:rPr>
            </w:pPr>
            <w:r w:rsidRPr="00124637">
              <w:rPr>
                <w:i/>
              </w:rPr>
              <w:t>Assigned licences</w:t>
            </w:r>
          </w:p>
        </w:tc>
      </w:tr>
      <w:tr w:rsidR="00124637" w:rsidRPr="00124637" w14:paraId="0DEC2FEF" w14:textId="77777777" w:rsidTr="00F814F6">
        <w:trPr>
          <w:trHeight w:val="250"/>
        </w:trPr>
        <w:tc>
          <w:tcPr>
            <w:tcW w:w="6248" w:type="dxa"/>
            <w:noWrap/>
            <w:tcMar>
              <w:top w:w="57" w:type="dxa"/>
              <w:left w:w="57" w:type="dxa"/>
              <w:bottom w:w="57" w:type="dxa"/>
              <w:right w:w="57" w:type="dxa"/>
            </w:tcMar>
            <w:vAlign w:val="bottom"/>
          </w:tcPr>
          <w:p w14:paraId="4D04B363" w14:textId="77777777" w:rsidR="006A6FEF" w:rsidRPr="00124637" w:rsidRDefault="006A6FEF" w:rsidP="00F814F6">
            <w:pPr>
              <w:pStyle w:val="TableBody"/>
            </w:pPr>
            <w:r w:rsidRPr="00124637">
              <w:t>Public telecommunications service</w:t>
            </w:r>
          </w:p>
        </w:tc>
        <w:tc>
          <w:tcPr>
            <w:tcW w:w="3119" w:type="dxa"/>
            <w:noWrap/>
            <w:tcMar>
              <w:top w:w="57" w:type="dxa"/>
              <w:left w:w="57" w:type="dxa"/>
              <w:bottom w:w="57" w:type="dxa"/>
              <w:right w:w="57" w:type="dxa"/>
            </w:tcMar>
          </w:tcPr>
          <w:p w14:paraId="4862B5FB" w14:textId="77777777" w:rsidR="006A6FEF" w:rsidRPr="00124637" w:rsidRDefault="006A6FEF" w:rsidP="00F814F6">
            <w:pPr>
              <w:pStyle w:val="TableBody"/>
              <w:jc w:val="right"/>
              <w:rPr>
                <w:bCs/>
                <w:kern w:val="32"/>
              </w:rPr>
            </w:pPr>
            <w:r w:rsidRPr="00124637">
              <w:rPr>
                <w:bCs/>
                <w:kern w:val="32"/>
              </w:rPr>
              <w:t>57.813</w:t>
            </w:r>
          </w:p>
        </w:tc>
      </w:tr>
      <w:tr w:rsidR="00124637" w:rsidRPr="00124637" w14:paraId="384F2DD2" w14:textId="77777777" w:rsidTr="00F814F6">
        <w:trPr>
          <w:trHeight w:val="250"/>
        </w:trPr>
        <w:tc>
          <w:tcPr>
            <w:tcW w:w="6248" w:type="dxa"/>
            <w:noWrap/>
            <w:tcMar>
              <w:top w:w="57" w:type="dxa"/>
              <w:left w:w="57" w:type="dxa"/>
              <w:bottom w:w="57" w:type="dxa"/>
              <w:right w:w="57" w:type="dxa"/>
            </w:tcMar>
            <w:vAlign w:val="bottom"/>
          </w:tcPr>
          <w:p w14:paraId="38F79DD2" w14:textId="77777777" w:rsidR="006A6FEF" w:rsidRPr="00124637" w:rsidRDefault="006A6FEF" w:rsidP="00F814F6">
            <w:pPr>
              <w:pStyle w:val="TableBody"/>
            </w:pPr>
            <w:r w:rsidRPr="00124637">
              <w:t>Fixed</w:t>
            </w:r>
          </w:p>
        </w:tc>
        <w:tc>
          <w:tcPr>
            <w:tcW w:w="3119" w:type="dxa"/>
            <w:noWrap/>
            <w:tcMar>
              <w:top w:w="57" w:type="dxa"/>
              <w:left w:w="57" w:type="dxa"/>
              <w:bottom w:w="57" w:type="dxa"/>
              <w:right w:w="57" w:type="dxa"/>
            </w:tcMar>
          </w:tcPr>
          <w:p w14:paraId="0E6E4B66" w14:textId="77777777" w:rsidR="006A6FEF" w:rsidRPr="00124637" w:rsidRDefault="006A6FEF" w:rsidP="00F814F6">
            <w:pPr>
              <w:pStyle w:val="TableBody"/>
              <w:jc w:val="right"/>
            </w:pPr>
            <w:r w:rsidRPr="00124637">
              <w:t>59.417</w:t>
            </w:r>
          </w:p>
        </w:tc>
      </w:tr>
      <w:tr w:rsidR="00124637" w:rsidRPr="00124637" w14:paraId="6BC65026" w14:textId="77777777" w:rsidTr="00F814F6">
        <w:trPr>
          <w:trHeight w:val="250"/>
        </w:trPr>
        <w:tc>
          <w:tcPr>
            <w:tcW w:w="6248" w:type="dxa"/>
            <w:noWrap/>
            <w:tcMar>
              <w:top w:w="57" w:type="dxa"/>
              <w:left w:w="57" w:type="dxa"/>
              <w:bottom w:w="57" w:type="dxa"/>
              <w:right w:w="57" w:type="dxa"/>
            </w:tcMar>
            <w:vAlign w:val="bottom"/>
          </w:tcPr>
          <w:p w14:paraId="509D99BE" w14:textId="77777777" w:rsidR="006A6FEF" w:rsidRPr="00124637" w:rsidRDefault="006A6FEF" w:rsidP="00F814F6">
            <w:pPr>
              <w:pStyle w:val="TableBody"/>
            </w:pPr>
            <w:r w:rsidRPr="00124637">
              <w:t>Land mobile</w:t>
            </w:r>
          </w:p>
        </w:tc>
        <w:tc>
          <w:tcPr>
            <w:tcW w:w="3119" w:type="dxa"/>
            <w:noWrap/>
            <w:tcMar>
              <w:top w:w="57" w:type="dxa"/>
              <w:left w:w="57" w:type="dxa"/>
              <w:bottom w:w="57" w:type="dxa"/>
              <w:right w:w="57" w:type="dxa"/>
            </w:tcMar>
          </w:tcPr>
          <w:p w14:paraId="492000AA" w14:textId="77777777" w:rsidR="006A6FEF" w:rsidRPr="00124637" w:rsidRDefault="006A6FEF" w:rsidP="00F814F6">
            <w:pPr>
              <w:pStyle w:val="TableBody"/>
              <w:jc w:val="right"/>
            </w:pPr>
            <w:r w:rsidRPr="00124637">
              <w:t>21.234</w:t>
            </w:r>
          </w:p>
        </w:tc>
      </w:tr>
      <w:tr w:rsidR="00124637" w:rsidRPr="00124637" w14:paraId="5DC0FC42" w14:textId="77777777" w:rsidTr="00F814F6">
        <w:trPr>
          <w:trHeight w:val="250"/>
        </w:trPr>
        <w:tc>
          <w:tcPr>
            <w:tcW w:w="6248" w:type="dxa"/>
            <w:noWrap/>
            <w:tcMar>
              <w:top w:w="57" w:type="dxa"/>
              <w:left w:w="57" w:type="dxa"/>
              <w:bottom w:w="57" w:type="dxa"/>
              <w:right w:w="57" w:type="dxa"/>
            </w:tcMar>
            <w:vAlign w:val="bottom"/>
          </w:tcPr>
          <w:p w14:paraId="31FDAC34" w14:textId="77777777" w:rsidR="006A6FEF" w:rsidRPr="00124637" w:rsidRDefault="006A6FEF" w:rsidP="00F814F6">
            <w:pPr>
              <w:pStyle w:val="TableBody"/>
            </w:pPr>
            <w:r w:rsidRPr="00124637">
              <w:t>Satellite*</w:t>
            </w:r>
          </w:p>
        </w:tc>
        <w:tc>
          <w:tcPr>
            <w:tcW w:w="3119" w:type="dxa"/>
            <w:noWrap/>
            <w:tcMar>
              <w:top w:w="57" w:type="dxa"/>
              <w:left w:w="57" w:type="dxa"/>
              <w:bottom w:w="57" w:type="dxa"/>
              <w:right w:w="57" w:type="dxa"/>
            </w:tcMar>
          </w:tcPr>
          <w:p w14:paraId="6BC41E08" w14:textId="77777777" w:rsidR="006A6FEF" w:rsidRPr="00124637" w:rsidRDefault="006A6FEF" w:rsidP="00F814F6">
            <w:pPr>
              <w:pStyle w:val="TableBody"/>
              <w:jc w:val="right"/>
            </w:pPr>
            <w:r w:rsidRPr="00124637">
              <w:t>4.429</w:t>
            </w:r>
          </w:p>
        </w:tc>
      </w:tr>
      <w:tr w:rsidR="00124637" w:rsidRPr="00124637" w14:paraId="6F6CCEDC" w14:textId="77777777" w:rsidTr="00F814F6">
        <w:trPr>
          <w:trHeight w:val="250"/>
        </w:trPr>
        <w:tc>
          <w:tcPr>
            <w:tcW w:w="6248" w:type="dxa"/>
            <w:noWrap/>
            <w:tcMar>
              <w:top w:w="57" w:type="dxa"/>
              <w:left w:w="57" w:type="dxa"/>
              <w:bottom w:w="57" w:type="dxa"/>
              <w:right w:w="57" w:type="dxa"/>
            </w:tcMar>
            <w:vAlign w:val="bottom"/>
          </w:tcPr>
          <w:p w14:paraId="4F9A6AC9" w14:textId="77777777" w:rsidR="006A6FEF" w:rsidRPr="00124637" w:rsidRDefault="006A6FEF" w:rsidP="00F814F6">
            <w:pPr>
              <w:pStyle w:val="TableBody"/>
            </w:pPr>
            <w:r w:rsidRPr="00124637">
              <w:t>Defence</w:t>
            </w:r>
          </w:p>
        </w:tc>
        <w:tc>
          <w:tcPr>
            <w:tcW w:w="3119" w:type="dxa"/>
            <w:noWrap/>
            <w:tcMar>
              <w:top w:w="57" w:type="dxa"/>
              <w:left w:w="57" w:type="dxa"/>
              <w:bottom w:w="57" w:type="dxa"/>
              <w:right w:w="57" w:type="dxa"/>
            </w:tcMar>
          </w:tcPr>
          <w:p w14:paraId="71FF6FB1" w14:textId="77777777" w:rsidR="006A6FEF" w:rsidRPr="00124637" w:rsidRDefault="006A6FEF" w:rsidP="00F814F6">
            <w:pPr>
              <w:pStyle w:val="TableBody"/>
              <w:jc w:val="right"/>
            </w:pPr>
            <w:r w:rsidRPr="00124637">
              <w:t>10.435</w:t>
            </w:r>
          </w:p>
        </w:tc>
      </w:tr>
      <w:tr w:rsidR="00124637" w:rsidRPr="00124637" w14:paraId="78821016" w14:textId="77777777" w:rsidTr="00F814F6">
        <w:trPr>
          <w:trHeight w:val="250"/>
        </w:trPr>
        <w:tc>
          <w:tcPr>
            <w:tcW w:w="6248" w:type="dxa"/>
            <w:noWrap/>
            <w:tcMar>
              <w:top w:w="57" w:type="dxa"/>
              <w:left w:w="57" w:type="dxa"/>
              <w:bottom w:w="57" w:type="dxa"/>
              <w:right w:w="57" w:type="dxa"/>
            </w:tcMar>
            <w:vAlign w:val="bottom"/>
          </w:tcPr>
          <w:p w14:paraId="3C48CDFA" w14:textId="77777777" w:rsidR="006A6FEF" w:rsidRPr="00124637" w:rsidRDefault="006A6FEF" w:rsidP="00F814F6">
            <w:pPr>
              <w:pStyle w:val="TableBody"/>
            </w:pPr>
            <w:r w:rsidRPr="00124637">
              <w:t>Other</w:t>
            </w:r>
          </w:p>
        </w:tc>
        <w:tc>
          <w:tcPr>
            <w:tcW w:w="3119" w:type="dxa"/>
            <w:noWrap/>
            <w:tcMar>
              <w:top w:w="57" w:type="dxa"/>
              <w:left w:w="57" w:type="dxa"/>
              <w:bottom w:w="57" w:type="dxa"/>
              <w:right w:w="57" w:type="dxa"/>
            </w:tcMar>
          </w:tcPr>
          <w:p w14:paraId="5012B3A1" w14:textId="77777777" w:rsidR="006A6FEF" w:rsidRPr="00124637" w:rsidRDefault="006A6FEF" w:rsidP="00F814F6">
            <w:pPr>
              <w:pStyle w:val="TableBody"/>
              <w:jc w:val="right"/>
            </w:pPr>
            <w:r w:rsidRPr="00124637">
              <w:t>3.281</w:t>
            </w:r>
          </w:p>
        </w:tc>
      </w:tr>
      <w:tr w:rsidR="00124637" w:rsidRPr="00124637" w14:paraId="53B97A0E" w14:textId="77777777" w:rsidTr="00F814F6">
        <w:trPr>
          <w:trHeight w:val="250"/>
        </w:trPr>
        <w:tc>
          <w:tcPr>
            <w:tcW w:w="6248" w:type="dxa"/>
            <w:noWrap/>
            <w:tcMar>
              <w:top w:w="57" w:type="dxa"/>
              <w:left w:w="57" w:type="dxa"/>
              <w:bottom w:w="57" w:type="dxa"/>
              <w:right w:w="57" w:type="dxa"/>
            </w:tcMar>
            <w:vAlign w:val="bottom"/>
          </w:tcPr>
          <w:p w14:paraId="30B00BB6" w14:textId="77777777" w:rsidR="006A6FEF" w:rsidRPr="00124637" w:rsidRDefault="006A6FEF" w:rsidP="00F814F6">
            <w:pPr>
              <w:pStyle w:val="TableBody"/>
              <w:rPr>
                <w:b/>
                <w:bCs/>
              </w:rPr>
            </w:pPr>
            <w:r w:rsidRPr="00124637">
              <w:rPr>
                <w:b/>
                <w:bCs/>
              </w:rPr>
              <w:t>Total assigned licences</w:t>
            </w:r>
          </w:p>
        </w:tc>
        <w:tc>
          <w:tcPr>
            <w:tcW w:w="3119" w:type="dxa"/>
            <w:noWrap/>
            <w:tcMar>
              <w:top w:w="57" w:type="dxa"/>
              <w:left w:w="57" w:type="dxa"/>
              <w:bottom w:w="57" w:type="dxa"/>
              <w:right w:w="57" w:type="dxa"/>
            </w:tcMar>
          </w:tcPr>
          <w:p w14:paraId="6CBE185C" w14:textId="77777777" w:rsidR="006A6FEF" w:rsidRPr="00124637" w:rsidRDefault="006A6FEF" w:rsidP="00F814F6">
            <w:pPr>
              <w:pStyle w:val="TableBody"/>
              <w:jc w:val="right"/>
            </w:pPr>
            <w:r w:rsidRPr="00124637">
              <w:t>156.609</w:t>
            </w:r>
          </w:p>
        </w:tc>
      </w:tr>
      <w:tr w:rsidR="00124637" w:rsidRPr="00124637" w14:paraId="4C62F307" w14:textId="77777777" w:rsidTr="0022095A">
        <w:trPr>
          <w:trHeight w:val="250"/>
        </w:trPr>
        <w:tc>
          <w:tcPr>
            <w:tcW w:w="6248" w:type="dxa"/>
            <w:shd w:val="clear" w:color="auto" w:fill="F2F2F2" w:themeFill="background1" w:themeFillShade="F2"/>
            <w:noWrap/>
            <w:tcMar>
              <w:top w:w="57" w:type="dxa"/>
              <w:left w:w="57" w:type="dxa"/>
              <w:bottom w:w="57" w:type="dxa"/>
              <w:right w:w="57" w:type="dxa"/>
            </w:tcMar>
            <w:vAlign w:val="bottom"/>
          </w:tcPr>
          <w:p w14:paraId="0D8C5603" w14:textId="77777777" w:rsidR="006A6FEF" w:rsidRPr="00124637" w:rsidRDefault="006A6FEF" w:rsidP="00F814F6">
            <w:pPr>
              <w:pStyle w:val="TableBody"/>
              <w:rPr>
                <w:i/>
              </w:rPr>
            </w:pPr>
            <w:r w:rsidRPr="00124637">
              <w:rPr>
                <w:i/>
              </w:rPr>
              <w:t>Non-assigned licences</w:t>
            </w:r>
          </w:p>
        </w:tc>
        <w:tc>
          <w:tcPr>
            <w:tcW w:w="3119" w:type="dxa"/>
            <w:shd w:val="clear" w:color="auto" w:fill="F2F2F2" w:themeFill="background1" w:themeFillShade="F2"/>
            <w:noWrap/>
            <w:tcMar>
              <w:top w:w="57" w:type="dxa"/>
              <w:left w:w="57" w:type="dxa"/>
              <w:bottom w:w="57" w:type="dxa"/>
              <w:right w:w="57" w:type="dxa"/>
            </w:tcMar>
          </w:tcPr>
          <w:p w14:paraId="5BCC6C48" w14:textId="77777777" w:rsidR="006A6FEF" w:rsidRPr="00124637" w:rsidRDefault="006A6FEF" w:rsidP="00F814F6">
            <w:pPr>
              <w:pStyle w:val="TableBody"/>
              <w:jc w:val="right"/>
              <w:rPr>
                <w:i/>
              </w:rPr>
            </w:pPr>
            <w:r w:rsidRPr="00124637">
              <w:rPr>
                <w:i/>
              </w:rPr>
              <w:t>1.464</w:t>
            </w:r>
          </w:p>
        </w:tc>
      </w:tr>
      <w:tr w:rsidR="00124637" w:rsidRPr="00124637" w14:paraId="6BFF6715" w14:textId="77777777" w:rsidTr="00F814F6">
        <w:trPr>
          <w:trHeight w:val="250"/>
        </w:trPr>
        <w:tc>
          <w:tcPr>
            <w:tcW w:w="6248" w:type="dxa"/>
            <w:noWrap/>
            <w:tcMar>
              <w:top w:w="57" w:type="dxa"/>
              <w:left w:w="57" w:type="dxa"/>
              <w:bottom w:w="57" w:type="dxa"/>
              <w:right w:w="57" w:type="dxa"/>
            </w:tcMar>
            <w:vAlign w:val="bottom"/>
          </w:tcPr>
          <w:p w14:paraId="0B122A77" w14:textId="77777777" w:rsidR="006A6FEF" w:rsidRPr="00124637" w:rsidRDefault="006A6FEF" w:rsidP="00F814F6">
            <w:pPr>
              <w:pStyle w:val="TableBody"/>
              <w:rPr>
                <w:b/>
                <w:bCs/>
              </w:rPr>
            </w:pPr>
            <w:r w:rsidRPr="00124637">
              <w:rPr>
                <w:b/>
                <w:bCs/>
              </w:rPr>
              <w:t>Total</w:t>
            </w:r>
          </w:p>
        </w:tc>
        <w:tc>
          <w:tcPr>
            <w:tcW w:w="3119" w:type="dxa"/>
            <w:noWrap/>
            <w:tcMar>
              <w:top w:w="57" w:type="dxa"/>
              <w:left w:w="57" w:type="dxa"/>
              <w:bottom w:w="57" w:type="dxa"/>
              <w:right w:w="57" w:type="dxa"/>
            </w:tcMar>
          </w:tcPr>
          <w:p w14:paraId="52F3BF51" w14:textId="77777777" w:rsidR="006A6FEF" w:rsidRPr="00124637" w:rsidRDefault="006A6FEF" w:rsidP="00F814F6">
            <w:pPr>
              <w:pStyle w:val="TableBody"/>
              <w:jc w:val="right"/>
              <w:rPr>
                <w:b/>
              </w:rPr>
            </w:pPr>
            <w:r w:rsidRPr="00124637">
              <w:rPr>
                <w:b/>
              </w:rPr>
              <w:t>158.073</w:t>
            </w:r>
          </w:p>
        </w:tc>
      </w:tr>
    </w:tbl>
    <w:p w14:paraId="4022769B" w14:textId="77777777" w:rsidR="00506B0A" w:rsidRPr="00124637" w:rsidRDefault="00506B0A" w:rsidP="00506B0A">
      <w:pPr>
        <w:pStyle w:val="ACMANotes"/>
      </w:pPr>
      <w:r w:rsidRPr="00124637">
        <w:t>*Includes Earth, space, Earth receive and space receive licences.</w:t>
      </w:r>
    </w:p>
    <w:p w14:paraId="052CFA65" w14:textId="77777777" w:rsidR="00506B0A" w:rsidRPr="00124637" w:rsidRDefault="00506B0A" w:rsidP="00866105"/>
    <w:p w14:paraId="298E9F41" w14:textId="77777777" w:rsidR="008970E9" w:rsidRPr="00124637" w:rsidRDefault="008970E9" w:rsidP="00866105">
      <w:pPr>
        <w:pStyle w:val="Heading3"/>
      </w:pPr>
      <w:bookmarkStart w:id="52" w:name="_Toc433703269"/>
      <w:r w:rsidRPr="00124637">
        <w:t>Spectrum licence tax</w:t>
      </w:r>
      <w:bookmarkEnd w:id="50"/>
      <w:bookmarkEnd w:id="51"/>
      <w:bookmarkEnd w:id="52"/>
    </w:p>
    <w:p w14:paraId="5F803AAE" w14:textId="77777777" w:rsidR="00866105" w:rsidRPr="00124637" w:rsidRDefault="00866105" w:rsidP="00866105">
      <w:pPr>
        <w:rPr>
          <w:rFonts w:cs="Arial"/>
        </w:rPr>
      </w:pPr>
      <w:bookmarkStart w:id="53" w:name="_Toc337727576"/>
      <w:bookmarkStart w:id="54" w:name="_Toc400018542"/>
      <w:r w:rsidRPr="00124637">
        <w:rPr>
          <w:rFonts w:cs="Arial"/>
        </w:rPr>
        <w:t xml:space="preserve">The spectrum licence tax is imposed on all holders of spectrum licences at 11 October each year. It allows the ACMA to recover from spectrum licensees the indirect costs of spectrum management activities such as international coordination, domestic planning, interference investigation and policy development. The spectrum licence tax is calculated based on the bandwidth and the population covered in a licence. In 2014–15, the ACMA collected approximately </w:t>
      </w:r>
      <w:r w:rsidR="006A6FEF" w:rsidRPr="00124637">
        <w:rPr>
          <w:rFonts w:cs="Arial"/>
        </w:rPr>
        <w:t xml:space="preserve">$0.37 million </w:t>
      </w:r>
      <w:r w:rsidRPr="00124637">
        <w:rPr>
          <w:rFonts w:cs="Arial"/>
        </w:rPr>
        <w:t>in spectrum licence tax.</w:t>
      </w:r>
    </w:p>
    <w:p w14:paraId="55581CA5" w14:textId="77777777" w:rsidR="008970E9" w:rsidRPr="00124637" w:rsidRDefault="008970E9" w:rsidP="008970E9">
      <w:pPr>
        <w:pStyle w:val="Heading3"/>
      </w:pPr>
      <w:bookmarkStart w:id="55" w:name="_Toc433703270"/>
      <w:r w:rsidRPr="00124637">
        <w:t>Broadcasting licence fees and datacasting charge</w:t>
      </w:r>
      <w:bookmarkEnd w:id="53"/>
      <w:bookmarkEnd w:id="54"/>
      <w:bookmarkEnd w:id="55"/>
    </w:p>
    <w:p w14:paraId="304FD450" w14:textId="77777777" w:rsidR="00866105" w:rsidRPr="00124637" w:rsidRDefault="00866105" w:rsidP="00773452">
      <w:pPr>
        <w:rPr>
          <w:rFonts w:cs="Arial"/>
          <w:bCs/>
          <w:szCs w:val="26"/>
        </w:rPr>
      </w:pPr>
      <w:r w:rsidRPr="00124637">
        <w:rPr>
          <w:rFonts w:cs="Arial"/>
          <w:bCs/>
          <w:szCs w:val="26"/>
        </w:rPr>
        <w:t xml:space="preserve">The ACMA collects broadcasting licence fees (BLF) from commercial radio and television broadcasting licence-holders under the </w:t>
      </w:r>
      <w:r w:rsidRPr="00124637">
        <w:rPr>
          <w:rFonts w:cs="Arial"/>
          <w:bCs/>
          <w:i/>
          <w:szCs w:val="26"/>
        </w:rPr>
        <w:t>Television Licence Fees Act 1964</w:t>
      </w:r>
      <w:r w:rsidR="00C47361" w:rsidRPr="00124637">
        <w:rPr>
          <w:rFonts w:cs="Arial"/>
          <w:bCs/>
          <w:szCs w:val="26"/>
        </w:rPr>
        <w:t xml:space="preserve"> (TLF Act) and</w:t>
      </w:r>
      <w:r w:rsidRPr="00124637">
        <w:rPr>
          <w:rFonts w:cs="Arial"/>
          <w:bCs/>
          <w:szCs w:val="26"/>
        </w:rPr>
        <w:t xml:space="preserve"> </w:t>
      </w:r>
      <w:r w:rsidRPr="00124637">
        <w:rPr>
          <w:rFonts w:cs="Arial"/>
          <w:bCs/>
          <w:i/>
          <w:szCs w:val="26"/>
        </w:rPr>
        <w:t>Radio Licence Fees Act 1964</w:t>
      </w:r>
      <w:r w:rsidRPr="00124637">
        <w:rPr>
          <w:rFonts w:cs="Arial"/>
          <w:bCs/>
          <w:szCs w:val="26"/>
        </w:rPr>
        <w:t xml:space="preserve">. Supporting documentation is required under sections 205B and 205C of the </w:t>
      </w:r>
      <w:r w:rsidR="007F0412" w:rsidRPr="00124637">
        <w:rPr>
          <w:rFonts w:cs="Arial"/>
          <w:bCs/>
          <w:i/>
          <w:szCs w:val="26"/>
        </w:rPr>
        <w:t>Broadcasting Services Act 1992</w:t>
      </w:r>
      <w:r w:rsidR="007F0412" w:rsidRPr="00124637">
        <w:rPr>
          <w:rFonts w:cs="Arial"/>
          <w:bCs/>
          <w:szCs w:val="26"/>
        </w:rPr>
        <w:t xml:space="preserve"> (</w:t>
      </w:r>
      <w:r w:rsidRPr="00124637">
        <w:rPr>
          <w:rFonts w:cs="Arial"/>
          <w:bCs/>
          <w:szCs w:val="26"/>
        </w:rPr>
        <w:t>BSA</w:t>
      </w:r>
      <w:r w:rsidR="007F0412" w:rsidRPr="00124637">
        <w:rPr>
          <w:rFonts w:cs="Arial"/>
          <w:bCs/>
          <w:szCs w:val="26"/>
        </w:rPr>
        <w:t>)</w:t>
      </w:r>
      <w:r w:rsidRPr="00124637">
        <w:rPr>
          <w:rFonts w:cs="Arial"/>
          <w:bCs/>
          <w:i/>
          <w:szCs w:val="26"/>
        </w:rPr>
        <w:t xml:space="preserve">. </w:t>
      </w:r>
      <w:r w:rsidRPr="00124637">
        <w:rPr>
          <w:rFonts w:cs="Arial"/>
          <w:bCs/>
          <w:szCs w:val="26"/>
        </w:rPr>
        <w:t>Fees are calculated as a percentage of the gross earnings of the licence-holders for each BLF period, less any rebates that apply.</w:t>
      </w:r>
    </w:p>
    <w:p w14:paraId="0190C9E6" w14:textId="77777777" w:rsidR="001524EE" w:rsidRPr="00124637" w:rsidRDefault="001524EE" w:rsidP="001524EE">
      <w:pPr>
        <w:rPr>
          <w:rFonts w:cs="Arial"/>
          <w:bCs/>
          <w:szCs w:val="26"/>
        </w:rPr>
      </w:pPr>
      <w:r w:rsidRPr="00124637">
        <w:rPr>
          <w:rFonts w:cs="Arial"/>
          <w:bCs/>
          <w:szCs w:val="26"/>
        </w:rPr>
        <w:t>In December 2014, television broadcasters paid a total of $148.09 million and radio broadcasters a total of $24.83 million for the 2013–14 BLF period.</w:t>
      </w:r>
    </w:p>
    <w:p w14:paraId="2A9E1EF3" w14:textId="77777777" w:rsidR="00866105" w:rsidRPr="00124637" w:rsidRDefault="00866105" w:rsidP="00866105">
      <w:pPr>
        <w:rPr>
          <w:rFonts w:cs="Arial"/>
        </w:rPr>
      </w:pPr>
      <w:r w:rsidRPr="00124637">
        <w:rPr>
          <w:rFonts w:cs="Arial"/>
        </w:rPr>
        <w:t>Table </w:t>
      </w:r>
      <w:r w:rsidR="00C14941" w:rsidRPr="00124637">
        <w:rPr>
          <w:rFonts w:cs="Arial"/>
        </w:rPr>
        <w:t>8</w:t>
      </w:r>
      <w:r w:rsidRPr="00124637">
        <w:rPr>
          <w:rFonts w:cs="Arial"/>
        </w:rPr>
        <w:t xml:space="preserve"> shows total </w:t>
      </w:r>
      <w:r w:rsidRPr="00124637">
        <w:rPr>
          <w:rFonts w:cs="Arial"/>
          <w:bCs/>
          <w:szCs w:val="26"/>
        </w:rPr>
        <w:t xml:space="preserve">BLF </w:t>
      </w:r>
      <w:r w:rsidRPr="00124637">
        <w:rPr>
          <w:rFonts w:cs="Arial"/>
        </w:rPr>
        <w:t>collected by the ACMA in the last three financial years.</w:t>
      </w:r>
    </w:p>
    <w:p w14:paraId="0F161212" w14:textId="77777777" w:rsidR="00866105" w:rsidRPr="00124637" w:rsidRDefault="007F0412" w:rsidP="001524EE">
      <w:pPr>
        <w:pStyle w:val="Caption"/>
        <w:keepNext/>
        <w:spacing w:after="120"/>
        <w:rPr>
          <w:color w:val="auto"/>
        </w:rPr>
      </w:pPr>
      <w:r w:rsidRPr="00124637">
        <w:rPr>
          <w:color w:val="auto"/>
        </w:rPr>
        <w:lastRenderedPageBreak/>
        <w:t>Broadcasting licence fees, 2012–13 to 2014–15</w:t>
      </w:r>
    </w:p>
    <w:tbl>
      <w:tblPr>
        <w:tblW w:w="934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1218"/>
        <w:gridCol w:w="1218"/>
        <w:gridCol w:w="1218"/>
        <w:gridCol w:w="1218"/>
        <w:gridCol w:w="1218"/>
        <w:gridCol w:w="1218"/>
      </w:tblGrid>
      <w:tr w:rsidR="001524EE" w:rsidRPr="006B5F4B" w14:paraId="69B15CEE" w14:textId="77777777" w:rsidTr="00D945D4">
        <w:trPr>
          <w:trHeight w:val="274"/>
        </w:trPr>
        <w:tc>
          <w:tcPr>
            <w:tcW w:w="2036" w:type="dxa"/>
            <w:vMerge w:val="restart"/>
            <w:shd w:val="clear" w:color="auto" w:fill="404040" w:themeFill="text1" w:themeFillTint="BF"/>
            <w:tcMar>
              <w:top w:w="57" w:type="dxa"/>
              <w:left w:w="57" w:type="dxa"/>
              <w:bottom w:w="57" w:type="dxa"/>
              <w:right w:w="57" w:type="dxa"/>
            </w:tcMar>
          </w:tcPr>
          <w:p w14:paraId="5CBFE795" w14:textId="77777777" w:rsidR="001524EE" w:rsidRPr="006B5F4B" w:rsidRDefault="001524EE" w:rsidP="001524EE">
            <w:pPr>
              <w:pStyle w:val="ACMATableText"/>
              <w:keepNext/>
              <w:widowControl w:val="0"/>
              <w:spacing w:line="550" w:lineRule="exact"/>
              <w:outlineLvl w:val="0"/>
              <w:rPr>
                <w:rFonts w:cs="Arial"/>
                <w:color w:val="FFFFFF" w:themeColor="background1"/>
              </w:rPr>
            </w:pPr>
          </w:p>
        </w:tc>
        <w:tc>
          <w:tcPr>
            <w:tcW w:w="3654" w:type="dxa"/>
            <w:gridSpan w:val="3"/>
            <w:shd w:val="clear" w:color="auto" w:fill="404040" w:themeFill="text1" w:themeFillTint="BF"/>
            <w:tcMar>
              <w:top w:w="57" w:type="dxa"/>
              <w:left w:w="57" w:type="dxa"/>
              <w:bottom w:w="57" w:type="dxa"/>
              <w:right w:w="57" w:type="dxa"/>
            </w:tcMar>
          </w:tcPr>
          <w:p w14:paraId="492439AD" w14:textId="77777777" w:rsidR="001524EE" w:rsidRPr="006B5F4B" w:rsidRDefault="001524EE" w:rsidP="001524EE">
            <w:pPr>
              <w:pStyle w:val="TableHeading"/>
              <w:keepNext/>
              <w:jc w:val="center"/>
              <w:rPr>
                <w:rFonts w:cs="Arial"/>
                <w:color w:val="FFFFFF" w:themeColor="background1"/>
              </w:rPr>
            </w:pPr>
            <w:r w:rsidRPr="006B5F4B">
              <w:rPr>
                <w:rFonts w:cs="Arial"/>
                <w:color w:val="FFFFFF" w:themeColor="background1"/>
              </w:rPr>
              <w:t>Number of licences</w:t>
            </w:r>
          </w:p>
        </w:tc>
        <w:tc>
          <w:tcPr>
            <w:tcW w:w="3654" w:type="dxa"/>
            <w:gridSpan w:val="3"/>
            <w:shd w:val="clear" w:color="auto" w:fill="404040" w:themeFill="text1" w:themeFillTint="BF"/>
            <w:tcMar>
              <w:top w:w="57" w:type="dxa"/>
              <w:left w:w="57" w:type="dxa"/>
              <w:bottom w:w="57" w:type="dxa"/>
              <w:right w:w="57" w:type="dxa"/>
            </w:tcMar>
          </w:tcPr>
          <w:p w14:paraId="0DC56B48" w14:textId="77777777" w:rsidR="001524EE" w:rsidRPr="006B5F4B" w:rsidRDefault="001524EE" w:rsidP="001524EE">
            <w:pPr>
              <w:pStyle w:val="TableHeading"/>
              <w:keepNext/>
              <w:jc w:val="center"/>
              <w:rPr>
                <w:rFonts w:cs="Arial"/>
                <w:color w:val="FFFFFF" w:themeColor="background1"/>
              </w:rPr>
            </w:pPr>
            <w:r w:rsidRPr="006B5F4B">
              <w:rPr>
                <w:rFonts w:cs="Arial"/>
                <w:color w:val="FFFFFF" w:themeColor="background1"/>
              </w:rPr>
              <w:t>Total ($m)</w:t>
            </w:r>
          </w:p>
        </w:tc>
      </w:tr>
      <w:tr w:rsidR="001524EE" w:rsidRPr="006B5F4B" w14:paraId="32170798" w14:textId="77777777" w:rsidTr="00D945D4">
        <w:trPr>
          <w:trHeight w:val="271"/>
        </w:trPr>
        <w:tc>
          <w:tcPr>
            <w:tcW w:w="2036" w:type="dxa"/>
            <w:vMerge/>
            <w:shd w:val="clear" w:color="auto" w:fill="404040" w:themeFill="text1" w:themeFillTint="BF"/>
            <w:tcMar>
              <w:top w:w="57" w:type="dxa"/>
              <w:left w:w="57" w:type="dxa"/>
              <w:bottom w:w="57" w:type="dxa"/>
              <w:right w:w="57" w:type="dxa"/>
            </w:tcMar>
          </w:tcPr>
          <w:p w14:paraId="54470401" w14:textId="77777777" w:rsidR="001524EE" w:rsidRPr="006B5F4B" w:rsidRDefault="001524EE" w:rsidP="001524EE">
            <w:pPr>
              <w:pStyle w:val="ACMATableText"/>
              <w:keepNext/>
              <w:spacing w:line="240" w:lineRule="atLeast"/>
              <w:rPr>
                <w:rFonts w:cs="Arial"/>
                <w:color w:val="FFFFFF" w:themeColor="background1"/>
              </w:rPr>
            </w:pPr>
          </w:p>
        </w:tc>
        <w:tc>
          <w:tcPr>
            <w:tcW w:w="1218" w:type="dxa"/>
            <w:shd w:val="clear" w:color="auto" w:fill="404040" w:themeFill="text1" w:themeFillTint="BF"/>
            <w:tcMar>
              <w:top w:w="57" w:type="dxa"/>
              <w:left w:w="57" w:type="dxa"/>
              <w:bottom w:w="57" w:type="dxa"/>
              <w:right w:w="57" w:type="dxa"/>
            </w:tcMar>
          </w:tcPr>
          <w:p w14:paraId="437189A2"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2012–13</w:t>
            </w:r>
          </w:p>
        </w:tc>
        <w:tc>
          <w:tcPr>
            <w:tcW w:w="1218" w:type="dxa"/>
            <w:shd w:val="clear" w:color="auto" w:fill="404040" w:themeFill="text1" w:themeFillTint="BF"/>
            <w:tcMar>
              <w:top w:w="57" w:type="dxa"/>
              <w:left w:w="57" w:type="dxa"/>
              <w:bottom w:w="57" w:type="dxa"/>
              <w:right w:w="57" w:type="dxa"/>
            </w:tcMar>
          </w:tcPr>
          <w:p w14:paraId="75B9DB93"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2013–14</w:t>
            </w:r>
          </w:p>
        </w:tc>
        <w:tc>
          <w:tcPr>
            <w:tcW w:w="1218" w:type="dxa"/>
            <w:shd w:val="clear" w:color="auto" w:fill="404040" w:themeFill="text1" w:themeFillTint="BF"/>
            <w:tcMar>
              <w:top w:w="57" w:type="dxa"/>
              <w:left w:w="57" w:type="dxa"/>
              <w:bottom w:w="57" w:type="dxa"/>
              <w:right w:w="57" w:type="dxa"/>
            </w:tcMar>
          </w:tcPr>
          <w:p w14:paraId="76297A6E"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2014–15</w:t>
            </w:r>
          </w:p>
        </w:tc>
        <w:tc>
          <w:tcPr>
            <w:tcW w:w="1218" w:type="dxa"/>
            <w:shd w:val="clear" w:color="auto" w:fill="404040" w:themeFill="text1" w:themeFillTint="BF"/>
            <w:tcMar>
              <w:top w:w="57" w:type="dxa"/>
              <w:left w:w="57" w:type="dxa"/>
              <w:bottom w:w="57" w:type="dxa"/>
              <w:right w:w="57" w:type="dxa"/>
            </w:tcMar>
          </w:tcPr>
          <w:p w14:paraId="304ABAAF"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2012–13</w:t>
            </w:r>
          </w:p>
        </w:tc>
        <w:tc>
          <w:tcPr>
            <w:tcW w:w="1218" w:type="dxa"/>
            <w:shd w:val="clear" w:color="auto" w:fill="404040" w:themeFill="text1" w:themeFillTint="BF"/>
            <w:tcMar>
              <w:top w:w="57" w:type="dxa"/>
              <w:left w:w="57" w:type="dxa"/>
              <w:bottom w:w="57" w:type="dxa"/>
              <w:right w:w="57" w:type="dxa"/>
            </w:tcMar>
          </w:tcPr>
          <w:p w14:paraId="3DE894A1"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2013–14</w:t>
            </w:r>
          </w:p>
        </w:tc>
        <w:tc>
          <w:tcPr>
            <w:tcW w:w="1218" w:type="dxa"/>
            <w:shd w:val="clear" w:color="auto" w:fill="404040" w:themeFill="text1" w:themeFillTint="BF"/>
            <w:tcMar>
              <w:top w:w="57" w:type="dxa"/>
              <w:left w:w="57" w:type="dxa"/>
              <w:bottom w:w="57" w:type="dxa"/>
              <w:right w:w="57" w:type="dxa"/>
            </w:tcMar>
          </w:tcPr>
          <w:p w14:paraId="1E9AC227" w14:textId="77777777" w:rsidR="001524EE" w:rsidRPr="006B5F4B" w:rsidRDefault="001524EE" w:rsidP="001524EE">
            <w:pPr>
              <w:pStyle w:val="TableHeading"/>
              <w:keepNext/>
              <w:rPr>
                <w:rFonts w:cs="Arial"/>
                <w:color w:val="FFFFFF" w:themeColor="background1"/>
              </w:rPr>
            </w:pPr>
            <w:r w:rsidRPr="006B5F4B">
              <w:rPr>
                <w:rFonts w:cs="Arial"/>
                <w:color w:val="FFFFFF" w:themeColor="background1"/>
              </w:rPr>
              <w:t>2014–15</w:t>
            </w:r>
          </w:p>
        </w:tc>
      </w:tr>
      <w:tr w:rsidR="00124637" w:rsidRPr="009F68B0" w14:paraId="4614DFF0" w14:textId="77777777" w:rsidTr="00D945D4">
        <w:trPr>
          <w:trHeight w:val="240"/>
        </w:trPr>
        <w:tc>
          <w:tcPr>
            <w:tcW w:w="2036" w:type="dxa"/>
            <w:tcMar>
              <w:top w:w="57" w:type="dxa"/>
              <w:left w:w="57" w:type="dxa"/>
              <w:bottom w:w="57" w:type="dxa"/>
              <w:right w:w="57" w:type="dxa"/>
            </w:tcMar>
          </w:tcPr>
          <w:p w14:paraId="388B1940" w14:textId="5A1418B3" w:rsidR="00A34FBB" w:rsidRPr="009F68B0" w:rsidRDefault="00A34FBB" w:rsidP="00A34FBB">
            <w:pPr>
              <w:pStyle w:val="TableBody"/>
              <w:keepNext/>
            </w:pPr>
            <w:r w:rsidRPr="009F68B0">
              <w:t>Radio BLF</w:t>
            </w:r>
            <w:r w:rsidR="00ED71F4" w:rsidRPr="009F68B0">
              <w:t>^</w:t>
            </w:r>
            <w:r w:rsidRPr="009F68B0">
              <w:t xml:space="preserve"> </w:t>
            </w:r>
          </w:p>
        </w:tc>
        <w:tc>
          <w:tcPr>
            <w:tcW w:w="1218" w:type="dxa"/>
            <w:tcMar>
              <w:top w:w="57" w:type="dxa"/>
              <w:left w:w="57" w:type="dxa"/>
              <w:bottom w:w="57" w:type="dxa"/>
              <w:right w:w="57" w:type="dxa"/>
            </w:tcMar>
          </w:tcPr>
          <w:p w14:paraId="4B548D95" w14:textId="77777777" w:rsidR="00A34FBB" w:rsidRPr="009F68B0" w:rsidRDefault="00A34FBB" w:rsidP="00A34FBB">
            <w:pPr>
              <w:pStyle w:val="TableBody"/>
              <w:keepNext/>
            </w:pPr>
            <w:r w:rsidRPr="009F68B0">
              <w:t>273</w:t>
            </w:r>
          </w:p>
        </w:tc>
        <w:tc>
          <w:tcPr>
            <w:tcW w:w="1218" w:type="dxa"/>
            <w:tcMar>
              <w:top w:w="57" w:type="dxa"/>
              <w:left w:w="57" w:type="dxa"/>
              <w:bottom w:w="57" w:type="dxa"/>
              <w:right w:w="57" w:type="dxa"/>
            </w:tcMar>
          </w:tcPr>
          <w:p w14:paraId="05C86519" w14:textId="77777777" w:rsidR="00A34FBB" w:rsidRPr="009F68B0" w:rsidRDefault="00A34FBB" w:rsidP="00A34FBB">
            <w:pPr>
              <w:pStyle w:val="TableBody"/>
              <w:keepNext/>
            </w:pPr>
            <w:r w:rsidRPr="009F68B0">
              <w:t>273</w:t>
            </w:r>
          </w:p>
        </w:tc>
        <w:tc>
          <w:tcPr>
            <w:tcW w:w="1218" w:type="dxa"/>
            <w:tcMar>
              <w:top w:w="57" w:type="dxa"/>
              <w:left w:w="57" w:type="dxa"/>
              <w:bottom w:w="57" w:type="dxa"/>
              <w:right w:w="57" w:type="dxa"/>
            </w:tcMar>
          </w:tcPr>
          <w:p w14:paraId="73DB2CFF" w14:textId="77777777" w:rsidR="00A34FBB" w:rsidRPr="009F68B0" w:rsidRDefault="00A34FBB" w:rsidP="00A34FBB">
            <w:pPr>
              <w:pStyle w:val="TableBody"/>
              <w:keepNext/>
            </w:pPr>
            <w:r w:rsidRPr="009F68B0">
              <w:t>273</w:t>
            </w:r>
          </w:p>
        </w:tc>
        <w:tc>
          <w:tcPr>
            <w:tcW w:w="1218" w:type="dxa"/>
            <w:tcMar>
              <w:top w:w="57" w:type="dxa"/>
              <w:left w:w="57" w:type="dxa"/>
              <w:bottom w:w="57" w:type="dxa"/>
              <w:right w:w="57" w:type="dxa"/>
            </w:tcMar>
          </w:tcPr>
          <w:p w14:paraId="3A5A2654" w14:textId="77777777" w:rsidR="00A34FBB" w:rsidRPr="009F68B0" w:rsidRDefault="00A34FBB" w:rsidP="00A34FBB">
            <w:pPr>
              <w:pStyle w:val="TableBody"/>
              <w:keepNext/>
            </w:pPr>
            <w:r w:rsidRPr="009F68B0">
              <w:t>24.40</w:t>
            </w:r>
          </w:p>
        </w:tc>
        <w:tc>
          <w:tcPr>
            <w:tcW w:w="1218" w:type="dxa"/>
            <w:tcMar>
              <w:top w:w="57" w:type="dxa"/>
              <w:left w:w="57" w:type="dxa"/>
              <w:bottom w:w="57" w:type="dxa"/>
              <w:right w:w="57" w:type="dxa"/>
            </w:tcMar>
          </w:tcPr>
          <w:p w14:paraId="2F7D2960" w14:textId="77777777" w:rsidR="00A34FBB" w:rsidRPr="009F68B0" w:rsidRDefault="00A34FBB" w:rsidP="00A34FBB">
            <w:pPr>
              <w:pStyle w:val="TableBody"/>
              <w:keepNext/>
            </w:pPr>
            <w:r w:rsidRPr="009F68B0">
              <w:t>21.60</w:t>
            </w:r>
          </w:p>
        </w:tc>
        <w:tc>
          <w:tcPr>
            <w:tcW w:w="1218" w:type="dxa"/>
            <w:tcMar>
              <w:top w:w="57" w:type="dxa"/>
              <w:left w:w="57" w:type="dxa"/>
              <w:bottom w:w="57" w:type="dxa"/>
              <w:right w:w="57" w:type="dxa"/>
            </w:tcMar>
          </w:tcPr>
          <w:p w14:paraId="6FA91EF0" w14:textId="77777777" w:rsidR="00A34FBB" w:rsidRPr="009F68B0" w:rsidRDefault="00A34FBB" w:rsidP="00A34FBB">
            <w:pPr>
              <w:pStyle w:val="TableBody"/>
              <w:keepNext/>
            </w:pPr>
            <w:r w:rsidRPr="009F68B0">
              <w:t>24.83</w:t>
            </w:r>
          </w:p>
        </w:tc>
      </w:tr>
      <w:tr w:rsidR="00124637" w:rsidRPr="009F68B0" w14:paraId="3720925D" w14:textId="77777777" w:rsidTr="00D945D4">
        <w:trPr>
          <w:trHeight w:val="160"/>
        </w:trPr>
        <w:tc>
          <w:tcPr>
            <w:tcW w:w="2036" w:type="dxa"/>
            <w:tcMar>
              <w:top w:w="57" w:type="dxa"/>
              <w:left w:w="57" w:type="dxa"/>
              <w:bottom w:w="57" w:type="dxa"/>
              <w:right w:w="57" w:type="dxa"/>
            </w:tcMar>
          </w:tcPr>
          <w:p w14:paraId="29DFD2AE" w14:textId="77777777" w:rsidR="00A34FBB" w:rsidRPr="009F68B0" w:rsidRDefault="00A34FBB" w:rsidP="00A34FBB">
            <w:pPr>
              <w:pStyle w:val="TableBody"/>
              <w:keepNext/>
            </w:pPr>
            <w:r w:rsidRPr="009F68B0">
              <w:t>TV BLF obligation</w:t>
            </w:r>
          </w:p>
        </w:tc>
        <w:tc>
          <w:tcPr>
            <w:tcW w:w="1218" w:type="dxa"/>
            <w:tcMar>
              <w:top w:w="57" w:type="dxa"/>
              <w:left w:w="57" w:type="dxa"/>
              <w:bottom w:w="57" w:type="dxa"/>
              <w:right w:w="57" w:type="dxa"/>
            </w:tcMar>
          </w:tcPr>
          <w:p w14:paraId="0AA2248C" w14:textId="77777777" w:rsidR="00A34FBB" w:rsidRPr="009F68B0" w:rsidRDefault="00A34FBB" w:rsidP="00A34FBB">
            <w:pPr>
              <w:pStyle w:val="TableBody"/>
              <w:keepNext/>
            </w:pPr>
            <w:r w:rsidRPr="009F68B0">
              <w:t>69</w:t>
            </w:r>
          </w:p>
        </w:tc>
        <w:tc>
          <w:tcPr>
            <w:tcW w:w="1218" w:type="dxa"/>
            <w:tcMar>
              <w:top w:w="57" w:type="dxa"/>
              <w:left w:w="57" w:type="dxa"/>
              <w:bottom w:w="57" w:type="dxa"/>
              <w:right w:w="57" w:type="dxa"/>
            </w:tcMar>
          </w:tcPr>
          <w:p w14:paraId="0960BF57" w14:textId="77777777" w:rsidR="00A34FBB" w:rsidRPr="009F68B0" w:rsidRDefault="00A34FBB" w:rsidP="00A34FBB">
            <w:pPr>
              <w:pStyle w:val="TableBody"/>
              <w:keepNext/>
            </w:pPr>
            <w:r w:rsidRPr="009F68B0">
              <w:t>69</w:t>
            </w:r>
          </w:p>
        </w:tc>
        <w:tc>
          <w:tcPr>
            <w:tcW w:w="1218" w:type="dxa"/>
            <w:tcMar>
              <w:top w:w="57" w:type="dxa"/>
              <w:left w:w="57" w:type="dxa"/>
              <w:bottom w:w="57" w:type="dxa"/>
              <w:right w:w="57" w:type="dxa"/>
            </w:tcMar>
          </w:tcPr>
          <w:p w14:paraId="5F993416" w14:textId="77777777" w:rsidR="00A34FBB" w:rsidRPr="009F68B0" w:rsidRDefault="00A34FBB" w:rsidP="00A34FBB">
            <w:pPr>
              <w:pStyle w:val="TableBody"/>
              <w:keepNext/>
            </w:pPr>
            <w:r w:rsidRPr="009F68B0">
              <w:t>69</w:t>
            </w:r>
          </w:p>
        </w:tc>
        <w:tc>
          <w:tcPr>
            <w:tcW w:w="1218" w:type="dxa"/>
            <w:tcMar>
              <w:top w:w="57" w:type="dxa"/>
              <w:left w:w="57" w:type="dxa"/>
              <w:bottom w:w="57" w:type="dxa"/>
              <w:right w:w="57" w:type="dxa"/>
            </w:tcMar>
          </w:tcPr>
          <w:p w14:paraId="137014C6" w14:textId="77777777" w:rsidR="00A34FBB" w:rsidRPr="009F68B0" w:rsidRDefault="00A34FBB" w:rsidP="00A34FBB">
            <w:pPr>
              <w:pStyle w:val="TableBody"/>
              <w:keepNext/>
            </w:pPr>
            <w:r w:rsidRPr="009F68B0">
              <w:t>294.80</w:t>
            </w:r>
          </w:p>
        </w:tc>
        <w:tc>
          <w:tcPr>
            <w:tcW w:w="1218" w:type="dxa"/>
            <w:tcMar>
              <w:top w:w="57" w:type="dxa"/>
              <w:left w:w="57" w:type="dxa"/>
              <w:bottom w:w="57" w:type="dxa"/>
              <w:right w:w="57" w:type="dxa"/>
            </w:tcMar>
          </w:tcPr>
          <w:p w14:paraId="4DD9AF2B" w14:textId="77777777" w:rsidR="00A34FBB" w:rsidRPr="009F68B0" w:rsidRDefault="00A34FBB" w:rsidP="00A34FBB">
            <w:pPr>
              <w:pStyle w:val="TableBody"/>
              <w:keepNext/>
            </w:pPr>
            <w:r w:rsidRPr="009F68B0">
              <w:t>144.56*</w:t>
            </w:r>
          </w:p>
        </w:tc>
        <w:tc>
          <w:tcPr>
            <w:tcW w:w="1218" w:type="dxa"/>
            <w:tcMar>
              <w:top w:w="57" w:type="dxa"/>
              <w:left w:w="57" w:type="dxa"/>
              <w:bottom w:w="57" w:type="dxa"/>
              <w:right w:w="57" w:type="dxa"/>
            </w:tcMar>
          </w:tcPr>
          <w:p w14:paraId="3321EA26" w14:textId="77777777" w:rsidR="00A34FBB" w:rsidRPr="009F68B0" w:rsidRDefault="00A34FBB" w:rsidP="00A34FBB">
            <w:pPr>
              <w:pStyle w:val="TableBody"/>
              <w:keepNext/>
            </w:pPr>
            <w:r w:rsidRPr="009F68B0">
              <w:t>149.26*</w:t>
            </w:r>
          </w:p>
        </w:tc>
      </w:tr>
      <w:tr w:rsidR="00124637" w:rsidRPr="009F68B0" w14:paraId="49409E75" w14:textId="77777777" w:rsidTr="00D945D4">
        <w:trPr>
          <w:trHeight w:val="378"/>
        </w:trPr>
        <w:tc>
          <w:tcPr>
            <w:tcW w:w="2036" w:type="dxa"/>
            <w:tcMar>
              <w:top w:w="57" w:type="dxa"/>
              <w:left w:w="57" w:type="dxa"/>
              <w:bottom w:w="57" w:type="dxa"/>
              <w:right w:w="57" w:type="dxa"/>
            </w:tcMar>
          </w:tcPr>
          <w:p w14:paraId="779BDC76" w14:textId="77777777" w:rsidR="001524EE" w:rsidRPr="009F68B0" w:rsidRDefault="001524EE" w:rsidP="001524EE">
            <w:pPr>
              <w:pStyle w:val="TableBody"/>
              <w:keepNext/>
            </w:pPr>
            <w:r w:rsidRPr="009F68B0">
              <w:t>Less digital TV conversion rebate</w:t>
            </w:r>
          </w:p>
        </w:tc>
        <w:tc>
          <w:tcPr>
            <w:tcW w:w="1218" w:type="dxa"/>
            <w:tcMar>
              <w:top w:w="57" w:type="dxa"/>
              <w:left w:w="57" w:type="dxa"/>
              <w:bottom w:w="57" w:type="dxa"/>
              <w:right w:w="57" w:type="dxa"/>
            </w:tcMar>
          </w:tcPr>
          <w:p w14:paraId="3165A38A"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233FA499"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5B9A55A6"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4AD4B9DD" w14:textId="77777777" w:rsidR="001524EE" w:rsidRPr="009F68B0" w:rsidRDefault="001524EE" w:rsidP="001524EE">
            <w:pPr>
              <w:pStyle w:val="TableBody"/>
              <w:keepNext/>
            </w:pPr>
            <w:r w:rsidRPr="009F68B0">
              <w:t>2.3</w:t>
            </w:r>
            <w:r w:rsidR="007F0412" w:rsidRPr="009F68B0">
              <w:t>0</w:t>
            </w:r>
          </w:p>
        </w:tc>
        <w:tc>
          <w:tcPr>
            <w:tcW w:w="1218" w:type="dxa"/>
            <w:tcMar>
              <w:top w:w="57" w:type="dxa"/>
              <w:left w:w="57" w:type="dxa"/>
              <w:bottom w:w="57" w:type="dxa"/>
              <w:right w:w="57" w:type="dxa"/>
            </w:tcMar>
          </w:tcPr>
          <w:p w14:paraId="5DEB3717" w14:textId="77777777" w:rsidR="001524EE" w:rsidRPr="009F68B0" w:rsidRDefault="001524EE" w:rsidP="001524EE">
            <w:pPr>
              <w:pStyle w:val="TableBody"/>
              <w:keepNext/>
            </w:pPr>
            <w:r w:rsidRPr="009F68B0">
              <w:t>1.21</w:t>
            </w:r>
          </w:p>
        </w:tc>
        <w:tc>
          <w:tcPr>
            <w:tcW w:w="1218" w:type="dxa"/>
            <w:tcMar>
              <w:top w:w="57" w:type="dxa"/>
              <w:left w:w="57" w:type="dxa"/>
              <w:bottom w:w="57" w:type="dxa"/>
              <w:right w:w="57" w:type="dxa"/>
            </w:tcMar>
          </w:tcPr>
          <w:p w14:paraId="23AD4519" w14:textId="77777777" w:rsidR="001524EE" w:rsidRPr="009F68B0" w:rsidRDefault="001524EE" w:rsidP="001524EE">
            <w:pPr>
              <w:pStyle w:val="TableBody"/>
              <w:keepNext/>
            </w:pPr>
            <w:r w:rsidRPr="009F68B0">
              <w:t>1.17</w:t>
            </w:r>
          </w:p>
        </w:tc>
      </w:tr>
      <w:tr w:rsidR="00124637" w:rsidRPr="009F68B0" w14:paraId="2D340B2F" w14:textId="77777777" w:rsidTr="00D945D4">
        <w:trPr>
          <w:trHeight w:val="157"/>
        </w:trPr>
        <w:tc>
          <w:tcPr>
            <w:tcW w:w="2036" w:type="dxa"/>
            <w:tcMar>
              <w:top w:w="57" w:type="dxa"/>
              <w:left w:w="57" w:type="dxa"/>
              <w:bottom w:w="57" w:type="dxa"/>
              <w:right w:w="57" w:type="dxa"/>
            </w:tcMar>
          </w:tcPr>
          <w:p w14:paraId="4F0BC831" w14:textId="77777777" w:rsidR="001524EE" w:rsidRPr="009F68B0" w:rsidRDefault="001524EE" w:rsidP="001524EE">
            <w:pPr>
              <w:pStyle w:val="TableBody"/>
              <w:keepNext/>
            </w:pPr>
            <w:r w:rsidRPr="009F68B0">
              <w:t>Less BLF rebate</w:t>
            </w:r>
          </w:p>
        </w:tc>
        <w:tc>
          <w:tcPr>
            <w:tcW w:w="1218" w:type="dxa"/>
            <w:tcMar>
              <w:top w:w="57" w:type="dxa"/>
              <w:left w:w="57" w:type="dxa"/>
              <w:bottom w:w="57" w:type="dxa"/>
              <w:right w:w="57" w:type="dxa"/>
            </w:tcMar>
          </w:tcPr>
          <w:p w14:paraId="120BE9E7"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6E18FE2F"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4FDC44EA"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504C97F4" w14:textId="77777777" w:rsidR="001524EE" w:rsidRPr="009F68B0" w:rsidRDefault="001524EE" w:rsidP="001524EE">
            <w:pPr>
              <w:pStyle w:val="TableBody"/>
              <w:keepNext/>
            </w:pPr>
            <w:r w:rsidRPr="009F68B0">
              <w:t>143.4</w:t>
            </w:r>
          </w:p>
        </w:tc>
        <w:tc>
          <w:tcPr>
            <w:tcW w:w="1218" w:type="dxa"/>
            <w:tcMar>
              <w:top w:w="57" w:type="dxa"/>
              <w:left w:w="57" w:type="dxa"/>
              <w:bottom w:w="57" w:type="dxa"/>
              <w:right w:w="57" w:type="dxa"/>
            </w:tcMar>
          </w:tcPr>
          <w:p w14:paraId="256E4867" w14:textId="77777777" w:rsidR="001524EE" w:rsidRPr="009F68B0" w:rsidRDefault="001524EE" w:rsidP="001524EE">
            <w:pPr>
              <w:pStyle w:val="TableBody"/>
              <w:keepNext/>
            </w:pPr>
            <w:r w:rsidRPr="009F68B0">
              <w:t>n/a*</w:t>
            </w:r>
          </w:p>
        </w:tc>
        <w:tc>
          <w:tcPr>
            <w:tcW w:w="1218" w:type="dxa"/>
            <w:tcMar>
              <w:top w:w="57" w:type="dxa"/>
              <w:left w:w="57" w:type="dxa"/>
              <w:bottom w:w="57" w:type="dxa"/>
              <w:right w:w="57" w:type="dxa"/>
            </w:tcMar>
          </w:tcPr>
          <w:p w14:paraId="12DC6C51" w14:textId="77777777" w:rsidR="001524EE" w:rsidRPr="009F68B0" w:rsidRDefault="001524EE" w:rsidP="001524EE">
            <w:pPr>
              <w:pStyle w:val="TableBody"/>
              <w:keepNext/>
            </w:pPr>
            <w:r w:rsidRPr="009F68B0">
              <w:t>n/a*</w:t>
            </w:r>
          </w:p>
        </w:tc>
      </w:tr>
      <w:tr w:rsidR="00124637" w:rsidRPr="009F68B0" w14:paraId="09AC1A87" w14:textId="77777777" w:rsidTr="00D945D4">
        <w:trPr>
          <w:trHeight w:val="215"/>
        </w:trPr>
        <w:tc>
          <w:tcPr>
            <w:tcW w:w="2036" w:type="dxa"/>
            <w:tcMar>
              <w:top w:w="57" w:type="dxa"/>
              <w:left w:w="57" w:type="dxa"/>
              <w:bottom w:w="57" w:type="dxa"/>
              <w:right w:w="57" w:type="dxa"/>
            </w:tcMar>
          </w:tcPr>
          <w:p w14:paraId="409DE6E9" w14:textId="00753F26" w:rsidR="001524EE" w:rsidRPr="009F68B0" w:rsidRDefault="001524EE" w:rsidP="001524EE">
            <w:pPr>
              <w:pStyle w:val="TableBody"/>
              <w:keepNext/>
            </w:pPr>
            <w:r w:rsidRPr="009F68B0">
              <w:t>TV BLF</w:t>
            </w:r>
            <w:r w:rsidR="00ED71F4" w:rsidRPr="009F68B0">
              <w:t>^</w:t>
            </w:r>
          </w:p>
        </w:tc>
        <w:tc>
          <w:tcPr>
            <w:tcW w:w="1218" w:type="dxa"/>
            <w:tcMar>
              <w:top w:w="57" w:type="dxa"/>
              <w:left w:w="57" w:type="dxa"/>
              <w:bottom w:w="57" w:type="dxa"/>
              <w:right w:w="57" w:type="dxa"/>
            </w:tcMar>
          </w:tcPr>
          <w:p w14:paraId="04B05483"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7BA6CD39"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491C0748" w14:textId="77777777" w:rsidR="001524EE" w:rsidRPr="009F68B0" w:rsidRDefault="001524EE" w:rsidP="001524EE">
            <w:pPr>
              <w:pStyle w:val="TableBody"/>
              <w:keepNext/>
            </w:pPr>
          </w:p>
        </w:tc>
        <w:tc>
          <w:tcPr>
            <w:tcW w:w="1218" w:type="dxa"/>
            <w:tcMar>
              <w:top w:w="57" w:type="dxa"/>
              <w:left w:w="57" w:type="dxa"/>
              <w:bottom w:w="57" w:type="dxa"/>
              <w:right w:w="57" w:type="dxa"/>
            </w:tcMar>
          </w:tcPr>
          <w:p w14:paraId="53502D7F" w14:textId="77777777" w:rsidR="001524EE" w:rsidRPr="009F68B0" w:rsidRDefault="001524EE" w:rsidP="001524EE">
            <w:pPr>
              <w:pStyle w:val="TableBody"/>
              <w:keepNext/>
            </w:pPr>
            <w:r w:rsidRPr="009F68B0">
              <w:t>149.2</w:t>
            </w:r>
            <w:r w:rsidR="007F0412" w:rsidRPr="009F68B0">
              <w:t>0</w:t>
            </w:r>
          </w:p>
        </w:tc>
        <w:tc>
          <w:tcPr>
            <w:tcW w:w="1218" w:type="dxa"/>
            <w:tcMar>
              <w:top w:w="57" w:type="dxa"/>
              <w:left w:w="57" w:type="dxa"/>
              <w:bottom w:w="57" w:type="dxa"/>
              <w:right w:w="57" w:type="dxa"/>
            </w:tcMar>
          </w:tcPr>
          <w:p w14:paraId="45EE40E5" w14:textId="77777777" w:rsidR="001524EE" w:rsidRPr="009F68B0" w:rsidRDefault="001524EE" w:rsidP="001524EE">
            <w:pPr>
              <w:pStyle w:val="TableBody"/>
              <w:keepNext/>
            </w:pPr>
            <w:r w:rsidRPr="009F68B0">
              <w:t>143.35</w:t>
            </w:r>
          </w:p>
        </w:tc>
        <w:tc>
          <w:tcPr>
            <w:tcW w:w="1218" w:type="dxa"/>
            <w:tcMar>
              <w:top w:w="57" w:type="dxa"/>
              <w:left w:w="57" w:type="dxa"/>
              <w:bottom w:w="57" w:type="dxa"/>
              <w:right w:w="57" w:type="dxa"/>
            </w:tcMar>
          </w:tcPr>
          <w:p w14:paraId="603C7046" w14:textId="77777777" w:rsidR="001524EE" w:rsidRPr="009F68B0" w:rsidRDefault="001524EE" w:rsidP="001524EE">
            <w:pPr>
              <w:pStyle w:val="TableBody"/>
              <w:keepNext/>
            </w:pPr>
            <w:r w:rsidRPr="009F68B0">
              <w:t>148.09</w:t>
            </w:r>
          </w:p>
        </w:tc>
      </w:tr>
    </w:tbl>
    <w:p w14:paraId="2A827281" w14:textId="77777777" w:rsidR="00D945D4" w:rsidRPr="009F68B0" w:rsidRDefault="00D945D4" w:rsidP="00D945D4">
      <w:pPr>
        <w:pStyle w:val="ACMANotes"/>
      </w:pPr>
      <w:r w:rsidRPr="009F68B0">
        <w:t>*On 28 March 2013, the Television Licence Fees Amendment Act 2013 introduced amendments to the TLF Act by permanently reducing the annual licence fee payable by a commercial television broadcasting licensee by 50 per cent, to a maximum of 4.5 per cent of their gross earnings. From the 2012–13 BLF return period onwards, the BLF rebate no longer exists.</w:t>
      </w:r>
    </w:p>
    <w:p w14:paraId="1922920C" w14:textId="5679148A" w:rsidR="00ED71F4" w:rsidRPr="00124637" w:rsidRDefault="00ED71F4" w:rsidP="00D945D4">
      <w:pPr>
        <w:pStyle w:val="ACMANotes"/>
        <w:rPr>
          <w:bCs/>
          <w:szCs w:val="26"/>
        </w:rPr>
      </w:pPr>
      <w:r w:rsidRPr="009F68B0">
        <w:rPr>
          <w:bCs/>
          <w:szCs w:val="26"/>
        </w:rPr>
        <w:t>^Relates to amounts paid for the 2013–14 return period only.</w:t>
      </w:r>
    </w:p>
    <w:p w14:paraId="696F80F3" w14:textId="77777777" w:rsidR="006B5F4B" w:rsidRPr="00124637" w:rsidRDefault="006B5F4B" w:rsidP="00D945D4">
      <w:pPr>
        <w:spacing w:before="240"/>
      </w:pPr>
      <w:r w:rsidRPr="00124637">
        <w:t xml:space="preserve">Under the </w:t>
      </w:r>
      <w:r w:rsidRPr="00124637">
        <w:rPr>
          <w:i/>
        </w:rPr>
        <w:t>Datacasting Charge (Imposition) Act 1998</w:t>
      </w:r>
      <w:r w:rsidRPr="00124637">
        <w:t xml:space="preserve">, a datacasting charge is collected from commercial television broadcasting licensees who also hold a transmitter licence issued under the </w:t>
      </w:r>
      <w:r w:rsidRPr="00124637">
        <w:rPr>
          <w:i/>
        </w:rPr>
        <w:t xml:space="preserve">Radiocommunications Act </w:t>
      </w:r>
      <w:r w:rsidR="007F0412" w:rsidRPr="00124637">
        <w:rPr>
          <w:i/>
        </w:rPr>
        <w:t>1992</w:t>
      </w:r>
      <w:r w:rsidR="007F0412" w:rsidRPr="00124637">
        <w:t xml:space="preserve"> </w:t>
      </w:r>
      <w:r w:rsidRPr="00124637">
        <w:t>and use the transmitter licence to provide a datacasting service(s) authorised by a licence under Schedule 6 of the BSA. During the current financial year, the ACMA collected $2.08 million from datacasting services for the 2013–14 return period.</w:t>
      </w:r>
    </w:p>
    <w:p w14:paraId="75B2CC0E" w14:textId="77777777" w:rsidR="008970E9" w:rsidRPr="00124637" w:rsidRDefault="008970E9" w:rsidP="008970E9">
      <w:pPr>
        <w:pStyle w:val="BodysubheaderH4"/>
        <w:rPr>
          <w:rFonts w:cs="Arial"/>
        </w:rPr>
      </w:pPr>
      <w:r w:rsidRPr="00124637">
        <w:rPr>
          <w:rFonts w:cs="Arial"/>
        </w:rPr>
        <w:t>Regional Equalisation Plan</w:t>
      </w:r>
    </w:p>
    <w:p w14:paraId="674B36DC" w14:textId="77777777" w:rsidR="006B5F4B" w:rsidRPr="00124637" w:rsidRDefault="006B5F4B" w:rsidP="006B5F4B">
      <w:pPr>
        <w:rPr>
          <w:rFonts w:cs="Arial"/>
        </w:rPr>
      </w:pPr>
      <w:bookmarkStart w:id="56" w:name="_Toc419124251"/>
      <w:r w:rsidRPr="00124637">
        <w:rPr>
          <w:rFonts w:cs="Arial"/>
        </w:rPr>
        <w:t xml:space="preserve">The Australian Government introduced a Regional Equalisation Plan (REP) rebate scheme in 2000–01 to assist the rollout of digital television broadcasting services to regional and remote Australia. REP rebates against annual licence fees administered by the ACMA and, where necessary, supplementary grants administered by </w:t>
      </w:r>
      <w:r w:rsidR="007F0412" w:rsidRPr="00124637">
        <w:rPr>
          <w:rFonts w:cs="Arial"/>
        </w:rPr>
        <w:t>the Department of Communications</w:t>
      </w:r>
      <w:r w:rsidR="00867A03" w:rsidRPr="00124637">
        <w:rPr>
          <w:rFonts w:cs="Arial"/>
        </w:rPr>
        <w:t xml:space="preserve"> (DoC)</w:t>
      </w:r>
      <w:r w:rsidRPr="00124637">
        <w:rPr>
          <w:rFonts w:cs="Arial"/>
        </w:rPr>
        <w:t>, are claimable by broadcasters based on their area’s progress in rolling out digital television services. The scheme will end on 31 December 2017. Commercial television broadcasters claimed total REP rebates of $1.17 million in 2014–15.</w:t>
      </w:r>
    </w:p>
    <w:p w14:paraId="4B8486D7" w14:textId="77777777" w:rsidR="006744F6" w:rsidRDefault="006744F6" w:rsidP="006744F6">
      <w:pPr>
        <w:pStyle w:val="ACMAExecSummaryHeading"/>
        <w:pageBreakBefore/>
      </w:pPr>
      <w:bookmarkStart w:id="57" w:name="_Toc433703271"/>
      <w:r>
        <w:lastRenderedPageBreak/>
        <w:t>Part 3—Report on performance</w:t>
      </w:r>
      <w:bookmarkEnd w:id="56"/>
      <w:bookmarkEnd w:id="57"/>
    </w:p>
    <w:p w14:paraId="3635B5AE" w14:textId="77777777" w:rsidR="006744F6" w:rsidRPr="00163CCB" w:rsidRDefault="006744F6" w:rsidP="00163CCB">
      <w:pPr>
        <w:rPr>
          <w:b/>
          <w:sz w:val="28"/>
          <w:szCs w:val="28"/>
        </w:rPr>
      </w:pPr>
      <w:r w:rsidRPr="00163CCB">
        <w:rPr>
          <w:b/>
          <w:sz w:val="28"/>
          <w:szCs w:val="28"/>
        </w:rPr>
        <w:t>Outcome 1: A communications and media environment that balances the needs of the industry and the Australian community through regulation, education and advice</w:t>
      </w:r>
    </w:p>
    <w:p w14:paraId="4587AA4E" w14:textId="77777777" w:rsidR="006744F6" w:rsidRPr="00163CCB" w:rsidRDefault="006744F6" w:rsidP="00DD62C3">
      <w:pPr>
        <w:spacing w:after="60"/>
        <w:rPr>
          <w:b/>
          <w:sz w:val="28"/>
          <w:szCs w:val="28"/>
        </w:rPr>
      </w:pPr>
      <w:bookmarkStart w:id="58" w:name="_Toc419122250"/>
      <w:r w:rsidRPr="00163CCB">
        <w:rPr>
          <w:b/>
          <w:sz w:val="28"/>
          <w:szCs w:val="28"/>
        </w:rPr>
        <w:t>Outcome 1 strategy</w:t>
      </w:r>
      <w:bookmarkEnd w:id="58"/>
    </w:p>
    <w:p w14:paraId="009D40DD" w14:textId="77777777" w:rsidR="006744F6" w:rsidRPr="00DE63A3" w:rsidRDefault="006744F6" w:rsidP="006744F6">
      <w:pPr>
        <w:spacing w:after="80"/>
        <w:rPr>
          <w:rFonts w:cs="Arial"/>
        </w:rPr>
      </w:pPr>
      <w:r w:rsidRPr="00DE63A3">
        <w:rPr>
          <w:rFonts w:cs="Arial"/>
        </w:rPr>
        <w:t xml:space="preserve">The ACMA will contribute to the achievement of this outcome by: </w:t>
      </w:r>
    </w:p>
    <w:p w14:paraId="2BCE1F8D" w14:textId="77777777" w:rsidR="006744F6" w:rsidRPr="00DE63A3" w:rsidRDefault="006744F6" w:rsidP="006744F6">
      <w:pPr>
        <w:pStyle w:val="ListBullet"/>
      </w:pPr>
      <w:r w:rsidRPr="00DE63A3">
        <w:t>planning, allocating and using the public resources for which the ACMA is responsible in a way that maximises their value to the Australian community</w:t>
      </w:r>
    </w:p>
    <w:p w14:paraId="1D9D1FB8" w14:textId="77777777" w:rsidR="006744F6" w:rsidRPr="00DE63A3" w:rsidRDefault="006744F6" w:rsidP="006744F6">
      <w:pPr>
        <w:pStyle w:val="ListBullet"/>
      </w:pPr>
      <w:r w:rsidRPr="00DE63A3">
        <w:t>providing appropriate support to national safety and security interests in the planning and delivery of communications infrastructure and services</w:t>
      </w:r>
    </w:p>
    <w:p w14:paraId="2FD69D5D" w14:textId="77777777" w:rsidR="006744F6" w:rsidRPr="00DE63A3" w:rsidRDefault="006744F6" w:rsidP="006744F6">
      <w:pPr>
        <w:pStyle w:val="ListBullet"/>
      </w:pPr>
      <w:r w:rsidRPr="00DE63A3">
        <w:t>ensuring consumer, citizen and audience safeguards are effective, designed to keep pace with evolving market developments, reflect community standards and deliver on consumer and community expectations</w:t>
      </w:r>
    </w:p>
    <w:p w14:paraId="575FCDDD" w14:textId="77777777" w:rsidR="006744F6" w:rsidRDefault="006744F6" w:rsidP="00F31620">
      <w:pPr>
        <w:pStyle w:val="ListBullet"/>
        <w:spacing w:after="240"/>
      </w:pPr>
      <w:r w:rsidRPr="00DE63A3">
        <w:t>developing strategies that ensure consumers, citizens and industry benefit from their engagement in the developing information economy and evolving networked society.</w:t>
      </w:r>
    </w:p>
    <w:p w14:paraId="11698E03" w14:textId="77777777" w:rsidR="00F31620" w:rsidRPr="00DD62C3" w:rsidRDefault="00F31620" w:rsidP="00DD62C3">
      <w:pPr>
        <w:spacing w:after="60"/>
        <w:rPr>
          <w:b/>
          <w:sz w:val="28"/>
          <w:szCs w:val="28"/>
        </w:rPr>
      </w:pPr>
      <w:r w:rsidRPr="00DD62C3">
        <w:rPr>
          <w:b/>
          <w:sz w:val="28"/>
          <w:szCs w:val="28"/>
        </w:rPr>
        <w:t>Contributions to Outcome 1:</w:t>
      </w:r>
    </w:p>
    <w:p w14:paraId="1979C87B" w14:textId="77777777" w:rsidR="00F31620" w:rsidRDefault="00F31620" w:rsidP="00F31620">
      <w:pPr>
        <w:pStyle w:val="ListBullet"/>
      </w:pPr>
      <w:r>
        <w:t xml:space="preserve">Program 1.1 </w:t>
      </w:r>
      <w:r w:rsidRPr="0039382C">
        <w:t>Communications regulation, planning and licensing</w:t>
      </w:r>
      <w:r w:rsidR="007F0412">
        <w:t>—see Chapter 3</w:t>
      </w:r>
    </w:p>
    <w:p w14:paraId="700CE3C8" w14:textId="77777777" w:rsidR="00F31620" w:rsidRDefault="00F31620" w:rsidP="00F31620">
      <w:pPr>
        <w:pStyle w:val="ListBulletLast"/>
        <w:spacing w:after="120"/>
      </w:pPr>
      <w:bookmarkStart w:id="59" w:name="_Toc419122249"/>
      <w:r>
        <w:t>Program 1.2: Consumer safeguards, education and information</w:t>
      </w:r>
      <w:r w:rsidR="007F0412">
        <w:t>—see Chapter 4.</w:t>
      </w:r>
    </w:p>
    <w:p w14:paraId="398B6C56" w14:textId="77777777" w:rsidR="006744F6" w:rsidRPr="004E4548" w:rsidRDefault="006744F6" w:rsidP="006744F6">
      <w:pPr>
        <w:pStyle w:val="Heading1"/>
      </w:pPr>
      <w:bookmarkStart w:id="60" w:name="_Toc433703272"/>
      <w:r w:rsidRPr="004E4548">
        <w:lastRenderedPageBreak/>
        <w:t xml:space="preserve">Chapter </w:t>
      </w:r>
      <w:r w:rsidR="00163CCB">
        <w:t>3</w:t>
      </w:r>
      <w:r w:rsidRPr="004E4548">
        <w:t xml:space="preserve">: </w:t>
      </w:r>
      <w:r w:rsidRPr="0039382C">
        <w:t>Communications regulation, planning and licensing</w:t>
      </w:r>
      <w:bookmarkEnd w:id="59"/>
      <w:bookmarkEnd w:id="60"/>
    </w:p>
    <w:p w14:paraId="34C802AC" w14:textId="77777777" w:rsidR="00163CCB" w:rsidRPr="001E2783" w:rsidRDefault="006744F6" w:rsidP="00AE1666">
      <w:pPr>
        <w:rPr>
          <w:rFonts w:cs="Arial"/>
        </w:rPr>
      </w:pPr>
      <w:r w:rsidRPr="001E2783">
        <w:rPr>
          <w:rFonts w:cs="Arial"/>
        </w:rPr>
        <w:t xml:space="preserve">Chapter </w:t>
      </w:r>
      <w:r w:rsidR="00AE1666">
        <w:rPr>
          <w:rFonts w:cs="Arial"/>
        </w:rPr>
        <w:t>3</w:t>
      </w:r>
      <w:r w:rsidRPr="001E2783">
        <w:rPr>
          <w:rFonts w:cs="Arial"/>
        </w:rPr>
        <w:t xml:space="preserve"> reflects the ACMA</w:t>
      </w:r>
      <w:r w:rsidR="00DA36C1">
        <w:rPr>
          <w:rFonts w:cs="Arial"/>
        </w:rPr>
        <w:t>’s</w:t>
      </w:r>
      <w:r w:rsidR="00163CCB">
        <w:rPr>
          <w:rFonts w:cs="Arial"/>
        </w:rPr>
        <w:t xml:space="preserve"> performance against the </w:t>
      </w:r>
      <w:r w:rsidR="00163CCB" w:rsidRPr="00AE1666">
        <w:t>deliverables</w:t>
      </w:r>
      <w:r w:rsidR="00163CCB">
        <w:rPr>
          <w:rFonts w:cs="Arial"/>
        </w:rPr>
        <w:t xml:space="preserve"> in </w:t>
      </w:r>
      <w:r w:rsidRPr="001E2783">
        <w:rPr>
          <w:rFonts w:cs="Arial"/>
        </w:rPr>
        <w:t>Program 1.</w:t>
      </w:r>
      <w:r w:rsidR="00163CCB">
        <w:rPr>
          <w:rFonts w:cs="Arial"/>
        </w:rPr>
        <w:t>1.</w:t>
      </w:r>
    </w:p>
    <w:p w14:paraId="781B5BBE" w14:textId="403B9D5A" w:rsidR="006744F6" w:rsidRPr="00B24896" w:rsidRDefault="00163CCB" w:rsidP="006744F6">
      <w:pPr>
        <w:pStyle w:val="TableHeading"/>
      </w:pPr>
      <w:r>
        <w:t>Program 1.1</w:t>
      </w:r>
      <w:r w:rsidR="009F68B0">
        <w:t xml:space="preserve"> O</w:t>
      </w:r>
      <w:r w:rsidR="006744F6" w:rsidRPr="00B24896">
        <w:t>bjective</w:t>
      </w:r>
    </w:p>
    <w:p w14:paraId="4C9B915E" w14:textId="77777777" w:rsidR="006744F6" w:rsidRDefault="006744F6" w:rsidP="00163CCB">
      <w:r>
        <w:t>That the allocation and use of public resources maximises their value to the Australian community; and that national safety and security interests are appropriately supported in the planning and delivery of communication infrastructure and services.</w:t>
      </w:r>
    </w:p>
    <w:p w14:paraId="07249B0B" w14:textId="735003DE" w:rsidR="006744F6" w:rsidRPr="00716B76" w:rsidRDefault="006744F6" w:rsidP="006744F6">
      <w:pPr>
        <w:pStyle w:val="TableHeading0"/>
      </w:pPr>
      <w:r>
        <w:t>P</w:t>
      </w:r>
      <w:r w:rsidR="00163CCB">
        <w:t>rogram</w:t>
      </w:r>
      <w:r w:rsidR="009F68B0">
        <w:t xml:space="preserve"> 1.1 D</w:t>
      </w:r>
      <w:r>
        <w:t>eliverables</w:t>
      </w:r>
    </w:p>
    <w:p w14:paraId="225CAAF2" w14:textId="77777777" w:rsidR="006744F6" w:rsidRDefault="006744F6" w:rsidP="00163CCB">
      <w:pPr>
        <w:pStyle w:val="ListBullet"/>
      </w:pPr>
      <w:r>
        <w:t>Effective allocation and use of the radiofrequency spectrum.</w:t>
      </w:r>
    </w:p>
    <w:p w14:paraId="5816D75C" w14:textId="77777777" w:rsidR="006744F6" w:rsidRDefault="006744F6" w:rsidP="00163CCB">
      <w:pPr>
        <w:pStyle w:val="ListBullet"/>
      </w:pPr>
      <w:r>
        <w:t>Minimisation of unacceptable interference to radiocommunications services.</w:t>
      </w:r>
    </w:p>
    <w:p w14:paraId="7F50CF44" w14:textId="77777777" w:rsidR="006744F6" w:rsidRDefault="006744F6" w:rsidP="00163CCB">
      <w:pPr>
        <w:pStyle w:val="ListBullet"/>
      </w:pPr>
      <w:r>
        <w:t>Promotion of competition, efficiency and innovation in the Australian telecommunications industry.</w:t>
      </w:r>
    </w:p>
    <w:p w14:paraId="5A2C64A7" w14:textId="77777777" w:rsidR="006744F6" w:rsidRDefault="006744F6" w:rsidP="00163CCB">
      <w:pPr>
        <w:pStyle w:val="ListBullet"/>
      </w:pPr>
      <w:r>
        <w:t>Administration of licensing and number allocation arrangements.</w:t>
      </w:r>
    </w:p>
    <w:p w14:paraId="741E4BBB" w14:textId="77777777" w:rsidR="006744F6" w:rsidRDefault="006744F6" w:rsidP="00163CCB">
      <w:pPr>
        <w:pStyle w:val="ListBullet"/>
      </w:pPr>
      <w:r>
        <w:t>Provision of appropriate and reasonable support to law enforcement, emergency services and national security.</w:t>
      </w:r>
    </w:p>
    <w:p w14:paraId="494C48CF" w14:textId="77777777" w:rsidR="006744F6" w:rsidRDefault="007F0412" w:rsidP="00163CCB">
      <w:pPr>
        <w:pStyle w:val="ListBulletLast"/>
      </w:pPr>
      <w:r>
        <w:t>Work in partnership with i</w:t>
      </w:r>
      <w:r w:rsidR="006744F6">
        <w:t>ndustry to improve the performance of Australia’s emergency call services.</w:t>
      </w:r>
    </w:p>
    <w:p w14:paraId="0E91FB0E" w14:textId="6C867966" w:rsidR="006744F6" w:rsidRDefault="00163CCB" w:rsidP="006744F6">
      <w:pPr>
        <w:pStyle w:val="TableHeading0"/>
      </w:pPr>
      <w:r>
        <w:t>Program</w:t>
      </w:r>
      <w:r w:rsidR="006744F6">
        <w:t xml:space="preserve"> 1.1</w:t>
      </w:r>
      <w:r w:rsidR="009F68B0">
        <w:t xml:space="preserve"> K</w:t>
      </w:r>
      <w:r w:rsidR="006744F6" w:rsidRPr="00954045">
        <w:t xml:space="preserve">ey </w:t>
      </w:r>
      <w:r w:rsidR="009F68B0">
        <w:t>P</w:t>
      </w:r>
      <w:r w:rsidR="006744F6" w:rsidRPr="00954045">
        <w:t xml:space="preserve">erformance </w:t>
      </w:r>
      <w:r w:rsidR="009F68B0">
        <w:t>I</w:t>
      </w:r>
      <w:r w:rsidR="006744F6" w:rsidRPr="00954045">
        <w:t>ndicators</w:t>
      </w:r>
    </w:p>
    <w:p w14:paraId="1158F100" w14:textId="77777777" w:rsidR="006744F6" w:rsidRDefault="006744F6" w:rsidP="00163CCB">
      <w:pPr>
        <w:pStyle w:val="ListBullet"/>
      </w:pPr>
      <w:r>
        <w:t>That the public benefit from the allocation and use of the radiofrequency spectrum is maximised.</w:t>
      </w:r>
    </w:p>
    <w:p w14:paraId="1C224739" w14:textId="77777777" w:rsidR="006744F6" w:rsidRDefault="006744F6" w:rsidP="00163CCB">
      <w:pPr>
        <w:pStyle w:val="ListBullet"/>
      </w:pPr>
      <w:r>
        <w:t xml:space="preserve">That the instances of unacceptable interference are low; and interference complaints are resolved quickly and in a </w:t>
      </w:r>
      <w:r w:rsidR="007F0412">
        <w:t>cost-</w:t>
      </w:r>
      <w:r>
        <w:t>effective manner.</w:t>
      </w:r>
    </w:p>
    <w:p w14:paraId="6A130E5A" w14:textId="77777777" w:rsidR="006744F6" w:rsidRDefault="006744F6" w:rsidP="00163CCB">
      <w:pPr>
        <w:pStyle w:val="ListBullet"/>
      </w:pPr>
      <w:r>
        <w:t>That competition, efficiency and innovation in the Australian telecommunications industry is maximised, resulting in a simple and flexible numbering scheme.</w:t>
      </w:r>
    </w:p>
    <w:p w14:paraId="781A78D2" w14:textId="77777777" w:rsidR="006744F6" w:rsidRDefault="006744F6" w:rsidP="00163CCB">
      <w:pPr>
        <w:pStyle w:val="ListBullet"/>
      </w:pPr>
      <w:r>
        <w:t>That, in allocating or renewing broadcasting, telecommunications and radiocommunications licences and numbers, administrative costs on industry and citizens are minimised.</w:t>
      </w:r>
    </w:p>
    <w:p w14:paraId="2A9A003C" w14:textId="54FA6025" w:rsidR="006744F6" w:rsidRPr="00371676" w:rsidRDefault="006744F6" w:rsidP="007F0412">
      <w:pPr>
        <w:pStyle w:val="ListBulletLast"/>
      </w:pPr>
      <w:r>
        <w:t>That law enforcement, emergency services and national security providers are appropriately and reasonably supported by the ACMA and telecommunications industry.</w:t>
      </w:r>
    </w:p>
    <w:p w14:paraId="7107BFA8" w14:textId="7691CD26" w:rsidR="00861911" w:rsidRDefault="00212A85" w:rsidP="00861911">
      <w:pPr>
        <w:pStyle w:val="Heading1"/>
        <w:spacing w:after="120" w:line="360" w:lineRule="atLeast"/>
        <w:rPr>
          <w:sz w:val="36"/>
          <w:szCs w:val="36"/>
        </w:rPr>
      </w:pPr>
      <w:bookmarkStart w:id="61" w:name="_Toc419122251"/>
      <w:bookmarkStart w:id="62" w:name="_Toc433703273"/>
      <w:r w:rsidRPr="00583E1B">
        <w:rPr>
          <w:i/>
          <w:noProof/>
          <w:sz w:val="36"/>
          <w:szCs w:val="36"/>
        </w:rPr>
        <w:lastRenderedPageBreak/>
        <w:drawing>
          <wp:anchor distT="0" distB="0" distL="114300" distR="114300" simplePos="0" relativeHeight="251658240" behindDoc="1" locked="0" layoutInCell="1" allowOverlap="1" wp14:anchorId="491DDEA2" wp14:editId="2972F5DF">
            <wp:simplePos x="0" y="0"/>
            <wp:positionH relativeFrom="column">
              <wp:posOffset>4529</wp:posOffset>
            </wp:positionH>
            <wp:positionV relativeFrom="paragraph">
              <wp:posOffset>7129</wp:posOffset>
            </wp:positionV>
            <wp:extent cx="1003300" cy="1854200"/>
            <wp:effectExtent l="0" t="0" r="6350" b="0"/>
            <wp:wrapTight wrapText="bothSides">
              <wp:wrapPolygon edited="0">
                <wp:start x="0" y="0"/>
                <wp:lineTo x="0" y="21304"/>
                <wp:lineTo x="21327" y="21304"/>
                <wp:lineTo x="21327" y="0"/>
                <wp:lineTo x="0" y="0"/>
              </wp:wrapPolygon>
            </wp:wrapTight>
            <wp:docPr id="6" name="Picture 6" title="Icon of radio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ectrum.jpg"/>
                    <pic:cNvPicPr/>
                  </pic:nvPicPr>
                  <pic:blipFill>
                    <a:blip r:embed="rId32">
                      <a:extLst>
                        <a:ext uri="{28A0092B-C50C-407E-A947-70E740481C1C}">
                          <a14:useLocalDpi xmlns:a14="http://schemas.microsoft.com/office/drawing/2010/main" val="0"/>
                        </a:ext>
                      </a:extLst>
                    </a:blip>
                    <a:stretch>
                      <a:fillRect/>
                    </a:stretch>
                  </pic:blipFill>
                  <pic:spPr>
                    <a:xfrm>
                      <a:off x="0" y="0"/>
                      <a:ext cx="1003300" cy="1854200"/>
                    </a:xfrm>
                    <a:prstGeom prst="rect">
                      <a:avLst/>
                    </a:prstGeom>
                  </pic:spPr>
                </pic:pic>
              </a:graphicData>
            </a:graphic>
            <wp14:sizeRelH relativeFrom="page">
              <wp14:pctWidth>0</wp14:pctWidth>
            </wp14:sizeRelH>
            <wp14:sizeRelV relativeFrom="page">
              <wp14:pctHeight>0</wp14:pctHeight>
            </wp14:sizeRelV>
          </wp:anchor>
        </w:drawing>
      </w:r>
      <w:r w:rsidR="00DD62C3" w:rsidRPr="00583E1B">
        <w:rPr>
          <w:i/>
          <w:sz w:val="36"/>
          <w:szCs w:val="36"/>
        </w:rPr>
        <w:t>D</w:t>
      </w:r>
      <w:r w:rsidR="00583E1B" w:rsidRPr="00583E1B">
        <w:rPr>
          <w:i/>
          <w:sz w:val="36"/>
          <w:szCs w:val="36"/>
        </w:rPr>
        <w:t>eliverable</w:t>
      </w:r>
      <w:r w:rsidR="00DD62C3" w:rsidRPr="00861911">
        <w:rPr>
          <w:sz w:val="36"/>
          <w:szCs w:val="36"/>
        </w:rPr>
        <w:t xml:space="preserve">: </w:t>
      </w:r>
      <w:r w:rsidR="006744F6" w:rsidRPr="00861911">
        <w:rPr>
          <w:sz w:val="36"/>
          <w:szCs w:val="36"/>
        </w:rPr>
        <w:t>Effective allocation and use of the radiofrequency spectrum</w:t>
      </w:r>
      <w:bookmarkEnd w:id="62"/>
    </w:p>
    <w:p w14:paraId="51508345" w14:textId="77777777" w:rsidR="006744F6" w:rsidRPr="00861911" w:rsidRDefault="006744F6" w:rsidP="00861911">
      <w:pPr>
        <w:pStyle w:val="Heading1"/>
        <w:pageBreakBefore w:val="0"/>
        <w:spacing w:line="360" w:lineRule="atLeast"/>
        <w:rPr>
          <w:sz w:val="36"/>
          <w:szCs w:val="36"/>
        </w:rPr>
      </w:pPr>
      <w:bookmarkStart w:id="63" w:name="_Toc433703274"/>
      <w:r w:rsidRPr="00583E1B">
        <w:rPr>
          <w:i/>
          <w:sz w:val="36"/>
          <w:szCs w:val="36"/>
        </w:rPr>
        <w:t>KPI</w:t>
      </w:r>
      <w:r w:rsidRPr="00861911">
        <w:rPr>
          <w:sz w:val="36"/>
          <w:szCs w:val="36"/>
        </w:rPr>
        <w:t>: The public benefit from the allocation and use of the radiofrequency spectrum is maximised</w:t>
      </w:r>
      <w:bookmarkEnd w:id="61"/>
      <w:bookmarkEnd w:id="63"/>
    </w:p>
    <w:p w14:paraId="18C8D5FF" w14:textId="77777777" w:rsidR="006744F6" w:rsidRPr="00124637" w:rsidRDefault="006744F6" w:rsidP="006744F6">
      <w:pPr>
        <w:pStyle w:val="Heading2"/>
      </w:pPr>
      <w:bookmarkStart w:id="64" w:name="Effect_radio"/>
      <w:bookmarkStart w:id="65" w:name="_Toc419122252"/>
      <w:bookmarkStart w:id="66" w:name="_Toc433703275"/>
      <w:bookmarkEnd w:id="64"/>
      <w:r w:rsidRPr="00124637">
        <w:t>Overview and significant outcomes</w:t>
      </w:r>
      <w:bookmarkEnd w:id="65"/>
      <w:bookmarkEnd w:id="66"/>
    </w:p>
    <w:p w14:paraId="6BC648A3" w14:textId="77777777" w:rsidR="006744F6" w:rsidRPr="00124637" w:rsidRDefault="006744F6" w:rsidP="00163CCB">
      <w:pPr>
        <w:keepNext/>
        <w:keepLines/>
        <w:rPr>
          <w:rFonts w:cs="Arial"/>
        </w:rPr>
      </w:pPr>
      <w:r w:rsidRPr="00124637">
        <w:rPr>
          <w:rFonts w:cs="Arial"/>
        </w:rPr>
        <w:t>The ACMA manages the radiofrequency spectrum in Australia through planning, allocation and licensing decisions, device regulation and compliance activities. It ensures compliance with licensing requirements and investigates complaints of interference to licensed services. The scope of the ACMA’s role includes spectrum planning, apparatus licensing, class licensing, spectrum licensing, auctions and trading, and satellite communication</w:t>
      </w:r>
      <w:r w:rsidR="00163CCB" w:rsidRPr="00124637">
        <w:rPr>
          <w:rFonts w:cs="Arial"/>
        </w:rPr>
        <w:t>s and space systems regulation.</w:t>
      </w:r>
    </w:p>
    <w:p w14:paraId="30DD8D7A" w14:textId="7DEC4213" w:rsidR="00BD417D" w:rsidRPr="00124637" w:rsidRDefault="00BD417D" w:rsidP="00BD417D">
      <w:pPr>
        <w:rPr>
          <w:rFonts w:cs="Arial"/>
        </w:rPr>
      </w:pPr>
      <w:bookmarkStart w:id="67" w:name="_Toc337727539"/>
      <w:r w:rsidRPr="00124637">
        <w:rPr>
          <w:rFonts w:cs="Arial"/>
        </w:rPr>
        <w:t xml:space="preserve">As in many other countries, Australia must balance the growing demand for access to spectrum by new technologies and uses against the legitimate requirements of existing users for ongoing use of spectrum. It must also strike the balance between government use of the spectrum—for example, for defence, emergency and public safety services, scientific and other applications that may be inappropriate to leave to market forces to address, and its availability for use by the broader community. </w:t>
      </w:r>
    </w:p>
    <w:p w14:paraId="3E894954" w14:textId="77777777" w:rsidR="006744F6" w:rsidRPr="00124637" w:rsidRDefault="002D0BB0" w:rsidP="006744F6">
      <w:pPr>
        <w:keepNext/>
        <w:spacing w:after="80"/>
        <w:rPr>
          <w:rFonts w:cs="Arial"/>
        </w:rPr>
      </w:pPr>
      <w:r w:rsidRPr="00124637">
        <w:rPr>
          <w:rFonts w:cs="Arial"/>
        </w:rPr>
        <w:t>In 2014–15</w:t>
      </w:r>
      <w:r w:rsidR="006744F6" w:rsidRPr="00124637">
        <w:rPr>
          <w:rFonts w:cs="Arial"/>
        </w:rPr>
        <w:t>, the ACMA’s major spectrum initiatives included:</w:t>
      </w:r>
    </w:p>
    <w:p w14:paraId="33CEE459" w14:textId="77777777" w:rsidR="006744F6" w:rsidRPr="00124637" w:rsidRDefault="006744F6" w:rsidP="006744F6">
      <w:pPr>
        <w:pStyle w:val="ListBullet"/>
        <w:rPr>
          <w:rFonts w:cs="Arial"/>
        </w:rPr>
      </w:pPr>
      <w:r w:rsidRPr="00124637">
        <w:rPr>
          <w:rFonts w:cs="Arial"/>
        </w:rPr>
        <w:t xml:space="preserve">undertaking processes for expiring spectrum licences, including considering reissue of licences to current </w:t>
      </w:r>
      <w:r w:rsidR="00BD417D" w:rsidRPr="00124637">
        <w:rPr>
          <w:rFonts w:cs="Arial"/>
        </w:rPr>
        <w:t>licensees where that is in the public interest</w:t>
      </w:r>
    </w:p>
    <w:p w14:paraId="231AF317" w14:textId="77777777" w:rsidR="00BD417D" w:rsidRPr="00124637" w:rsidRDefault="006744F6" w:rsidP="00BD417D">
      <w:pPr>
        <w:pStyle w:val="ListBullet"/>
      </w:pPr>
      <w:r w:rsidRPr="00124637">
        <w:t>facilitating early access to the 700 MHz band following the digital dividend auction</w:t>
      </w:r>
    </w:p>
    <w:p w14:paraId="5BEC7B24" w14:textId="77777777" w:rsidR="006744F6" w:rsidRPr="00124637" w:rsidRDefault="00BD417D" w:rsidP="00BD417D">
      <w:pPr>
        <w:pStyle w:val="ListBulletLast"/>
      </w:pPr>
      <w:r w:rsidRPr="00124637">
        <w:t>commencing steps to reallocate spectrum in the 1800 MHz band in regional and remote parts of Australia</w:t>
      </w:r>
      <w:r w:rsidR="002D0BB0" w:rsidRPr="00124637">
        <w:t>.</w:t>
      </w:r>
    </w:p>
    <w:p w14:paraId="1A3D005A" w14:textId="77777777" w:rsidR="002D0BB0" w:rsidRPr="00124637" w:rsidRDefault="002D0BB0" w:rsidP="002D0BB0">
      <w:pPr>
        <w:pStyle w:val="Heading2"/>
      </w:pPr>
      <w:bookmarkStart w:id="68" w:name="_Toc419122253"/>
      <w:bookmarkStart w:id="69" w:name="_Toc433703276"/>
      <w:bookmarkEnd w:id="67"/>
      <w:r w:rsidRPr="00124637">
        <w:t>Spectrum review</w:t>
      </w:r>
      <w:bookmarkEnd w:id="69"/>
    </w:p>
    <w:p w14:paraId="3143423B" w14:textId="77777777" w:rsidR="009D01E4" w:rsidRPr="00124637" w:rsidRDefault="009D01E4" w:rsidP="009D01E4">
      <w:r w:rsidRPr="00124637">
        <w:t xml:space="preserve">On 23 May 2014, the </w:t>
      </w:r>
      <w:r w:rsidR="00867A03" w:rsidRPr="00124637">
        <w:t>m</w:t>
      </w:r>
      <w:r w:rsidRPr="00124637">
        <w:t xml:space="preserve">inister announced a review of the spectrum policy and management framework. Established in 1992, the current </w:t>
      </w:r>
      <w:r w:rsidR="00BD417D" w:rsidRPr="00124637">
        <w:t xml:space="preserve">regulatory </w:t>
      </w:r>
      <w:r w:rsidRPr="00124637">
        <w:t>framework under the Radiocommunications Act led the world in market reform of spectrum management. Now, more than 20 years later, the evolving nature of technology and increasing demand for access to spectrum has stretched the current framework to its full capacity. The review seeks to update Australia’s spectrum management framework to reflect changes in technology, markets and consumer preferences</w:t>
      </w:r>
      <w:r w:rsidR="00867A03" w:rsidRPr="00124637">
        <w:t>,</w:t>
      </w:r>
      <w:r w:rsidRPr="00124637">
        <w:t xml:space="preserve"> and to better deal with increasing demand for spectrum from all sectors both now and into the future.</w:t>
      </w:r>
    </w:p>
    <w:p w14:paraId="7C509A7C" w14:textId="77777777" w:rsidR="009E0F41" w:rsidRPr="00124637" w:rsidRDefault="009E0F41" w:rsidP="009E0F41">
      <w:bookmarkStart w:id="70" w:name="_Toc419122255"/>
      <w:bookmarkStart w:id="71" w:name="_Toc337727544"/>
      <w:bookmarkEnd w:id="68"/>
      <w:r w:rsidRPr="00124637">
        <w:t>A key stated purpose of the review is to examine what policy and regulatory changes are needed to meet current challenges, and ensure the framework will serve Australia well int</w:t>
      </w:r>
      <w:r w:rsidR="00867A03" w:rsidRPr="00124637">
        <w:t>o the future. In line with the government’</w:t>
      </w:r>
      <w:r w:rsidRPr="00124637">
        <w:t xml:space="preserve">s deregulation agenda, the review will look for ways to simplify the existing framework and reduce compliance costs for users. </w:t>
      </w:r>
    </w:p>
    <w:p w14:paraId="3B438B12" w14:textId="77777777" w:rsidR="009E0F41" w:rsidRPr="00124637" w:rsidRDefault="009E0F41" w:rsidP="009E0F41">
      <w:r w:rsidRPr="00124637">
        <w:t>In 2014–15</w:t>
      </w:r>
      <w:r w:rsidR="00867A03" w:rsidRPr="00124637">
        <w:t>,</w:t>
      </w:r>
      <w:r w:rsidRPr="00124637">
        <w:t xml:space="preserve"> the ACMA continued to work closely </w:t>
      </w:r>
      <w:r w:rsidR="00867A03" w:rsidRPr="00124637">
        <w:t>with DoC</w:t>
      </w:r>
      <w:r w:rsidRPr="00124637">
        <w:t xml:space="preserve"> on the details of the review.</w:t>
      </w:r>
    </w:p>
    <w:p w14:paraId="293B0D7A" w14:textId="77777777" w:rsidR="009E0F41" w:rsidRPr="00124637" w:rsidRDefault="009E0F41" w:rsidP="009E0F41">
      <w:pPr>
        <w:spacing w:after="80"/>
      </w:pPr>
      <w:r w:rsidRPr="00124637">
        <w:lastRenderedPageBreak/>
        <w:t>In May 2015</w:t>
      </w:r>
      <w:r w:rsidR="00867A03" w:rsidRPr="00124637">
        <w:t>, the m</w:t>
      </w:r>
      <w:r w:rsidRPr="00124637">
        <w:t>inister announced the release of a review report and made three major recommendations. The key elements of these recommendations include to:</w:t>
      </w:r>
    </w:p>
    <w:p w14:paraId="5980D64A" w14:textId="77777777" w:rsidR="009E0F41" w:rsidRPr="00124637" w:rsidRDefault="009E0F41" w:rsidP="00867A03">
      <w:pPr>
        <w:pStyle w:val="ListBullet"/>
      </w:pPr>
      <w:r w:rsidRPr="00124637">
        <w:t>replace the current legislative framewor</w:t>
      </w:r>
      <w:r w:rsidR="00867A03" w:rsidRPr="00124637">
        <w:t>k with outcomes-focused legislation</w:t>
      </w:r>
      <w:r w:rsidRPr="00124637">
        <w:t xml:space="preserve"> that facilitates timely spectrum allocations, improves user flexibility and delivers increased cer</w:t>
      </w:r>
      <w:r w:rsidR="00867A03" w:rsidRPr="00124637">
        <w:t>tainty for market participants</w:t>
      </w:r>
    </w:p>
    <w:p w14:paraId="3EA9ADF9" w14:textId="77777777" w:rsidR="009E0F41" w:rsidRPr="00124637" w:rsidRDefault="009E0F41" w:rsidP="00867A03">
      <w:pPr>
        <w:pStyle w:val="ListBullet"/>
      </w:pPr>
      <w:r w:rsidRPr="00124637">
        <w:t>improve the consistency of the framework by incorporating the management of broadcasting spectrum and better integrating public sector agency spectrum use</w:t>
      </w:r>
    </w:p>
    <w:p w14:paraId="0E84022D" w14:textId="77777777" w:rsidR="009E0F41" w:rsidRPr="00124637" w:rsidRDefault="009E0F41" w:rsidP="00867A03">
      <w:pPr>
        <w:pStyle w:val="ListBulletLast"/>
      </w:pPr>
      <w:r w:rsidRPr="00124637">
        <w:t>review spectrum pricing arrangements to make these more consistent and transparent</w:t>
      </w:r>
      <w:r w:rsidR="00867A03" w:rsidRPr="00124637">
        <w:t>,</w:t>
      </w:r>
      <w:r w:rsidRPr="00124637">
        <w:t xml:space="preserve"> increasing the efficient use and trading of spectrum.</w:t>
      </w:r>
    </w:p>
    <w:p w14:paraId="79542E38" w14:textId="77777777" w:rsidR="009E0F41" w:rsidRPr="00124637" w:rsidRDefault="009E0F41" w:rsidP="009E0F41">
      <w:pPr>
        <w:rPr>
          <w:b/>
          <w:bCs/>
          <w:iCs/>
        </w:rPr>
      </w:pPr>
      <w:r w:rsidRPr="00124637">
        <w:t>Implement</w:t>
      </w:r>
      <w:r w:rsidR="00867A03" w:rsidRPr="00124637">
        <w:t>ing</w:t>
      </w:r>
      <w:r w:rsidRPr="00124637">
        <w:t xml:space="preserve"> the recommendations </w:t>
      </w:r>
      <w:r w:rsidR="00867A03" w:rsidRPr="00124637">
        <w:t>is</w:t>
      </w:r>
      <w:r w:rsidRPr="00124637">
        <w:t xml:space="preserve"> an opportunity to simplify and streamline regulatory structures and processes. Importantly, </w:t>
      </w:r>
      <w:r w:rsidR="00867A03" w:rsidRPr="00124637">
        <w:t>they</w:t>
      </w:r>
      <w:r w:rsidRPr="00124637">
        <w:t xml:space="preserve"> are </w:t>
      </w:r>
      <w:r w:rsidR="00867A03" w:rsidRPr="00124637">
        <w:t>consistent with the g</w:t>
      </w:r>
      <w:r w:rsidRPr="00124637">
        <w:t xml:space="preserve">overnment’s broader deregulation agenda and provide an opportunity to rationalise the number of licence categories and device supply regulations. </w:t>
      </w:r>
    </w:p>
    <w:p w14:paraId="2D7E0B30" w14:textId="77777777" w:rsidR="009E0F41" w:rsidRPr="00124637" w:rsidRDefault="009E0F41" w:rsidP="009E0F41">
      <w:pPr>
        <w:pStyle w:val="Heading2"/>
      </w:pPr>
      <w:bookmarkStart w:id="72" w:name="early_700"/>
      <w:bookmarkStart w:id="73" w:name="_Toc433703277"/>
      <w:bookmarkEnd w:id="72"/>
      <w:r w:rsidRPr="00124637">
        <w:t>Early access to the 700 MHz band</w:t>
      </w:r>
      <w:bookmarkEnd w:id="73"/>
    </w:p>
    <w:p w14:paraId="577FF931" w14:textId="77777777" w:rsidR="009E0F41" w:rsidRPr="00124637" w:rsidRDefault="009E0F41" w:rsidP="009E0F41">
      <w:pPr>
        <w:rPr>
          <w:rFonts w:cs="Arial"/>
        </w:rPr>
      </w:pPr>
      <w:r w:rsidRPr="00124637">
        <w:rPr>
          <w:rFonts w:cs="Arial"/>
        </w:rPr>
        <w:t>The 700 MHz spectrum licences issued at auction in May 2013</w:t>
      </w:r>
      <w:r w:rsidR="00867A03" w:rsidRPr="00124637">
        <w:rPr>
          <w:rFonts w:cs="Arial"/>
        </w:rPr>
        <w:t xml:space="preserve"> commenced on 1 </w:t>
      </w:r>
      <w:r w:rsidRPr="00124637">
        <w:rPr>
          <w:rFonts w:cs="Arial"/>
        </w:rPr>
        <w:t xml:space="preserve">January 2015. Optus and Telstra, as </w:t>
      </w:r>
      <w:r w:rsidR="00867A03" w:rsidRPr="00124637">
        <w:rPr>
          <w:rFonts w:cs="Arial"/>
        </w:rPr>
        <w:t>the two winning bidders for 700 </w:t>
      </w:r>
      <w:r w:rsidRPr="00124637">
        <w:rPr>
          <w:rFonts w:cs="Arial"/>
        </w:rPr>
        <w:t>MHz digital dividend spectrum, also expressed an interest in deploying commercial LTE services in this band prior to 1 January 2015</w:t>
      </w:r>
      <w:r w:rsidR="00C87802" w:rsidRPr="00124637">
        <w:rPr>
          <w:rFonts w:cs="Arial"/>
        </w:rPr>
        <w:t>, as the progressive clearance of remaining digital television services from these bands continued</w:t>
      </w:r>
      <w:r w:rsidRPr="00124637">
        <w:rPr>
          <w:rFonts w:cs="Arial"/>
        </w:rPr>
        <w:t xml:space="preserve">. The ACMA made the required regulatory arrangements to enable Optus and Telstra to apply for apparatus licences for commercial LTE services before 1 January 2015. Users of wireless audio devices, as well as some national and commercial television broadcasters, remained authorised to use the 700 MHz spectrum until 1 January 2015. The ACMA applied special licence conditions and application requirements for ‘early access’ apparatus licences to protect incumbent wireless audio devices and broadcast </w:t>
      </w:r>
      <w:r w:rsidR="00C87802" w:rsidRPr="00124637">
        <w:rPr>
          <w:rFonts w:cs="Arial"/>
        </w:rPr>
        <w:t>services</w:t>
      </w:r>
      <w:r w:rsidRPr="00124637">
        <w:rPr>
          <w:rFonts w:cs="Arial"/>
        </w:rPr>
        <w:t xml:space="preserve"> from potential interference from LTE base stations. </w:t>
      </w:r>
    </w:p>
    <w:p w14:paraId="6387B4F3" w14:textId="77777777" w:rsidR="009E0F41" w:rsidRPr="00124637" w:rsidRDefault="009E0F41" w:rsidP="009E0F41">
      <w:pPr>
        <w:rPr>
          <w:rFonts w:cs="Arial"/>
        </w:rPr>
      </w:pPr>
      <w:r w:rsidRPr="00124637">
        <w:rPr>
          <w:rFonts w:cs="Arial"/>
          <w:bCs/>
          <w:lang w:val="en-GB"/>
        </w:rPr>
        <w:t xml:space="preserve">During the early access period, 24 ‘early access’ apparatus licences were issued to Telstra and Optus. The licences </w:t>
      </w:r>
      <w:r w:rsidRPr="00124637">
        <w:rPr>
          <w:rFonts w:cs="Arial"/>
          <w:bCs/>
        </w:rPr>
        <w:t>authorised the commencement of 4G LTE wireless broadband services in</w:t>
      </w:r>
      <w:r w:rsidRPr="00124637" w:rsidDel="00653AF2">
        <w:rPr>
          <w:rFonts w:cs="Arial"/>
          <w:bCs/>
        </w:rPr>
        <w:t xml:space="preserve"> </w:t>
      </w:r>
      <w:r w:rsidRPr="00124637">
        <w:rPr>
          <w:rFonts w:cs="Arial"/>
          <w:bCs/>
        </w:rPr>
        <w:t xml:space="preserve">100 locations </w:t>
      </w:r>
      <w:r w:rsidR="00867A03" w:rsidRPr="00124637">
        <w:rPr>
          <w:rFonts w:cs="Arial"/>
          <w:bCs/>
        </w:rPr>
        <w:t xml:space="preserve">throughout Australia </w:t>
      </w:r>
      <w:r w:rsidRPr="00124637">
        <w:rPr>
          <w:rFonts w:cs="Arial"/>
          <w:bCs/>
        </w:rPr>
        <w:t xml:space="preserve">for Telstra and 140 locations for Optus to the end of </w:t>
      </w:r>
      <w:r w:rsidRPr="00124637">
        <w:rPr>
          <w:rFonts w:cs="Arial"/>
          <w:bCs/>
          <w:lang w:val="en-GB"/>
        </w:rPr>
        <w:t xml:space="preserve">2014. </w:t>
      </w:r>
      <w:r w:rsidR="00C87802" w:rsidRPr="00124637">
        <w:rPr>
          <w:rFonts w:cs="Arial"/>
          <w:bCs/>
          <w:lang w:val="en-GB"/>
        </w:rPr>
        <w:t xml:space="preserve">The ACMA received </w:t>
      </w:r>
      <w:r w:rsidR="00C87802" w:rsidRPr="00124637">
        <w:rPr>
          <w:rFonts w:cs="Arial"/>
          <w:bCs/>
        </w:rPr>
        <w:t>a</w:t>
      </w:r>
      <w:r w:rsidR="00C87802" w:rsidRPr="00124637">
        <w:rPr>
          <w:rFonts w:cs="Arial"/>
          <w:bCs/>
          <w:lang w:val="en-GB"/>
        </w:rPr>
        <w:t>pproximately $1.3 million in licence fees from the issue of 700 MHz early access apparatus licences</w:t>
      </w:r>
      <w:r w:rsidR="00C87802" w:rsidRPr="00124637">
        <w:rPr>
          <w:rFonts w:cs="Arial"/>
          <w:bCs/>
        </w:rPr>
        <w:t>.</w:t>
      </w:r>
    </w:p>
    <w:p w14:paraId="6835BA8C" w14:textId="77777777" w:rsidR="00EC2A1D" w:rsidRPr="00124637" w:rsidRDefault="00EC2A1D" w:rsidP="00EC2A1D">
      <w:pPr>
        <w:pStyle w:val="Heading2"/>
      </w:pPr>
      <w:bookmarkStart w:id="74" w:name="_Toc433703278"/>
      <w:r w:rsidRPr="00124637">
        <w:t>Digital switchover</w:t>
      </w:r>
      <w:bookmarkEnd w:id="74"/>
    </w:p>
    <w:p w14:paraId="704278C1" w14:textId="77777777" w:rsidR="00EC2A1D" w:rsidRPr="00124637" w:rsidRDefault="00EC2A1D" w:rsidP="00EC2A1D">
      <w:r w:rsidRPr="00124637">
        <w:t xml:space="preserve">In 2013–14, the last remaining areas of Australia completed the switchover to digital-only television, which meant the end of analog television broadcasting in Australia. The ACMA had a number of responsibilities for the digital switchover and worked closely with the Digital Switchover Taskforce and related areas of DoC during </w:t>
      </w:r>
      <w:r w:rsidRPr="00124637">
        <w:br/>
        <w:t>2013–14, providing technical and regulatory advice and information on television coverage.</w:t>
      </w:r>
    </w:p>
    <w:p w14:paraId="411F7388" w14:textId="77777777" w:rsidR="00EC2A1D" w:rsidRPr="00124637" w:rsidRDefault="00C87802" w:rsidP="00EC2A1D">
      <w:r w:rsidRPr="00124637">
        <w:t xml:space="preserve">The final step in the move to digital-only television was for a significant number of digital television services to be moved to new channels so that the spectrum in the 700 MHz band corresponding to UHF television channels 52 to 69 could be cleared for new mobile broadband services. </w:t>
      </w:r>
      <w:r w:rsidR="00EC2A1D" w:rsidRPr="00124637">
        <w:t>This process of moving digital television transmitters to new channels was referred to as the ‘restack’</w:t>
      </w:r>
      <w:r w:rsidRPr="00124637">
        <w:t xml:space="preserve">, and viewers were required to retune </w:t>
      </w:r>
      <w:r w:rsidR="00EC2A1D" w:rsidRPr="00124637">
        <w:t>their television receivers. The channels to be used for digital television services were defined in television licence area plans (TLAPs) prepared by the ACMA between 2011 and 2013.</w:t>
      </w:r>
    </w:p>
    <w:p w14:paraId="6EA00624" w14:textId="77777777" w:rsidR="00EC2A1D" w:rsidRPr="00124637" w:rsidRDefault="00EC2A1D" w:rsidP="00124637">
      <w:pPr>
        <w:keepLines/>
      </w:pPr>
      <w:r w:rsidRPr="00124637">
        <w:lastRenderedPageBreak/>
        <w:t>Spectrum licences for the mobile broadband providers using the digital dividend spectrum commenced on 1 January 2015. To ensure that the spectrum was available for use by the spectrum licensees, the designated restack day (the day by which all digital dividend spectrum was to be cleared) for digital television was 31 December 2014. All digital television services planned in a TLAP were restacked by 20 No</w:t>
      </w:r>
      <w:r w:rsidR="00867A03" w:rsidRPr="00124637">
        <w:t>vember 2014. The final non-TLAP-</w:t>
      </w:r>
      <w:r w:rsidRPr="00124637">
        <w:t xml:space="preserve">planned digital service, a council retransmission site in Mossman South, North Queensland, was restacked on 9 December 2014. </w:t>
      </w:r>
    </w:p>
    <w:p w14:paraId="0C1875D6" w14:textId="77777777" w:rsidR="009E0F41" w:rsidRPr="00124637" w:rsidRDefault="009E0F41" w:rsidP="009E0F41">
      <w:pPr>
        <w:pStyle w:val="Heading3"/>
      </w:pPr>
      <w:bookmarkStart w:id="75" w:name="_Toc419122575"/>
      <w:bookmarkStart w:id="76" w:name="_Toc433703279"/>
      <w:r w:rsidRPr="00124637">
        <w:t>Restack coverage assessment project</w:t>
      </w:r>
      <w:bookmarkEnd w:id="75"/>
      <w:bookmarkEnd w:id="76"/>
    </w:p>
    <w:p w14:paraId="216D55CE" w14:textId="77777777" w:rsidR="009E0F41" w:rsidRPr="00124637" w:rsidRDefault="009E0F41" w:rsidP="009E0F41">
      <w:pPr>
        <w:rPr>
          <w:rFonts w:cs="Arial"/>
        </w:rPr>
      </w:pPr>
      <w:r w:rsidRPr="00124637">
        <w:rPr>
          <w:rFonts w:cs="Arial"/>
        </w:rPr>
        <w:t xml:space="preserve">The ACMA developed the restack coverage assessment project (ReCAP) to support the restack implementation process. The project delivers evidence-based advice to the government on managing potential restack coverage and reception issues affecting communities, and provides inputs to public education/information campaigns. </w:t>
      </w:r>
      <w:r w:rsidR="00C87802" w:rsidRPr="00124637">
        <w:rPr>
          <w:rFonts w:cs="Arial"/>
        </w:rPr>
        <w:t>In addition to its restack focus, ReCAP helped DoC to support viewers experiencing reception difficulties prior to or following the switchover from analog to digital television.</w:t>
      </w:r>
    </w:p>
    <w:p w14:paraId="7A81891D" w14:textId="77777777" w:rsidR="009E0F41" w:rsidRPr="00124637" w:rsidRDefault="009E0F41" w:rsidP="009E0F41">
      <w:pPr>
        <w:rPr>
          <w:rFonts w:cs="Arial"/>
          <w:szCs w:val="20"/>
        </w:rPr>
      </w:pPr>
      <w:r w:rsidRPr="00124637">
        <w:rPr>
          <w:rFonts w:cs="Arial"/>
          <w:szCs w:val="20"/>
        </w:rPr>
        <w:t>The ReCAP was successfully completed in December 2014</w:t>
      </w:r>
      <w:r w:rsidR="001A7612" w:rsidRPr="00124637">
        <w:rPr>
          <w:rFonts w:cs="Arial"/>
          <w:szCs w:val="20"/>
        </w:rPr>
        <w:t>.</w:t>
      </w:r>
    </w:p>
    <w:p w14:paraId="56761019" w14:textId="77777777" w:rsidR="00EC2A1D" w:rsidRPr="00124637" w:rsidRDefault="009E0F41" w:rsidP="006B5F4B">
      <w:pPr>
        <w:rPr>
          <w:rFonts w:cs="Arial"/>
          <w:szCs w:val="20"/>
        </w:rPr>
      </w:pPr>
      <w:r w:rsidRPr="00124637">
        <w:rPr>
          <w:rFonts w:cs="Arial"/>
          <w:szCs w:val="20"/>
        </w:rPr>
        <w:t>With the retuning of television services across Australia</w:t>
      </w:r>
      <w:r w:rsidR="001A7612" w:rsidRPr="00124637">
        <w:rPr>
          <w:rFonts w:cs="Arial"/>
          <w:szCs w:val="20"/>
        </w:rPr>
        <w:t xml:space="preserve"> finalised</w:t>
      </w:r>
      <w:r w:rsidRPr="00124637">
        <w:rPr>
          <w:rFonts w:cs="Arial"/>
          <w:szCs w:val="20"/>
        </w:rPr>
        <w:t xml:space="preserve">, </w:t>
      </w:r>
      <w:r w:rsidR="001A7612" w:rsidRPr="00124637">
        <w:rPr>
          <w:rFonts w:cs="Arial"/>
          <w:szCs w:val="20"/>
        </w:rPr>
        <w:t>DoC’s</w:t>
      </w:r>
      <w:r w:rsidRPr="00124637">
        <w:rPr>
          <w:rFonts w:cs="Arial"/>
          <w:szCs w:val="20"/>
        </w:rPr>
        <w:t xml:space="preserve"> role in dealing with viewer reception issues has come to an end</w:t>
      </w:r>
      <w:r w:rsidR="001A7612" w:rsidRPr="00124637">
        <w:rPr>
          <w:rFonts w:cs="Arial"/>
          <w:szCs w:val="20"/>
        </w:rPr>
        <w:t>. T</w:t>
      </w:r>
      <w:r w:rsidRPr="00124637">
        <w:rPr>
          <w:rFonts w:cs="Arial"/>
          <w:szCs w:val="20"/>
        </w:rPr>
        <w:t>he ACMA is now the first port of call in government for viewer reception and interference problems.</w:t>
      </w:r>
    </w:p>
    <w:p w14:paraId="0A5484F3" w14:textId="77777777" w:rsidR="009D128B" w:rsidRPr="00124637" w:rsidRDefault="009D128B" w:rsidP="009D128B">
      <w:pPr>
        <w:pStyle w:val="Heading3"/>
      </w:pPr>
      <w:bookmarkStart w:id="77" w:name="_Toc433703280"/>
      <w:r w:rsidRPr="00124637">
        <w:t>Complaints under the conditional access scheme for satellite access to digital television</w:t>
      </w:r>
      <w:bookmarkEnd w:id="77"/>
    </w:p>
    <w:p w14:paraId="677D0709" w14:textId="77777777" w:rsidR="009D128B" w:rsidRPr="00124637" w:rsidRDefault="001A7612" w:rsidP="009D128B">
      <w:pPr>
        <w:rPr>
          <w:rFonts w:cs="Arial"/>
        </w:rPr>
      </w:pPr>
      <w:r w:rsidRPr="00124637">
        <w:rPr>
          <w:rFonts w:cs="Arial"/>
        </w:rPr>
        <w:t xml:space="preserve">The government’s Viewer Access Satellite Television (VAST) service is intended to provide an alternative reception option for individual households unable to receive adequate digital television services from existing terrestrial transmission sites. </w:t>
      </w:r>
      <w:r w:rsidR="00E82DB8" w:rsidRPr="00124637">
        <w:rPr>
          <w:rFonts w:cs="Arial"/>
        </w:rPr>
        <w:t>E</w:t>
      </w:r>
      <w:r w:rsidRPr="00124637">
        <w:rPr>
          <w:rFonts w:cs="Arial"/>
        </w:rPr>
        <w:t xml:space="preserve">ligibility for access to commercial services on VAST is provided for in conditional access schemes developed by industry and registered by the ACMA. </w:t>
      </w:r>
      <w:r w:rsidR="009D128B" w:rsidRPr="00124637">
        <w:rPr>
          <w:rFonts w:cs="Arial"/>
        </w:rPr>
        <w:t xml:space="preserve">Viewers who were refused access to VAST services by the scheme administrator can, under certain conditions, complain to the ACMA. The ACMA has the power to direct the scheme administrator to enable VAST access for viewers who cannot access terrestrial digital television services. </w:t>
      </w:r>
    </w:p>
    <w:p w14:paraId="4283DD47" w14:textId="77777777" w:rsidR="00AA25B3" w:rsidRPr="00124637" w:rsidRDefault="00AA25B3" w:rsidP="00AA25B3">
      <w:pPr>
        <w:rPr>
          <w:rFonts w:cs="Arial"/>
        </w:rPr>
      </w:pPr>
      <w:r w:rsidRPr="00124637">
        <w:rPr>
          <w:rFonts w:cs="Arial"/>
        </w:rPr>
        <w:t xml:space="preserve">The ACMA received 177 complaints between 1 July 2014 and 30 June 2015. In </w:t>
      </w:r>
      <w:r w:rsidRPr="00124637">
        <w:rPr>
          <w:rFonts w:cs="Arial"/>
        </w:rPr>
        <w:br/>
        <w:t>2014–15, the ACMA finalised the investigation of 119 complaints and issued 119 directions to the scheme administrator to grant VAST access to the complainants. At the end of the reporting period, 58 complaints were still under investigation.</w:t>
      </w:r>
    </w:p>
    <w:p w14:paraId="57CCD40B" w14:textId="77777777" w:rsidR="006744F6" w:rsidRPr="00124637" w:rsidRDefault="006744F6" w:rsidP="006744F6">
      <w:pPr>
        <w:pStyle w:val="Heading2"/>
      </w:pPr>
      <w:bookmarkStart w:id="78" w:name="_Toc433703281"/>
      <w:r w:rsidRPr="00124637">
        <w:t>Wireless microphones and the digital dividend</w:t>
      </w:r>
      <w:bookmarkEnd w:id="70"/>
      <w:bookmarkEnd w:id="78"/>
    </w:p>
    <w:p w14:paraId="67EF8F5F" w14:textId="77777777" w:rsidR="002D0BB0" w:rsidRPr="00124637" w:rsidRDefault="002D0BB0" w:rsidP="002D0BB0">
      <w:pPr>
        <w:rPr>
          <w:rFonts w:cs="Arial"/>
        </w:rPr>
      </w:pPr>
      <w:bookmarkStart w:id="79" w:name="_Toc419122256"/>
      <w:r w:rsidRPr="00124637">
        <w:rPr>
          <w:rFonts w:cs="Arial"/>
        </w:rPr>
        <w:t>As part of implementing the digital dividend</w:t>
      </w:r>
      <w:r w:rsidR="001A7612" w:rsidRPr="00124637">
        <w:rPr>
          <w:rFonts w:cs="Arial"/>
        </w:rPr>
        <w:t>,</w:t>
      </w:r>
      <w:r w:rsidRPr="00124637">
        <w:rPr>
          <w:rFonts w:cs="Arial"/>
        </w:rPr>
        <w:t xml:space="preserve"> wireless audio transmitters (wireless microphones) were required to cease operating in the frequency range 6</w:t>
      </w:r>
      <w:r w:rsidR="001A7612" w:rsidRPr="00124637">
        <w:rPr>
          <w:rFonts w:cs="Arial"/>
        </w:rPr>
        <w:t>94–</w:t>
      </w:r>
      <w:r w:rsidR="00C831B5" w:rsidRPr="00124637">
        <w:rPr>
          <w:rFonts w:cs="Arial"/>
        </w:rPr>
        <w:t>820 MHz by 1 January 2015.</w:t>
      </w:r>
    </w:p>
    <w:p w14:paraId="6C5C267F" w14:textId="77777777" w:rsidR="002D0BB0" w:rsidRPr="00124637" w:rsidRDefault="002D0BB0" w:rsidP="00E82DB8">
      <w:r w:rsidRPr="00124637">
        <w:rPr>
          <w:rFonts w:cs="Arial"/>
        </w:rPr>
        <w:t xml:space="preserve">As many community groups and businesses use wireless </w:t>
      </w:r>
      <w:r w:rsidR="001A7612" w:rsidRPr="00124637">
        <w:rPr>
          <w:rFonts w:cs="Arial"/>
        </w:rPr>
        <w:t>microphones</w:t>
      </w:r>
      <w:r w:rsidRPr="00124637">
        <w:rPr>
          <w:rFonts w:cs="Arial"/>
        </w:rPr>
        <w:t xml:space="preserve"> on a day-to-day basis, the ACMA implemented a range of awareness and outreach activities and resources to help users prepare for this change. </w:t>
      </w:r>
    </w:p>
    <w:p w14:paraId="263DC110" w14:textId="77777777" w:rsidR="009E0F41" w:rsidRPr="00124637" w:rsidRDefault="005B5627" w:rsidP="00D5718C">
      <w:pPr>
        <w:rPr>
          <w:rFonts w:cs="Calibri"/>
        </w:rPr>
      </w:pPr>
      <w:r w:rsidRPr="00124637">
        <w:rPr>
          <w:rFonts w:cs="Arial"/>
        </w:rPr>
        <w:t>F</w:t>
      </w:r>
      <w:r w:rsidR="002D0BB0" w:rsidRPr="00124637">
        <w:rPr>
          <w:rFonts w:cs="Arial"/>
        </w:rPr>
        <w:t>or</w:t>
      </w:r>
      <w:r w:rsidR="002D0BB0" w:rsidRPr="00124637">
        <w:t xml:space="preserve"> the </w:t>
      </w:r>
      <w:r w:rsidR="002D0BB0" w:rsidRPr="00124637">
        <w:rPr>
          <w:lang w:val="en"/>
        </w:rPr>
        <w:t>majority of wireless audio users</w:t>
      </w:r>
      <w:r w:rsidRPr="00124637">
        <w:rPr>
          <w:lang w:val="en"/>
        </w:rPr>
        <w:t>,</w:t>
      </w:r>
      <w:r w:rsidR="002D0BB0" w:rsidRPr="00124637">
        <w:rPr>
          <w:lang w:val="en"/>
        </w:rPr>
        <w:t xml:space="preserve"> operation is authorised under the Radiocommunications (Low Interference Potential Devices</w:t>
      </w:r>
      <w:r w:rsidRPr="00124637">
        <w:rPr>
          <w:lang w:val="en"/>
        </w:rPr>
        <w:t>)</w:t>
      </w:r>
      <w:r w:rsidR="002D0BB0" w:rsidRPr="00124637">
        <w:rPr>
          <w:lang w:val="en"/>
        </w:rPr>
        <w:t xml:space="preserve"> Class Licence</w:t>
      </w:r>
      <w:r w:rsidRPr="00124637">
        <w:rPr>
          <w:lang w:val="en"/>
        </w:rPr>
        <w:t>. However</w:t>
      </w:r>
      <w:r w:rsidR="002D0BB0" w:rsidRPr="00124637">
        <w:rPr>
          <w:lang w:val="en"/>
        </w:rPr>
        <w:t xml:space="preserve">, </w:t>
      </w:r>
      <w:r w:rsidR="002D0BB0" w:rsidRPr="00124637">
        <w:rPr>
          <w:rFonts w:cs="Calibri"/>
        </w:rPr>
        <w:t>to provide additional spectrum options</w:t>
      </w:r>
      <w:r w:rsidRPr="00124637">
        <w:rPr>
          <w:rFonts w:cs="Calibri"/>
        </w:rPr>
        <w:t>,</w:t>
      </w:r>
      <w:r w:rsidR="002D0BB0" w:rsidRPr="00124637">
        <w:rPr>
          <w:rFonts w:cs="Calibri"/>
        </w:rPr>
        <w:t xml:space="preserve"> the ACMA sought comment </w:t>
      </w:r>
      <w:r w:rsidRPr="00124637">
        <w:rPr>
          <w:rFonts w:cs="Calibri"/>
        </w:rPr>
        <w:t xml:space="preserve">in December 2014 </w:t>
      </w:r>
      <w:r w:rsidR="002D0BB0" w:rsidRPr="00124637">
        <w:rPr>
          <w:rFonts w:cs="Calibri"/>
        </w:rPr>
        <w:t>on</w:t>
      </w:r>
      <w:r w:rsidR="002D0BB0" w:rsidRPr="00124637">
        <w:rPr>
          <w:rFonts w:cs="Calibri"/>
          <w:lang w:val="en"/>
        </w:rPr>
        <w:t xml:space="preserve"> optional additional apparatus licence arrangements for user</w:t>
      </w:r>
      <w:r w:rsidR="00C831B5" w:rsidRPr="00124637">
        <w:rPr>
          <w:rFonts w:cs="Calibri"/>
          <w:lang w:val="en"/>
        </w:rPr>
        <w:t xml:space="preserve">s of wireless audio equipment. </w:t>
      </w:r>
      <w:r w:rsidR="002D0BB0" w:rsidRPr="00124637">
        <w:rPr>
          <w:rFonts w:cs="Calibri"/>
          <w:lang w:val="en"/>
        </w:rPr>
        <w:t xml:space="preserve">Following consideration of comments, finalised arrangements </w:t>
      </w:r>
      <w:r w:rsidR="00C831B5" w:rsidRPr="00124637">
        <w:rPr>
          <w:rFonts w:cs="Calibri"/>
          <w:lang w:val="en"/>
        </w:rPr>
        <w:t xml:space="preserve">were put in </w:t>
      </w:r>
      <w:r w:rsidR="00C831B5" w:rsidRPr="00124637">
        <w:rPr>
          <w:rFonts w:cs="Calibri"/>
          <w:lang w:val="en"/>
        </w:rPr>
        <w:lastRenderedPageBreak/>
        <w:t>place in February</w:t>
      </w:r>
      <w:r w:rsidRPr="00124637">
        <w:rPr>
          <w:rFonts w:cs="Calibri"/>
          <w:lang w:val="en"/>
        </w:rPr>
        <w:t xml:space="preserve"> 2015 for </w:t>
      </w:r>
      <w:r w:rsidR="002D0BB0" w:rsidRPr="00124637">
        <w:rPr>
          <w:rFonts w:cs="Calibri"/>
        </w:rPr>
        <w:t xml:space="preserve">the apparatus licensing of wireless </w:t>
      </w:r>
      <w:r w:rsidRPr="00124637">
        <w:rPr>
          <w:rFonts w:cs="Calibri"/>
        </w:rPr>
        <w:t>microphones—expected to</w:t>
      </w:r>
      <w:r w:rsidR="002D0BB0" w:rsidRPr="00124637">
        <w:rPr>
          <w:rFonts w:cs="Calibri"/>
        </w:rPr>
        <w:t xml:space="preserve"> be mostly </w:t>
      </w:r>
      <w:r w:rsidRPr="00124637">
        <w:rPr>
          <w:rFonts w:cs="Calibri"/>
        </w:rPr>
        <w:t>taken up</w:t>
      </w:r>
      <w:r w:rsidR="002D0BB0" w:rsidRPr="00124637">
        <w:rPr>
          <w:rFonts w:cs="Calibri"/>
        </w:rPr>
        <w:t xml:space="preserve"> for major events or by professional users.</w:t>
      </w:r>
    </w:p>
    <w:p w14:paraId="2A243E15" w14:textId="77777777" w:rsidR="009E0F41" w:rsidRPr="00124637" w:rsidRDefault="009E0F41" w:rsidP="009E0F41">
      <w:pPr>
        <w:pStyle w:val="Heading2"/>
      </w:pPr>
      <w:bookmarkStart w:id="80" w:name="_Toc433703282"/>
      <w:r w:rsidRPr="00124637">
        <w:t>Broadcast planning</w:t>
      </w:r>
      <w:bookmarkEnd w:id="80"/>
    </w:p>
    <w:p w14:paraId="4B6E791B" w14:textId="77777777" w:rsidR="009E0F41" w:rsidRPr="00124637" w:rsidRDefault="009E0F41" w:rsidP="009E0F41">
      <w:pPr>
        <w:spacing w:after="80"/>
      </w:pPr>
      <w:r w:rsidRPr="00124637">
        <w:t>In 2014–15, the ACMA:</w:t>
      </w:r>
    </w:p>
    <w:p w14:paraId="6828D39A" w14:textId="77777777" w:rsidR="009E0F41" w:rsidRPr="00124637" w:rsidRDefault="009E0F41" w:rsidP="009E0F41">
      <w:pPr>
        <w:pStyle w:val="ListBullet"/>
      </w:pPr>
      <w:r w:rsidRPr="00124637">
        <w:t>issued 19 transmitter licences for new national radio and television services</w:t>
      </w:r>
    </w:p>
    <w:p w14:paraId="014AB023" w14:textId="77777777" w:rsidR="009E0F41" w:rsidRPr="00124637" w:rsidRDefault="005B5627" w:rsidP="009E0F41">
      <w:pPr>
        <w:pStyle w:val="ListBullet"/>
      </w:pPr>
      <w:r w:rsidRPr="00124637">
        <w:t>issued five</w:t>
      </w:r>
      <w:r w:rsidR="009E0F41" w:rsidRPr="00124637">
        <w:t xml:space="preserve"> transmitter licences for new commercial radio and television services</w:t>
      </w:r>
    </w:p>
    <w:p w14:paraId="2953E57D" w14:textId="77777777" w:rsidR="009E0F41" w:rsidRPr="00124637" w:rsidRDefault="009E0F41" w:rsidP="009E0F41">
      <w:pPr>
        <w:pStyle w:val="ListBullet"/>
      </w:pPr>
      <w:r w:rsidRPr="00124637">
        <w:t>issued 406 new broadcasting retransmission licences</w:t>
      </w:r>
    </w:p>
    <w:p w14:paraId="1297BDC9" w14:textId="77777777" w:rsidR="009E0F41" w:rsidRPr="00124637" w:rsidRDefault="009E0F41" w:rsidP="009E0F41">
      <w:pPr>
        <w:pStyle w:val="ListBullet"/>
      </w:pPr>
      <w:r w:rsidRPr="00124637">
        <w:t>varied 718 radio and television apparatus licences</w:t>
      </w:r>
    </w:p>
    <w:p w14:paraId="62589109" w14:textId="77777777" w:rsidR="002D0BB0" w:rsidRPr="00124637" w:rsidRDefault="009E0F41" w:rsidP="00D5718C">
      <w:pPr>
        <w:pStyle w:val="ListBulletLast"/>
      </w:pPr>
      <w:r w:rsidRPr="00124637">
        <w:t>issued 131 special event broadcasting licences for radio and television services.</w:t>
      </w:r>
    </w:p>
    <w:p w14:paraId="7AC0F3A0" w14:textId="77777777" w:rsidR="00D02E85" w:rsidRPr="00124637" w:rsidRDefault="00D02E85" w:rsidP="009E0F41">
      <w:pPr>
        <w:pStyle w:val="Heading3"/>
      </w:pPr>
      <w:bookmarkStart w:id="81" w:name="_Toc419122294"/>
      <w:bookmarkStart w:id="82" w:name="_Toc433703283"/>
      <w:r w:rsidRPr="00124637">
        <w:t>Television licence area plans</w:t>
      </w:r>
      <w:bookmarkEnd w:id="81"/>
      <w:bookmarkEnd w:id="82"/>
    </w:p>
    <w:p w14:paraId="574F321E" w14:textId="77777777" w:rsidR="00D02E85" w:rsidRPr="00124637" w:rsidRDefault="00D02E85" w:rsidP="00D02E85">
      <w:pPr>
        <w:rPr>
          <w:rFonts w:cs="Arial"/>
        </w:rPr>
      </w:pPr>
      <w:r w:rsidRPr="00124637">
        <w:rPr>
          <w:rFonts w:cs="Arial"/>
        </w:rPr>
        <w:t>TLAPs are the long-term planning instruments for television broadcasting services, specifying and allotting channels to particular providers of television services</w:t>
      </w:r>
      <w:r w:rsidR="005B5627" w:rsidRPr="00124637">
        <w:rPr>
          <w:rFonts w:cs="Arial"/>
        </w:rPr>
        <w:t>,</w:t>
      </w:r>
      <w:r w:rsidRPr="00124637">
        <w:rPr>
          <w:rFonts w:cs="Arial"/>
        </w:rPr>
        <w:t xml:space="preserve"> and determining the characteristics, including technical specifications, of the broadcasting services that are to be available in particular parts of Australia with the use of those channels. TLAPs were also the primary instruments for managing the restack of digital television broadcasting services.</w:t>
      </w:r>
    </w:p>
    <w:p w14:paraId="14427F72" w14:textId="77777777" w:rsidR="00D02E85" w:rsidRPr="00124637" w:rsidRDefault="00D02E85" w:rsidP="00D02E85">
      <w:pPr>
        <w:rPr>
          <w:rFonts w:cs="Arial"/>
        </w:rPr>
      </w:pPr>
      <w:r w:rsidRPr="00124637">
        <w:rPr>
          <w:rFonts w:cs="Arial"/>
        </w:rPr>
        <w:t>During the reporting period, the ACMA completed four TLAP variations (see Table </w:t>
      </w:r>
      <w:r w:rsidR="00C14941" w:rsidRPr="00124637">
        <w:rPr>
          <w:rFonts w:cs="Arial"/>
        </w:rPr>
        <w:t>9</w:t>
      </w:r>
      <w:r w:rsidRPr="00124637">
        <w:rPr>
          <w:rFonts w:cs="Arial"/>
        </w:rPr>
        <w:t>).</w:t>
      </w:r>
    </w:p>
    <w:p w14:paraId="561FE405" w14:textId="77777777" w:rsidR="006A4DAE" w:rsidRPr="00124637" w:rsidRDefault="006A4DAE" w:rsidP="006A4DAE">
      <w:pPr>
        <w:pStyle w:val="Caption"/>
        <w:spacing w:after="120"/>
        <w:rPr>
          <w:color w:val="auto"/>
        </w:rPr>
      </w:pPr>
      <w:r w:rsidRPr="00124637">
        <w:rPr>
          <w:color w:val="auto"/>
        </w:rPr>
        <w:t>Variations to TLAPs</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769"/>
      </w:tblGrid>
      <w:tr w:rsidR="006A4DAE" w:rsidRPr="003A3898" w14:paraId="37B611C3" w14:textId="77777777" w:rsidTr="005B5627">
        <w:trPr>
          <w:cantSplit/>
          <w:trHeight w:val="315"/>
        </w:trPr>
        <w:tc>
          <w:tcPr>
            <w:tcW w:w="1838" w:type="dxa"/>
            <w:shd w:val="clear" w:color="auto" w:fill="404040" w:themeFill="text1" w:themeFillTint="BF"/>
            <w:tcMar>
              <w:top w:w="57" w:type="dxa"/>
              <w:left w:w="57" w:type="dxa"/>
              <w:bottom w:w="57" w:type="dxa"/>
              <w:right w:w="57" w:type="dxa"/>
            </w:tcMar>
            <w:vAlign w:val="center"/>
          </w:tcPr>
          <w:p w14:paraId="207B8915" w14:textId="77777777" w:rsidR="006A4DAE" w:rsidRPr="006A4DAE" w:rsidRDefault="006A4DAE" w:rsidP="00800C4D">
            <w:pPr>
              <w:pStyle w:val="TableHeading"/>
              <w:keepNext/>
              <w:keepLines/>
              <w:rPr>
                <w:rFonts w:cs="Arial"/>
                <w:color w:val="FFFFFF" w:themeColor="background1"/>
              </w:rPr>
            </w:pPr>
            <w:r w:rsidRPr="006A4DAE">
              <w:rPr>
                <w:rFonts w:cs="Arial"/>
                <w:color w:val="FFFFFF" w:themeColor="background1"/>
              </w:rPr>
              <w:t>Service area</w:t>
            </w:r>
          </w:p>
        </w:tc>
        <w:tc>
          <w:tcPr>
            <w:tcW w:w="7769" w:type="dxa"/>
            <w:shd w:val="clear" w:color="auto" w:fill="404040" w:themeFill="text1" w:themeFillTint="BF"/>
            <w:tcMar>
              <w:top w:w="57" w:type="dxa"/>
              <w:left w:w="57" w:type="dxa"/>
              <w:bottom w:w="57" w:type="dxa"/>
              <w:right w:w="57" w:type="dxa"/>
            </w:tcMar>
            <w:vAlign w:val="center"/>
          </w:tcPr>
          <w:p w14:paraId="3E46A85F" w14:textId="77777777" w:rsidR="006A4DAE" w:rsidRPr="006A4DAE" w:rsidRDefault="006A4DAE" w:rsidP="00800C4D">
            <w:pPr>
              <w:pStyle w:val="TableHeading"/>
              <w:keepNext/>
              <w:keepLines/>
              <w:rPr>
                <w:rFonts w:cs="Arial"/>
                <w:color w:val="FFFFFF" w:themeColor="background1"/>
              </w:rPr>
            </w:pPr>
            <w:r w:rsidRPr="006A4DAE">
              <w:rPr>
                <w:rFonts w:cs="Arial"/>
                <w:color w:val="FFFFFF" w:themeColor="background1"/>
              </w:rPr>
              <w:t>Purpose of variation</w:t>
            </w:r>
          </w:p>
        </w:tc>
      </w:tr>
      <w:tr w:rsidR="00124637" w:rsidRPr="00124637" w14:paraId="468B814B" w14:textId="77777777" w:rsidTr="005B5627">
        <w:trPr>
          <w:cantSplit/>
        </w:trPr>
        <w:tc>
          <w:tcPr>
            <w:tcW w:w="1838" w:type="dxa"/>
            <w:tcMar>
              <w:top w:w="57" w:type="dxa"/>
              <w:left w:w="57" w:type="dxa"/>
              <w:bottom w:w="57" w:type="dxa"/>
              <w:right w:w="57" w:type="dxa"/>
            </w:tcMar>
            <w:vAlign w:val="center"/>
          </w:tcPr>
          <w:p w14:paraId="5ED44A18" w14:textId="77777777" w:rsidR="006A4DAE" w:rsidRPr="00124637" w:rsidRDefault="006A4DAE" w:rsidP="00800C4D">
            <w:pPr>
              <w:pStyle w:val="TableBody"/>
            </w:pPr>
            <w:r w:rsidRPr="00124637">
              <w:t>Brisbane—</w:t>
            </w:r>
            <w:r w:rsidRPr="00124637">
              <w:br/>
              <w:t>December 2014</w:t>
            </w:r>
          </w:p>
        </w:tc>
        <w:tc>
          <w:tcPr>
            <w:tcW w:w="7769" w:type="dxa"/>
            <w:tcMar>
              <w:top w:w="57" w:type="dxa"/>
              <w:left w:w="57" w:type="dxa"/>
              <w:bottom w:w="57" w:type="dxa"/>
              <w:right w:w="57" w:type="dxa"/>
            </w:tcMar>
            <w:vAlign w:val="center"/>
          </w:tcPr>
          <w:p w14:paraId="112B55E9" w14:textId="77777777" w:rsidR="006A4DAE" w:rsidRPr="00124637" w:rsidRDefault="006A4DAE" w:rsidP="005B5627">
            <w:pPr>
              <w:pStyle w:val="TableBody"/>
            </w:pPr>
            <w:r w:rsidRPr="00124637">
              <w:t>To extend the channel allotment end date for the Brisbane community television service contained in the TLAP from 31 December 2014 to 31 December 2015, remove obsolete channel allotments and insert missing census definition data into the Brisbane TV1 licence area.</w:t>
            </w:r>
          </w:p>
        </w:tc>
      </w:tr>
      <w:tr w:rsidR="00124637" w:rsidRPr="00124637" w14:paraId="4C69053C" w14:textId="77777777" w:rsidTr="005B5627">
        <w:trPr>
          <w:cantSplit/>
        </w:trPr>
        <w:tc>
          <w:tcPr>
            <w:tcW w:w="1838" w:type="dxa"/>
            <w:tcMar>
              <w:top w:w="57" w:type="dxa"/>
              <w:left w:w="57" w:type="dxa"/>
              <w:bottom w:w="57" w:type="dxa"/>
              <w:right w:w="57" w:type="dxa"/>
            </w:tcMar>
            <w:vAlign w:val="center"/>
          </w:tcPr>
          <w:p w14:paraId="70EBF62E" w14:textId="77777777" w:rsidR="006A4DAE" w:rsidRPr="00124637" w:rsidRDefault="006A4DAE" w:rsidP="00800C4D">
            <w:pPr>
              <w:pStyle w:val="TableBody"/>
            </w:pPr>
            <w:r w:rsidRPr="00124637">
              <w:t>Melbourne—</w:t>
            </w:r>
            <w:r w:rsidRPr="00124637">
              <w:br/>
              <w:t>December 2014</w:t>
            </w:r>
          </w:p>
        </w:tc>
        <w:tc>
          <w:tcPr>
            <w:tcW w:w="7769" w:type="dxa"/>
            <w:tcMar>
              <w:top w:w="57" w:type="dxa"/>
              <w:left w:w="57" w:type="dxa"/>
              <w:bottom w:w="57" w:type="dxa"/>
              <w:right w:w="57" w:type="dxa"/>
            </w:tcMar>
            <w:vAlign w:val="center"/>
          </w:tcPr>
          <w:p w14:paraId="27503E0B" w14:textId="77777777" w:rsidR="006A4DAE" w:rsidRPr="00124637" w:rsidRDefault="006A4DAE" w:rsidP="005B5627">
            <w:pPr>
              <w:pStyle w:val="TableBody"/>
            </w:pPr>
            <w:r w:rsidRPr="00124637">
              <w:t>To extend the channel allotment end date for the Melbourne community television service contained in the TLAP from 31 December 2014 to 31 December 2015 and remove obsolete channel allotments.</w:t>
            </w:r>
          </w:p>
        </w:tc>
      </w:tr>
      <w:tr w:rsidR="00124637" w:rsidRPr="00124637" w14:paraId="1DC9073C" w14:textId="77777777" w:rsidTr="005B5627">
        <w:trPr>
          <w:cantSplit/>
        </w:trPr>
        <w:tc>
          <w:tcPr>
            <w:tcW w:w="1838" w:type="dxa"/>
            <w:tcMar>
              <w:top w:w="57" w:type="dxa"/>
              <w:left w:w="57" w:type="dxa"/>
              <w:bottom w:w="57" w:type="dxa"/>
              <w:right w:w="57" w:type="dxa"/>
            </w:tcMar>
            <w:vAlign w:val="center"/>
          </w:tcPr>
          <w:p w14:paraId="73FAB572" w14:textId="77777777" w:rsidR="006A4DAE" w:rsidRPr="00124637" w:rsidRDefault="006A4DAE" w:rsidP="00800C4D">
            <w:pPr>
              <w:pStyle w:val="TableBody"/>
            </w:pPr>
            <w:r w:rsidRPr="00124637">
              <w:t>Sydney—</w:t>
            </w:r>
            <w:r w:rsidRPr="00124637">
              <w:br/>
              <w:t>December 2014</w:t>
            </w:r>
          </w:p>
        </w:tc>
        <w:tc>
          <w:tcPr>
            <w:tcW w:w="7769" w:type="dxa"/>
            <w:tcMar>
              <w:top w:w="57" w:type="dxa"/>
              <w:left w:w="57" w:type="dxa"/>
              <w:bottom w:w="57" w:type="dxa"/>
              <w:right w:w="57" w:type="dxa"/>
            </w:tcMar>
            <w:vAlign w:val="center"/>
          </w:tcPr>
          <w:p w14:paraId="740FD0C5" w14:textId="77777777" w:rsidR="006A4DAE" w:rsidRPr="00124637" w:rsidRDefault="006A4DAE" w:rsidP="005B5627">
            <w:pPr>
              <w:pStyle w:val="TableBody"/>
            </w:pPr>
            <w:r w:rsidRPr="00124637">
              <w:t>To extend the channel allotment end date for the Sydney community television service contained in the TLAP from 31 December 2014 to 31 December 2015 and remove obsolete channel allotments.</w:t>
            </w:r>
          </w:p>
        </w:tc>
      </w:tr>
      <w:tr w:rsidR="00124637" w:rsidRPr="00124637" w14:paraId="1FED3301" w14:textId="77777777" w:rsidTr="005B5627">
        <w:trPr>
          <w:cantSplit/>
        </w:trPr>
        <w:tc>
          <w:tcPr>
            <w:tcW w:w="1838" w:type="dxa"/>
            <w:tcMar>
              <w:top w:w="57" w:type="dxa"/>
              <w:left w:w="57" w:type="dxa"/>
              <w:bottom w:w="57" w:type="dxa"/>
              <w:right w:w="57" w:type="dxa"/>
            </w:tcMar>
            <w:vAlign w:val="center"/>
          </w:tcPr>
          <w:p w14:paraId="44275167" w14:textId="77777777" w:rsidR="006A4DAE" w:rsidRPr="00124637" w:rsidRDefault="006A4DAE" w:rsidP="00800C4D">
            <w:pPr>
              <w:pStyle w:val="TableBody"/>
            </w:pPr>
            <w:r w:rsidRPr="00124637">
              <w:t>Regional Victoria—December 2014</w:t>
            </w:r>
          </w:p>
        </w:tc>
        <w:tc>
          <w:tcPr>
            <w:tcW w:w="7769" w:type="dxa"/>
            <w:tcMar>
              <w:top w:w="57" w:type="dxa"/>
              <w:left w:w="57" w:type="dxa"/>
              <w:bottom w:w="57" w:type="dxa"/>
              <w:right w:w="57" w:type="dxa"/>
            </w:tcMar>
            <w:vAlign w:val="center"/>
          </w:tcPr>
          <w:p w14:paraId="336AB6A2" w14:textId="77777777" w:rsidR="006A4DAE" w:rsidRPr="00124637" w:rsidRDefault="006A4DAE" w:rsidP="00800C4D">
            <w:pPr>
              <w:pStyle w:val="TableBody"/>
            </w:pPr>
            <w:r w:rsidRPr="00124637">
              <w:t>To amend the post-restack channel allotments for the Walwa/Jingellic area and Hunters Knob and insert the description of a previously omitted licence area into the TLAP.</w:t>
            </w:r>
          </w:p>
        </w:tc>
      </w:tr>
    </w:tbl>
    <w:p w14:paraId="69CA7225" w14:textId="77777777" w:rsidR="00D02E85" w:rsidRPr="00124637" w:rsidRDefault="00D02E85" w:rsidP="006A4DAE">
      <w:pPr>
        <w:pStyle w:val="Heading3"/>
        <w:spacing w:before="240"/>
      </w:pPr>
      <w:bookmarkStart w:id="83" w:name="_Toc419122295"/>
      <w:bookmarkStart w:id="84" w:name="_Toc433703284"/>
      <w:r w:rsidRPr="00124637">
        <w:lastRenderedPageBreak/>
        <w:t>Radio licence area plan variations</w:t>
      </w:r>
      <w:bookmarkEnd w:id="83"/>
      <w:bookmarkEnd w:id="84"/>
    </w:p>
    <w:p w14:paraId="1689EBE8" w14:textId="77777777" w:rsidR="00D02E85" w:rsidRPr="00124637" w:rsidRDefault="00D02E85" w:rsidP="001B10DF">
      <w:pPr>
        <w:keepNext/>
        <w:rPr>
          <w:rFonts w:cs="Arial"/>
        </w:rPr>
      </w:pPr>
      <w:r w:rsidRPr="00124637">
        <w:rPr>
          <w:rFonts w:cs="Arial"/>
        </w:rPr>
        <w:t xml:space="preserve">Radio licence area plans (LAPs) are the planning instrument for radio services in Australia. </w:t>
      </w:r>
    </w:p>
    <w:p w14:paraId="442BDD6D" w14:textId="77777777" w:rsidR="00D02E85" w:rsidRPr="00124637" w:rsidRDefault="00D02E85" w:rsidP="001B10DF">
      <w:pPr>
        <w:keepNext/>
        <w:rPr>
          <w:rFonts w:cs="Arial"/>
        </w:rPr>
      </w:pPr>
      <w:r w:rsidRPr="00124637">
        <w:rPr>
          <w:rFonts w:cs="Arial"/>
        </w:rPr>
        <w:t>Over the reporting period, the ACMA completed six varia</w:t>
      </w:r>
      <w:r w:rsidR="005B5627" w:rsidRPr="00124637">
        <w:rPr>
          <w:rFonts w:cs="Arial"/>
        </w:rPr>
        <w:t>tions to radio LAPs (see Table </w:t>
      </w:r>
      <w:r w:rsidR="00C14941" w:rsidRPr="00124637">
        <w:rPr>
          <w:rFonts w:cs="Arial"/>
        </w:rPr>
        <w:t>10</w:t>
      </w:r>
      <w:r w:rsidRPr="00124637">
        <w:rPr>
          <w:rFonts w:cs="Arial"/>
        </w:rPr>
        <w:t>).</w:t>
      </w:r>
    </w:p>
    <w:p w14:paraId="61DA76A3" w14:textId="77777777" w:rsidR="006A4DAE" w:rsidRPr="00124637" w:rsidRDefault="006A4DAE" w:rsidP="000A0855">
      <w:pPr>
        <w:pStyle w:val="Caption"/>
        <w:keepNext/>
        <w:spacing w:after="120"/>
        <w:rPr>
          <w:color w:val="auto"/>
        </w:rPr>
      </w:pPr>
      <w:r w:rsidRPr="00124637">
        <w:rPr>
          <w:color w:val="auto"/>
        </w:rPr>
        <w:t>Variations to LAPs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7654"/>
      </w:tblGrid>
      <w:tr w:rsidR="006A4DAE" w:rsidRPr="003A3898" w14:paraId="22B190EC" w14:textId="77777777" w:rsidTr="00800C4D">
        <w:trPr>
          <w:cantSplit/>
        </w:trPr>
        <w:tc>
          <w:tcPr>
            <w:tcW w:w="1811" w:type="dxa"/>
            <w:shd w:val="clear" w:color="auto" w:fill="404040" w:themeFill="text1" w:themeFillTint="BF"/>
            <w:tcMar>
              <w:top w:w="57" w:type="dxa"/>
              <w:left w:w="57" w:type="dxa"/>
              <w:bottom w:w="57" w:type="dxa"/>
              <w:right w:w="57" w:type="dxa"/>
            </w:tcMar>
          </w:tcPr>
          <w:p w14:paraId="15063577" w14:textId="77777777" w:rsidR="006A4DAE" w:rsidRPr="006A4DAE" w:rsidRDefault="006A4DAE" w:rsidP="00800C4D">
            <w:pPr>
              <w:pStyle w:val="TableHeading"/>
              <w:keepNext/>
              <w:keepLines/>
              <w:rPr>
                <w:rFonts w:cs="Arial"/>
                <w:color w:val="FFFFFF" w:themeColor="background1"/>
              </w:rPr>
            </w:pPr>
            <w:r w:rsidRPr="006A4DAE">
              <w:rPr>
                <w:rFonts w:cs="Arial"/>
                <w:color w:val="FFFFFF" w:themeColor="background1"/>
              </w:rPr>
              <w:t>Service area</w:t>
            </w:r>
          </w:p>
        </w:tc>
        <w:tc>
          <w:tcPr>
            <w:tcW w:w="7654" w:type="dxa"/>
            <w:shd w:val="clear" w:color="auto" w:fill="404040" w:themeFill="text1" w:themeFillTint="BF"/>
            <w:tcMar>
              <w:top w:w="57" w:type="dxa"/>
              <w:left w:w="57" w:type="dxa"/>
              <w:bottom w:w="57" w:type="dxa"/>
              <w:right w:w="57" w:type="dxa"/>
            </w:tcMar>
          </w:tcPr>
          <w:p w14:paraId="2A3DDF70" w14:textId="77777777" w:rsidR="006A4DAE" w:rsidRPr="006A4DAE" w:rsidRDefault="006A4DAE" w:rsidP="00800C4D">
            <w:pPr>
              <w:pStyle w:val="TableHeading"/>
              <w:keepNext/>
              <w:keepLines/>
              <w:rPr>
                <w:rFonts w:cs="Arial"/>
                <w:color w:val="FFFFFF" w:themeColor="background1"/>
              </w:rPr>
            </w:pPr>
            <w:r w:rsidRPr="006A4DAE">
              <w:rPr>
                <w:rFonts w:cs="Arial"/>
                <w:color w:val="FFFFFF" w:themeColor="background1"/>
              </w:rPr>
              <w:t>Purpose of variation</w:t>
            </w:r>
          </w:p>
        </w:tc>
      </w:tr>
      <w:tr w:rsidR="006A4DAE" w:rsidRPr="003A3898" w14:paraId="4540A8C7" w14:textId="77777777" w:rsidTr="00800C4D">
        <w:trPr>
          <w:cantSplit/>
        </w:trPr>
        <w:tc>
          <w:tcPr>
            <w:tcW w:w="1811" w:type="dxa"/>
            <w:tcMar>
              <w:top w:w="57" w:type="dxa"/>
              <w:left w:w="57" w:type="dxa"/>
              <w:bottom w:w="57" w:type="dxa"/>
              <w:right w:w="57" w:type="dxa"/>
            </w:tcMar>
          </w:tcPr>
          <w:p w14:paraId="11118148" w14:textId="77777777" w:rsidR="006A4DAE" w:rsidRPr="00124637" w:rsidRDefault="006A4DAE" w:rsidP="00800C4D">
            <w:pPr>
              <w:pStyle w:val="TableBody"/>
            </w:pPr>
            <w:r w:rsidRPr="00124637">
              <w:t>Remote</w:t>
            </w:r>
            <w:r w:rsidR="00C831B5" w:rsidRPr="00124637">
              <w:t xml:space="preserve"> Central and Eastern Australia </w:t>
            </w:r>
            <w:r w:rsidRPr="00124637">
              <w:t>(Radio)—</w:t>
            </w:r>
            <w:r w:rsidRPr="00124637">
              <w:br/>
              <w:t>June 2015</w:t>
            </w:r>
          </w:p>
        </w:tc>
        <w:tc>
          <w:tcPr>
            <w:tcW w:w="7654" w:type="dxa"/>
            <w:tcMar>
              <w:top w:w="57" w:type="dxa"/>
              <w:left w:w="57" w:type="dxa"/>
              <w:bottom w:w="57" w:type="dxa"/>
              <w:right w:w="57" w:type="dxa"/>
            </w:tcMar>
          </w:tcPr>
          <w:p w14:paraId="67996EEF" w14:textId="77777777" w:rsidR="006A4DAE" w:rsidRPr="00124637" w:rsidRDefault="006A4DAE" w:rsidP="006A4DAE">
            <w:pPr>
              <w:pStyle w:val="TableBody"/>
              <w:spacing w:after="80"/>
            </w:pPr>
            <w:r w:rsidRPr="00124637">
              <w:t>To make channel capacity available for addit</w:t>
            </w:r>
            <w:r w:rsidR="005B5627" w:rsidRPr="00124637">
              <w:t>ional transmitters</w:t>
            </w:r>
            <w:r w:rsidRPr="00124637">
              <w:t xml:space="preserve"> or amend existing technical specifications for the following commercial radio broadcasting services: </w:t>
            </w:r>
          </w:p>
          <w:p w14:paraId="0441C77B" w14:textId="77777777" w:rsidR="006A4DAE" w:rsidRPr="00124637" w:rsidRDefault="006A4DAE" w:rsidP="006A4DAE">
            <w:pPr>
              <w:pStyle w:val="ListBullet"/>
            </w:pPr>
            <w:r w:rsidRPr="00124637">
              <w:t>8SAT at Apollo Bay, Beech Forrest, Meringur, Marysville, Powelltown, Speed, Bunnaloo, Urana, Hallett, Kapunda East, Keith, Kingscote, Leigh Creek, Penong and Wilmington</w:t>
            </w:r>
          </w:p>
          <w:p w14:paraId="6A8E6870" w14:textId="77777777" w:rsidR="006A4DAE" w:rsidRPr="00124637" w:rsidRDefault="006A4DAE" w:rsidP="006A4DAE">
            <w:pPr>
              <w:pStyle w:val="ListBullet"/>
            </w:pPr>
            <w:r w:rsidRPr="00124637">
              <w:t>4BRL at Coolah, Karumba, Kilcoy, Tara and Thursday Island</w:t>
            </w:r>
          </w:p>
          <w:p w14:paraId="744977B6" w14:textId="77777777" w:rsidR="006A4DAE" w:rsidRPr="00124637" w:rsidRDefault="006A4DAE" w:rsidP="005B5627">
            <w:pPr>
              <w:pStyle w:val="ListBulletLast"/>
              <w:spacing w:after="120"/>
            </w:pPr>
            <w:r w:rsidRPr="00124637">
              <w:t>4BRZ at Karumba, Kilcoy, Stanthorpe, Tara and Thursday Island.</w:t>
            </w:r>
          </w:p>
          <w:p w14:paraId="418277F4" w14:textId="77777777" w:rsidR="006A4DAE" w:rsidRPr="00124637" w:rsidRDefault="006A4DAE" w:rsidP="00A11AA9">
            <w:pPr>
              <w:pStyle w:val="TableBody"/>
            </w:pPr>
            <w:r w:rsidRPr="00124637">
              <w:rPr>
                <w:szCs w:val="20"/>
              </w:rPr>
              <w:t xml:space="preserve">The variation also </w:t>
            </w:r>
            <w:r w:rsidRPr="00124637">
              <w:rPr>
                <w:rFonts w:cs="Arial"/>
                <w:snapToGrid w:val="0"/>
                <w:szCs w:val="20"/>
              </w:rPr>
              <w:t xml:space="preserve">amends the </w:t>
            </w:r>
            <w:r w:rsidRPr="00124637">
              <w:rPr>
                <w:szCs w:val="20"/>
              </w:rPr>
              <w:t>Remote Commercial Radio North East Zone RA1 licence area to rectify a previous administration error with the census definition data. The amendment removes two census districts that were ina</w:t>
            </w:r>
            <w:r w:rsidR="00A11AA9" w:rsidRPr="00124637">
              <w:rPr>
                <w:szCs w:val="20"/>
              </w:rPr>
              <w:t>dvertently included and re</w:t>
            </w:r>
            <w:r w:rsidRPr="00124637">
              <w:rPr>
                <w:szCs w:val="20"/>
              </w:rPr>
              <w:t xml:space="preserve">inserts a missing census district from the licence area. </w:t>
            </w:r>
          </w:p>
        </w:tc>
      </w:tr>
      <w:tr w:rsidR="006A4DAE" w:rsidRPr="003A3898" w14:paraId="6B3757EC" w14:textId="77777777" w:rsidTr="00800C4D">
        <w:trPr>
          <w:cantSplit/>
        </w:trPr>
        <w:tc>
          <w:tcPr>
            <w:tcW w:w="1811" w:type="dxa"/>
            <w:tcMar>
              <w:top w:w="57" w:type="dxa"/>
              <w:left w:w="57" w:type="dxa"/>
              <w:bottom w:w="57" w:type="dxa"/>
              <w:right w:w="57" w:type="dxa"/>
            </w:tcMar>
          </w:tcPr>
          <w:p w14:paraId="5C97ABAA" w14:textId="77777777" w:rsidR="006A4DAE" w:rsidRPr="00124637" w:rsidRDefault="006A4DAE" w:rsidP="00800C4D">
            <w:pPr>
              <w:pStyle w:val="TableBody"/>
            </w:pPr>
            <w:r w:rsidRPr="00124637">
              <w:t>Goulburn (Radio)—</w:t>
            </w:r>
            <w:r w:rsidRPr="00124637">
              <w:br/>
              <w:t>January 2015</w:t>
            </w:r>
          </w:p>
        </w:tc>
        <w:tc>
          <w:tcPr>
            <w:tcW w:w="7654" w:type="dxa"/>
            <w:tcMar>
              <w:top w:w="57" w:type="dxa"/>
              <w:left w:w="57" w:type="dxa"/>
              <w:bottom w:w="57" w:type="dxa"/>
              <w:right w:w="57" w:type="dxa"/>
            </w:tcMar>
          </w:tcPr>
          <w:p w14:paraId="41A17CA3" w14:textId="77777777" w:rsidR="006A4DAE" w:rsidRPr="00124637" w:rsidRDefault="006A4DAE" w:rsidP="00A11AA9">
            <w:pPr>
              <w:pStyle w:val="TableBody"/>
            </w:pPr>
            <w:r w:rsidRPr="00124637">
              <w:t>To vary the technical specifications of the existing community radio broadcasting service 2GCR at Goulburn to increase the maximum effective radiated power to 2000</w:t>
            </w:r>
            <w:r w:rsidR="00A11AA9" w:rsidRPr="00124637">
              <w:t> watts and antenna height to 20 met</w:t>
            </w:r>
            <w:r w:rsidRPr="00124637">
              <w:t>r</w:t>
            </w:r>
            <w:r w:rsidR="00A11AA9" w:rsidRPr="00124637">
              <w:t>e</w:t>
            </w:r>
            <w:r w:rsidRPr="00124637">
              <w:t>s</w:t>
            </w:r>
            <w:r w:rsidR="00A11AA9" w:rsidRPr="00124637">
              <w:t>,</w:t>
            </w:r>
            <w:r w:rsidRPr="00124637">
              <w:t xml:space="preserve"> and reflect </w:t>
            </w:r>
            <w:r w:rsidR="000A0855" w:rsidRPr="00124637">
              <w:t xml:space="preserve">the service’s </w:t>
            </w:r>
            <w:r w:rsidRPr="00124637">
              <w:t>actual transmission site. The variation also expanded the Goulburn RA2 licence area for 2GCR and updated the description of the existing commercial and community radio licence areas in the Goulburn LAP to 2006 census data.</w:t>
            </w:r>
          </w:p>
        </w:tc>
      </w:tr>
      <w:tr w:rsidR="006A4DAE" w:rsidRPr="003A3898" w14:paraId="1A1207ED" w14:textId="77777777" w:rsidTr="00800C4D">
        <w:trPr>
          <w:cantSplit/>
        </w:trPr>
        <w:tc>
          <w:tcPr>
            <w:tcW w:w="1811" w:type="dxa"/>
            <w:tcMar>
              <w:top w:w="57" w:type="dxa"/>
              <w:left w:w="57" w:type="dxa"/>
              <w:bottom w:w="57" w:type="dxa"/>
              <w:right w:w="57" w:type="dxa"/>
            </w:tcMar>
          </w:tcPr>
          <w:p w14:paraId="4534E95A" w14:textId="77777777" w:rsidR="006A4DAE" w:rsidRPr="00124637" w:rsidRDefault="006A4DAE" w:rsidP="00800C4D">
            <w:pPr>
              <w:pStyle w:val="TableBody"/>
            </w:pPr>
            <w:r w:rsidRPr="00124637">
              <w:t>Hamilton (Radio)—</w:t>
            </w:r>
            <w:r w:rsidRPr="00124637">
              <w:br/>
              <w:t>December 2014</w:t>
            </w:r>
          </w:p>
        </w:tc>
        <w:tc>
          <w:tcPr>
            <w:tcW w:w="7654" w:type="dxa"/>
            <w:tcMar>
              <w:top w:w="57" w:type="dxa"/>
              <w:left w:w="57" w:type="dxa"/>
              <w:bottom w:w="57" w:type="dxa"/>
              <w:right w:w="57" w:type="dxa"/>
            </w:tcMar>
          </w:tcPr>
          <w:p w14:paraId="19E8FBD6" w14:textId="77777777" w:rsidR="006A4DAE" w:rsidRPr="00124637" w:rsidRDefault="006A4DAE" w:rsidP="00800C4D">
            <w:pPr>
              <w:pStyle w:val="TableBody"/>
            </w:pPr>
            <w:r w:rsidRPr="00124637">
              <w:t>To make channel capacity available for an additional transmitter for the Hamilton commercial radio broadcasting service 3HA at Portland</w:t>
            </w:r>
            <w:r w:rsidRPr="00124637" w:rsidDel="001A265B">
              <w:t xml:space="preserve"> </w:t>
            </w:r>
            <w:r w:rsidRPr="00124637">
              <w:t>and update the description of the existing commercial and community radio licence areas in the Hamilton LAP to 2006 census data.</w:t>
            </w:r>
          </w:p>
        </w:tc>
      </w:tr>
      <w:tr w:rsidR="006A4DAE" w:rsidRPr="003A3898" w14:paraId="2CE12606" w14:textId="77777777" w:rsidTr="00800C4D">
        <w:trPr>
          <w:cantSplit/>
        </w:trPr>
        <w:tc>
          <w:tcPr>
            <w:tcW w:w="1811" w:type="dxa"/>
            <w:tcMar>
              <w:top w:w="57" w:type="dxa"/>
              <w:left w:w="57" w:type="dxa"/>
              <w:bottom w:w="57" w:type="dxa"/>
              <w:right w:w="57" w:type="dxa"/>
            </w:tcMar>
          </w:tcPr>
          <w:p w14:paraId="40C6D801" w14:textId="77777777" w:rsidR="006A4DAE" w:rsidRPr="00124637" w:rsidRDefault="00C831B5" w:rsidP="00800C4D">
            <w:pPr>
              <w:pStyle w:val="TableBody"/>
            </w:pPr>
            <w:r w:rsidRPr="00124637">
              <w:t xml:space="preserve">Kempsey </w:t>
            </w:r>
            <w:r w:rsidR="006A4DAE" w:rsidRPr="00124637">
              <w:t>(Radio)—</w:t>
            </w:r>
            <w:r w:rsidR="006A4DAE" w:rsidRPr="00124637">
              <w:br/>
              <w:t>December 2014</w:t>
            </w:r>
          </w:p>
        </w:tc>
        <w:tc>
          <w:tcPr>
            <w:tcW w:w="7654" w:type="dxa"/>
            <w:tcMar>
              <w:top w:w="57" w:type="dxa"/>
              <w:left w:w="57" w:type="dxa"/>
              <w:bottom w:w="57" w:type="dxa"/>
              <w:right w:w="57" w:type="dxa"/>
            </w:tcMar>
          </w:tcPr>
          <w:p w14:paraId="27596E17" w14:textId="77777777" w:rsidR="006A4DAE" w:rsidRPr="00124637" w:rsidRDefault="006A4DAE" w:rsidP="00A11AA9">
            <w:pPr>
              <w:pStyle w:val="TableBody"/>
            </w:pPr>
            <w:r w:rsidRPr="00124637">
              <w:t>To make channel capacity available at North Haven for additional transmitters for the Kempsey commercial radio broadcasting service 2PQQ</w:t>
            </w:r>
            <w:r w:rsidRPr="00124637" w:rsidDel="005E7C85">
              <w:t xml:space="preserve"> </w:t>
            </w:r>
            <w:r w:rsidRPr="00124637">
              <w:t>and the Port Macquarie community radio broadcasting service 2WAY. The variation also updated the description of the existing commercial and community radio licence areas in the Kempsey LAP to 2006 census data.</w:t>
            </w:r>
          </w:p>
        </w:tc>
      </w:tr>
      <w:tr w:rsidR="006A4DAE" w:rsidRPr="003A3898" w14:paraId="416ACA56" w14:textId="77777777" w:rsidTr="00800C4D">
        <w:trPr>
          <w:cantSplit/>
        </w:trPr>
        <w:tc>
          <w:tcPr>
            <w:tcW w:w="1811" w:type="dxa"/>
            <w:tcMar>
              <w:top w:w="57" w:type="dxa"/>
              <w:left w:w="57" w:type="dxa"/>
              <w:bottom w:w="57" w:type="dxa"/>
              <w:right w:w="57" w:type="dxa"/>
            </w:tcMar>
          </w:tcPr>
          <w:p w14:paraId="547C7A76" w14:textId="77777777" w:rsidR="006A4DAE" w:rsidRPr="00124637" w:rsidRDefault="00C831B5" w:rsidP="00800C4D">
            <w:pPr>
              <w:pStyle w:val="TableBody"/>
            </w:pPr>
            <w:r w:rsidRPr="00124637">
              <w:t xml:space="preserve">Riverland </w:t>
            </w:r>
            <w:r w:rsidR="006A4DAE" w:rsidRPr="00124637">
              <w:t>(Television &amp; Radio)—December 2014</w:t>
            </w:r>
          </w:p>
        </w:tc>
        <w:tc>
          <w:tcPr>
            <w:tcW w:w="7654" w:type="dxa"/>
            <w:tcMar>
              <w:top w:w="57" w:type="dxa"/>
              <w:left w:w="57" w:type="dxa"/>
              <w:bottom w:w="57" w:type="dxa"/>
              <w:right w:w="57" w:type="dxa"/>
            </w:tcMar>
          </w:tcPr>
          <w:p w14:paraId="4672E93E" w14:textId="77777777" w:rsidR="006A4DAE" w:rsidRPr="00124637" w:rsidRDefault="006A4DAE" w:rsidP="00800C4D">
            <w:pPr>
              <w:pStyle w:val="TableBody"/>
            </w:pPr>
            <w:r w:rsidRPr="00124637">
              <w:t xml:space="preserve">To remove redundant technical specifications relating to national and commercial television broadcasting services and to change the title of the LAP to </w:t>
            </w:r>
            <w:r w:rsidR="00A11AA9" w:rsidRPr="00124637">
              <w:rPr>
                <w:i/>
              </w:rPr>
              <w:t>Licence Area Plan—</w:t>
            </w:r>
            <w:r w:rsidRPr="00124637">
              <w:rPr>
                <w:i/>
              </w:rPr>
              <w:t>Riverland Radio</w:t>
            </w:r>
            <w:r w:rsidRPr="00124637">
              <w:t xml:space="preserve">. </w:t>
            </w:r>
          </w:p>
        </w:tc>
      </w:tr>
      <w:tr w:rsidR="006A4DAE" w:rsidRPr="003A3898" w14:paraId="091AE50E" w14:textId="77777777" w:rsidTr="00800C4D">
        <w:trPr>
          <w:cantSplit/>
        </w:trPr>
        <w:tc>
          <w:tcPr>
            <w:tcW w:w="1811" w:type="dxa"/>
            <w:tcMar>
              <w:top w:w="57" w:type="dxa"/>
              <w:left w:w="57" w:type="dxa"/>
              <w:bottom w:w="57" w:type="dxa"/>
              <w:right w:w="57" w:type="dxa"/>
            </w:tcMar>
          </w:tcPr>
          <w:p w14:paraId="38E124C7" w14:textId="77777777" w:rsidR="006A4DAE" w:rsidRPr="00124637" w:rsidRDefault="006A4DAE" w:rsidP="00800C4D">
            <w:pPr>
              <w:pStyle w:val="TableBody"/>
            </w:pPr>
            <w:r w:rsidRPr="00124637">
              <w:t>Young (Radio)—August 2014</w:t>
            </w:r>
          </w:p>
        </w:tc>
        <w:tc>
          <w:tcPr>
            <w:tcW w:w="7654" w:type="dxa"/>
            <w:tcMar>
              <w:top w:w="57" w:type="dxa"/>
              <w:left w:w="57" w:type="dxa"/>
              <w:bottom w:w="57" w:type="dxa"/>
              <w:right w:w="57" w:type="dxa"/>
            </w:tcMar>
          </w:tcPr>
          <w:p w14:paraId="304CB079" w14:textId="77777777" w:rsidR="006A4DAE" w:rsidRPr="00124637" w:rsidRDefault="006A4DAE" w:rsidP="00800C4D">
            <w:pPr>
              <w:pStyle w:val="TableBody"/>
            </w:pPr>
            <w:r w:rsidRPr="00124637">
              <w:t>To</w:t>
            </w:r>
            <w:r w:rsidRPr="00124637">
              <w:rPr>
                <w:rFonts w:cs="Arial"/>
              </w:rPr>
              <w:t xml:space="preserve"> make channel capacity available for additional transmitters for the Young commercial radio broadcasting service 2LF at Cootamundra, Cowra, Grenfell and Temora</w:t>
            </w:r>
            <w:r w:rsidR="00A11AA9" w:rsidRPr="00124637">
              <w:rPr>
                <w:rFonts w:cs="Arial"/>
              </w:rPr>
              <w:t>,</w:t>
            </w:r>
            <w:r w:rsidRPr="00124637">
              <w:rPr>
                <w:rFonts w:cs="Arial"/>
              </w:rPr>
              <w:t xml:space="preserve"> and also for additional transmitters for the Young commercial radio broadcasting service Roccy FM at Grenfell and Temora. The variation also made channel capacity available for a long-term community radio broadcasting service in Temora and </w:t>
            </w:r>
            <w:r w:rsidRPr="00124637">
              <w:t>updated the description of the existing commercial and community radio licence areas in the Young LAP to 2006 census data.</w:t>
            </w:r>
          </w:p>
        </w:tc>
      </w:tr>
    </w:tbl>
    <w:p w14:paraId="67D20E6B" w14:textId="77777777" w:rsidR="00D02E85" w:rsidRPr="00124637" w:rsidRDefault="00D02E85" w:rsidP="00A11AA9">
      <w:pPr>
        <w:pStyle w:val="Heading3"/>
        <w:spacing w:before="240"/>
      </w:pPr>
      <w:bookmarkStart w:id="85" w:name="_Toc264884681"/>
      <w:bookmarkStart w:id="86" w:name="_Toc297218436"/>
      <w:bookmarkStart w:id="87" w:name="_Toc337727537"/>
      <w:bookmarkStart w:id="88" w:name="_Toc400018505"/>
      <w:bookmarkStart w:id="89" w:name="_Toc419122296"/>
      <w:bookmarkStart w:id="90" w:name="_Toc433703285"/>
      <w:r w:rsidRPr="00124637">
        <w:lastRenderedPageBreak/>
        <w:t>Digital radio</w:t>
      </w:r>
      <w:bookmarkEnd w:id="85"/>
      <w:bookmarkEnd w:id="86"/>
      <w:bookmarkEnd w:id="87"/>
      <w:bookmarkEnd w:id="88"/>
      <w:bookmarkEnd w:id="89"/>
      <w:bookmarkEnd w:id="90"/>
    </w:p>
    <w:p w14:paraId="008011E4" w14:textId="77777777" w:rsidR="00ED3303" w:rsidRPr="00124637" w:rsidRDefault="00ED3303" w:rsidP="00A11AA9">
      <w:pPr>
        <w:keepNext/>
      </w:pPr>
      <w:r w:rsidRPr="00124637">
        <w:t xml:space="preserve">Digital radio services, using DAB+ technology in VHF Band III spectrum, have been running on a permanent basis in the metropolitan areas of Adelaide, Brisbane, Melbourne, Perth and Sydney since July 2009. </w:t>
      </w:r>
    </w:p>
    <w:p w14:paraId="4C3B0456" w14:textId="77777777" w:rsidR="00ED3303" w:rsidRPr="00124637" w:rsidRDefault="00ED3303" w:rsidP="00ED3303">
      <w:r w:rsidRPr="00124637">
        <w:t xml:space="preserve">Following a public consultation process, in May 2015 the ACMA varied the digital radio channel plans </w:t>
      </w:r>
      <w:r w:rsidR="00A11AA9" w:rsidRPr="00124637">
        <w:t xml:space="preserve">for </w:t>
      </w:r>
      <w:r w:rsidRPr="00124637">
        <w:t xml:space="preserve">the five mainland capital cities to incorporate the technical parameters for in-fill transmitters used to boost coverage. These transmitters extended coverage of commercial and community digital radio services to a potential 264,000 listeners. Although digital radio services have not yet </w:t>
      </w:r>
      <w:r w:rsidR="00A11AA9" w:rsidRPr="00124637">
        <w:t>begun</w:t>
      </w:r>
      <w:r w:rsidRPr="00124637">
        <w:t xml:space="preserve"> in Hobart, the ACMA also took the opportunity to update the Tasmania Digital Radio Channel Plan to provide for updated technical parameters and change the allotment of channels for digital radio in Hobart.</w:t>
      </w:r>
    </w:p>
    <w:p w14:paraId="0F222D0A" w14:textId="77777777" w:rsidR="00ED3303" w:rsidRPr="00124637" w:rsidRDefault="00ED3303" w:rsidP="00ED3303">
      <w:r w:rsidRPr="00124637">
        <w:t xml:space="preserve">Trials of DAB+ are being conducted in Canberra and Darwin by the peak commercial radio body, Commercial Radio Australia (CRA). </w:t>
      </w:r>
    </w:p>
    <w:p w14:paraId="2D2696C0" w14:textId="77777777" w:rsidR="002D0BB0" w:rsidRPr="00124637" w:rsidRDefault="002D0BB0" w:rsidP="00ED3303">
      <w:pPr>
        <w:pStyle w:val="Heading2"/>
      </w:pPr>
      <w:bookmarkStart w:id="91" w:name="_Toc433703286"/>
      <w:r w:rsidRPr="00124637">
        <w:t>Land mobile frequency coordination requirements</w:t>
      </w:r>
      <w:bookmarkEnd w:id="91"/>
      <w:r w:rsidRPr="00124637">
        <w:t xml:space="preserve"> </w:t>
      </w:r>
    </w:p>
    <w:p w14:paraId="3C720D7B" w14:textId="77777777" w:rsidR="002D0BB0" w:rsidRPr="00124637" w:rsidRDefault="002D0BB0" w:rsidP="002D0BB0">
      <w:pPr>
        <w:rPr>
          <w:rFonts w:cs="Arial"/>
        </w:rPr>
      </w:pPr>
      <w:r w:rsidRPr="00124637">
        <w:rPr>
          <w:rFonts w:cs="Arial"/>
        </w:rPr>
        <w:t>In September 2014</w:t>
      </w:r>
      <w:r w:rsidR="00A11AA9" w:rsidRPr="00124637">
        <w:rPr>
          <w:rFonts w:cs="Arial"/>
        </w:rPr>
        <w:t>,</w:t>
      </w:r>
      <w:r w:rsidRPr="00124637">
        <w:rPr>
          <w:rFonts w:cs="Arial"/>
        </w:rPr>
        <w:t xml:space="preserve"> the ACMA sought comment on a proposed update to coordination requirements for land mobile services operating in the VHF Mid</w:t>
      </w:r>
      <w:r w:rsidR="00A11AA9" w:rsidRPr="00124637">
        <w:rPr>
          <w:rFonts w:cs="Arial"/>
        </w:rPr>
        <w:t xml:space="preserve"> band</w:t>
      </w:r>
      <w:r w:rsidRPr="00124637">
        <w:rPr>
          <w:rFonts w:cs="Arial"/>
        </w:rPr>
        <w:t>, VHF High ban</w:t>
      </w:r>
      <w:r w:rsidR="00C831B5" w:rsidRPr="00124637">
        <w:rPr>
          <w:rFonts w:cs="Arial"/>
        </w:rPr>
        <w:t>d and 4</w:t>
      </w:r>
      <w:r w:rsidR="00A11AA9" w:rsidRPr="00124637">
        <w:rPr>
          <w:rFonts w:cs="Arial"/>
        </w:rPr>
        <w:t>00 MHz frequency band</w:t>
      </w:r>
      <w:r w:rsidR="00C831B5" w:rsidRPr="00124637">
        <w:rPr>
          <w:rFonts w:cs="Arial"/>
        </w:rPr>
        <w:t>.</w:t>
      </w:r>
      <w:r w:rsidRPr="00124637">
        <w:rPr>
          <w:rFonts w:cs="Arial"/>
        </w:rPr>
        <w:t xml:space="preserve"> The proposed updates were to support the implementation of changes to the 400 MHz frequency in response to the 400 MHz review</w:t>
      </w:r>
      <w:r w:rsidR="00A11AA9" w:rsidRPr="00124637">
        <w:rPr>
          <w:rFonts w:cs="Arial"/>
        </w:rPr>
        <w:t>,</w:t>
      </w:r>
      <w:r w:rsidRPr="00124637">
        <w:rPr>
          <w:rFonts w:cs="Arial"/>
        </w:rPr>
        <w:t xml:space="preserve"> and included proposed updates to existing frequency-distance constraints using revised technical assumptions </w:t>
      </w:r>
      <w:r w:rsidR="00A11AA9" w:rsidRPr="00124637">
        <w:rPr>
          <w:rFonts w:cs="Arial"/>
        </w:rPr>
        <w:t xml:space="preserve">that </w:t>
      </w:r>
      <w:r w:rsidRPr="00124637">
        <w:rPr>
          <w:rFonts w:cs="Arial"/>
        </w:rPr>
        <w:t xml:space="preserve">more </w:t>
      </w:r>
      <w:r w:rsidR="00A11AA9" w:rsidRPr="00124637">
        <w:rPr>
          <w:rFonts w:cs="Arial"/>
        </w:rPr>
        <w:t xml:space="preserve">closely </w:t>
      </w:r>
      <w:r w:rsidRPr="00124637">
        <w:rPr>
          <w:rFonts w:cs="Arial"/>
        </w:rPr>
        <w:t>reflect digital technologies.</w:t>
      </w:r>
    </w:p>
    <w:p w14:paraId="7E7BF754" w14:textId="77777777" w:rsidR="002D0BB0" w:rsidRPr="00124637" w:rsidRDefault="002D0BB0" w:rsidP="002D0BB0">
      <w:r w:rsidRPr="00124637">
        <w:t>Submissions closed in November and updated frequency-distance constraints were f</w:t>
      </w:r>
      <w:r w:rsidR="00ED3303" w:rsidRPr="00124637">
        <w:t>inalised and released in June</w:t>
      </w:r>
      <w:r w:rsidR="00A11AA9" w:rsidRPr="00124637">
        <w:t xml:space="preserve"> 2015</w:t>
      </w:r>
      <w:r w:rsidR="00ED3303" w:rsidRPr="00124637">
        <w:t xml:space="preserve">. </w:t>
      </w:r>
      <w:r w:rsidRPr="00124637">
        <w:t>Discussion with respondents continue</w:t>
      </w:r>
      <w:r w:rsidR="00A11AA9" w:rsidRPr="00124637">
        <w:t>s</w:t>
      </w:r>
      <w:r w:rsidRPr="00124637">
        <w:t xml:space="preserve"> on other matters raised in submissions</w:t>
      </w:r>
      <w:r w:rsidR="00A11AA9" w:rsidRPr="00124637">
        <w:t>,</w:t>
      </w:r>
      <w:r w:rsidRPr="00124637">
        <w:t xml:space="preserve"> with a view to finalising remaining matters </w:t>
      </w:r>
      <w:r w:rsidR="00A11AA9" w:rsidRPr="00124637">
        <w:t>in the next reporting period</w:t>
      </w:r>
      <w:r w:rsidRPr="00124637">
        <w:t>.</w:t>
      </w:r>
    </w:p>
    <w:p w14:paraId="74CC54F0" w14:textId="77777777" w:rsidR="002D0BB0" w:rsidRPr="00124637" w:rsidRDefault="002D0BB0" w:rsidP="002D0BB0">
      <w:pPr>
        <w:pStyle w:val="Heading2"/>
      </w:pPr>
      <w:bookmarkStart w:id="92" w:name="_Toc433703287"/>
      <w:r w:rsidRPr="00124637">
        <w:t>Ongoing review of spectrum planning and coordination frameworks</w:t>
      </w:r>
      <w:bookmarkEnd w:id="92"/>
      <w:r w:rsidRPr="00124637">
        <w:t xml:space="preserve"> </w:t>
      </w:r>
    </w:p>
    <w:p w14:paraId="5DE36C1A" w14:textId="77777777" w:rsidR="002D0BB0" w:rsidRPr="00124637" w:rsidRDefault="002D0BB0" w:rsidP="002D0BB0">
      <w:pPr>
        <w:rPr>
          <w:rFonts w:cs="Calibri"/>
          <w:lang w:val="en"/>
        </w:rPr>
      </w:pPr>
      <w:r w:rsidRPr="00124637">
        <w:rPr>
          <w:rFonts w:cs="Arial"/>
        </w:rPr>
        <w:t xml:space="preserve">In </w:t>
      </w:r>
      <w:r w:rsidRPr="00124637">
        <w:t xml:space="preserve">addition to major spectrum projects, the ACMA </w:t>
      </w:r>
      <w:r w:rsidR="00A11AA9" w:rsidRPr="00124637">
        <w:t>is undertaking</w:t>
      </w:r>
      <w:r w:rsidRPr="00124637">
        <w:t xml:space="preserve"> an ongoing review of spectrum planning, assignment and coordination frameworks</w:t>
      </w:r>
      <w:r w:rsidR="00C831B5" w:rsidRPr="00124637">
        <w:t>.</w:t>
      </w:r>
      <w:r w:rsidRPr="00124637">
        <w:t xml:space="preserve"> As part of this continuing proce</w:t>
      </w:r>
      <w:r w:rsidR="00ED3303" w:rsidRPr="00124637">
        <w:t xml:space="preserve">ss of improvement, </w:t>
      </w:r>
      <w:r w:rsidRPr="00124637">
        <w:t>the ACMA updated a number of coordination frameworks for app</w:t>
      </w:r>
      <w:r w:rsidR="00ED3303" w:rsidRPr="00124637">
        <w:t xml:space="preserve">aratus licensing </w:t>
      </w:r>
      <w:r w:rsidR="00A11AA9" w:rsidRPr="00124637">
        <w:t>in 2014–</w:t>
      </w:r>
      <w:r w:rsidR="00ED3303" w:rsidRPr="00124637">
        <w:t xml:space="preserve">15. </w:t>
      </w:r>
      <w:r w:rsidRPr="00124637">
        <w:t>This work will continue into 2015</w:t>
      </w:r>
      <w:r w:rsidR="00A11AA9" w:rsidRPr="00124637">
        <w:t>–</w:t>
      </w:r>
      <w:r w:rsidRPr="00124637">
        <w:t>16.</w:t>
      </w:r>
    </w:p>
    <w:p w14:paraId="78B71774" w14:textId="77777777" w:rsidR="006744F6" w:rsidRPr="00124637" w:rsidRDefault="006744F6" w:rsidP="006744F6">
      <w:pPr>
        <w:pStyle w:val="Heading2"/>
      </w:pPr>
      <w:bookmarkStart w:id="93" w:name="_Toc433703288"/>
      <w:r w:rsidRPr="00124637">
        <w:t>Five-year spectrum outlook</w:t>
      </w:r>
      <w:bookmarkEnd w:id="79"/>
      <w:bookmarkEnd w:id="93"/>
    </w:p>
    <w:p w14:paraId="230BC091" w14:textId="77777777" w:rsidR="006744F6" w:rsidRPr="00124637" w:rsidRDefault="006744F6" w:rsidP="006744F6">
      <w:pPr>
        <w:rPr>
          <w:rFonts w:cs="Arial"/>
        </w:rPr>
      </w:pPr>
      <w:r w:rsidRPr="00124637">
        <w:rPr>
          <w:rFonts w:cs="Arial"/>
        </w:rPr>
        <w:t xml:space="preserve">The </w:t>
      </w:r>
      <w:r w:rsidRPr="00124637">
        <w:rPr>
          <w:rFonts w:cs="Arial"/>
          <w:i/>
        </w:rPr>
        <w:t>Five-year spectrum outlo</w:t>
      </w:r>
      <w:r w:rsidR="002D0BB0" w:rsidRPr="00124637">
        <w:rPr>
          <w:rFonts w:cs="Arial"/>
          <w:i/>
        </w:rPr>
        <w:t>ok 2014–18</w:t>
      </w:r>
      <w:r w:rsidR="002D0BB0" w:rsidRPr="00124637">
        <w:rPr>
          <w:rFonts w:cs="Arial"/>
        </w:rPr>
        <w:t xml:space="preserve"> was released in September 2014</w:t>
      </w:r>
      <w:r w:rsidRPr="00124637">
        <w:rPr>
          <w:rFonts w:cs="Arial"/>
        </w:rPr>
        <w:t>. The outlook outlines the ACMA’s assessment of the demand for different parts of the radiofrequency spectrum and sets the key priority areas facing spectrum management in Australia. It provides an avenue for consultation with all spectrum users about emerging pressures for changing approaches to spectrum management and the ACMA’s work plan. It is a living document and i</w:t>
      </w:r>
      <w:r w:rsidR="00C831B5" w:rsidRPr="00124637">
        <w:rPr>
          <w:rFonts w:cs="Arial"/>
        </w:rPr>
        <w:t>s open to comment at all times.</w:t>
      </w:r>
    </w:p>
    <w:p w14:paraId="14E7453B" w14:textId="77777777" w:rsidR="006744F6" w:rsidRPr="00124637" w:rsidRDefault="006744F6" w:rsidP="006744F6">
      <w:pPr>
        <w:spacing w:after="80"/>
        <w:rPr>
          <w:rFonts w:cs="Arial"/>
        </w:rPr>
      </w:pPr>
      <w:r w:rsidRPr="00124637">
        <w:rPr>
          <w:rFonts w:cs="Arial"/>
        </w:rPr>
        <w:t>The outlook fulfils the ACMA’s commitment to:</w:t>
      </w:r>
    </w:p>
    <w:p w14:paraId="0757B803" w14:textId="77777777" w:rsidR="006744F6" w:rsidRPr="00124637" w:rsidRDefault="006744F6" w:rsidP="006744F6">
      <w:pPr>
        <w:pStyle w:val="ListBullet"/>
        <w:tabs>
          <w:tab w:val="clear" w:pos="295"/>
          <w:tab w:val="num" w:pos="437"/>
        </w:tabs>
        <w:ind w:left="284"/>
        <w:rPr>
          <w:rFonts w:cs="Arial"/>
        </w:rPr>
      </w:pPr>
      <w:r w:rsidRPr="00124637">
        <w:rPr>
          <w:rFonts w:cs="Arial"/>
        </w:rPr>
        <w:t>provide greater insight and transparency for industry stakeholders</w:t>
      </w:r>
    </w:p>
    <w:p w14:paraId="4B3AFAD2" w14:textId="77777777" w:rsidR="006744F6" w:rsidRPr="00124637" w:rsidRDefault="006744F6" w:rsidP="006744F6">
      <w:pPr>
        <w:pStyle w:val="ListBullet"/>
        <w:tabs>
          <w:tab w:val="clear" w:pos="295"/>
          <w:tab w:val="num" w:pos="437"/>
        </w:tabs>
        <w:ind w:left="284"/>
        <w:rPr>
          <w:rFonts w:cs="Arial"/>
        </w:rPr>
      </w:pPr>
      <w:r w:rsidRPr="00124637">
        <w:rPr>
          <w:rFonts w:cs="Arial"/>
        </w:rPr>
        <w:t xml:space="preserve">facilitate discussion between the ACMA and stakeholders </w:t>
      </w:r>
    </w:p>
    <w:p w14:paraId="30B518D1" w14:textId="77777777" w:rsidR="006744F6" w:rsidRPr="00124637" w:rsidRDefault="006744F6" w:rsidP="004860CE">
      <w:pPr>
        <w:pStyle w:val="ListBulletLast"/>
      </w:pPr>
      <w:r w:rsidRPr="00124637">
        <w:t>provide a useful summary of important spectrum management policies and priorities.</w:t>
      </w:r>
      <w:bookmarkEnd w:id="71"/>
    </w:p>
    <w:p w14:paraId="2E85CB31" w14:textId="77777777" w:rsidR="002D0BB0" w:rsidRPr="00124637" w:rsidRDefault="002D0BB0" w:rsidP="002D0BB0">
      <w:bookmarkStart w:id="94" w:name="_Toc419122257"/>
      <w:r w:rsidRPr="00124637">
        <w:lastRenderedPageBreak/>
        <w:t xml:space="preserve">In keeping with Program 1.1: Communications regulation, planning and licensing, the ACMA expects to release the 2015–19 edition of the outlook in the </w:t>
      </w:r>
      <w:r w:rsidR="00ED3303" w:rsidRPr="00124637">
        <w:t>third</w:t>
      </w:r>
      <w:r w:rsidRPr="00124637">
        <w:t xml:space="preserve"> quarter of 2015. It will take into account information from submissions received in response to the 2014–18 edition.</w:t>
      </w:r>
    </w:p>
    <w:p w14:paraId="5DD0D24B" w14:textId="77777777" w:rsidR="002D0BB0" w:rsidRPr="00124637" w:rsidRDefault="002D0BB0" w:rsidP="002D0BB0">
      <w:pPr>
        <w:pStyle w:val="Heading2"/>
      </w:pPr>
      <w:bookmarkStart w:id="95" w:name="_Toc419122258"/>
      <w:bookmarkStart w:id="96" w:name="_Toc433703289"/>
      <w:bookmarkEnd w:id="94"/>
      <w:r w:rsidRPr="00124637">
        <w:t>Mobile phone jammer trial at Lithgow Correctional Centre</w:t>
      </w:r>
      <w:bookmarkEnd w:id="96"/>
      <w:r w:rsidRPr="00124637">
        <w:t xml:space="preserve"> </w:t>
      </w:r>
    </w:p>
    <w:p w14:paraId="2F2069A1" w14:textId="77777777" w:rsidR="002D0BB0" w:rsidRPr="00124637" w:rsidRDefault="002D0BB0" w:rsidP="002D0BB0">
      <w:pPr>
        <w:rPr>
          <w:rFonts w:ascii="Calibri" w:hAnsi="Calibri"/>
        </w:rPr>
      </w:pPr>
      <w:r w:rsidRPr="00124637">
        <w:t xml:space="preserve">On 24 September 2013, Corrective Services NSW (CSNSW) launched a field trial of mobile phone jammers at Lithgow Correctional Centre in New South Wales to assess the feasibility of blocking the reception of mobile phones as a law enforcement strategy. </w:t>
      </w:r>
    </w:p>
    <w:p w14:paraId="09810BED" w14:textId="77777777" w:rsidR="002D0BB0" w:rsidRPr="00124637" w:rsidRDefault="002D0BB0" w:rsidP="002D0BB0">
      <w:r w:rsidRPr="00124637">
        <w:t xml:space="preserve">To enable the field trial, the ACMA made the Radiocommunications (Field Trial by Corrective Services NSW of PMTS Jamming Devices at Lithgow Correctional Centre) Exemption Determination 2012. In response to a request from CSNSW, on 13 June 2014 the ACMA approved an extension of the trial until 30 September 2014. </w:t>
      </w:r>
    </w:p>
    <w:p w14:paraId="36B32CAF" w14:textId="77777777" w:rsidR="002D0BB0" w:rsidRPr="00124637" w:rsidRDefault="002D0BB0" w:rsidP="002D0BB0">
      <w:r w:rsidRPr="00124637">
        <w:t>On 20 October 2014</w:t>
      </w:r>
      <w:r w:rsidR="00A11AA9" w:rsidRPr="00124637">
        <w:t>,</w:t>
      </w:r>
      <w:r w:rsidRPr="00124637">
        <w:t xml:space="preserve"> the ACMA made the Radiocommunications (Fiel</w:t>
      </w:r>
      <w:r w:rsidR="00A11AA9" w:rsidRPr="00124637">
        <w:t>d T</w:t>
      </w:r>
      <w:r w:rsidRPr="00124637">
        <w:t xml:space="preserve">rial by Corrective Services NSW of PMTS Jamming Devices at Lithgow Correctional Centre) Exemption Determination 2014. This instrument </w:t>
      </w:r>
      <w:r w:rsidR="00A11AA9" w:rsidRPr="00124637">
        <w:t>gives</w:t>
      </w:r>
      <w:r w:rsidRPr="00124637">
        <w:t xml:space="preserve"> </w:t>
      </w:r>
      <w:r w:rsidR="00A11AA9" w:rsidRPr="00124637">
        <w:t xml:space="preserve">CSNSW </w:t>
      </w:r>
      <w:r w:rsidRPr="00124637">
        <w:t>a further exemption for continued use of the mobile phon</w:t>
      </w:r>
      <w:r w:rsidR="00A11AA9" w:rsidRPr="00124637">
        <w:t>e jammer system at LCC for a 12-</w:t>
      </w:r>
      <w:r w:rsidRPr="00124637">
        <w:t xml:space="preserve">month period, </w:t>
      </w:r>
      <w:r w:rsidR="00A11AA9" w:rsidRPr="00124637">
        <w:t>expiring on 31 October</w:t>
      </w:r>
      <w:r w:rsidRPr="00124637">
        <w:t xml:space="preserve"> 2015.</w:t>
      </w:r>
    </w:p>
    <w:p w14:paraId="12C60826" w14:textId="77777777" w:rsidR="002D0BB0" w:rsidRPr="00124637" w:rsidRDefault="002D0BB0" w:rsidP="002D0BB0">
      <w:r w:rsidRPr="00124637">
        <w:t>CSNSW reported to the ACMA on the outcomes of the field trial in early 2015. The ACMA is considering the information provided by CSNSW, and the implications this may have on the future regulation of mobile phone jammers in correctional facilities.</w:t>
      </w:r>
    </w:p>
    <w:p w14:paraId="523353B9" w14:textId="77777777" w:rsidR="006744F6" w:rsidRPr="00124637" w:rsidRDefault="006744F6" w:rsidP="006744F6">
      <w:pPr>
        <w:pStyle w:val="Heading2"/>
      </w:pPr>
      <w:bookmarkStart w:id="97" w:name="band_1800"/>
      <w:bookmarkStart w:id="98" w:name="_Toc419122261"/>
      <w:bookmarkStart w:id="99" w:name="_Toc433703290"/>
      <w:bookmarkEnd w:id="95"/>
      <w:bookmarkEnd w:id="97"/>
      <w:r w:rsidRPr="00124637">
        <w:t>1800 MHz band</w:t>
      </w:r>
      <w:bookmarkEnd w:id="98"/>
      <w:bookmarkEnd w:id="99"/>
      <w:r w:rsidRPr="00124637">
        <w:t xml:space="preserve"> </w:t>
      </w:r>
    </w:p>
    <w:p w14:paraId="161FC9B5" w14:textId="77777777" w:rsidR="000A0855" w:rsidRPr="00124637" w:rsidRDefault="000A0855" w:rsidP="000A0855">
      <w:pPr>
        <w:rPr>
          <w:rFonts w:cs="Arial"/>
        </w:rPr>
      </w:pPr>
      <w:bookmarkStart w:id="100" w:name="_Toc419122262"/>
      <w:r w:rsidRPr="00124637">
        <w:rPr>
          <w:rFonts w:cs="Arial"/>
        </w:rPr>
        <w:t>There is increasing demand for access to spectrum in regional and remote areas from various industry sectors to deploy mobile broadband services. The ACMA has identified the 1710–1785 MHz and 1805–1880 MHz frequency ranges (the 1800 MHz band) as the most suitable candidate band to relieve this demand.</w:t>
      </w:r>
    </w:p>
    <w:p w14:paraId="5C89F500" w14:textId="77777777" w:rsidR="000A0855" w:rsidRPr="00124637" w:rsidRDefault="000A0855" w:rsidP="000A0855">
      <w:r w:rsidRPr="00124637">
        <w:t xml:space="preserve">The ACMA has been working closely with industry and stakeholders to develop appropriate and effective strategies to enable access to the 1800 MHz band in regional and remote areas. The ACMA has stated that, in regional areas, spectrum licensing in this band would best accommodate emerging high-value uses of the band such as mobile services. </w:t>
      </w:r>
    </w:p>
    <w:p w14:paraId="3388EF72" w14:textId="77777777" w:rsidR="000A0855" w:rsidRPr="00124637" w:rsidRDefault="000A0855" w:rsidP="000A0855">
      <w:r w:rsidRPr="00124637">
        <w:t>The ACMA has now begun the reallocation process of the regional 1800 MHz spectrum from apparatus to spectrum licensing.</w:t>
      </w:r>
    </w:p>
    <w:p w14:paraId="2756B837" w14:textId="77777777" w:rsidR="000A0855" w:rsidRPr="00124637" w:rsidRDefault="000A0855" w:rsidP="000A0855">
      <w:r w:rsidRPr="00124637">
        <w:t>In the case of 1800 MHz spectrum in remote areas, the ACMA has been working with all interested parties on a possible method for assigning apparatus licences to meet demand, which—in contrast to the situation in regional areas—is not expected to exceed the supply of spectrum.</w:t>
      </w:r>
    </w:p>
    <w:p w14:paraId="44E5DA9D" w14:textId="77777777" w:rsidR="00ED3303" w:rsidRPr="00124637" w:rsidRDefault="00ED3303" w:rsidP="00ED3303">
      <w:pPr>
        <w:pStyle w:val="Heading2"/>
      </w:pPr>
      <w:bookmarkStart w:id="101" w:name="_Toc433703291"/>
      <w:r w:rsidRPr="00124637">
        <w:t>Apparatus licences in the 3.5 GHz band</w:t>
      </w:r>
      <w:bookmarkEnd w:id="101"/>
    </w:p>
    <w:p w14:paraId="4100A18F" w14:textId="6CFE0F99" w:rsidR="00ED3303" w:rsidRPr="00124637" w:rsidRDefault="00ED3303" w:rsidP="001A263B">
      <w:pPr>
        <w:spacing w:after="80"/>
      </w:pPr>
      <w:r w:rsidRPr="00124637">
        <w:t xml:space="preserve">The Australian Communications and Media Authority (3.5 GHz frequency band) Direction 2014, made in October 2014, required the ACMA to take all steps necessary to enable apparatus licences of a type </w:t>
      </w:r>
      <w:r w:rsidR="001A263B" w:rsidRPr="00124637">
        <w:t>that</w:t>
      </w:r>
      <w:r w:rsidRPr="00124637">
        <w:t xml:space="preserve"> would be appropriate for use </w:t>
      </w:r>
      <w:r w:rsidR="001A263B" w:rsidRPr="00124637">
        <w:t>in</w:t>
      </w:r>
      <w:r w:rsidRPr="00124637">
        <w:t xml:space="preserve"> the </w:t>
      </w:r>
      <w:r w:rsidR="009F68B0">
        <w:t>nbn</w:t>
      </w:r>
      <w:r w:rsidR="006037DC">
        <w:t xml:space="preserve"> network</w:t>
      </w:r>
      <w:r w:rsidRPr="00124637">
        <w:t xml:space="preserve"> to be issu</w:t>
      </w:r>
      <w:r w:rsidR="001A263B" w:rsidRPr="00124637">
        <w:t>ed in the frequency ranges 3400–3425 MHz and 3492.5–</w:t>
      </w:r>
      <w:r w:rsidRPr="00124637">
        <w:t>3542.5 MHz (the 3.5 GHz band). All necessary steps were completed by 30 April 2015.</w:t>
      </w:r>
      <w:r w:rsidR="001A263B" w:rsidRPr="00124637">
        <w:t xml:space="preserve"> This included:</w:t>
      </w:r>
    </w:p>
    <w:p w14:paraId="5042D3B3" w14:textId="77777777" w:rsidR="001A263B" w:rsidRPr="00124637" w:rsidRDefault="00ED3303" w:rsidP="001A263B">
      <w:pPr>
        <w:pStyle w:val="ListBullet"/>
      </w:pPr>
      <w:r w:rsidRPr="00124637">
        <w:t>fixing a tax of $0.0037/MHz/population for apparatus licences in the 3.5 GHz band</w:t>
      </w:r>
    </w:p>
    <w:p w14:paraId="2EC05152" w14:textId="77777777" w:rsidR="00ED3303" w:rsidRPr="00124637" w:rsidRDefault="00ED3303" w:rsidP="001A263B">
      <w:pPr>
        <w:pStyle w:val="ListBulletLast"/>
      </w:pPr>
      <w:r w:rsidRPr="00124637">
        <w:lastRenderedPageBreak/>
        <w:t>making RALI MS39</w:t>
      </w:r>
      <w:r w:rsidR="001A263B" w:rsidRPr="00124637">
        <w:t>,</w:t>
      </w:r>
      <w:r w:rsidRPr="00124637">
        <w:t xml:space="preserve"> </w:t>
      </w:r>
      <w:r w:rsidRPr="00124637">
        <w:rPr>
          <w:i/>
        </w:rPr>
        <w:t>Frequency Coordination and Licensing Procedures for Apparatus Licensed Public Telecommunications Services in the 3.5 GHz band</w:t>
      </w:r>
      <w:r w:rsidRPr="00124637">
        <w:t>. RALI MS39 contains details on coordination criteria between devices operated under a 3.4 GHz band spectrum licence, 3.5 GHz apparatus licences and other relevant services operating in adjacent bands.</w:t>
      </w:r>
    </w:p>
    <w:p w14:paraId="22FC81B8" w14:textId="77777777" w:rsidR="00ED3303" w:rsidRPr="00124637" w:rsidRDefault="00ED3303" w:rsidP="00ED3303">
      <w:r w:rsidRPr="00124637">
        <w:t xml:space="preserve">On 12 June 2015, the ACMA formally advised the </w:t>
      </w:r>
      <w:r w:rsidR="001A263B" w:rsidRPr="00124637">
        <w:t>m</w:t>
      </w:r>
      <w:r w:rsidRPr="00124637">
        <w:t xml:space="preserve">inister that it had completed all steps necessary to </w:t>
      </w:r>
      <w:r w:rsidR="001A263B" w:rsidRPr="00124637">
        <w:t>fulfil the requirements of the d</w:t>
      </w:r>
      <w:r w:rsidRPr="00124637">
        <w:t>irection.</w:t>
      </w:r>
    </w:p>
    <w:p w14:paraId="4C093BE5" w14:textId="77777777" w:rsidR="006744F6" w:rsidRPr="00124637" w:rsidRDefault="006744F6" w:rsidP="006744F6">
      <w:pPr>
        <w:pStyle w:val="Heading2"/>
      </w:pPr>
      <w:bookmarkStart w:id="102" w:name="_Toc419122263"/>
      <w:bookmarkStart w:id="103" w:name="_Toc433703292"/>
      <w:bookmarkEnd w:id="100"/>
      <w:r w:rsidRPr="00124637">
        <w:t>International spectrum activities</w:t>
      </w:r>
      <w:bookmarkEnd w:id="102"/>
      <w:bookmarkEnd w:id="103"/>
    </w:p>
    <w:p w14:paraId="194BA80B" w14:textId="77777777" w:rsidR="00ED3303" w:rsidRPr="00124637" w:rsidRDefault="00ED3303" w:rsidP="00ED3303">
      <w:pPr>
        <w:rPr>
          <w:rFonts w:cs="Arial"/>
        </w:rPr>
      </w:pPr>
      <w:bookmarkStart w:id="104" w:name="_Toc419122268"/>
      <w:bookmarkStart w:id="105" w:name="_Toc337727552"/>
      <w:r w:rsidRPr="00124637">
        <w:rPr>
          <w:rFonts w:cs="Arial"/>
        </w:rPr>
        <w:t xml:space="preserve">The ACMA’s international spectrum activities included active involvement in the preparatory work for the 2015 </w:t>
      </w:r>
      <w:r w:rsidR="00924245" w:rsidRPr="00124637">
        <w:rPr>
          <w:rFonts w:cs="Arial"/>
        </w:rPr>
        <w:t>International Telecommunication Union (</w:t>
      </w:r>
      <w:r w:rsidRPr="00124637">
        <w:rPr>
          <w:rFonts w:cs="Arial"/>
        </w:rPr>
        <w:t>ITU</w:t>
      </w:r>
      <w:r w:rsidR="00924245" w:rsidRPr="00124637">
        <w:rPr>
          <w:rFonts w:cs="Arial"/>
        </w:rPr>
        <w:t>)</w:t>
      </w:r>
      <w:r w:rsidRPr="00124637">
        <w:rPr>
          <w:rFonts w:cs="Arial"/>
        </w:rPr>
        <w:t xml:space="preserve"> World Radiocommunication Conference (WRC-15), to be held in Geneva from 2</w:t>
      </w:r>
      <w:r w:rsidR="001A263B" w:rsidRPr="00124637">
        <w:rPr>
          <w:rFonts w:cs="Arial"/>
        </w:rPr>
        <w:t>–</w:t>
      </w:r>
      <w:r w:rsidR="000A0855" w:rsidRPr="00124637">
        <w:rPr>
          <w:rFonts w:cs="Arial"/>
        </w:rPr>
        <w:t>27 </w:t>
      </w:r>
      <w:r w:rsidRPr="00124637">
        <w:rPr>
          <w:rFonts w:cs="Arial"/>
        </w:rPr>
        <w:t>November 2015. In total</w:t>
      </w:r>
      <w:r w:rsidR="001A263B" w:rsidRPr="00124637">
        <w:rPr>
          <w:rFonts w:cs="Arial"/>
        </w:rPr>
        <w:t>,</w:t>
      </w:r>
      <w:r w:rsidRPr="00124637">
        <w:rPr>
          <w:rFonts w:cs="Arial"/>
        </w:rPr>
        <w:t xml:space="preserve"> 95 Australian delegates participated in 46 international radiocommunications meetings</w:t>
      </w:r>
      <w:r w:rsidR="001815A7" w:rsidRPr="00124637">
        <w:rPr>
          <w:rFonts w:cs="Arial"/>
        </w:rPr>
        <w:t>, with 54 Australian contributions presented. This ranged</w:t>
      </w:r>
      <w:r w:rsidRPr="00124637">
        <w:rPr>
          <w:rFonts w:cs="Arial"/>
        </w:rPr>
        <w:t xml:space="preserve"> from </w:t>
      </w:r>
      <w:r w:rsidR="000A0855" w:rsidRPr="00124637">
        <w:rPr>
          <w:rFonts w:cs="Arial"/>
        </w:rPr>
        <w:t xml:space="preserve">single delegates to </w:t>
      </w:r>
      <w:r w:rsidRPr="00124637">
        <w:rPr>
          <w:rFonts w:cs="Arial"/>
        </w:rPr>
        <w:t xml:space="preserve">ITU Radiocommunication Sector Study Groups to </w:t>
      </w:r>
      <w:r w:rsidR="000A0855" w:rsidRPr="00124637">
        <w:rPr>
          <w:rFonts w:cs="Arial"/>
        </w:rPr>
        <w:t xml:space="preserve">a delegation of 20 to </w:t>
      </w:r>
      <w:r w:rsidRPr="00124637">
        <w:rPr>
          <w:rFonts w:cs="Arial"/>
        </w:rPr>
        <w:t xml:space="preserve">the second session of the Conference </w:t>
      </w:r>
      <w:r w:rsidR="001A263B" w:rsidRPr="00124637">
        <w:rPr>
          <w:rFonts w:cs="Arial"/>
        </w:rPr>
        <w:t>Preparatory Meeting for WRC-15</w:t>
      </w:r>
      <w:r w:rsidR="000A0855" w:rsidRPr="00124637">
        <w:rPr>
          <w:rFonts w:cs="Arial"/>
        </w:rPr>
        <w:t xml:space="preserve"> (CPM15-2). The Australian delegation to CPM15-2 was instrumental in supporting established Australian views on WRC-15 agenda items at this penultimate ITU-R meeting to WRC-15</w:t>
      </w:r>
      <w:r w:rsidR="001A263B" w:rsidRPr="00124637">
        <w:rPr>
          <w:rFonts w:cs="Arial"/>
        </w:rPr>
        <w:t>.</w:t>
      </w:r>
    </w:p>
    <w:p w14:paraId="067A7E66" w14:textId="35A87F2F" w:rsidR="00ED3303" w:rsidRDefault="00ED3303" w:rsidP="00ED3303">
      <w:pPr>
        <w:rPr>
          <w:rFonts w:cs="Arial"/>
        </w:rPr>
      </w:pPr>
      <w:r w:rsidRPr="00124637">
        <w:rPr>
          <w:rFonts w:cs="Arial"/>
        </w:rPr>
        <w:t>One key meeting in which the ACMA participated was the fourth APT Preparatory Group for WRC-15 (APG15-4)</w:t>
      </w:r>
      <w:r w:rsidR="001815A7" w:rsidRPr="00124637">
        <w:rPr>
          <w:rFonts w:cs="Arial"/>
        </w:rPr>
        <w:t xml:space="preserve">, held in Bangkok from </w:t>
      </w:r>
      <w:r w:rsidRPr="00124637">
        <w:rPr>
          <w:rFonts w:cs="Arial"/>
        </w:rPr>
        <w:t>9</w:t>
      </w:r>
      <w:r w:rsidR="001815A7" w:rsidRPr="00124637">
        <w:rPr>
          <w:rFonts w:cs="Arial"/>
        </w:rPr>
        <w:t>–</w:t>
      </w:r>
      <w:r w:rsidRPr="00124637">
        <w:rPr>
          <w:rFonts w:cs="Arial"/>
        </w:rPr>
        <w:t>14 February 2015. As part of APG15-4, the ACMA</w:t>
      </w:r>
      <w:r w:rsidR="00924245" w:rsidRPr="00124637">
        <w:rPr>
          <w:rFonts w:cs="Arial"/>
        </w:rPr>
        <w:t>,</w:t>
      </w:r>
      <w:r w:rsidRPr="00124637">
        <w:rPr>
          <w:rFonts w:cs="Arial"/>
        </w:rPr>
        <w:t xml:space="preserve"> with assistance </w:t>
      </w:r>
      <w:r w:rsidR="00924245" w:rsidRPr="00124637">
        <w:rPr>
          <w:rFonts w:cs="Arial"/>
        </w:rPr>
        <w:t>from DoC</w:t>
      </w:r>
      <w:r w:rsidRPr="00124637">
        <w:rPr>
          <w:rFonts w:cs="Arial"/>
        </w:rPr>
        <w:t>, held an information session on the future of Coordinated Universal Time (UTC). The session addressed issues to be considered at WRC-15 under agenda item 1.14, which defines UTC on the basis of the time kept by atomic clocks and recommends using leap seconds to maintain it close to Universal Time. The future of UTC will be a major issue at WRC-15 and the ACMA information session, which involved expert speakers from China, South Korea, Japan, Australia and the ITU, was a highlight of APG15-4.</w:t>
      </w:r>
    </w:p>
    <w:p w14:paraId="36AFE48D" w14:textId="25C8A91F" w:rsidR="00D04BE3" w:rsidRPr="00124637" w:rsidRDefault="00D04BE3" w:rsidP="00ED3303">
      <w:pPr>
        <w:rPr>
          <w:rFonts w:cs="Arial"/>
        </w:rPr>
      </w:pPr>
      <w:r>
        <w:rPr>
          <w:rFonts w:cs="Arial"/>
        </w:rPr>
        <w:t xml:space="preserve">See also </w:t>
      </w:r>
      <w:r w:rsidRPr="00D04BE3">
        <w:rPr>
          <w:rFonts w:cs="Arial"/>
          <w:i/>
        </w:rPr>
        <w:t>International agenda and engagement</w:t>
      </w:r>
      <w:r>
        <w:rPr>
          <w:rFonts w:cs="Arial"/>
        </w:rPr>
        <w:t xml:space="preserve"> in Chapter 5.</w:t>
      </w:r>
    </w:p>
    <w:p w14:paraId="244FBEB6" w14:textId="77777777" w:rsidR="006744F6" w:rsidRPr="00124637" w:rsidRDefault="006744F6" w:rsidP="00314B9F">
      <w:pPr>
        <w:pStyle w:val="Heading3"/>
      </w:pPr>
      <w:bookmarkStart w:id="106" w:name="_Toc433703293"/>
      <w:r w:rsidRPr="00124637">
        <w:t>Satellite coordination</w:t>
      </w:r>
      <w:bookmarkEnd w:id="104"/>
      <w:bookmarkEnd w:id="106"/>
    </w:p>
    <w:p w14:paraId="225413AD" w14:textId="77777777" w:rsidR="006744F6" w:rsidRPr="00124637" w:rsidRDefault="006744F6" w:rsidP="00314B9F">
      <w:pPr>
        <w:keepNext/>
        <w:rPr>
          <w:rFonts w:cs="Arial"/>
        </w:rPr>
      </w:pPr>
      <w:r w:rsidRPr="00124637">
        <w:rPr>
          <w:rFonts w:cs="Arial"/>
        </w:rPr>
        <w:t xml:space="preserve">The ACMA is responsible for fulfilling Australia’s obligations as a member of the </w:t>
      </w:r>
      <w:r w:rsidR="00924245" w:rsidRPr="00124637">
        <w:rPr>
          <w:rFonts w:cs="Arial"/>
        </w:rPr>
        <w:t>ITU</w:t>
      </w:r>
      <w:r w:rsidRPr="00124637">
        <w:rPr>
          <w:rFonts w:cs="Arial"/>
        </w:rPr>
        <w:t xml:space="preserve"> for matters associated with the ITU-R. It supports the filing of Australian satellite networks with the ITU and actively works with prospective satellite operators in meeting these obligations. The ACMA also provides the interface with other ITU administrations in coordinating Australia’s sa</w:t>
      </w:r>
      <w:r w:rsidR="00DD62C3" w:rsidRPr="00124637">
        <w:rPr>
          <w:rFonts w:cs="Arial"/>
        </w:rPr>
        <w:t xml:space="preserve">tellite spectrum requirements. </w:t>
      </w:r>
    </w:p>
    <w:p w14:paraId="0E83993C" w14:textId="77777777" w:rsidR="00767038" w:rsidRPr="00124637" w:rsidRDefault="00767038" w:rsidP="00314B9F">
      <w:pPr>
        <w:keepNext/>
        <w:rPr>
          <w:rFonts w:cs="Arial"/>
        </w:rPr>
      </w:pPr>
      <w:r w:rsidRPr="00124637">
        <w:rPr>
          <w:rFonts w:cs="Arial"/>
        </w:rPr>
        <w:t>In the reporting period, the ACMA assessed 1,411 publications for proposed foreign satellite networks, initiating coordination processes (where necessary) with foreign administrations on their proposed satellite networks with Australian spectrum requirements and responding to their reciprocal requests of Australia. In addition, the ACMA also assisted Australian satellite operators with ongoing satellite coordination negotiations with other administrations. These roles help to protect Australian interests and maximise the benefits of spectrum/orbital resources through working cooperatively with other ITU Member Administrations.</w:t>
      </w:r>
    </w:p>
    <w:p w14:paraId="699A4DEA" w14:textId="77777777" w:rsidR="006744F6" w:rsidRPr="00124637" w:rsidRDefault="006744F6" w:rsidP="006744F6">
      <w:r w:rsidRPr="00124637">
        <w:rPr>
          <w:rFonts w:cs="Arial"/>
        </w:rPr>
        <w:t>The ACMA also provides ongoing advice to Australian Government agencies and the Australian space community on space radiocommunications.</w:t>
      </w:r>
      <w:bookmarkEnd w:id="105"/>
    </w:p>
    <w:p w14:paraId="5FABEFE9" w14:textId="4D4A3775" w:rsidR="00861911" w:rsidRDefault="00212A85" w:rsidP="00861911">
      <w:pPr>
        <w:pStyle w:val="Heading1"/>
        <w:spacing w:after="120" w:line="360" w:lineRule="atLeast"/>
        <w:rPr>
          <w:sz w:val="36"/>
          <w:szCs w:val="36"/>
        </w:rPr>
      </w:pPr>
      <w:bookmarkStart w:id="107" w:name="_Toc419122269"/>
      <w:bookmarkStart w:id="108" w:name="_Toc433703294"/>
      <w:r w:rsidRPr="0022095A">
        <w:rPr>
          <w:i/>
          <w:noProof/>
          <w:sz w:val="36"/>
          <w:szCs w:val="36"/>
        </w:rPr>
        <w:lastRenderedPageBreak/>
        <w:drawing>
          <wp:anchor distT="0" distB="0" distL="114300" distR="114300" simplePos="0" relativeHeight="251659264" behindDoc="1" locked="0" layoutInCell="1" allowOverlap="1" wp14:anchorId="0F5EC144" wp14:editId="69B0EA25">
            <wp:simplePos x="0" y="0"/>
            <wp:positionH relativeFrom="column">
              <wp:posOffset>4529</wp:posOffset>
            </wp:positionH>
            <wp:positionV relativeFrom="paragraph">
              <wp:posOffset>7129</wp:posOffset>
            </wp:positionV>
            <wp:extent cx="1003300" cy="1854200"/>
            <wp:effectExtent l="0" t="0" r="6350" b="0"/>
            <wp:wrapTight wrapText="bothSides">
              <wp:wrapPolygon edited="0">
                <wp:start x="0" y="0"/>
                <wp:lineTo x="0" y="21304"/>
                <wp:lineTo x="21327" y="21304"/>
                <wp:lineTo x="21327" y="0"/>
                <wp:lineTo x="0" y="0"/>
              </wp:wrapPolygon>
            </wp:wrapTight>
            <wp:docPr id="7" name="Picture 7" title="Icon of radio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ectrum.jpg"/>
                    <pic:cNvPicPr/>
                  </pic:nvPicPr>
                  <pic:blipFill>
                    <a:blip r:embed="rId32">
                      <a:extLst>
                        <a:ext uri="{28A0092B-C50C-407E-A947-70E740481C1C}">
                          <a14:useLocalDpi xmlns:a14="http://schemas.microsoft.com/office/drawing/2010/main" val="0"/>
                        </a:ext>
                      </a:extLst>
                    </a:blip>
                    <a:stretch>
                      <a:fillRect/>
                    </a:stretch>
                  </pic:blipFill>
                  <pic:spPr>
                    <a:xfrm>
                      <a:off x="0" y="0"/>
                      <a:ext cx="1003300" cy="1854200"/>
                    </a:xfrm>
                    <a:prstGeom prst="rect">
                      <a:avLst/>
                    </a:prstGeom>
                  </pic:spPr>
                </pic:pic>
              </a:graphicData>
            </a:graphic>
            <wp14:sizeRelH relativeFrom="page">
              <wp14:pctWidth>0</wp14:pctWidth>
            </wp14:sizeRelH>
            <wp14:sizeRelV relativeFrom="page">
              <wp14:pctHeight>0</wp14:pctHeight>
            </wp14:sizeRelV>
          </wp:anchor>
        </w:drawing>
      </w:r>
      <w:r w:rsidR="006744F6" w:rsidRPr="0022095A">
        <w:rPr>
          <w:i/>
          <w:sz w:val="36"/>
          <w:szCs w:val="36"/>
        </w:rPr>
        <w:t>D</w:t>
      </w:r>
      <w:r w:rsidR="0022095A" w:rsidRPr="0022095A">
        <w:rPr>
          <w:i/>
          <w:sz w:val="36"/>
          <w:szCs w:val="36"/>
        </w:rPr>
        <w:t>eliverable</w:t>
      </w:r>
      <w:r w:rsidR="006744F6" w:rsidRPr="00861911">
        <w:rPr>
          <w:sz w:val="36"/>
          <w:szCs w:val="36"/>
        </w:rPr>
        <w:t>: Minimisation of unacceptable interference to radiocommunications services</w:t>
      </w:r>
      <w:bookmarkEnd w:id="108"/>
    </w:p>
    <w:p w14:paraId="621F98AE" w14:textId="77777777" w:rsidR="006744F6" w:rsidRPr="00861911" w:rsidRDefault="006744F6" w:rsidP="00212A85">
      <w:pPr>
        <w:pStyle w:val="Heading1"/>
        <w:pageBreakBefore w:val="0"/>
        <w:tabs>
          <w:tab w:val="left" w:pos="1704"/>
        </w:tabs>
        <w:spacing w:line="360" w:lineRule="atLeast"/>
        <w:ind w:left="1704"/>
        <w:rPr>
          <w:sz w:val="36"/>
          <w:szCs w:val="36"/>
        </w:rPr>
      </w:pPr>
      <w:bookmarkStart w:id="109" w:name="_Toc433703295"/>
      <w:r w:rsidRPr="0022095A">
        <w:rPr>
          <w:i/>
          <w:sz w:val="36"/>
          <w:szCs w:val="36"/>
        </w:rPr>
        <w:t>KPI</w:t>
      </w:r>
      <w:r w:rsidRPr="00861911">
        <w:rPr>
          <w:sz w:val="36"/>
          <w:szCs w:val="36"/>
        </w:rPr>
        <w:t>: The instances of unacceptable interference are low; and interference complaints are</w:t>
      </w:r>
      <w:r w:rsidR="00924245">
        <w:rPr>
          <w:sz w:val="36"/>
          <w:szCs w:val="36"/>
        </w:rPr>
        <w:t xml:space="preserve"> resolved quickly and in a cost-</w:t>
      </w:r>
      <w:r w:rsidR="00212A85">
        <w:rPr>
          <w:sz w:val="36"/>
          <w:szCs w:val="36"/>
        </w:rPr>
        <w:t xml:space="preserve">effective </w:t>
      </w:r>
      <w:r w:rsidRPr="00861911">
        <w:rPr>
          <w:sz w:val="36"/>
          <w:szCs w:val="36"/>
        </w:rPr>
        <w:t>manner</w:t>
      </w:r>
      <w:bookmarkEnd w:id="107"/>
      <w:bookmarkEnd w:id="109"/>
    </w:p>
    <w:p w14:paraId="71313FA6" w14:textId="77777777" w:rsidR="006744F6" w:rsidRPr="00124637" w:rsidRDefault="006744F6" w:rsidP="006744F6">
      <w:pPr>
        <w:pStyle w:val="Heading2"/>
      </w:pPr>
      <w:bookmarkStart w:id="110" w:name="_Toc419122270"/>
      <w:bookmarkStart w:id="111" w:name="_Toc433703296"/>
      <w:r w:rsidRPr="00124637">
        <w:t>Overview and significant outcomes</w:t>
      </w:r>
      <w:bookmarkEnd w:id="110"/>
      <w:bookmarkEnd w:id="111"/>
    </w:p>
    <w:p w14:paraId="0963A77D" w14:textId="77777777" w:rsidR="002403F4" w:rsidRPr="00124637" w:rsidRDefault="002403F4" w:rsidP="002403F4">
      <w:pPr>
        <w:rPr>
          <w:rFonts w:cs="Arial"/>
        </w:rPr>
      </w:pPr>
      <w:bookmarkStart w:id="112" w:name="_Toc419122277"/>
      <w:r w:rsidRPr="00124637">
        <w:rPr>
          <w:rFonts w:cs="Arial"/>
        </w:rPr>
        <w:t xml:space="preserve">Spectrum planning arrangements are designed to ensure, to the extent possible, that licensed radiocommunications services are not subject to unacceptable levels of interference. The ACMA’s regulatory regime uses technical standards and regulations to reduce the likelihood of interference while placing as little regulatory burden on industry as possible. Evidence-based, risk mitigation and management strategies are used to identify and prioritise this compliance and enforcement activity. </w:t>
      </w:r>
    </w:p>
    <w:p w14:paraId="4F1D1457" w14:textId="77777777" w:rsidR="002403F4" w:rsidRPr="00124637" w:rsidRDefault="002403F4" w:rsidP="002403F4">
      <w:pPr>
        <w:keepNext/>
        <w:spacing w:after="80"/>
        <w:rPr>
          <w:rFonts w:cs="Arial"/>
        </w:rPr>
      </w:pPr>
      <w:r w:rsidRPr="00124637">
        <w:rPr>
          <w:rFonts w:cs="Arial"/>
        </w:rPr>
        <w:t>In 2014–15, the ACMA’s major initiatives in this area included:</w:t>
      </w:r>
    </w:p>
    <w:p w14:paraId="29A234B5" w14:textId="77777777" w:rsidR="002403F4" w:rsidRPr="00124637" w:rsidRDefault="002403F4" w:rsidP="002403F4">
      <w:pPr>
        <w:pStyle w:val="ListBullet"/>
      </w:pPr>
      <w:r w:rsidRPr="00124637">
        <w:t>undertaking radiocommunications interference prosecutions</w:t>
      </w:r>
    </w:p>
    <w:p w14:paraId="4ECCDB32" w14:textId="77777777" w:rsidR="002403F4" w:rsidRPr="00124637" w:rsidRDefault="002403F4" w:rsidP="002403F4">
      <w:pPr>
        <w:pStyle w:val="ListBullet"/>
        <w:rPr>
          <w:rFonts w:cs="Arial"/>
        </w:rPr>
      </w:pPr>
      <w:r w:rsidRPr="00124637">
        <w:rPr>
          <w:rFonts w:cs="Arial"/>
        </w:rPr>
        <w:t>performing spectrum monitoring for special events</w:t>
      </w:r>
    </w:p>
    <w:p w14:paraId="2401E608" w14:textId="77777777" w:rsidR="002403F4" w:rsidRPr="00124637" w:rsidRDefault="002403F4" w:rsidP="002403F4">
      <w:pPr>
        <w:pStyle w:val="ListBulletLast"/>
      </w:pPr>
      <w:r w:rsidRPr="00124637">
        <w:t>establishing the annual priority compliance areas.</w:t>
      </w:r>
    </w:p>
    <w:p w14:paraId="77E284B7" w14:textId="77777777" w:rsidR="00FA3C38" w:rsidRPr="00124637" w:rsidRDefault="00FA3C38" w:rsidP="00FA3C38">
      <w:pPr>
        <w:pStyle w:val="Heading2"/>
      </w:pPr>
      <w:bookmarkStart w:id="113" w:name="_Toc433703297"/>
      <w:r w:rsidRPr="00124637">
        <w:t>Technical standards and regulations</w:t>
      </w:r>
      <w:bookmarkEnd w:id="113"/>
    </w:p>
    <w:p w14:paraId="480A4915" w14:textId="77777777" w:rsidR="00FA3C38" w:rsidRPr="00124637" w:rsidRDefault="00FA3C38" w:rsidP="00FA3C38">
      <w:pPr>
        <w:keepNext/>
        <w:keepLines/>
      </w:pPr>
      <w:r w:rsidRPr="00124637">
        <w:rPr>
          <w:rFonts w:cs="Arial"/>
        </w:rPr>
        <w:t xml:space="preserve">The ACMA manages compliance with the Radiocommunications Act and subordinate instruments relating to the operation of radiocommunications transmitters and the supply of radiocommunications devices. </w:t>
      </w:r>
      <w:r w:rsidR="00977CA3" w:rsidRPr="00124637">
        <w:rPr>
          <w:rFonts w:cs="Arial"/>
          <w:szCs w:val="20"/>
        </w:rPr>
        <w:t>It</w:t>
      </w:r>
      <w:r w:rsidRPr="00124637">
        <w:rPr>
          <w:rFonts w:cs="Arial"/>
          <w:szCs w:val="20"/>
        </w:rPr>
        <w:t xml:space="preserve"> </w:t>
      </w:r>
      <w:r w:rsidR="00977CA3" w:rsidRPr="00124637">
        <w:rPr>
          <w:rFonts w:cs="Arial"/>
          <w:szCs w:val="20"/>
        </w:rPr>
        <w:t xml:space="preserve">also </w:t>
      </w:r>
      <w:r w:rsidRPr="00124637">
        <w:rPr>
          <w:rFonts w:cs="Arial"/>
          <w:szCs w:val="20"/>
        </w:rPr>
        <w:t>administers mandatory regulatory arrangements that require specified equipment to meet technical standards</w:t>
      </w:r>
      <w:r w:rsidR="00977CA3" w:rsidRPr="00124637">
        <w:rPr>
          <w:rFonts w:cs="Arial"/>
          <w:szCs w:val="20"/>
        </w:rPr>
        <w:t xml:space="preserve"> and associated record-</w:t>
      </w:r>
      <w:r w:rsidRPr="00124637">
        <w:rPr>
          <w:rFonts w:cs="Arial"/>
          <w:szCs w:val="20"/>
        </w:rPr>
        <w:t>keeping and labelling requirements.</w:t>
      </w:r>
    </w:p>
    <w:p w14:paraId="4DA273FC" w14:textId="77777777" w:rsidR="00FA3C38" w:rsidRPr="00124637" w:rsidRDefault="00FA3C38" w:rsidP="00FA3C38">
      <w:pPr>
        <w:pStyle w:val="Heading3"/>
      </w:pPr>
      <w:bookmarkStart w:id="114" w:name="_Toc433703298"/>
      <w:r w:rsidRPr="00124637">
        <w:t>Radiocommunications</w:t>
      </w:r>
      <w:bookmarkEnd w:id="114"/>
      <w:r w:rsidRPr="00124637">
        <w:t xml:space="preserve"> </w:t>
      </w:r>
    </w:p>
    <w:p w14:paraId="6C485DB7" w14:textId="77777777" w:rsidR="00FA3C38" w:rsidRPr="00124637" w:rsidRDefault="00977CA3" w:rsidP="00FA3C38">
      <w:r w:rsidRPr="00124637">
        <w:t>In 2014–</w:t>
      </w:r>
      <w:r w:rsidR="00FA3C38" w:rsidRPr="00124637">
        <w:t>15</w:t>
      </w:r>
      <w:r w:rsidRPr="00124637">
        <w:t>,</w:t>
      </w:r>
      <w:r w:rsidR="00FA3C38" w:rsidRPr="00124637">
        <w:t xml:space="preserve"> the ACMA remade the Radiocommunications (Compliance Labelling – Devices) Notice 2014 and associated technical standards to comply with the sunsetting provisions of the </w:t>
      </w:r>
      <w:r w:rsidR="00FA3C38" w:rsidRPr="00124637">
        <w:rPr>
          <w:i/>
        </w:rPr>
        <w:t>Legislative Instruments Act 2003</w:t>
      </w:r>
      <w:r w:rsidR="00FA3C38" w:rsidRPr="00124637">
        <w:t xml:space="preserve"> (LIA).</w:t>
      </w:r>
    </w:p>
    <w:p w14:paraId="2F402726" w14:textId="77777777" w:rsidR="00FA3C38" w:rsidRPr="00124637" w:rsidRDefault="00FA3C38" w:rsidP="00FA3C38">
      <w:pPr>
        <w:pStyle w:val="Heading3"/>
      </w:pPr>
      <w:bookmarkStart w:id="115" w:name="_Toc433703299"/>
      <w:r w:rsidRPr="00124637">
        <w:t>Electromagnetic compatibility</w:t>
      </w:r>
      <w:bookmarkEnd w:id="115"/>
      <w:r w:rsidRPr="00124637">
        <w:t xml:space="preserve"> </w:t>
      </w:r>
    </w:p>
    <w:p w14:paraId="4B2AA569" w14:textId="77777777" w:rsidR="00FA3C38" w:rsidRPr="00124637" w:rsidRDefault="00FA3C38" w:rsidP="00FA3C38">
      <w:r w:rsidRPr="00124637">
        <w:t>The ACMA manages electromagnetic compatibility (EMC) through the Radiocommunications Labelling (Electromagnetic Compatibility) Notice 2008. The ACMA’s technical standards for EMC reference technical standards developed by Standards Australia, and international standards developed by the International Electrotechnical Committee (IEC), International Special Committee on Radio Interference (CISPR) and European Telecommunications Standardisation Institute (ETSI). The standards list was updated during the reporting period to reference the current suite of international standards.</w:t>
      </w:r>
    </w:p>
    <w:p w14:paraId="3E18875C" w14:textId="77777777" w:rsidR="00FA3C38" w:rsidRPr="00124637" w:rsidRDefault="00C573B3" w:rsidP="00FA3C38">
      <w:pPr>
        <w:pStyle w:val="Heading3"/>
      </w:pPr>
      <w:bookmarkStart w:id="116" w:name="Elec_ener"/>
      <w:bookmarkStart w:id="117" w:name="_Toc433703300"/>
      <w:bookmarkEnd w:id="116"/>
      <w:r w:rsidRPr="00124637">
        <w:lastRenderedPageBreak/>
        <w:t>Electromagnetic energy</w:t>
      </w:r>
      <w:bookmarkEnd w:id="117"/>
    </w:p>
    <w:p w14:paraId="4E0DA292" w14:textId="7AA0B1F3" w:rsidR="00FA3C38" w:rsidRPr="00124637" w:rsidRDefault="00FA3C38" w:rsidP="00991221">
      <w:pPr>
        <w:keepNext/>
        <w:keepLines/>
      </w:pPr>
      <w:r w:rsidRPr="00124637">
        <w:t xml:space="preserve">The ACMA’s electromagnetic energy (EME) regulatory arrangements require radio transmitter installations and portable </w:t>
      </w:r>
      <w:r w:rsidR="009F68B0">
        <w:t>end-</w:t>
      </w:r>
      <w:r w:rsidRPr="00124637">
        <w:t>user equipment, such as mobile phone handsets, to comply with EME limits set out in the Australian Radiation Protection and Nuclear Safety Agency (ARPANSA) Radiation Protection Standard for Maximum Exposure Levels to Radiofrequency Fields – 3 kHz to 300 GHz (2002</w:t>
      </w:r>
      <w:r w:rsidR="00C573B3" w:rsidRPr="00124637">
        <w:t>)</w:t>
      </w:r>
      <w:r w:rsidR="00C831B5" w:rsidRPr="00124637">
        <w:t xml:space="preserve">. </w:t>
      </w:r>
      <w:r w:rsidRPr="00124637">
        <w:t xml:space="preserve">The ARPANSA </w:t>
      </w:r>
      <w:r w:rsidR="00C573B3" w:rsidRPr="00124637">
        <w:t>S</w:t>
      </w:r>
      <w:r w:rsidRPr="00124637">
        <w:t xml:space="preserve">tandard is based on guidelines from the internationally recognised International Commission for Non-Ionizing Radiation Protection (ICNIRP). </w:t>
      </w:r>
    </w:p>
    <w:p w14:paraId="7C22A62F" w14:textId="4B33C09A" w:rsidR="00FA3C38" w:rsidRPr="00124637" w:rsidRDefault="00FA3C38" w:rsidP="00FA3C38">
      <w:r w:rsidRPr="00124637">
        <w:t>On 30 June 2014, the ACMA made the Radiocommunications (Compliance Labelling - Electromagnetic Radiation) Notice 2014 (the EME Labelling Notice) and the Radiocommunications (Electromagnetic Radiation</w:t>
      </w:r>
      <w:r w:rsidR="009F68B0">
        <w:t xml:space="preserve"> </w:t>
      </w:r>
      <w:r w:rsidRPr="00124637">
        <w:t>-</w:t>
      </w:r>
      <w:r w:rsidR="009F68B0">
        <w:t xml:space="preserve"> </w:t>
      </w:r>
      <w:r w:rsidRPr="00124637">
        <w:t>Human Exposure) Standard 2014 (the Human Exposure Standard), which were due to sunset in 2015. The new arrangements, which included minor varia</w:t>
      </w:r>
      <w:r w:rsidR="00C573B3" w:rsidRPr="00124637">
        <w:t>tions, were implemented in 2014–</w:t>
      </w:r>
      <w:r w:rsidRPr="00124637">
        <w:t>15.</w:t>
      </w:r>
    </w:p>
    <w:p w14:paraId="584E4F89" w14:textId="77777777" w:rsidR="00FA3C38" w:rsidRPr="00124637" w:rsidRDefault="00C573B3" w:rsidP="00FA3C38">
      <w:r w:rsidRPr="00124637">
        <w:t>In the reporting period, the</w:t>
      </w:r>
      <w:r w:rsidR="00FA3C38" w:rsidRPr="00124637">
        <w:t xml:space="preserve"> ACMA </w:t>
      </w:r>
      <w:r w:rsidRPr="00124637">
        <w:t>also signed a m</w:t>
      </w:r>
      <w:r w:rsidR="00FA3C38" w:rsidRPr="00124637">
        <w:t xml:space="preserve">emorandum of </w:t>
      </w:r>
      <w:r w:rsidRPr="00124637">
        <w:t>u</w:t>
      </w:r>
      <w:r w:rsidR="00FA3C38" w:rsidRPr="00124637">
        <w:t xml:space="preserve">nderstanding </w:t>
      </w:r>
      <w:r w:rsidRPr="00124637">
        <w:t xml:space="preserve">(MoU) </w:t>
      </w:r>
      <w:r w:rsidR="00FA3C38" w:rsidRPr="00124637">
        <w:t>with ARPANSA</w:t>
      </w:r>
      <w:r w:rsidRPr="00124637">
        <w:t>, under which</w:t>
      </w:r>
      <w:r w:rsidR="00FA3C38" w:rsidRPr="00124637">
        <w:t xml:space="preserve"> the </w:t>
      </w:r>
      <w:r w:rsidRPr="00124637">
        <w:t>two agencies</w:t>
      </w:r>
      <w:r w:rsidR="00FA3C38" w:rsidRPr="00124637">
        <w:t xml:space="preserve"> agreed to work together to </w:t>
      </w:r>
      <w:r w:rsidRPr="00124637">
        <w:t>develop</w:t>
      </w:r>
      <w:r w:rsidR="00FA3C38" w:rsidRPr="00124637">
        <w:t xml:space="preserve"> clear public messaging about the</w:t>
      </w:r>
      <w:r w:rsidRPr="00124637">
        <w:t>ir</w:t>
      </w:r>
      <w:r w:rsidR="00FA3C38" w:rsidRPr="00124637">
        <w:t xml:space="preserve"> EME responsibilities. The formal commitment between the two agencies is an extension of existing collaboration and information-sharing, and will </w:t>
      </w:r>
      <w:r w:rsidR="002403F4" w:rsidRPr="00124637">
        <w:t xml:space="preserve">help </w:t>
      </w:r>
      <w:r w:rsidR="00FA3C38" w:rsidRPr="00124637">
        <w:t>ensure that EME regulatory arrangements are developed from a sound evidence base</w:t>
      </w:r>
      <w:r w:rsidRPr="00124637">
        <w:t>.</w:t>
      </w:r>
    </w:p>
    <w:p w14:paraId="4F4E1B5A" w14:textId="77777777" w:rsidR="00767038" w:rsidRPr="00124637" w:rsidRDefault="00C573B3" w:rsidP="00767038">
      <w:pPr>
        <w:pStyle w:val="Heading2"/>
      </w:pPr>
      <w:bookmarkStart w:id="118" w:name="_Toc433703301"/>
      <w:r w:rsidRPr="00124637">
        <w:t>Field-</w:t>
      </w:r>
      <w:r w:rsidR="00767038" w:rsidRPr="00124637">
        <w:t>based activities and investigations</w:t>
      </w:r>
      <w:bookmarkEnd w:id="118"/>
      <w:r w:rsidR="00767038" w:rsidRPr="00124637">
        <w:t xml:space="preserve"> </w:t>
      </w:r>
    </w:p>
    <w:p w14:paraId="027C2AB5" w14:textId="77777777" w:rsidR="00FA3C38" w:rsidRPr="00124637" w:rsidRDefault="00FA3C38" w:rsidP="00DE1F7F">
      <w:pPr>
        <w:pStyle w:val="Heading3"/>
      </w:pPr>
      <w:bookmarkStart w:id="119" w:name="_Toc433703302"/>
      <w:r w:rsidRPr="00124637">
        <w:t>Radiocommunications interference management</w:t>
      </w:r>
      <w:bookmarkEnd w:id="119"/>
      <w:r w:rsidRPr="00124637">
        <w:t xml:space="preserve"> </w:t>
      </w:r>
    </w:p>
    <w:p w14:paraId="707F2184" w14:textId="77777777" w:rsidR="00FA3C38" w:rsidRPr="00124637" w:rsidRDefault="00FA3C38" w:rsidP="00DE1F7F">
      <w:r w:rsidRPr="00124637">
        <w:t>The ACMA assesses complaints of i</w:t>
      </w:r>
      <w:r w:rsidR="00C831B5" w:rsidRPr="00124637">
        <w:t>nterference and non</w:t>
      </w:r>
      <w:r w:rsidR="00C573B3" w:rsidRPr="00124637">
        <w:noBreakHyphen/>
      </w:r>
      <w:r w:rsidR="00C831B5" w:rsidRPr="00124637">
        <w:t>compliance</w:t>
      </w:r>
      <w:r w:rsidR="00C573B3" w:rsidRPr="00124637">
        <w:t xml:space="preserve">. It can then </w:t>
      </w:r>
      <w:r w:rsidRPr="00124637">
        <w:t>prioritise</w:t>
      </w:r>
      <w:r w:rsidR="00C573B3" w:rsidRPr="00124637">
        <w:t xml:space="preserve"> the risk of interference and </w:t>
      </w:r>
      <w:r w:rsidRPr="00124637">
        <w:t>choose from a range</w:t>
      </w:r>
      <w:r w:rsidR="00C573B3" w:rsidRPr="00124637">
        <w:t xml:space="preserve"> of</w:t>
      </w:r>
      <w:r w:rsidRPr="00124637">
        <w:t xml:space="preserve"> available regulatory </w:t>
      </w:r>
      <w:r w:rsidR="00C573B3" w:rsidRPr="00124637">
        <w:t>responses</w:t>
      </w:r>
      <w:r w:rsidRPr="00124637">
        <w:t>.</w:t>
      </w:r>
    </w:p>
    <w:p w14:paraId="5835B4E6" w14:textId="77777777" w:rsidR="00F00538" w:rsidRPr="00124637" w:rsidRDefault="00FA3C38" w:rsidP="00F00538">
      <w:pPr>
        <w:spacing w:after="80"/>
      </w:pPr>
      <w:r w:rsidRPr="00124637">
        <w:t>Ongoing priorities for compliance activity includ</w:t>
      </w:r>
      <w:r w:rsidR="000408C2" w:rsidRPr="00124637">
        <w:t>e</w:t>
      </w:r>
      <w:r w:rsidRPr="00124637">
        <w:t xml:space="preserve"> responding to complaints of interference to mobile carriers</w:t>
      </w:r>
      <w:r w:rsidR="000408C2" w:rsidRPr="00124637">
        <w:t>,</w:t>
      </w:r>
      <w:r w:rsidRPr="00124637">
        <w:t xml:space="preserve"> including from</w:t>
      </w:r>
      <w:r w:rsidR="00F00538" w:rsidRPr="00124637">
        <w:t>:</w:t>
      </w:r>
    </w:p>
    <w:p w14:paraId="1F69B459" w14:textId="77777777" w:rsidR="00F00538" w:rsidRPr="00124637" w:rsidRDefault="00F00538" w:rsidP="00F00538">
      <w:pPr>
        <w:pStyle w:val="ListBullet"/>
      </w:pPr>
      <w:r w:rsidRPr="00124637">
        <w:t>M</w:t>
      </w:r>
      <w:r w:rsidR="00FA3C38" w:rsidRPr="00124637">
        <w:t>obile repeaters</w:t>
      </w:r>
      <w:r w:rsidRPr="00124637">
        <w:t>—i</w:t>
      </w:r>
      <w:r w:rsidR="000408C2" w:rsidRPr="00124637">
        <w:t xml:space="preserve">nterference can be caused by the unlicensed use of mobile phone repeaters that may substantially disrupt mobile networks. Mobile phone carriers work with the ACMA to locate the cause of the interference. </w:t>
      </w:r>
    </w:p>
    <w:p w14:paraId="3538772D" w14:textId="77777777" w:rsidR="00FA3C38" w:rsidRPr="00124637" w:rsidRDefault="00F00538" w:rsidP="00F00538">
      <w:pPr>
        <w:pStyle w:val="ListBulletLast"/>
      </w:pPr>
      <w:r w:rsidRPr="00124637">
        <w:t>Prohibited devices—</w:t>
      </w:r>
      <w:r w:rsidR="00C325A7" w:rsidRPr="00124637">
        <w:t>t</w:t>
      </w:r>
      <w:r w:rsidR="000408C2" w:rsidRPr="00124637">
        <w:t>he ACMA has arrangements with Australia Post to detect and seize prohibited devices travelling in the international mail stream. It has also established relationships with private international mail carriers and received in</w:t>
      </w:r>
      <w:r w:rsidRPr="00124637">
        <w:noBreakHyphen/>
      </w:r>
      <w:r w:rsidR="000408C2" w:rsidRPr="00124637">
        <w:t xml:space="preserve">principle agreement that they surrender any detected prohibited devices. </w:t>
      </w:r>
    </w:p>
    <w:p w14:paraId="5240BFB4" w14:textId="77777777" w:rsidR="00FA3C38" w:rsidRPr="00124637" w:rsidRDefault="00FA3C38" w:rsidP="002403F4">
      <w:pPr>
        <w:pStyle w:val="BodysubheaderH4"/>
      </w:pPr>
      <w:r w:rsidRPr="00124637">
        <w:t>2014</w:t>
      </w:r>
      <w:r w:rsidR="00CC5E3F" w:rsidRPr="00124637">
        <w:t>–15 p</w:t>
      </w:r>
      <w:r w:rsidRPr="00124637">
        <w:t xml:space="preserve">riority </w:t>
      </w:r>
      <w:r w:rsidR="00CC5E3F" w:rsidRPr="00124637">
        <w:t>c</w:t>
      </w:r>
      <w:r w:rsidRPr="00124637">
        <w:t xml:space="preserve">ompliance </w:t>
      </w:r>
      <w:r w:rsidR="00CC5E3F" w:rsidRPr="00124637">
        <w:t>a</w:t>
      </w:r>
      <w:r w:rsidRPr="00124637">
        <w:t>reas</w:t>
      </w:r>
    </w:p>
    <w:p w14:paraId="19074BBD" w14:textId="77777777" w:rsidR="00FA3C38" w:rsidRPr="00124637" w:rsidRDefault="00FA3C38" w:rsidP="00DE1F7F">
      <w:pPr>
        <w:keepNext/>
        <w:keepLines/>
        <w:spacing w:after="80"/>
      </w:pPr>
      <w:r w:rsidRPr="00124637">
        <w:t xml:space="preserve">The ACMA </w:t>
      </w:r>
      <w:r w:rsidR="00CC5E3F" w:rsidRPr="00124637">
        <w:t xml:space="preserve">also </w:t>
      </w:r>
      <w:r w:rsidRPr="00124637">
        <w:t xml:space="preserve">manages and prioritises </w:t>
      </w:r>
      <w:r w:rsidR="00CC5E3F" w:rsidRPr="00124637">
        <w:t xml:space="preserve">the </w:t>
      </w:r>
      <w:r w:rsidRPr="00124637">
        <w:t>enforcement of technical standards through priority compliance areas (PCAs)</w:t>
      </w:r>
      <w:r w:rsidR="00CC5E3F" w:rsidRPr="00124637">
        <w:t xml:space="preserve">, which in </w:t>
      </w:r>
      <w:r w:rsidRPr="00124637">
        <w:t>2014</w:t>
      </w:r>
      <w:r w:rsidR="00CC5E3F" w:rsidRPr="00124637">
        <w:t>–</w:t>
      </w:r>
      <w:r w:rsidRPr="00124637">
        <w:t xml:space="preserve">15 </w:t>
      </w:r>
      <w:r w:rsidR="00CC5E3F" w:rsidRPr="00124637">
        <w:t>comprised</w:t>
      </w:r>
      <w:r w:rsidRPr="00124637">
        <w:t>:</w:t>
      </w:r>
    </w:p>
    <w:p w14:paraId="47F141FD" w14:textId="77777777" w:rsidR="00FA3C38" w:rsidRPr="00124637" w:rsidRDefault="00FA3C38" w:rsidP="0002732F">
      <w:pPr>
        <w:pStyle w:val="ListBullet"/>
        <w:keepNext/>
        <w:keepLines/>
        <w:spacing w:after="120"/>
      </w:pPr>
      <w:r w:rsidRPr="00124637">
        <w:t>technical regulation of</w:t>
      </w:r>
      <w:r w:rsidR="00CC5E3F" w:rsidRPr="00124637">
        <w:t xml:space="preserve"> l</w:t>
      </w:r>
      <w:r w:rsidRPr="00124637">
        <w:t>ighting</w:t>
      </w:r>
      <w:r w:rsidR="00CC5E3F" w:rsidRPr="00124637">
        <w:t xml:space="preserve"> (</w:t>
      </w:r>
      <w:r w:rsidRPr="00124637">
        <w:t>particularly LED globes</w:t>
      </w:r>
      <w:r w:rsidR="00CC5E3F" w:rsidRPr="00124637">
        <w:t>) and w</w:t>
      </w:r>
      <w:r w:rsidRPr="00124637">
        <w:t>ireless microphones</w:t>
      </w:r>
    </w:p>
    <w:p w14:paraId="0D7D66D2" w14:textId="77777777" w:rsidR="00FA3C38" w:rsidRPr="00124637" w:rsidRDefault="00FA3C38" w:rsidP="00DE1F7F">
      <w:pPr>
        <w:pStyle w:val="ListBullet"/>
      </w:pPr>
      <w:r w:rsidRPr="00124637">
        <w:t>EME compliance in the following areas:</w:t>
      </w:r>
    </w:p>
    <w:p w14:paraId="1EDE4CF3" w14:textId="77777777" w:rsidR="00FA3C38" w:rsidRPr="00124637" w:rsidRDefault="00FA3C38" w:rsidP="00DE1F7F">
      <w:pPr>
        <w:pStyle w:val="ListBullet2"/>
      </w:pPr>
      <w:r w:rsidRPr="00124637">
        <w:rPr>
          <w:lang w:val="en"/>
        </w:rPr>
        <w:t xml:space="preserve">suppliers </w:t>
      </w:r>
      <w:r w:rsidRPr="00124637">
        <w:t>of Wi-Fi devices</w:t>
      </w:r>
    </w:p>
    <w:p w14:paraId="513AC4C4" w14:textId="77777777" w:rsidR="00FA3C38" w:rsidRPr="00124637" w:rsidRDefault="00FA3C38" w:rsidP="00C74ED3">
      <w:pPr>
        <w:pStyle w:val="ListBullet2"/>
        <w:spacing w:after="120"/>
        <w:rPr>
          <w:lang w:val="en"/>
        </w:rPr>
      </w:pPr>
      <w:r w:rsidRPr="00124637">
        <w:t>operators of wireless</w:t>
      </w:r>
      <w:r w:rsidRPr="00124637">
        <w:rPr>
          <w:lang w:val="en"/>
        </w:rPr>
        <w:t xml:space="preserve"> broadband and smart meter base stations</w:t>
      </w:r>
    </w:p>
    <w:p w14:paraId="569B7FC6" w14:textId="77777777" w:rsidR="00FA3C38" w:rsidRPr="00124637" w:rsidRDefault="00FA3C38" w:rsidP="00FA3C38">
      <w:pPr>
        <w:pStyle w:val="ListBulletLast"/>
      </w:pPr>
      <w:r w:rsidRPr="00124637">
        <w:t>radiocommunications transmitter licensing compliance in the 400 MHz band</w:t>
      </w:r>
      <w:r w:rsidR="00CC5E3F" w:rsidRPr="00124637">
        <w:t>.</w:t>
      </w:r>
    </w:p>
    <w:p w14:paraId="2681B057" w14:textId="77777777" w:rsidR="00CC5E3F" w:rsidRPr="00124637" w:rsidRDefault="00C14941" w:rsidP="00CC5E3F">
      <w:r w:rsidRPr="00124637">
        <w:t>Table 11</w:t>
      </w:r>
      <w:r w:rsidR="00CC5E3F" w:rsidRPr="00124637">
        <w:t xml:space="preserve"> shows the ACMA’s compliance and enforcement work in these areas for the last three years.</w:t>
      </w:r>
    </w:p>
    <w:p w14:paraId="5856B22D" w14:textId="77777777" w:rsidR="00C74ED3" w:rsidRPr="00124637" w:rsidRDefault="00C74ED3" w:rsidP="00C74ED3">
      <w:pPr>
        <w:pStyle w:val="Caption"/>
        <w:keepNext/>
        <w:spacing w:after="120"/>
        <w:rPr>
          <w:color w:val="auto"/>
        </w:rPr>
      </w:pPr>
      <w:r w:rsidRPr="00124637">
        <w:rPr>
          <w:color w:val="auto"/>
        </w:rPr>
        <w:lastRenderedPageBreak/>
        <w:t>Radiocommunications cases, 2012–13 to 2014–15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8"/>
        <w:gridCol w:w="1701"/>
        <w:gridCol w:w="1842"/>
        <w:gridCol w:w="1701"/>
      </w:tblGrid>
      <w:tr w:rsidR="00C74ED3" w:rsidRPr="00FF00DD" w14:paraId="4BAB52CC" w14:textId="77777777" w:rsidTr="00800C4D">
        <w:trPr>
          <w:trHeight w:val="240"/>
        </w:trPr>
        <w:tc>
          <w:tcPr>
            <w:tcW w:w="4078" w:type="dxa"/>
            <w:vMerge w:val="restart"/>
            <w:shd w:val="clear" w:color="auto" w:fill="404040" w:themeFill="text1" w:themeFillTint="BF"/>
            <w:tcMar>
              <w:top w:w="57" w:type="dxa"/>
              <w:left w:w="57" w:type="dxa"/>
              <w:bottom w:w="57" w:type="dxa"/>
              <w:right w:w="57" w:type="dxa"/>
            </w:tcMar>
            <w:vAlign w:val="center"/>
          </w:tcPr>
          <w:p w14:paraId="10FE4783" w14:textId="77777777" w:rsidR="00C74ED3" w:rsidRPr="00C74ED3" w:rsidRDefault="00C74ED3" w:rsidP="00C74ED3">
            <w:pPr>
              <w:pStyle w:val="TableHeading"/>
              <w:keepNext/>
              <w:keepLines/>
              <w:rPr>
                <w:rFonts w:cs="Arial"/>
                <w:color w:val="FFFFFF" w:themeColor="background1"/>
              </w:rPr>
            </w:pPr>
            <w:r w:rsidRPr="00C74ED3">
              <w:rPr>
                <w:rFonts w:cs="Arial"/>
                <w:color w:val="FFFFFF" w:themeColor="background1"/>
              </w:rPr>
              <w:t>Action type</w:t>
            </w:r>
          </w:p>
        </w:tc>
        <w:tc>
          <w:tcPr>
            <w:tcW w:w="5244" w:type="dxa"/>
            <w:gridSpan w:val="3"/>
            <w:shd w:val="clear" w:color="auto" w:fill="404040" w:themeFill="text1" w:themeFillTint="BF"/>
            <w:tcMar>
              <w:top w:w="57" w:type="dxa"/>
              <w:left w:w="57" w:type="dxa"/>
              <w:bottom w:w="57" w:type="dxa"/>
              <w:right w:w="57" w:type="dxa"/>
            </w:tcMar>
          </w:tcPr>
          <w:p w14:paraId="060A13EE" w14:textId="77777777" w:rsidR="00C74ED3" w:rsidRPr="00C74ED3" w:rsidRDefault="00C74ED3" w:rsidP="00C74ED3">
            <w:pPr>
              <w:pStyle w:val="TableHeading"/>
              <w:keepNext/>
              <w:keepLines/>
              <w:jc w:val="center"/>
              <w:rPr>
                <w:rFonts w:cs="Arial"/>
                <w:color w:val="FFFFFF" w:themeColor="background1"/>
              </w:rPr>
            </w:pPr>
            <w:r w:rsidRPr="00C74ED3">
              <w:rPr>
                <w:rFonts w:cs="Arial"/>
                <w:color w:val="FFFFFF" w:themeColor="background1"/>
              </w:rPr>
              <w:t>Number of actions</w:t>
            </w:r>
          </w:p>
        </w:tc>
      </w:tr>
      <w:tr w:rsidR="00C74ED3" w:rsidRPr="00FF00DD" w14:paraId="4E916C62" w14:textId="77777777" w:rsidTr="00800C4D">
        <w:trPr>
          <w:trHeight w:val="240"/>
        </w:trPr>
        <w:tc>
          <w:tcPr>
            <w:tcW w:w="4078" w:type="dxa"/>
            <w:vMerge/>
            <w:shd w:val="clear" w:color="auto" w:fill="404040" w:themeFill="text1" w:themeFillTint="BF"/>
            <w:tcMar>
              <w:top w:w="57" w:type="dxa"/>
              <w:left w:w="57" w:type="dxa"/>
              <w:bottom w:w="57" w:type="dxa"/>
              <w:right w:w="57" w:type="dxa"/>
            </w:tcMar>
          </w:tcPr>
          <w:p w14:paraId="069444F0" w14:textId="77777777" w:rsidR="00C74ED3" w:rsidRPr="00C74ED3" w:rsidRDefault="00C74ED3" w:rsidP="00C74ED3">
            <w:pPr>
              <w:pStyle w:val="TableHeading"/>
              <w:keepNext/>
              <w:keepLines/>
              <w:rPr>
                <w:rFonts w:cs="Arial"/>
                <w:color w:val="FFFFFF" w:themeColor="background1"/>
              </w:rPr>
            </w:pPr>
          </w:p>
        </w:tc>
        <w:tc>
          <w:tcPr>
            <w:tcW w:w="1701" w:type="dxa"/>
            <w:shd w:val="clear" w:color="auto" w:fill="404040" w:themeFill="text1" w:themeFillTint="BF"/>
            <w:tcMar>
              <w:top w:w="57" w:type="dxa"/>
              <w:left w:w="57" w:type="dxa"/>
              <w:bottom w:w="57" w:type="dxa"/>
              <w:right w:w="57" w:type="dxa"/>
            </w:tcMar>
          </w:tcPr>
          <w:p w14:paraId="01256317" w14:textId="77777777" w:rsidR="00C74ED3" w:rsidRPr="00C74ED3" w:rsidRDefault="00C74ED3" w:rsidP="00C74ED3">
            <w:pPr>
              <w:pStyle w:val="TableHeading"/>
              <w:keepNext/>
              <w:keepLines/>
              <w:rPr>
                <w:rFonts w:cs="Arial"/>
                <w:color w:val="FFFFFF" w:themeColor="background1"/>
              </w:rPr>
            </w:pPr>
            <w:r w:rsidRPr="00C74ED3">
              <w:rPr>
                <w:rFonts w:cs="Arial"/>
                <w:color w:val="FFFFFF" w:themeColor="background1"/>
              </w:rPr>
              <w:t>2012–13</w:t>
            </w:r>
          </w:p>
        </w:tc>
        <w:tc>
          <w:tcPr>
            <w:tcW w:w="1842" w:type="dxa"/>
            <w:shd w:val="clear" w:color="auto" w:fill="404040" w:themeFill="text1" w:themeFillTint="BF"/>
            <w:tcMar>
              <w:top w:w="57" w:type="dxa"/>
              <w:left w:w="57" w:type="dxa"/>
              <w:bottom w:w="57" w:type="dxa"/>
              <w:right w:w="57" w:type="dxa"/>
            </w:tcMar>
          </w:tcPr>
          <w:p w14:paraId="125709CD" w14:textId="77777777" w:rsidR="00C74ED3" w:rsidRPr="00C74ED3" w:rsidRDefault="00C74ED3" w:rsidP="00C74ED3">
            <w:pPr>
              <w:pStyle w:val="TableHeading"/>
              <w:keepNext/>
              <w:keepLines/>
              <w:rPr>
                <w:rFonts w:cs="Arial"/>
                <w:color w:val="FFFFFF" w:themeColor="background1"/>
              </w:rPr>
            </w:pPr>
            <w:r w:rsidRPr="00C74ED3">
              <w:rPr>
                <w:rFonts w:cs="Arial"/>
                <w:color w:val="FFFFFF" w:themeColor="background1"/>
              </w:rPr>
              <w:t>2013–14</w:t>
            </w:r>
          </w:p>
        </w:tc>
        <w:tc>
          <w:tcPr>
            <w:tcW w:w="1701" w:type="dxa"/>
            <w:shd w:val="clear" w:color="auto" w:fill="404040" w:themeFill="text1" w:themeFillTint="BF"/>
          </w:tcPr>
          <w:p w14:paraId="301FC9E7" w14:textId="77777777" w:rsidR="00C74ED3" w:rsidRPr="00C74ED3" w:rsidRDefault="00C74ED3" w:rsidP="002E0B1B">
            <w:pPr>
              <w:pStyle w:val="TableHeading"/>
              <w:keepNext/>
              <w:keepLines/>
              <w:jc w:val="right"/>
              <w:rPr>
                <w:rFonts w:cs="Arial"/>
                <w:color w:val="FFFFFF" w:themeColor="background1"/>
              </w:rPr>
            </w:pPr>
            <w:r w:rsidRPr="00C74ED3">
              <w:rPr>
                <w:rFonts w:cs="Arial"/>
                <w:color w:val="FFFFFF" w:themeColor="background1"/>
              </w:rPr>
              <w:t>2014–15</w:t>
            </w:r>
          </w:p>
        </w:tc>
      </w:tr>
      <w:tr w:rsidR="00C74ED3" w:rsidRPr="00FF00DD" w14:paraId="7298A972" w14:textId="77777777" w:rsidTr="00800C4D">
        <w:tc>
          <w:tcPr>
            <w:tcW w:w="4078" w:type="dxa"/>
            <w:tcMar>
              <w:top w:w="57" w:type="dxa"/>
              <w:left w:w="57" w:type="dxa"/>
              <w:bottom w:w="57" w:type="dxa"/>
              <w:right w:w="57" w:type="dxa"/>
            </w:tcMar>
          </w:tcPr>
          <w:p w14:paraId="3BF7DC68" w14:textId="77777777" w:rsidR="00C74ED3" w:rsidRPr="00124637" w:rsidRDefault="00C74ED3" w:rsidP="00C74ED3">
            <w:pPr>
              <w:pStyle w:val="TableBody"/>
              <w:keepNext/>
              <w:keepLines/>
              <w:rPr>
                <w:b/>
              </w:rPr>
            </w:pPr>
            <w:r w:rsidRPr="00124637">
              <w:rPr>
                <w:b/>
              </w:rPr>
              <w:t>Investigations</w:t>
            </w:r>
          </w:p>
        </w:tc>
        <w:tc>
          <w:tcPr>
            <w:tcW w:w="1701" w:type="dxa"/>
            <w:tcMar>
              <w:top w:w="57" w:type="dxa"/>
              <w:left w:w="57" w:type="dxa"/>
              <w:bottom w:w="57" w:type="dxa"/>
              <w:right w:w="57" w:type="dxa"/>
            </w:tcMar>
          </w:tcPr>
          <w:p w14:paraId="2ECF5A0C" w14:textId="77777777" w:rsidR="00C74ED3" w:rsidRPr="00124637" w:rsidRDefault="00C74ED3" w:rsidP="00C74ED3">
            <w:pPr>
              <w:pStyle w:val="TableBody"/>
              <w:keepNext/>
              <w:keepLines/>
            </w:pPr>
            <w:r w:rsidRPr="00124637">
              <w:t>418</w:t>
            </w:r>
          </w:p>
        </w:tc>
        <w:tc>
          <w:tcPr>
            <w:tcW w:w="1842" w:type="dxa"/>
            <w:tcMar>
              <w:top w:w="57" w:type="dxa"/>
              <w:left w:w="57" w:type="dxa"/>
              <w:bottom w:w="57" w:type="dxa"/>
              <w:right w:w="57" w:type="dxa"/>
            </w:tcMar>
          </w:tcPr>
          <w:p w14:paraId="63BE5726" w14:textId="77777777" w:rsidR="00C74ED3" w:rsidRPr="00124637" w:rsidRDefault="00C74ED3" w:rsidP="00C74ED3">
            <w:pPr>
              <w:pStyle w:val="TableBody"/>
              <w:keepNext/>
              <w:keepLines/>
            </w:pPr>
            <w:r w:rsidRPr="00124637">
              <w:t>291</w:t>
            </w:r>
          </w:p>
        </w:tc>
        <w:tc>
          <w:tcPr>
            <w:tcW w:w="1701" w:type="dxa"/>
          </w:tcPr>
          <w:p w14:paraId="18223003" w14:textId="77777777" w:rsidR="00C74ED3" w:rsidRPr="00124637" w:rsidRDefault="00C74ED3" w:rsidP="002E0B1B">
            <w:pPr>
              <w:pStyle w:val="TableBody"/>
              <w:keepNext/>
              <w:keepLines/>
              <w:jc w:val="right"/>
            </w:pPr>
            <w:r w:rsidRPr="00124637">
              <w:t>256</w:t>
            </w:r>
          </w:p>
        </w:tc>
      </w:tr>
      <w:tr w:rsidR="00C74ED3" w:rsidRPr="00FF00DD" w14:paraId="76025225" w14:textId="77777777" w:rsidTr="00800C4D">
        <w:tc>
          <w:tcPr>
            <w:tcW w:w="4078" w:type="dxa"/>
            <w:tcMar>
              <w:top w:w="57" w:type="dxa"/>
              <w:left w:w="57" w:type="dxa"/>
              <w:bottom w:w="57" w:type="dxa"/>
              <w:right w:w="57" w:type="dxa"/>
            </w:tcMar>
          </w:tcPr>
          <w:p w14:paraId="65A969C1" w14:textId="77777777" w:rsidR="00C74ED3" w:rsidRPr="00124637" w:rsidRDefault="00C74ED3" w:rsidP="00C74ED3">
            <w:pPr>
              <w:pStyle w:val="TableBody"/>
              <w:keepNext/>
              <w:keepLines/>
              <w:ind w:left="284"/>
            </w:pPr>
            <w:r w:rsidRPr="00124637">
              <w:t>Advice notices issued</w:t>
            </w:r>
          </w:p>
        </w:tc>
        <w:tc>
          <w:tcPr>
            <w:tcW w:w="1701" w:type="dxa"/>
            <w:tcMar>
              <w:top w:w="57" w:type="dxa"/>
              <w:left w:w="57" w:type="dxa"/>
              <w:bottom w:w="57" w:type="dxa"/>
              <w:right w:w="57" w:type="dxa"/>
            </w:tcMar>
          </w:tcPr>
          <w:p w14:paraId="2F4B0E52" w14:textId="77777777" w:rsidR="00C74ED3" w:rsidRPr="00124637" w:rsidRDefault="00C74ED3" w:rsidP="00C74ED3">
            <w:pPr>
              <w:pStyle w:val="TableBody"/>
              <w:keepNext/>
              <w:keepLines/>
            </w:pPr>
            <w:r w:rsidRPr="00124637">
              <w:t>19</w:t>
            </w:r>
          </w:p>
        </w:tc>
        <w:tc>
          <w:tcPr>
            <w:tcW w:w="1842" w:type="dxa"/>
            <w:tcMar>
              <w:top w:w="57" w:type="dxa"/>
              <w:left w:w="57" w:type="dxa"/>
              <w:bottom w:w="57" w:type="dxa"/>
              <w:right w:w="57" w:type="dxa"/>
            </w:tcMar>
          </w:tcPr>
          <w:p w14:paraId="6D712745" w14:textId="77777777" w:rsidR="00C74ED3" w:rsidRPr="00124637" w:rsidRDefault="00C74ED3" w:rsidP="00C74ED3">
            <w:pPr>
              <w:pStyle w:val="TableBody"/>
              <w:keepNext/>
              <w:keepLines/>
            </w:pPr>
            <w:r w:rsidRPr="00124637">
              <w:t>6</w:t>
            </w:r>
          </w:p>
        </w:tc>
        <w:tc>
          <w:tcPr>
            <w:tcW w:w="1701" w:type="dxa"/>
          </w:tcPr>
          <w:p w14:paraId="28FC66D9" w14:textId="77777777" w:rsidR="00C74ED3" w:rsidRPr="00124637" w:rsidRDefault="00C74ED3" w:rsidP="002E0B1B">
            <w:pPr>
              <w:pStyle w:val="TableBody"/>
              <w:keepNext/>
              <w:keepLines/>
              <w:jc w:val="right"/>
            </w:pPr>
            <w:r w:rsidRPr="00124637">
              <w:t>4</w:t>
            </w:r>
          </w:p>
        </w:tc>
      </w:tr>
      <w:tr w:rsidR="00C74ED3" w:rsidRPr="00FF00DD" w14:paraId="50E85B5C" w14:textId="77777777" w:rsidTr="00800C4D">
        <w:tc>
          <w:tcPr>
            <w:tcW w:w="4078" w:type="dxa"/>
            <w:tcMar>
              <w:top w:w="57" w:type="dxa"/>
              <w:left w:w="57" w:type="dxa"/>
              <w:bottom w:w="57" w:type="dxa"/>
              <w:right w:w="57" w:type="dxa"/>
            </w:tcMar>
          </w:tcPr>
          <w:p w14:paraId="521641F0" w14:textId="77777777" w:rsidR="00C74ED3" w:rsidRPr="00124637" w:rsidRDefault="00C74ED3" w:rsidP="00C74ED3">
            <w:pPr>
              <w:pStyle w:val="TableBody"/>
              <w:keepNext/>
              <w:keepLines/>
              <w:ind w:left="284"/>
            </w:pPr>
            <w:r w:rsidRPr="00124637">
              <w:t>Warning notices issued</w:t>
            </w:r>
          </w:p>
        </w:tc>
        <w:tc>
          <w:tcPr>
            <w:tcW w:w="1701" w:type="dxa"/>
            <w:tcMar>
              <w:top w:w="57" w:type="dxa"/>
              <w:left w:w="57" w:type="dxa"/>
              <w:bottom w:w="57" w:type="dxa"/>
              <w:right w:w="57" w:type="dxa"/>
            </w:tcMar>
          </w:tcPr>
          <w:p w14:paraId="3AEC6EA0" w14:textId="77777777" w:rsidR="00C74ED3" w:rsidRPr="00124637" w:rsidRDefault="00C74ED3" w:rsidP="00C74ED3">
            <w:pPr>
              <w:pStyle w:val="TableBody"/>
              <w:keepNext/>
              <w:keepLines/>
            </w:pPr>
            <w:r w:rsidRPr="00124637">
              <w:t>157</w:t>
            </w:r>
          </w:p>
        </w:tc>
        <w:tc>
          <w:tcPr>
            <w:tcW w:w="1842" w:type="dxa"/>
            <w:tcMar>
              <w:top w:w="57" w:type="dxa"/>
              <w:left w:w="57" w:type="dxa"/>
              <w:bottom w:w="57" w:type="dxa"/>
              <w:right w:w="57" w:type="dxa"/>
            </w:tcMar>
          </w:tcPr>
          <w:p w14:paraId="1B5CD32F" w14:textId="77777777" w:rsidR="00C74ED3" w:rsidRPr="00124637" w:rsidRDefault="00C74ED3" w:rsidP="00C74ED3">
            <w:pPr>
              <w:pStyle w:val="TableBody"/>
              <w:keepNext/>
              <w:keepLines/>
            </w:pPr>
            <w:r w:rsidRPr="00124637">
              <w:t>120</w:t>
            </w:r>
          </w:p>
        </w:tc>
        <w:tc>
          <w:tcPr>
            <w:tcW w:w="1701" w:type="dxa"/>
          </w:tcPr>
          <w:p w14:paraId="531E6A7F" w14:textId="77777777" w:rsidR="00C74ED3" w:rsidRPr="00124637" w:rsidRDefault="00C74ED3" w:rsidP="002E0B1B">
            <w:pPr>
              <w:pStyle w:val="TableBody"/>
              <w:keepNext/>
              <w:keepLines/>
              <w:jc w:val="right"/>
            </w:pPr>
            <w:r w:rsidRPr="00124637">
              <w:t>219</w:t>
            </w:r>
          </w:p>
        </w:tc>
      </w:tr>
      <w:tr w:rsidR="00C74ED3" w:rsidRPr="00FF00DD" w14:paraId="3274E0FE" w14:textId="77777777" w:rsidTr="00800C4D">
        <w:tc>
          <w:tcPr>
            <w:tcW w:w="4078" w:type="dxa"/>
            <w:tcMar>
              <w:top w:w="57" w:type="dxa"/>
              <w:left w:w="57" w:type="dxa"/>
              <w:bottom w:w="57" w:type="dxa"/>
              <w:right w:w="57" w:type="dxa"/>
            </w:tcMar>
          </w:tcPr>
          <w:p w14:paraId="7D05AE5C" w14:textId="69A9437C" w:rsidR="00C74ED3" w:rsidRPr="00124637" w:rsidRDefault="00C74ED3" w:rsidP="00C74ED3">
            <w:pPr>
              <w:pStyle w:val="TableBody"/>
              <w:keepNext/>
              <w:keepLines/>
              <w:ind w:left="284"/>
            </w:pPr>
            <w:r w:rsidRPr="00124637">
              <w:t>Infringement notices</w:t>
            </w:r>
            <w:r w:rsidR="006037DC">
              <w:t xml:space="preserve"> issued</w:t>
            </w:r>
          </w:p>
        </w:tc>
        <w:tc>
          <w:tcPr>
            <w:tcW w:w="1701" w:type="dxa"/>
            <w:tcMar>
              <w:top w:w="57" w:type="dxa"/>
              <w:left w:w="57" w:type="dxa"/>
              <w:bottom w:w="57" w:type="dxa"/>
              <w:right w:w="57" w:type="dxa"/>
            </w:tcMar>
          </w:tcPr>
          <w:p w14:paraId="5DFF0CBC" w14:textId="77777777" w:rsidR="00C74ED3" w:rsidRPr="00124637" w:rsidRDefault="00C74ED3" w:rsidP="00C74ED3">
            <w:pPr>
              <w:pStyle w:val="TableBody"/>
              <w:keepNext/>
              <w:keepLines/>
            </w:pPr>
            <w:r w:rsidRPr="00124637">
              <w:t>1</w:t>
            </w:r>
          </w:p>
        </w:tc>
        <w:tc>
          <w:tcPr>
            <w:tcW w:w="1842" w:type="dxa"/>
            <w:tcMar>
              <w:top w:w="57" w:type="dxa"/>
              <w:left w:w="57" w:type="dxa"/>
              <w:bottom w:w="57" w:type="dxa"/>
              <w:right w:w="57" w:type="dxa"/>
            </w:tcMar>
          </w:tcPr>
          <w:p w14:paraId="1C987851" w14:textId="77777777" w:rsidR="00C74ED3" w:rsidRPr="00124637" w:rsidRDefault="00C74ED3" w:rsidP="00C74ED3">
            <w:pPr>
              <w:pStyle w:val="TableBody"/>
              <w:keepNext/>
              <w:keepLines/>
            </w:pPr>
            <w:r w:rsidRPr="00124637">
              <w:t>11</w:t>
            </w:r>
          </w:p>
        </w:tc>
        <w:tc>
          <w:tcPr>
            <w:tcW w:w="1701" w:type="dxa"/>
          </w:tcPr>
          <w:p w14:paraId="204C841C" w14:textId="77777777" w:rsidR="00C74ED3" w:rsidRPr="00124637" w:rsidRDefault="00C74ED3" w:rsidP="002E0B1B">
            <w:pPr>
              <w:pStyle w:val="TableBody"/>
              <w:keepNext/>
              <w:keepLines/>
              <w:jc w:val="right"/>
            </w:pPr>
            <w:r w:rsidRPr="00124637">
              <w:t>17</w:t>
            </w:r>
          </w:p>
        </w:tc>
      </w:tr>
      <w:tr w:rsidR="00C74ED3" w:rsidRPr="00FF00DD" w14:paraId="2F58F884" w14:textId="77777777" w:rsidTr="00800C4D">
        <w:tc>
          <w:tcPr>
            <w:tcW w:w="4078" w:type="dxa"/>
            <w:tcMar>
              <w:top w:w="57" w:type="dxa"/>
              <w:left w:w="57" w:type="dxa"/>
              <w:bottom w:w="57" w:type="dxa"/>
              <w:right w:w="57" w:type="dxa"/>
            </w:tcMar>
          </w:tcPr>
          <w:p w14:paraId="48E83A4D" w14:textId="77777777" w:rsidR="00C74ED3" w:rsidRPr="00124637" w:rsidRDefault="00C74ED3" w:rsidP="00C74ED3">
            <w:pPr>
              <w:pStyle w:val="TableBody"/>
              <w:keepNext/>
              <w:keepLines/>
              <w:ind w:left="284"/>
            </w:pPr>
            <w:r w:rsidRPr="00124637">
              <w:t>Prosecutions commenced</w:t>
            </w:r>
          </w:p>
        </w:tc>
        <w:tc>
          <w:tcPr>
            <w:tcW w:w="1701" w:type="dxa"/>
            <w:tcMar>
              <w:top w:w="57" w:type="dxa"/>
              <w:left w:w="57" w:type="dxa"/>
              <w:bottom w:w="57" w:type="dxa"/>
              <w:right w:w="57" w:type="dxa"/>
            </w:tcMar>
          </w:tcPr>
          <w:p w14:paraId="1011877F" w14:textId="77777777" w:rsidR="00C74ED3" w:rsidRPr="00124637" w:rsidRDefault="00C74ED3" w:rsidP="00C74ED3">
            <w:pPr>
              <w:pStyle w:val="TableBody"/>
              <w:keepNext/>
              <w:keepLines/>
            </w:pPr>
            <w:r w:rsidRPr="00124637">
              <w:t>0</w:t>
            </w:r>
          </w:p>
        </w:tc>
        <w:tc>
          <w:tcPr>
            <w:tcW w:w="1842" w:type="dxa"/>
            <w:tcMar>
              <w:top w:w="57" w:type="dxa"/>
              <w:left w:w="57" w:type="dxa"/>
              <w:bottom w:w="57" w:type="dxa"/>
              <w:right w:w="57" w:type="dxa"/>
            </w:tcMar>
          </w:tcPr>
          <w:p w14:paraId="0B87DFB8" w14:textId="77777777" w:rsidR="00C74ED3" w:rsidRPr="00124637" w:rsidRDefault="00C74ED3" w:rsidP="00C74ED3">
            <w:pPr>
              <w:pStyle w:val="TableBody"/>
              <w:keepNext/>
              <w:keepLines/>
            </w:pPr>
            <w:r w:rsidRPr="00124637">
              <w:t>5</w:t>
            </w:r>
          </w:p>
        </w:tc>
        <w:tc>
          <w:tcPr>
            <w:tcW w:w="1701" w:type="dxa"/>
          </w:tcPr>
          <w:p w14:paraId="769E3B61" w14:textId="77777777" w:rsidR="00C74ED3" w:rsidRPr="00124637" w:rsidRDefault="00C74ED3" w:rsidP="002E0B1B">
            <w:pPr>
              <w:pStyle w:val="TableBody"/>
              <w:keepNext/>
              <w:keepLines/>
              <w:jc w:val="right"/>
            </w:pPr>
            <w:r w:rsidRPr="00124637">
              <w:t>3</w:t>
            </w:r>
          </w:p>
        </w:tc>
      </w:tr>
      <w:tr w:rsidR="00C74ED3" w:rsidRPr="00FF00DD" w14:paraId="62D3ACD2" w14:textId="77777777" w:rsidTr="00800C4D">
        <w:tc>
          <w:tcPr>
            <w:tcW w:w="4078" w:type="dxa"/>
            <w:tcMar>
              <w:top w:w="57" w:type="dxa"/>
              <w:left w:w="57" w:type="dxa"/>
              <w:bottom w:w="57" w:type="dxa"/>
              <w:right w:w="57" w:type="dxa"/>
            </w:tcMar>
          </w:tcPr>
          <w:p w14:paraId="0342B899" w14:textId="77777777" w:rsidR="00C74ED3" w:rsidRPr="00124637" w:rsidRDefault="00C74ED3" w:rsidP="00C74ED3">
            <w:pPr>
              <w:pStyle w:val="TableBody"/>
              <w:keepNext/>
              <w:keepLines/>
              <w:rPr>
                <w:b/>
              </w:rPr>
            </w:pPr>
            <w:r w:rsidRPr="00124637">
              <w:rPr>
                <w:b/>
              </w:rPr>
              <w:t>Response</w:t>
            </w:r>
            <w:r w:rsidR="00CC5E3F" w:rsidRPr="00124637">
              <w:rPr>
                <w:b/>
              </w:rPr>
              <w:t>s to i</w:t>
            </w:r>
            <w:r w:rsidRPr="00124637">
              <w:rPr>
                <w:b/>
              </w:rPr>
              <w:t>nterference</w:t>
            </w:r>
          </w:p>
        </w:tc>
        <w:tc>
          <w:tcPr>
            <w:tcW w:w="1701" w:type="dxa"/>
            <w:tcMar>
              <w:top w:w="57" w:type="dxa"/>
              <w:left w:w="57" w:type="dxa"/>
              <w:bottom w:w="57" w:type="dxa"/>
              <w:right w:w="57" w:type="dxa"/>
            </w:tcMar>
          </w:tcPr>
          <w:p w14:paraId="31B0747D" w14:textId="77777777" w:rsidR="00C74ED3" w:rsidRPr="00124637" w:rsidRDefault="00C74ED3" w:rsidP="00C74ED3">
            <w:pPr>
              <w:pStyle w:val="TableBody"/>
              <w:keepNext/>
              <w:keepLines/>
            </w:pPr>
            <w:r w:rsidRPr="00124637">
              <w:t>968</w:t>
            </w:r>
          </w:p>
        </w:tc>
        <w:tc>
          <w:tcPr>
            <w:tcW w:w="1842" w:type="dxa"/>
            <w:tcMar>
              <w:top w:w="57" w:type="dxa"/>
              <w:left w:w="57" w:type="dxa"/>
              <w:bottom w:w="57" w:type="dxa"/>
              <w:right w:w="57" w:type="dxa"/>
            </w:tcMar>
          </w:tcPr>
          <w:p w14:paraId="5971AE03" w14:textId="77777777" w:rsidR="00C74ED3" w:rsidRPr="00124637" w:rsidRDefault="00C74ED3" w:rsidP="00C74ED3">
            <w:pPr>
              <w:pStyle w:val="TableBody"/>
              <w:keepNext/>
              <w:keepLines/>
            </w:pPr>
            <w:r w:rsidRPr="00124637">
              <w:t>1</w:t>
            </w:r>
            <w:r w:rsidR="00CC5E3F" w:rsidRPr="00124637">
              <w:t>,</w:t>
            </w:r>
            <w:r w:rsidRPr="00124637">
              <w:t>120</w:t>
            </w:r>
          </w:p>
        </w:tc>
        <w:tc>
          <w:tcPr>
            <w:tcW w:w="1701" w:type="dxa"/>
          </w:tcPr>
          <w:p w14:paraId="792D8852" w14:textId="77777777" w:rsidR="00C74ED3" w:rsidRPr="00124637" w:rsidRDefault="00C74ED3" w:rsidP="002E0B1B">
            <w:pPr>
              <w:pStyle w:val="TableBody"/>
              <w:keepNext/>
              <w:keepLines/>
              <w:jc w:val="right"/>
            </w:pPr>
            <w:r w:rsidRPr="00124637">
              <w:t>1</w:t>
            </w:r>
            <w:r w:rsidR="00CC5E3F" w:rsidRPr="00124637">
              <w:t>,</w:t>
            </w:r>
            <w:r w:rsidRPr="00124637">
              <w:t>333</w:t>
            </w:r>
          </w:p>
        </w:tc>
      </w:tr>
      <w:tr w:rsidR="00C74ED3" w:rsidRPr="00FF00DD" w14:paraId="30F0BF21" w14:textId="77777777" w:rsidTr="00800C4D">
        <w:tc>
          <w:tcPr>
            <w:tcW w:w="4078" w:type="dxa"/>
            <w:tcMar>
              <w:top w:w="57" w:type="dxa"/>
              <w:left w:w="57" w:type="dxa"/>
              <w:bottom w:w="57" w:type="dxa"/>
              <w:right w:w="57" w:type="dxa"/>
            </w:tcMar>
          </w:tcPr>
          <w:p w14:paraId="6D99D804" w14:textId="77777777" w:rsidR="00C74ED3" w:rsidRPr="00124637" w:rsidRDefault="00C74ED3" w:rsidP="00C74ED3">
            <w:pPr>
              <w:pStyle w:val="TableBody"/>
              <w:keepNext/>
              <w:keepLines/>
              <w:ind w:left="284"/>
            </w:pPr>
            <w:r w:rsidRPr="00124637">
              <w:t>Warning notices issued</w:t>
            </w:r>
          </w:p>
        </w:tc>
        <w:tc>
          <w:tcPr>
            <w:tcW w:w="1701" w:type="dxa"/>
            <w:tcMar>
              <w:top w:w="57" w:type="dxa"/>
              <w:left w:w="57" w:type="dxa"/>
              <w:bottom w:w="57" w:type="dxa"/>
              <w:right w:w="57" w:type="dxa"/>
            </w:tcMar>
          </w:tcPr>
          <w:p w14:paraId="42010897" w14:textId="77777777" w:rsidR="00C74ED3" w:rsidRPr="00124637" w:rsidRDefault="00C74ED3" w:rsidP="00C74ED3">
            <w:pPr>
              <w:pStyle w:val="TableBody"/>
              <w:keepNext/>
              <w:keepLines/>
            </w:pPr>
            <w:r w:rsidRPr="00124637">
              <w:t>171</w:t>
            </w:r>
          </w:p>
        </w:tc>
        <w:tc>
          <w:tcPr>
            <w:tcW w:w="1842" w:type="dxa"/>
            <w:tcMar>
              <w:top w:w="57" w:type="dxa"/>
              <w:left w:w="57" w:type="dxa"/>
              <w:bottom w:w="57" w:type="dxa"/>
              <w:right w:w="57" w:type="dxa"/>
            </w:tcMar>
          </w:tcPr>
          <w:p w14:paraId="3CB35B80" w14:textId="77777777" w:rsidR="00C74ED3" w:rsidRPr="00124637" w:rsidRDefault="00C74ED3" w:rsidP="00C74ED3">
            <w:pPr>
              <w:pStyle w:val="TableBody"/>
              <w:keepNext/>
              <w:keepLines/>
            </w:pPr>
            <w:r w:rsidRPr="00124637">
              <w:t>220</w:t>
            </w:r>
          </w:p>
        </w:tc>
        <w:tc>
          <w:tcPr>
            <w:tcW w:w="1701" w:type="dxa"/>
          </w:tcPr>
          <w:p w14:paraId="47CA24C0" w14:textId="77777777" w:rsidR="00C74ED3" w:rsidRPr="00124637" w:rsidRDefault="00C74ED3" w:rsidP="002E0B1B">
            <w:pPr>
              <w:pStyle w:val="TableBody"/>
              <w:keepNext/>
              <w:keepLines/>
              <w:jc w:val="right"/>
            </w:pPr>
            <w:r w:rsidRPr="00124637">
              <w:t>462</w:t>
            </w:r>
          </w:p>
        </w:tc>
      </w:tr>
      <w:tr w:rsidR="00C74ED3" w:rsidRPr="00FF00DD" w14:paraId="653B5B76" w14:textId="77777777" w:rsidTr="00800C4D">
        <w:tc>
          <w:tcPr>
            <w:tcW w:w="4078" w:type="dxa"/>
            <w:tcMar>
              <w:top w:w="57" w:type="dxa"/>
              <w:left w:w="57" w:type="dxa"/>
              <w:bottom w:w="57" w:type="dxa"/>
              <w:right w:w="57" w:type="dxa"/>
            </w:tcMar>
          </w:tcPr>
          <w:p w14:paraId="1EE1259D" w14:textId="77777777" w:rsidR="00C74ED3" w:rsidRPr="00124637" w:rsidRDefault="00C74ED3" w:rsidP="00C74ED3">
            <w:pPr>
              <w:pStyle w:val="TableBody"/>
              <w:keepNext/>
              <w:keepLines/>
              <w:ind w:left="284"/>
            </w:pPr>
            <w:r w:rsidRPr="00124637">
              <w:t>Advice notices issued</w:t>
            </w:r>
          </w:p>
        </w:tc>
        <w:tc>
          <w:tcPr>
            <w:tcW w:w="1701" w:type="dxa"/>
            <w:tcMar>
              <w:top w:w="57" w:type="dxa"/>
              <w:left w:w="57" w:type="dxa"/>
              <w:bottom w:w="57" w:type="dxa"/>
              <w:right w:w="57" w:type="dxa"/>
            </w:tcMar>
          </w:tcPr>
          <w:p w14:paraId="3E6CBC98" w14:textId="77777777" w:rsidR="00C74ED3" w:rsidRPr="00124637" w:rsidRDefault="00C74ED3" w:rsidP="00C74ED3">
            <w:pPr>
              <w:pStyle w:val="TableBody"/>
              <w:keepNext/>
              <w:keepLines/>
            </w:pPr>
            <w:r w:rsidRPr="00124637">
              <w:t>206</w:t>
            </w:r>
          </w:p>
        </w:tc>
        <w:tc>
          <w:tcPr>
            <w:tcW w:w="1842" w:type="dxa"/>
            <w:tcMar>
              <w:top w:w="57" w:type="dxa"/>
              <w:left w:w="57" w:type="dxa"/>
              <w:bottom w:w="57" w:type="dxa"/>
              <w:right w:w="57" w:type="dxa"/>
            </w:tcMar>
          </w:tcPr>
          <w:p w14:paraId="6C8BF4C6" w14:textId="77777777" w:rsidR="00C74ED3" w:rsidRPr="00124637" w:rsidRDefault="00C74ED3" w:rsidP="00C74ED3">
            <w:pPr>
              <w:pStyle w:val="TableBody"/>
              <w:keepNext/>
              <w:keepLines/>
            </w:pPr>
            <w:r w:rsidRPr="00124637">
              <w:t>138</w:t>
            </w:r>
          </w:p>
        </w:tc>
        <w:tc>
          <w:tcPr>
            <w:tcW w:w="1701" w:type="dxa"/>
          </w:tcPr>
          <w:p w14:paraId="503A3CCD" w14:textId="77777777" w:rsidR="00C74ED3" w:rsidRPr="00124637" w:rsidRDefault="00C74ED3" w:rsidP="002E0B1B">
            <w:pPr>
              <w:pStyle w:val="TableBody"/>
              <w:keepNext/>
              <w:keepLines/>
              <w:jc w:val="right"/>
            </w:pPr>
            <w:r w:rsidRPr="00124637">
              <w:t>132</w:t>
            </w:r>
          </w:p>
        </w:tc>
      </w:tr>
      <w:tr w:rsidR="00C74ED3" w:rsidRPr="00FF00DD" w14:paraId="59C7169F" w14:textId="77777777" w:rsidTr="00800C4D">
        <w:tc>
          <w:tcPr>
            <w:tcW w:w="4078" w:type="dxa"/>
            <w:tcMar>
              <w:top w:w="57" w:type="dxa"/>
              <w:left w:w="57" w:type="dxa"/>
              <w:bottom w:w="57" w:type="dxa"/>
              <w:right w:w="57" w:type="dxa"/>
            </w:tcMar>
          </w:tcPr>
          <w:p w14:paraId="3130B9A6" w14:textId="77777777" w:rsidR="00C74ED3" w:rsidRPr="00124637" w:rsidRDefault="00CC5E3F" w:rsidP="00CC5E3F">
            <w:pPr>
              <w:pStyle w:val="TableBody"/>
              <w:keepNext/>
              <w:keepLines/>
              <w:rPr>
                <w:b/>
              </w:rPr>
            </w:pPr>
            <w:r w:rsidRPr="00124637">
              <w:rPr>
                <w:b/>
              </w:rPr>
              <w:t>Mobile r</w:t>
            </w:r>
            <w:r w:rsidR="00C74ED3" w:rsidRPr="00124637">
              <w:rPr>
                <w:b/>
              </w:rPr>
              <w:t xml:space="preserve">epeaters </w:t>
            </w:r>
            <w:r w:rsidRPr="00124637">
              <w:rPr>
                <w:b/>
              </w:rPr>
              <w:t>d</w:t>
            </w:r>
            <w:r w:rsidR="00C74ED3" w:rsidRPr="00124637">
              <w:rPr>
                <w:b/>
              </w:rPr>
              <w:t>etected</w:t>
            </w:r>
          </w:p>
        </w:tc>
        <w:tc>
          <w:tcPr>
            <w:tcW w:w="1701" w:type="dxa"/>
            <w:tcMar>
              <w:top w:w="57" w:type="dxa"/>
              <w:left w:w="57" w:type="dxa"/>
              <w:bottom w:w="57" w:type="dxa"/>
              <w:right w:w="57" w:type="dxa"/>
            </w:tcMar>
          </w:tcPr>
          <w:p w14:paraId="354EF1D8" w14:textId="77777777" w:rsidR="00C74ED3" w:rsidRPr="00124637" w:rsidRDefault="00C74ED3" w:rsidP="00C74ED3">
            <w:pPr>
              <w:pStyle w:val="TableBody"/>
              <w:keepNext/>
              <w:keepLines/>
            </w:pPr>
            <w:r w:rsidRPr="00124637">
              <w:t>83</w:t>
            </w:r>
          </w:p>
        </w:tc>
        <w:tc>
          <w:tcPr>
            <w:tcW w:w="1842" w:type="dxa"/>
            <w:tcMar>
              <w:top w:w="57" w:type="dxa"/>
              <w:left w:w="57" w:type="dxa"/>
              <w:bottom w:w="57" w:type="dxa"/>
              <w:right w:w="57" w:type="dxa"/>
            </w:tcMar>
          </w:tcPr>
          <w:p w14:paraId="30A0AB75" w14:textId="77777777" w:rsidR="00C74ED3" w:rsidRPr="00124637" w:rsidRDefault="00C74ED3" w:rsidP="00C74ED3">
            <w:pPr>
              <w:pStyle w:val="TableBody"/>
              <w:keepNext/>
              <w:keepLines/>
            </w:pPr>
            <w:r w:rsidRPr="00124637">
              <w:t>123</w:t>
            </w:r>
          </w:p>
        </w:tc>
        <w:tc>
          <w:tcPr>
            <w:tcW w:w="1701" w:type="dxa"/>
          </w:tcPr>
          <w:p w14:paraId="1EDE85FE" w14:textId="77777777" w:rsidR="00C74ED3" w:rsidRPr="00124637" w:rsidRDefault="00C74ED3" w:rsidP="002E0B1B">
            <w:pPr>
              <w:pStyle w:val="TableBody"/>
              <w:keepNext/>
              <w:keepLines/>
              <w:jc w:val="right"/>
            </w:pPr>
            <w:r w:rsidRPr="00124637">
              <w:t>138</w:t>
            </w:r>
          </w:p>
        </w:tc>
      </w:tr>
    </w:tbl>
    <w:p w14:paraId="45BBB830" w14:textId="77777777" w:rsidR="00767038" w:rsidRPr="00124637" w:rsidRDefault="00767038" w:rsidP="00CC5E3F">
      <w:pPr>
        <w:pStyle w:val="Heading3"/>
        <w:spacing w:before="240"/>
      </w:pPr>
      <w:bookmarkStart w:id="120" w:name="_Toc433703303"/>
      <w:r w:rsidRPr="00124637">
        <w:t>Radiocommunications interference prosecutions</w:t>
      </w:r>
      <w:bookmarkEnd w:id="120"/>
    </w:p>
    <w:p w14:paraId="4D95EEE4" w14:textId="77777777" w:rsidR="002403F4" w:rsidRPr="00124637" w:rsidRDefault="002403F4" w:rsidP="002403F4">
      <w:pPr>
        <w:spacing w:after="80"/>
        <w:rPr>
          <w:rFonts w:cs="Arial"/>
        </w:rPr>
      </w:pPr>
      <w:r w:rsidRPr="00124637">
        <w:rPr>
          <w:rFonts w:cs="Arial"/>
        </w:rPr>
        <w:t xml:space="preserve">In 2014–15, of the three prosecutions begun into deliberate interference to radiocommunications, two cases concluded with convictions being recorded. The third is yet to be finalised. These involved: </w:t>
      </w:r>
    </w:p>
    <w:p w14:paraId="0BFA786C" w14:textId="77777777" w:rsidR="002403F4" w:rsidRPr="00124637" w:rsidRDefault="002403F4" w:rsidP="002403F4">
      <w:pPr>
        <w:pStyle w:val="ListBullet"/>
        <w:rPr>
          <w:rFonts w:cs="Arial"/>
        </w:rPr>
      </w:pPr>
      <w:r w:rsidRPr="00124637">
        <w:rPr>
          <w:rFonts w:cs="Arial"/>
        </w:rPr>
        <w:t>prolonged interference to Victoria Police frequencies</w:t>
      </w:r>
    </w:p>
    <w:p w14:paraId="22EA87AD" w14:textId="77777777" w:rsidR="002403F4" w:rsidRPr="00124637" w:rsidRDefault="002403F4" w:rsidP="002403F4">
      <w:pPr>
        <w:pStyle w:val="ListBullet"/>
        <w:rPr>
          <w:rFonts w:cs="Arial"/>
        </w:rPr>
      </w:pPr>
      <w:r w:rsidRPr="00124637">
        <w:rPr>
          <w:rFonts w:cs="Arial"/>
        </w:rPr>
        <w:t>deliberate interference to a Victorian taxi service</w:t>
      </w:r>
    </w:p>
    <w:p w14:paraId="1A63B36B" w14:textId="77777777" w:rsidR="002403F4" w:rsidRPr="00124637" w:rsidRDefault="002403F4" w:rsidP="002403F4">
      <w:pPr>
        <w:pStyle w:val="ListBulletLast"/>
      </w:pPr>
      <w:r w:rsidRPr="00124637">
        <w:t xml:space="preserve">repeated complaints of harassing and offensive transmissions on the Citizen Band Radio Service in Adelaide. </w:t>
      </w:r>
    </w:p>
    <w:p w14:paraId="7DE6D2DB" w14:textId="77777777" w:rsidR="00767038" w:rsidRPr="00124637" w:rsidRDefault="004917D4" w:rsidP="00FA3C38">
      <w:pPr>
        <w:pStyle w:val="Heading3"/>
      </w:pPr>
      <w:bookmarkStart w:id="121" w:name="_Toc433703304"/>
      <w:r w:rsidRPr="00124637">
        <w:t>Spectrum m</w:t>
      </w:r>
      <w:r w:rsidR="00767038" w:rsidRPr="00124637">
        <w:t>onitoring</w:t>
      </w:r>
      <w:r w:rsidR="00FA3C38" w:rsidRPr="00124637">
        <w:t xml:space="preserve"> </w:t>
      </w:r>
      <w:r w:rsidRPr="00124637">
        <w:t>n</w:t>
      </w:r>
      <w:r w:rsidR="00FA3C38" w:rsidRPr="00124637">
        <w:t>etwork</w:t>
      </w:r>
      <w:bookmarkEnd w:id="121"/>
      <w:r w:rsidR="00767038" w:rsidRPr="00124637">
        <w:t xml:space="preserve"> </w:t>
      </w:r>
    </w:p>
    <w:p w14:paraId="1B34043C" w14:textId="77777777" w:rsidR="00767038" w:rsidRPr="00124637" w:rsidRDefault="00767038" w:rsidP="00AE789F">
      <w:r w:rsidRPr="00124637">
        <w:t xml:space="preserve">The ACMA </w:t>
      </w:r>
      <w:r w:rsidR="004917D4" w:rsidRPr="00124637">
        <w:t>manages</w:t>
      </w:r>
      <w:r w:rsidRPr="00124637">
        <w:t xml:space="preserve"> and maintain</w:t>
      </w:r>
      <w:r w:rsidR="004917D4" w:rsidRPr="00124637">
        <w:t>s</w:t>
      </w:r>
      <w:r w:rsidRPr="00124637">
        <w:t xml:space="preserve"> a network of fixed, transportable and mobile monitoring sites across Australia. Th</w:t>
      </w:r>
      <w:r w:rsidR="004917D4" w:rsidRPr="00124637">
        <w:t>is</w:t>
      </w:r>
      <w:r w:rsidRPr="00124637">
        <w:t xml:space="preserve"> spectrum monitoring network has primarily been used to support interference resolution and compliance management for radiocommunications services that operate in high-frequency (HF), very-high</w:t>
      </w:r>
      <w:r w:rsidR="004917D4" w:rsidRPr="00124637">
        <w:t>-frequency (VHF) and ultra-high-</w:t>
      </w:r>
      <w:r w:rsidRPr="00124637">
        <w:t xml:space="preserve">frequency (UHF) bands. </w:t>
      </w:r>
      <w:r w:rsidR="004917D4" w:rsidRPr="00124637">
        <w:t>It</w:t>
      </w:r>
      <w:r w:rsidRPr="00124637">
        <w:t xml:space="preserve"> has also been used on an ad</w:t>
      </w:r>
      <w:r w:rsidR="004917D4" w:rsidRPr="00124637">
        <w:t xml:space="preserve"> </w:t>
      </w:r>
      <w:r w:rsidRPr="00124637">
        <w:t xml:space="preserve">hoc basis to monitor TV reception quality over time in communities with reported TV reception difficulties. </w:t>
      </w:r>
    </w:p>
    <w:p w14:paraId="35934232" w14:textId="77777777" w:rsidR="00050B30" w:rsidRPr="00124637" w:rsidRDefault="00050B30" w:rsidP="00050B30">
      <w:pPr>
        <w:spacing w:after="80"/>
      </w:pPr>
      <w:r w:rsidRPr="00124637">
        <w:t xml:space="preserve">The spectrum monitoring network supported the resolution of the radiocommunications cases listed in Table 11. It was also used to: </w:t>
      </w:r>
    </w:p>
    <w:p w14:paraId="6D5F4E2E" w14:textId="77777777" w:rsidR="00050B30" w:rsidRPr="00124637" w:rsidRDefault="00050B30" w:rsidP="00050B30">
      <w:pPr>
        <w:pStyle w:val="ListBullet"/>
        <w:rPr>
          <w:rFonts w:cs="Arial"/>
        </w:rPr>
      </w:pPr>
      <w:r w:rsidRPr="00124637">
        <w:rPr>
          <w:rFonts w:cs="Arial"/>
        </w:rPr>
        <w:t>perform 88 sign</w:t>
      </w:r>
      <w:r w:rsidR="00EF69D3" w:rsidRPr="00124637">
        <w:rPr>
          <w:rFonts w:cs="Arial"/>
        </w:rPr>
        <w:t>al monitoring-</w:t>
      </w:r>
      <w:r w:rsidRPr="00124637">
        <w:rPr>
          <w:rFonts w:cs="Arial"/>
        </w:rPr>
        <w:t>specific tasks</w:t>
      </w:r>
    </w:p>
    <w:p w14:paraId="7C4728A1" w14:textId="77777777" w:rsidR="00050B30" w:rsidRPr="00124637" w:rsidRDefault="00050B30" w:rsidP="00EF69D3">
      <w:pPr>
        <w:pStyle w:val="ListBullet"/>
        <w:spacing w:after="240"/>
        <w:rPr>
          <w:rFonts w:cs="Arial"/>
        </w:rPr>
      </w:pPr>
      <w:r w:rsidRPr="00124637">
        <w:rPr>
          <w:rFonts w:cs="Arial"/>
        </w:rPr>
        <w:t xml:space="preserve">support 34 HF monitoring and </w:t>
      </w:r>
      <w:r w:rsidR="00EF69D3" w:rsidRPr="00124637">
        <w:rPr>
          <w:rFonts w:cs="Arial"/>
        </w:rPr>
        <w:t>High Frequency Direction Finding (HFDF)</w:t>
      </w:r>
      <w:r w:rsidRPr="00124637">
        <w:rPr>
          <w:rFonts w:cs="Arial"/>
        </w:rPr>
        <w:t xml:space="preserve"> tasks.</w:t>
      </w:r>
    </w:p>
    <w:p w14:paraId="50EE944F" w14:textId="77777777" w:rsidR="00050B30" w:rsidRPr="00124637" w:rsidRDefault="00050B30" w:rsidP="00050B30">
      <w:pPr>
        <w:spacing w:after="80"/>
      </w:pPr>
      <w:r w:rsidRPr="00124637">
        <w:t>In response to TV reception problems in 2014–15, the spectrum monitoring network was used:</w:t>
      </w:r>
    </w:p>
    <w:p w14:paraId="6BBC8339" w14:textId="77777777" w:rsidR="00050B30" w:rsidRPr="00124637" w:rsidRDefault="00050B30" w:rsidP="00050B30">
      <w:pPr>
        <w:pStyle w:val="ListBullet"/>
        <w:rPr>
          <w:rFonts w:cs="Arial"/>
        </w:rPr>
      </w:pPr>
      <w:r w:rsidRPr="00124637">
        <w:rPr>
          <w:rFonts w:cs="Arial"/>
        </w:rPr>
        <w:t>to assess TV coverage reliability in Gulgong, Narromine and Yass in N</w:t>
      </w:r>
      <w:r w:rsidR="00EF69D3" w:rsidRPr="00124637">
        <w:rPr>
          <w:rFonts w:cs="Arial"/>
        </w:rPr>
        <w:t>ew South Wales</w:t>
      </w:r>
    </w:p>
    <w:p w14:paraId="3A030A75" w14:textId="77777777" w:rsidR="00050B30" w:rsidRPr="00124637" w:rsidRDefault="00050B30" w:rsidP="00050B30">
      <w:pPr>
        <w:pStyle w:val="ListBullet"/>
        <w:rPr>
          <w:rFonts w:cs="Arial"/>
        </w:rPr>
      </w:pPr>
      <w:r w:rsidRPr="00124637">
        <w:rPr>
          <w:rFonts w:cs="Arial"/>
        </w:rPr>
        <w:t>to assess the impact of unreliable signal input feed and ducting interference, and provide input to proposed planning solutions for improving reliability of TV coverage in Apollo Bay, Victoria</w:t>
      </w:r>
    </w:p>
    <w:p w14:paraId="21B501F3" w14:textId="77777777" w:rsidR="00050B30" w:rsidRPr="00124637" w:rsidRDefault="00050B30" w:rsidP="00050B30">
      <w:pPr>
        <w:pStyle w:val="ListBullet"/>
        <w:spacing w:after="240"/>
        <w:rPr>
          <w:rFonts w:cs="Arial"/>
        </w:rPr>
      </w:pPr>
      <w:r w:rsidRPr="00124637">
        <w:rPr>
          <w:rFonts w:cs="Arial"/>
        </w:rPr>
        <w:t xml:space="preserve">for long-term data collection and analysis to provide input to TV signal propagation studies in Lucas Heights, </w:t>
      </w:r>
      <w:r w:rsidR="00EF69D3" w:rsidRPr="00124637">
        <w:rPr>
          <w:rFonts w:cs="Arial"/>
        </w:rPr>
        <w:t>New South Wales</w:t>
      </w:r>
      <w:r w:rsidRPr="00124637">
        <w:rPr>
          <w:rFonts w:cs="Arial"/>
        </w:rPr>
        <w:t>.</w:t>
      </w:r>
    </w:p>
    <w:p w14:paraId="381879C8" w14:textId="77777777" w:rsidR="00767038" w:rsidRPr="00124637" w:rsidRDefault="00767038" w:rsidP="00767038">
      <w:pPr>
        <w:pStyle w:val="BodysubheaderH4"/>
        <w:rPr>
          <w:rFonts w:cs="Arial"/>
        </w:rPr>
      </w:pPr>
      <w:r w:rsidRPr="00124637">
        <w:rPr>
          <w:rFonts w:cs="Arial"/>
          <w:bCs/>
          <w:i w:val="0"/>
          <w:szCs w:val="26"/>
        </w:rPr>
        <w:lastRenderedPageBreak/>
        <w:t xml:space="preserve">Special events </w:t>
      </w:r>
    </w:p>
    <w:p w14:paraId="1E04B178" w14:textId="77777777" w:rsidR="00767038" w:rsidRPr="00124637" w:rsidRDefault="00767038" w:rsidP="00314B9F">
      <w:pPr>
        <w:spacing w:after="80"/>
        <w:rPr>
          <w:rFonts w:eastAsia="Calibri"/>
          <w:lang w:eastAsia="en-US"/>
        </w:rPr>
      </w:pPr>
      <w:r w:rsidRPr="00124637">
        <w:rPr>
          <w:rFonts w:eastAsia="Calibri"/>
          <w:lang w:eastAsia="en-US"/>
        </w:rPr>
        <w:t>As part of their risk management processes, organisers of the following special events contracted the ACMA to provide radiocommunications frequency coordination and interference resolution services:</w:t>
      </w:r>
    </w:p>
    <w:p w14:paraId="35190AD5" w14:textId="77777777" w:rsidR="00767038" w:rsidRPr="00124637" w:rsidRDefault="00767038" w:rsidP="00AE789F">
      <w:pPr>
        <w:pStyle w:val="ListBullet"/>
        <w:rPr>
          <w:rFonts w:eastAsia="Calibri"/>
          <w:lang w:eastAsia="en-US"/>
        </w:rPr>
      </w:pPr>
      <w:r w:rsidRPr="00124637">
        <w:rPr>
          <w:rFonts w:eastAsia="Calibri"/>
          <w:lang w:eastAsia="en-US"/>
        </w:rPr>
        <w:t>Australian Motorcycle Grand Prix, Phillip Island, 17–19 October 2014</w:t>
      </w:r>
    </w:p>
    <w:p w14:paraId="1CC156BC" w14:textId="77777777" w:rsidR="00767038" w:rsidRPr="00124637" w:rsidRDefault="004917D4" w:rsidP="00AE789F">
      <w:pPr>
        <w:pStyle w:val="ListBullet"/>
        <w:rPr>
          <w:rFonts w:eastAsia="Calibri"/>
          <w:lang w:eastAsia="en-US"/>
        </w:rPr>
      </w:pPr>
      <w:r w:rsidRPr="00124637">
        <w:rPr>
          <w:rFonts w:eastAsia="Calibri"/>
          <w:lang w:eastAsia="en-US"/>
        </w:rPr>
        <w:t>G20 Leaders Summit Brisbane, 12</w:t>
      </w:r>
      <w:r w:rsidR="00767038" w:rsidRPr="00124637">
        <w:rPr>
          <w:rFonts w:eastAsia="Calibri"/>
          <w:lang w:eastAsia="en-US"/>
        </w:rPr>
        <w:t>–16 November 2014</w:t>
      </w:r>
    </w:p>
    <w:p w14:paraId="40293D78" w14:textId="77777777" w:rsidR="00767038" w:rsidRPr="00124637" w:rsidRDefault="00767038" w:rsidP="00C74ED3">
      <w:pPr>
        <w:pStyle w:val="ListBulletLast"/>
        <w:rPr>
          <w:rFonts w:eastAsia="Calibri"/>
          <w:lang w:eastAsia="en-US"/>
        </w:rPr>
      </w:pPr>
      <w:r w:rsidRPr="00124637">
        <w:rPr>
          <w:rFonts w:eastAsia="Calibri"/>
          <w:lang w:eastAsia="en-US"/>
        </w:rPr>
        <w:t>Australian Formula One Grand Prix, Melbourne, 12–15 March 2015.</w:t>
      </w:r>
    </w:p>
    <w:p w14:paraId="0927EFE6" w14:textId="77777777" w:rsidR="00767038" w:rsidRPr="00124637" w:rsidRDefault="00767038" w:rsidP="00363455">
      <w:pPr>
        <w:spacing w:after="80"/>
        <w:rPr>
          <w:rFonts w:eastAsia="Calibri"/>
          <w:lang w:eastAsia="en-US"/>
        </w:rPr>
      </w:pPr>
      <w:r w:rsidRPr="00124637">
        <w:rPr>
          <w:rFonts w:eastAsia="Calibri"/>
          <w:lang w:eastAsia="en-US"/>
        </w:rPr>
        <w:t xml:space="preserve">The ACMA was also contracted to provide assistance </w:t>
      </w:r>
      <w:r w:rsidR="004917D4" w:rsidRPr="00124637">
        <w:rPr>
          <w:rFonts w:eastAsia="Calibri"/>
          <w:lang w:eastAsia="en-US"/>
        </w:rPr>
        <w:t>during the major matches of</w:t>
      </w:r>
      <w:r w:rsidRPr="00124637">
        <w:rPr>
          <w:rFonts w:eastAsia="Calibri"/>
          <w:lang w:eastAsia="en-US"/>
        </w:rPr>
        <w:t xml:space="preserve"> the following special sporting events in Australia</w:t>
      </w:r>
      <w:r w:rsidR="00363455" w:rsidRPr="00124637">
        <w:rPr>
          <w:rFonts w:eastAsia="Calibri"/>
          <w:lang w:eastAsia="en-US"/>
        </w:rPr>
        <w:t>:</w:t>
      </w:r>
    </w:p>
    <w:p w14:paraId="5C2B1315" w14:textId="77777777" w:rsidR="00767038" w:rsidRPr="00124637" w:rsidRDefault="00767038" w:rsidP="00AE789F">
      <w:pPr>
        <w:pStyle w:val="ListBullet"/>
        <w:rPr>
          <w:rFonts w:eastAsia="Calibri"/>
          <w:lang w:eastAsia="en-US"/>
        </w:rPr>
      </w:pPr>
      <w:r w:rsidRPr="00124637">
        <w:rPr>
          <w:rFonts w:eastAsia="Calibri"/>
          <w:lang w:eastAsia="en-US"/>
        </w:rPr>
        <w:t>AFC Asian Cup</w:t>
      </w:r>
      <w:r w:rsidR="004917D4" w:rsidRPr="00124637">
        <w:rPr>
          <w:rFonts w:eastAsia="Calibri"/>
          <w:lang w:eastAsia="en-US"/>
        </w:rPr>
        <w:t xml:space="preserve">, </w:t>
      </w:r>
      <w:r w:rsidRPr="00124637">
        <w:rPr>
          <w:rFonts w:eastAsia="Calibri"/>
          <w:lang w:eastAsia="en-US"/>
        </w:rPr>
        <w:t>9–31</w:t>
      </w:r>
      <w:r w:rsidR="004917D4" w:rsidRPr="00124637">
        <w:rPr>
          <w:rFonts w:eastAsia="Calibri"/>
          <w:lang w:eastAsia="en-US"/>
        </w:rPr>
        <w:t xml:space="preserve"> January 2015</w:t>
      </w:r>
    </w:p>
    <w:p w14:paraId="7B88063C" w14:textId="77777777" w:rsidR="00767038" w:rsidRPr="00124637" w:rsidRDefault="00767038" w:rsidP="00AE789F">
      <w:pPr>
        <w:pStyle w:val="ListBulletLast"/>
        <w:rPr>
          <w:rFonts w:eastAsia="Calibri"/>
          <w:lang w:eastAsia="en-US"/>
        </w:rPr>
      </w:pPr>
      <w:r w:rsidRPr="00124637">
        <w:rPr>
          <w:rFonts w:eastAsia="Calibri"/>
          <w:lang w:eastAsia="en-US"/>
        </w:rPr>
        <w:t>ICC Cricket World Cup</w:t>
      </w:r>
      <w:r w:rsidR="004917D4" w:rsidRPr="00124637">
        <w:rPr>
          <w:rFonts w:eastAsia="Calibri"/>
          <w:lang w:eastAsia="en-US"/>
        </w:rPr>
        <w:t xml:space="preserve">, </w:t>
      </w:r>
      <w:r w:rsidRPr="00124637">
        <w:rPr>
          <w:rFonts w:eastAsia="Calibri"/>
          <w:lang w:eastAsia="en-US"/>
        </w:rPr>
        <w:t xml:space="preserve">14 </w:t>
      </w:r>
      <w:r w:rsidR="004917D4" w:rsidRPr="00124637">
        <w:rPr>
          <w:rFonts w:eastAsia="Calibri"/>
          <w:lang w:eastAsia="en-US"/>
        </w:rPr>
        <w:t>February</w:t>
      </w:r>
      <w:r w:rsidRPr="00124637">
        <w:rPr>
          <w:rFonts w:eastAsia="Calibri"/>
          <w:lang w:eastAsia="en-US"/>
        </w:rPr>
        <w:t xml:space="preserve"> – 29</w:t>
      </w:r>
      <w:r w:rsidR="004917D4" w:rsidRPr="00124637">
        <w:rPr>
          <w:rFonts w:eastAsia="Calibri"/>
          <w:lang w:eastAsia="en-US"/>
        </w:rPr>
        <w:t xml:space="preserve"> March 2015.</w:t>
      </w:r>
    </w:p>
    <w:p w14:paraId="2C64246F" w14:textId="77777777" w:rsidR="00767038" w:rsidRPr="00124637" w:rsidRDefault="00767038" w:rsidP="00FF00DD">
      <w:pPr>
        <w:rPr>
          <w:rFonts w:eastAsia="Calibri"/>
          <w:lang w:eastAsia="en-US"/>
        </w:rPr>
      </w:pPr>
      <w:r w:rsidRPr="00124637">
        <w:rPr>
          <w:rFonts w:eastAsia="Calibri"/>
          <w:lang w:eastAsia="en-US"/>
        </w:rPr>
        <w:t>Each of</w:t>
      </w:r>
      <w:r w:rsidRPr="00124637">
        <w:rPr>
          <w:rFonts w:eastAsia="Calibri"/>
        </w:rPr>
        <w:t xml:space="preserve"> </w:t>
      </w:r>
      <w:r w:rsidRPr="00124637">
        <w:rPr>
          <w:rFonts w:eastAsia="Calibri"/>
          <w:lang w:eastAsia="en-US"/>
        </w:rPr>
        <w:t>these events attracted enormous international media interest</w:t>
      </w:r>
      <w:r w:rsidR="004917D4" w:rsidRPr="00124637">
        <w:rPr>
          <w:rFonts w:eastAsia="Calibri"/>
          <w:lang w:eastAsia="en-US"/>
        </w:rPr>
        <w:t>,</w:t>
      </w:r>
      <w:r w:rsidRPr="00124637">
        <w:rPr>
          <w:rFonts w:eastAsia="Calibri"/>
          <w:lang w:eastAsia="en-US"/>
        </w:rPr>
        <w:t xml:space="preserve"> with an estimated </w:t>
      </w:r>
      <w:r w:rsidR="004917D4" w:rsidRPr="00124637">
        <w:rPr>
          <w:rFonts w:eastAsia="Calibri"/>
          <w:lang w:eastAsia="en-US"/>
        </w:rPr>
        <w:t xml:space="preserve">global </w:t>
      </w:r>
      <w:r w:rsidRPr="00124637">
        <w:rPr>
          <w:rFonts w:eastAsia="Calibri"/>
          <w:lang w:eastAsia="en-US"/>
        </w:rPr>
        <w:t>viewing audience of ov</w:t>
      </w:r>
      <w:r w:rsidR="00FA3C38" w:rsidRPr="00124637">
        <w:rPr>
          <w:rFonts w:eastAsia="Calibri"/>
          <w:lang w:eastAsia="en-US"/>
        </w:rPr>
        <w:t>er a billion people.</w:t>
      </w:r>
      <w:r w:rsidRPr="00124637">
        <w:t xml:space="preserve"> </w:t>
      </w:r>
    </w:p>
    <w:p w14:paraId="18D67AE3" w14:textId="77777777" w:rsidR="00767038" w:rsidRPr="00124637" w:rsidRDefault="00767038" w:rsidP="00FF00DD">
      <w:pPr>
        <w:pStyle w:val="Heading3"/>
      </w:pPr>
      <w:bookmarkStart w:id="122" w:name="_Toc433703305"/>
      <w:r w:rsidRPr="00124637">
        <w:t>Radiocommunications compliance</w:t>
      </w:r>
      <w:r w:rsidRPr="00124637">
        <w:rPr>
          <w:rStyle w:val="Heading3Char"/>
        </w:rPr>
        <w:t xml:space="preserve"> </w:t>
      </w:r>
      <w:r w:rsidRPr="00124637">
        <w:t>laboratory</w:t>
      </w:r>
      <w:bookmarkEnd w:id="122"/>
    </w:p>
    <w:p w14:paraId="773511A8" w14:textId="77777777" w:rsidR="00FA3C38" w:rsidRPr="00124637" w:rsidRDefault="00FA3C38" w:rsidP="00FA3C38">
      <w:pPr>
        <w:rPr>
          <w:rFonts w:cs="Arial"/>
          <w:szCs w:val="20"/>
        </w:rPr>
      </w:pPr>
      <w:r w:rsidRPr="00124637">
        <w:rPr>
          <w:rFonts w:cs="Arial"/>
          <w:szCs w:val="20"/>
        </w:rPr>
        <w:t xml:space="preserve">The ACMA’s radiocommunications compliance laboratory carries out compliance testing of radiocommunications devices. </w:t>
      </w:r>
      <w:r w:rsidR="004917D4" w:rsidRPr="00124637">
        <w:rPr>
          <w:rFonts w:cs="Arial"/>
          <w:szCs w:val="20"/>
        </w:rPr>
        <w:t>Its</w:t>
      </w:r>
      <w:r w:rsidRPr="00124637">
        <w:rPr>
          <w:rFonts w:cs="Arial"/>
          <w:szCs w:val="20"/>
        </w:rPr>
        <w:t xml:space="preserve"> main purpose is to support industry compliance with regulatory arrangements such as the radiocommunications standards compliance and labelling arrangements</w:t>
      </w:r>
      <w:r w:rsidR="004917D4" w:rsidRPr="00124637">
        <w:rPr>
          <w:rFonts w:cs="Arial"/>
          <w:szCs w:val="20"/>
        </w:rPr>
        <w:t>.</w:t>
      </w:r>
    </w:p>
    <w:p w14:paraId="49F346E7" w14:textId="77777777" w:rsidR="00FA3C38" w:rsidRPr="00124637" w:rsidRDefault="00FA3C38" w:rsidP="00FA3C38">
      <w:pPr>
        <w:rPr>
          <w:rFonts w:cs="Arial"/>
          <w:szCs w:val="20"/>
        </w:rPr>
      </w:pPr>
      <w:r w:rsidRPr="00124637">
        <w:rPr>
          <w:rFonts w:cs="Arial"/>
          <w:szCs w:val="20"/>
        </w:rPr>
        <w:t xml:space="preserve">The laboratory also assisted with investigations being carried out by the ACMA, and federal and state police services. This included preparing </w:t>
      </w:r>
      <w:r w:rsidR="004917D4" w:rsidRPr="00124637">
        <w:rPr>
          <w:rFonts w:cs="Arial"/>
          <w:szCs w:val="20"/>
        </w:rPr>
        <w:t>seven</w:t>
      </w:r>
      <w:r w:rsidRPr="00124637">
        <w:rPr>
          <w:rFonts w:cs="Arial"/>
          <w:szCs w:val="20"/>
        </w:rPr>
        <w:t xml:space="preserve"> evidentiary certificates and 12 technical assessment reports of radiocommunications devices.</w:t>
      </w:r>
    </w:p>
    <w:p w14:paraId="14F3E2EA" w14:textId="77777777" w:rsidR="00FA3C38" w:rsidRPr="00124637" w:rsidRDefault="00FA3C38" w:rsidP="00FA3C38">
      <w:pPr>
        <w:rPr>
          <w:rFonts w:cs="Arial"/>
          <w:szCs w:val="20"/>
        </w:rPr>
      </w:pPr>
      <w:r w:rsidRPr="00124637">
        <w:rPr>
          <w:rFonts w:cs="Arial"/>
          <w:szCs w:val="20"/>
        </w:rPr>
        <w:t>The laboratory is accredited by the National Association of Testing Authorities (NATA) for assessing compliance to compliance levels two and three for the full range of ACMA standards and equivalent International standards.</w:t>
      </w:r>
    </w:p>
    <w:p w14:paraId="6B54DA0F" w14:textId="77777777" w:rsidR="00767038" w:rsidRPr="00124637" w:rsidRDefault="00767038" w:rsidP="00FF00DD">
      <w:pPr>
        <w:pStyle w:val="Heading3"/>
      </w:pPr>
      <w:bookmarkStart w:id="123" w:name="_Toc433703306"/>
      <w:r w:rsidRPr="00124637">
        <w:t>Compliance forbearance</w:t>
      </w:r>
      <w:bookmarkEnd w:id="123"/>
    </w:p>
    <w:p w14:paraId="313E745A" w14:textId="77777777" w:rsidR="00767038" w:rsidRPr="00124637" w:rsidRDefault="00767038" w:rsidP="00767038">
      <w:pPr>
        <w:rPr>
          <w:rFonts w:cs="Arial"/>
        </w:rPr>
      </w:pPr>
      <w:r w:rsidRPr="00124637">
        <w:rPr>
          <w:rFonts w:cs="Arial"/>
        </w:rPr>
        <w:t>The ACMA’s compliance and enforcement activities do not always result in actions being taken against those who are in breach of regulations. During the reporting period</w:t>
      </w:r>
      <w:r w:rsidR="00DE2AB0" w:rsidRPr="00124637">
        <w:rPr>
          <w:rFonts w:cs="Arial"/>
        </w:rPr>
        <w:t>,</w:t>
      </w:r>
      <w:r w:rsidRPr="00124637">
        <w:rPr>
          <w:rFonts w:cs="Arial"/>
        </w:rPr>
        <w:t xml:space="preserve"> a supplier of air band </w:t>
      </w:r>
      <w:r w:rsidR="00444226" w:rsidRPr="00124637">
        <w:rPr>
          <w:rFonts w:cs="Arial"/>
        </w:rPr>
        <w:t xml:space="preserve">(aviation) </w:t>
      </w:r>
      <w:r w:rsidRPr="00124637">
        <w:rPr>
          <w:rFonts w:cs="Arial"/>
        </w:rPr>
        <w:t xml:space="preserve">radio transmitters self-reported that it had unintentionally been supplying non-compliant radios. </w:t>
      </w:r>
    </w:p>
    <w:p w14:paraId="440260C2" w14:textId="77777777" w:rsidR="00767038" w:rsidRPr="00124637" w:rsidRDefault="00767038" w:rsidP="00767038">
      <w:pPr>
        <w:rPr>
          <w:rFonts w:cs="Arial"/>
        </w:rPr>
      </w:pPr>
      <w:r w:rsidRPr="00124637">
        <w:rPr>
          <w:rFonts w:cs="Arial"/>
        </w:rPr>
        <w:t xml:space="preserve">The ACMA conducted market research, considered submissions from industry and the Civil Aviation Safety Authority, and carefully analysed </w:t>
      </w:r>
      <w:r w:rsidR="00DE2AB0" w:rsidRPr="00124637">
        <w:rPr>
          <w:rFonts w:cs="Arial"/>
        </w:rPr>
        <w:t>the nature of the technical non</w:t>
      </w:r>
      <w:r w:rsidR="00DE2AB0" w:rsidRPr="00124637">
        <w:rPr>
          <w:rFonts w:cs="Arial"/>
        </w:rPr>
        <w:noBreakHyphen/>
      </w:r>
      <w:r w:rsidRPr="00124637">
        <w:rPr>
          <w:rFonts w:cs="Arial"/>
        </w:rPr>
        <w:t xml:space="preserve">compliance and its risk level. Ultimately, the ACMA determined that continued lack of access to several models of such radios </w:t>
      </w:r>
      <w:r w:rsidR="00DE2AB0" w:rsidRPr="00124637">
        <w:rPr>
          <w:rFonts w:cs="Arial"/>
        </w:rPr>
        <w:t>would force industry to use non</w:t>
      </w:r>
      <w:r w:rsidR="00DE2AB0" w:rsidRPr="00124637">
        <w:rPr>
          <w:rFonts w:cs="Arial"/>
        </w:rPr>
        <w:noBreakHyphen/>
      </w:r>
      <w:r w:rsidRPr="00124637">
        <w:rPr>
          <w:rFonts w:cs="Arial"/>
        </w:rPr>
        <w:t xml:space="preserve">compliant equipment sourced from overseas suppliers or curtail a range of airport operations. </w:t>
      </w:r>
    </w:p>
    <w:p w14:paraId="2A46D7EE" w14:textId="77777777" w:rsidR="00767038" w:rsidRPr="00124637" w:rsidRDefault="00767038" w:rsidP="00767038">
      <w:pPr>
        <w:rPr>
          <w:rFonts w:cs="Arial"/>
        </w:rPr>
      </w:pPr>
      <w:r w:rsidRPr="00124637">
        <w:rPr>
          <w:rFonts w:cs="Arial"/>
        </w:rPr>
        <w:t>The ACMA has for many years sought to avoid imposing unnecessary or counterproductive regulation. The government’s emphasis on reducing red tape has strengthened the ACMA’s resolve to ever more precisely target regulation so that only the minimum required intervention is imposed on industry. The end result was that the ACMA issued the supplier with permits to supply certain models of non-compliant radios and recommended to Standards Australia that the relevant technical standard be changed.</w:t>
      </w:r>
    </w:p>
    <w:p w14:paraId="7AD69D0D" w14:textId="77777777" w:rsidR="00767038" w:rsidRPr="00124637" w:rsidRDefault="00767038" w:rsidP="00FF00DD">
      <w:pPr>
        <w:pStyle w:val="Heading2"/>
      </w:pPr>
      <w:bookmarkStart w:id="124" w:name="_Toc433703307"/>
      <w:r w:rsidRPr="00124637">
        <w:lastRenderedPageBreak/>
        <w:t>Telecommunications infrastructure regulation</w:t>
      </w:r>
      <w:bookmarkEnd w:id="124"/>
    </w:p>
    <w:p w14:paraId="1653E287" w14:textId="77777777" w:rsidR="00767038" w:rsidRPr="00124637" w:rsidRDefault="00EC1698" w:rsidP="00FF00DD">
      <w:pPr>
        <w:pStyle w:val="Heading3"/>
      </w:pPr>
      <w:bookmarkStart w:id="125" w:name="_Toc433703308"/>
      <w:r w:rsidRPr="00124637">
        <w:t>Carrier</w:t>
      </w:r>
      <w:r w:rsidR="00767038" w:rsidRPr="00124637">
        <w:t>s</w:t>
      </w:r>
      <w:r w:rsidRPr="00124637">
        <w:t>’</w:t>
      </w:r>
      <w:r w:rsidR="00767038" w:rsidRPr="00124637">
        <w:t xml:space="preserve"> rights and obligations</w:t>
      </w:r>
      <w:bookmarkEnd w:id="125"/>
    </w:p>
    <w:p w14:paraId="2B26109D" w14:textId="77777777" w:rsidR="00E975D6" w:rsidRPr="00124637" w:rsidRDefault="00E975D6" w:rsidP="00E975D6">
      <w:pPr>
        <w:rPr>
          <w:rFonts w:cs="Arial"/>
          <w:szCs w:val="20"/>
        </w:rPr>
      </w:pPr>
      <w:r w:rsidRPr="00124637">
        <w:rPr>
          <w:rFonts w:cs="Arial"/>
        </w:rPr>
        <w:t>Schedule 3 to the Telecommunications Act</w:t>
      </w:r>
      <w:r w:rsidRPr="00124637">
        <w:rPr>
          <w:rFonts w:cs="Arial"/>
          <w:i/>
        </w:rPr>
        <w:t xml:space="preserve"> </w:t>
      </w:r>
      <w:r w:rsidRPr="00124637">
        <w:rPr>
          <w:rFonts w:cs="Arial"/>
        </w:rPr>
        <w:t xml:space="preserve">gives carriers the power to enter land in order to determine whether it is suitable for their purposes, install certain facilities on the land and maintain a facility that is situated on the land. </w:t>
      </w:r>
      <w:r w:rsidRPr="00124637">
        <w:t>The Telecommunications Code of Practice 1997</w:t>
      </w:r>
      <w:r w:rsidRPr="00124637">
        <w:rPr>
          <w:i/>
          <w:iCs/>
        </w:rPr>
        <w:t xml:space="preserve"> </w:t>
      </w:r>
      <w:r w:rsidRPr="00124637">
        <w:t>sets out the conditions with which carriers must comply in order to exercise their powers of entry and carry out authorised activities under Schedule 3.</w:t>
      </w:r>
    </w:p>
    <w:p w14:paraId="6E581A05" w14:textId="77777777" w:rsidR="00E975D6" w:rsidRPr="00124637" w:rsidRDefault="00E975D6" w:rsidP="00E975D6">
      <w:r w:rsidRPr="00124637">
        <w:rPr>
          <w:rFonts w:cs="Arial"/>
        </w:rPr>
        <w:t xml:space="preserve">The Telecommunications (Low-impact Facilities) Determination 1997 specifies the types of facilities (known as ‘low-impact’ facilities) that carriers are entitled to install without seeking state, territory or local government planning approval. Examples of low-impact facilities include small radiocommunications antennas and dishes that are erected on existing towers or buildings, underground cables and certain above-ground optical fibre facilities. </w:t>
      </w:r>
    </w:p>
    <w:p w14:paraId="44EB1A7E" w14:textId="77777777" w:rsidR="00E975D6" w:rsidRPr="00124637" w:rsidRDefault="00E975D6" w:rsidP="00E975D6">
      <w:pPr>
        <w:rPr>
          <w:rFonts w:cs="Arial"/>
        </w:rPr>
      </w:pPr>
      <w:r w:rsidRPr="00124637">
        <w:rPr>
          <w:rFonts w:cs="Arial"/>
        </w:rPr>
        <w:t>The ACMA may investigate suspected breaches of the Telecommunications Act, the Telecommunications Code of Practice and industry codes registered by the ACMA. However, complaints from land owners and occupiers about compliance with Schedule 3 and the Code of Practice are dealt with by the TIO.</w:t>
      </w:r>
    </w:p>
    <w:p w14:paraId="0A64242D" w14:textId="77777777" w:rsidR="00E975D6" w:rsidRPr="00124637" w:rsidRDefault="00E975D6" w:rsidP="00E975D6">
      <w:pPr>
        <w:rPr>
          <w:rFonts w:cs="Arial"/>
        </w:rPr>
      </w:pPr>
      <w:r w:rsidRPr="00124637">
        <w:rPr>
          <w:rFonts w:cs="Arial"/>
        </w:rPr>
        <w:t>In 2014–15, the ACMA received 11 enquiries from local councils, carriers, solicitors, landowners and members of the public about matters covered by Schedule 3 to the Telecommunications Act and the Code of Practice, not related to radiocommunications facilities.</w:t>
      </w:r>
    </w:p>
    <w:p w14:paraId="3ECC8201" w14:textId="77777777" w:rsidR="00767038" w:rsidRPr="00124637" w:rsidRDefault="00767038" w:rsidP="00FF00DD">
      <w:pPr>
        <w:pStyle w:val="Heading3"/>
      </w:pPr>
      <w:bookmarkStart w:id="126" w:name="_Toc433703309"/>
      <w:r w:rsidRPr="00124637">
        <w:t>Mobile phone base station deployment</w:t>
      </w:r>
      <w:bookmarkEnd w:id="126"/>
    </w:p>
    <w:p w14:paraId="46A427EB" w14:textId="77777777" w:rsidR="00E975D6" w:rsidRPr="00124637" w:rsidRDefault="00E975D6" w:rsidP="00E975D6">
      <w:pPr>
        <w:rPr>
          <w:rFonts w:cs="Arial"/>
        </w:rPr>
      </w:pPr>
      <w:r w:rsidRPr="00124637">
        <w:rPr>
          <w:rFonts w:cs="Arial"/>
        </w:rPr>
        <w:t>The planning and installation of mobile phone network infrastructure is subject to industry code C564:2011 </w:t>
      </w:r>
      <w:r w:rsidRPr="00124637">
        <w:rPr>
          <w:rFonts w:cs="Arial"/>
          <w:i/>
        </w:rPr>
        <w:t>Mobile Phone Base Station Deployment</w:t>
      </w:r>
      <w:r w:rsidRPr="00124637">
        <w:rPr>
          <w:rFonts w:cs="Arial"/>
        </w:rPr>
        <w:t>. The industry code is registered by the ACMA under Part 6 of the Telecommunications Act and came into effect on 1 July 2012.</w:t>
      </w:r>
    </w:p>
    <w:p w14:paraId="229C4E1F" w14:textId="77777777" w:rsidR="00E975D6" w:rsidRPr="00124637" w:rsidRDefault="00E975D6" w:rsidP="00E975D6">
      <w:pPr>
        <w:spacing w:after="80"/>
        <w:rPr>
          <w:rFonts w:cs="Arial"/>
        </w:rPr>
      </w:pPr>
      <w:r w:rsidRPr="00124637">
        <w:rPr>
          <w:rFonts w:cs="Arial"/>
        </w:rPr>
        <w:t>Under the industry code, carriers must take a consultative and precautionary approach to the deployment of mobile phone network infrastructure. Carriers must consult with local councils and the community on the placement of certain mobile phone facilities, typically low-impact facilities. Anyone not satisfied that a carrier has complied with the code may complain to the ACMA. In accordance with Part 26 of the Telecommunications Act, the ACMA may, on receipt of a complaint:</w:t>
      </w:r>
    </w:p>
    <w:p w14:paraId="616DB661" w14:textId="77777777" w:rsidR="00E975D6" w:rsidRPr="00124637" w:rsidRDefault="00E975D6" w:rsidP="00E975D6">
      <w:pPr>
        <w:pStyle w:val="ListBullet"/>
        <w:rPr>
          <w:rFonts w:cs="Arial"/>
        </w:rPr>
      </w:pPr>
      <w:r w:rsidRPr="00124637">
        <w:rPr>
          <w:rFonts w:cs="Arial"/>
        </w:rPr>
        <w:t>decide to investigate the matter</w:t>
      </w:r>
    </w:p>
    <w:p w14:paraId="48FA8D24" w14:textId="77777777" w:rsidR="00E975D6" w:rsidRPr="00124637" w:rsidRDefault="00E975D6" w:rsidP="00E975D6">
      <w:pPr>
        <w:pStyle w:val="ListBullet"/>
        <w:rPr>
          <w:rFonts w:cs="Arial"/>
        </w:rPr>
      </w:pPr>
      <w:r w:rsidRPr="00124637">
        <w:rPr>
          <w:rFonts w:cs="Arial"/>
        </w:rPr>
        <w:t>make preliminary enquiries of the respondent to decide whether to investigate the matter</w:t>
      </w:r>
    </w:p>
    <w:p w14:paraId="4F05791E" w14:textId="77777777" w:rsidR="00E975D6" w:rsidRPr="00124637" w:rsidRDefault="00E975D6" w:rsidP="00E975D6">
      <w:pPr>
        <w:pStyle w:val="ListBulletLast"/>
      </w:pPr>
      <w:r w:rsidRPr="00124637">
        <w:t xml:space="preserve">decide not to investigate the matter. </w:t>
      </w:r>
    </w:p>
    <w:p w14:paraId="200441FA" w14:textId="77777777" w:rsidR="00E975D6" w:rsidRPr="00124637" w:rsidRDefault="00E975D6" w:rsidP="00E975D6">
      <w:pPr>
        <w:rPr>
          <w:rFonts w:cs="Arial"/>
        </w:rPr>
      </w:pPr>
      <w:r w:rsidRPr="00124637">
        <w:rPr>
          <w:rFonts w:cs="Arial"/>
        </w:rPr>
        <w:t>The ACMA has the power to issue formal warnings and directions to carriers to comply with the code. It does not have the power to make a carrier relocate its facility.</w:t>
      </w:r>
    </w:p>
    <w:p w14:paraId="5E63D1A2" w14:textId="77777777" w:rsidR="00E975D6" w:rsidRPr="00124637" w:rsidRDefault="00E975D6" w:rsidP="00E975D6">
      <w:pPr>
        <w:rPr>
          <w:rFonts w:cs="Arial"/>
        </w:rPr>
      </w:pPr>
      <w:r w:rsidRPr="00124637">
        <w:rPr>
          <w:rFonts w:cs="Arial"/>
        </w:rPr>
        <w:t>In 2014–15, the ACMA received 31 enquiries about the industry code. Carriers conducted 5,867 consultations under the industry code during this period. The ACMA received an additional 10 enquiries about the deployment of fixed internet wireless facilities.</w:t>
      </w:r>
    </w:p>
    <w:p w14:paraId="366E2E6F" w14:textId="258D2B89" w:rsidR="00861911" w:rsidRDefault="00212A85" w:rsidP="00861911">
      <w:pPr>
        <w:pStyle w:val="Heading1"/>
        <w:spacing w:after="120" w:line="360" w:lineRule="atLeast"/>
        <w:rPr>
          <w:sz w:val="36"/>
          <w:szCs w:val="36"/>
        </w:rPr>
      </w:pPr>
      <w:bookmarkStart w:id="127" w:name="_Toc433703310"/>
      <w:r w:rsidRPr="0022095A">
        <w:rPr>
          <w:i/>
          <w:noProof/>
          <w:sz w:val="36"/>
          <w:szCs w:val="36"/>
        </w:rPr>
        <w:lastRenderedPageBreak/>
        <w:drawing>
          <wp:anchor distT="0" distB="0" distL="114300" distR="114300" simplePos="0" relativeHeight="251660288" behindDoc="1" locked="0" layoutInCell="1" allowOverlap="1" wp14:anchorId="5B224A46" wp14:editId="2BDDA57C">
            <wp:simplePos x="0" y="0"/>
            <wp:positionH relativeFrom="column">
              <wp:posOffset>4529</wp:posOffset>
            </wp:positionH>
            <wp:positionV relativeFrom="paragraph">
              <wp:posOffset>7129</wp:posOffset>
            </wp:positionV>
            <wp:extent cx="1244600" cy="2298700"/>
            <wp:effectExtent l="0" t="0" r="0" b="6350"/>
            <wp:wrapTight wrapText="bothSides">
              <wp:wrapPolygon edited="0">
                <wp:start x="0" y="0"/>
                <wp:lineTo x="0" y="21481"/>
                <wp:lineTo x="21159" y="21481"/>
                <wp:lineTo x="21159" y="0"/>
                <wp:lineTo x="0" y="0"/>
              </wp:wrapPolygon>
            </wp:wrapTight>
            <wp:docPr id="11" name="Picture 11" title="Icon of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lco.jpg"/>
                    <pic:cNvPicPr/>
                  </pic:nvPicPr>
                  <pic:blipFill>
                    <a:blip r:embed="rId33">
                      <a:extLst>
                        <a:ext uri="{28A0092B-C50C-407E-A947-70E740481C1C}">
                          <a14:useLocalDpi xmlns:a14="http://schemas.microsoft.com/office/drawing/2010/main" val="0"/>
                        </a:ext>
                      </a:extLst>
                    </a:blip>
                    <a:stretch>
                      <a:fillRect/>
                    </a:stretch>
                  </pic:blipFill>
                  <pic:spPr>
                    <a:xfrm>
                      <a:off x="0" y="0"/>
                      <a:ext cx="1244600" cy="2298700"/>
                    </a:xfrm>
                    <a:prstGeom prst="rect">
                      <a:avLst/>
                    </a:prstGeom>
                  </pic:spPr>
                </pic:pic>
              </a:graphicData>
            </a:graphic>
            <wp14:sizeRelH relativeFrom="page">
              <wp14:pctWidth>0</wp14:pctWidth>
            </wp14:sizeRelH>
            <wp14:sizeRelV relativeFrom="page">
              <wp14:pctHeight>0</wp14:pctHeight>
            </wp14:sizeRelV>
          </wp:anchor>
        </w:drawing>
      </w:r>
      <w:r w:rsidR="006744F6" w:rsidRPr="0022095A">
        <w:rPr>
          <w:i/>
          <w:sz w:val="36"/>
          <w:szCs w:val="36"/>
        </w:rPr>
        <w:t>D</w:t>
      </w:r>
      <w:r w:rsidR="0022095A" w:rsidRPr="0022095A">
        <w:rPr>
          <w:i/>
          <w:sz w:val="36"/>
          <w:szCs w:val="36"/>
        </w:rPr>
        <w:t>eliverable</w:t>
      </w:r>
      <w:r w:rsidR="006744F6" w:rsidRPr="00861911">
        <w:rPr>
          <w:sz w:val="36"/>
          <w:szCs w:val="36"/>
        </w:rPr>
        <w:t>: Promotion of competition, efficiency and innovation in the Australian telecommunications industry</w:t>
      </w:r>
      <w:bookmarkEnd w:id="127"/>
    </w:p>
    <w:p w14:paraId="3BF83875" w14:textId="77777777" w:rsidR="006744F6" w:rsidRPr="00861911" w:rsidRDefault="006744F6" w:rsidP="00861911">
      <w:pPr>
        <w:pStyle w:val="Heading1"/>
        <w:pageBreakBefore w:val="0"/>
        <w:spacing w:line="360" w:lineRule="atLeast"/>
        <w:rPr>
          <w:sz w:val="36"/>
          <w:szCs w:val="36"/>
        </w:rPr>
      </w:pPr>
      <w:bookmarkStart w:id="128" w:name="_Toc433703311"/>
      <w:r w:rsidRPr="0022095A">
        <w:rPr>
          <w:i/>
          <w:sz w:val="36"/>
          <w:szCs w:val="36"/>
        </w:rPr>
        <w:t>KPI</w:t>
      </w:r>
      <w:r w:rsidRPr="00861911">
        <w:rPr>
          <w:sz w:val="36"/>
          <w:szCs w:val="36"/>
        </w:rPr>
        <w:t>: Competition, efficiency and innovation in the Australian telecommunications industry is maximised, resulting in a simple and flexible numbering scheme</w:t>
      </w:r>
      <w:bookmarkEnd w:id="112"/>
      <w:bookmarkEnd w:id="128"/>
    </w:p>
    <w:p w14:paraId="3C9ABC11" w14:textId="77777777" w:rsidR="006744F6" w:rsidRDefault="006744F6" w:rsidP="006744F6">
      <w:pPr>
        <w:pStyle w:val="Heading2"/>
      </w:pPr>
      <w:bookmarkStart w:id="129" w:name="_Toc419122278"/>
      <w:bookmarkStart w:id="130" w:name="OLE_LINK1"/>
      <w:bookmarkStart w:id="131" w:name="OLE_LINK2"/>
      <w:bookmarkStart w:id="132" w:name="_Toc433703312"/>
      <w:r>
        <w:t>Overview and significant outcomes</w:t>
      </w:r>
      <w:bookmarkEnd w:id="129"/>
      <w:bookmarkEnd w:id="132"/>
    </w:p>
    <w:p w14:paraId="172DB0AB" w14:textId="77777777" w:rsidR="007B2978" w:rsidRPr="00124637" w:rsidRDefault="007B2978" w:rsidP="007B2978">
      <w:pPr>
        <w:rPr>
          <w:rFonts w:cs="Arial"/>
        </w:rPr>
      </w:pPr>
      <w:bookmarkStart w:id="133" w:name="_Toc419122279"/>
      <w:r w:rsidRPr="00124637">
        <w:rPr>
          <w:rFonts w:cs="Arial"/>
        </w:rPr>
        <w:t xml:space="preserve">The ACMA is required to make a plan for the numbering of carriage services in Australia and the use of numbers in connection with the supply of such services. The ACMA also manages the numbering resource and plans for new numbering developments in Australia. </w:t>
      </w:r>
    </w:p>
    <w:p w14:paraId="4EDF5774" w14:textId="77777777" w:rsidR="007B2978" w:rsidRPr="00124637" w:rsidRDefault="007B2978" w:rsidP="007B2978">
      <w:pPr>
        <w:keepNext/>
        <w:spacing w:after="80"/>
        <w:rPr>
          <w:rFonts w:cs="Arial"/>
        </w:rPr>
      </w:pPr>
      <w:r w:rsidRPr="00124637">
        <w:rPr>
          <w:rFonts w:cs="Arial"/>
        </w:rPr>
        <w:t>In 2014–15, the ACMA’s major initiatives in this area included:</w:t>
      </w:r>
    </w:p>
    <w:p w14:paraId="692AD3FB" w14:textId="77777777" w:rsidR="007B2978" w:rsidRPr="00124637" w:rsidRDefault="007B2978" w:rsidP="007B2978">
      <w:pPr>
        <w:pStyle w:val="ListBullet"/>
        <w:rPr>
          <w:rFonts w:cs="Arial"/>
        </w:rPr>
      </w:pPr>
      <w:r w:rsidRPr="00124637">
        <w:rPr>
          <w:rFonts w:cs="Arial"/>
        </w:rPr>
        <w:t>awarding ZOAK Solutions Pty Ltd (ZOAK) the contract to provide allocation and administrative services for most of Australia’s telephone numbers from August 2015</w:t>
      </w:r>
    </w:p>
    <w:p w14:paraId="2B133208" w14:textId="77777777" w:rsidR="007B2978" w:rsidRPr="00124637" w:rsidRDefault="007B2978" w:rsidP="007B2978">
      <w:pPr>
        <w:pStyle w:val="ListBullet"/>
        <w:rPr>
          <w:rFonts w:cs="Arial"/>
        </w:rPr>
      </w:pPr>
      <w:r w:rsidRPr="00124637">
        <w:rPr>
          <w:rFonts w:cs="Arial"/>
        </w:rPr>
        <w:t>making of the Telecommunications Numbering Plan 2015.</w:t>
      </w:r>
    </w:p>
    <w:p w14:paraId="1A731B53" w14:textId="77777777" w:rsidR="006744F6" w:rsidRPr="00124637" w:rsidRDefault="006744F6" w:rsidP="006744F6">
      <w:pPr>
        <w:pStyle w:val="Heading2"/>
      </w:pPr>
      <w:bookmarkStart w:id="134" w:name="Num_ref"/>
      <w:bookmarkStart w:id="135" w:name="_Toc433703313"/>
      <w:bookmarkEnd w:id="134"/>
      <w:r w:rsidRPr="00124637">
        <w:t>Numbering reform activities</w:t>
      </w:r>
      <w:bookmarkEnd w:id="133"/>
      <w:bookmarkEnd w:id="135"/>
    </w:p>
    <w:p w14:paraId="4CEBFE64" w14:textId="77777777" w:rsidR="00BB6349" w:rsidRPr="00124637" w:rsidRDefault="00BB6349" w:rsidP="00BB6349">
      <w:pPr>
        <w:rPr>
          <w:szCs w:val="20"/>
        </w:rPr>
      </w:pPr>
      <w:bookmarkStart w:id="136" w:name="_Toc419122281"/>
      <w:r w:rsidRPr="00124637">
        <w:rPr>
          <w:szCs w:val="20"/>
        </w:rPr>
        <w:t>Between 2010 and 2012, the ACMA</w:t>
      </w:r>
      <w:r w:rsidR="007B2978" w:rsidRPr="00124637">
        <w:rPr>
          <w:szCs w:val="20"/>
        </w:rPr>
        <w:t>, as part of its</w:t>
      </w:r>
      <w:r w:rsidR="00E813FE" w:rsidRPr="00124637">
        <w:rPr>
          <w:szCs w:val="20"/>
        </w:rPr>
        <w:t xml:space="preserve"> Numbering Work Program</w:t>
      </w:r>
      <w:r w:rsidR="007B2978" w:rsidRPr="00124637">
        <w:rPr>
          <w:szCs w:val="20"/>
        </w:rPr>
        <w:t>,</w:t>
      </w:r>
      <w:r w:rsidRPr="00124637">
        <w:rPr>
          <w:szCs w:val="20"/>
        </w:rPr>
        <w:t xml:space="preserve"> examined a wide range of issues related to the regulatory framework for telephone numbers</w:t>
      </w:r>
      <w:r w:rsidR="007B2978" w:rsidRPr="00124637">
        <w:rPr>
          <w:szCs w:val="20"/>
        </w:rPr>
        <w:t>,</w:t>
      </w:r>
      <w:r w:rsidRPr="00124637">
        <w:rPr>
          <w:szCs w:val="20"/>
        </w:rPr>
        <w:t xml:space="preserve"> </w:t>
      </w:r>
      <w:r w:rsidR="007B2978" w:rsidRPr="00124637">
        <w:rPr>
          <w:szCs w:val="20"/>
        </w:rPr>
        <w:t xml:space="preserve">in light of </w:t>
      </w:r>
      <w:r w:rsidRPr="00124637">
        <w:rPr>
          <w:szCs w:val="20"/>
        </w:rPr>
        <w:t>deep changes in industry structures, service offers and consumer behaviour. The aim was to identify what, if any, changes were needed to enable flexible, efficient and effective numbering arrangements for the futu</w:t>
      </w:r>
      <w:r w:rsidR="00C831B5" w:rsidRPr="00124637">
        <w:rPr>
          <w:szCs w:val="20"/>
        </w:rPr>
        <w:t>re communications environment.</w:t>
      </w:r>
    </w:p>
    <w:p w14:paraId="148B27DC" w14:textId="77777777" w:rsidR="00BB6349" w:rsidRPr="00124637" w:rsidRDefault="00BB6349" w:rsidP="00BB6349">
      <w:pPr>
        <w:rPr>
          <w:szCs w:val="20"/>
        </w:rPr>
      </w:pPr>
      <w:r w:rsidRPr="00124637">
        <w:rPr>
          <w:szCs w:val="20"/>
        </w:rPr>
        <w:t xml:space="preserve">One outcome of the Numbering Work Program was that the ACMA examined alternatives for the sustainable provision of numbering services in the long term. The ACMA concluded that it would be timely to test the market </w:t>
      </w:r>
      <w:r w:rsidRPr="00124637">
        <w:rPr>
          <w:rFonts w:cs="Arial"/>
        </w:rPr>
        <w:t xml:space="preserve">for the provision of a system to administer and allocate an expanded range of numbering services, </w:t>
      </w:r>
      <w:r w:rsidR="007B2978" w:rsidRPr="00124637">
        <w:rPr>
          <w:rFonts w:cs="Arial"/>
        </w:rPr>
        <w:t>compared to the allocation of freephone, local rate and premium rate numbers delegated to INMS at that time</w:t>
      </w:r>
      <w:r w:rsidRPr="00124637">
        <w:rPr>
          <w:rFonts w:cs="Arial"/>
        </w:rPr>
        <w:t>.</w:t>
      </w:r>
      <w:r w:rsidRPr="00124637">
        <w:rPr>
          <w:szCs w:val="20"/>
        </w:rPr>
        <w:t xml:space="preserve"> </w:t>
      </w:r>
    </w:p>
    <w:p w14:paraId="3984DB1E" w14:textId="77777777" w:rsidR="00502B8A" w:rsidRPr="00124637" w:rsidRDefault="00BB6349" w:rsidP="00502B8A">
      <w:pPr>
        <w:rPr>
          <w:rFonts w:cs="Arial"/>
        </w:rPr>
      </w:pPr>
      <w:r w:rsidRPr="00124637">
        <w:rPr>
          <w:szCs w:val="20"/>
        </w:rPr>
        <w:t>O</w:t>
      </w:r>
      <w:r w:rsidRPr="00124637">
        <w:rPr>
          <w:rFonts w:cs="Arial"/>
        </w:rPr>
        <w:t>n 12 September 2014, following a competitive tender process, the Commonwealth awarded ZOAK the contract to provide allocation and administrative services for most of Australia’s telephone numbers from August 2015.</w:t>
      </w:r>
      <w:r w:rsidRPr="00124637">
        <w:rPr>
          <w:rStyle w:val="FootnoteReference"/>
          <w:rFonts w:cs="Arial"/>
          <w:szCs w:val="20"/>
        </w:rPr>
        <w:footnoteReference w:id="1"/>
      </w:r>
      <w:r w:rsidR="00921A4B" w:rsidRPr="00124637">
        <w:rPr>
          <w:rFonts w:cs="Arial"/>
        </w:rPr>
        <w:t xml:space="preserve"> </w:t>
      </w:r>
      <w:r w:rsidR="00502B8A" w:rsidRPr="00124637">
        <w:t xml:space="preserve">ZOAK will provide services </w:t>
      </w:r>
      <w:r w:rsidR="00502B8A" w:rsidRPr="00124637">
        <w:lastRenderedPageBreak/>
        <w:t>under delegation from the ACMA</w:t>
      </w:r>
      <w:r w:rsidR="00502B8A" w:rsidRPr="00124637">
        <w:rPr>
          <w:rFonts w:cs="Arial"/>
          <w:szCs w:val="20"/>
        </w:rPr>
        <w:t>, in accordance with a contract with the Commonwealth.</w:t>
      </w:r>
    </w:p>
    <w:p w14:paraId="38D6F094" w14:textId="77777777" w:rsidR="00502B8A" w:rsidRPr="00124637" w:rsidRDefault="00502B8A" w:rsidP="00502B8A">
      <w:pPr>
        <w:rPr>
          <w:rFonts w:cs="Arial"/>
          <w:szCs w:val="20"/>
        </w:rPr>
      </w:pPr>
      <w:r w:rsidRPr="00124637">
        <w:rPr>
          <w:rFonts w:cs="Arial"/>
        </w:rPr>
        <w:t xml:space="preserve">In March 2015, the ACMA made the </w:t>
      </w:r>
      <w:r w:rsidR="00921A4B" w:rsidRPr="00124637">
        <w:rPr>
          <w:rFonts w:cs="Arial"/>
        </w:rPr>
        <w:t>Telecommunic</w:t>
      </w:r>
      <w:r w:rsidRPr="00124637">
        <w:rPr>
          <w:rFonts w:cs="Arial"/>
        </w:rPr>
        <w:t>ations Numbering Plan 2015</w:t>
      </w:r>
      <w:r w:rsidR="00063CD2" w:rsidRPr="00124637">
        <w:rPr>
          <w:rFonts w:cs="Arial"/>
          <w:szCs w:val="20"/>
        </w:rPr>
        <w:t xml:space="preserve">, which </w:t>
      </w:r>
      <w:r w:rsidRPr="00124637">
        <w:rPr>
          <w:rFonts w:cs="Arial"/>
          <w:szCs w:val="20"/>
        </w:rPr>
        <w:t>provides for the automation of numbering</w:t>
      </w:r>
      <w:r w:rsidR="00921A4B" w:rsidRPr="00124637">
        <w:rPr>
          <w:rFonts w:cs="Arial"/>
          <w:szCs w:val="20"/>
        </w:rPr>
        <w:t xml:space="preserve"> transactions from August 2015. It also </w:t>
      </w:r>
      <w:r w:rsidR="00063CD2" w:rsidRPr="00124637">
        <w:rPr>
          <w:rFonts w:cs="Arial"/>
          <w:szCs w:val="20"/>
        </w:rPr>
        <w:t>enables</w:t>
      </w:r>
      <w:r w:rsidR="00921A4B" w:rsidRPr="00124637">
        <w:rPr>
          <w:rFonts w:cs="Arial"/>
          <w:szCs w:val="20"/>
        </w:rPr>
        <w:t xml:space="preserve"> over-the-</w:t>
      </w:r>
      <w:r w:rsidRPr="00124637">
        <w:rPr>
          <w:rFonts w:cs="Arial"/>
          <w:szCs w:val="20"/>
        </w:rPr>
        <w:t xml:space="preserve">counter allocation of smartnumbers, replacing the market-based auction allocation </w:t>
      </w:r>
      <w:r w:rsidR="00C831B5" w:rsidRPr="00124637">
        <w:rPr>
          <w:rFonts w:cs="Arial"/>
          <w:szCs w:val="20"/>
        </w:rPr>
        <w:t xml:space="preserve">method that </w:t>
      </w:r>
      <w:r w:rsidR="00FA486F" w:rsidRPr="00124637">
        <w:rPr>
          <w:rFonts w:cs="Arial"/>
          <w:szCs w:val="20"/>
        </w:rPr>
        <w:t xml:space="preserve">has been in operation since </w:t>
      </w:r>
      <w:r w:rsidR="00C831B5" w:rsidRPr="00124637">
        <w:rPr>
          <w:rFonts w:cs="Arial"/>
          <w:szCs w:val="20"/>
        </w:rPr>
        <w:t>2004.</w:t>
      </w:r>
    </w:p>
    <w:p w14:paraId="28D84013" w14:textId="77777777" w:rsidR="00502B8A" w:rsidRPr="00124637" w:rsidRDefault="00502B8A" w:rsidP="00502B8A">
      <w:pPr>
        <w:rPr>
          <w:rFonts w:cs="Arial"/>
        </w:rPr>
      </w:pPr>
      <w:r w:rsidRPr="00124637">
        <w:rPr>
          <w:rFonts w:cs="Arial"/>
          <w:szCs w:val="20"/>
        </w:rPr>
        <w:t xml:space="preserve">In April 2015, the ACMA consulted on draft instruments that set charges for numbering transactions </w:t>
      </w:r>
      <w:r w:rsidR="00921A4B" w:rsidRPr="00124637">
        <w:rPr>
          <w:rFonts w:cs="Arial"/>
          <w:szCs w:val="20"/>
        </w:rPr>
        <w:t>to</w:t>
      </w:r>
      <w:r w:rsidRPr="00124637">
        <w:rPr>
          <w:rFonts w:cs="Arial"/>
          <w:szCs w:val="20"/>
        </w:rPr>
        <w:t xml:space="preserve"> apply from August 20</w:t>
      </w:r>
      <w:r w:rsidR="00921A4B" w:rsidRPr="00124637">
        <w:rPr>
          <w:rFonts w:cs="Arial"/>
          <w:szCs w:val="20"/>
        </w:rPr>
        <w:t>1</w:t>
      </w:r>
      <w:r w:rsidRPr="00124637">
        <w:rPr>
          <w:rFonts w:cs="Arial"/>
          <w:szCs w:val="20"/>
        </w:rPr>
        <w:t>5</w:t>
      </w:r>
      <w:r w:rsidR="00921A4B" w:rsidRPr="00124637">
        <w:rPr>
          <w:rFonts w:cs="Arial"/>
          <w:szCs w:val="20"/>
        </w:rPr>
        <w:t>, receiving three submissions.</w:t>
      </w:r>
      <w:r w:rsidRPr="00124637">
        <w:rPr>
          <w:rFonts w:cs="Arial"/>
          <w:szCs w:val="20"/>
        </w:rPr>
        <w:t xml:space="preserve"> The ACMA anticipates making the numbering charges instruments in July 2015.</w:t>
      </w:r>
    </w:p>
    <w:p w14:paraId="0B1ED85F" w14:textId="77777777" w:rsidR="00502B8A" w:rsidRPr="00124637" w:rsidRDefault="00502B8A" w:rsidP="00502B8A">
      <w:pPr>
        <w:rPr>
          <w:rFonts w:cs="Arial"/>
          <w:szCs w:val="20"/>
        </w:rPr>
      </w:pPr>
      <w:r w:rsidRPr="00124637">
        <w:rPr>
          <w:rFonts w:cs="Arial"/>
          <w:szCs w:val="20"/>
        </w:rPr>
        <w:t>In partnership with Communications Alliance, the ACMA expects to progress further work to streamline numbering arrangements</w:t>
      </w:r>
      <w:r w:rsidR="00921A4B" w:rsidRPr="00124637">
        <w:rPr>
          <w:rFonts w:cs="Arial"/>
          <w:szCs w:val="20"/>
        </w:rPr>
        <w:t xml:space="preserve"> during 2015–16</w:t>
      </w:r>
      <w:r w:rsidRPr="00124637">
        <w:rPr>
          <w:rFonts w:cs="Arial"/>
          <w:szCs w:val="20"/>
        </w:rPr>
        <w:t>, including changes to evolve the Numbering Plan to a more principles-based document supported by industry codes and guidelines.</w:t>
      </w:r>
    </w:p>
    <w:p w14:paraId="395F6238" w14:textId="77777777" w:rsidR="006744F6" w:rsidRPr="009F68B0" w:rsidRDefault="006744F6" w:rsidP="00502B8A">
      <w:pPr>
        <w:pStyle w:val="Heading2"/>
      </w:pPr>
      <w:bookmarkStart w:id="137" w:name="new_arr"/>
      <w:bookmarkStart w:id="138" w:name="_Toc433703314"/>
      <w:bookmarkEnd w:id="137"/>
      <w:r w:rsidRPr="00124637">
        <w:t>New arrangements for m</w:t>
      </w:r>
      <w:r w:rsidR="00921A4B" w:rsidRPr="00124637">
        <w:t xml:space="preserve">obile calls to 1800 and </w:t>
      </w:r>
      <w:r w:rsidR="00921A4B" w:rsidRPr="009F68B0">
        <w:t>13/1300 </w:t>
      </w:r>
      <w:r w:rsidRPr="009F68B0">
        <w:t>numbers</w:t>
      </w:r>
      <w:bookmarkEnd w:id="136"/>
      <w:bookmarkEnd w:id="138"/>
    </w:p>
    <w:p w14:paraId="2DE48C42" w14:textId="77777777" w:rsidR="00F658B2" w:rsidRPr="009F68B0" w:rsidRDefault="00F658B2" w:rsidP="00F658B2">
      <w:bookmarkStart w:id="139" w:name="_Toc419122283"/>
      <w:bookmarkEnd w:id="130"/>
      <w:bookmarkEnd w:id="131"/>
      <w:r w:rsidRPr="009F68B0">
        <w:t>On 1 July 2014, the ACMA announced a new framework for call charges from mobile phones to 1800 (freephone) and 13/1300 (local rate) numbers. Developed in close consultation with the telecommunications industry and without direct regulatory intervention, the new arrangements take account of market changes in recent years and are intended to deliver a range of consumer benefits.</w:t>
      </w:r>
    </w:p>
    <w:p w14:paraId="33E59BFD" w14:textId="77777777" w:rsidR="00F658B2" w:rsidRPr="009F68B0" w:rsidRDefault="00F658B2" w:rsidP="00F658B2">
      <w:r w:rsidRPr="009F68B0">
        <w:t>Mobile operators will continue to offer ‘13-friendly’ mobile plans in accordance with a guideline developed by Communications Alliance. Under these plans, calls to 13 and 1300 numbers will be charged against the included-value allowance of the plan, rather than billed separately.</w:t>
      </w:r>
    </w:p>
    <w:p w14:paraId="670FEC9C" w14:textId="6280856B" w:rsidR="00F658B2" w:rsidRDefault="00F658B2" w:rsidP="00F658B2">
      <w:r w:rsidRPr="009F68B0">
        <w:t>From 1 July 2015, the overwhelming majority of mobile operators, including Optus, Telstra and Vodafone, wi</w:t>
      </w:r>
      <w:r w:rsidR="009F68B0">
        <w:t>ll provide their customers free-of-</w:t>
      </w:r>
      <w:r w:rsidRPr="009F68B0">
        <w:t>charge mobile calls to 1800 numbers. A small number of mobile providers have yet to implement this capability for their customers. The ACMA will continue to work with Communications Alliance and the Australian Communications Consumer Action Network (ACCAN) to encourage these providers to implement these arrangements in a timely manner.</w:t>
      </w:r>
    </w:p>
    <w:p w14:paraId="2F40E66F" w14:textId="68F50DF6" w:rsidR="00BB6349" w:rsidRPr="00124637" w:rsidRDefault="00BB6349" w:rsidP="00BB6349">
      <w:pPr>
        <w:rPr>
          <w:rFonts w:cs="Arial"/>
          <w:szCs w:val="20"/>
        </w:rPr>
      </w:pPr>
      <w:r w:rsidRPr="00124637">
        <w:rPr>
          <w:rFonts w:cs="Arial"/>
          <w:szCs w:val="20"/>
        </w:rPr>
        <w:t>These initiatives will work in conjunction with other protections—notably call and data usage alerts from mobile providers—now required under the T</w:t>
      </w:r>
      <w:r w:rsidR="00921A4B" w:rsidRPr="00124637">
        <w:rPr>
          <w:rFonts w:cs="Arial"/>
          <w:szCs w:val="20"/>
        </w:rPr>
        <w:t xml:space="preserve">elecommunications </w:t>
      </w:r>
      <w:r w:rsidRPr="00124637">
        <w:rPr>
          <w:rFonts w:cs="Arial"/>
          <w:szCs w:val="20"/>
        </w:rPr>
        <w:t>C</w:t>
      </w:r>
      <w:r w:rsidR="00921A4B" w:rsidRPr="00124637">
        <w:rPr>
          <w:rFonts w:cs="Arial"/>
          <w:szCs w:val="20"/>
        </w:rPr>
        <w:t xml:space="preserve">onsumer </w:t>
      </w:r>
      <w:r w:rsidRPr="00124637">
        <w:rPr>
          <w:rFonts w:cs="Arial"/>
          <w:szCs w:val="20"/>
        </w:rPr>
        <w:t>P</w:t>
      </w:r>
      <w:r w:rsidR="00921A4B" w:rsidRPr="00124637">
        <w:rPr>
          <w:rFonts w:cs="Arial"/>
          <w:szCs w:val="20"/>
        </w:rPr>
        <w:t>rotections (TCP)</w:t>
      </w:r>
      <w:r w:rsidRPr="00124637">
        <w:rPr>
          <w:rFonts w:cs="Arial"/>
          <w:szCs w:val="20"/>
        </w:rPr>
        <w:t xml:space="preserve"> Code.</w:t>
      </w:r>
    </w:p>
    <w:p w14:paraId="67D4F40F" w14:textId="77777777" w:rsidR="00BB6349" w:rsidRPr="00124637" w:rsidRDefault="00BB6349" w:rsidP="00BB6349">
      <w:pPr>
        <w:rPr>
          <w:rFonts w:cs="Arial"/>
          <w:szCs w:val="20"/>
        </w:rPr>
      </w:pPr>
      <w:r w:rsidRPr="00124637">
        <w:rPr>
          <w:rFonts w:cs="Arial"/>
          <w:szCs w:val="20"/>
        </w:rPr>
        <w:t>The ACMA and industry will monitor how these issues work in practice so that consumers’ experience is improved in both the short and long term.</w:t>
      </w:r>
    </w:p>
    <w:p w14:paraId="6FA3C514" w14:textId="77777777" w:rsidR="00BB6349" w:rsidRPr="00124637" w:rsidRDefault="00BB6349" w:rsidP="00BB6349">
      <w:pPr>
        <w:pStyle w:val="Heading2"/>
      </w:pPr>
      <w:bookmarkStart w:id="140" w:name="_Toc337727564"/>
      <w:bookmarkStart w:id="141" w:name="_Toc419122282"/>
      <w:bookmarkStart w:id="142" w:name="_Toc433703315"/>
      <w:r w:rsidRPr="00124637">
        <w:t>Numbering Advisory Committee</w:t>
      </w:r>
      <w:bookmarkEnd w:id="140"/>
      <w:bookmarkEnd w:id="141"/>
      <w:bookmarkEnd w:id="142"/>
    </w:p>
    <w:p w14:paraId="78CC841A" w14:textId="778B4E3B" w:rsidR="00BB6349" w:rsidRPr="00124637" w:rsidRDefault="00BB6349" w:rsidP="00BB6349">
      <w:pPr>
        <w:rPr>
          <w:rFonts w:cs="Arial"/>
        </w:rPr>
      </w:pPr>
      <w:r w:rsidRPr="00124637">
        <w:rPr>
          <w:rFonts w:cs="Arial"/>
        </w:rPr>
        <w:t>The Numbering Advisory Committee (NAC) is a formally constituted advisory committee to the ACMA and comprises representatives of the telecommunications industry, telecommunications users, community groups and government. The NAC provides advice and recommendations on issues related to the ACMA’s numbering functions</w:t>
      </w:r>
      <w:r w:rsidR="009F68B0">
        <w:rPr>
          <w:rFonts w:cs="Arial"/>
        </w:rPr>
        <w:t>,</w:t>
      </w:r>
      <w:r w:rsidRPr="00124637">
        <w:rPr>
          <w:rFonts w:cs="Arial"/>
        </w:rPr>
        <w:t xml:space="preserve"> with the objective of improving the benefits to suppliers and users of carriage services, and facilitating competition.</w:t>
      </w:r>
    </w:p>
    <w:p w14:paraId="58F4D2C1" w14:textId="77777777" w:rsidR="00502B8A" w:rsidRPr="00124637" w:rsidRDefault="00502B8A" w:rsidP="00124637">
      <w:pPr>
        <w:keepLines/>
      </w:pPr>
      <w:r w:rsidRPr="00124637">
        <w:lastRenderedPageBreak/>
        <w:t>The NAC met on two occasions during 2014–15. It provided advice on the making of the Numbering Plan, the</w:t>
      </w:r>
      <w:r w:rsidR="00BD54C3" w:rsidRPr="00124637">
        <w:t xml:space="preserve"> proposal to re</w:t>
      </w:r>
      <w:r w:rsidRPr="00124637">
        <w:t>make numbering charges and a range of other numbering matters.</w:t>
      </w:r>
      <w:r w:rsidRPr="00124637" w:rsidDel="00CE5FEE">
        <w:t xml:space="preserve"> </w:t>
      </w:r>
      <w:r w:rsidRPr="00124637">
        <w:t>The Numbering Services Implementation Steering Committee was formed under the auspices of the NAC to guide the development of</w:t>
      </w:r>
      <w:r w:rsidR="00BD54C3" w:rsidRPr="00124637">
        <w:t>,</w:t>
      </w:r>
      <w:r w:rsidRPr="00124637">
        <w:t xml:space="preserve"> and transition to</w:t>
      </w:r>
      <w:r w:rsidR="00BD54C3" w:rsidRPr="00124637">
        <w:t>,</w:t>
      </w:r>
      <w:r w:rsidRPr="00124637">
        <w:t xml:space="preserve"> the new numbering system.</w:t>
      </w:r>
    </w:p>
    <w:p w14:paraId="434612F3" w14:textId="0DE66EF6" w:rsidR="00861911" w:rsidRDefault="00212A85" w:rsidP="00861911">
      <w:pPr>
        <w:pStyle w:val="Heading1"/>
        <w:spacing w:after="120" w:line="360" w:lineRule="atLeast"/>
        <w:rPr>
          <w:sz w:val="36"/>
          <w:szCs w:val="36"/>
        </w:rPr>
      </w:pPr>
      <w:bookmarkStart w:id="143" w:name="_Toc433703316"/>
      <w:r w:rsidRPr="00583E1B">
        <w:rPr>
          <w:i/>
          <w:noProof/>
          <w:sz w:val="36"/>
          <w:szCs w:val="36"/>
        </w:rPr>
        <w:lastRenderedPageBreak/>
        <w:drawing>
          <wp:anchor distT="0" distB="0" distL="114300" distR="114300" simplePos="0" relativeHeight="251661312" behindDoc="1" locked="0" layoutInCell="1" allowOverlap="1" wp14:anchorId="7E0CBD9B" wp14:editId="312628F8">
            <wp:simplePos x="0" y="0"/>
            <wp:positionH relativeFrom="column">
              <wp:posOffset>4529</wp:posOffset>
            </wp:positionH>
            <wp:positionV relativeFrom="paragraph">
              <wp:posOffset>7129</wp:posOffset>
            </wp:positionV>
            <wp:extent cx="1206500" cy="1587500"/>
            <wp:effectExtent l="0" t="0" r="0" b="0"/>
            <wp:wrapTight wrapText="bothSides">
              <wp:wrapPolygon edited="0">
                <wp:start x="0" y="0"/>
                <wp:lineTo x="0" y="21254"/>
                <wp:lineTo x="21145" y="21254"/>
                <wp:lineTo x="21145" y="0"/>
                <wp:lineTo x="0" y="0"/>
              </wp:wrapPolygon>
            </wp:wrapTight>
            <wp:docPr id="12" name="Picture 12" title="Icon of 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gs.jpg"/>
                    <pic:cNvPicPr/>
                  </pic:nvPicPr>
                  <pic:blipFill>
                    <a:blip r:embed="rId34">
                      <a:extLst>
                        <a:ext uri="{28A0092B-C50C-407E-A947-70E740481C1C}">
                          <a14:useLocalDpi xmlns:a14="http://schemas.microsoft.com/office/drawing/2010/main" val="0"/>
                        </a:ext>
                      </a:extLst>
                    </a:blip>
                    <a:stretch>
                      <a:fillRect/>
                    </a:stretch>
                  </pic:blipFill>
                  <pic:spPr>
                    <a:xfrm>
                      <a:off x="0" y="0"/>
                      <a:ext cx="1206500" cy="1587500"/>
                    </a:xfrm>
                    <a:prstGeom prst="rect">
                      <a:avLst/>
                    </a:prstGeom>
                  </pic:spPr>
                </pic:pic>
              </a:graphicData>
            </a:graphic>
            <wp14:sizeRelH relativeFrom="page">
              <wp14:pctWidth>0</wp14:pctWidth>
            </wp14:sizeRelH>
            <wp14:sizeRelV relativeFrom="page">
              <wp14:pctHeight>0</wp14:pctHeight>
            </wp14:sizeRelV>
          </wp:anchor>
        </w:drawing>
      </w:r>
      <w:r w:rsidR="006744F6" w:rsidRPr="00583E1B">
        <w:rPr>
          <w:i/>
          <w:sz w:val="36"/>
          <w:szCs w:val="36"/>
        </w:rPr>
        <w:t>D</w:t>
      </w:r>
      <w:r w:rsidR="00583E1B" w:rsidRPr="00583E1B">
        <w:rPr>
          <w:i/>
          <w:sz w:val="36"/>
          <w:szCs w:val="36"/>
        </w:rPr>
        <w:t>eliverable</w:t>
      </w:r>
      <w:r w:rsidR="006744F6" w:rsidRPr="00861911">
        <w:rPr>
          <w:sz w:val="36"/>
          <w:szCs w:val="36"/>
        </w:rPr>
        <w:t>: Administration of licensing and number allocation arrangements</w:t>
      </w:r>
      <w:bookmarkEnd w:id="143"/>
    </w:p>
    <w:p w14:paraId="7251D023" w14:textId="77777777" w:rsidR="006744F6" w:rsidRPr="00861911" w:rsidRDefault="006744F6" w:rsidP="00212A85">
      <w:pPr>
        <w:pStyle w:val="Heading1"/>
        <w:pageBreakBefore w:val="0"/>
        <w:tabs>
          <w:tab w:val="left" w:pos="2127"/>
        </w:tabs>
        <w:spacing w:line="360" w:lineRule="atLeast"/>
        <w:rPr>
          <w:sz w:val="36"/>
          <w:szCs w:val="36"/>
        </w:rPr>
      </w:pPr>
      <w:bookmarkStart w:id="144" w:name="_Toc433703317"/>
      <w:r w:rsidRPr="00583E1B">
        <w:rPr>
          <w:i/>
          <w:sz w:val="36"/>
          <w:szCs w:val="36"/>
        </w:rPr>
        <w:t>KPI</w:t>
      </w:r>
      <w:r w:rsidRPr="00861911">
        <w:rPr>
          <w:sz w:val="36"/>
          <w:szCs w:val="36"/>
        </w:rPr>
        <w:t>: In allocating or renewing broadcasting, telecommunications and radiocommunications licences and numbers, administrative costs on industry and citizens are minimised</w:t>
      </w:r>
      <w:bookmarkEnd w:id="139"/>
      <w:bookmarkEnd w:id="144"/>
    </w:p>
    <w:p w14:paraId="47AAC314" w14:textId="77777777" w:rsidR="006744F6" w:rsidRDefault="006744F6" w:rsidP="006744F6">
      <w:pPr>
        <w:pStyle w:val="Heading2"/>
      </w:pPr>
      <w:bookmarkStart w:id="145" w:name="Admin_Ov"/>
      <w:bookmarkStart w:id="146" w:name="_Toc419122284"/>
      <w:bookmarkStart w:id="147" w:name="_Toc337727555"/>
      <w:bookmarkStart w:id="148" w:name="_Toc433703318"/>
      <w:bookmarkEnd w:id="145"/>
      <w:r>
        <w:t>Overview and significant outcomes</w:t>
      </w:r>
      <w:bookmarkEnd w:id="146"/>
      <w:bookmarkEnd w:id="148"/>
    </w:p>
    <w:p w14:paraId="7D0AB38C" w14:textId="77777777" w:rsidR="00CC2E6C" w:rsidRPr="00124637" w:rsidRDefault="00CC2E6C" w:rsidP="00CC2E6C">
      <w:pPr>
        <w:rPr>
          <w:rFonts w:cs="Arial"/>
        </w:rPr>
      </w:pPr>
      <w:bookmarkStart w:id="149" w:name="_Toc419122285"/>
      <w:r w:rsidRPr="00124637">
        <w:rPr>
          <w:rFonts w:cs="Arial"/>
        </w:rPr>
        <w:t>The ACMA has responsibility for allocating and renewing radiocommunications licences, including apparatus, spectrum and class licences; broadcasting licences including temporary community broadcasting, community radio broadcasting and commercial and community television licences; telecommunications licences, including carrier licences and nominated carrier declarations; and number allocations.</w:t>
      </w:r>
    </w:p>
    <w:p w14:paraId="1E970789" w14:textId="77777777" w:rsidR="00CC2E6C" w:rsidRPr="00124637" w:rsidRDefault="00CC2E6C" w:rsidP="00CC2E6C">
      <w:pPr>
        <w:spacing w:after="80"/>
        <w:rPr>
          <w:rFonts w:cs="Arial"/>
        </w:rPr>
      </w:pPr>
      <w:r w:rsidRPr="00124637">
        <w:rPr>
          <w:rFonts w:cs="Arial"/>
        </w:rPr>
        <w:t>In 2014–15, the ACMA’s major achievements in this area included:</w:t>
      </w:r>
    </w:p>
    <w:p w14:paraId="2308C80C" w14:textId="77777777" w:rsidR="00CC2E6C" w:rsidRPr="00124637" w:rsidRDefault="00CC2E6C" w:rsidP="00CC2E6C">
      <w:pPr>
        <w:pStyle w:val="ListBullet"/>
        <w:rPr>
          <w:rFonts w:cs="Arial"/>
        </w:rPr>
      </w:pPr>
      <w:r w:rsidRPr="00124637">
        <w:rPr>
          <w:rFonts w:cs="Arial"/>
        </w:rPr>
        <w:t>completion of expiring spectrum licence processes in the 800 MHz and 1800 MHz bands, and in part of the 2.3 GHz band</w:t>
      </w:r>
    </w:p>
    <w:p w14:paraId="22EF2D75" w14:textId="77777777" w:rsidR="00CC2E6C" w:rsidRPr="00124637" w:rsidRDefault="00CC2E6C" w:rsidP="00CC2E6C">
      <w:pPr>
        <w:pStyle w:val="ListBulletLast"/>
        <w:rPr>
          <w:rFonts w:cs="Times New Roman"/>
        </w:rPr>
      </w:pPr>
      <w:r w:rsidRPr="00124637">
        <w:t>400 MHz band implementation.</w:t>
      </w:r>
    </w:p>
    <w:p w14:paraId="4CAFA4B7" w14:textId="77777777" w:rsidR="001B60B2" w:rsidRPr="00124637" w:rsidRDefault="00CC040A" w:rsidP="001B60B2">
      <w:r w:rsidRPr="00124637">
        <w:rPr>
          <w:rFonts w:cs="Arial"/>
        </w:rPr>
        <w:t>For information on numbering reform activities, s</w:t>
      </w:r>
      <w:r w:rsidR="001B60B2" w:rsidRPr="00124637">
        <w:rPr>
          <w:rFonts w:cs="Arial"/>
        </w:rPr>
        <w:t xml:space="preserve">ee the deliverable </w:t>
      </w:r>
      <w:r w:rsidR="001B60B2" w:rsidRPr="00124637">
        <w:rPr>
          <w:rFonts w:cs="Arial"/>
          <w:i/>
        </w:rPr>
        <w:t>Promotion of competition, efficiency and innovation in the Australian telecommunications industry</w:t>
      </w:r>
      <w:r w:rsidR="001B60B2" w:rsidRPr="00124637">
        <w:rPr>
          <w:rFonts w:cs="Arial"/>
        </w:rPr>
        <w:t>.</w:t>
      </w:r>
    </w:p>
    <w:p w14:paraId="094ED7B3" w14:textId="77777777" w:rsidR="006744F6" w:rsidRPr="00124637" w:rsidRDefault="006744F6" w:rsidP="006744F6">
      <w:pPr>
        <w:pStyle w:val="Heading2"/>
      </w:pPr>
      <w:bookmarkStart w:id="150" w:name="_Toc433703319"/>
      <w:r w:rsidRPr="00124637">
        <w:t>Radiocommunications licensing</w:t>
      </w:r>
      <w:bookmarkEnd w:id="147"/>
      <w:bookmarkEnd w:id="149"/>
      <w:bookmarkEnd w:id="150"/>
    </w:p>
    <w:p w14:paraId="30B5B1FD" w14:textId="77777777" w:rsidR="006744F6" w:rsidRPr="00124637" w:rsidRDefault="006744F6" w:rsidP="006744F6">
      <w:pPr>
        <w:pStyle w:val="Heading3"/>
      </w:pPr>
      <w:bookmarkStart w:id="151" w:name="_Toc419122286"/>
      <w:bookmarkStart w:id="152" w:name="_Toc433703320"/>
      <w:r w:rsidRPr="00124637">
        <w:t>Apparatus licensing</w:t>
      </w:r>
      <w:bookmarkEnd w:id="151"/>
      <w:bookmarkEnd w:id="152"/>
    </w:p>
    <w:p w14:paraId="457A0715" w14:textId="77777777" w:rsidR="00BB6349" w:rsidRPr="00124637" w:rsidRDefault="00BB6349" w:rsidP="00BB6349">
      <w:pPr>
        <w:rPr>
          <w:rFonts w:cs="Arial"/>
        </w:rPr>
      </w:pPr>
      <w:r w:rsidRPr="00124637">
        <w:rPr>
          <w:rFonts w:cs="Arial"/>
        </w:rPr>
        <w:t xml:space="preserve">Apparatus licences can be issued for any period ranging from one day to a maximum of five years. The majority of licences are for one year with annual renewals thereafter. </w:t>
      </w:r>
    </w:p>
    <w:p w14:paraId="756E981A" w14:textId="77777777" w:rsidR="00BB6349" w:rsidRPr="00124637" w:rsidRDefault="00BB6349" w:rsidP="00BB6349">
      <w:pPr>
        <w:rPr>
          <w:rFonts w:cs="Arial"/>
        </w:rPr>
      </w:pPr>
      <w:r w:rsidRPr="00124637">
        <w:rPr>
          <w:rFonts w:cs="Arial"/>
        </w:rPr>
        <w:t>The ACMA issues apparatus licences that require frequency assignment coordination (assigned licences), as well as apparatus licences where no frequency assignment coordination is required (non-assigned licences).</w:t>
      </w:r>
    </w:p>
    <w:p w14:paraId="2ECE17BB" w14:textId="77777777" w:rsidR="00BB6349" w:rsidRPr="00124637" w:rsidRDefault="00BB6349" w:rsidP="00BB6349">
      <w:pPr>
        <w:rPr>
          <w:rFonts w:cs="Arial"/>
        </w:rPr>
      </w:pPr>
      <w:r w:rsidRPr="00124637">
        <w:rPr>
          <w:rFonts w:cs="Arial"/>
        </w:rPr>
        <w:t>The ACMA’s key performance indicator (KPI) for issuing licence applications requiring frequency assignment is to have completed 60 per cent of applications within 30 days of receipt. For licence applications not requiring frequency assignment, the ACMA’s KPI is to complete 100 per cent of applications within 14 days of receipt.</w:t>
      </w:r>
    </w:p>
    <w:p w14:paraId="33712532" w14:textId="77777777" w:rsidR="00BB6349" w:rsidRPr="00124637" w:rsidRDefault="00BB6349" w:rsidP="00BB6349">
      <w:pPr>
        <w:rPr>
          <w:rFonts w:cs="Arial"/>
        </w:rPr>
      </w:pPr>
      <w:r w:rsidRPr="00124637">
        <w:rPr>
          <w:rFonts w:cs="Arial"/>
        </w:rPr>
        <w:t>The ACMA is undertaking a major project—Project HELM—to replace its ageing spectrum management information systems. Development and testing of the apparatus licensing component of the system was an important deliverable for Project HELM in 2014–15.</w:t>
      </w:r>
    </w:p>
    <w:p w14:paraId="16ACB4DA" w14:textId="77777777" w:rsidR="00BB6349" w:rsidRPr="00124637" w:rsidRDefault="00BB6349" w:rsidP="00BB6349">
      <w:pPr>
        <w:spacing w:after="80"/>
        <w:outlineLvl w:val="0"/>
        <w:rPr>
          <w:rFonts w:cs="Arial"/>
        </w:rPr>
      </w:pPr>
      <w:r w:rsidRPr="00124637">
        <w:rPr>
          <w:rFonts w:cs="Arial"/>
        </w:rPr>
        <w:t>The need for expert staff to support Project HELM during 2014–15 reduced the ACMA’s ability to meet its KPI targets, with:</w:t>
      </w:r>
    </w:p>
    <w:p w14:paraId="7AA2BFD2" w14:textId="77777777" w:rsidR="00502B8A" w:rsidRPr="00124637" w:rsidRDefault="00502B8A" w:rsidP="00502B8A">
      <w:pPr>
        <w:pStyle w:val="ListBullet"/>
        <w:rPr>
          <w:rFonts w:cs="Arial"/>
        </w:rPr>
      </w:pPr>
      <w:r w:rsidRPr="00124637">
        <w:rPr>
          <w:rFonts w:cs="Arial"/>
        </w:rPr>
        <w:t>27.1 per cent of assigned licence applications completed within 30 days</w:t>
      </w:r>
    </w:p>
    <w:p w14:paraId="50A5D712" w14:textId="77777777" w:rsidR="00502B8A" w:rsidRPr="00124637" w:rsidRDefault="00502B8A" w:rsidP="00502B8A">
      <w:pPr>
        <w:pStyle w:val="ListBulletLast"/>
      </w:pPr>
      <w:r w:rsidRPr="00124637">
        <w:t xml:space="preserve">71.5 per cent of non-assigned applications completed within 14 days. </w:t>
      </w:r>
    </w:p>
    <w:p w14:paraId="0538AA14" w14:textId="77777777" w:rsidR="00BB6349" w:rsidRPr="00124637" w:rsidRDefault="00BB6349" w:rsidP="00BB6349">
      <w:pPr>
        <w:rPr>
          <w:rFonts w:cs="Arial"/>
        </w:rPr>
      </w:pPr>
      <w:r w:rsidRPr="00124637">
        <w:rPr>
          <w:rFonts w:cs="Arial"/>
        </w:rPr>
        <w:lastRenderedPageBreak/>
        <w:t>The ACMA worked with stakeholders, including accredited persons, to minimise the impact of delays in processing apparatus licence applications.</w:t>
      </w:r>
    </w:p>
    <w:p w14:paraId="69E18141" w14:textId="77777777" w:rsidR="006744F6" w:rsidRPr="00124637" w:rsidRDefault="006744F6" w:rsidP="006744F6">
      <w:pPr>
        <w:pStyle w:val="BodysubheaderH4"/>
      </w:pPr>
      <w:r w:rsidRPr="00124637">
        <w:t xml:space="preserve">New </w:t>
      </w:r>
      <w:r w:rsidR="00CC2E6C" w:rsidRPr="00124637">
        <w:t xml:space="preserve">and renewed </w:t>
      </w:r>
      <w:r w:rsidRPr="00124637">
        <w:t>licences</w:t>
      </w:r>
    </w:p>
    <w:p w14:paraId="0B28791A" w14:textId="77777777" w:rsidR="00CC2E6C" w:rsidRPr="00124637" w:rsidRDefault="00CC2E6C" w:rsidP="00CC2E6C">
      <w:pPr>
        <w:outlineLvl w:val="0"/>
        <w:rPr>
          <w:rFonts w:cs="Arial"/>
        </w:rPr>
      </w:pPr>
      <w:r w:rsidRPr="00124637">
        <w:rPr>
          <w:rFonts w:cs="Arial"/>
        </w:rPr>
        <w:t xml:space="preserve">In 2014–15, 15,613 new apparatus licences were issued. This increased the number of current licences to 161,737 at 30 June 2015 (see Table </w:t>
      </w:r>
      <w:r w:rsidR="00754F9B" w:rsidRPr="00124637">
        <w:rPr>
          <w:rFonts w:cs="Arial"/>
        </w:rPr>
        <w:t>42</w:t>
      </w:r>
      <w:r w:rsidRPr="00124637">
        <w:rPr>
          <w:rFonts w:cs="Arial"/>
        </w:rPr>
        <w:t xml:space="preserve"> in Appendix 4). During the reporting period, 147,524 licences were renewed. Over the same period, the annual number of new and renewed apparatus licences issued averaged 159,881.</w:t>
      </w:r>
    </w:p>
    <w:p w14:paraId="2ABA8FCC" w14:textId="77777777" w:rsidR="006B5F4B" w:rsidRPr="00124637" w:rsidRDefault="006B5F4B" w:rsidP="00363455">
      <w:pPr>
        <w:pStyle w:val="BodysubheaderH4"/>
        <w:spacing w:before="360"/>
      </w:pPr>
      <w:r w:rsidRPr="00124637">
        <w:t>Price-based apparatus licence allocations—LPON licences</w:t>
      </w:r>
    </w:p>
    <w:p w14:paraId="522B452C" w14:textId="77777777" w:rsidR="00BB6349" w:rsidRPr="00124637" w:rsidRDefault="00BB6349" w:rsidP="00BB6349">
      <w:pPr>
        <w:rPr>
          <w:rFonts w:cs="Arial"/>
        </w:rPr>
      </w:pPr>
      <w:r w:rsidRPr="00124637">
        <w:rPr>
          <w:rFonts w:cs="Arial"/>
        </w:rPr>
        <w:t xml:space="preserve">Following the ACMA’s review into the operation of </w:t>
      </w:r>
      <w:r w:rsidR="00B94A9D" w:rsidRPr="00124637">
        <w:rPr>
          <w:rFonts w:cs="Arial"/>
        </w:rPr>
        <w:t>low-power open narrowcasting (</w:t>
      </w:r>
      <w:r w:rsidRPr="00124637">
        <w:rPr>
          <w:rFonts w:cs="Arial"/>
        </w:rPr>
        <w:t>LPON</w:t>
      </w:r>
      <w:r w:rsidR="00B94A9D" w:rsidRPr="00124637">
        <w:rPr>
          <w:rFonts w:cs="Arial"/>
        </w:rPr>
        <w:t>)</w:t>
      </w:r>
      <w:r w:rsidRPr="00124637">
        <w:rPr>
          <w:rFonts w:cs="Arial"/>
        </w:rPr>
        <w:t xml:space="preserve"> services</w:t>
      </w:r>
      <w:r w:rsidR="0002732F" w:rsidRPr="00124637">
        <w:rPr>
          <w:rFonts w:cs="Arial"/>
        </w:rPr>
        <w:t>,</w:t>
      </w:r>
      <w:r w:rsidRPr="00124637">
        <w:rPr>
          <w:rFonts w:cs="Arial"/>
        </w:rPr>
        <w:t xml:space="preserve"> which </w:t>
      </w:r>
      <w:r w:rsidR="0002732F" w:rsidRPr="00124637">
        <w:rPr>
          <w:rFonts w:cs="Arial"/>
        </w:rPr>
        <w:t>began</w:t>
      </w:r>
      <w:r w:rsidRPr="00124637">
        <w:rPr>
          <w:rFonts w:cs="Arial"/>
        </w:rPr>
        <w:t xml:space="preserve"> in 2013 and concluded in early 2014, the ACMA suspended its usual practice of offering to allocate LPON licences and holding auctions for co</w:t>
      </w:r>
      <w:r w:rsidR="0002732F" w:rsidRPr="00124637">
        <w:rPr>
          <w:rFonts w:cs="Arial"/>
        </w:rPr>
        <w:t>mpeting applications on a three-</w:t>
      </w:r>
      <w:r w:rsidRPr="00124637">
        <w:rPr>
          <w:rFonts w:cs="Arial"/>
        </w:rPr>
        <w:t>monthly basis</w:t>
      </w:r>
      <w:r w:rsidR="0002732F" w:rsidRPr="00124637">
        <w:rPr>
          <w:rFonts w:cs="Arial"/>
        </w:rPr>
        <w:t>. Instead, it began</w:t>
      </w:r>
      <w:r w:rsidRPr="00124637">
        <w:rPr>
          <w:rFonts w:cs="Arial"/>
        </w:rPr>
        <w:t xml:space="preserve"> a program of alloc</w:t>
      </w:r>
      <w:r w:rsidR="0002732F" w:rsidRPr="00124637">
        <w:rPr>
          <w:rFonts w:cs="Arial"/>
        </w:rPr>
        <w:t>ating LPONs in areas where Band </w:t>
      </w:r>
      <w:r w:rsidRPr="00124637">
        <w:rPr>
          <w:rFonts w:cs="Arial"/>
        </w:rPr>
        <w:t>II television services had ceased operation. The ACMA held auct</w:t>
      </w:r>
      <w:r w:rsidR="0002732F" w:rsidRPr="00124637">
        <w:rPr>
          <w:rFonts w:cs="Arial"/>
        </w:rPr>
        <w:t>ions and allocated licences in south-w</w:t>
      </w:r>
      <w:r w:rsidRPr="00124637">
        <w:rPr>
          <w:rFonts w:cs="Arial"/>
        </w:rPr>
        <w:t>est West</w:t>
      </w:r>
      <w:r w:rsidR="0002732F" w:rsidRPr="00124637">
        <w:rPr>
          <w:rFonts w:cs="Arial"/>
        </w:rPr>
        <w:t>ern Australia in July 2014, and c</w:t>
      </w:r>
      <w:r w:rsidRPr="00124637">
        <w:rPr>
          <w:rFonts w:cs="Arial"/>
        </w:rPr>
        <w:t xml:space="preserve">entral and </w:t>
      </w:r>
      <w:r w:rsidR="0002732F" w:rsidRPr="00124637">
        <w:rPr>
          <w:rFonts w:cs="Arial"/>
        </w:rPr>
        <w:t>e</w:t>
      </w:r>
      <w:r w:rsidRPr="00124637">
        <w:rPr>
          <w:rFonts w:cs="Arial"/>
        </w:rPr>
        <w:t xml:space="preserve">astern New South Wales </w:t>
      </w:r>
      <w:r w:rsidR="0002732F" w:rsidRPr="00124637">
        <w:rPr>
          <w:rFonts w:cs="Arial"/>
        </w:rPr>
        <w:t>from</w:t>
      </w:r>
      <w:r w:rsidRPr="00124637">
        <w:rPr>
          <w:rFonts w:cs="Arial"/>
        </w:rPr>
        <w:t xml:space="preserve"> September to November 2014. Licences were allocated in Townsville and Renmark/Loxton during April </w:t>
      </w:r>
      <w:r w:rsidR="0002732F" w:rsidRPr="00124637">
        <w:rPr>
          <w:rFonts w:cs="Arial"/>
        </w:rPr>
        <w:t>and</w:t>
      </w:r>
      <w:r w:rsidRPr="00124637">
        <w:rPr>
          <w:rFonts w:cs="Arial"/>
        </w:rPr>
        <w:t xml:space="preserve"> May 2015, without the need to hol</w:t>
      </w:r>
      <w:r w:rsidR="0002732F" w:rsidRPr="00124637">
        <w:rPr>
          <w:rFonts w:cs="Arial"/>
        </w:rPr>
        <w:t>d auctions. As a result of this</w:t>
      </w:r>
      <w:r w:rsidRPr="00124637">
        <w:rPr>
          <w:rFonts w:cs="Arial"/>
        </w:rPr>
        <w:t xml:space="preserve"> process</w:t>
      </w:r>
      <w:r w:rsidR="0002732F" w:rsidRPr="00124637">
        <w:rPr>
          <w:rFonts w:cs="Arial"/>
        </w:rPr>
        <w:t>,</w:t>
      </w:r>
      <w:r w:rsidRPr="00124637">
        <w:rPr>
          <w:rFonts w:cs="Arial"/>
        </w:rPr>
        <w:t xml:space="preserve"> the ACMA allocated an additional 138 LPON licences, raising revenue of $196,550.</w:t>
      </w:r>
    </w:p>
    <w:p w14:paraId="61098E70" w14:textId="77777777" w:rsidR="006B5F4B" w:rsidRPr="00124637" w:rsidRDefault="006B5F4B" w:rsidP="00773452">
      <w:pPr>
        <w:pStyle w:val="BodysubheaderH4"/>
      </w:pPr>
      <w:bookmarkStart w:id="153" w:name="band_400"/>
      <w:bookmarkEnd w:id="153"/>
      <w:r w:rsidRPr="00124637">
        <w:t>400 MHz band implementation</w:t>
      </w:r>
    </w:p>
    <w:p w14:paraId="46AA3647" w14:textId="77777777" w:rsidR="00214FC4" w:rsidRPr="00124637" w:rsidRDefault="00214FC4" w:rsidP="00214FC4">
      <w:pPr>
        <w:rPr>
          <w:rFonts w:cs="Arial"/>
          <w:szCs w:val="20"/>
        </w:rPr>
      </w:pPr>
      <w:bookmarkStart w:id="154" w:name="_Toc337727556"/>
      <w:bookmarkStart w:id="155" w:name="_Toc419122287"/>
      <w:r w:rsidRPr="00124637">
        <w:rPr>
          <w:rFonts w:cs="Arial"/>
          <w:szCs w:val="20"/>
        </w:rPr>
        <w:t xml:space="preserve">The </w:t>
      </w:r>
      <w:r w:rsidR="00283967" w:rsidRPr="00124637">
        <w:rPr>
          <w:rFonts w:cs="Arial"/>
          <w:szCs w:val="20"/>
        </w:rPr>
        <w:t xml:space="preserve">400 MHz band </w:t>
      </w:r>
      <w:r w:rsidRPr="00124637">
        <w:rPr>
          <w:rFonts w:cs="Arial"/>
          <w:szCs w:val="20"/>
        </w:rPr>
        <w:t>implementation process has provided lengthy lead times for each milestone to allow licensees in industry and government to identify their requirements, budget and plan on how best to meet them, and implement network upgrades or replacements.</w:t>
      </w:r>
      <w:r w:rsidR="00283967" w:rsidRPr="00124637">
        <w:rPr>
          <w:rFonts w:cs="Arial"/>
          <w:szCs w:val="20"/>
        </w:rPr>
        <w:t xml:space="preserve"> Almost all licensees needing to meet the first milestone requirements (mainly involving bandwidth reduction) had made the necessary changes to their networks in 2013.</w:t>
      </w:r>
    </w:p>
    <w:p w14:paraId="0AF12899" w14:textId="77777777" w:rsidR="0002732F" w:rsidRPr="00124637" w:rsidRDefault="0002732F" w:rsidP="0002732F">
      <w:pPr>
        <w:keepNext/>
        <w:keepLines/>
        <w:spacing w:after="80"/>
        <w:rPr>
          <w:rFonts w:cs="Arial"/>
          <w:szCs w:val="20"/>
        </w:rPr>
      </w:pPr>
      <w:r w:rsidRPr="00124637">
        <w:rPr>
          <w:rFonts w:cs="Arial"/>
          <w:szCs w:val="20"/>
        </w:rPr>
        <w:t>In 2014–15, the ACMA continued to facilitate transition in the 400 MHz band through a suite of planning, policy and pricing initiatives, including:</w:t>
      </w:r>
    </w:p>
    <w:p w14:paraId="60AF3126" w14:textId="77777777" w:rsidR="0002732F" w:rsidRPr="00124637" w:rsidRDefault="00283967" w:rsidP="0002732F">
      <w:pPr>
        <w:pStyle w:val="ListBullet"/>
        <w:keepNext/>
        <w:keepLines/>
        <w:rPr>
          <w:rFonts w:cs="Arial"/>
        </w:rPr>
      </w:pPr>
      <w:r w:rsidRPr="00124637">
        <w:rPr>
          <w:rFonts w:cs="Arial"/>
        </w:rPr>
        <w:t>Undertaking s</w:t>
      </w:r>
      <w:r w:rsidR="0002732F" w:rsidRPr="00124637">
        <w:rPr>
          <w:rFonts w:cs="Arial"/>
        </w:rPr>
        <w:t xml:space="preserve">takeholder engagement activities to raise awareness of upcoming changes, including </w:t>
      </w:r>
      <w:r w:rsidRPr="00124637">
        <w:rPr>
          <w:rFonts w:cs="Arial"/>
        </w:rPr>
        <w:t xml:space="preserve">holding </w:t>
      </w:r>
      <w:r w:rsidR="0002732F" w:rsidRPr="00124637">
        <w:rPr>
          <w:rFonts w:cs="Arial"/>
        </w:rPr>
        <w:t xml:space="preserve">industry </w:t>
      </w:r>
      <w:r w:rsidRPr="00124637">
        <w:rPr>
          <w:rFonts w:cs="Arial"/>
        </w:rPr>
        <w:t>t</w:t>
      </w:r>
      <w:r w:rsidR="0002732F" w:rsidRPr="00124637">
        <w:rPr>
          <w:rFonts w:cs="Arial"/>
        </w:rPr>
        <w:t>une-ups, meetings and discussions with individual licensees to help them understand their transition requirements and options.</w:t>
      </w:r>
    </w:p>
    <w:p w14:paraId="3BFD6828" w14:textId="77777777" w:rsidR="0002732F" w:rsidRPr="00124637" w:rsidRDefault="00283967" w:rsidP="0002732F">
      <w:pPr>
        <w:pStyle w:val="ListBullet"/>
        <w:keepNext/>
        <w:keepLines/>
        <w:rPr>
          <w:rFonts w:cs="Arial"/>
        </w:rPr>
      </w:pPr>
      <w:r w:rsidRPr="00124637">
        <w:rPr>
          <w:rFonts w:cs="Arial"/>
        </w:rPr>
        <w:t>Making r</w:t>
      </w:r>
      <w:r w:rsidR="0002732F" w:rsidRPr="00124637">
        <w:rPr>
          <w:rFonts w:cs="Arial"/>
        </w:rPr>
        <w:t>egular updates to web material and prom</w:t>
      </w:r>
      <w:r w:rsidRPr="00124637">
        <w:rPr>
          <w:rFonts w:cs="Arial"/>
        </w:rPr>
        <w:t>o</w:t>
      </w:r>
      <w:r w:rsidR="0002732F" w:rsidRPr="00124637">
        <w:rPr>
          <w:rFonts w:cs="Arial"/>
        </w:rPr>
        <w:t>tin</w:t>
      </w:r>
      <w:r w:rsidRPr="00124637">
        <w:rPr>
          <w:rFonts w:cs="Arial"/>
        </w:rPr>
        <w:t>g</w:t>
      </w:r>
      <w:r w:rsidR="0002732F" w:rsidRPr="00124637">
        <w:rPr>
          <w:rFonts w:cs="Arial"/>
        </w:rPr>
        <w:t xml:space="preserve"> an online tool for licensees to determine their particular transition requirements. </w:t>
      </w:r>
    </w:p>
    <w:p w14:paraId="039188D9" w14:textId="77777777" w:rsidR="0002732F" w:rsidRPr="00124637" w:rsidRDefault="00CC2E6C" w:rsidP="0002732F">
      <w:pPr>
        <w:pStyle w:val="ListBullet"/>
        <w:keepNext/>
        <w:keepLines/>
        <w:rPr>
          <w:rFonts w:cs="Arial"/>
        </w:rPr>
      </w:pPr>
      <w:r w:rsidRPr="00124637">
        <w:rPr>
          <w:rFonts w:cs="Arial"/>
        </w:rPr>
        <w:t>Consulting on a</w:t>
      </w:r>
      <w:r w:rsidR="0002732F" w:rsidRPr="00124637">
        <w:rPr>
          <w:rFonts w:cs="Arial"/>
        </w:rPr>
        <w:t>pplying annual taxation increases in the high-density areas of the band to progressively move the apparatus licence tax to opportunity cost.</w:t>
      </w:r>
    </w:p>
    <w:p w14:paraId="013B96CC" w14:textId="77777777" w:rsidR="0002732F" w:rsidRPr="00124637" w:rsidRDefault="0002732F" w:rsidP="0002732F">
      <w:pPr>
        <w:pStyle w:val="ListBullet"/>
        <w:keepNext/>
        <w:keepLines/>
        <w:rPr>
          <w:rFonts w:cs="Arial"/>
          <w:szCs w:val="20"/>
        </w:rPr>
      </w:pPr>
      <w:r w:rsidRPr="00124637">
        <w:rPr>
          <w:rFonts w:cs="Arial"/>
          <w:szCs w:val="20"/>
        </w:rPr>
        <w:t>Offering exceptions to licensees having difficulty meeting transition time frames.</w:t>
      </w:r>
    </w:p>
    <w:p w14:paraId="6614B8CB" w14:textId="77777777" w:rsidR="0002732F" w:rsidRPr="00124637" w:rsidRDefault="0002732F" w:rsidP="0002732F">
      <w:pPr>
        <w:pStyle w:val="ListBullet"/>
        <w:spacing w:after="240"/>
        <w:rPr>
          <w:rFonts w:cs="Arial"/>
          <w:szCs w:val="20"/>
        </w:rPr>
      </w:pPr>
      <w:r w:rsidRPr="00124637">
        <w:rPr>
          <w:rFonts w:cs="Arial"/>
          <w:szCs w:val="20"/>
        </w:rPr>
        <w:t>Monitoring transmissions in the 400 MHz band in Sydney and Melbourne to check that only licensed transmitters were operating.</w:t>
      </w:r>
    </w:p>
    <w:p w14:paraId="440235CA" w14:textId="77777777" w:rsidR="00214FC4" w:rsidRPr="00124637" w:rsidRDefault="00214FC4" w:rsidP="00214FC4">
      <w:pPr>
        <w:rPr>
          <w:rFonts w:cs="Arial"/>
          <w:szCs w:val="20"/>
        </w:rPr>
      </w:pPr>
      <w:r w:rsidRPr="00124637">
        <w:rPr>
          <w:rFonts w:cs="Arial"/>
          <w:szCs w:val="20"/>
        </w:rPr>
        <w:t xml:space="preserve">Implementation of the second milestone </w:t>
      </w:r>
      <w:r w:rsidR="00283967" w:rsidRPr="00124637">
        <w:rPr>
          <w:rFonts w:cs="Arial"/>
          <w:szCs w:val="20"/>
        </w:rPr>
        <w:t xml:space="preserve">began </w:t>
      </w:r>
      <w:r w:rsidRPr="00124637">
        <w:rPr>
          <w:rFonts w:cs="Arial"/>
          <w:szCs w:val="20"/>
        </w:rPr>
        <w:t>in Adelaide, Brisbane, Melbourne, Perth and Sydney in January 2015. This milestone facilitates government spectrum harmonisation and use of new and emerging technolo</w:t>
      </w:r>
      <w:r w:rsidR="0002732F" w:rsidRPr="00124637">
        <w:rPr>
          <w:rFonts w:cs="Arial"/>
          <w:szCs w:val="20"/>
        </w:rPr>
        <w:t>gies in 450–</w:t>
      </w:r>
      <w:r w:rsidRPr="00124637">
        <w:rPr>
          <w:rFonts w:cs="Arial"/>
          <w:szCs w:val="20"/>
        </w:rPr>
        <w:t>470 MHz. The move to harmonised government spectrum gives</w:t>
      </w:r>
      <w:r w:rsidRPr="00124637">
        <w:rPr>
          <w:rFonts w:cs="Arial"/>
        </w:rPr>
        <w:t xml:space="preserve"> government agencies the opportunity to enhance </w:t>
      </w:r>
      <w:r w:rsidRPr="00124637">
        <w:rPr>
          <w:rFonts w:cs="Arial"/>
          <w:szCs w:val="20"/>
        </w:rPr>
        <w:t>interoperability within and between state, territory and federal emergency services. The ACMA continues to work with industry and government to facilitate and support preparation for the changes that will occur from 2015 to 2018.</w:t>
      </w:r>
    </w:p>
    <w:p w14:paraId="23D656DC" w14:textId="77777777" w:rsidR="00CC2E6C" w:rsidRPr="00124637" w:rsidRDefault="00214FC4" w:rsidP="00CC2E6C">
      <w:pPr>
        <w:rPr>
          <w:rFonts w:cs="Arial"/>
        </w:rPr>
      </w:pPr>
      <w:r w:rsidRPr="00124637">
        <w:rPr>
          <w:rFonts w:cs="Arial"/>
        </w:rPr>
        <w:t xml:space="preserve">In August 2012, the ACMA implemented the first increment in the licence tax rate for high-density areas of the 400 MHz band, based on opportunity-cost principles. Further </w:t>
      </w:r>
      <w:r w:rsidR="00CC2E6C" w:rsidRPr="00124637">
        <w:rPr>
          <w:rFonts w:cs="Arial"/>
        </w:rPr>
        <w:t xml:space="preserve">proposed </w:t>
      </w:r>
      <w:r w:rsidRPr="00124637">
        <w:rPr>
          <w:rFonts w:cs="Arial"/>
        </w:rPr>
        <w:t xml:space="preserve">increases have been signalled. While monitoring suggests that congestion has not yet been removed, some intended effects are occurring—for example, </w:t>
      </w:r>
      <w:r w:rsidRPr="00124637">
        <w:rPr>
          <w:rFonts w:cs="Arial"/>
        </w:rPr>
        <w:lastRenderedPageBreak/>
        <w:t>reduced licence numbers and rotation from low- to high-value uses. As there is no congestion in remote areas of Australia and little risk of congestion emerging in the foreseeable future, opportunity cost is low. This means it may be appropriate to reduce the licence tax rate.</w:t>
      </w:r>
      <w:r w:rsidR="00CC2E6C" w:rsidRPr="00124637">
        <w:rPr>
          <w:rFonts w:cs="Arial"/>
        </w:rPr>
        <w:t xml:space="preserve"> The ACMA is reviewing the submissions it received about these proposals in August 2014 and anticipates that it will make announcements in 2015–16.</w:t>
      </w:r>
    </w:p>
    <w:p w14:paraId="70CEEC8B" w14:textId="77777777" w:rsidR="00214FC4" w:rsidRPr="00124637" w:rsidRDefault="00214FC4" w:rsidP="00214FC4">
      <w:pPr>
        <w:rPr>
          <w:rFonts w:cs="Arial"/>
        </w:rPr>
      </w:pPr>
      <w:r w:rsidRPr="00124637">
        <w:rPr>
          <w:rFonts w:cs="Arial"/>
        </w:rPr>
        <w:t xml:space="preserve">The ACMA </w:t>
      </w:r>
      <w:r w:rsidR="00CC2E6C" w:rsidRPr="00124637">
        <w:rPr>
          <w:rFonts w:cs="Arial"/>
        </w:rPr>
        <w:t xml:space="preserve">understands </w:t>
      </w:r>
      <w:r w:rsidRPr="00124637">
        <w:rPr>
          <w:rFonts w:cs="Arial"/>
        </w:rPr>
        <w:t>that transitioning to the new arrangements remains challenging for many users, and continues to work closely with licensees and accredited persons to support transition arrangements. The final outcomes of the review will harmonise government spectrum, as well as increase technology flexibility and efficiency of allocation and use. Once transition is achieved, the need for further regulatory intervention in the band is expected to be low.</w:t>
      </w:r>
    </w:p>
    <w:p w14:paraId="4D557A4B" w14:textId="77777777" w:rsidR="006B5F4B" w:rsidRPr="00124637" w:rsidRDefault="006B5F4B" w:rsidP="00773452">
      <w:pPr>
        <w:pStyle w:val="Heading3"/>
      </w:pPr>
      <w:bookmarkStart w:id="156" w:name="_Toc433703321"/>
      <w:r w:rsidRPr="00124637">
        <w:t>Spectrum licensing</w:t>
      </w:r>
      <w:bookmarkEnd w:id="154"/>
      <w:bookmarkEnd w:id="155"/>
      <w:bookmarkEnd w:id="156"/>
    </w:p>
    <w:p w14:paraId="63417B5E" w14:textId="77777777" w:rsidR="006B5F4B" w:rsidRPr="00124637" w:rsidRDefault="006B5F4B" w:rsidP="00773452">
      <w:pPr>
        <w:pStyle w:val="BodysubheaderH4"/>
      </w:pPr>
      <w:bookmarkStart w:id="157" w:name="Exp_lic"/>
      <w:bookmarkEnd w:id="157"/>
      <w:r w:rsidRPr="00124637">
        <w:t>Expiring spectrum licences</w:t>
      </w:r>
    </w:p>
    <w:p w14:paraId="6226A31B" w14:textId="77777777" w:rsidR="006B5F4B" w:rsidRPr="00124637" w:rsidRDefault="006B5F4B" w:rsidP="00773452">
      <w:pPr>
        <w:rPr>
          <w:rFonts w:cs="Arial"/>
          <w:szCs w:val="20"/>
        </w:rPr>
      </w:pPr>
      <w:r w:rsidRPr="00124637">
        <w:rPr>
          <w:rFonts w:cs="Arial"/>
          <w:szCs w:val="20"/>
        </w:rPr>
        <w:t xml:space="preserve">Fifteen-year spectrum licences were first issued in the late 1990s and early 2000s, and </w:t>
      </w:r>
      <w:r w:rsidR="009A69C6" w:rsidRPr="00124637">
        <w:rPr>
          <w:rFonts w:cs="Arial"/>
          <w:szCs w:val="20"/>
        </w:rPr>
        <w:t>some have now expired or are approaching expiry</w:t>
      </w:r>
      <w:r w:rsidRPr="00124637">
        <w:rPr>
          <w:rFonts w:cs="Arial"/>
          <w:szCs w:val="20"/>
        </w:rPr>
        <w:t>. Some of these spectrum-licensed bands are used to deliver high-value telephony and broadband services.</w:t>
      </w:r>
    </w:p>
    <w:p w14:paraId="7F4C3A77" w14:textId="77777777" w:rsidR="006B5F4B" w:rsidRPr="00124637" w:rsidRDefault="006B5F4B" w:rsidP="00773452">
      <w:pPr>
        <w:spacing w:after="80"/>
        <w:rPr>
          <w:rFonts w:cs="Arial"/>
          <w:szCs w:val="20"/>
        </w:rPr>
      </w:pPr>
      <w:r w:rsidRPr="00124637">
        <w:rPr>
          <w:rFonts w:cs="Arial"/>
          <w:szCs w:val="20"/>
        </w:rPr>
        <w:t>In 2012, the minister made a ‘class of services’ determination for some of these spectrum-licensed bands that it would be in the public interest to reissue licences to incumbent licensees, if they have used the licence to provide the following services:</w:t>
      </w:r>
    </w:p>
    <w:p w14:paraId="2A6BEA82" w14:textId="77777777" w:rsidR="006B5F4B" w:rsidRPr="00124637" w:rsidRDefault="006B5F4B" w:rsidP="00773452">
      <w:pPr>
        <w:pStyle w:val="ListBullet"/>
        <w:tabs>
          <w:tab w:val="clear" w:pos="295"/>
          <w:tab w:val="num" w:pos="437"/>
        </w:tabs>
        <w:ind w:left="284"/>
        <w:rPr>
          <w:rFonts w:cs="Arial"/>
        </w:rPr>
      </w:pPr>
      <w:r w:rsidRPr="00124637">
        <w:rPr>
          <w:rFonts w:cs="Arial"/>
        </w:rPr>
        <w:t>mobile voice and data communications services in the 800 MHz, 1800 MHz and 2 GHz bands</w:t>
      </w:r>
    </w:p>
    <w:p w14:paraId="091039B3" w14:textId="77777777" w:rsidR="006B5F4B" w:rsidRPr="00124637" w:rsidRDefault="006B5F4B" w:rsidP="00773452">
      <w:pPr>
        <w:pStyle w:val="ListBullet"/>
        <w:tabs>
          <w:tab w:val="clear" w:pos="295"/>
          <w:tab w:val="num" w:pos="437"/>
        </w:tabs>
        <w:ind w:left="284"/>
        <w:rPr>
          <w:rFonts w:cs="Arial"/>
        </w:rPr>
      </w:pPr>
      <w:r w:rsidRPr="00124637">
        <w:rPr>
          <w:rFonts w:cs="Arial"/>
        </w:rPr>
        <w:t xml:space="preserve">wireless broadband services in the 2.3 GHz and 3.4 GHz bands </w:t>
      </w:r>
    </w:p>
    <w:p w14:paraId="4E822B8B" w14:textId="77777777" w:rsidR="006B5F4B" w:rsidRPr="00124637" w:rsidRDefault="006B5F4B" w:rsidP="00773452">
      <w:pPr>
        <w:pStyle w:val="ListBullet"/>
        <w:tabs>
          <w:tab w:val="clear" w:pos="295"/>
          <w:tab w:val="num" w:pos="437"/>
        </w:tabs>
        <w:spacing w:after="240"/>
        <w:ind w:left="284"/>
        <w:rPr>
          <w:rFonts w:cs="Arial"/>
        </w:rPr>
      </w:pPr>
      <w:r w:rsidRPr="00124637">
        <w:rPr>
          <w:rFonts w:cs="Arial"/>
        </w:rPr>
        <w:t xml:space="preserve">satellite services in the 27 GHz band. </w:t>
      </w:r>
    </w:p>
    <w:p w14:paraId="72CD5114" w14:textId="77777777" w:rsidR="006B5F4B" w:rsidRPr="00124637" w:rsidRDefault="006B5F4B" w:rsidP="00773452">
      <w:pPr>
        <w:rPr>
          <w:rFonts w:cs="Arial"/>
        </w:rPr>
      </w:pPr>
      <w:r w:rsidRPr="00124637">
        <w:rPr>
          <w:rFonts w:cs="Arial"/>
          <w:szCs w:val="20"/>
        </w:rPr>
        <w:t xml:space="preserve">At the same time, the minister also directed the ACMA </w:t>
      </w:r>
      <w:r w:rsidR="009A69C6" w:rsidRPr="00124637">
        <w:rPr>
          <w:rFonts w:cs="Arial"/>
          <w:szCs w:val="20"/>
        </w:rPr>
        <w:t xml:space="preserve">as to </w:t>
      </w:r>
      <w:r w:rsidRPr="00124637">
        <w:rPr>
          <w:rFonts w:cs="Arial"/>
          <w:szCs w:val="20"/>
        </w:rPr>
        <w:t>the value of spectrum in each of the bands mentioned above. The direction requires the ACMA to reflect this valuation in the spectrum access charges it fixes under section 294 of the Radiocommunications Act.</w:t>
      </w:r>
    </w:p>
    <w:p w14:paraId="49AC6773" w14:textId="77777777" w:rsidR="006B5F4B" w:rsidRPr="00124637" w:rsidRDefault="006B5F4B" w:rsidP="00773452">
      <w:pPr>
        <w:rPr>
          <w:rFonts w:cs="Arial"/>
        </w:rPr>
      </w:pPr>
      <w:r w:rsidRPr="00124637">
        <w:rPr>
          <w:rFonts w:cs="Arial"/>
        </w:rPr>
        <w:t>Where licences are not reissued, the ACMA will prepare reallocation processes. The ACMA’s policy is to give both incumbent and prospective licensees certainty, where possible, on the outcome of expiring spectrum licences in each band approximately 18 months before licence expiry.</w:t>
      </w:r>
    </w:p>
    <w:p w14:paraId="760971ED" w14:textId="77777777" w:rsidR="009A69C6" w:rsidRPr="00124637" w:rsidRDefault="009A69C6" w:rsidP="009A69C6">
      <w:pPr>
        <w:rPr>
          <w:rFonts w:cs="Arial"/>
        </w:rPr>
      </w:pPr>
      <w:r w:rsidRPr="00124637">
        <w:rPr>
          <w:rFonts w:cs="Arial"/>
        </w:rPr>
        <w:t>The ACMA has completed the reissue process for spectrum licences in the 800 MHz and 1800 MHz bands, and 2.3 GHz band. This has resulted in approximately $45.5 million in revenue from the expiring spectrum licence process during 2014–15.</w:t>
      </w:r>
    </w:p>
    <w:p w14:paraId="6364986B" w14:textId="77777777" w:rsidR="009A69C6" w:rsidRPr="00124637" w:rsidRDefault="009A69C6" w:rsidP="009A69C6">
      <w:pPr>
        <w:rPr>
          <w:rFonts w:cs="Arial"/>
        </w:rPr>
      </w:pPr>
      <w:r w:rsidRPr="00124637">
        <w:rPr>
          <w:rFonts w:cs="Arial"/>
        </w:rPr>
        <w:t>Table 12 provides a summary of the spectrum-licensed frequency bands and bandwidths, the status (whether reissue has occurred or the impending expiry date) for licences in each band and the type of service for which the applicable technical framework is optimised.</w:t>
      </w:r>
    </w:p>
    <w:p w14:paraId="25381C83" w14:textId="77777777" w:rsidR="00C74ED3" w:rsidRPr="00124637" w:rsidRDefault="00C74ED3" w:rsidP="004767D2">
      <w:pPr>
        <w:pStyle w:val="Caption"/>
        <w:keepNext/>
        <w:keepLines/>
        <w:spacing w:after="120"/>
        <w:rPr>
          <w:color w:val="auto"/>
        </w:rPr>
      </w:pPr>
      <w:r w:rsidRPr="00124637">
        <w:rPr>
          <w:color w:val="auto"/>
        </w:rPr>
        <w:lastRenderedPageBreak/>
        <w:t>Expiry of spectrum licences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2555"/>
        <w:gridCol w:w="1839"/>
        <w:gridCol w:w="3502"/>
      </w:tblGrid>
      <w:tr w:rsidR="00C74ED3" w:rsidRPr="00D25C16" w14:paraId="1B7B0725" w14:textId="77777777" w:rsidTr="00E36F68">
        <w:trPr>
          <w:cantSplit/>
          <w:trHeight w:val="236"/>
        </w:trPr>
        <w:tc>
          <w:tcPr>
            <w:tcW w:w="1569" w:type="dxa"/>
            <w:tcBorders>
              <w:bottom w:val="nil"/>
            </w:tcBorders>
            <w:shd w:val="clear" w:color="auto" w:fill="404040" w:themeFill="text1" w:themeFillTint="BF"/>
            <w:tcMar>
              <w:top w:w="57" w:type="dxa"/>
              <w:left w:w="57" w:type="dxa"/>
              <w:bottom w:w="57" w:type="dxa"/>
              <w:right w:w="57" w:type="dxa"/>
            </w:tcMar>
            <w:vAlign w:val="center"/>
          </w:tcPr>
          <w:p w14:paraId="74AA86AF" w14:textId="77777777" w:rsidR="00C74ED3" w:rsidRPr="00C74ED3" w:rsidRDefault="00C74ED3" w:rsidP="004767D2">
            <w:pPr>
              <w:pStyle w:val="TableHeading"/>
              <w:keepNext/>
              <w:keepLines/>
              <w:rPr>
                <w:rFonts w:cs="Arial"/>
                <w:color w:val="FFFFFF" w:themeColor="background1"/>
              </w:rPr>
            </w:pPr>
            <w:r w:rsidRPr="00C74ED3">
              <w:rPr>
                <w:rFonts w:cs="Arial"/>
                <w:color w:val="FFFFFF" w:themeColor="background1"/>
              </w:rPr>
              <w:t>Band</w:t>
            </w:r>
          </w:p>
        </w:tc>
        <w:tc>
          <w:tcPr>
            <w:tcW w:w="2555" w:type="dxa"/>
            <w:tcBorders>
              <w:bottom w:val="nil"/>
            </w:tcBorders>
            <w:shd w:val="clear" w:color="auto" w:fill="404040" w:themeFill="text1" w:themeFillTint="BF"/>
            <w:tcMar>
              <w:top w:w="57" w:type="dxa"/>
              <w:left w:w="57" w:type="dxa"/>
              <w:bottom w:w="57" w:type="dxa"/>
              <w:right w:w="57" w:type="dxa"/>
            </w:tcMar>
            <w:vAlign w:val="center"/>
          </w:tcPr>
          <w:p w14:paraId="4CFDD126" w14:textId="77777777" w:rsidR="00C74ED3" w:rsidRPr="00C74ED3" w:rsidRDefault="00C74ED3" w:rsidP="004767D2">
            <w:pPr>
              <w:pStyle w:val="TableHeading"/>
              <w:keepNext/>
              <w:keepLines/>
              <w:rPr>
                <w:rFonts w:cs="Arial"/>
                <w:color w:val="FFFFFF" w:themeColor="background1"/>
              </w:rPr>
            </w:pPr>
            <w:r w:rsidRPr="00C74ED3">
              <w:rPr>
                <w:rFonts w:cs="Arial"/>
                <w:color w:val="FFFFFF" w:themeColor="background1"/>
              </w:rPr>
              <w:t>Frequencies</w:t>
            </w:r>
          </w:p>
        </w:tc>
        <w:tc>
          <w:tcPr>
            <w:tcW w:w="1839" w:type="dxa"/>
            <w:tcBorders>
              <w:bottom w:val="nil"/>
            </w:tcBorders>
            <w:shd w:val="clear" w:color="auto" w:fill="404040" w:themeFill="text1" w:themeFillTint="BF"/>
            <w:tcMar>
              <w:top w:w="57" w:type="dxa"/>
              <w:left w:w="57" w:type="dxa"/>
              <w:bottom w:w="57" w:type="dxa"/>
              <w:right w:w="57" w:type="dxa"/>
            </w:tcMar>
            <w:vAlign w:val="center"/>
          </w:tcPr>
          <w:p w14:paraId="404D7619" w14:textId="77777777" w:rsidR="00C74ED3" w:rsidRPr="00C74ED3" w:rsidRDefault="00C74ED3" w:rsidP="004767D2">
            <w:pPr>
              <w:pStyle w:val="TableHeading"/>
              <w:keepNext/>
              <w:keepLines/>
              <w:rPr>
                <w:rFonts w:cs="Arial"/>
                <w:color w:val="FFFFFF" w:themeColor="background1"/>
              </w:rPr>
            </w:pPr>
            <w:r w:rsidRPr="00C74ED3">
              <w:rPr>
                <w:rFonts w:cs="Arial"/>
                <w:color w:val="FFFFFF" w:themeColor="background1"/>
              </w:rPr>
              <w:t>Expiry</w:t>
            </w:r>
          </w:p>
        </w:tc>
        <w:tc>
          <w:tcPr>
            <w:tcW w:w="3502" w:type="dxa"/>
            <w:tcBorders>
              <w:bottom w:val="nil"/>
            </w:tcBorders>
            <w:shd w:val="clear" w:color="auto" w:fill="404040" w:themeFill="text1" w:themeFillTint="BF"/>
            <w:tcMar>
              <w:top w:w="57" w:type="dxa"/>
              <w:left w:w="57" w:type="dxa"/>
              <w:bottom w:w="57" w:type="dxa"/>
              <w:right w:w="57" w:type="dxa"/>
            </w:tcMar>
            <w:vAlign w:val="center"/>
          </w:tcPr>
          <w:p w14:paraId="76B86802" w14:textId="77777777" w:rsidR="00C74ED3" w:rsidRPr="00C74ED3" w:rsidRDefault="00C74ED3" w:rsidP="004767D2">
            <w:pPr>
              <w:pStyle w:val="TableHeading"/>
              <w:keepNext/>
              <w:keepLines/>
              <w:rPr>
                <w:rFonts w:cs="Arial"/>
                <w:color w:val="FFFFFF" w:themeColor="background1"/>
              </w:rPr>
            </w:pPr>
            <w:r w:rsidRPr="00C74ED3">
              <w:rPr>
                <w:rFonts w:cs="Arial"/>
                <w:color w:val="FFFFFF" w:themeColor="background1"/>
              </w:rPr>
              <w:t>Main use</w:t>
            </w:r>
          </w:p>
        </w:tc>
      </w:tr>
      <w:tr w:rsidR="00124637" w:rsidRPr="00124637" w14:paraId="34FB99FA" w14:textId="77777777" w:rsidTr="00800C4D">
        <w:trPr>
          <w:cantSplit/>
        </w:trPr>
        <w:tc>
          <w:tcPr>
            <w:tcW w:w="1569" w:type="dxa"/>
            <w:tcBorders>
              <w:top w:val="nil"/>
            </w:tcBorders>
            <w:tcMar>
              <w:top w:w="57" w:type="dxa"/>
              <w:left w:w="57" w:type="dxa"/>
              <w:bottom w:w="57" w:type="dxa"/>
              <w:right w:w="57" w:type="dxa"/>
            </w:tcMar>
          </w:tcPr>
          <w:p w14:paraId="59CDD801" w14:textId="77777777" w:rsidR="009A69C6" w:rsidRPr="00124637" w:rsidRDefault="009A69C6" w:rsidP="004767D2">
            <w:pPr>
              <w:pStyle w:val="TableBody"/>
              <w:keepNext/>
              <w:keepLines/>
            </w:pPr>
            <w:r w:rsidRPr="00124637">
              <w:t>800 MHz</w:t>
            </w:r>
          </w:p>
        </w:tc>
        <w:tc>
          <w:tcPr>
            <w:tcW w:w="2555" w:type="dxa"/>
            <w:tcBorders>
              <w:top w:val="nil"/>
            </w:tcBorders>
            <w:tcMar>
              <w:top w:w="57" w:type="dxa"/>
              <w:left w:w="57" w:type="dxa"/>
              <w:bottom w:w="57" w:type="dxa"/>
              <w:right w:w="57" w:type="dxa"/>
            </w:tcMar>
          </w:tcPr>
          <w:p w14:paraId="48E475BB" w14:textId="77777777" w:rsidR="009A69C6" w:rsidRPr="00124637" w:rsidRDefault="009A69C6" w:rsidP="004767D2">
            <w:pPr>
              <w:pStyle w:val="TableBody"/>
              <w:keepNext/>
              <w:keepLines/>
            </w:pPr>
            <w:r w:rsidRPr="00124637">
              <w:t xml:space="preserve">825–845 MHz </w:t>
            </w:r>
          </w:p>
          <w:p w14:paraId="7F8558D4" w14:textId="77777777" w:rsidR="009A69C6" w:rsidRPr="00124637" w:rsidRDefault="009A69C6" w:rsidP="004767D2">
            <w:pPr>
              <w:pStyle w:val="TableBody"/>
              <w:keepNext/>
              <w:keepLines/>
            </w:pPr>
            <w:r w:rsidRPr="00124637">
              <w:t>870–890 MHz (paired)</w:t>
            </w:r>
          </w:p>
        </w:tc>
        <w:tc>
          <w:tcPr>
            <w:tcW w:w="1839" w:type="dxa"/>
            <w:tcBorders>
              <w:top w:val="nil"/>
            </w:tcBorders>
            <w:tcMar>
              <w:top w:w="57" w:type="dxa"/>
              <w:left w:w="57" w:type="dxa"/>
              <w:bottom w:w="57" w:type="dxa"/>
              <w:right w:w="57" w:type="dxa"/>
            </w:tcMar>
          </w:tcPr>
          <w:p w14:paraId="39ADAB50" w14:textId="77777777" w:rsidR="009A69C6" w:rsidRPr="00124637" w:rsidRDefault="009A69C6" w:rsidP="004767D2">
            <w:pPr>
              <w:pStyle w:val="TableBody"/>
              <w:keepNext/>
              <w:keepLines/>
            </w:pPr>
            <w:r w:rsidRPr="00124637">
              <w:t>Reissued</w:t>
            </w:r>
          </w:p>
        </w:tc>
        <w:tc>
          <w:tcPr>
            <w:tcW w:w="3502" w:type="dxa"/>
            <w:tcBorders>
              <w:top w:val="nil"/>
            </w:tcBorders>
            <w:tcMar>
              <w:top w:w="57" w:type="dxa"/>
              <w:left w:w="57" w:type="dxa"/>
              <w:bottom w:w="57" w:type="dxa"/>
              <w:right w:w="57" w:type="dxa"/>
            </w:tcMar>
          </w:tcPr>
          <w:p w14:paraId="5691DDEC" w14:textId="77777777" w:rsidR="009A69C6" w:rsidRPr="00124637" w:rsidRDefault="009A69C6" w:rsidP="004767D2">
            <w:pPr>
              <w:pStyle w:val="TableBody"/>
              <w:keepNext/>
              <w:keepLines/>
            </w:pPr>
            <w:r w:rsidRPr="00124637">
              <w:t>Public mobile telephony (3G, LTE)</w:t>
            </w:r>
          </w:p>
        </w:tc>
      </w:tr>
      <w:tr w:rsidR="00124637" w:rsidRPr="00124637" w14:paraId="0BF9E502" w14:textId="77777777" w:rsidTr="00800C4D">
        <w:trPr>
          <w:cantSplit/>
        </w:trPr>
        <w:tc>
          <w:tcPr>
            <w:tcW w:w="1569" w:type="dxa"/>
            <w:tcMar>
              <w:top w:w="57" w:type="dxa"/>
              <w:left w:w="57" w:type="dxa"/>
              <w:bottom w:w="57" w:type="dxa"/>
              <w:right w:w="57" w:type="dxa"/>
            </w:tcMar>
          </w:tcPr>
          <w:p w14:paraId="334ECD3C" w14:textId="77777777" w:rsidR="009A69C6" w:rsidRPr="00124637" w:rsidRDefault="009A69C6" w:rsidP="004767D2">
            <w:pPr>
              <w:pStyle w:val="TableBody"/>
              <w:keepNext/>
              <w:keepLines/>
            </w:pPr>
            <w:r w:rsidRPr="00124637">
              <w:t>1800 MHz</w:t>
            </w:r>
          </w:p>
        </w:tc>
        <w:tc>
          <w:tcPr>
            <w:tcW w:w="2555" w:type="dxa"/>
            <w:tcMar>
              <w:top w:w="57" w:type="dxa"/>
              <w:left w:w="57" w:type="dxa"/>
              <w:bottom w:w="57" w:type="dxa"/>
              <w:right w:w="57" w:type="dxa"/>
            </w:tcMar>
          </w:tcPr>
          <w:p w14:paraId="71244039" w14:textId="77777777" w:rsidR="009A69C6" w:rsidRPr="00124637" w:rsidRDefault="009A69C6" w:rsidP="004767D2">
            <w:pPr>
              <w:pStyle w:val="TableBody"/>
              <w:keepNext/>
              <w:keepLines/>
            </w:pPr>
            <w:r w:rsidRPr="00124637">
              <w:t>1710–1755 MHz</w:t>
            </w:r>
          </w:p>
          <w:p w14:paraId="16C0CB36" w14:textId="77777777" w:rsidR="009A69C6" w:rsidRPr="00124637" w:rsidRDefault="009A69C6" w:rsidP="004767D2">
            <w:pPr>
              <w:pStyle w:val="TableBody"/>
              <w:keepNext/>
              <w:keepLines/>
            </w:pPr>
            <w:r w:rsidRPr="00124637">
              <w:t>1805–1850 MHz (paired)</w:t>
            </w:r>
          </w:p>
        </w:tc>
        <w:tc>
          <w:tcPr>
            <w:tcW w:w="1839" w:type="dxa"/>
            <w:tcMar>
              <w:top w:w="57" w:type="dxa"/>
              <w:left w:w="57" w:type="dxa"/>
              <w:bottom w:w="57" w:type="dxa"/>
              <w:right w:w="57" w:type="dxa"/>
            </w:tcMar>
          </w:tcPr>
          <w:p w14:paraId="7D409DDF" w14:textId="77777777" w:rsidR="009A69C6" w:rsidRPr="00124637" w:rsidRDefault="009A69C6" w:rsidP="004767D2">
            <w:pPr>
              <w:pStyle w:val="TableBody"/>
              <w:keepNext/>
              <w:keepLines/>
            </w:pPr>
            <w:r w:rsidRPr="00124637">
              <w:t>Reissued*</w:t>
            </w:r>
          </w:p>
        </w:tc>
        <w:tc>
          <w:tcPr>
            <w:tcW w:w="3502" w:type="dxa"/>
            <w:tcMar>
              <w:top w:w="57" w:type="dxa"/>
              <w:left w:w="57" w:type="dxa"/>
              <w:bottom w:w="57" w:type="dxa"/>
              <w:right w:w="57" w:type="dxa"/>
            </w:tcMar>
          </w:tcPr>
          <w:p w14:paraId="32F56A40" w14:textId="08E8FA0B" w:rsidR="009A69C6" w:rsidRPr="00124637" w:rsidRDefault="009A69C6" w:rsidP="00D04BE3">
            <w:pPr>
              <w:pStyle w:val="TableBody"/>
              <w:keepNext/>
              <w:keepLines/>
            </w:pPr>
            <w:r w:rsidRPr="00124637">
              <w:t xml:space="preserve">Public mobile telephony </w:t>
            </w:r>
            <w:r w:rsidRPr="00124637">
              <w:br/>
              <w:t>(LTE, GSM, GSM-R)</w:t>
            </w:r>
            <w:r w:rsidR="00D04BE3">
              <w:rPr>
                <w:rFonts w:cs="Arial"/>
              </w:rPr>
              <w:t>^</w:t>
            </w:r>
          </w:p>
        </w:tc>
      </w:tr>
      <w:tr w:rsidR="00124637" w:rsidRPr="00124637" w14:paraId="28745875" w14:textId="77777777" w:rsidTr="00800C4D">
        <w:trPr>
          <w:cantSplit/>
        </w:trPr>
        <w:tc>
          <w:tcPr>
            <w:tcW w:w="1569" w:type="dxa"/>
            <w:tcMar>
              <w:top w:w="57" w:type="dxa"/>
              <w:left w:w="57" w:type="dxa"/>
              <w:bottom w:w="57" w:type="dxa"/>
              <w:right w:w="57" w:type="dxa"/>
            </w:tcMar>
          </w:tcPr>
          <w:p w14:paraId="0CD32358" w14:textId="77777777" w:rsidR="009A69C6" w:rsidRPr="00124637" w:rsidRDefault="009A69C6" w:rsidP="004767D2">
            <w:pPr>
              <w:pStyle w:val="TableBody"/>
              <w:keepNext/>
              <w:keepLines/>
            </w:pPr>
            <w:r w:rsidRPr="00124637">
              <w:t>28 and 31 GHz</w:t>
            </w:r>
          </w:p>
        </w:tc>
        <w:tc>
          <w:tcPr>
            <w:tcW w:w="2555" w:type="dxa"/>
            <w:tcMar>
              <w:top w:w="57" w:type="dxa"/>
              <w:left w:w="57" w:type="dxa"/>
              <w:bottom w:w="57" w:type="dxa"/>
              <w:right w:w="57" w:type="dxa"/>
            </w:tcMar>
          </w:tcPr>
          <w:p w14:paraId="1AFFA17E" w14:textId="77777777" w:rsidR="009A69C6" w:rsidRPr="00124637" w:rsidRDefault="009A69C6" w:rsidP="004767D2">
            <w:pPr>
              <w:pStyle w:val="TableBody"/>
              <w:keepNext/>
              <w:keepLines/>
            </w:pPr>
            <w:r w:rsidRPr="00124637">
              <w:t>27.5–28.35 GHz (unpaired)</w:t>
            </w:r>
          </w:p>
          <w:p w14:paraId="5BE30CEE" w14:textId="77777777" w:rsidR="009A69C6" w:rsidRPr="00124637" w:rsidRDefault="009A69C6" w:rsidP="004767D2">
            <w:pPr>
              <w:pStyle w:val="TableBody"/>
              <w:keepNext/>
              <w:keepLines/>
            </w:pPr>
            <w:r w:rsidRPr="00124637">
              <w:t>31.0–31.3 GHz (unpaired)</w:t>
            </w:r>
          </w:p>
        </w:tc>
        <w:tc>
          <w:tcPr>
            <w:tcW w:w="1839" w:type="dxa"/>
            <w:tcMar>
              <w:top w:w="57" w:type="dxa"/>
              <w:left w:w="57" w:type="dxa"/>
              <w:bottom w:w="57" w:type="dxa"/>
              <w:right w:w="57" w:type="dxa"/>
            </w:tcMar>
          </w:tcPr>
          <w:p w14:paraId="3073DC1B" w14:textId="77777777" w:rsidR="009A69C6" w:rsidRPr="00124637" w:rsidRDefault="009A69C6" w:rsidP="004767D2">
            <w:pPr>
              <w:pStyle w:val="TableBody"/>
              <w:keepNext/>
              <w:keepLines/>
            </w:pPr>
            <w:r w:rsidRPr="00124637">
              <w:t>Reverted to apparatus licensing</w:t>
            </w:r>
          </w:p>
        </w:tc>
        <w:tc>
          <w:tcPr>
            <w:tcW w:w="3502" w:type="dxa"/>
            <w:tcMar>
              <w:top w:w="57" w:type="dxa"/>
              <w:left w:w="57" w:type="dxa"/>
              <w:bottom w:w="57" w:type="dxa"/>
              <w:right w:w="57" w:type="dxa"/>
            </w:tcMar>
          </w:tcPr>
          <w:p w14:paraId="67CFC2E2" w14:textId="77777777" w:rsidR="009A69C6" w:rsidRPr="00124637" w:rsidRDefault="009A69C6" w:rsidP="004767D2">
            <w:pPr>
              <w:pStyle w:val="TableBody"/>
              <w:keepNext/>
              <w:keepLines/>
            </w:pPr>
            <w:r w:rsidRPr="00124637">
              <w:t>Satellite services</w:t>
            </w:r>
          </w:p>
        </w:tc>
      </w:tr>
      <w:tr w:rsidR="00124637" w:rsidRPr="00124637" w14:paraId="25A1680B" w14:textId="77777777" w:rsidTr="00800C4D">
        <w:trPr>
          <w:cantSplit/>
        </w:trPr>
        <w:tc>
          <w:tcPr>
            <w:tcW w:w="1569" w:type="dxa"/>
            <w:tcMar>
              <w:top w:w="57" w:type="dxa"/>
              <w:left w:w="57" w:type="dxa"/>
              <w:bottom w:w="57" w:type="dxa"/>
              <w:right w:w="57" w:type="dxa"/>
            </w:tcMar>
          </w:tcPr>
          <w:p w14:paraId="127239C1" w14:textId="77777777" w:rsidR="009A69C6" w:rsidRPr="00124637" w:rsidRDefault="009A69C6" w:rsidP="004767D2">
            <w:pPr>
              <w:pStyle w:val="TableBody"/>
              <w:keepNext/>
              <w:keepLines/>
            </w:pPr>
            <w:r w:rsidRPr="00124637">
              <w:t>1800 MHz</w:t>
            </w:r>
          </w:p>
        </w:tc>
        <w:tc>
          <w:tcPr>
            <w:tcW w:w="2555" w:type="dxa"/>
            <w:tcMar>
              <w:top w:w="57" w:type="dxa"/>
              <w:left w:w="57" w:type="dxa"/>
              <w:bottom w:w="57" w:type="dxa"/>
              <w:right w:w="57" w:type="dxa"/>
            </w:tcMar>
          </w:tcPr>
          <w:p w14:paraId="431E4BE6" w14:textId="77777777" w:rsidR="009A69C6" w:rsidRPr="00124637" w:rsidRDefault="009A69C6" w:rsidP="004767D2">
            <w:pPr>
              <w:pStyle w:val="TableBody"/>
              <w:keepNext/>
              <w:keepLines/>
            </w:pPr>
            <w:r w:rsidRPr="00124637">
              <w:t>1755–1785 MHz</w:t>
            </w:r>
          </w:p>
          <w:p w14:paraId="7C528587" w14:textId="77777777" w:rsidR="009A69C6" w:rsidRPr="00124637" w:rsidRDefault="009A69C6" w:rsidP="004767D2">
            <w:pPr>
              <w:pStyle w:val="TableBody"/>
              <w:keepNext/>
              <w:keepLines/>
            </w:pPr>
            <w:r w:rsidRPr="00124637">
              <w:t>1850–1880 MHz (paired)</w:t>
            </w:r>
          </w:p>
        </w:tc>
        <w:tc>
          <w:tcPr>
            <w:tcW w:w="1839" w:type="dxa"/>
            <w:tcMar>
              <w:top w:w="57" w:type="dxa"/>
              <w:left w:w="57" w:type="dxa"/>
              <w:bottom w:w="57" w:type="dxa"/>
              <w:right w:w="57" w:type="dxa"/>
            </w:tcMar>
          </w:tcPr>
          <w:p w14:paraId="04D9771F" w14:textId="77777777" w:rsidR="009A69C6" w:rsidRPr="00124637" w:rsidRDefault="009A69C6" w:rsidP="004767D2">
            <w:pPr>
              <w:pStyle w:val="TableBody"/>
              <w:keepNext/>
              <w:keepLines/>
            </w:pPr>
            <w:r w:rsidRPr="00124637">
              <w:t>Reissued</w:t>
            </w:r>
          </w:p>
        </w:tc>
        <w:tc>
          <w:tcPr>
            <w:tcW w:w="3502" w:type="dxa"/>
            <w:tcMar>
              <w:top w:w="57" w:type="dxa"/>
              <w:left w:w="57" w:type="dxa"/>
              <w:bottom w:w="57" w:type="dxa"/>
              <w:right w:w="57" w:type="dxa"/>
            </w:tcMar>
          </w:tcPr>
          <w:p w14:paraId="25BB831B" w14:textId="77777777" w:rsidR="009A69C6" w:rsidRPr="00124637" w:rsidRDefault="009A69C6" w:rsidP="004767D2">
            <w:pPr>
              <w:pStyle w:val="TableBody"/>
              <w:keepNext/>
              <w:keepLines/>
            </w:pPr>
            <w:r w:rsidRPr="00124637">
              <w:t xml:space="preserve">Public mobile telephony </w:t>
            </w:r>
            <w:r w:rsidRPr="00124637">
              <w:br/>
              <w:t>(LTE, GSM, GSM-R)</w:t>
            </w:r>
          </w:p>
        </w:tc>
      </w:tr>
      <w:tr w:rsidR="00124637" w:rsidRPr="00124637" w14:paraId="64606369" w14:textId="77777777" w:rsidTr="00800C4D">
        <w:trPr>
          <w:cantSplit/>
        </w:trPr>
        <w:tc>
          <w:tcPr>
            <w:tcW w:w="1569" w:type="dxa"/>
            <w:tcMar>
              <w:top w:w="57" w:type="dxa"/>
              <w:left w:w="57" w:type="dxa"/>
              <w:bottom w:w="57" w:type="dxa"/>
              <w:right w:w="57" w:type="dxa"/>
            </w:tcMar>
          </w:tcPr>
          <w:p w14:paraId="3C21418B" w14:textId="77777777" w:rsidR="009A69C6" w:rsidRPr="00124637" w:rsidRDefault="009A69C6" w:rsidP="009A69C6">
            <w:pPr>
              <w:pStyle w:val="TableBody"/>
            </w:pPr>
            <w:r w:rsidRPr="00124637">
              <w:t>2.3 GHz</w:t>
            </w:r>
          </w:p>
        </w:tc>
        <w:tc>
          <w:tcPr>
            <w:tcW w:w="2555" w:type="dxa"/>
            <w:tcMar>
              <w:top w:w="57" w:type="dxa"/>
              <w:left w:w="57" w:type="dxa"/>
              <w:bottom w:w="57" w:type="dxa"/>
              <w:right w:w="57" w:type="dxa"/>
            </w:tcMar>
          </w:tcPr>
          <w:p w14:paraId="62DC3947" w14:textId="77777777" w:rsidR="009A69C6" w:rsidRPr="00124637" w:rsidRDefault="009A69C6" w:rsidP="009A69C6">
            <w:pPr>
              <w:pStyle w:val="TableBody"/>
            </w:pPr>
            <w:r w:rsidRPr="00124637">
              <w:t>2302–2400 MHz (unpaired)</w:t>
            </w:r>
          </w:p>
        </w:tc>
        <w:tc>
          <w:tcPr>
            <w:tcW w:w="1839" w:type="dxa"/>
            <w:tcMar>
              <w:top w:w="57" w:type="dxa"/>
              <w:left w:w="57" w:type="dxa"/>
              <w:bottom w:w="57" w:type="dxa"/>
              <w:right w:w="57" w:type="dxa"/>
            </w:tcMar>
          </w:tcPr>
          <w:p w14:paraId="358E3315" w14:textId="77777777" w:rsidR="009A69C6" w:rsidRPr="00124637" w:rsidRDefault="009A69C6" w:rsidP="009A69C6">
            <w:pPr>
              <w:pStyle w:val="TableBody"/>
            </w:pPr>
            <w:r w:rsidRPr="00124637">
              <w:t>Reissued*</w:t>
            </w:r>
          </w:p>
        </w:tc>
        <w:tc>
          <w:tcPr>
            <w:tcW w:w="3502" w:type="dxa"/>
            <w:tcMar>
              <w:top w:w="57" w:type="dxa"/>
              <w:left w:w="57" w:type="dxa"/>
              <w:bottom w:w="57" w:type="dxa"/>
              <w:right w:w="57" w:type="dxa"/>
            </w:tcMar>
          </w:tcPr>
          <w:p w14:paraId="2B4A81C0" w14:textId="77777777" w:rsidR="009A69C6" w:rsidRPr="00124637" w:rsidRDefault="009A69C6" w:rsidP="009A69C6">
            <w:pPr>
              <w:pStyle w:val="TableBody"/>
            </w:pPr>
            <w:r w:rsidRPr="00124637">
              <w:t>Wireless access services (LTE)</w:t>
            </w:r>
          </w:p>
        </w:tc>
      </w:tr>
      <w:tr w:rsidR="00124637" w:rsidRPr="00124637" w14:paraId="1769EB52" w14:textId="77777777" w:rsidTr="00800C4D">
        <w:trPr>
          <w:cantSplit/>
        </w:trPr>
        <w:tc>
          <w:tcPr>
            <w:tcW w:w="1569" w:type="dxa"/>
            <w:tcMar>
              <w:top w:w="57" w:type="dxa"/>
              <w:left w:w="57" w:type="dxa"/>
              <w:bottom w:w="57" w:type="dxa"/>
              <w:right w:w="57" w:type="dxa"/>
            </w:tcMar>
          </w:tcPr>
          <w:p w14:paraId="60D2A9FB" w14:textId="77777777" w:rsidR="009A69C6" w:rsidRPr="00124637" w:rsidRDefault="009A69C6" w:rsidP="009A69C6">
            <w:pPr>
              <w:pStyle w:val="TableBody"/>
            </w:pPr>
            <w:r w:rsidRPr="00124637">
              <w:t>3.4 GHz</w:t>
            </w:r>
          </w:p>
        </w:tc>
        <w:tc>
          <w:tcPr>
            <w:tcW w:w="2555" w:type="dxa"/>
            <w:tcMar>
              <w:top w:w="57" w:type="dxa"/>
              <w:left w:w="57" w:type="dxa"/>
              <w:bottom w:w="57" w:type="dxa"/>
              <w:right w:w="57" w:type="dxa"/>
            </w:tcMar>
          </w:tcPr>
          <w:p w14:paraId="0CCFDF2C" w14:textId="77777777" w:rsidR="009A69C6" w:rsidRPr="00124637" w:rsidRDefault="009A69C6" w:rsidP="009A69C6">
            <w:pPr>
              <w:pStyle w:val="TableBody"/>
            </w:pPr>
            <w:r w:rsidRPr="00124637">
              <w:t>3425–3442.5 MHz</w:t>
            </w:r>
          </w:p>
          <w:p w14:paraId="1DB15E6C" w14:textId="77777777" w:rsidR="009A69C6" w:rsidRPr="00124637" w:rsidRDefault="009A69C6" w:rsidP="009A69C6">
            <w:pPr>
              <w:pStyle w:val="TableBody"/>
            </w:pPr>
            <w:r w:rsidRPr="00124637">
              <w:t>3475–3492.5 MHz (paired)</w:t>
            </w:r>
          </w:p>
          <w:p w14:paraId="38801AFE" w14:textId="77777777" w:rsidR="009A69C6" w:rsidRPr="00124637" w:rsidRDefault="009A69C6" w:rsidP="009A69C6">
            <w:pPr>
              <w:pStyle w:val="TableBody"/>
            </w:pPr>
            <w:r w:rsidRPr="00124637">
              <w:t>3442.5–3475 MHz</w:t>
            </w:r>
          </w:p>
          <w:p w14:paraId="2598603C" w14:textId="77777777" w:rsidR="009A69C6" w:rsidRPr="00124637" w:rsidRDefault="009A69C6" w:rsidP="009A69C6">
            <w:pPr>
              <w:pStyle w:val="TableBody"/>
            </w:pPr>
            <w:r w:rsidRPr="00124637">
              <w:t>3542.5–3575 MHz (paired)</w:t>
            </w:r>
          </w:p>
        </w:tc>
        <w:tc>
          <w:tcPr>
            <w:tcW w:w="1839" w:type="dxa"/>
            <w:tcMar>
              <w:top w:w="57" w:type="dxa"/>
              <w:left w:w="57" w:type="dxa"/>
              <w:bottom w:w="57" w:type="dxa"/>
              <w:right w:w="57" w:type="dxa"/>
            </w:tcMar>
          </w:tcPr>
          <w:p w14:paraId="61B0AF18" w14:textId="77777777" w:rsidR="009A69C6" w:rsidRPr="00124637" w:rsidRDefault="009A69C6" w:rsidP="009A69C6">
            <w:pPr>
              <w:pStyle w:val="TableBody"/>
            </w:pPr>
            <w:r w:rsidRPr="00124637">
              <w:t>Expires December 2015**</w:t>
            </w:r>
          </w:p>
        </w:tc>
        <w:tc>
          <w:tcPr>
            <w:tcW w:w="3502" w:type="dxa"/>
            <w:tcMar>
              <w:top w:w="57" w:type="dxa"/>
              <w:left w:w="57" w:type="dxa"/>
              <w:bottom w:w="57" w:type="dxa"/>
              <w:right w:w="57" w:type="dxa"/>
            </w:tcMar>
          </w:tcPr>
          <w:p w14:paraId="523A08A1" w14:textId="77777777" w:rsidR="009A69C6" w:rsidRPr="00124637" w:rsidRDefault="009A69C6" w:rsidP="009A69C6">
            <w:pPr>
              <w:pStyle w:val="TableBody"/>
            </w:pPr>
            <w:r w:rsidRPr="00124637">
              <w:t>Wireless access services (LTE)</w:t>
            </w:r>
          </w:p>
        </w:tc>
      </w:tr>
      <w:tr w:rsidR="00124637" w:rsidRPr="00124637" w14:paraId="659F898B" w14:textId="77777777" w:rsidTr="00800C4D">
        <w:trPr>
          <w:cantSplit/>
        </w:trPr>
        <w:tc>
          <w:tcPr>
            <w:tcW w:w="1569" w:type="dxa"/>
            <w:tcMar>
              <w:top w:w="57" w:type="dxa"/>
              <w:left w:w="57" w:type="dxa"/>
              <w:bottom w:w="57" w:type="dxa"/>
              <w:right w:w="57" w:type="dxa"/>
            </w:tcMar>
          </w:tcPr>
          <w:p w14:paraId="557572AB" w14:textId="77777777" w:rsidR="009A69C6" w:rsidRPr="00124637" w:rsidRDefault="009A69C6" w:rsidP="009A69C6">
            <w:pPr>
              <w:pStyle w:val="TableBody"/>
            </w:pPr>
            <w:r w:rsidRPr="00124637">
              <w:t>27 GHz</w:t>
            </w:r>
          </w:p>
        </w:tc>
        <w:tc>
          <w:tcPr>
            <w:tcW w:w="2555" w:type="dxa"/>
            <w:tcMar>
              <w:top w:w="57" w:type="dxa"/>
              <w:left w:w="57" w:type="dxa"/>
              <w:bottom w:w="57" w:type="dxa"/>
              <w:right w:w="57" w:type="dxa"/>
            </w:tcMar>
          </w:tcPr>
          <w:p w14:paraId="15BCE7B6" w14:textId="77777777" w:rsidR="009A69C6" w:rsidRPr="00124637" w:rsidRDefault="009A69C6" w:rsidP="009A69C6">
            <w:pPr>
              <w:pStyle w:val="TableBody"/>
            </w:pPr>
            <w:r w:rsidRPr="00124637">
              <w:t>26.5–27.5 GHz (unpaired)</w:t>
            </w:r>
          </w:p>
        </w:tc>
        <w:tc>
          <w:tcPr>
            <w:tcW w:w="1839" w:type="dxa"/>
            <w:tcMar>
              <w:top w:w="57" w:type="dxa"/>
              <w:left w:w="57" w:type="dxa"/>
              <w:bottom w:w="57" w:type="dxa"/>
              <w:right w:w="57" w:type="dxa"/>
            </w:tcMar>
          </w:tcPr>
          <w:p w14:paraId="0B11DF94" w14:textId="77777777" w:rsidR="009A69C6" w:rsidRPr="00124637" w:rsidRDefault="009A69C6" w:rsidP="009A69C6">
            <w:pPr>
              <w:pStyle w:val="TableBody"/>
            </w:pPr>
            <w:r w:rsidRPr="00124637">
              <w:t>Expires January 2016</w:t>
            </w:r>
          </w:p>
        </w:tc>
        <w:tc>
          <w:tcPr>
            <w:tcW w:w="3502" w:type="dxa"/>
            <w:tcMar>
              <w:top w:w="57" w:type="dxa"/>
              <w:left w:w="57" w:type="dxa"/>
              <w:bottom w:w="57" w:type="dxa"/>
              <w:right w:w="57" w:type="dxa"/>
            </w:tcMar>
          </w:tcPr>
          <w:p w14:paraId="47BAD58E" w14:textId="77777777" w:rsidR="009A69C6" w:rsidRPr="00124637" w:rsidRDefault="009A69C6" w:rsidP="009A69C6">
            <w:pPr>
              <w:pStyle w:val="TableBody"/>
            </w:pPr>
            <w:r w:rsidRPr="00124637">
              <w:t>Satellite services</w:t>
            </w:r>
          </w:p>
        </w:tc>
      </w:tr>
      <w:tr w:rsidR="00124637" w:rsidRPr="00124637" w14:paraId="6F998EE9" w14:textId="77777777" w:rsidTr="00800C4D">
        <w:trPr>
          <w:cantSplit/>
        </w:trPr>
        <w:tc>
          <w:tcPr>
            <w:tcW w:w="1569" w:type="dxa"/>
            <w:tcMar>
              <w:top w:w="57" w:type="dxa"/>
              <w:left w:w="57" w:type="dxa"/>
              <w:bottom w:w="57" w:type="dxa"/>
              <w:right w:w="57" w:type="dxa"/>
            </w:tcMar>
          </w:tcPr>
          <w:p w14:paraId="346C74FC" w14:textId="77777777" w:rsidR="009A69C6" w:rsidRPr="00124637" w:rsidRDefault="009A69C6" w:rsidP="009A69C6">
            <w:pPr>
              <w:pStyle w:val="TableBody"/>
            </w:pPr>
            <w:r w:rsidRPr="00124637">
              <w:t>2 GHz</w:t>
            </w:r>
          </w:p>
        </w:tc>
        <w:tc>
          <w:tcPr>
            <w:tcW w:w="2555" w:type="dxa"/>
            <w:tcMar>
              <w:top w:w="57" w:type="dxa"/>
              <w:left w:w="57" w:type="dxa"/>
              <w:bottom w:w="57" w:type="dxa"/>
              <w:right w:w="57" w:type="dxa"/>
            </w:tcMar>
          </w:tcPr>
          <w:p w14:paraId="3FD0B912" w14:textId="77777777" w:rsidR="009A69C6" w:rsidRPr="00124637" w:rsidRDefault="009A69C6" w:rsidP="009A69C6">
            <w:pPr>
              <w:pStyle w:val="TableBody"/>
            </w:pPr>
            <w:r w:rsidRPr="00124637">
              <w:t>1900–1920 MHz (unpaired)</w:t>
            </w:r>
          </w:p>
          <w:p w14:paraId="4558B2FE" w14:textId="77777777" w:rsidR="009A69C6" w:rsidRPr="00124637" w:rsidRDefault="009A69C6" w:rsidP="009A69C6">
            <w:pPr>
              <w:pStyle w:val="TableBody"/>
            </w:pPr>
            <w:r w:rsidRPr="00124637">
              <w:t>1920–1980 MHz</w:t>
            </w:r>
          </w:p>
          <w:p w14:paraId="76D790BD" w14:textId="77777777" w:rsidR="009A69C6" w:rsidRPr="00124637" w:rsidRDefault="009A69C6" w:rsidP="009A69C6">
            <w:pPr>
              <w:pStyle w:val="TableBody"/>
            </w:pPr>
            <w:r w:rsidRPr="00124637">
              <w:t>2110–2170 MHz (paired)</w:t>
            </w:r>
          </w:p>
        </w:tc>
        <w:tc>
          <w:tcPr>
            <w:tcW w:w="1839" w:type="dxa"/>
            <w:tcMar>
              <w:top w:w="57" w:type="dxa"/>
              <w:left w:w="57" w:type="dxa"/>
              <w:bottom w:w="57" w:type="dxa"/>
              <w:right w:w="57" w:type="dxa"/>
            </w:tcMar>
          </w:tcPr>
          <w:p w14:paraId="46D89407" w14:textId="77777777" w:rsidR="009A69C6" w:rsidRPr="00124637" w:rsidRDefault="009A69C6" w:rsidP="009A69C6">
            <w:pPr>
              <w:pStyle w:val="TableBody"/>
            </w:pPr>
            <w:r w:rsidRPr="00124637">
              <w:t>Expires October 2017</w:t>
            </w:r>
          </w:p>
        </w:tc>
        <w:tc>
          <w:tcPr>
            <w:tcW w:w="3502" w:type="dxa"/>
            <w:tcMar>
              <w:top w:w="57" w:type="dxa"/>
              <w:left w:w="57" w:type="dxa"/>
              <w:bottom w:w="57" w:type="dxa"/>
              <w:right w:w="57" w:type="dxa"/>
            </w:tcMar>
          </w:tcPr>
          <w:p w14:paraId="7DB3A3A3" w14:textId="77777777" w:rsidR="009A69C6" w:rsidRPr="00124637" w:rsidRDefault="009A69C6" w:rsidP="009A69C6">
            <w:pPr>
              <w:pStyle w:val="TableBody"/>
            </w:pPr>
            <w:r w:rsidRPr="00124637">
              <w:t>Public mobile telephony (3G, LTE)</w:t>
            </w:r>
          </w:p>
        </w:tc>
      </w:tr>
      <w:tr w:rsidR="00124637" w:rsidRPr="00124637" w14:paraId="24ABC1F0" w14:textId="77777777" w:rsidTr="00800C4D">
        <w:trPr>
          <w:cantSplit/>
        </w:trPr>
        <w:tc>
          <w:tcPr>
            <w:tcW w:w="1569" w:type="dxa"/>
            <w:tcMar>
              <w:top w:w="57" w:type="dxa"/>
              <w:left w:w="57" w:type="dxa"/>
              <w:bottom w:w="57" w:type="dxa"/>
              <w:right w:w="57" w:type="dxa"/>
            </w:tcMar>
          </w:tcPr>
          <w:p w14:paraId="710C73A8" w14:textId="77777777" w:rsidR="009A69C6" w:rsidRPr="00124637" w:rsidRDefault="009A69C6" w:rsidP="009A69C6">
            <w:pPr>
              <w:pStyle w:val="TableBody"/>
            </w:pPr>
            <w:r w:rsidRPr="00124637">
              <w:t>20 and 30 GHz</w:t>
            </w:r>
          </w:p>
        </w:tc>
        <w:tc>
          <w:tcPr>
            <w:tcW w:w="2555" w:type="dxa"/>
            <w:tcMar>
              <w:top w:w="57" w:type="dxa"/>
              <w:left w:w="57" w:type="dxa"/>
              <w:bottom w:w="57" w:type="dxa"/>
              <w:right w:w="57" w:type="dxa"/>
            </w:tcMar>
          </w:tcPr>
          <w:p w14:paraId="05BDED58" w14:textId="77777777" w:rsidR="009A69C6" w:rsidRPr="00124637" w:rsidRDefault="009A69C6" w:rsidP="009A69C6">
            <w:pPr>
              <w:pStyle w:val="TableBody"/>
            </w:pPr>
            <w:r w:rsidRPr="00124637">
              <w:t>20.2–21.2 GHz</w:t>
            </w:r>
          </w:p>
          <w:p w14:paraId="6246FF71" w14:textId="77777777" w:rsidR="009A69C6" w:rsidRPr="00124637" w:rsidRDefault="009A69C6" w:rsidP="009A69C6">
            <w:pPr>
              <w:pStyle w:val="TableBody"/>
            </w:pPr>
            <w:r w:rsidRPr="00124637">
              <w:t>30–31 GHz (paired)</w:t>
            </w:r>
          </w:p>
        </w:tc>
        <w:tc>
          <w:tcPr>
            <w:tcW w:w="1839" w:type="dxa"/>
            <w:tcMar>
              <w:top w:w="57" w:type="dxa"/>
              <w:left w:w="57" w:type="dxa"/>
              <w:bottom w:w="57" w:type="dxa"/>
              <w:right w:w="57" w:type="dxa"/>
            </w:tcMar>
          </w:tcPr>
          <w:p w14:paraId="58C26DE9" w14:textId="77777777" w:rsidR="009A69C6" w:rsidRPr="00124637" w:rsidRDefault="009A69C6" w:rsidP="009A69C6">
            <w:pPr>
              <w:pStyle w:val="TableBody"/>
            </w:pPr>
            <w:r w:rsidRPr="00124637">
              <w:t>Expires April 2021</w:t>
            </w:r>
          </w:p>
        </w:tc>
        <w:tc>
          <w:tcPr>
            <w:tcW w:w="3502" w:type="dxa"/>
            <w:tcMar>
              <w:top w:w="57" w:type="dxa"/>
              <w:left w:w="57" w:type="dxa"/>
              <w:bottom w:w="57" w:type="dxa"/>
              <w:right w:w="57" w:type="dxa"/>
            </w:tcMar>
          </w:tcPr>
          <w:p w14:paraId="35FF7802" w14:textId="77777777" w:rsidR="009A69C6" w:rsidRPr="00124637" w:rsidRDefault="009A69C6" w:rsidP="009A69C6">
            <w:pPr>
              <w:pStyle w:val="TableBody"/>
            </w:pPr>
            <w:r w:rsidRPr="00124637">
              <w:t>Satellite services</w:t>
            </w:r>
          </w:p>
        </w:tc>
      </w:tr>
    </w:tbl>
    <w:p w14:paraId="6C3BEC87" w14:textId="77777777" w:rsidR="00C74ED3" w:rsidRPr="00124637" w:rsidRDefault="00C74ED3" w:rsidP="00C74ED3">
      <w:pPr>
        <w:pStyle w:val="ACMANotes"/>
      </w:pPr>
      <w:r w:rsidRPr="00124637">
        <w:t>*Some licen</w:t>
      </w:r>
      <w:r w:rsidR="00B94A9D" w:rsidRPr="00124637">
        <w:t>sees chose not to seek reissue.</w:t>
      </w:r>
    </w:p>
    <w:p w14:paraId="51EDD6CD" w14:textId="77777777" w:rsidR="00C74ED3" w:rsidRDefault="00C74ED3" w:rsidP="00C74ED3">
      <w:pPr>
        <w:pStyle w:val="ACMANotes"/>
      </w:pPr>
      <w:r w:rsidRPr="00124637">
        <w:t>**Some licensees chose not to accept the offer of reissue, while some are still to complete the reissue process</w:t>
      </w:r>
      <w:r w:rsidR="00B94A9D" w:rsidRPr="00124637">
        <w:t>.</w:t>
      </w:r>
    </w:p>
    <w:p w14:paraId="6CCD3762" w14:textId="1E186B71" w:rsidR="00D04BE3" w:rsidRPr="00124637" w:rsidRDefault="00D04BE3" w:rsidP="00C74ED3">
      <w:pPr>
        <w:pStyle w:val="ACMANotes"/>
      </w:pPr>
      <w:r>
        <w:t xml:space="preserve">^ </w:t>
      </w:r>
      <w:r w:rsidRPr="00D04BE3">
        <w:t>GSM-R is a system based on the GSM standard that provides communication and control for railway traffic and signals.</w:t>
      </w:r>
    </w:p>
    <w:p w14:paraId="2C5655B5" w14:textId="77777777" w:rsidR="006744F6" w:rsidRPr="00124637" w:rsidRDefault="006744F6" w:rsidP="00C74ED3">
      <w:pPr>
        <w:pStyle w:val="BodysubheaderH4"/>
        <w:spacing w:before="240"/>
      </w:pPr>
      <w:r w:rsidRPr="00124637">
        <w:t xml:space="preserve">Spectrum licence trades </w:t>
      </w:r>
    </w:p>
    <w:p w14:paraId="0722D56D" w14:textId="77777777" w:rsidR="00D25C16" w:rsidRPr="00124637" w:rsidRDefault="00D25C16" w:rsidP="00D25C16">
      <w:pPr>
        <w:rPr>
          <w:rFonts w:cs="Arial"/>
        </w:rPr>
      </w:pPr>
      <w:bookmarkStart w:id="158" w:name="_Toc337727557"/>
      <w:bookmarkStart w:id="159" w:name="_Toc419122288"/>
      <w:r w:rsidRPr="00124637">
        <w:rPr>
          <w:rFonts w:cs="Arial"/>
        </w:rPr>
        <w:t xml:space="preserve">Spectrum licences can be traded in part or </w:t>
      </w:r>
      <w:r w:rsidR="009A69C6" w:rsidRPr="00124637">
        <w:rPr>
          <w:rFonts w:cs="Arial"/>
        </w:rPr>
        <w:t xml:space="preserve">in </w:t>
      </w:r>
      <w:r w:rsidRPr="00124637">
        <w:rPr>
          <w:rFonts w:cs="Arial"/>
        </w:rPr>
        <w:t>whole to others by geographic area and bandwidth, and can be divided or amalgamated. The ACMA did not trade any spectrum licences during 2014</w:t>
      </w:r>
      <w:r w:rsidR="00B94A9D" w:rsidRPr="00124637">
        <w:rPr>
          <w:rFonts w:cs="Arial"/>
        </w:rPr>
        <w:t>–</w:t>
      </w:r>
      <w:r w:rsidRPr="00124637">
        <w:rPr>
          <w:rFonts w:cs="Arial"/>
        </w:rPr>
        <w:t>15.</w:t>
      </w:r>
    </w:p>
    <w:p w14:paraId="5E6273D0" w14:textId="77777777" w:rsidR="006744F6" w:rsidRPr="00124637" w:rsidRDefault="006744F6" w:rsidP="006744F6">
      <w:pPr>
        <w:pStyle w:val="Heading3"/>
      </w:pPr>
      <w:bookmarkStart w:id="160" w:name="_Toc433703322"/>
      <w:r w:rsidRPr="00124637">
        <w:t>Class licensing</w:t>
      </w:r>
      <w:bookmarkEnd w:id="158"/>
      <w:bookmarkEnd w:id="159"/>
      <w:bookmarkEnd w:id="160"/>
    </w:p>
    <w:p w14:paraId="0201DBC4" w14:textId="77777777" w:rsidR="006744F6" w:rsidRPr="00124637" w:rsidRDefault="006744F6" w:rsidP="006744F6">
      <w:pPr>
        <w:pStyle w:val="BodysubheaderH4"/>
      </w:pPr>
      <w:r w:rsidRPr="00124637">
        <w:t>Low interference potential devices</w:t>
      </w:r>
    </w:p>
    <w:p w14:paraId="1C58A295" w14:textId="77777777" w:rsidR="00D25C16" w:rsidRPr="00124637" w:rsidRDefault="00D25C16" w:rsidP="00D25C16">
      <w:pPr>
        <w:rPr>
          <w:rFonts w:cs="Arial"/>
        </w:rPr>
      </w:pPr>
      <w:bookmarkStart w:id="161" w:name="_Toc419122289"/>
      <w:r w:rsidRPr="00124637">
        <w:rPr>
          <w:rFonts w:cs="Arial"/>
        </w:rPr>
        <w:t>Low interference potential devices include a wide range of low-power radio transmitters used by the public every day, such as garage door openers, wireless local area networking equipment (such as Wi-Fi and Bluetooth devices) and wireless identification tags. Operation of these common devices without individual coordination is accomplished through class licensing. The ACMA’s class licensing arrangements provide a no-cost-to-the-user authorisation to operate such equipment, without the need to issue individual licences.</w:t>
      </w:r>
    </w:p>
    <w:p w14:paraId="0F61E056" w14:textId="77777777" w:rsidR="00214FC4" w:rsidRPr="00124637" w:rsidRDefault="00214FC4" w:rsidP="00214FC4">
      <w:pPr>
        <w:rPr>
          <w:rFonts w:cs="Arial"/>
        </w:rPr>
      </w:pPr>
      <w:r w:rsidRPr="00124637">
        <w:rPr>
          <w:rFonts w:cs="Arial"/>
        </w:rPr>
        <w:t xml:space="preserve">The Radiocommunications (Low Interference Potential Devices) Class Licence 2000 (the LIPD Class Licence) is regularly varied to maintain currency and keep pace with technological developments. The ACMA publicly consulted on </w:t>
      </w:r>
      <w:r w:rsidR="00CC66F4" w:rsidRPr="00124637">
        <w:rPr>
          <w:rFonts w:cs="Arial"/>
        </w:rPr>
        <w:t xml:space="preserve">a </w:t>
      </w:r>
      <w:r w:rsidRPr="00124637">
        <w:rPr>
          <w:rFonts w:cs="Arial"/>
        </w:rPr>
        <w:t>proposed remaking o</w:t>
      </w:r>
      <w:r w:rsidR="00CC66F4" w:rsidRPr="00124637">
        <w:rPr>
          <w:rFonts w:cs="Arial"/>
        </w:rPr>
        <w:t>f</w:t>
      </w:r>
      <w:r w:rsidRPr="00124637">
        <w:rPr>
          <w:rFonts w:cs="Arial"/>
        </w:rPr>
        <w:t xml:space="preserve"> the LIPD Class Licence on 17 December 2014, including updated arrangements for wireless microphones, and the use of short-range low-power devices using ultra-wide band (UWB) technology. Submissions closed on 6 March 2015. The ACMA expects to complete the update process and make a new LIPD Class Licence by </w:t>
      </w:r>
      <w:r w:rsidR="00CC66F4" w:rsidRPr="00124637">
        <w:rPr>
          <w:rFonts w:cs="Arial"/>
        </w:rPr>
        <w:t xml:space="preserve">the </w:t>
      </w:r>
      <w:r w:rsidRPr="00124637">
        <w:rPr>
          <w:rFonts w:cs="Arial"/>
        </w:rPr>
        <w:t xml:space="preserve">end </w:t>
      </w:r>
      <w:r w:rsidR="00CC66F4" w:rsidRPr="00124637">
        <w:rPr>
          <w:rFonts w:cs="Arial"/>
        </w:rPr>
        <w:t>of the third</w:t>
      </w:r>
      <w:r w:rsidRPr="00124637">
        <w:rPr>
          <w:rFonts w:cs="Arial"/>
        </w:rPr>
        <w:t xml:space="preserve"> quarter of 2015. </w:t>
      </w:r>
    </w:p>
    <w:p w14:paraId="38E8022F" w14:textId="77777777" w:rsidR="006744F6" w:rsidRPr="00124637" w:rsidRDefault="006744F6" w:rsidP="006744F6">
      <w:pPr>
        <w:pStyle w:val="Heading3"/>
      </w:pPr>
      <w:bookmarkStart w:id="162" w:name="_Toc433703323"/>
      <w:r w:rsidRPr="00124637">
        <w:lastRenderedPageBreak/>
        <w:t>Accredited persons scheme</w:t>
      </w:r>
      <w:bookmarkEnd w:id="161"/>
      <w:bookmarkEnd w:id="162"/>
    </w:p>
    <w:p w14:paraId="37A88EBB" w14:textId="77777777" w:rsidR="008C466F" w:rsidRPr="00124637" w:rsidRDefault="008C466F" w:rsidP="008C466F">
      <w:pPr>
        <w:rPr>
          <w:rFonts w:cs="Arial"/>
        </w:rPr>
      </w:pPr>
      <w:r w:rsidRPr="00124637">
        <w:rPr>
          <w:rFonts w:cs="Arial"/>
        </w:rPr>
        <w:t xml:space="preserve">The accredited persons (APs) scheme provides a market-based solution for frequency coordination and device registration. Under the scheme, the ACMA accredits appropriately qualified persons to issue frequency assignment certificates for apparatus licences and interference impact certificates for spectrum licences. Since </w:t>
      </w:r>
      <w:r w:rsidR="00EA16E4" w:rsidRPr="00124637">
        <w:rPr>
          <w:rFonts w:cs="Arial"/>
        </w:rPr>
        <w:t>the scheme’s</w:t>
      </w:r>
      <w:r w:rsidRPr="00124637">
        <w:rPr>
          <w:rFonts w:cs="Arial"/>
        </w:rPr>
        <w:t xml:space="preserve"> introduction, radiocommunications licensees have seen the benefit of using the services of appropriately qualified APs. APs now undertake the majority of frequency assignment activity for the Australian radiocommunications sector.</w:t>
      </w:r>
    </w:p>
    <w:p w14:paraId="5878649D" w14:textId="77777777" w:rsidR="009A69C6" w:rsidRPr="00124637" w:rsidRDefault="009A69C6" w:rsidP="009A69C6">
      <w:pPr>
        <w:rPr>
          <w:rFonts w:cs="Arial"/>
        </w:rPr>
      </w:pPr>
      <w:r w:rsidRPr="00124637">
        <w:rPr>
          <w:rFonts w:cs="Arial"/>
        </w:rPr>
        <w:t>In 2014–15, the total number of APs increased from 41 to 47 (see Table 13) with the accreditation of six new persons. With the percentage of assignment activity performed by APs continuing to grow—increasing by five per cent in 2014–15 (see Table 14)—the AP scheme is considered to be operating effectively.</w:t>
      </w:r>
    </w:p>
    <w:p w14:paraId="1DB8BC38" w14:textId="77777777" w:rsidR="00C74ED3" w:rsidRPr="00124637" w:rsidRDefault="00C74ED3" w:rsidP="009A69C6">
      <w:pPr>
        <w:pStyle w:val="Caption"/>
        <w:keepNext/>
        <w:spacing w:after="120"/>
        <w:rPr>
          <w:color w:val="auto"/>
        </w:rPr>
      </w:pPr>
      <w:r w:rsidRPr="00124637">
        <w:rPr>
          <w:color w:val="auto"/>
        </w:rPr>
        <w:t>Number of APs, 30 June 2011 to 30 June 2015</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544"/>
        <w:gridCol w:w="1545"/>
        <w:gridCol w:w="1544"/>
        <w:gridCol w:w="1545"/>
      </w:tblGrid>
      <w:tr w:rsidR="00C74ED3" w:rsidRPr="008C466F" w14:paraId="3C244142" w14:textId="77777777" w:rsidTr="00800C4D">
        <w:tc>
          <w:tcPr>
            <w:tcW w:w="1544" w:type="dxa"/>
            <w:shd w:val="clear" w:color="auto" w:fill="404040" w:themeFill="text1" w:themeFillTint="BF"/>
            <w:tcMar>
              <w:top w:w="57" w:type="dxa"/>
              <w:left w:w="57" w:type="dxa"/>
              <w:bottom w:w="57" w:type="dxa"/>
              <w:right w:w="57" w:type="dxa"/>
            </w:tcMar>
          </w:tcPr>
          <w:p w14:paraId="53197A5F" w14:textId="77777777" w:rsidR="00C74ED3" w:rsidRPr="00C74ED3" w:rsidRDefault="00C74ED3" w:rsidP="00800C4D">
            <w:pPr>
              <w:pStyle w:val="TableHeading"/>
              <w:rPr>
                <w:rFonts w:cs="Arial"/>
                <w:color w:val="FFFFFF" w:themeColor="background1"/>
              </w:rPr>
            </w:pPr>
            <w:r w:rsidRPr="00C74ED3">
              <w:rPr>
                <w:rFonts w:cs="Arial"/>
                <w:color w:val="FFFFFF" w:themeColor="background1"/>
              </w:rPr>
              <w:t>30 June 2011</w:t>
            </w:r>
          </w:p>
        </w:tc>
        <w:tc>
          <w:tcPr>
            <w:tcW w:w="1544" w:type="dxa"/>
            <w:shd w:val="clear" w:color="auto" w:fill="404040" w:themeFill="text1" w:themeFillTint="BF"/>
            <w:tcMar>
              <w:top w:w="57" w:type="dxa"/>
              <w:left w:w="57" w:type="dxa"/>
              <w:bottom w:w="57" w:type="dxa"/>
              <w:right w:w="57" w:type="dxa"/>
            </w:tcMar>
          </w:tcPr>
          <w:p w14:paraId="13787A09" w14:textId="77777777" w:rsidR="00C74ED3" w:rsidRPr="00C74ED3" w:rsidRDefault="00C74ED3" w:rsidP="00800C4D">
            <w:pPr>
              <w:pStyle w:val="TableHeading"/>
              <w:rPr>
                <w:rFonts w:cs="Arial"/>
                <w:color w:val="FFFFFF" w:themeColor="background1"/>
              </w:rPr>
            </w:pPr>
            <w:r w:rsidRPr="00C74ED3">
              <w:rPr>
                <w:rFonts w:cs="Arial"/>
                <w:color w:val="FFFFFF" w:themeColor="background1"/>
              </w:rPr>
              <w:t>30 June 2012</w:t>
            </w:r>
          </w:p>
        </w:tc>
        <w:tc>
          <w:tcPr>
            <w:tcW w:w="1545" w:type="dxa"/>
            <w:shd w:val="clear" w:color="auto" w:fill="404040" w:themeFill="text1" w:themeFillTint="BF"/>
            <w:tcMar>
              <w:top w:w="57" w:type="dxa"/>
              <w:left w:w="57" w:type="dxa"/>
              <w:bottom w:w="57" w:type="dxa"/>
              <w:right w:w="57" w:type="dxa"/>
            </w:tcMar>
          </w:tcPr>
          <w:p w14:paraId="0FEE77D9" w14:textId="77777777" w:rsidR="00C74ED3" w:rsidRPr="00C74ED3" w:rsidRDefault="00C74ED3" w:rsidP="00800C4D">
            <w:pPr>
              <w:pStyle w:val="TableHeading"/>
              <w:rPr>
                <w:rFonts w:cs="Arial"/>
                <w:color w:val="FFFFFF" w:themeColor="background1"/>
              </w:rPr>
            </w:pPr>
            <w:r w:rsidRPr="00C74ED3">
              <w:rPr>
                <w:rFonts w:cs="Arial"/>
                <w:color w:val="FFFFFF" w:themeColor="background1"/>
              </w:rPr>
              <w:t>30 June 2013</w:t>
            </w:r>
          </w:p>
        </w:tc>
        <w:tc>
          <w:tcPr>
            <w:tcW w:w="1544" w:type="dxa"/>
            <w:shd w:val="clear" w:color="auto" w:fill="404040" w:themeFill="text1" w:themeFillTint="BF"/>
            <w:tcMar>
              <w:top w:w="57" w:type="dxa"/>
              <w:left w:w="57" w:type="dxa"/>
              <w:bottom w:w="57" w:type="dxa"/>
              <w:right w:w="57" w:type="dxa"/>
            </w:tcMar>
          </w:tcPr>
          <w:p w14:paraId="4A788BBC" w14:textId="77777777" w:rsidR="00C74ED3" w:rsidRPr="00C74ED3" w:rsidRDefault="00C74ED3" w:rsidP="00800C4D">
            <w:pPr>
              <w:pStyle w:val="TableHeading"/>
              <w:rPr>
                <w:rFonts w:cs="Arial"/>
                <w:color w:val="FFFFFF" w:themeColor="background1"/>
              </w:rPr>
            </w:pPr>
            <w:r w:rsidRPr="00C74ED3">
              <w:rPr>
                <w:rFonts w:cs="Arial"/>
                <w:color w:val="FFFFFF" w:themeColor="background1"/>
              </w:rPr>
              <w:t>30 June 2014</w:t>
            </w:r>
          </w:p>
        </w:tc>
        <w:tc>
          <w:tcPr>
            <w:tcW w:w="1545" w:type="dxa"/>
            <w:shd w:val="clear" w:color="auto" w:fill="404040" w:themeFill="text1" w:themeFillTint="BF"/>
            <w:tcMar>
              <w:top w:w="57" w:type="dxa"/>
              <w:left w:w="57" w:type="dxa"/>
              <w:bottom w:w="57" w:type="dxa"/>
              <w:right w:w="57" w:type="dxa"/>
            </w:tcMar>
          </w:tcPr>
          <w:p w14:paraId="0D958537" w14:textId="77777777" w:rsidR="00C74ED3" w:rsidRPr="00C74ED3" w:rsidRDefault="00C74ED3" w:rsidP="00800C4D">
            <w:pPr>
              <w:pStyle w:val="TableHeading"/>
              <w:rPr>
                <w:rFonts w:cs="Arial"/>
                <w:color w:val="FFFFFF" w:themeColor="background1"/>
              </w:rPr>
            </w:pPr>
            <w:r w:rsidRPr="00C74ED3">
              <w:rPr>
                <w:rFonts w:cs="Arial"/>
                <w:color w:val="FFFFFF" w:themeColor="background1"/>
              </w:rPr>
              <w:t>30 June 2015</w:t>
            </w:r>
          </w:p>
        </w:tc>
      </w:tr>
      <w:tr w:rsidR="009A69C6" w:rsidRPr="008C466F" w14:paraId="12D99334" w14:textId="77777777" w:rsidTr="00800C4D">
        <w:tc>
          <w:tcPr>
            <w:tcW w:w="1544" w:type="dxa"/>
            <w:tcMar>
              <w:top w:w="57" w:type="dxa"/>
              <w:left w:w="57" w:type="dxa"/>
              <w:bottom w:w="57" w:type="dxa"/>
              <w:right w:w="57" w:type="dxa"/>
            </w:tcMar>
          </w:tcPr>
          <w:p w14:paraId="55E8563E" w14:textId="77777777" w:rsidR="009A69C6" w:rsidRPr="00124637" w:rsidRDefault="009A69C6" w:rsidP="009A69C6">
            <w:pPr>
              <w:pStyle w:val="TableBody"/>
              <w:tabs>
                <w:tab w:val="left" w:pos="720"/>
              </w:tabs>
            </w:pPr>
            <w:r w:rsidRPr="00124637">
              <w:t>57</w:t>
            </w:r>
          </w:p>
        </w:tc>
        <w:tc>
          <w:tcPr>
            <w:tcW w:w="1544" w:type="dxa"/>
            <w:tcMar>
              <w:top w:w="57" w:type="dxa"/>
              <w:left w:w="57" w:type="dxa"/>
              <w:bottom w:w="57" w:type="dxa"/>
              <w:right w:w="57" w:type="dxa"/>
            </w:tcMar>
          </w:tcPr>
          <w:p w14:paraId="4D417D7C" w14:textId="77777777" w:rsidR="009A69C6" w:rsidRPr="00124637" w:rsidRDefault="009A69C6" w:rsidP="009A69C6">
            <w:pPr>
              <w:pStyle w:val="TableBody"/>
            </w:pPr>
            <w:r w:rsidRPr="00124637">
              <w:t>53</w:t>
            </w:r>
          </w:p>
        </w:tc>
        <w:tc>
          <w:tcPr>
            <w:tcW w:w="1545" w:type="dxa"/>
            <w:tcMar>
              <w:top w:w="57" w:type="dxa"/>
              <w:left w:w="57" w:type="dxa"/>
              <w:bottom w:w="57" w:type="dxa"/>
              <w:right w:w="57" w:type="dxa"/>
            </w:tcMar>
          </w:tcPr>
          <w:p w14:paraId="6477ECA4" w14:textId="77777777" w:rsidR="009A69C6" w:rsidRPr="00124637" w:rsidRDefault="009A69C6" w:rsidP="009A69C6">
            <w:pPr>
              <w:pStyle w:val="TableBody"/>
            </w:pPr>
            <w:r w:rsidRPr="00124637">
              <w:t>39</w:t>
            </w:r>
          </w:p>
        </w:tc>
        <w:tc>
          <w:tcPr>
            <w:tcW w:w="1544" w:type="dxa"/>
            <w:tcMar>
              <w:top w:w="57" w:type="dxa"/>
              <w:left w:w="57" w:type="dxa"/>
              <w:bottom w:w="57" w:type="dxa"/>
              <w:right w:w="57" w:type="dxa"/>
            </w:tcMar>
          </w:tcPr>
          <w:p w14:paraId="67BE2D50" w14:textId="77777777" w:rsidR="009A69C6" w:rsidRPr="00124637" w:rsidRDefault="009A69C6" w:rsidP="009A69C6">
            <w:pPr>
              <w:pStyle w:val="TableBody"/>
            </w:pPr>
            <w:r w:rsidRPr="00124637">
              <w:t>41</w:t>
            </w:r>
          </w:p>
        </w:tc>
        <w:tc>
          <w:tcPr>
            <w:tcW w:w="1545" w:type="dxa"/>
            <w:tcMar>
              <w:top w:w="57" w:type="dxa"/>
              <w:left w:w="57" w:type="dxa"/>
              <w:bottom w:w="57" w:type="dxa"/>
              <w:right w:w="57" w:type="dxa"/>
            </w:tcMar>
          </w:tcPr>
          <w:p w14:paraId="05DD38D2" w14:textId="77777777" w:rsidR="009A69C6" w:rsidRPr="00124637" w:rsidRDefault="009A69C6" w:rsidP="009A69C6">
            <w:pPr>
              <w:pStyle w:val="TableBody"/>
            </w:pPr>
            <w:r w:rsidRPr="00124637">
              <w:t>47</w:t>
            </w:r>
          </w:p>
        </w:tc>
      </w:tr>
    </w:tbl>
    <w:p w14:paraId="3FF0ED3C" w14:textId="77777777" w:rsidR="008C466F" w:rsidRPr="00124637" w:rsidRDefault="008C466F" w:rsidP="00363455">
      <w:pPr>
        <w:spacing w:before="360"/>
        <w:rPr>
          <w:rFonts w:cs="Arial"/>
        </w:rPr>
      </w:pPr>
      <w:r w:rsidRPr="00124637">
        <w:rPr>
          <w:rFonts w:cs="Arial"/>
        </w:rPr>
        <w:t xml:space="preserve">APs register all devices that require authorisation to operate under a spectrum licence, supporting the self-regulatory approach to spectrum management introduced in 1997. This approach allows licensees to take responsibility for much of the administration of their spectrum licences. </w:t>
      </w:r>
      <w:r w:rsidR="00214FC4" w:rsidRPr="00124637">
        <w:rPr>
          <w:rFonts w:cs="Arial"/>
        </w:rPr>
        <w:t>In 2014–15, APs registered 163,424 devices operated under spectrum licences.</w:t>
      </w:r>
    </w:p>
    <w:p w14:paraId="18C9EB3E" w14:textId="77777777" w:rsidR="00C74ED3" w:rsidRPr="00124637" w:rsidRDefault="00C74ED3" w:rsidP="00C74ED3">
      <w:pPr>
        <w:pStyle w:val="Caption"/>
        <w:keepNext/>
        <w:spacing w:after="120"/>
        <w:rPr>
          <w:rFonts w:cs="Arial"/>
          <w:color w:val="auto"/>
        </w:rPr>
      </w:pPr>
      <w:r w:rsidRPr="00124637">
        <w:rPr>
          <w:color w:val="auto"/>
        </w:rPr>
        <w:t>Assignments registered, 2010–11 to 2014–15</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026"/>
        <w:gridCol w:w="1026"/>
        <w:gridCol w:w="1026"/>
        <w:gridCol w:w="1026"/>
        <w:gridCol w:w="1027"/>
      </w:tblGrid>
      <w:tr w:rsidR="00C74ED3" w:rsidRPr="008C466F" w14:paraId="03E0550F" w14:textId="77777777" w:rsidTr="00DE1F14">
        <w:tc>
          <w:tcPr>
            <w:tcW w:w="2519" w:type="dxa"/>
            <w:shd w:val="clear" w:color="auto" w:fill="404040" w:themeFill="text1" w:themeFillTint="BF"/>
            <w:tcMar>
              <w:top w:w="57" w:type="dxa"/>
              <w:left w:w="57" w:type="dxa"/>
              <w:bottom w:w="57" w:type="dxa"/>
              <w:right w:w="57" w:type="dxa"/>
            </w:tcMar>
          </w:tcPr>
          <w:p w14:paraId="15527833" w14:textId="77777777" w:rsidR="00C74ED3" w:rsidRPr="00C74ED3" w:rsidRDefault="00C74ED3" w:rsidP="00C74ED3">
            <w:pPr>
              <w:pStyle w:val="TableHeading"/>
              <w:rPr>
                <w:color w:val="FFFFFF" w:themeColor="background1"/>
              </w:rPr>
            </w:pPr>
          </w:p>
        </w:tc>
        <w:tc>
          <w:tcPr>
            <w:tcW w:w="1026" w:type="dxa"/>
            <w:shd w:val="clear" w:color="auto" w:fill="404040" w:themeFill="text1" w:themeFillTint="BF"/>
            <w:tcMar>
              <w:top w:w="57" w:type="dxa"/>
              <w:left w:w="57" w:type="dxa"/>
              <w:bottom w:w="57" w:type="dxa"/>
              <w:right w:w="57" w:type="dxa"/>
            </w:tcMar>
          </w:tcPr>
          <w:p w14:paraId="17DA0BBB" w14:textId="77777777" w:rsidR="00C74ED3" w:rsidRPr="00C74ED3" w:rsidRDefault="00C74ED3" w:rsidP="000C2709">
            <w:pPr>
              <w:pStyle w:val="TableHeading"/>
              <w:jc w:val="right"/>
              <w:rPr>
                <w:color w:val="FFFFFF" w:themeColor="background1"/>
              </w:rPr>
            </w:pPr>
            <w:r w:rsidRPr="00C74ED3">
              <w:rPr>
                <w:color w:val="FFFFFF" w:themeColor="background1"/>
              </w:rPr>
              <w:t>2010–11</w:t>
            </w:r>
          </w:p>
        </w:tc>
        <w:tc>
          <w:tcPr>
            <w:tcW w:w="1026" w:type="dxa"/>
            <w:shd w:val="clear" w:color="auto" w:fill="404040" w:themeFill="text1" w:themeFillTint="BF"/>
            <w:tcMar>
              <w:top w:w="57" w:type="dxa"/>
              <w:left w:w="57" w:type="dxa"/>
              <w:bottom w:w="57" w:type="dxa"/>
              <w:right w:w="57" w:type="dxa"/>
            </w:tcMar>
          </w:tcPr>
          <w:p w14:paraId="2300B830" w14:textId="77777777" w:rsidR="00C74ED3" w:rsidRPr="00C74ED3" w:rsidRDefault="00C74ED3" w:rsidP="000C2709">
            <w:pPr>
              <w:pStyle w:val="TableHeading"/>
              <w:jc w:val="right"/>
              <w:rPr>
                <w:color w:val="FFFFFF" w:themeColor="background1"/>
              </w:rPr>
            </w:pPr>
            <w:r w:rsidRPr="00C74ED3">
              <w:rPr>
                <w:color w:val="FFFFFF" w:themeColor="background1"/>
              </w:rPr>
              <w:t>2011–12</w:t>
            </w:r>
          </w:p>
        </w:tc>
        <w:tc>
          <w:tcPr>
            <w:tcW w:w="1026" w:type="dxa"/>
            <w:shd w:val="clear" w:color="auto" w:fill="404040" w:themeFill="text1" w:themeFillTint="BF"/>
            <w:tcMar>
              <w:top w:w="57" w:type="dxa"/>
              <w:left w:w="57" w:type="dxa"/>
              <w:bottom w:w="57" w:type="dxa"/>
              <w:right w:w="57" w:type="dxa"/>
            </w:tcMar>
          </w:tcPr>
          <w:p w14:paraId="6DA6C634" w14:textId="77777777" w:rsidR="00C74ED3" w:rsidRPr="00C74ED3" w:rsidRDefault="00C74ED3" w:rsidP="000C2709">
            <w:pPr>
              <w:pStyle w:val="TableHeading"/>
              <w:jc w:val="right"/>
              <w:rPr>
                <w:color w:val="FFFFFF" w:themeColor="background1"/>
              </w:rPr>
            </w:pPr>
            <w:r w:rsidRPr="00C74ED3">
              <w:rPr>
                <w:color w:val="FFFFFF" w:themeColor="background1"/>
              </w:rPr>
              <w:t>2012–13</w:t>
            </w:r>
          </w:p>
        </w:tc>
        <w:tc>
          <w:tcPr>
            <w:tcW w:w="1026" w:type="dxa"/>
            <w:shd w:val="clear" w:color="auto" w:fill="404040" w:themeFill="text1" w:themeFillTint="BF"/>
            <w:tcMar>
              <w:top w:w="57" w:type="dxa"/>
              <w:left w:w="57" w:type="dxa"/>
              <w:bottom w:w="57" w:type="dxa"/>
              <w:right w:w="57" w:type="dxa"/>
            </w:tcMar>
          </w:tcPr>
          <w:p w14:paraId="320E9EA5" w14:textId="77777777" w:rsidR="00C74ED3" w:rsidRPr="00C74ED3" w:rsidRDefault="00C74ED3" w:rsidP="000C2709">
            <w:pPr>
              <w:pStyle w:val="TableHeading"/>
              <w:jc w:val="right"/>
              <w:rPr>
                <w:color w:val="FFFFFF" w:themeColor="background1"/>
              </w:rPr>
            </w:pPr>
            <w:r w:rsidRPr="00C74ED3">
              <w:rPr>
                <w:color w:val="FFFFFF" w:themeColor="background1"/>
              </w:rPr>
              <w:t>2013–14</w:t>
            </w:r>
          </w:p>
        </w:tc>
        <w:tc>
          <w:tcPr>
            <w:tcW w:w="1027" w:type="dxa"/>
            <w:shd w:val="clear" w:color="auto" w:fill="404040" w:themeFill="text1" w:themeFillTint="BF"/>
          </w:tcPr>
          <w:p w14:paraId="75E8ED31" w14:textId="77777777" w:rsidR="00C74ED3" w:rsidRPr="00C74ED3" w:rsidRDefault="00AA25B3" w:rsidP="000C2709">
            <w:pPr>
              <w:pStyle w:val="TableHeading"/>
              <w:jc w:val="right"/>
              <w:rPr>
                <w:color w:val="FFFFFF" w:themeColor="background1"/>
              </w:rPr>
            </w:pPr>
            <w:r>
              <w:rPr>
                <w:color w:val="FFFFFF" w:themeColor="background1"/>
              </w:rPr>
              <w:t>2014</w:t>
            </w:r>
            <w:r w:rsidR="00EA16E4">
              <w:rPr>
                <w:color w:val="FFFFFF" w:themeColor="background1"/>
              </w:rPr>
              <w:t>–</w:t>
            </w:r>
            <w:r>
              <w:rPr>
                <w:color w:val="FFFFFF" w:themeColor="background1"/>
              </w:rPr>
              <w:t>15</w:t>
            </w:r>
          </w:p>
        </w:tc>
      </w:tr>
      <w:tr w:rsidR="00C74ED3" w:rsidRPr="008C466F" w14:paraId="2ECD9E11" w14:textId="77777777" w:rsidTr="00DE1F14">
        <w:tc>
          <w:tcPr>
            <w:tcW w:w="2519" w:type="dxa"/>
            <w:tcMar>
              <w:top w:w="57" w:type="dxa"/>
              <w:left w:w="57" w:type="dxa"/>
              <w:bottom w:w="57" w:type="dxa"/>
              <w:right w:w="57" w:type="dxa"/>
            </w:tcMar>
          </w:tcPr>
          <w:p w14:paraId="502BD56C" w14:textId="77777777" w:rsidR="00C74ED3" w:rsidRPr="00124637" w:rsidRDefault="00C74ED3" w:rsidP="00800C4D">
            <w:pPr>
              <w:pStyle w:val="TableBody"/>
            </w:pPr>
            <w:r w:rsidRPr="00124637">
              <w:t>Frequency assignments registered by APs</w:t>
            </w:r>
          </w:p>
        </w:tc>
        <w:tc>
          <w:tcPr>
            <w:tcW w:w="1026" w:type="dxa"/>
            <w:tcMar>
              <w:top w:w="57" w:type="dxa"/>
              <w:left w:w="57" w:type="dxa"/>
              <w:bottom w:w="57" w:type="dxa"/>
              <w:right w:w="57" w:type="dxa"/>
            </w:tcMar>
          </w:tcPr>
          <w:p w14:paraId="3CA77A2F" w14:textId="77777777" w:rsidR="00C74ED3" w:rsidRPr="00124637" w:rsidRDefault="00C74ED3" w:rsidP="000C2709">
            <w:pPr>
              <w:pStyle w:val="TableBody"/>
              <w:jc w:val="right"/>
            </w:pPr>
            <w:r w:rsidRPr="00124637">
              <w:t>16,278</w:t>
            </w:r>
          </w:p>
          <w:p w14:paraId="000730C6" w14:textId="77777777" w:rsidR="00C74ED3" w:rsidRPr="00124637" w:rsidRDefault="00C74ED3" w:rsidP="000C2709">
            <w:pPr>
              <w:pStyle w:val="TableBody"/>
              <w:jc w:val="right"/>
            </w:pPr>
            <w:r w:rsidRPr="00124637">
              <w:t>72%</w:t>
            </w:r>
          </w:p>
        </w:tc>
        <w:tc>
          <w:tcPr>
            <w:tcW w:w="1026" w:type="dxa"/>
            <w:shd w:val="clear" w:color="auto" w:fill="auto"/>
            <w:tcMar>
              <w:top w:w="57" w:type="dxa"/>
              <w:left w:w="57" w:type="dxa"/>
              <w:bottom w:w="57" w:type="dxa"/>
              <w:right w:w="57" w:type="dxa"/>
            </w:tcMar>
          </w:tcPr>
          <w:p w14:paraId="2EE6CB49" w14:textId="77777777" w:rsidR="00C74ED3" w:rsidRPr="00124637" w:rsidRDefault="00C74ED3" w:rsidP="000C2709">
            <w:pPr>
              <w:pStyle w:val="TableBody"/>
              <w:jc w:val="right"/>
              <w:rPr>
                <w:highlight w:val="yellow"/>
              </w:rPr>
            </w:pPr>
            <w:r w:rsidRPr="00124637">
              <w:t>20,544</w:t>
            </w:r>
          </w:p>
          <w:p w14:paraId="67118191" w14:textId="77777777" w:rsidR="00C74ED3" w:rsidRPr="00124637" w:rsidRDefault="00C74ED3" w:rsidP="000C2709">
            <w:pPr>
              <w:pStyle w:val="TableBody"/>
              <w:jc w:val="right"/>
            </w:pPr>
            <w:r w:rsidRPr="00124637">
              <w:t>77%</w:t>
            </w:r>
          </w:p>
        </w:tc>
        <w:tc>
          <w:tcPr>
            <w:tcW w:w="1026" w:type="dxa"/>
            <w:tcMar>
              <w:top w:w="57" w:type="dxa"/>
              <w:left w:w="57" w:type="dxa"/>
              <w:bottom w:w="57" w:type="dxa"/>
              <w:right w:w="57" w:type="dxa"/>
            </w:tcMar>
          </w:tcPr>
          <w:p w14:paraId="25A47B2F" w14:textId="77777777" w:rsidR="00C74ED3" w:rsidRPr="00124637" w:rsidRDefault="00C74ED3" w:rsidP="000C2709">
            <w:pPr>
              <w:pStyle w:val="TableBody"/>
              <w:jc w:val="right"/>
            </w:pPr>
            <w:r w:rsidRPr="00124637">
              <w:t>19,040</w:t>
            </w:r>
            <w:r w:rsidRPr="00124637">
              <w:br/>
              <w:t>80%</w:t>
            </w:r>
          </w:p>
        </w:tc>
        <w:tc>
          <w:tcPr>
            <w:tcW w:w="1026" w:type="dxa"/>
            <w:tcMar>
              <w:top w:w="57" w:type="dxa"/>
              <w:left w:w="57" w:type="dxa"/>
              <w:bottom w:w="57" w:type="dxa"/>
              <w:right w:w="57" w:type="dxa"/>
            </w:tcMar>
          </w:tcPr>
          <w:p w14:paraId="321675F1" w14:textId="77777777" w:rsidR="00C74ED3" w:rsidRPr="00124637" w:rsidRDefault="00C74ED3" w:rsidP="000C2709">
            <w:pPr>
              <w:pStyle w:val="TableBody"/>
              <w:jc w:val="right"/>
            </w:pPr>
            <w:r w:rsidRPr="00124637">
              <w:t>20,230</w:t>
            </w:r>
            <w:r w:rsidRPr="00124637">
              <w:br/>
              <w:t>83%</w:t>
            </w:r>
          </w:p>
        </w:tc>
        <w:tc>
          <w:tcPr>
            <w:tcW w:w="1027" w:type="dxa"/>
          </w:tcPr>
          <w:p w14:paraId="22B77D6A" w14:textId="77777777" w:rsidR="00C74ED3" w:rsidRPr="00124637" w:rsidRDefault="00C74ED3" w:rsidP="000C2709">
            <w:pPr>
              <w:pStyle w:val="TableBody"/>
              <w:jc w:val="right"/>
            </w:pPr>
            <w:r w:rsidRPr="00124637">
              <w:t>23,733</w:t>
            </w:r>
          </w:p>
          <w:p w14:paraId="7452FD55" w14:textId="77777777" w:rsidR="00C74ED3" w:rsidRPr="00124637" w:rsidRDefault="00C74ED3" w:rsidP="000C2709">
            <w:pPr>
              <w:pStyle w:val="TableBody"/>
              <w:jc w:val="right"/>
            </w:pPr>
            <w:r w:rsidRPr="00124637">
              <w:t>88%</w:t>
            </w:r>
          </w:p>
        </w:tc>
      </w:tr>
      <w:tr w:rsidR="00C74ED3" w:rsidRPr="008C466F" w14:paraId="00A424DF" w14:textId="77777777" w:rsidTr="00DE1F14">
        <w:tc>
          <w:tcPr>
            <w:tcW w:w="2519" w:type="dxa"/>
            <w:tcMar>
              <w:top w:w="57" w:type="dxa"/>
              <w:left w:w="57" w:type="dxa"/>
              <w:bottom w:w="57" w:type="dxa"/>
              <w:right w:w="57" w:type="dxa"/>
            </w:tcMar>
          </w:tcPr>
          <w:p w14:paraId="2135B324" w14:textId="77777777" w:rsidR="00C74ED3" w:rsidRPr="00124637" w:rsidRDefault="00C74ED3" w:rsidP="00800C4D">
            <w:pPr>
              <w:pStyle w:val="TableBody"/>
            </w:pPr>
            <w:r w:rsidRPr="00124637">
              <w:t>Frequency assignments performed by the ACMA</w:t>
            </w:r>
          </w:p>
        </w:tc>
        <w:tc>
          <w:tcPr>
            <w:tcW w:w="1026" w:type="dxa"/>
            <w:tcMar>
              <w:top w:w="57" w:type="dxa"/>
              <w:left w:w="57" w:type="dxa"/>
              <w:bottom w:w="57" w:type="dxa"/>
              <w:right w:w="57" w:type="dxa"/>
            </w:tcMar>
          </w:tcPr>
          <w:p w14:paraId="24263210" w14:textId="77777777" w:rsidR="00C74ED3" w:rsidRPr="00124637" w:rsidRDefault="00C74ED3" w:rsidP="000C2709">
            <w:pPr>
              <w:pStyle w:val="TableBody"/>
              <w:jc w:val="right"/>
            </w:pPr>
            <w:r w:rsidRPr="00124637">
              <w:t>6,272</w:t>
            </w:r>
          </w:p>
          <w:p w14:paraId="685B5C50" w14:textId="77777777" w:rsidR="00C74ED3" w:rsidRPr="00124637" w:rsidRDefault="00C74ED3" w:rsidP="000C2709">
            <w:pPr>
              <w:pStyle w:val="TableBody"/>
              <w:jc w:val="right"/>
            </w:pPr>
            <w:r w:rsidRPr="00124637">
              <w:t>28%</w:t>
            </w:r>
          </w:p>
        </w:tc>
        <w:tc>
          <w:tcPr>
            <w:tcW w:w="1026" w:type="dxa"/>
            <w:shd w:val="clear" w:color="auto" w:fill="auto"/>
            <w:tcMar>
              <w:top w:w="57" w:type="dxa"/>
              <w:left w:w="57" w:type="dxa"/>
              <w:bottom w:w="57" w:type="dxa"/>
              <w:right w:w="57" w:type="dxa"/>
            </w:tcMar>
          </w:tcPr>
          <w:p w14:paraId="13F1545D" w14:textId="77777777" w:rsidR="00C74ED3" w:rsidRPr="00124637" w:rsidRDefault="00C74ED3" w:rsidP="000C2709">
            <w:pPr>
              <w:pStyle w:val="TableBody"/>
              <w:jc w:val="right"/>
              <w:rPr>
                <w:highlight w:val="yellow"/>
              </w:rPr>
            </w:pPr>
            <w:r w:rsidRPr="00124637">
              <w:t>5,978</w:t>
            </w:r>
          </w:p>
          <w:p w14:paraId="2C3E2B75" w14:textId="77777777" w:rsidR="00C74ED3" w:rsidRPr="00124637" w:rsidRDefault="00C74ED3" w:rsidP="000C2709">
            <w:pPr>
              <w:pStyle w:val="TableBody"/>
              <w:jc w:val="right"/>
            </w:pPr>
            <w:r w:rsidRPr="00124637">
              <w:t>23%</w:t>
            </w:r>
          </w:p>
        </w:tc>
        <w:tc>
          <w:tcPr>
            <w:tcW w:w="1026" w:type="dxa"/>
            <w:tcMar>
              <w:top w:w="57" w:type="dxa"/>
              <w:left w:w="57" w:type="dxa"/>
              <w:bottom w:w="57" w:type="dxa"/>
              <w:right w:w="57" w:type="dxa"/>
            </w:tcMar>
          </w:tcPr>
          <w:p w14:paraId="6815FFC4" w14:textId="77777777" w:rsidR="00C74ED3" w:rsidRPr="00124637" w:rsidRDefault="00C74ED3" w:rsidP="000C2709">
            <w:pPr>
              <w:pStyle w:val="TableBody"/>
              <w:jc w:val="right"/>
            </w:pPr>
            <w:r w:rsidRPr="00124637">
              <w:t>4,627</w:t>
            </w:r>
            <w:r w:rsidRPr="00124637">
              <w:br/>
              <w:t>20%</w:t>
            </w:r>
          </w:p>
        </w:tc>
        <w:tc>
          <w:tcPr>
            <w:tcW w:w="1026" w:type="dxa"/>
            <w:tcMar>
              <w:top w:w="57" w:type="dxa"/>
              <w:left w:w="57" w:type="dxa"/>
              <w:bottom w:w="57" w:type="dxa"/>
              <w:right w:w="57" w:type="dxa"/>
            </w:tcMar>
          </w:tcPr>
          <w:p w14:paraId="2F02015C" w14:textId="77777777" w:rsidR="00C74ED3" w:rsidRPr="00124637" w:rsidRDefault="00C74ED3" w:rsidP="000C2709">
            <w:pPr>
              <w:pStyle w:val="TableBody"/>
              <w:jc w:val="right"/>
            </w:pPr>
            <w:r w:rsidRPr="00124637">
              <w:t>4,198</w:t>
            </w:r>
            <w:r w:rsidRPr="00124637">
              <w:br/>
              <w:t>17%</w:t>
            </w:r>
          </w:p>
        </w:tc>
        <w:tc>
          <w:tcPr>
            <w:tcW w:w="1027" w:type="dxa"/>
          </w:tcPr>
          <w:p w14:paraId="7AFAE343" w14:textId="77777777" w:rsidR="00C74ED3" w:rsidRPr="00124637" w:rsidRDefault="00C74ED3" w:rsidP="000C2709">
            <w:pPr>
              <w:pStyle w:val="TableBody"/>
              <w:jc w:val="right"/>
            </w:pPr>
            <w:r w:rsidRPr="00124637">
              <w:t>3,275</w:t>
            </w:r>
          </w:p>
          <w:p w14:paraId="05ED6E11" w14:textId="77777777" w:rsidR="00C74ED3" w:rsidRPr="00124637" w:rsidRDefault="00C74ED3" w:rsidP="000C2709">
            <w:pPr>
              <w:pStyle w:val="TableBody"/>
              <w:jc w:val="right"/>
            </w:pPr>
            <w:r w:rsidRPr="00124637">
              <w:t>12%</w:t>
            </w:r>
          </w:p>
        </w:tc>
      </w:tr>
    </w:tbl>
    <w:p w14:paraId="3427364F" w14:textId="77777777" w:rsidR="006744F6" w:rsidRPr="00124637" w:rsidRDefault="00214FC4" w:rsidP="00363455">
      <w:pPr>
        <w:pStyle w:val="Heading3"/>
        <w:spacing w:before="360"/>
      </w:pPr>
      <w:bookmarkStart w:id="163" w:name="Marine_1"/>
      <w:bookmarkStart w:id="164" w:name="_Toc419122290"/>
      <w:bookmarkStart w:id="165" w:name="_Toc433703324"/>
      <w:bookmarkEnd w:id="163"/>
      <w:r w:rsidRPr="00124637">
        <w:t>Marine radio certificates</w:t>
      </w:r>
      <w:r w:rsidR="006744F6" w:rsidRPr="00124637">
        <w:t xml:space="preserve"> of proficiency and operator examinations</w:t>
      </w:r>
      <w:bookmarkEnd w:id="164"/>
      <w:bookmarkEnd w:id="165"/>
    </w:p>
    <w:p w14:paraId="5F5B507C" w14:textId="77777777" w:rsidR="006744F6" w:rsidRPr="00124637" w:rsidRDefault="006744F6" w:rsidP="006744F6">
      <w:pPr>
        <w:rPr>
          <w:rFonts w:cs="Arial"/>
        </w:rPr>
      </w:pPr>
      <w:r w:rsidRPr="00124637">
        <w:rPr>
          <w:rFonts w:cs="Arial"/>
        </w:rPr>
        <w:t>The Australian Maritime College (AMC) in Launceston has provided marine radio operator certification and examination services on behalf of the ACMA since 2002. Under this arrangement, the AMC is also responsible for promoting the certification services and keeping examination methods relevant and ac</w:t>
      </w:r>
      <w:r w:rsidR="00DD62C3" w:rsidRPr="00124637">
        <w:rPr>
          <w:rFonts w:cs="Arial"/>
        </w:rPr>
        <w:t>cessible to marine radio users.</w:t>
      </w:r>
    </w:p>
    <w:p w14:paraId="4D2B9DF1" w14:textId="77777777" w:rsidR="006744F6" w:rsidRPr="00124637" w:rsidRDefault="006744F6" w:rsidP="006744F6">
      <w:pPr>
        <w:rPr>
          <w:rFonts w:cs="Arial"/>
        </w:rPr>
      </w:pPr>
      <w:r w:rsidRPr="00124637">
        <w:rPr>
          <w:rFonts w:cs="Arial"/>
        </w:rPr>
        <w:t xml:space="preserve">Table </w:t>
      </w:r>
      <w:r w:rsidR="000C2709" w:rsidRPr="00124637">
        <w:rPr>
          <w:rFonts w:cs="Arial"/>
        </w:rPr>
        <w:t>15</w:t>
      </w:r>
      <w:r w:rsidRPr="00124637">
        <w:rPr>
          <w:rFonts w:cs="Arial"/>
        </w:rPr>
        <w:t xml:space="preserve"> details activity levels for the AMC’s last two </w:t>
      </w:r>
      <w:r w:rsidR="00DD62C3" w:rsidRPr="00124637">
        <w:rPr>
          <w:rFonts w:cs="Arial"/>
        </w:rPr>
        <w:t>last financial years (Jan</w:t>
      </w:r>
      <w:r w:rsidR="00A524B6" w:rsidRPr="00124637">
        <w:rPr>
          <w:rFonts w:cs="Arial"/>
        </w:rPr>
        <w:t>uary</w:t>
      </w:r>
      <w:r w:rsidR="00DD62C3" w:rsidRPr="00124637">
        <w:rPr>
          <w:rFonts w:cs="Arial"/>
        </w:rPr>
        <w:t>–Dec</w:t>
      </w:r>
      <w:r w:rsidR="00A524B6" w:rsidRPr="00124637">
        <w:rPr>
          <w:rFonts w:cs="Arial"/>
        </w:rPr>
        <w:t>ember</w:t>
      </w:r>
      <w:r w:rsidR="00DD62C3" w:rsidRPr="00124637">
        <w:rPr>
          <w:rFonts w:cs="Arial"/>
        </w:rPr>
        <w:t>).</w:t>
      </w:r>
    </w:p>
    <w:p w14:paraId="1D57167F" w14:textId="77777777" w:rsidR="00E36F68" w:rsidRPr="00124637" w:rsidRDefault="00E36F68" w:rsidP="004767D2">
      <w:pPr>
        <w:pStyle w:val="Caption"/>
        <w:keepNext/>
        <w:keepLines/>
        <w:spacing w:after="120"/>
        <w:rPr>
          <w:rFonts w:cs="Arial"/>
          <w:color w:val="auto"/>
        </w:rPr>
      </w:pPr>
      <w:r w:rsidRPr="00124637">
        <w:rPr>
          <w:color w:val="auto"/>
        </w:rPr>
        <w:lastRenderedPageBreak/>
        <w:t>Marine radio operator certification and examination services—activity levels</w:t>
      </w:r>
      <w:r w:rsidR="000C2709" w:rsidRPr="00124637">
        <w:rPr>
          <w:color w:val="auto"/>
        </w:rPr>
        <w:t>,</w:t>
      </w:r>
      <w:r w:rsidRPr="00124637">
        <w:rPr>
          <w:color w:val="auto"/>
        </w:rPr>
        <w:t xml:space="preserve"> 2013 and 2014</w:t>
      </w: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2"/>
        <w:gridCol w:w="992"/>
        <w:gridCol w:w="992"/>
      </w:tblGrid>
      <w:tr w:rsidR="00E36F68" w:rsidRPr="00214FC4" w14:paraId="575C0A44" w14:textId="77777777" w:rsidTr="00DE1F14">
        <w:trPr>
          <w:trHeight w:val="244"/>
        </w:trPr>
        <w:tc>
          <w:tcPr>
            <w:tcW w:w="6392" w:type="dxa"/>
            <w:shd w:val="clear" w:color="auto" w:fill="404040" w:themeFill="text1" w:themeFillTint="BF"/>
            <w:tcMar>
              <w:top w:w="57" w:type="dxa"/>
              <w:left w:w="57" w:type="dxa"/>
              <w:bottom w:w="57" w:type="dxa"/>
              <w:right w:w="57" w:type="dxa"/>
            </w:tcMar>
            <w:vAlign w:val="center"/>
          </w:tcPr>
          <w:p w14:paraId="3106C7DA" w14:textId="77777777" w:rsidR="00E36F68" w:rsidRPr="00D92FF8" w:rsidRDefault="00E36F68" w:rsidP="004767D2">
            <w:pPr>
              <w:pStyle w:val="TableHeading"/>
              <w:keepNext/>
              <w:keepLines/>
              <w:rPr>
                <w:rFonts w:cs="Arial"/>
                <w:color w:val="FFFFFF" w:themeColor="background1"/>
              </w:rPr>
            </w:pPr>
          </w:p>
        </w:tc>
        <w:tc>
          <w:tcPr>
            <w:tcW w:w="992" w:type="dxa"/>
            <w:shd w:val="clear" w:color="auto" w:fill="404040" w:themeFill="text1" w:themeFillTint="BF"/>
            <w:tcMar>
              <w:top w:w="57" w:type="dxa"/>
              <w:left w:w="57" w:type="dxa"/>
              <w:bottom w:w="57" w:type="dxa"/>
              <w:right w:w="57" w:type="dxa"/>
            </w:tcMar>
            <w:vAlign w:val="center"/>
          </w:tcPr>
          <w:p w14:paraId="6C2DB522" w14:textId="77777777" w:rsidR="00E36F68" w:rsidRPr="00D92FF8" w:rsidRDefault="00E36F68" w:rsidP="00DE1F14">
            <w:pPr>
              <w:pStyle w:val="TableHeading"/>
              <w:keepNext/>
              <w:keepLines/>
              <w:jc w:val="right"/>
              <w:rPr>
                <w:rFonts w:cs="Arial"/>
                <w:color w:val="FFFFFF" w:themeColor="background1"/>
              </w:rPr>
            </w:pPr>
            <w:r w:rsidRPr="00D92FF8">
              <w:rPr>
                <w:rFonts w:cs="Arial"/>
                <w:color w:val="FFFFFF" w:themeColor="background1"/>
              </w:rPr>
              <w:t>2013</w:t>
            </w:r>
          </w:p>
        </w:tc>
        <w:tc>
          <w:tcPr>
            <w:tcW w:w="992" w:type="dxa"/>
            <w:shd w:val="clear" w:color="auto" w:fill="404040" w:themeFill="text1" w:themeFillTint="BF"/>
            <w:tcMar>
              <w:top w:w="57" w:type="dxa"/>
              <w:left w:w="57" w:type="dxa"/>
              <w:bottom w:w="57" w:type="dxa"/>
              <w:right w:w="57" w:type="dxa"/>
            </w:tcMar>
            <w:vAlign w:val="center"/>
          </w:tcPr>
          <w:p w14:paraId="308AC95F" w14:textId="77777777" w:rsidR="00E36F68" w:rsidRPr="00D92FF8" w:rsidRDefault="00E36F68" w:rsidP="004767D2">
            <w:pPr>
              <w:pStyle w:val="TableHeading"/>
              <w:keepNext/>
              <w:keepLines/>
              <w:jc w:val="right"/>
              <w:rPr>
                <w:rFonts w:cs="Arial"/>
                <w:color w:val="FFFFFF" w:themeColor="background1"/>
              </w:rPr>
            </w:pPr>
            <w:r w:rsidRPr="00D92FF8">
              <w:rPr>
                <w:rFonts w:cs="Arial"/>
                <w:color w:val="FFFFFF" w:themeColor="background1"/>
              </w:rPr>
              <w:t>2014</w:t>
            </w:r>
          </w:p>
        </w:tc>
      </w:tr>
      <w:tr w:rsidR="00124637" w:rsidRPr="00124637" w14:paraId="60C72977" w14:textId="77777777" w:rsidTr="0022095A">
        <w:trPr>
          <w:trHeight w:val="164"/>
        </w:trPr>
        <w:tc>
          <w:tcPr>
            <w:tcW w:w="8376" w:type="dxa"/>
            <w:gridSpan w:val="3"/>
            <w:shd w:val="clear" w:color="auto" w:fill="F2F2F2" w:themeFill="background1" w:themeFillShade="F2"/>
            <w:tcMar>
              <w:top w:w="57" w:type="dxa"/>
              <w:left w:w="57" w:type="dxa"/>
              <w:bottom w:w="57" w:type="dxa"/>
              <w:right w:w="57" w:type="dxa"/>
            </w:tcMar>
            <w:vAlign w:val="center"/>
          </w:tcPr>
          <w:p w14:paraId="0102BADC" w14:textId="77777777" w:rsidR="00E36F68" w:rsidRPr="00124637" w:rsidRDefault="00E36F68" w:rsidP="004767D2">
            <w:pPr>
              <w:pStyle w:val="TableBody"/>
              <w:keepNext/>
              <w:keepLines/>
              <w:rPr>
                <w:b/>
              </w:rPr>
            </w:pPr>
            <w:r w:rsidRPr="00124637">
              <w:rPr>
                <w:b/>
              </w:rPr>
              <w:t>Total applications received</w:t>
            </w:r>
          </w:p>
        </w:tc>
      </w:tr>
      <w:tr w:rsidR="00124637" w:rsidRPr="00124637" w14:paraId="4166FA17" w14:textId="77777777" w:rsidTr="00DE1F14">
        <w:tc>
          <w:tcPr>
            <w:tcW w:w="6392" w:type="dxa"/>
            <w:tcMar>
              <w:top w:w="57" w:type="dxa"/>
              <w:left w:w="57" w:type="dxa"/>
              <w:bottom w:w="57" w:type="dxa"/>
              <w:right w:w="57" w:type="dxa"/>
            </w:tcMar>
          </w:tcPr>
          <w:p w14:paraId="538EA621" w14:textId="77777777" w:rsidR="00E36F68" w:rsidRPr="00124637" w:rsidRDefault="00E36F68" w:rsidP="004767D2">
            <w:pPr>
              <w:pStyle w:val="TableBody"/>
              <w:keepNext/>
              <w:keepLines/>
            </w:pPr>
            <w:r w:rsidRPr="00124637">
              <w:t>Marine Radio Operators Certificates of Proficiency (MROVP)</w:t>
            </w:r>
          </w:p>
        </w:tc>
        <w:tc>
          <w:tcPr>
            <w:tcW w:w="992" w:type="dxa"/>
            <w:tcMar>
              <w:top w:w="57" w:type="dxa"/>
              <w:left w:w="57" w:type="dxa"/>
              <w:bottom w:w="57" w:type="dxa"/>
              <w:right w:w="57" w:type="dxa"/>
            </w:tcMar>
          </w:tcPr>
          <w:p w14:paraId="22881482" w14:textId="77777777" w:rsidR="00E36F68" w:rsidRPr="00124637" w:rsidRDefault="00E36F68" w:rsidP="00DE1F14">
            <w:pPr>
              <w:pStyle w:val="TableBody"/>
              <w:keepNext/>
              <w:keepLines/>
              <w:jc w:val="right"/>
            </w:pPr>
            <w:r w:rsidRPr="00124637">
              <w:t>4,074</w:t>
            </w:r>
          </w:p>
        </w:tc>
        <w:tc>
          <w:tcPr>
            <w:tcW w:w="992" w:type="dxa"/>
            <w:tcMar>
              <w:top w:w="57" w:type="dxa"/>
              <w:left w:w="57" w:type="dxa"/>
              <w:bottom w:w="57" w:type="dxa"/>
              <w:right w:w="57" w:type="dxa"/>
            </w:tcMar>
          </w:tcPr>
          <w:p w14:paraId="598794DE" w14:textId="77777777" w:rsidR="00E36F68" w:rsidRPr="00124637" w:rsidRDefault="00E36F68" w:rsidP="004767D2">
            <w:pPr>
              <w:pStyle w:val="TableBody"/>
              <w:keepNext/>
              <w:keepLines/>
              <w:jc w:val="right"/>
            </w:pPr>
            <w:r w:rsidRPr="00124637">
              <w:t>3,815</w:t>
            </w:r>
          </w:p>
        </w:tc>
      </w:tr>
      <w:tr w:rsidR="00124637" w:rsidRPr="00124637" w14:paraId="587C82FB" w14:textId="77777777" w:rsidTr="00DE1F14">
        <w:tc>
          <w:tcPr>
            <w:tcW w:w="6392" w:type="dxa"/>
            <w:tcMar>
              <w:top w:w="57" w:type="dxa"/>
              <w:left w:w="57" w:type="dxa"/>
              <w:bottom w:w="57" w:type="dxa"/>
              <w:right w:w="57" w:type="dxa"/>
            </w:tcMar>
          </w:tcPr>
          <w:p w14:paraId="26951E59" w14:textId="77777777" w:rsidR="00E36F68" w:rsidRPr="00124637" w:rsidRDefault="00E36F68" w:rsidP="004767D2">
            <w:pPr>
              <w:pStyle w:val="TableBody"/>
              <w:keepNext/>
              <w:keepLines/>
            </w:pPr>
            <w:r w:rsidRPr="00124637">
              <w:t>Marine Radio Operators VHF Certificate of Proficiency (MROVCP)</w:t>
            </w:r>
          </w:p>
        </w:tc>
        <w:tc>
          <w:tcPr>
            <w:tcW w:w="992" w:type="dxa"/>
            <w:tcMar>
              <w:top w:w="57" w:type="dxa"/>
              <w:left w:w="57" w:type="dxa"/>
              <w:bottom w:w="57" w:type="dxa"/>
              <w:right w:w="57" w:type="dxa"/>
            </w:tcMar>
          </w:tcPr>
          <w:p w14:paraId="41B9F594" w14:textId="77777777" w:rsidR="00E36F68" w:rsidRPr="00124637" w:rsidRDefault="00E36F68" w:rsidP="00DE1F14">
            <w:pPr>
              <w:pStyle w:val="TableBody"/>
              <w:keepNext/>
              <w:keepLines/>
              <w:jc w:val="right"/>
            </w:pPr>
            <w:r w:rsidRPr="00124637">
              <w:t>1,537</w:t>
            </w:r>
          </w:p>
        </w:tc>
        <w:tc>
          <w:tcPr>
            <w:tcW w:w="992" w:type="dxa"/>
            <w:tcMar>
              <w:top w:w="57" w:type="dxa"/>
              <w:left w:w="57" w:type="dxa"/>
              <w:bottom w:w="57" w:type="dxa"/>
              <w:right w:w="57" w:type="dxa"/>
            </w:tcMar>
          </w:tcPr>
          <w:p w14:paraId="160EFFEA" w14:textId="77777777" w:rsidR="00E36F68" w:rsidRPr="00124637" w:rsidRDefault="00E36F68" w:rsidP="004767D2">
            <w:pPr>
              <w:pStyle w:val="TableBody"/>
              <w:keepNext/>
              <w:keepLines/>
              <w:jc w:val="right"/>
            </w:pPr>
            <w:r w:rsidRPr="00124637">
              <w:t>2,044</w:t>
            </w:r>
          </w:p>
        </w:tc>
      </w:tr>
      <w:tr w:rsidR="00124637" w:rsidRPr="00124637" w14:paraId="399C6F5B" w14:textId="77777777" w:rsidTr="00DE1F14">
        <w:tc>
          <w:tcPr>
            <w:tcW w:w="6392" w:type="dxa"/>
            <w:tcMar>
              <w:top w:w="57" w:type="dxa"/>
              <w:left w:w="57" w:type="dxa"/>
              <w:bottom w:w="57" w:type="dxa"/>
              <w:right w:w="57" w:type="dxa"/>
            </w:tcMar>
          </w:tcPr>
          <w:p w14:paraId="3BB9C242" w14:textId="77777777" w:rsidR="00E36F68" w:rsidRPr="00124637" w:rsidRDefault="00E36F68" w:rsidP="004767D2">
            <w:pPr>
              <w:pStyle w:val="TableBody"/>
              <w:keepNext/>
              <w:keepLines/>
            </w:pPr>
            <w:r w:rsidRPr="00124637">
              <w:t>Marine Satellite Communications Certificates</w:t>
            </w:r>
          </w:p>
        </w:tc>
        <w:tc>
          <w:tcPr>
            <w:tcW w:w="992" w:type="dxa"/>
            <w:tcMar>
              <w:top w:w="57" w:type="dxa"/>
              <w:left w:w="57" w:type="dxa"/>
              <w:bottom w:w="57" w:type="dxa"/>
              <w:right w:w="57" w:type="dxa"/>
            </w:tcMar>
          </w:tcPr>
          <w:p w14:paraId="605E271B" w14:textId="77777777" w:rsidR="00E36F68" w:rsidRPr="00124637" w:rsidRDefault="00E36F68" w:rsidP="00DE1F14">
            <w:pPr>
              <w:pStyle w:val="TableBody"/>
              <w:keepNext/>
              <w:keepLines/>
              <w:jc w:val="right"/>
            </w:pPr>
            <w:r w:rsidRPr="00124637">
              <w:t>40</w:t>
            </w:r>
          </w:p>
        </w:tc>
        <w:tc>
          <w:tcPr>
            <w:tcW w:w="992" w:type="dxa"/>
            <w:tcMar>
              <w:top w:w="57" w:type="dxa"/>
              <w:left w:w="57" w:type="dxa"/>
              <w:bottom w:w="57" w:type="dxa"/>
              <w:right w:w="57" w:type="dxa"/>
            </w:tcMar>
          </w:tcPr>
          <w:p w14:paraId="170F1B71" w14:textId="77777777" w:rsidR="00E36F68" w:rsidRPr="00124637" w:rsidRDefault="00E36F68" w:rsidP="004767D2">
            <w:pPr>
              <w:pStyle w:val="TableBody"/>
              <w:keepNext/>
              <w:keepLines/>
              <w:jc w:val="right"/>
            </w:pPr>
            <w:r w:rsidRPr="00124637">
              <w:t>33</w:t>
            </w:r>
          </w:p>
        </w:tc>
      </w:tr>
      <w:tr w:rsidR="00124637" w:rsidRPr="00124637" w14:paraId="6A395C0A" w14:textId="77777777" w:rsidTr="0022095A">
        <w:trPr>
          <w:trHeight w:val="156"/>
        </w:trPr>
        <w:tc>
          <w:tcPr>
            <w:tcW w:w="8376" w:type="dxa"/>
            <w:gridSpan w:val="3"/>
            <w:shd w:val="clear" w:color="auto" w:fill="F2F2F2" w:themeFill="background1" w:themeFillShade="F2"/>
            <w:tcMar>
              <w:top w:w="57" w:type="dxa"/>
              <w:left w:w="57" w:type="dxa"/>
              <w:bottom w:w="57" w:type="dxa"/>
              <w:right w:w="57" w:type="dxa"/>
            </w:tcMar>
            <w:vAlign w:val="center"/>
          </w:tcPr>
          <w:p w14:paraId="4168BD77" w14:textId="77777777" w:rsidR="00E36F68" w:rsidRPr="00124637" w:rsidRDefault="00E36F68" w:rsidP="004767D2">
            <w:pPr>
              <w:pStyle w:val="TableBody"/>
              <w:keepNext/>
              <w:keepLines/>
              <w:rPr>
                <w:b/>
              </w:rPr>
            </w:pPr>
            <w:r w:rsidRPr="00124637">
              <w:rPr>
                <w:b/>
              </w:rPr>
              <w:t>Total handbook sales</w:t>
            </w:r>
          </w:p>
        </w:tc>
      </w:tr>
      <w:tr w:rsidR="00124637" w:rsidRPr="00124637" w14:paraId="06210A07" w14:textId="77777777" w:rsidTr="00DE1F14">
        <w:tc>
          <w:tcPr>
            <w:tcW w:w="6392" w:type="dxa"/>
            <w:tcMar>
              <w:top w:w="57" w:type="dxa"/>
              <w:left w:w="57" w:type="dxa"/>
              <w:bottom w:w="57" w:type="dxa"/>
              <w:right w:w="57" w:type="dxa"/>
            </w:tcMar>
          </w:tcPr>
          <w:p w14:paraId="358CD55C" w14:textId="77777777" w:rsidR="00E36F68" w:rsidRPr="00124637" w:rsidRDefault="00E36F68" w:rsidP="00800C4D">
            <w:pPr>
              <w:pStyle w:val="TableBody"/>
              <w:rPr>
                <w:lang w:eastAsia="en-US"/>
              </w:rPr>
            </w:pPr>
            <w:r w:rsidRPr="00124637">
              <w:t>Marine Radio Operators Handbooks</w:t>
            </w:r>
          </w:p>
        </w:tc>
        <w:tc>
          <w:tcPr>
            <w:tcW w:w="992" w:type="dxa"/>
            <w:tcMar>
              <w:top w:w="57" w:type="dxa"/>
              <w:left w:w="57" w:type="dxa"/>
              <w:bottom w:w="57" w:type="dxa"/>
              <w:right w:w="57" w:type="dxa"/>
            </w:tcMar>
          </w:tcPr>
          <w:p w14:paraId="76E1E935" w14:textId="77777777" w:rsidR="00E36F68" w:rsidRPr="00124637" w:rsidRDefault="00E36F68" w:rsidP="00DE1F14">
            <w:pPr>
              <w:pStyle w:val="TableBody"/>
              <w:jc w:val="right"/>
              <w:rPr>
                <w:lang w:eastAsia="en-US"/>
              </w:rPr>
            </w:pPr>
            <w:r w:rsidRPr="00124637">
              <w:t>2,878</w:t>
            </w:r>
          </w:p>
        </w:tc>
        <w:tc>
          <w:tcPr>
            <w:tcW w:w="992" w:type="dxa"/>
            <w:tcMar>
              <w:top w:w="57" w:type="dxa"/>
              <w:left w:w="57" w:type="dxa"/>
              <w:bottom w:w="57" w:type="dxa"/>
              <w:right w:w="57" w:type="dxa"/>
            </w:tcMar>
          </w:tcPr>
          <w:p w14:paraId="53BC9EB3" w14:textId="77777777" w:rsidR="00E36F68" w:rsidRPr="00124637" w:rsidRDefault="00E36F68" w:rsidP="00E36F68">
            <w:pPr>
              <w:pStyle w:val="TableBody"/>
              <w:jc w:val="right"/>
            </w:pPr>
            <w:r w:rsidRPr="00124637">
              <w:t>3,616</w:t>
            </w:r>
          </w:p>
        </w:tc>
      </w:tr>
      <w:tr w:rsidR="00124637" w:rsidRPr="00124637" w14:paraId="7C88C265" w14:textId="77777777" w:rsidTr="00DE1F14">
        <w:tc>
          <w:tcPr>
            <w:tcW w:w="6392" w:type="dxa"/>
            <w:tcMar>
              <w:top w:w="57" w:type="dxa"/>
              <w:left w:w="57" w:type="dxa"/>
              <w:bottom w:w="57" w:type="dxa"/>
              <w:right w:w="57" w:type="dxa"/>
            </w:tcMar>
          </w:tcPr>
          <w:p w14:paraId="3C8A6F95" w14:textId="77777777" w:rsidR="00E36F68" w:rsidRPr="00124637" w:rsidRDefault="00E36F68" w:rsidP="00800C4D">
            <w:pPr>
              <w:pStyle w:val="TableBody"/>
              <w:rPr>
                <w:lang w:eastAsia="en-US"/>
              </w:rPr>
            </w:pPr>
            <w:r w:rsidRPr="00124637">
              <w:t>Marine Radio Operators VHF Handbooks</w:t>
            </w:r>
          </w:p>
        </w:tc>
        <w:tc>
          <w:tcPr>
            <w:tcW w:w="992" w:type="dxa"/>
            <w:tcMar>
              <w:top w:w="57" w:type="dxa"/>
              <w:left w:w="57" w:type="dxa"/>
              <w:bottom w:w="57" w:type="dxa"/>
              <w:right w:w="57" w:type="dxa"/>
            </w:tcMar>
          </w:tcPr>
          <w:p w14:paraId="25E77415" w14:textId="77777777" w:rsidR="00E36F68" w:rsidRPr="00124637" w:rsidRDefault="00E36F68" w:rsidP="00DE1F14">
            <w:pPr>
              <w:pStyle w:val="TableBody"/>
              <w:jc w:val="right"/>
              <w:rPr>
                <w:lang w:eastAsia="en-US"/>
              </w:rPr>
            </w:pPr>
            <w:r w:rsidRPr="00124637">
              <w:t>2,122</w:t>
            </w:r>
          </w:p>
        </w:tc>
        <w:tc>
          <w:tcPr>
            <w:tcW w:w="992" w:type="dxa"/>
            <w:tcMar>
              <w:top w:w="57" w:type="dxa"/>
              <w:left w:w="57" w:type="dxa"/>
              <w:bottom w:w="57" w:type="dxa"/>
              <w:right w:w="57" w:type="dxa"/>
            </w:tcMar>
          </w:tcPr>
          <w:p w14:paraId="3B5D1203" w14:textId="77777777" w:rsidR="00E36F68" w:rsidRPr="00124637" w:rsidRDefault="00E36F68" w:rsidP="00E36F68">
            <w:pPr>
              <w:pStyle w:val="TableBody"/>
              <w:jc w:val="right"/>
            </w:pPr>
            <w:r w:rsidRPr="00124637">
              <w:t>2,524</w:t>
            </w:r>
          </w:p>
        </w:tc>
      </w:tr>
    </w:tbl>
    <w:p w14:paraId="25969D92" w14:textId="77777777" w:rsidR="00E36F68" w:rsidRPr="00124637" w:rsidRDefault="00E36F68" w:rsidP="00E36F68">
      <w:pPr>
        <w:pStyle w:val="ACMANotes"/>
      </w:pPr>
      <w:r w:rsidRPr="00124637">
        <w:t>Source: Office of Maritime Communications Annual Performance Report 1 January to 31 December 2014.</w:t>
      </w:r>
    </w:p>
    <w:p w14:paraId="1E27ADB4" w14:textId="77777777" w:rsidR="006744F6" w:rsidRPr="00124637" w:rsidRDefault="003F557E" w:rsidP="00E36F68">
      <w:pPr>
        <w:pStyle w:val="Heading3"/>
        <w:spacing w:before="240"/>
      </w:pPr>
      <w:bookmarkStart w:id="166" w:name="marine_2"/>
      <w:bookmarkStart w:id="167" w:name="_Toc419122291"/>
      <w:bookmarkStart w:id="168" w:name="_Toc433703325"/>
      <w:bookmarkEnd w:id="166"/>
      <w:r w:rsidRPr="00124637">
        <w:t>Review of marine radio operator qualifications for recreational boaters</w:t>
      </w:r>
      <w:bookmarkEnd w:id="167"/>
      <w:bookmarkEnd w:id="168"/>
    </w:p>
    <w:p w14:paraId="733F86B0" w14:textId="77777777" w:rsidR="006744F6" w:rsidRPr="00124637" w:rsidRDefault="006744F6" w:rsidP="006744F6">
      <w:pPr>
        <w:spacing w:after="80"/>
        <w:rPr>
          <w:rFonts w:eastAsiaTheme="minorHAnsi" w:cs="Arial"/>
          <w:szCs w:val="20"/>
          <w:lang w:eastAsia="en-US"/>
        </w:rPr>
      </w:pPr>
      <w:r w:rsidRPr="00124637">
        <w:rPr>
          <w:rFonts w:cs="Arial"/>
        </w:rPr>
        <w:t xml:space="preserve">In October 2012, the ACMA published the outcomes of its review of regulatory arrangements for VHF marine radio operator qualifications for recreational boaters. Outcomes were that the ACMA would: </w:t>
      </w:r>
    </w:p>
    <w:p w14:paraId="671F05E5" w14:textId="77777777" w:rsidR="006744F6" w:rsidRPr="00124637" w:rsidRDefault="006744F6" w:rsidP="006744F6">
      <w:pPr>
        <w:pStyle w:val="ListBullet"/>
        <w:rPr>
          <w:rFonts w:eastAsiaTheme="minorHAnsi" w:cs="Arial"/>
          <w:lang w:eastAsia="en-US"/>
        </w:rPr>
      </w:pPr>
      <w:r w:rsidRPr="00124637">
        <w:rPr>
          <w:rFonts w:eastAsiaTheme="minorHAnsi" w:cs="Arial"/>
          <w:lang w:eastAsia="en-US"/>
        </w:rPr>
        <w:t xml:space="preserve">Coordinate the development and implementation of the Australian Waters Qualification (AWQ), which will become the new mandatory qualification for recreational boaters using VHF marine radio channels within Australian territorial waters. </w:t>
      </w:r>
    </w:p>
    <w:p w14:paraId="2C321B0D" w14:textId="77777777" w:rsidR="006744F6" w:rsidRPr="00124637" w:rsidRDefault="006744F6" w:rsidP="0075052F">
      <w:pPr>
        <w:pStyle w:val="ListBulletLast"/>
        <w:rPr>
          <w:rFonts w:eastAsiaTheme="minorHAnsi"/>
          <w:lang w:eastAsia="en-US"/>
        </w:rPr>
      </w:pPr>
      <w:r w:rsidRPr="00124637">
        <w:rPr>
          <w:rFonts w:eastAsiaTheme="minorHAnsi"/>
          <w:lang w:eastAsia="en-US"/>
        </w:rPr>
        <w:t>Align its remaining marine radio certificate of proficiency framework with the Maritime Training Package administered by the Transport and Logistics Industry Skills Council (TLISC) in the longer term.</w:t>
      </w:r>
    </w:p>
    <w:p w14:paraId="19449B0A" w14:textId="77777777" w:rsidR="00214FC4" w:rsidRPr="00124637" w:rsidRDefault="00214FC4" w:rsidP="00214FC4">
      <w:pPr>
        <w:rPr>
          <w:lang w:eastAsia="en-US"/>
        </w:rPr>
      </w:pPr>
      <w:r w:rsidRPr="00124637">
        <w:t>The ACMA has facilitated the development of the proposed AWQ syllabus with extensive input from interested marine safety and training stakeholders. The TLISC included the AWQ in the Maritime Training Package on 27 February 2015. The AWQ is also expected to be included in the Radiocommunications (Maritime Ship Station – 27 MHz and VHF) Class Licence in July 2015.</w:t>
      </w:r>
    </w:p>
    <w:p w14:paraId="77FC95E3" w14:textId="77777777" w:rsidR="00D92FF8" w:rsidRPr="00124637" w:rsidRDefault="00D92FF8" w:rsidP="00DE1F7F">
      <w:pPr>
        <w:pStyle w:val="Heading3"/>
      </w:pPr>
      <w:bookmarkStart w:id="169" w:name="marine_3"/>
      <w:bookmarkStart w:id="170" w:name="_Toc419122292"/>
      <w:bookmarkStart w:id="171" w:name="_Toc433703326"/>
      <w:bookmarkEnd w:id="169"/>
      <w:r w:rsidRPr="00124637">
        <w:t>Amateur radio operator examination services</w:t>
      </w:r>
      <w:bookmarkEnd w:id="170"/>
      <w:bookmarkEnd w:id="171"/>
    </w:p>
    <w:p w14:paraId="300F1BB4" w14:textId="77777777" w:rsidR="00B06EDA" w:rsidRPr="00124637" w:rsidRDefault="00B06EDA" w:rsidP="00B06EDA">
      <w:pPr>
        <w:rPr>
          <w:rFonts w:cs="Arial"/>
        </w:rPr>
      </w:pPr>
      <w:r w:rsidRPr="00124637">
        <w:rPr>
          <w:rFonts w:cs="Arial"/>
        </w:rPr>
        <w:t xml:space="preserve">The Wireless Institute of Australia (WIA) has provided examination services to the amateur radio community on behalf of the Australian Government since 1991. The WIA also issues amateur certificates of proficiency, administers amateur call signs and makes recommendations to the ACMA about their allocation. </w:t>
      </w:r>
    </w:p>
    <w:p w14:paraId="4EA69424" w14:textId="77777777" w:rsidR="00B06EDA" w:rsidRPr="00124637" w:rsidRDefault="00B06EDA" w:rsidP="00B06EDA">
      <w:pPr>
        <w:rPr>
          <w:rFonts w:cs="Arial"/>
        </w:rPr>
      </w:pPr>
      <w:r w:rsidRPr="00124637">
        <w:rPr>
          <w:rFonts w:cs="Arial"/>
        </w:rPr>
        <w:t xml:space="preserve">The ACMA is responsible for the licensing of amateur transmitters. During 2014, the WIA conducted 884 amateur examinations. Table 16 details the number of amateur certificates of proficiency issued based on the results of these examinations. Some amateurs may have needed to successfully undertake more than one examination to qualify for the relevant certificate of proficiency. </w:t>
      </w:r>
    </w:p>
    <w:p w14:paraId="678E1B6B" w14:textId="77777777" w:rsidR="00B06EDA" w:rsidRPr="00124637" w:rsidRDefault="00B06EDA" w:rsidP="00B06EDA">
      <w:pPr>
        <w:rPr>
          <w:rFonts w:cs="Arial"/>
        </w:rPr>
      </w:pPr>
      <w:r w:rsidRPr="00124637">
        <w:rPr>
          <w:rFonts w:cs="Arial"/>
        </w:rPr>
        <w:t>The WIA also made 1,065 recommendations on call sign allocation. The ACMA allocated 884 call signs based on these recommendations and approved 189 call sign changes.</w:t>
      </w:r>
    </w:p>
    <w:p w14:paraId="51BEB8C1" w14:textId="77777777" w:rsidR="00E36F68" w:rsidRPr="00124637" w:rsidRDefault="00E36F68" w:rsidP="00124637">
      <w:pPr>
        <w:pStyle w:val="Caption"/>
        <w:keepNext/>
        <w:spacing w:after="120"/>
        <w:rPr>
          <w:rFonts w:cs="Arial"/>
          <w:color w:val="auto"/>
        </w:rPr>
      </w:pPr>
      <w:r w:rsidRPr="00124637">
        <w:rPr>
          <w:color w:val="auto"/>
        </w:rPr>
        <w:lastRenderedPageBreak/>
        <w:t>Amateur certificates of proficiency issued, 2013</w:t>
      </w:r>
      <w:r w:rsidR="00B06EDA" w:rsidRPr="00124637">
        <w:rPr>
          <w:color w:val="auto"/>
        </w:rPr>
        <w:t>–14</w:t>
      </w:r>
      <w:r w:rsidRPr="00124637">
        <w:rPr>
          <w:color w:val="auto"/>
        </w:rPr>
        <w:t xml:space="preserve"> and 2014</w:t>
      </w:r>
      <w:r w:rsidR="00B06EDA" w:rsidRPr="00124637">
        <w:rPr>
          <w:color w:val="auto"/>
        </w:rPr>
        <w:t>–15</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268"/>
        <w:gridCol w:w="2127"/>
      </w:tblGrid>
      <w:tr w:rsidR="00E36F68" w:rsidRPr="001E2783" w14:paraId="20C45738" w14:textId="77777777" w:rsidTr="00DE1F14">
        <w:trPr>
          <w:trHeight w:val="296"/>
        </w:trPr>
        <w:tc>
          <w:tcPr>
            <w:tcW w:w="2830" w:type="dxa"/>
            <w:vMerge w:val="restart"/>
            <w:shd w:val="clear" w:color="auto" w:fill="404040" w:themeFill="text1" w:themeFillTint="BF"/>
            <w:tcMar>
              <w:top w:w="57" w:type="dxa"/>
              <w:left w:w="57" w:type="dxa"/>
              <w:bottom w:w="57" w:type="dxa"/>
              <w:right w:w="57" w:type="dxa"/>
            </w:tcMar>
            <w:vAlign w:val="center"/>
          </w:tcPr>
          <w:p w14:paraId="1CC298A3" w14:textId="77777777" w:rsidR="00E36F68" w:rsidRPr="004E4548" w:rsidRDefault="00E36F68" w:rsidP="00124637">
            <w:pPr>
              <w:pStyle w:val="TableHeading"/>
              <w:keepNext/>
              <w:ind w:left="29"/>
              <w:rPr>
                <w:rFonts w:cs="Arial"/>
                <w:color w:val="FFFFFF" w:themeColor="background1"/>
              </w:rPr>
            </w:pPr>
            <w:r w:rsidRPr="004E4548">
              <w:rPr>
                <w:rFonts w:cs="Arial"/>
                <w:color w:val="FFFFFF" w:themeColor="background1"/>
              </w:rPr>
              <w:t>Certificate level</w:t>
            </w:r>
          </w:p>
        </w:tc>
        <w:tc>
          <w:tcPr>
            <w:tcW w:w="4395" w:type="dxa"/>
            <w:gridSpan w:val="2"/>
            <w:shd w:val="clear" w:color="auto" w:fill="404040" w:themeFill="text1" w:themeFillTint="BF"/>
            <w:tcMar>
              <w:top w:w="57" w:type="dxa"/>
              <w:left w:w="57" w:type="dxa"/>
              <w:bottom w:w="57" w:type="dxa"/>
              <w:right w:w="57" w:type="dxa"/>
            </w:tcMar>
          </w:tcPr>
          <w:p w14:paraId="7066547E" w14:textId="77777777" w:rsidR="00E36F68" w:rsidRPr="004E4548" w:rsidRDefault="00E36F68" w:rsidP="00124637">
            <w:pPr>
              <w:pStyle w:val="TableHeading"/>
              <w:keepNext/>
              <w:ind w:left="61"/>
              <w:jc w:val="center"/>
              <w:rPr>
                <w:rFonts w:cs="Arial"/>
                <w:color w:val="FFFFFF" w:themeColor="background1"/>
              </w:rPr>
            </w:pPr>
            <w:r w:rsidRPr="004E4548">
              <w:rPr>
                <w:rFonts w:cs="Arial"/>
                <w:color w:val="FFFFFF" w:themeColor="background1"/>
              </w:rPr>
              <w:t>Certificates issued</w:t>
            </w:r>
          </w:p>
        </w:tc>
      </w:tr>
      <w:tr w:rsidR="008F6EB5" w:rsidRPr="001E2783" w14:paraId="7EC60A82" w14:textId="77777777" w:rsidTr="00DE1F14">
        <w:trPr>
          <w:trHeight w:val="257"/>
        </w:trPr>
        <w:tc>
          <w:tcPr>
            <w:tcW w:w="2830" w:type="dxa"/>
            <w:vMerge/>
            <w:shd w:val="clear" w:color="auto" w:fill="404040" w:themeFill="text1" w:themeFillTint="BF"/>
            <w:tcMar>
              <w:top w:w="57" w:type="dxa"/>
              <w:left w:w="57" w:type="dxa"/>
              <w:bottom w:w="57" w:type="dxa"/>
              <w:right w:w="57" w:type="dxa"/>
            </w:tcMar>
          </w:tcPr>
          <w:p w14:paraId="2752B31F" w14:textId="77777777" w:rsidR="008F6EB5" w:rsidRPr="004E4548" w:rsidRDefault="008F6EB5" w:rsidP="00124637">
            <w:pPr>
              <w:pStyle w:val="TableHeading"/>
              <w:keepNext/>
              <w:ind w:left="29"/>
              <w:rPr>
                <w:rFonts w:cs="Arial"/>
                <w:color w:val="FFFFFF" w:themeColor="background1"/>
              </w:rPr>
            </w:pPr>
          </w:p>
        </w:tc>
        <w:tc>
          <w:tcPr>
            <w:tcW w:w="2268" w:type="dxa"/>
            <w:shd w:val="clear" w:color="auto" w:fill="404040" w:themeFill="text1" w:themeFillTint="BF"/>
            <w:tcMar>
              <w:top w:w="57" w:type="dxa"/>
              <w:left w:w="57" w:type="dxa"/>
              <w:bottom w:w="57" w:type="dxa"/>
              <w:right w:w="57" w:type="dxa"/>
            </w:tcMar>
          </w:tcPr>
          <w:p w14:paraId="2AAE7372" w14:textId="77777777" w:rsidR="008F6EB5" w:rsidRPr="004E4548" w:rsidRDefault="008F6EB5" w:rsidP="00124637">
            <w:pPr>
              <w:pStyle w:val="TableHeading"/>
              <w:keepNext/>
              <w:ind w:left="141"/>
              <w:jc w:val="right"/>
              <w:rPr>
                <w:rFonts w:cs="Arial"/>
                <w:color w:val="FFFFFF" w:themeColor="background1"/>
              </w:rPr>
            </w:pPr>
            <w:r w:rsidRPr="004E4548">
              <w:rPr>
                <w:rFonts w:cs="Arial"/>
                <w:color w:val="FFFFFF" w:themeColor="background1"/>
              </w:rPr>
              <w:t>201</w:t>
            </w:r>
            <w:r>
              <w:rPr>
                <w:rFonts w:cs="Arial"/>
                <w:color w:val="FFFFFF" w:themeColor="background1"/>
              </w:rPr>
              <w:t>3</w:t>
            </w:r>
            <w:r w:rsidR="00B06EDA">
              <w:rPr>
                <w:rFonts w:cs="Arial"/>
                <w:color w:val="FFFFFF" w:themeColor="background1"/>
              </w:rPr>
              <w:t>–14</w:t>
            </w:r>
          </w:p>
        </w:tc>
        <w:tc>
          <w:tcPr>
            <w:tcW w:w="2127" w:type="dxa"/>
            <w:shd w:val="clear" w:color="auto" w:fill="404040" w:themeFill="text1" w:themeFillTint="BF"/>
            <w:tcMar>
              <w:top w:w="57" w:type="dxa"/>
              <w:left w:w="57" w:type="dxa"/>
              <w:bottom w:w="57" w:type="dxa"/>
              <w:right w:w="57" w:type="dxa"/>
            </w:tcMar>
          </w:tcPr>
          <w:p w14:paraId="018FA553" w14:textId="77777777" w:rsidR="008F6EB5" w:rsidRPr="004E4548" w:rsidRDefault="008F6EB5" w:rsidP="00124637">
            <w:pPr>
              <w:pStyle w:val="TableHeading"/>
              <w:keepNext/>
              <w:ind w:left="-1"/>
              <w:jc w:val="right"/>
              <w:rPr>
                <w:rFonts w:cs="Arial"/>
                <w:color w:val="FFFFFF" w:themeColor="background1"/>
              </w:rPr>
            </w:pPr>
            <w:r>
              <w:rPr>
                <w:rFonts w:cs="Arial"/>
                <w:color w:val="FFFFFF" w:themeColor="background1"/>
              </w:rPr>
              <w:t>2014</w:t>
            </w:r>
            <w:r w:rsidR="00B06EDA">
              <w:rPr>
                <w:rFonts w:cs="Arial"/>
                <w:color w:val="FFFFFF" w:themeColor="background1"/>
              </w:rPr>
              <w:t>–15</w:t>
            </w:r>
          </w:p>
        </w:tc>
      </w:tr>
      <w:tr w:rsidR="00124637" w:rsidRPr="00124637" w14:paraId="14C87761" w14:textId="77777777" w:rsidTr="00DE1F14">
        <w:tc>
          <w:tcPr>
            <w:tcW w:w="2830" w:type="dxa"/>
            <w:tcMar>
              <w:top w:w="57" w:type="dxa"/>
              <w:left w:w="57" w:type="dxa"/>
              <w:bottom w:w="57" w:type="dxa"/>
              <w:right w:w="57" w:type="dxa"/>
            </w:tcMar>
          </w:tcPr>
          <w:p w14:paraId="0E8E27A0" w14:textId="77777777" w:rsidR="00B06EDA" w:rsidRPr="00124637" w:rsidRDefault="00B06EDA" w:rsidP="00124637">
            <w:pPr>
              <w:pStyle w:val="TableBody"/>
              <w:keepNext/>
            </w:pPr>
            <w:r w:rsidRPr="00124637">
              <w:t>Foundation</w:t>
            </w:r>
          </w:p>
        </w:tc>
        <w:tc>
          <w:tcPr>
            <w:tcW w:w="2268" w:type="dxa"/>
            <w:tcMar>
              <w:top w:w="57" w:type="dxa"/>
              <w:left w:w="57" w:type="dxa"/>
              <w:bottom w:w="57" w:type="dxa"/>
              <w:right w:w="57" w:type="dxa"/>
            </w:tcMar>
          </w:tcPr>
          <w:p w14:paraId="7E92D0A8" w14:textId="77777777" w:rsidR="00B06EDA" w:rsidRPr="00124637" w:rsidRDefault="00B06EDA" w:rsidP="00124637">
            <w:pPr>
              <w:pStyle w:val="TableBody"/>
              <w:keepNext/>
              <w:jc w:val="right"/>
            </w:pPr>
            <w:r w:rsidRPr="00124637">
              <w:t>366</w:t>
            </w:r>
          </w:p>
        </w:tc>
        <w:tc>
          <w:tcPr>
            <w:tcW w:w="2127" w:type="dxa"/>
            <w:tcMar>
              <w:top w:w="57" w:type="dxa"/>
              <w:left w:w="57" w:type="dxa"/>
              <w:bottom w:w="57" w:type="dxa"/>
              <w:right w:w="57" w:type="dxa"/>
            </w:tcMar>
          </w:tcPr>
          <w:p w14:paraId="615BAB53" w14:textId="77777777" w:rsidR="00B06EDA" w:rsidRPr="00124637" w:rsidRDefault="00B06EDA" w:rsidP="00124637">
            <w:pPr>
              <w:pStyle w:val="TableBody"/>
              <w:keepNext/>
              <w:jc w:val="right"/>
            </w:pPr>
            <w:r w:rsidRPr="00124637">
              <w:t>395</w:t>
            </w:r>
          </w:p>
        </w:tc>
      </w:tr>
      <w:tr w:rsidR="00124637" w:rsidRPr="00124637" w14:paraId="2191BEEA" w14:textId="77777777" w:rsidTr="00DE1F14">
        <w:tc>
          <w:tcPr>
            <w:tcW w:w="2830" w:type="dxa"/>
            <w:tcMar>
              <w:top w:w="57" w:type="dxa"/>
              <w:left w:w="57" w:type="dxa"/>
              <w:bottom w:w="57" w:type="dxa"/>
              <w:right w:w="57" w:type="dxa"/>
            </w:tcMar>
          </w:tcPr>
          <w:p w14:paraId="6998911D" w14:textId="77777777" w:rsidR="00B06EDA" w:rsidRPr="00124637" w:rsidRDefault="00B06EDA" w:rsidP="00124637">
            <w:pPr>
              <w:pStyle w:val="TableBody"/>
              <w:keepNext/>
            </w:pPr>
            <w:r w:rsidRPr="00124637">
              <w:t>Standard</w:t>
            </w:r>
          </w:p>
        </w:tc>
        <w:tc>
          <w:tcPr>
            <w:tcW w:w="2268" w:type="dxa"/>
            <w:tcMar>
              <w:top w:w="57" w:type="dxa"/>
              <w:left w:w="57" w:type="dxa"/>
              <w:bottom w:w="57" w:type="dxa"/>
              <w:right w:w="57" w:type="dxa"/>
            </w:tcMar>
          </w:tcPr>
          <w:p w14:paraId="1D03ED50" w14:textId="77777777" w:rsidR="00B06EDA" w:rsidRPr="00124637" w:rsidRDefault="00B06EDA" w:rsidP="00124637">
            <w:pPr>
              <w:pStyle w:val="TableBody"/>
              <w:keepNext/>
              <w:jc w:val="right"/>
            </w:pPr>
            <w:r w:rsidRPr="00124637">
              <w:t>115</w:t>
            </w:r>
          </w:p>
        </w:tc>
        <w:tc>
          <w:tcPr>
            <w:tcW w:w="2127" w:type="dxa"/>
            <w:tcMar>
              <w:top w:w="57" w:type="dxa"/>
              <w:left w:w="57" w:type="dxa"/>
              <w:bottom w:w="57" w:type="dxa"/>
              <w:right w:w="57" w:type="dxa"/>
            </w:tcMar>
          </w:tcPr>
          <w:p w14:paraId="3AB3DF7E" w14:textId="77777777" w:rsidR="00B06EDA" w:rsidRPr="00124637" w:rsidRDefault="00B06EDA" w:rsidP="00124637">
            <w:pPr>
              <w:pStyle w:val="TableBody"/>
              <w:keepNext/>
              <w:jc w:val="right"/>
            </w:pPr>
            <w:r w:rsidRPr="00124637">
              <w:t>108</w:t>
            </w:r>
          </w:p>
        </w:tc>
      </w:tr>
      <w:tr w:rsidR="00124637" w:rsidRPr="00124637" w14:paraId="20A85539" w14:textId="77777777" w:rsidTr="00DE1F14">
        <w:tc>
          <w:tcPr>
            <w:tcW w:w="2830" w:type="dxa"/>
            <w:tcMar>
              <w:top w:w="57" w:type="dxa"/>
              <w:left w:w="57" w:type="dxa"/>
              <w:bottom w:w="57" w:type="dxa"/>
              <w:right w:w="57" w:type="dxa"/>
            </w:tcMar>
          </w:tcPr>
          <w:p w14:paraId="6F55DE30" w14:textId="77777777" w:rsidR="00B06EDA" w:rsidRPr="00124637" w:rsidRDefault="00B06EDA" w:rsidP="00124637">
            <w:pPr>
              <w:pStyle w:val="TableBody"/>
              <w:keepNext/>
            </w:pPr>
            <w:r w:rsidRPr="00124637">
              <w:t>Advanced</w:t>
            </w:r>
          </w:p>
        </w:tc>
        <w:tc>
          <w:tcPr>
            <w:tcW w:w="2268" w:type="dxa"/>
            <w:tcMar>
              <w:top w:w="57" w:type="dxa"/>
              <w:left w:w="57" w:type="dxa"/>
              <w:bottom w:w="57" w:type="dxa"/>
              <w:right w:w="57" w:type="dxa"/>
            </w:tcMar>
          </w:tcPr>
          <w:p w14:paraId="4C39C6B5" w14:textId="77777777" w:rsidR="00B06EDA" w:rsidRPr="00124637" w:rsidRDefault="00B06EDA" w:rsidP="00124637">
            <w:pPr>
              <w:pStyle w:val="TableBody"/>
              <w:keepNext/>
              <w:jc w:val="right"/>
            </w:pPr>
            <w:r w:rsidRPr="00124637">
              <w:t>116</w:t>
            </w:r>
          </w:p>
        </w:tc>
        <w:tc>
          <w:tcPr>
            <w:tcW w:w="2127" w:type="dxa"/>
            <w:tcMar>
              <w:top w:w="57" w:type="dxa"/>
              <w:left w:w="57" w:type="dxa"/>
              <w:bottom w:w="57" w:type="dxa"/>
              <w:right w:w="57" w:type="dxa"/>
            </w:tcMar>
          </w:tcPr>
          <w:p w14:paraId="5F88DD8D" w14:textId="77777777" w:rsidR="00B06EDA" w:rsidRPr="00124637" w:rsidRDefault="00B06EDA" w:rsidP="00124637">
            <w:pPr>
              <w:pStyle w:val="TableBody"/>
              <w:keepNext/>
              <w:jc w:val="right"/>
            </w:pPr>
            <w:r w:rsidRPr="00124637">
              <w:t>89</w:t>
            </w:r>
          </w:p>
        </w:tc>
      </w:tr>
      <w:tr w:rsidR="00124637" w:rsidRPr="00124637" w14:paraId="74FCB713" w14:textId="77777777" w:rsidTr="0022095A">
        <w:tc>
          <w:tcPr>
            <w:tcW w:w="2830" w:type="dxa"/>
            <w:shd w:val="clear" w:color="auto" w:fill="F2F2F2" w:themeFill="background1" w:themeFillShade="F2"/>
            <w:tcMar>
              <w:top w:w="57" w:type="dxa"/>
              <w:left w:w="57" w:type="dxa"/>
              <w:bottom w:w="57" w:type="dxa"/>
              <w:right w:w="57" w:type="dxa"/>
            </w:tcMar>
          </w:tcPr>
          <w:p w14:paraId="74DA2DDE" w14:textId="77777777" w:rsidR="00B06EDA" w:rsidRPr="00124637" w:rsidRDefault="00B06EDA" w:rsidP="00124637">
            <w:pPr>
              <w:pStyle w:val="TableBody"/>
              <w:keepNext/>
              <w:rPr>
                <w:b/>
              </w:rPr>
            </w:pPr>
            <w:r w:rsidRPr="00124637">
              <w:rPr>
                <w:b/>
              </w:rPr>
              <w:t>Total</w:t>
            </w:r>
          </w:p>
        </w:tc>
        <w:tc>
          <w:tcPr>
            <w:tcW w:w="2268" w:type="dxa"/>
            <w:shd w:val="clear" w:color="auto" w:fill="F2F2F2" w:themeFill="background1" w:themeFillShade="F2"/>
            <w:tcMar>
              <w:top w:w="57" w:type="dxa"/>
              <w:left w:w="57" w:type="dxa"/>
              <w:bottom w:w="57" w:type="dxa"/>
              <w:right w:w="57" w:type="dxa"/>
            </w:tcMar>
          </w:tcPr>
          <w:p w14:paraId="711E8665" w14:textId="77777777" w:rsidR="00B06EDA" w:rsidRPr="00124637" w:rsidRDefault="00B06EDA" w:rsidP="00124637">
            <w:pPr>
              <w:pStyle w:val="TableBody"/>
              <w:keepNext/>
              <w:jc w:val="right"/>
              <w:rPr>
                <w:b/>
              </w:rPr>
            </w:pPr>
            <w:r w:rsidRPr="00124637">
              <w:rPr>
                <w:b/>
              </w:rPr>
              <w:t>597</w:t>
            </w:r>
          </w:p>
        </w:tc>
        <w:tc>
          <w:tcPr>
            <w:tcW w:w="2127" w:type="dxa"/>
            <w:shd w:val="clear" w:color="auto" w:fill="F2F2F2" w:themeFill="background1" w:themeFillShade="F2"/>
            <w:tcMar>
              <w:top w:w="57" w:type="dxa"/>
              <w:left w:w="57" w:type="dxa"/>
              <w:bottom w:w="57" w:type="dxa"/>
              <w:right w:w="57" w:type="dxa"/>
            </w:tcMar>
          </w:tcPr>
          <w:p w14:paraId="3B16CE7F" w14:textId="77777777" w:rsidR="00B06EDA" w:rsidRPr="00124637" w:rsidRDefault="00B06EDA" w:rsidP="00124637">
            <w:pPr>
              <w:pStyle w:val="TableBody"/>
              <w:keepNext/>
              <w:jc w:val="right"/>
              <w:rPr>
                <w:b/>
              </w:rPr>
            </w:pPr>
            <w:r w:rsidRPr="00124637">
              <w:rPr>
                <w:b/>
              </w:rPr>
              <w:t>592</w:t>
            </w:r>
          </w:p>
        </w:tc>
      </w:tr>
    </w:tbl>
    <w:p w14:paraId="1E08450C" w14:textId="77777777" w:rsidR="00D92FF8" w:rsidRPr="00124637" w:rsidRDefault="00E36F68" w:rsidP="00E36F68">
      <w:pPr>
        <w:pStyle w:val="ACMANotes"/>
      </w:pPr>
      <w:r w:rsidRPr="00124637">
        <w:t xml:space="preserve">Source: </w:t>
      </w:r>
      <w:r w:rsidR="00460E56" w:rsidRPr="00124637">
        <w:t>Wireless Institute of Australia Annual Performance Report, June 2015.</w:t>
      </w:r>
    </w:p>
    <w:p w14:paraId="3E4D9BA0" w14:textId="77777777" w:rsidR="006744F6" w:rsidRPr="00124637" w:rsidRDefault="006744F6" w:rsidP="00363455">
      <w:pPr>
        <w:pStyle w:val="Heading2"/>
        <w:spacing w:before="240"/>
      </w:pPr>
      <w:bookmarkStart w:id="172" w:name="_Toc297218453"/>
      <w:bookmarkStart w:id="173" w:name="_Toc337727560"/>
      <w:bookmarkStart w:id="174" w:name="_Toc419122293"/>
      <w:bookmarkStart w:id="175" w:name="_Toc433703327"/>
      <w:r w:rsidRPr="00124637">
        <w:t xml:space="preserve">Broadcasting </w:t>
      </w:r>
      <w:bookmarkEnd w:id="172"/>
      <w:bookmarkEnd w:id="173"/>
      <w:bookmarkEnd w:id="174"/>
      <w:r w:rsidR="00AA25B3" w:rsidRPr="00124637">
        <w:t>licensing</w:t>
      </w:r>
      <w:bookmarkEnd w:id="175"/>
    </w:p>
    <w:p w14:paraId="425820CB" w14:textId="77777777" w:rsidR="00AA25B3" w:rsidRPr="00124637" w:rsidRDefault="00AA25B3" w:rsidP="00AA25B3">
      <w:pPr>
        <w:spacing w:after="80"/>
        <w:rPr>
          <w:rFonts w:cs="Arial"/>
        </w:rPr>
      </w:pPr>
      <w:bookmarkStart w:id="176" w:name="_Toc419122297"/>
      <w:bookmarkStart w:id="177" w:name="_Toc419122299"/>
      <w:r w:rsidRPr="00124637">
        <w:rPr>
          <w:rFonts w:cs="Arial"/>
        </w:rPr>
        <w:t>In 2014–15, the ACMA:</w:t>
      </w:r>
    </w:p>
    <w:p w14:paraId="49EED327" w14:textId="77777777" w:rsidR="00AA25B3" w:rsidRPr="00124637" w:rsidRDefault="00AA25B3" w:rsidP="00AA25B3">
      <w:pPr>
        <w:pStyle w:val="ListBullet"/>
        <w:tabs>
          <w:tab w:val="clear" w:pos="295"/>
          <w:tab w:val="num" w:pos="437"/>
        </w:tabs>
        <w:ind w:left="284"/>
        <w:rPr>
          <w:rFonts w:cs="Arial"/>
        </w:rPr>
      </w:pPr>
      <w:r w:rsidRPr="00124637">
        <w:rPr>
          <w:rFonts w:cs="Arial"/>
        </w:rPr>
        <w:t>issued 19 transmitter licences for national radio and television services</w:t>
      </w:r>
    </w:p>
    <w:p w14:paraId="6A275CFA" w14:textId="77777777" w:rsidR="00AA25B3" w:rsidRPr="00124637" w:rsidRDefault="00AA25B3" w:rsidP="00AA25B3">
      <w:pPr>
        <w:pStyle w:val="ListBullet"/>
        <w:tabs>
          <w:tab w:val="clear" w:pos="295"/>
          <w:tab w:val="num" w:pos="437"/>
        </w:tabs>
        <w:ind w:left="284"/>
        <w:rPr>
          <w:rFonts w:cs="Arial"/>
        </w:rPr>
      </w:pPr>
      <w:r w:rsidRPr="00124637">
        <w:rPr>
          <w:rFonts w:cs="Arial"/>
        </w:rPr>
        <w:t xml:space="preserve">issued </w:t>
      </w:r>
      <w:r w:rsidR="00BF330A" w:rsidRPr="00124637">
        <w:rPr>
          <w:rFonts w:cs="Arial"/>
        </w:rPr>
        <w:t>five</w:t>
      </w:r>
      <w:r w:rsidRPr="00124637">
        <w:rPr>
          <w:rFonts w:cs="Arial"/>
        </w:rPr>
        <w:t xml:space="preserve"> transmitter licences for commercial radio and television services</w:t>
      </w:r>
    </w:p>
    <w:p w14:paraId="0326CC8C" w14:textId="77777777" w:rsidR="00AA25B3" w:rsidRPr="00124637" w:rsidRDefault="00AA25B3" w:rsidP="00AA25B3">
      <w:pPr>
        <w:pStyle w:val="ListBullet"/>
        <w:tabs>
          <w:tab w:val="clear" w:pos="295"/>
          <w:tab w:val="num" w:pos="437"/>
        </w:tabs>
        <w:ind w:left="284"/>
        <w:rPr>
          <w:rFonts w:cs="Arial"/>
        </w:rPr>
      </w:pPr>
      <w:r w:rsidRPr="00124637">
        <w:rPr>
          <w:rFonts w:cs="Arial"/>
        </w:rPr>
        <w:t>issued 406 broadcasting retransmission licences</w:t>
      </w:r>
    </w:p>
    <w:p w14:paraId="0281D5A7" w14:textId="77777777" w:rsidR="00AA25B3" w:rsidRPr="00124637" w:rsidRDefault="00AA25B3" w:rsidP="00AA25B3">
      <w:pPr>
        <w:pStyle w:val="ListBullet"/>
        <w:tabs>
          <w:tab w:val="clear" w:pos="295"/>
          <w:tab w:val="num" w:pos="437"/>
        </w:tabs>
        <w:ind w:left="284"/>
        <w:rPr>
          <w:rFonts w:cs="Arial"/>
        </w:rPr>
      </w:pPr>
      <w:r w:rsidRPr="00124637">
        <w:rPr>
          <w:rFonts w:cs="Arial"/>
        </w:rPr>
        <w:t>varied 718 radio and television apparatus licences</w:t>
      </w:r>
    </w:p>
    <w:p w14:paraId="49EE2363" w14:textId="77777777" w:rsidR="00AA25B3" w:rsidRPr="00124637" w:rsidRDefault="00AA25B3" w:rsidP="00AA25B3">
      <w:pPr>
        <w:pStyle w:val="ListBullet"/>
        <w:tabs>
          <w:tab w:val="clear" w:pos="295"/>
          <w:tab w:val="num" w:pos="437"/>
        </w:tabs>
        <w:spacing w:after="240"/>
        <w:ind w:left="284"/>
        <w:rPr>
          <w:rFonts w:cs="Arial"/>
        </w:rPr>
      </w:pPr>
      <w:r w:rsidRPr="00124637">
        <w:rPr>
          <w:rFonts w:cs="Arial"/>
        </w:rPr>
        <w:t>issued 131 special event broadcasting licences for radio and television services.</w:t>
      </w:r>
    </w:p>
    <w:p w14:paraId="4FD074E3" w14:textId="77777777" w:rsidR="0093399F" w:rsidRPr="00124637" w:rsidRDefault="0093399F" w:rsidP="0093399F">
      <w:pPr>
        <w:pStyle w:val="Heading3"/>
      </w:pPr>
      <w:bookmarkStart w:id="178" w:name="_Toc433703328"/>
      <w:r w:rsidRPr="00124637">
        <w:t>Temporary community broadcasting licences</w:t>
      </w:r>
      <w:bookmarkEnd w:id="176"/>
      <w:bookmarkEnd w:id="178"/>
    </w:p>
    <w:p w14:paraId="0B20F831" w14:textId="77777777" w:rsidR="0093399F" w:rsidRPr="00124637" w:rsidRDefault="0093399F" w:rsidP="0093399F">
      <w:pPr>
        <w:rPr>
          <w:rFonts w:cs="Arial"/>
        </w:rPr>
      </w:pPr>
      <w:r w:rsidRPr="00124637">
        <w:rPr>
          <w:rFonts w:cs="Arial"/>
        </w:rPr>
        <w:t>Temporary community broadcasting licences are allocated for a maximum 12-month licence period. During the reporting period, the ACMA allocated 91 temporary licences. As at 30 June 2015, there were 94 temporary licences.</w:t>
      </w:r>
    </w:p>
    <w:p w14:paraId="0ADE2D78" w14:textId="77777777" w:rsidR="0093399F" w:rsidRPr="00124637" w:rsidRDefault="0093399F" w:rsidP="0093399F">
      <w:pPr>
        <w:pStyle w:val="Heading3"/>
      </w:pPr>
      <w:bookmarkStart w:id="179" w:name="_Toc419122298"/>
      <w:bookmarkStart w:id="180" w:name="_Toc433703329"/>
      <w:r w:rsidRPr="00124637">
        <w:t>Community radio broadcasting licences</w:t>
      </w:r>
      <w:bookmarkEnd w:id="179"/>
      <w:bookmarkEnd w:id="180"/>
    </w:p>
    <w:p w14:paraId="08831AE1" w14:textId="77777777" w:rsidR="0093399F" w:rsidRPr="00124637" w:rsidRDefault="0093399F" w:rsidP="0093399F">
      <w:pPr>
        <w:keepNext/>
        <w:spacing w:after="80"/>
        <w:rPr>
          <w:rFonts w:cs="Arial"/>
        </w:rPr>
      </w:pPr>
      <w:r w:rsidRPr="00124637">
        <w:rPr>
          <w:rFonts w:cs="Arial"/>
        </w:rPr>
        <w:t>During the reporting period, the ACMA:</w:t>
      </w:r>
    </w:p>
    <w:p w14:paraId="28AAEBC0" w14:textId="77777777" w:rsidR="0093399F" w:rsidRPr="00124637" w:rsidRDefault="0093399F" w:rsidP="0093399F">
      <w:pPr>
        <w:pStyle w:val="ListBullet"/>
        <w:tabs>
          <w:tab w:val="clear" w:pos="295"/>
        </w:tabs>
        <w:ind w:left="284"/>
        <w:rPr>
          <w:rFonts w:cs="Arial"/>
        </w:rPr>
      </w:pPr>
      <w:r w:rsidRPr="00124637">
        <w:rPr>
          <w:rFonts w:cs="Arial"/>
        </w:rPr>
        <w:t>decided not to allocate the community radio broadcasting licences for Coffs Harbour (New South Wales) and Geraldton (Western Australia)</w:t>
      </w:r>
    </w:p>
    <w:p w14:paraId="4022FF90" w14:textId="77777777" w:rsidR="0093399F" w:rsidRPr="00124637" w:rsidDel="001120B9" w:rsidRDefault="0093399F" w:rsidP="0093399F">
      <w:pPr>
        <w:pStyle w:val="ListBulletLast"/>
      </w:pPr>
      <w:r w:rsidRPr="00124637" w:rsidDel="001120B9">
        <w:t xml:space="preserve">renewed </w:t>
      </w:r>
      <w:r w:rsidRPr="00124637">
        <w:t>61</w:t>
      </w:r>
      <w:r w:rsidR="00DE1F7F" w:rsidRPr="00124637">
        <w:t xml:space="preserve"> </w:t>
      </w:r>
      <w:r w:rsidRPr="00124637" w:rsidDel="001120B9">
        <w:t>community</w:t>
      </w:r>
      <w:r w:rsidRPr="00124637">
        <w:t xml:space="preserve"> radio</w:t>
      </w:r>
      <w:r w:rsidRPr="00124637" w:rsidDel="001120B9">
        <w:t xml:space="preserve"> broadcasting licences, of which</w:t>
      </w:r>
      <w:r w:rsidRPr="00124637">
        <w:t xml:space="preserve"> none</w:t>
      </w:r>
      <w:r w:rsidRPr="00124637" w:rsidDel="001120B9">
        <w:t xml:space="preserve"> were remote Indigenous broadcasting services.</w:t>
      </w:r>
    </w:p>
    <w:p w14:paraId="19B316D9" w14:textId="77777777" w:rsidR="0093399F" w:rsidRPr="00124637" w:rsidRDefault="0093399F" w:rsidP="0093399F">
      <w:pPr>
        <w:rPr>
          <w:rFonts w:cs="Arial"/>
        </w:rPr>
      </w:pPr>
      <w:r w:rsidRPr="00124637">
        <w:rPr>
          <w:rFonts w:cs="Arial"/>
        </w:rPr>
        <w:t>There were 358 community radio broadcasting licences at 30 June 2015, of which 72 were remote Indigenous broadcasting services.</w:t>
      </w:r>
    </w:p>
    <w:p w14:paraId="06804D04" w14:textId="77777777" w:rsidR="00AA25B3" w:rsidRPr="00124637" w:rsidRDefault="00AA25B3" w:rsidP="00AA25B3">
      <w:pPr>
        <w:pStyle w:val="Heading3"/>
      </w:pPr>
      <w:bookmarkStart w:id="181" w:name="_Toc419122301"/>
      <w:bookmarkStart w:id="182" w:name="_Toc433703330"/>
      <w:bookmarkEnd w:id="177"/>
      <w:r w:rsidRPr="00124637">
        <w:t>Commercial radio broadcasting licences</w:t>
      </w:r>
      <w:bookmarkEnd w:id="182"/>
    </w:p>
    <w:p w14:paraId="03173F30" w14:textId="77777777" w:rsidR="00AA25B3" w:rsidRPr="00124637" w:rsidRDefault="00AA25B3" w:rsidP="00AA25B3">
      <w:pPr>
        <w:rPr>
          <w:rFonts w:cs="Arial"/>
        </w:rPr>
      </w:pPr>
      <w:r w:rsidRPr="00124637">
        <w:rPr>
          <w:rFonts w:cs="Arial"/>
        </w:rPr>
        <w:t>Duri</w:t>
      </w:r>
      <w:r w:rsidR="00BF330A" w:rsidRPr="00124637">
        <w:rPr>
          <w:rFonts w:cs="Arial"/>
        </w:rPr>
        <w:t>ng 2014–</w:t>
      </w:r>
      <w:r w:rsidRPr="00124637">
        <w:rPr>
          <w:rFonts w:cs="Arial"/>
        </w:rPr>
        <w:t>15, the ACMA renewed 42 commercial radio broadcasting licences for services using the broadcasting services bands (BSB). No new commercial radio broadcasting licences were allocated for services using the BSB during the reporting period.</w:t>
      </w:r>
    </w:p>
    <w:p w14:paraId="2DDFD8C6" w14:textId="77777777" w:rsidR="00AA25B3" w:rsidRPr="00124637" w:rsidRDefault="00AA25B3" w:rsidP="00AA25B3">
      <w:pPr>
        <w:rPr>
          <w:rFonts w:cs="Arial"/>
        </w:rPr>
      </w:pPr>
      <w:r w:rsidRPr="00124637">
        <w:rPr>
          <w:rFonts w:cs="Arial"/>
        </w:rPr>
        <w:t>As at 30 June 2015, there were 273 commercial radio broadcasting licences.</w:t>
      </w:r>
    </w:p>
    <w:p w14:paraId="7F8BF095" w14:textId="77777777" w:rsidR="00AA25B3" w:rsidRPr="00124637" w:rsidRDefault="00AA25B3" w:rsidP="00AA25B3">
      <w:pPr>
        <w:pStyle w:val="Heading3"/>
      </w:pPr>
      <w:bookmarkStart w:id="183" w:name="_Toc419122300"/>
      <w:bookmarkStart w:id="184" w:name="_Toc433703331"/>
      <w:r w:rsidRPr="00124637">
        <w:t>Commercial television broadcasting licences</w:t>
      </w:r>
      <w:bookmarkEnd w:id="183"/>
      <w:bookmarkEnd w:id="184"/>
    </w:p>
    <w:p w14:paraId="36996E01" w14:textId="77777777" w:rsidR="00AA25B3" w:rsidRPr="00124637" w:rsidRDefault="00AA25B3" w:rsidP="00AA25B3">
      <w:pPr>
        <w:rPr>
          <w:rFonts w:cs="Arial"/>
        </w:rPr>
      </w:pPr>
      <w:r w:rsidRPr="00124637">
        <w:rPr>
          <w:rFonts w:cs="Arial"/>
        </w:rPr>
        <w:t>As a</w:t>
      </w:r>
      <w:r w:rsidR="00BE189D" w:rsidRPr="00124637">
        <w:rPr>
          <w:rFonts w:cs="Arial"/>
        </w:rPr>
        <w:t>t 30 June 2015</w:t>
      </w:r>
      <w:r w:rsidRPr="00124637">
        <w:rPr>
          <w:rFonts w:cs="Arial"/>
        </w:rPr>
        <w:t>, there were 64 commercial television broadcasting licences.</w:t>
      </w:r>
    </w:p>
    <w:p w14:paraId="371DE92A" w14:textId="77777777" w:rsidR="00AA25B3" w:rsidRPr="00124637" w:rsidRDefault="00AA25B3" w:rsidP="00AA25B3">
      <w:pPr>
        <w:rPr>
          <w:rFonts w:cs="Arial"/>
        </w:rPr>
      </w:pPr>
      <w:r w:rsidRPr="00124637">
        <w:rPr>
          <w:rFonts w:cs="Arial"/>
        </w:rPr>
        <w:t>During 2014</w:t>
      </w:r>
      <w:r w:rsidR="00BF330A" w:rsidRPr="00124637">
        <w:rPr>
          <w:rFonts w:cs="Arial"/>
        </w:rPr>
        <w:t>–</w:t>
      </w:r>
      <w:r w:rsidRPr="00124637">
        <w:rPr>
          <w:rFonts w:cs="Arial"/>
        </w:rPr>
        <w:t xml:space="preserve">15, the ACMA renewed </w:t>
      </w:r>
      <w:r w:rsidR="00BF330A" w:rsidRPr="00124637">
        <w:rPr>
          <w:rFonts w:cs="Arial"/>
        </w:rPr>
        <w:t>eight</w:t>
      </w:r>
      <w:r w:rsidRPr="00124637">
        <w:rPr>
          <w:rFonts w:cs="Arial"/>
        </w:rPr>
        <w:t xml:space="preserve"> commercial television broadcasting licences.</w:t>
      </w:r>
    </w:p>
    <w:p w14:paraId="1186D111" w14:textId="77777777" w:rsidR="006744F6" w:rsidRPr="00124637" w:rsidRDefault="006744F6" w:rsidP="006744F6">
      <w:pPr>
        <w:pStyle w:val="Heading3"/>
      </w:pPr>
      <w:bookmarkStart w:id="185" w:name="_Toc433703332"/>
      <w:r w:rsidRPr="00124637">
        <w:lastRenderedPageBreak/>
        <w:t>Community television broadcasting licences</w:t>
      </w:r>
      <w:bookmarkEnd w:id="181"/>
      <w:bookmarkEnd w:id="185"/>
    </w:p>
    <w:p w14:paraId="7C0F46B9" w14:textId="77777777" w:rsidR="00DE1F7F" w:rsidRPr="00124637" w:rsidRDefault="00DE1F7F" w:rsidP="00DE1F7F">
      <w:pPr>
        <w:rPr>
          <w:rFonts w:cs="Arial"/>
        </w:rPr>
      </w:pPr>
      <w:r w:rsidRPr="00124637">
        <w:rPr>
          <w:rFonts w:cs="Arial"/>
        </w:rPr>
        <w:t>There were 54 community television broadcasting licences at 30 June 2015, of which 51 were remote Indigenous broadcasting services. The other three services were in Brisbane, Melbourne and Sydney.</w:t>
      </w:r>
    </w:p>
    <w:p w14:paraId="71192755" w14:textId="77777777" w:rsidR="001F1844" w:rsidRPr="00124637" w:rsidRDefault="001F1844" w:rsidP="001F1844">
      <w:pPr>
        <w:pStyle w:val="BodysubheaderH4"/>
        <w:rPr>
          <w:rFonts w:cs="Arial"/>
        </w:rPr>
      </w:pPr>
      <w:r w:rsidRPr="00124637">
        <w:rPr>
          <w:rFonts w:cs="Arial"/>
        </w:rPr>
        <w:t>Community television trial</w:t>
      </w:r>
    </w:p>
    <w:p w14:paraId="6D06D918" w14:textId="77777777" w:rsidR="006744F6" w:rsidRPr="00124637" w:rsidRDefault="001F1844" w:rsidP="006744F6">
      <w:pPr>
        <w:rPr>
          <w:rFonts w:cs="Arial"/>
        </w:rPr>
      </w:pPr>
      <w:r w:rsidRPr="00124637">
        <w:rPr>
          <w:rFonts w:cs="Arial"/>
        </w:rPr>
        <w:t xml:space="preserve">During 2014–15, the ACMA decided to extend community television trials in Adelaide and Perth for a further 12-month period from 1 January 2015 to 31 December 2015. </w:t>
      </w:r>
    </w:p>
    <w:p w14:paraId="3AC3593E" w14:textId="77777777" w:rsidR="006744F6" w:rsidRPr="00124637" w:rsidRDefault="006744F6" w:rsidP="006744F6">
      <w:pPr>
        <w:pStyle w:val="Heading2"/>
      </w:pPr>
      <w:bookmarkStart w:id="186" w:name="_Toc337727561"/>
      <w:bookmarkStart w:id="187" w:name="_Toc419122302"/>
      <w:bookmarkStart w:id="188" w:name="_Toc433703333"/>
      <w:r w:rsidRPr="00124637">
        <w:t>Telecommunications licensing</w:t>
      </w:r>
      <w:bookmarkEnd w:id="186"/>
      <w:bookmarkEnd w:id="187"/>
      <w:bookmarkEnd w:id="188"/>
    </w:p>
    <w:p w14:paraId="73436C2C" w14:textId="77777777" w:rsidR="006744F6" w:rsidRPr="00124637" w:rsidRDefault="006744F6" w:rsidP="006744F6">
      <w:pPr>
        <w:pStyle w:val="Heading3"/>
      </w:pPr>
      <w:bookmarkStart w:id="189" w:name="_Toc419122303"/>
      <w:bookmarkStart w:id="190" w:name="_Toc433703334"/>
      <w:r w:rsidRPr="00124637">
        <w:t>Carrier licensing</w:t>
      </w:r>
      <w:bookmarkEnd w:id="189"/>
      <w:bookmarkEnd w:id="190"/>
    </w:p>
    <w:p w14:paraId="7C99CD37" w14:textId="77777777" w:rsidR="00D92FF8" w:rsidRPr="00124637" w:rsidRDefault="00D92FF8" w:rsidP="00D92FF8">
      <w:pPr>
        <w:rPr>
          <w:rFonts w:cs="Arial"/>
          <w:szCs w:val="20"/>
        </w:rPr>
      </w:pPr>
      <w:bookmarkStart w:id="191" w:name="_Toc337727565"/>
      <w:bookmarkStart w:id="192" w:name="_Toc419122304"/>
      <w:bookmarkStart w:id="193" w:name="_Toc337727567"/>
      <w:bookmarkStart w:id="194" w:name="_Toc419122306"/>
      <w:r w:rsidRPr="00124637">
        <w:rPr>
          <w:rFonts w:cs="Arial"/>
          <w:szCs w:val="20"/>
        </w:rPr>
        <w:t>The ACMA granted</w:t>
      </w:r>
      <w:r w:rsidRPr="00124637">
        <w:rPr>
          <w:rStyle w:val="CommentReference"/>
        </w:rPr>
        <w:t xml:space="preserve"> </w:t>
      </w:r>
      <w:r w:rsidRPr="00124637">
        <w:rPr>
          <w:rFonts w:cs="Arial"/>
          <w:szCs w:val="20"/>
        </w:rPr>
        <w:t>27</w:t>
      </w:r>
      <w:r w:rsidRPr="00124637">
        <w:rPr>
          <w:rStyle w:val="CommentReference"/>
        </w:rPr>
        <w:t xml:space="preserve"> </w:t>
      </w:r>
      <w:r w:rsidRPr="00124637">
        <w:rPr>
          <w:rFonts w:cs="Arial"/>
          <w:szCs w:val="20"/>
        </w:rPr>
        <w:t>carrier licences in 2014–15, all within the statutory 20-day time frame. This is an increase from 2013–14, when 22</w:t>
      </w:r>
      <w:r w:rsidR="00BF330A" w:rsidRPr="00124637">
        <w:rPr>
          <w:rFonts w:cs="Arial"/>
          <w:szCs w:val="20"/>
        </w:rPr>
        <w:t xml:space="preserve"> licences were issued. As at 30 </w:t>
      </w:r>
      <w:r w:rsidRPr="00124637">
        <w:rPr>
          <w:rFonts w:cs="Arial"/>
          <w:szCs w:val="20"/>
        </w:rPr>
        <w:t>June 2015, there were 229 licensed carriers in Australia.</w:t>
      </w:r>
    </w:p>
    <w:p w14:paraId="3362B34A" w14:textId="77777777" w:rsidR="00D92FF8" w:rsidRPr="00124637" w:rsidRDefault="00D92FF8" w:rsidP="00D92FF8">
      <w:pPr>
        <w:rPr>
          <w:rFonts w:cs="Arial"/>
          <w:szCs w:val="20"/>
        </w:rPr>
      </w:pPr>
      <w:r w:rsidRPr="00124637">
        <w:rPr>
          <w:rFonts w:cs="Arial"/>
          <w:szCs w:val="20"/>
        </w:rPr>
        <w:t>A licensed carrier can surrender its licence by providing a written notice to the ACMA. In 2014–15,</w:t>
      </w:r>
      <w:r w:rsidR="00AA25B3" w:rsidRPr="00124637">
        <w:rPr>
          <w:rFonts w:cs="Arial"/>
          <w:szCs w:val="20"/>
        </w:rPr>
        <w:t xml:space="preserve"> </w:t>
      </w:r>
      <w:r w:rsidRPr="00124637">
        <w:rPr>
          <w:rFonts w:cs="Arial"/>
          <w:szCs w:val="20"/>
        </w:rPr>
        <w:t xml:space="preserve">four carrier licences were surrendered. In addition, two carrier licences were cancelled as the corporation holding the licences was deregistered by the Australian Securities and Investments Commission. </w:t>
      </w:r>
    </w:p>
    <w:p w14:paraId="6C84DE8B" w14:textId="77777777" w:rsidR="00D92FF8" w:rsidRPr="00124637" w:rsidRDefault="00D92FF8" w:rsidP="00D92FF8">
      <w:pPr>
        <w:rPr>
          <w:rFonts w:cs="Arial"/>
          <w:szCs w:val="20"/>
        </w:rPr>
      </w:pPr>
      <w:r w:rsidRPr="00124637">
        <w:rPr>
          <w:rFonts w:cs="Arial"/>
          <w:szCs w:val="20"/>
        </w:rPr>
        <w:t xml:space="preserve">The ACMA has issued 135 nominated carrier declarations from 1 July 1997. In </w:t>
      </w:r>
      <w:r w:rsidRPr="00124637">
        <w:rPr>
          <w:rFonts w:cs="Arial"/>
          <w:szCs w:val="20"/>
        </w:rPr>
        <w:br/>
        <w:t>2014–15, the ACMA issued six nominated carrier declarations and revoked one. As at 30 June 2015, there were</w:t>
      </w:r>
      <w:r w:rsidRPr="00124637">
        <w:rPr>
          <w:rStyle w:val="CommentReference"/>
        </w:rPr>
        <w:t xml:space="preserve"> </w:t>
      </w:r>
      <w:r w:rsidRPr="00124637">
        <w:rPr>
          <w:rFonts w:cs="Arial"/>
          <w:szCs w:val="20"/>
        </w:rPr>
        <w:t>79 nominated carrier declarations in force.</w:t>
      </w:r>
    </w:p>
    <w:p w14:paraId="405A7155" w14:textId="77777777" w:rsidR="00D92FF8" w:rsidRPr="00124637" w:rsidRDefault="00D92FF8" w:rsidP="00D92FF8">
      <w:pPr>
        <w:rPr>
          <w:rFonts w:cs="Arial"/>
          <w:szCs w:val="20"/>
        </w:rPr>
      </w:pPr>
      <w:r w:rsidRPr="00124637">
        <w:rPr>
          <w:rFonts w:cs="Arial"/>
          <w:szCs w:val="20"/>
        </w:rPr>
        <w:t xml:space="preserve">A complete list of carrier licences and nominated carrier declarations granted in </w:t>
      </w:r>
      <w:r w:rsidRPr="00124637">
        <w:rPr>
          <w:rFonts w:cs="Arial"/>
          <w:szCs w:val="20"/>
        </w:rPr>
        <w:br/>
        <w:t>2014–15 is provided at Appendix 4.</w:t>
      </w:r>
    </w:p>
    <w:p w14:paraId="68BAA703" w14:textId="77777777" w:rsidR="00D92FF8" w:rsidRPr="00124637" w:rsidRDefault="00D92FF8" w:rsidP="00D92FF8">
      <w:pPr>
        <w:rPr>
          <w:rFonts w:cs="Arial"/>
          <w:szCs w:val="20"/>
        </w:rPr>
      </w:pPr>
      <w:r w:rsidRPr="00124637">
        <w:rPr>
          <w:rFonts w:cs="Arial"/>
          <w:szCs w:val="20"/>
        </w:rPr>
        <w:t>The ACMA issued three trial certificates during 2014–15, compared with one in the previous reporting period.</w:t>
      </w:r>
    </w:p>
    <w:p w14:paraId="5BA615D3" w14:textId="77777777" w:rsidR="003A3898" w:rsidRPr="00124637" w:rsidRDefault="003A3898" w:rsidP="003A3898">
      <w:pPr>
        <w:pStyle w:val="Heading3"/>
      </w:pPr>
      <w:bookmarkStart w:id="195" w:name="_Toc433703335"/>
      <w:r w:rsidRPr="00124637">
        <w:t>Number allocations register</w:t>
      </w:r>
      <w:bookmarkEnd w:id="191"/>
      <w:bookmarkEnd w:id="192"/>
      <w:bookmarkEnd w:id="195"/>
    </w:p>
    <w:p w14:paraId="0DA02389" w14:textId="1DD373A1" w:rsidR="003A3898" w:rsidRPr="00124637" w:rsidRDefault="003A3898" w:rsidP="003A3898">
      <w:pPr>
        <w:rPr>
          <w:rFonts w:cs="Arial"/>
        </w:rPr>
      </w:pPr>
      <w:r w:rsidRPr="00124637">
        <w:rPr>
          <w:rFonts w:cs="Arial"/>
        </w:rPr>
        <w:t>The ACMA maintains a register of numbers allocated to CSPs and numbers that have been permanently transferred from one CSP to another. The information is contained in a database known as the Online Numbering System (NUMB). CSPs use the register to perform functions such as routing and billing, and to apply, transfer and surrender numbers. The ACMA uses NUMB to administer the annual numbering charge (ANC).</w:t>
      </w:r>
      <w:r w:rsidR="00F658B2">
        <w:rPr>
          <w:rFonts w:cs="Arial"/>
        </w:rPr>
        <w:t xml:space="preserve"> </w:t>
      </w:r>
      <w:r w:rsidR="00F658B2" w:rsidRPr="00DE1F14">
        <w:rPr>
          <w:rFonts w:cs="Arial"/>
        </w:rPr>
        <w:t>From August 2015, the register of numbers will be provided by ZOAK Solutions as part of its contract to provide allocation and administrative services to the Commonwealth.</w:t>
      </w:r>
    </w:p>
    <w:p w14:paraId="537FF71D" w14:textId="77777777" w:rsidR="003A3898" w:rsidRPr="00124637" w:rsidRDefault="003A3898" w:rsidP="003A3898">
      <w:pPr>
        <w:pStyle w:val="Heading3"/>
      </w:pPr>
      <w:bookmarkStart w:id="196" w:name="_Toc337727566"/>
      <w:bookmarkStart w:id="197" w:name="_Toc419122305"/>
      <w:bookmarkStart w:id="198" w:name="_Toc433703336"/>
      <w:r w:rsidRPr="00124637">
        <w:t>Numbering transactions</w:t>
      </w:r>
      <w:bookmarkEnd w:id="196"/>
      <w:bookmarkEnd w:id="197"/>
      <w:bookmarkEnd w:id="198"/>
    </w:p>
    <w:p w14:paraId="6F380426" w14:textId="77777777" w:rsidR="00D92FF8" w:rsidRPr="00124637" w:rsidRDefault="00D92FF8" w:rsidP="00DE1F7F">
      <w:pPr>
        <w:rPr>
          <w:rFonts w:cs="Arial"/>
        </w:rPr>
      </w:pPr>
      <w:r w:rsidRPr="00124637">
        <w:rPr>
          <w:rFonts w:cs="Arial"/>
        </w:rPr>
        <w:t xml:space="preserve">During 2014–15, the ACMA assessed </w:t>
      </w:r>
      <w:r w:rsidRPr="00124637">
        <w:rPr>
          <w:rFonts w:cs="Arial"/>
          <w:szCs w:val="20"/>
        </w:rPr>
        <w:t>64</w:t>
      </w:r>
      <w:r w:rsidRPr="00124637">
        <w:rPr>
          <w:rFonts w:cs="Arial"/>
        </w:rPr>
        <w:t xml:space="preserve"> separate applications for numbers from </w:t>
      </w:r>
      <w:r w:rsidRPr="00124637">
        <w:rPr>
          <w:rFonts w:cs="Arial"/>
          <w:szCs w:val="20"/>
        </w:rPr>
        <w:t>13</w:t>
      </w:r>
      <w:r w:rsidRPr="00124637">
        <w:rPr>
          <w:rFonts w:cs="Arial"/>
        </w:rPr>
        <w:t xml:space="preserve"> different CSPs. The most common number types allocated remain geographic and digital mobile numbers.</w:t>
      </w:r>
    </w:p>
    <w:p w14:paraId="5304263B" w14:textId="77777777" w:rsidR="00D92FF8" w:rsidRPr="00124637" w:rsidRDefault="00D92FF8" w:rsidP="00DE1F7F">
      <w:pPr>
        <w:spacing w:after="80"/>
        <w:rPr>
          <w:rFonts w:cs="Arial"/>
        </w:rPr>
      </w:pPr>
      <w:r w:rsidRPr="00124637">
        <w:rPr>
          <w:rFonts w:cs="Arial"/>
        </w:rPr>
        <w:t xml:space="preserve">The ACMA met its statutory requirements and KPIs by processing numbering applications within the 10-day statutory time frame. The time taken to process routine applications was approximately </w:t>
      </w:r>
      <w:r w:rsidR="00BF330A" w:rsidRPr="00124637">
        <w:rPr>
          <w:rFonts w:cs="Arial"/>
        </w:rPr>
        <w:t>five</w:t>
      </w:r>
      <w:r w:rsidRPr="00124637">
        <w:rPr>
          <w:rFonts w:cs="Arial"/>
        </w:rPr>
        <w:t xml:space="preserve"> working days, compared with the average of 7.4</w:t>
      </w:r>
      <w:r w:rsidR="00BF330A" w:rsidRPr="00124637">
        <w:rPr>
          <w:rFonts w:cs="Arial"/>
        </w:rPr>
        <w:t> </w:t>
      </w:r>
      <w:r w:rsidRPr="00124637">
        <w:rPr>
          <w:rFonts w:cs="Arial"/>
        </w:rPr>
        <w:t>working days for 2013–14. In 2014–15, the ACMA allocated:</w:t>
      </w:r>
    </w:p>
    <w:p w14:paraId="613B8C29" w14:textId="77777777" w:rsidR="00D92FF8" w:rsidRPr="00124637" w:rsidRDefault="00D92FF8" w:rsidP="00DE1F7F">
      <w:pPr>
        <w:pStyle w:val="ListBullet"/>
        <w:tabs>
          <w:tab w:val="clear" w:pos="295"/>
          <w:tab w:val="num" w:pos="437"/>
        </w:tabs>
        <w:ind w:left="284"/>
        <w:rPr>
          <w:rFonts w:cs="Arial"/>
        </w:rPr>
      </w:pPr>
      <w:r w:rsidRPr="00124637">
        <w:rPr>
          <w:rFonts w:cs="Arial"/>
          <w:szCs w:val="20"/>
        </w:rPr>
        <w:t>1,572,100</w:t>
      </w:r>
      <w:r w:rsidRPr="00124637">
        <w:rPr>
          <w:rFonts w:cs="Arial"/>
        </w:rPr>
        <w:t xml:space="preserve"> geographic numbers</w:t>
      </w:r>
      <w:r w:rsidR="00BF330A" w:rsidRPr="00124637">
        <w:rPr>
          <w:rFonts w:cs="Arial"/>
        </w:rPr>
        <w:t>—</w:t>
      </w:r>
      <w:r w:rsidRPr="00124637">
        <w:rPr>
          <w:rFonts w:cs="Arial"/>
        </w:rPr>
        <w:t>119,100 more than the 1,453,000 geographic numbers allocated in 2013–14</w:t>
      </w:r>
    </w:p>
    <w:p w14:paraId="447CDBDC" w14:textId="77777777" w:rsidR="00D92FF8" w:rsidRPr="00124637" w:rsidRDefault="00D92FF8" w:rsidP="00DE1F7F">
      <w:pPr>
        <w:pStyle w:val="ListBullet"/>
        <w:tabs>
          <w:tab w:val="clear" w:pos="295"/>
          <w:tab w:val="num" w:pos="437"/>
        </w:tabs>
        <w:spacing w:after="240"/>
        <w:ind w:left="284"/>
        <w:rPr>
          <w:rFonts w:cs="Arial"/>
        </w:rPr>
      </w:pPr>
      <w:r w:rsidRPr="00124637">
        <w:rPr>
          <w:rFonts w:cs="Arial"/>
          <w:szCs w:val="20"/>
        </w:rPr>
        <w:t>1,200,000</w:t>
      </w:r>
      <w:r w:rsidRPr="00124637">
        <w:rPr>
          <w:rFonts w:cs="Arial"/>
        </w:rPr>
        <w:t xml:space="preserve"> digital mobile numbers</w:t>
      </w:r>
      <w:r w:rsidR="00BF330A" w:rsidRPr="00124637">
        <w:rPr>
          <w:rFonts w:cs="Arial"/>
        </w:rPr>
        <w:t>—</w:t>
      </w:r>
      <w:r w:rsidRPr="00124637">
        <w:rPr>
          <w:rFonts w:cs="Arial"/>
        </w:rPr>
        <w:t>1,420,000 fewer than the 2,620,000 digital mobile numbers allocated in 2013–14.</w:t>
      </w:r>
    </w:p>
    <w:p w14:paraId="050B4E08" w14:textId="77777777" w:rsidR="00D92FF8" w:rsidRPr="00124637" w:rsidRDefault="00D92FF8" w:rsidP="00DE1F7F">
      <w:pPr>
        <w:rPr>
          <w:rFonts w:cs="Arial"/>
        </w:rPr>
      </w:pPr>
      <w:r w:rsidRPr="00124637">
        <w:rPr>
          <w:rFonts w:cs="Arial"/>
        </w:rPr>
        <w:lastRenderedPageBreak/>
        <w:t xml:space="preserve">Table 17 shows the amount of numbers allocated by number type in </w:t>
      </w:r>
      <w:r w:rsidR="00BF330A" w:rsidRPr="00124637">
        <w:rPr>
          <w:rFonts w:cs="Arial"/>
        </w:rPr>
        <w:t>the reporting period</w:t>
      </w:r>
      <w:r w:rsidRPr="00124637">
        <w:rPr>
          <w:rFonts w:cs="Arial"/>
        </w:rPr>
        <w:t>.</w:t>
      </w:r>
    </w:p>
    <w:p w14:paraId="1DBD4AD8" w14:textId="77777777" w:rsidR="00E36F68" w:rsidRPr="00124637" w:rsidRDefault="00E36F68" w:rsidP="00E36F68">
      <w:pPr>
        <w:pStyle w:val="Caption"/>
        <w:spacing w:after="120"/>
        <w:rPr>
          <w:rFonts w:cs="Arial"/>
          <w:color w:val="auto"/>
        </w:rPr>
      </w:pPr>
      <w:r w:rsidRPr="00124637">
        <w:rPr>
          <w:color w:val="auto"/>
        </w:rPr>
        <w:t>Quantity of numbers allocated by number type during 2014–15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3118"/>
      </w:tblGrid>
      <w:tr w:rsidR="00E36F68" w:rsidRPr="003A3898" w14:paraId="77A07DEC" w14:textId="77777777" w:rsidTr="00DE1F14">
        <w:trPr>
          <w:trHeight w:val="170"/>
        </w:trPr>
        <w:tc>
          <w:tcPr>
            <w:tcW w:w="2972" w:type="dxa"/>
            <w:shd w:val="clear" w:color="auto" w:fill="404040" w:themeFill="text1" w:themeFillTint="BF"/>
            <w:tcMar>
              <w:top w:w="57" w:type="dxa"/>
              <w:left w:w="57" w:type="dxa"/>
              <w:bottom w:w="57" w:type="dxa"/>
              <w:right w:w="57" w:type="dxa"/>
            </w:tcMar>
            <w:vAlign w:val="center"/>
          </w:tcPr>
          <w:p w14:paraId="01ED1451" w14:textId="77777777" w:rsidR="00E36F68" w:rsidRPr="00E36F68" w:rsidRDefault="00E36F68" w:rsidP="00800C4D">
            <w:pPr>
              <w:pStyle w:val="TableHeading"/>
              <w:rPr>
                <w:rFonts w:cs="Arial"/>
                <w:color w:val="FFFFFF" w:themeColor="background1"/>
              </w:rPr>
            </w:pPr>
            <w:r w:rsidRPr="00E36F68">
              <w:rPr>
                <w:rFonts w:cs="Arial"/>
                <w:color w:val="FFFFFF" w:themeColor="background1"/>
              </w:rPr>
              <w:t>Type of number</w:t>
            </w:r>
          </w:p>
        </w:tc>
        <w:tc>
          <w:tcPr>
            <w:tcW w:w="2552" w:type="dxa"/>
            <w:shd w:val="clear" w:color="auto" w:fill="404040" w:themeFill="text1" w:themeFillTint="BF"/>
            <w:tcMar>
              <w:top w:w="57" w:type="dxa"/>
              <w:left w:w="57" w:type="dxa"/>
              <w:bottom w:w="57" w:type="dxa"/>
              <w:right w:w="57" w:type="dxa"/>
            </w:tcMar>
            <w:vAlign w:val="center"/>
          </w:tcPr>
          <w:p w14:paraId="7F3124B7" w14:textId="5A101336" w:rsidR="00E36F68" w:rsidRPr="00E36F68" w:rsidRDefault="00D04BE3" w:rsidP="00DE1F14">
            <w:pPr>
              <w:pStyle w:val="TableHeading"/>
              <w:jc w:val="right"/>
              <w:rPr>
                <w:rFonts w:cs="Arial"/>
                <w:color w:val="FFFFFF" w:themeColor="background1"/>
              </w:rPr>
            </w:pPr>
            <w:r>
              <w:rPr>
                <w:rFonts w:cs="Arial"/>
                <w:color w:val="FFFFFF" w:themeColor="background1"/>
              </w:rPr>
              <w:t>CSP</w:t>
            </w:r>
            <w:r w:rsidR="00E36F68" w:rsidRPr="00E36F68">
              <w:rPr>
                <w:rFonts w:cs="Arial"/>
                <w:color w:val="FFFFFF" w:themeColor="background1"/>
              </w:rPr>
              <w:t xml:space="preserve"> allocated numbers</w:t>
            </w:r>
          </w:p>
        </w:tc>
        <w:tc>
          <w:tcPr>
            <w:tcW w:w="3118" w:type="dxa"/>
            <w:shd w:val="clear" w:color="auto" w:fill="404040" w:themeFill="text1" w:themeFillTint="BF"/>
            <w:tcMar>
              <w:top w:w="57" w:type="dxa"/>
              <w:left w:w="57" w:type="dxa"/>
              <w:bottom w:w="57" w:type="dxa"/>
              <w:right w:w="57" w:type="dxa"/>
            </w:tcMar>
            <w:vAlign w:val="center"/>
          </w:tcPr>
          <w:p w14:paraId="1B5A70A7" w14:textId="77777777" w:rsidR="00E36F68" w:rsidRPr="00E36F68" w:rsidRDefault="00E36F68" w:rsidP="00800C4D">
            <w:pPr>
              <w:pStyle w:val="TableHeading"/>
              <w:jc w:val="right"/>
              <w:rPr>
                <w:rFonts w:cs="Arial"/>
                <w:color w:val="FFFFFF" w:themeColor="background1"/>
              </w:rPr>
            </w:pPr>
            <w:r w:rsidRPr="00E36F68">
              <w:rPr>
                <w:rFonts w:cs="Arial"/>
                <w:color w:val="FFFFFF" w:themeColor="background1"/>
              </w:rPr>
              <w:t>Quantity of numbers allocated</w:t>
            </w:r>
          </w:p>
        </w:tc>
      </w:tr>
      <w:tr w:rsidR="00E36F68" w:rsidRPr="003A3898" w14:paraId="568AC71A" w14:textId="77777777" w:rsidTr="00DE1F14">
        <w:tc>
          <w:tcPr>
            <w:tcW w:w="2972" w:type="dxa"/>
            <w:tcMar>
              <w:top w:w="57" w:type="dxa"/>
              <w:left w:w="57" w:type="dxa"/>
              <w:bottom w:w="57" w:type="dxa"/>
              <w:right w:w="57" w:type="dxa"/>
            </w:tcMar>
          </w:tcPr>
          <w:p w14:paraId="630BBCF8" w14:textId="77777777" w:rsidR="00E36F68" w:rsidRPr="00124637" w:rsidRDefault="00E36F68" w:rsidP="00800C4D">
            <w:pPr>
              <w:pStyle w:val="TableBody"/>
            </w:pPr>
            <w:r w:rsidRPr="00124637">
              <w:t>Geographic</w:t>
            </w:r>
          </w:p>
        </w:tc>
        <w:tc>
          <w:tcPr>
            <w:tcW w:w="2552" w:type="dxa"/>
            <w:tcMar>
              <w:top w:w="57" w:type="dxa"/>
              <w:left w:w="57" w:type="dxa"/>
              <w:bottom w:w="57" w:type="dxa"/>
              <w:right w:w="57" w:type="dxa"/>
            </w:tcMar>
          </w:tcPr>
          <w:p w14:paraId="545D6835" w14:textId="77777777" w:rsidR="00E36F68" w:rsidRPr="00124637" w:rsidRDefault="00E36F68" w:rsidP="00DE1F14">
            <w:pPr>
              <w:pStyle w:val="TableBody"/>
              <w:jc w:val="right"/>
            </w:pPr>
            <w:r w:rsidRPr="00124637">
              <w:t>11</w:t>
            </w:r>
          </w:p>
        </w:tc>
        <w:tc>
          <w:tcPr>
            <w:tcW w:w="3118" w:type="dxa"/>
            <w:shd w:val="clear" w:color="auto" w:fill="FFFFFF"/>
            <w:tcMar>
              <w:top w:w="57" w:type="dxa"/>
              <w:left w:w="57" w:type="dxa"/>
              <w:bottom w:w="57" w:type="dxa"/>
              <w:right w:w="57" w:type="dxa"/>
            </w:tcMar>
          </w:tcPr>
          <w:p w14:paraId="1E73AB99" w14:textId="77777777" w:rsidR="00E36F68" w:rsidRPr="00124637" w:rsidRDefault="00E36F68" w:rsidP="00800C4D">
            <w:pPr>
              <w:pStyle w:val="TableBody"/>
              <w:jc w:val="right"/>
            </w:pPr>
            <w:r w:rsidRPr="00124637">
              <w:t>1,572,100</w:t>
            </w:r>
          </w:p>
        </w:tc>
      </w:tr>
      <w:tr w:rsidR="00E36F68" w:rsidRPr="003A3898" w14:paraId="7B5038A0" w14:textId="77777777" w:rsidTr="00DE1F14">
        <w:tc>
          <w:tcPr>
            <w:tcW w:w="2972" w:type="dxa"/>
            <w:tcMar>
              <w:top w:w="57" w:type="dxa"/>
              <w:left w:w="57" w:type="dxa"/>
              <w:bottom w:w="57" w:type="dxa"/>
              <w:right w:w="57" w:type="dxa"/>
            </w:tcMar>
          </w:tcPr>
          <w:p w14:paraId="250504F7" w14:textId="77777777" w:rsidR="00E36F68" w:rsidRPr="00124637" w:rsidRDefault="00E36F68" w:rsidP="00800C4D">
            <w:pPr>
              <w:pStyle w:val="TableBody"/>
            </w:pPr>
            <w:r w:rsidRPr="00124637">
              <w:t>Digital mobile</w:t>
            </w:r>
          </w:p>
        </w:tc>
        <w:tc>
          <w:tcPr>
            <w:tcW w:w="2552" w:type="dxa"/>
            <w:tcMar>
              <w:top w:w="57" w:type="dxa"/>
              <w:left w:w="57" w:type="dxa"/>
              <w:bottom w:w="57" w:type="dxa"/>
              <w:right w:w="57" w:type="dxa"/>
            </w:tcMar>
          </w:tcPr>
          <w:p w14:paraId="4C9C4D60" w14:textId="77777777" w:rsidR="00E36F68" w:rsidRPr="00124637" w:rsidRDefault="00E36F68" w:rsidP="00DE1F14">
            <w:pPr>
              <w:pStyle w:val="TableBody"/>
              <w:jc w:val="right"/>
            </w:pPr>
            <w:r w:rsidRPr="00124637">
              <w:t>3</w:t>
            </w:r>
          </w:p>
        </w:tc>
        <w:tc>
          <w:tcPr>
            <w:tcW w:w="3118" w:type="dxa"/>
            <w:shd w:val="clear" w:color="auto" w:fill="FFFFFF"/>
            <w:tcMar>
              <w:top w:w="57" w:type="dxa"/>
              <w:left w:w="57" w:type="dxa"/>
              <w:bottom w:w="57" w:type="dxa"/>
              <w:right w:w="57" w:type="dxa"/>
            </w:tcMar>
          </w:tcPr>
          <w:p w14:paraId="235126F5" w14:textId="77777777" w:rsidR="00E36F68" w:rsidRPr="00124637" w:rsidRDefault="00E36F68" w:rsidP="00800C4D">
            <w:pPr>
              <w:pStyle w:val="TableBody"/>
              <w:jc w:val="right"/>
            </w:pPr>
            <w:r w:rsidRPr="00124637">
              <w:t>1,200,000</w:t>
            </w:r>
          </w:p>
        </w:tc>
      </w:tr>
      <w:tr w:rsidR="00E36F68" w:rsidRPr="003A3898" w14:paraId="75AD96DA" w14:textId="77777777" w:rsidTr="00DE1F14">
        <w:tc>
          <w:tcPr>
            <w:tcW w:w="2972" w:type="dxa"/>
            <w:tcMar>
              <w:top w:w="57" w:type="dxa"/>
              <w:left w:w="57" w:type="dxa"/>
              <w:bottom w:w="57" w:type="dxa"/>
              <w:right w:w="57" w:type="dxa"/>
            </w:tcMar>
          </w:tcPr>
          <w:p w14:paraId="4F995819" w14:textId="77777777" w:rsidR="00E36F68" w:rsidRPr="00124637" w:rsidRDefault="00E36F68" w:rsidP="00800C4D">
            <w:pPr>
              <w:pStyle w:val="TableBody"/>
            </w:pPr>
            <w:r w:rsidRPr="00124637">
              <w:t>Mobile network codes</w:t>
            </w:r>
          </w:p>
        </w:tc>
        <w:tc>
          <w:tcPr>
            <w:tcW w:w="2552" w:type="dxa"/>
            <w:tcMar>
              <w:top w:w="57" w:type="dxa"/>
              <w:left w:w="57" w:type="dxa"/>
              <w:bottom w:w="57" w:type="dxa"/>
              <w:right w:w="57" w:type="dxa"/>
            </w:tcMar>
          </w:tcPr>
          <w:p w14:paraId="48D5883B" w14:textId="77777777" w:rsidR="00E36F68" w:rsidRPr="00124637" w:rsidRDefault="00E36F68" w:rsidP="00DE1F14">
            <w:pPr>
              <w:pStyle w:val="TableBody"/>
              <w:jc w:val="right"/>
            </w:pPr>
            <w:r w:rsidRPr="00124637">
              <w:t>1</w:t>
            </w:r>
          </w:p>
        </w:tc>
        <w:tc>
          <w:tcPr>
            <w:tcW w:w="3118" w:type="dxa"/>
            <w:shd w:val="clear" w:color="auto" w:fill="FFFFFF"/>
            <w:tcMar>
              <w:top w:w="57" w:type="dxa"/>
              <w:left w:w="57" w:type="dxa"/>
              <w:bottom w:w="57" w:type="dxa"/>
              <w:right w:w="57" w:type="dxa"/>
            </w:tcMar>
          </w:tcPr>
          <w:p w14:paraId="42D80E68" w14:textId="77777777" w:rsidR="00E36F68" w:rsidRPr="00124637" w:rsidRDefault="00E36F68" w:rsidP="00800C4D">
            <w:pPr>
              <w:pStyle w:val="TableBody"/>
              <w:jc w:val="right"/>
            </w:pPr>
            <w:r w:rsidRPr="00124637">
              <w:t>1</w:t>
            </w:r>
          </w:p>
        </w:tc>
      </w:tr>
      <w:tr w:rsidR="00E36F68" w:rsidRPr="003A3898" w14:paraId="63A2DD60" w14:textId="77777777" w:rsidTr="00DE1F14">
        <w:tc>
          <w:tcPr>
            <w:tcW w:w="2972" w:type="dxa"/>
            <w:tcMar>
              <w:top w:w="57" w:type="dxa"/>
              <w:left w:w="57" w:type="dxa"/>
              <w:bottom w:w="57" w:type="dxa"/>
              <w:right w:w="57" w:type="dxa"/>
            </w:tcMar>
          </w:tcPr>
          <w:p w14:paraId="1F8118B1" w14:textId="77777777" w:rsidR="00E36F68" w:rsidRPr="00124637" w:rsidRDefault="00E36F68" w:rsidP="00800C4D">
            <w:pPr>
              <w:pStyle w:val="TableBody"/>
            </w:pPr>
            <w:r w:rsidRPr="00124637">
              <w:t>Pre-selection over-ride code</w:t>
            </w:r>
          </w:p>
        </w:tc>
        <w:tc>
          <w:tcPr>
            <w:tcW w:w="2552" w:type="dxa"/>
            <w:tcMar>
              <w:top w:w="57" w:type="dxa"/>
              <w:left w:w="57" w:type="dxa"/>
              <w:bottom w:w="57" w:type="dxa"/>
              <w:right w:w="57" w:type="dxa"/>
            </w:tcMar>
          </w:tcPr>
          <w:p w14:paraId="369CFC91" w14:textId="77777777" w:rsidR="00E36F68" w:rsidRPr="00124637" w:rsidRDefault="00E36F68" w:rsidP="00DE1F14">
            <w:pPr>
              <w:pStyle w:val="TableBody"/>
              <w:jc w:val="right"/>
            </w:pPr>
            <w:r w:rsidRPr="00124637">
              <w:t>2</w:t>
            </w:r>
          </w:p>
        </w:tc>
        <w:tc>
          <w:tcPr>
            <w:tcW w:w="3118" w:type="dxa"/>
            <w:shd w:val="clear" w:color="auto" w:fill="FFFFFF"/>
            <w:tcMar>
              <w:top w:w="57" w:type="dxa"/>
              <w:left w:w="57" w:type="dxa"/>
              <w:bottom w:w="57" w:type="dxa"/>
              <w:right w:w="57" w:type="dxa"/>
            </w:tcMar>
          </w:tcPr>
          <w:p w14:paraId="3F921E58" w14:textId="77777777" w:rsidR="00E36F68" w:rsidRPr="00124637" w:rsidRDefault="00E36F68" w:rsidP="00800C4D">
            <w:pPr>
              <w:pStyle w:val="TableBody"/>
              <w:jc w:val="right"/>
            </w:pPr>
            <w:r w:rsidRPr="00124637">
              <w:t>2</w:t>
            </w:r>
          </w:p>
        </w:tc>
      </w:tr>
      <w:tr w:rsidR="00E36F68" w:rsidRPr="003A3898" w14:paraId="71AA4ACA" w14:textId="77777777" w:rsidTr="0022095A">
        <w:tc>
          <w:tcPr>
            <w:tcW w:w="2972" w:type="dxa"/>
            <w:shd w:val="clear" w:color="auto" w:fill="F2F2F2" w:themeFill="background1" w:themeFillShade="F2"/>
            <w:tcMar>
              <w:top w:w="57" w:type="dxa"/>
              <w:left w:w="57" w:type="dxa"/>
              <w:bottom w:w="57" w:type="dxa"/>
              <w:right w:w="57" w:type="dxa"/>
            </w:tcMar>
          </w:tcPr>
          <w:p w14:paraId="7A1389AF" w14:textId="77777777" w:rsidR="00E36F68" w:rsidRPr="00124637" w:rsidRDefault="00E36F68" w:rsidP="00800C4D">
            <w:pPr>
              <w:pStyle w:val="TableBody"/>
              <w:rPr>
                <w:b/>
              </w:rPr>
            </w:pPr>
            <w:r w:rsidRPr="00124637">
              <w:rPr>
                <w:b/>
              </w:rPr>
              <w:t>Total numbers allocated</w:t>
            </w:r>
          </w:p>
        </w:tc>
        <w:tc>
          <w:tcPr>
            <w:tcW w:w="2552" w:type="dxa"/>
            <w:shd w:val="clear" w:color="auto" w:fill="F2F2F2" w:themeFill="background1" w:themeFillShade="F2"/>
            <w:tcMar>
              <w:top w:w="57" w:type="dxa"/>
              <w:left w:w="57" w:type="dxa"/>
              <w:bottom w:w="57" w:type="dxa"/>
              <w:right w:w="57" w:type="dxa"/>
            </w:tcMar>
          </w:tcPr>
          <w:p w14:paraId="5A95E84C" w14:textId="77777777" w:rsidR="00E36F68" w:rsidRPr="00124637" w:rsidRDefault="00E36F68" w:rsidP="00800C4D">
            <w:pPr>
              <w:pStyle w:val="TableBody"/>
            </w:pPr>
          </w:p>
        </w:tc>
        <w:tc>
          <w:tcPr>
            <w:tcW w:w="3118" w:type="dxa"/>
            <w:shd w:val="clear" w:color="auto" w:fill="F2F2F2" w:themeFill="background1" w:themeFillShade="F2"/>
            <w:tcMar>
              <w:top w:w="57" w:type="dxa"/>
              <w:left w:w="57" w:type="dxa"/>
              <w:bottom w:w="57" w:type="dxa"/>
              <w:right w:w="57" w:type="dxa"/>
            </w:tcMar>
          </w:tcPr>
          <w:p w14:paraId="43FD90D6" w14:textId="77777777" w:rsidR="00E36F68" w:rsidRPr="00124637" w:rsidRDefault="00E36F68" w:rsidP="00800C4D">
            <w:pPr>
              <w:pStyle w:val="TableBody"/>
              <w:jc w:val="right"/>
              <w:rPr>
                <w:b/>
              </w:rPr>
            </w:pPr>
            <w:r w:rsidRPr="00124637">
              <w:rPr>
                <w:b/>
              </w:rPr>
              <w:t>2,772,103</w:t>
            </w:r>
          </w:p>
        </w:tc>
      </w:tr>
    </w:tbl>
    <w:p w14:paraId="2D041A8D" w14:textId="77777777" w:rsidR="00BF330A" w:rsidRPr="00124637" w:rsidRDefault="00BF330A" w:rsidP="00BF330A">
      <w:pPr>
        <w:spacing w:before="240"/>
        <w:rPr>
          <w:rFonts w:cs="Arial"/>
        </w:rPr>
      </w:pPr>
      <w:r w:rsidRPr="00124637">
        <w:rPr>
          <w:rFonts w:cs="Arial"/>
        </w:rPr>
        <w:t xml:space="preserve">During 2014–15, the ACMA received </w:t>
      </w:r>
      <w:r w:rsidRPr="00124637">
        <w:rPr>
          <w:rFonts w:cs="Arial"/>
          <w:szCs w:val="20"/>
        </w:rPr>
        <w:t>six</w:t>
      </w:r>
      <w:r w:rsidRPr="00124637">
        <w:rPr>
          <w:rFonts w:cs="Arial"/>
        </w:rPr>
        <w:t xml:space="preserve"> applications to surrender numbers from </w:t>
      </w:r>
      <w:r w:rsidRPr="00124637">
        <w:rPr>
          <w:rFonts w:cs="Arial"/>
          <w:szCs w:val="20"/>
        </w:rPr>
        <w:t>six</w:t>
      </w:r>
      <w:r w:rsidRPr="00124637">
        <w:rPr>
          <w:rFonts w:cs="Arial"/>
        </w:rPr>
        <w:t xml:space="preserve"> CSPs. There were </w:t>
      </w:r>
      <w:r w:rsidRPr="00124637">
        <w:rPr>
          <w:rFonts w:cs="Arial"/>
          <w:szCs w:val="20"/>
        </w:rPr>
        <w:t>53</w:t>
      </w:r>
      <w:r w:rsidRPr="00124637">
        <w:rPr>
          <w:rFonts w:cs="Arial"/>
        </w:rPr>
        <w:t xml:space="preserve"> permanent transfers of numbers between CSPs in 2014–15. Table 18 shows the numbers surrendered by number type and Table 19 shows the numbers transferred by number type. Some CSPs transfer or surrender multiple number types.</w:t>
      </w:r>
    </w:p>
    <w:p w14:paraId="117B4DBF" w14:textId="77777777" w:rsidR="003A3898" w:rsidRPr="00124637" w:rsidRDefault="00E36F68" w:rsidP="00C27E50">
      <w:pPr>
        <w:pStyle w:val="Caption"/>
        <w:keepNext/>
        <w:spacing w:after="120"/>
        <w:rPr>
          <w:color w:val="auto"/>
        </w:rPr>
      </w:pPr>
      <w:r w:rsidRPr="00124637">
        <w:rPr>
          <w:color w:val="auto"/>
        </w:rPr>
        <w:t>Quantity of numbers surrendered by number type during 2014–15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2579"/>
        <w:gridCol w:w="3118"/>
      </w:tblGrid>
      <w:tr w:rsidR="00E36F68" w:rsidRPr="003A3898" w14:paraId="665A2085" w14:textId="77777777" w:rsidTr="00DE1F14">
        <w:trPr>
          <w:trHeight w:val="156"/>
        </w:trPr>
        <w:tc>
          <w:tcPr>
            <w:tcW w:w="2945" w:type="dxa"/>
            <w:shd w:val="clear" w:color="auto" w:fill="404040" w:themeFill="text1" w:themeFillTint="BF"/>
            <w:tcMar>
              <w:top w:w="57" w:type="dxa"/>
              <w:left w:w="57" w:type="dxa"/>
              <w:bottom w:w="57" w:type="dxa"/>
              <w:right w:w="57" w:type="dxa"/>
            </w:tcMar>
            <w:vAlign w:val="center"/>
          </w:tcPr>
          <w:p w14:paraId="4262468B" w14:textId="77777777" w:rsidR="00E36F68" w:rsidRPr="00E36F68" w:rsidRDefault="00E36F68" w:rsidP="00C27E50">
            <w:pPr>
              <w:pStyle w:val="TableHeading"/>
              <w:keepNext/>
              <w:keepLines/>
              <w:rPr>
                <w:rFonts w:cs="Arial"/>
                <w:color w:val="FFFFFF" w:themeColor="background1"/>
              </w:rPr>
            </w:pPr>
            <w:r w:rsidRPr="00E36F68">
              <w:rPr>
                <w:rFonts w:cs="Arial"/>
                <w:color w:val="FFFFFF" w:themeColor="background1"/>
              </w:rPr>
              <w:t>Type of number</w:t>
            </w:r>
          </w:p>
        </w:tc>
        <w:tc>
          <w:tcPr>
            <w:tcW w:w="2579" w:type="dxa"/>
            <w:shd w:val="clear" w:color="auto" w:fill="404040" w:themeFill="text1" w:themeFillTint="BF"/>
            <w:tcMar>
              <w:top w:w="57" w:type="dxa"/>
              <w:left w:w="57" w:type="dxa"/>
              <w:bottom w:w="57" w:type="dxa"/>
              <w:right w:w="57" w:type="dxa"/>
            </w:tcMar>
            <w:vAlign w:val="center"/>
          </w:tcPr>
          <w:p w14:paraId="4F391823" w14:textId="77777777" w:rsidR="00E36F68" w:rsidRPr="00E36F68" w:rsidRDefault="00E36F68" w:rsidP="00DE1F14">
            <w:pPr>
              <w:pStyle w:val="TableHeading"/>
              <w:keepNext/>
              <w:keepLines/>
              <w:jc w:val="right"/>
              <w:rPr>
                <w:rFonts w:cs="Arial"/>
                <w:color w:val="FFFFFF" w:themeColor="background1"/>
              </w:rPr>
            </w:pPr>
            <w:r w:rsidRPr="00E36F68">
              <w:rPr>
                <w:rFonts w:cs="Arial"/>
                <w:color w:val="FFFFFF" w:themeColor="background1"/>
              </w:rPr>
              <w:t>CSPs surrendering numbers</w:t>
            </w:r>
          </w:p>
        </w:tc>
        <w:tc>
          <w:tcPr>
            <w:tcW w:w="3118" w:type="dxa"/>
            <w:shd w:val="clear" w:color="auto" w:fill="404040" w:themeFill="text1" w:themeFillTint="BF"/>
            <w:tcMar>
              <w:top w:w="57" w:type="dxa"/>
              <w:left w:w="57" w:type="dxa"/>
              <w:bottom w:w="57" w:type="dxa"/>
              <w:right w:w="57" w:type="dxa"/>
            </w:tcMar>
            <w:vAlign w:val="center"/>
          </w:tcPr>
          <w:p w14:paraId="5C5FE828" w14:textId="77777777" w:rsidR="00E36F68" w:rsidRPr="00E36F68" w:rsidRDefault="00E36F68" w:rsidP="00C27E50">
            <w:pPr>
              <w:pStyle w:val="TableHeading"/>
              <w:keepNext/>
              <w:keepLines/>
              <w:jc w:val="right"/>
              <w:rPr>
                <w:rFonts w:cs="Arial"/>
                <w:color w:val="FFFFFF" w:themeColor="background1"/>
              </w:rPr>
            </w:pPr>
            <w:r w:rsidRPr="00E36F68">
              <w:rPr>
                <w:rFonts w:cs="Arial"/>
                <w:color w:val="FFFFFF" w:themeColor="background1"/>
              </w:rPr>
              <w:t>Quantity of numbers surrendered</w:t>
            </w:r>
          </w:p>
        </w:tc>
      </w:tr>
      <w:tr w:rsidR="00E36F68" w:rsidRPr="003A3898" w14:paraId="2390A3FF" w14:textId="77777777" w:rsidTr="00DE1F14">
        <w:tc>
          <w:tcPr>
            <w:tcW w:w="2945" w:type="dxa"/>
            <w:tcMar>
              <w:top w:w="57" w:type="dxa"/>
              <w:left w:w="57" w:type="dxa"/>
              <w:bottom w:w="57" w:type="dxa"/>
              <w:right w:w="57" w:type="dxa"/>
            </w:tcMar>
            <w:vAlign w:val="center"/>
          </w:tcPr>
          <w:p w14:paraId="2A9E6DED" w14:textId="77777777" w:rsidR="00E36F68" w:rsidRPr="00124637" w:rsidRDefault="00E36F68" w:rsidP="00C27E50">
            <w:pPr>
              <w:pStyle w:val="TableBody"/>
              <w:keepNext/>
              <w:keepLines/>
            </w:pPr>
            <w:r w:rsidRPr="00124637">
              <w:t>Data network service</w:t>
            </w:r>
          </w:p>
        </w:tc>
        <w:tc>
          <w:tcPr>
            <w:tcW w:w="2579" w:type="dxa"/>
            <w:tcMar>
              <w:top w:w="57" w:type="dxa"/>
              <w:left w:w="57" w:type="dxa"/>
              <w:bottom w:w="57" w:type="dxa"/>
              <w:right w:w="57" w:type="dxa"/>
            </w:tcMar>
          </w:tcPr>
          <w:p w14:paraId="1AEBEE3F" w14:textId="77777777" w:rsidR="00E36F68" w:rsidRPr="00124637" w:rsidRDefault="00E36F68" w:rsidP="00DE1F14">
            <w:pPr>
              <w:pStyle w:val="TableBody"/>
              <w:keepNext/>
              <w:keepLines/>
              <w:jc w:val="right"/>
            </w:pPr>
            <w:r w:rsidRPr="00124637">
              <w:t>2</w:t>
            </w:r>
          </w:p>
        </w:tc>
        <w:tc>
          <w:tcPr>
            <w:tcW w:w="3118" w:type="dxa"/>
            <w:shd w:val="clear" w:color="auto" w:fill="FFFFFF"/>
            <w:tcMar>
              <w:top w:w="57" w:type="dxa"/>
              <w:left w:w="57" w:type="dxa"/>
              <w:bottom w:w="57" w:type="dxa"/>
              <w:right w:w="57" w:type="dxa"/>
            </w:tcMar>
          </w:tcPr>
          <w:p w14:paraId="681FB5DC" w14:textId="77777777" w:rsidR="00E36F68" w:rsidRPr="00124637" w:rsidRDefault="00E36F68" w:rsidP="00C27E50">
            <w:pPr>
              <w:pStyle w:val="TableBody"/>
              <w:keepNext/>
              <w:keepLines/>
              <w:jc w:val="right"/>
            </w:pPr>
            <w:r w:rsidRPr="00124637">
              <w:t>301,000,000</w:t>
            </w:r>
          </w:p>
        </w:tc>
      </w:tr>
      <w:tr w:rsidR="00E36F68" w:rsidRPr="003A3898" w14:paraId="4ACCF3A3" w14:textId="77777777" w:rsidTr="00DE1F14">
        <w:tc>
          <w:tcPr>
            <w:tcW w:w="2945" w:type="dxa"/>
            <w:tcMar>
              <w:top w:w="57" w:type="dxa"/>
              <w:left w:w="57" w:type="dxa"/>
              <w:bottom w:w="57" w:type="dxa"/>
              <w:right w:w="57" w:type="dxa"/>
            </w:tcMar>
            <w:vAlign w:val="center"/>
          </w:tcPr>
          <w:p w14:paraId="7EF036C3" w14:textId="77777777" w:rsidR="00E36F68" w:rsidRPr="00124637" w:rsidRDefault="00E36F68" w:rsidP="00C27E50">
            <w:pPr>
              <w:pStyle w:val="TableBody"/>
              <w:keepNext/>
              <w:keepLines/>
            </w:pPr>
            <w:r w:rsidRPr="00124637">
              <w:t>Data network access</w:t>
            </w:r>
          </w:p>
        </w:tc>
        <w:tc>
          <w:tcPr>
            <w:tcW w:w="2579" w:type="dxa"/>
            <w:tcMar>
              <w:top w:w="57" w:type="dxa"/>
              <w:left w:w="57" w:type="dxa"/>
              <w:bottom w:w="57" w:type="dxa"/>
              <w:right w:w="57" w:type="dxa"/>
            </w:tcMar>
          </w:tcPr>
          <w:p w14:paraId="6071E1D5" w14:textId="77777777" w:rsidR="00E36F68" w:rsidRPr="00124637" w:rsidRDefault="00E36F68" w:rsidP="00DE1F14">
            <w:pPr>
              <w:pStyle w:val="TableBody"/>
              <w:keepNext/>
              <w:keepLines/>
              <w:jc w:val="right"/>
            </w:pPr>
            <w:r w:rsidRPr="00124637">
              <w:t>1</w:t>
            </w:r>
          </w:p>
        </w:tc>
        <w:tc>
          <w:tcPr>
            <w:tcW w:w="3118" w:type="dxa"/>
            <w:shd w:val="clear" w:color="auto" w:fill="FFFFFF"/>
            <w:tcMar>
              <w:top w:w="57" w:type="dxa"/>
              <w:left w:w="57" w:type="dxa"/>
              <w:bottom w:w="57" w:type="dxa"/>
              <w:right w:w="57" w:type="dxa"/>
            </w:tcMar>
          </w:tcPr>
          <w:p w14:paraId="0BF18020" w14:textId="77777777" w:rsidR="00E36F68" w:rsidRPr="00124637" w:rsidRDefault="00E36F68" w:rsidP="00C27E50">
            <w:pPr>
              <w:pStyle w:val="TableBody"/>
              <w:keepNext/>
              <w:keepLines/>
              <w:jc w:val="right"/>
            </w:pPr>
            <w:r w:rsidRPr="00124637">
              <w:t>9,000</w:t>
            </w:r>
          </w:p>
        </w:tc>
      </w:tr>
      <w:tr w:rsidR="00E36F68" w:rsidRPr="003A3898" w14:paraId="16735179" w14:textId="77777777" w:rsidTr="00DE1F14">
        <w:tc>
          <w:tcPr>
            <w:tcW w:w="2945" w:type="dxa"/>
            <w:tcMar>
              <w:top w:w="57" w:type="dxa"/>
              <w:left w:w="57" w:type="dxa"/>
              <w:bottom w:w="57" w:type="dxa"/>
              <w:right w:w="57" w:type="dxa"/>
            </w:tcMar>
            <w:vAlign w:val="center"/>
          </w:tcPr>
          <w:p w14:paraId="33AB8DE8" w14:textId="77777777" w:rsidR="00E36F68" w:rsidRPr="00124637" w:rsidRDefault="00E36F68" w:rsidP="00C27E50">
            <w:pPr>
              <w:pStyle w:val="TableBody"/>
              <w:keepNext/>
              <w:keepLines/>
            </w:pPr>
            <w:r w:rsidRPr="00124637">
              <w:t>Digital mobile service</w:t>
            </w:r>
          </w:p>
        </w:tc>
        <w:tc>
          <w:tcPr>
            <w:tcW w:w="2579" w:type="dxa"/>
            <w:tcMar>
              <w:top w:w="57" w:type="dxa"/>
              <w:left w:w="57" w:type="dxa"/>
              <w:bottom w:w="57" w:type="dxa"/>
              <w:right w:w="57" w:type="dxa"/>
            </w:tcMar>
          </w:tcPr>
          <w:p w14:paraId="576FC104" w14:textId="77777777" w:rsidR="00E36F68" w:rsidRPr="00124637" w:rsidRDefault="00E36F68" w:rsidP="00DE1F14">
            <w:pPr>
              <w:pStyle w:val="TableBody"/>
              <w:keepNext/>
              <w:keepLines/>
              <w:jc w:val="right"/>
            </w:pPr>
            <w:r w:rsidRPr="00124637">
              <w:t>1</w:t>
            </w:r>
          </w:p>
        </w:tc>
        <w:tc>
          <w:tcPr>
            <w:tcW w:w="3118" w:type="dxa"/>
            <w:shd w:val="clear" w:color="auto" w:fill="FFFFFF"/>
            <w:tcMar>
              <w:top w:w="57" w:type="dxa"/>
              <w:left w:w="57" w:type="dxa"/>
              <w:bottom w:w="57" w:type="dxa"/>
              <w:right w:w="57" w:type="dxa"/>
            </w:tcMar>
          </w:tcPr>
          <w:p w14:paraId="754C9815" w14:textId="77777777" w:rsidR="00E36F68" w:rsidRPr="00124637" w:rsidRDefault="00E36F68" w:rsidP="00C27E50">
            <w:pPr>
              <w:pStyle w:val="TableBody"/>
              <w:keepNext/>
              <w:keepLines/>
              <w:jc w:val="right"/>
            </w:pPr>
            <w:r w:rsidRPr="00124637">
              <w:t>200,000</w:t>
            </w:r>
          </w:p>
        </w:tc>
      </w:tr>
      <w:tr w:rsidR="00E36F68" w:rsidRPr="003A3898" w14:paraId="3D526D1D" w14:textId="77777777" w:rsidTr="00DE1F14">
        <w:tc>
          <w:tcPr>
            <w:tcW w:w="2945" w:type="dxa"/>
            <w:tcMar>
              <w:top w:w="57" w:type="dxa"/>
              <w:left w:w="57" w:type="dxa"/>
              <w:bottom w:w="57" w:type="dxa"/>
              <w:right w:w="57" w:type="dxa"/>
            </w:tcMar>
            <w:vAlign w:val="center"/>
          </w:tcPr>
          <w:p w14:paraId="61093B8A" w14:textId="77777777" w:rsidR="00E36F68" w:rsidRPr="00124637" w:rsidRDefault="00E36F68" w:rsidP="00C27E50">
            <w:pPr>
              <w:pStyle w:val="TableBody"/>
              <w:keepNext/>
              <w:keepLines/>
            </w:pPr>
            <w:r w:rsidRPr="00124637">
              <w:t>LICS</w:t>
            </w:r>
          </w:p>
        </w:tc>
        <w:tc>
          <w:tcPr>
            <w:tcW w:w="2579" w:type="dxa"/>
            <w:tcMar>
              <w:top w:w="57" w:type="dxa"/>
              <w:left w:w="57" w:type="dxa"/>
              <w:bottom w:w="57" w:type="dxa"/>
              <w:right w:w="57" w:type="dxa"/>
            </w:tcMar>
          </w:tcPr>
          <w:p w14:paraId="3A3DF9E5" w14:textId="77777777" w:rsidR="00E36F68" w:rsidRPr="00124637" w:rsidRDefault="00E36F68" w:rsidP="00DE1F14">
            <w:pPr>
              <w:pStyle w:val="TableBody"/>
              <w:keepNext/>
              <w:keepLines/>
              <w:jc w:val="right"/>
            </w:pPr>
            <w:r w:rsidRPr="00124637">
              <w:t>2</w:t>
            </w:r>
          </w:p>
        </w:tc>
        <w:tc>
          <w:tcPr>
            <w:tcW w:w="3118" w:type="dxa"/>
            <w:shd w:val="clear" w:color="auto" w:fill="FFFFFF"/>
            <w:tcMar>
              <w:top w:w="57" w:type="dxa"/>
              <w:left w:w="57" w:type="dxa"/>
              <w:bottom w:w="57" w:type="dxa"/>
              <w:right w:w="57" w:type="dxa"/>
            </w:tcMar>
          </w:tcPr>
          <w:p w14:paraId="76A89B15" w14:textId="77777777" w:rsidR="00E36F68" w:rsidRPr="00124637" w:rsidRDefault="00E36F68" w:rsidP="00C27E50">
            <w:pPr>
              <w:pStyle w:val="TableBody"/>
              <w:keepNext/>
              <w:keepLines/>
              <w:jc w:val="right"/>
            </w:pPr>
            <w:r w:rsidRPr="00124637">
              <w:t>2,000</w:t>
            </w:r>
          </w:p>
        </w:tc>
      </w:tr>
      <w:tr w:rsidR="00E36F68" w:rsidRPr="003A3898" w14:paraId="3010BC96" w14:textId="77777777" w:rsidTr="0022095A">
        <w:tc>
          <w:tcPr>
            <w:tcW w:w="2945" w:type="dxa"/>
            <w:shd w:val="clear" w:color="auto" w:fill="F2F2F2" w:themeFill="background1" w:themeFillShade="F2"/>
            <w:tcMar>
              <w:top w:w="57" w:type="dxa"/>
              <w:left w:w="57" w:type="dxa"/>
              <w:bottom w:w="57" w:type="dxa"/>
              <w:right w:w="57" w:type="dxa"/>
            </w:tcMar>
          </w:tcPr>
          <w:p w14:paraId="1E30CE60" w14:textId="77777777" w:rsidR="00E36F68" w:rsidRPr="00124637" w:rsidRDefault="00E36F68" w:rsidP="00C27E50">
            <w:pPr>
              <w:pStyle w:val="TableBody"/>
              <w:keepNext/>
              <w:keepLines/>
              <w:rPr>
                <w:b/>
              </w:rPr>
            </w:pPr>
            <w:r w:rsidRPr="00124637">
              <w:rPr>
                <w:b/>
              </w:rPr>
              <w:t>Total numbers surrendered</w:t>
            </w:r>
          </w:p>
        </w:tc>
        <w:tc>
          <w:tcPr>
            <w:tcW w:w="2579" w:type="dxa"/>
            <w:shd w:val="clear" w:color="auto" w:fill="F2F2F2" w:themeFill="background1" w:themeFillShade="F2"/>
            <w:tcMar>
              <w:top w:w="57" w:type="dxa"/>
              <w:left w:w="57" w:type="dxa"/>
              <w:bottom w:w="57" w:type="dxa"/>
              <w:right w:w="57" w:type="dxa"/>
            </w:tcMar>
            <w:vAlign w:val="center"/>
          </w:tcPr>
          <w:p w14:paraId="5169EE60" w14:textId="77777777" w:rsidR="00E36F68" w:rsidRPr="00124637" w:rsidRDefault="00E36F68" w:rsidP="00C27E50">
            <w:pPr>
              <w:pStyle w:val="TableBody"/>
              <w:keepNext/>
              <w:keepLines/>
              <w:rPr>
                <w:b/>
              </w:rPr>
            </w:pPr>
          </w:p>
        </w:tc>
        <w:tc>
          <w:tcPr>
            <w:tcW w:w="3118" w:type="dxa"/>
            <w:shd w:val="clear" w:color="auto" w:fill="F2F2F2" w:themeFill="background1" w:themeFillShade="F2"/>
            <w:tcMar>
              <w:top w:w="57" w:type="dxa"/>
              <w:left w:w="57" w:type="dxa"/>
              <w:bottom w:w="57" w:type="dxa"/>
              <w:right w:w="57" w:type="dxa"/>
            </w:tcMar>
          </w:tcPr>
          <w:p w14:paraId="67EAA6E0" w14:textId="77777777" w:rsidR="00E36F68" w:rsidRPr="00124637" w:rsidRDefault="00E36F68" w:rsidP="00C27E50">
            <w:pPr>
              <w:pStyle w:val="TableBody"/>
              <w:keepNext/>
              <w:keepLines/>
              <w:jc w:val="right"/>
              <w:rPr>
                <w:b/>
              </w:rPr>
            </w:pPr>
            <w:r w:rsidRPr="00124637">
              <w:rPr>
                <w:b/>
              </w:rPr>
              <w:t>301,211,000</w:t>
            </w:r>
          </w:p>
        </w:tc>
      </w:tr>
    </w:tbl>
    <w:p w14:paraId="0D1F9ED6" w14:textId="77777777" w:rsidR="00E36F68" w:rsidRPr="00E36F68" w:rsidRDefault="00E36F68" w:rsidP="00E36F68">
      <w:pPr>
        <w:pStyle w:val="ACMASpaceaftertable"/>
      </w:pPr>
    </w:p>
    <w:p w14:paraId="111D3124" w14:textId="77777777" w:rsidR="003A3898" w:rsidRPr="00124637" w:rsidRDefault="00E36F68" w:rsidP="00BE189D">
      <w:pPr>
        <w:pStyle w:val="Caption"/>
        <w:keepNext/>
        <w:spacing w:after="120"/>
        <w:rPr>
          <w:color w:val="auto"/>
        </w:rPr>
      </w:pPr>
      <w:r w:rsidRPr="00124637">
        <w:rPr>
          <w:color w:val="auto"/>
        </w:rPr>
        <w:t>Quantity of numbers transferred by number type during 2014–15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64"/>
        <w:gridCol w:w="3118"/>
      </w:tblGrid>
      <w:tr w:rsidR="00E36F68" w:rsidRPr="003A3898" w14:paraId="242A9592" w14:textId="77777777" w:rsidTr="00DE1F14">
        <w:trPr>
          <w:trHeight w:val="156"/>
        </w:trPr>
        <w:tc>
          <w:tcPr>
            <w:tcW w:w="3060" w:type="dxa"/>
            <w:shd w:val="clear" w:color="auto" w:fill="404040" w:themeFill="text1" w:themeFillTint="BF"/>
            <w:tcMar>
              <w:top w:w="57" w:type="dxa"/>
              <w:left w:w="57" w:type="dxa"/>
              <w:bottom w:w="57" w:type="dxa"/>
              <w:right w:w="57" w:type="dxa"/>
            </w:tcMar>
            <w:vAlign w:val="center"/>
          </w:tcPr>
          <w:p w14:paraId="27F2EACD" w14:textId="77777777" w:rsidR="00E36F68" w:rsidRPr="00E36F68" w:rsidRDefault="00E36F68" w:rsidP="00E36F68">
            <w:pPr>
              <w:pStyle w:val="TableHeading"/>
              <w:rPr>
                <w:color w:val="FFFFFF" w:themeColor="background1"/>
              </w:rPr>
            </w:pPr>
            <w:r w:rsidRPr="00E36F68">
              <w:rPr>
                <w:color w:val="FFFFFF" w:themeColor="background1"/>
              </w:rPr>
              <w:t>Type of number</w:t>
            </w:r>
          </w:p>
        </w:tc>
        <w:tc>
          <w:tcPr>
            <w:tcW w:w="2464" w:type="dxa"/>
            <w:shd w:val="clear" w:color="auto" w:fill="404040" w:themeFill="text1" w:themeFillTint="BF"/>
            <w:tcMar>
              <w:top w:w="57" w:type="dxa"/>
              <w:left w:w="57" w:type="dxa"/>
              <w:bottom w:w="57" w:type="dxa"/>
              <w:right w:w="57" w:type="dxa"/>
            </w:tcMar>
            <w:vAlign w:val="center"/>
          </w:tcPr>
          <w:p w14:paraId="2D268135" w14:textId="77777777" w:rsidR="00E36F68" w:rsidRPr="00E36F68" w:rsidRDefault="00E36F68" w:rsidP="00DE1F14">
            <w:pPr>
              <w:pStyle w:val="TableHeading"/>
              <w:jc w:val="right"/>
              <w:rPr>
                <w:color w:val="FFFFFF" w:themeColor="background1"/>
              </w:rPr>
            </w:pPr>
            <w:r w:rsidRPr="00E36F68">
              <w:rPr>
                <w:color w:val="FFFFFF" w:themeColor="background1"/>
              </w:rPr>
              <w:t>CSPs transferring numbers</w:t>
            </w:r>
          </w:p>
        </w:tc>
        <w:tc>
          <w:tcPr>
            <w:tcW w:w="3118" w:type="dxa"/>
            <w:shd w:val="clear" w:color="auto" w:fill="404040" w:themeFill="text1" w:themeFillTint="BF"/>
            <w:tcMar>
              <w:top w:w="57" w:type="dxa"/>
              <w:left w:w="57" w:type="dxa"/>
              <w:bottom w:w="57" w:type="dxa"/>
              <w:right w:w="57" w:type="dxa"/>
            </w:tcMar>
            <w:vAlign w:val="center"/>
          </w:tcPr>
          <w:p w14:paraId="393793B7" w14:textId="77777777" w:rsidR="00E36F68" w:rsidRPr="00E36F68" w:rsidRDefault="00E36F68" w:rsidP="00C27E50">
            <w:pPr>
              <w:pStyle w:val="TableHeading"/>
              <w:jc w:val="right"/>
              <w:rPr>
                <w:color w:val="FFFFFF" w:themeColor="background1"/>
              </w:rPr>
            </w:pPr>
            <w:r w:rsidRPr="00E36F68">
              <w:rPr>
                <w:color w:val="FFFFFF" w:themeColor="background1"/>
              </w:rPr>
              <w:t>Quantity of numbers transferred</w:t>
            </w:r>
          </w:p>
        </w:tc>
      </w:tr>
      <w:tr w:rsidR="00E36F68" w:rsidRPr="003A3898" w14:paraId="20FD1CAC" w14:textId="77777777" w:rsidTr="00DE1F14">
        <w:tc>
          <w:tcPr>
            <w:tcW w:w="3060" w:type="dxa"/>
            <w:tcMar>
              <w:top w:w="57" w:type="dxa"/>
              <w:left w:w="57" w:type="dxa"/>
              <w:bottom w:w="57" w:type="dxa"/>
              <w:right w:w="57" w:type="dxa"/>
            </w:tcMar>
            <w:vAlign w:val="center"/>
          </w:tcPr>
          <w:p w14:paraId="10B8BD76" w14:textId="77777777" w:rsidR="00E36F68" w:rsidRPr="00124637" w:rsidRDefault="00E36F68" w:rsidP="00800C4D">
            <w:pPr>
              <w:pStyle w:val="TableBody"/>
            </w:pPr>
            <w:r w:rsidRPr="00124637">
              <w:t>Geographic</w:t>
            </w:r>
          </w:p>
        </w:tc>
        <w:tc>
          <w:tcPr>
            <w:tcW w:w="2464" w:type="dxa"/>
            <w:tcMar>
              <w:top w:w="57" w:type="dxa"/>
              <w:left w:w="57" w:type="dxa"/>
              <w:bottom w:w="57" w:type="dxa"/>
              <w:right w:w="57" w:type="dxa"/>
            </w:tcMar>
          </w:tcPr>
          <w:p w14:paraId="1A490CEB" w14:textId="77777777" w:rsidR="00E36F68" w:rsidRPr="00124637" w:rsidRDefault="00E36F68" w:rsidP="00DE1F14">
            <w:pPr>
              <w:pStyle w:val="TableBody"/>
              <w:jc w:val="right"/>
            </w:pPr>
            <w:r w:rsidRPr="00124637">
              <w:t>7</w:t>
            </w:r>
          </w:p>
        </w:tc>
        <w:tc>
          <w:tcPr>
            <w:tcW w:w="3118" w:type="dxa"/>
            <w:shd w:val="clear" w:color="auto" w:fill="FFFFFF"/>
            <w:tcMar>
              <w:top w:w="57" w:type="dxa"/>
              <w:left w:w="57" w:type="dxa"/>
              <w:bottom w:w="57" w:type="dxa"/>
              <w:right w:w="57" w:type="dxa"/>
            </w:tcMar>
          </w:tcPr>
          <w:p w14:paraId="7F815DEC" w14:textId="77777777" w:rsidR="00E36F68" w:rsidRPr="00124637" w:rsidRDefault="00E36F68" w:rsidP="00800C4D">
            <w:pPr>
              <w:pStyle w:val="TableBody"/>
              <w:jc w:val="right"/>
            </w:pPr>
            <w:r w:rsidRPr="00124637">
              <w:t>103,100</w:t>
            </w:r>
          </w:p>
        </w:tc>
      </w:tr>
      <w:tr w:rsidR="00E36F68" w:rsidRPr="003A3898" w14:paraId="3A31077D" w14:textId="77777777" w:rsidTr="00DE1F14">
        <w:tc>
          <w:tcPr>
            <w:tcW w:w="3060" w:type="dxa"/>
            <w:tcMar>
              <w:top w:w="57" w:type="dxa"/>
              <w:left w:w="57" w:type="dxa"/>
              <w:bottom w:w="57" w:type="dxa"/>
              <w:right w:w="57" w:type="dxa"/>
            </w:tcMar>
            <w:vAlign w:val="center"/>
          </w:tcPr>
          <w:p w14:paraId="2941C8BB" w14:textId="77777777" w:rsidR="00E36F68" w:rsidRPr="00124637" w:rsidRDefault="00E36F68" w:rsidP="00800C4D">
            <w:pPr>
              <w:pStyle w:val="TableBody"/>
            </w:pPr>
            <w:r w:rsidRPr="00124637">
              <w:t>Mobile</w:t>
            </w:r>
          </w:p>
        </w:tc>
        <w:tc>
          <w:tcPr>
            <w:tcW w:w="2464" w:type="dxa"/>
            <w:tcMar>
              <w:top w:w="57" w:type="dxa"/>
              <w:left w:w="57" w:type="dxa"/>
              <w:bottom w:w="57" w:type="dxa"/>
              <w:right w:w="57" w:type="dxa"/>
            </w:tcMar>
          </w:tcPr>
          <w:p w14:paraId="5BBE6408" w14:textId="77777777" w:rsidR="00E36F68" w:rsidRPr="00124637" w:rsidRDefault="00E36F68" w:rsidP="00DE1F14">
            <w:pPr>
              <w:pStyle w:val="TableBody"/>
              <w:jc w:val="right"/>
            </w:pPr>
            <w:r w:rsidRPr="00124637">
              <w:t>2</w:t>
            </w:r>
          </w:p>
        </w:tc>
        <w:tc>
          <w:tcPr>
            <w:tcW w:w="3118" w:type="dxa"/>
            <w:shd w:val="clear" w:color="auto" w:fill="FFFFFF"/>
            <w:tcMar>
              <w:top w:w="57" w:type="dxa"/>
              <w:left w:w="57" w:type="dxa"/>
              <w:bottom w:w="57" w:type="dxa"/>
              <w:right w:w="57" w:type="dxa"/>
            </w:tcMar>
          </w:tcPr>
          <w:p w14:paraId="3210664B" w14:textId="77777777" w:rsidR="00E36F68" w:rsidRPr="00124637" w:rsidRDefault="00E36F68" w:rsidP="00800C4D">
            <w:pPr>
              <w:pStyle w:val="TableBody"/>
              <w:jc w:val="right"/>
            </w:pPr>
            <w:r w:rsidRPr="00124637">
              <w:t>3,100,000</w:t>
            </w:r>
          </w:p>
        </w:tc>
      </w:tr>
      <w:tr w:rsidR="00E36F68" w:rsidRPr="003A3898" w14:paraId="6BF320E7" w14:textId="77777777" w:rsidTr="0022095A">
        <w:tc>
          <w:tcPr>
            <w:tcW w:w="3060" w:type="dxa"/>
            <w:shd w:val="clear" w:color="auto" w:fill="F2F2F2" w:themeFill="background1" w:themeFillShade="F2"/>
            <w:tcMar>
              <w:top w:w="57" w:type="dxa"/>
              <w:left w:w="57" w:type="dxa"/>
              <w:bottom w:w="57" w:type="dxa"/>
              <w:right w:w="57" w:type="dxa"/>
            </w:tcMar>
          </w:tcPr>
          <w:p w14:paraId="05F921C0" w14:textId="77777777" w:rsidR="00E36F68" w:rsidRPr="00124637" w:rsidRDefault="00E36F68" w:rsidP="00800C4D">
            <w:pPr>
              <w:pStyle w:val="TableBody"/>
              <w:rPr>
                <w:b/>
              </w:rPr>
            </w:pPr>
            <w:r w:rsidRPr="00124637">
              <w:rPr>
                <w:b/>
              </w:rPr>
              <w:t>Total numbers transferred</w:t>
            </w:r>
          </w:p>
        </w:tc>
        <w:tc>
          <w:tcPr>
            <w:tcW w:w="2464" w:type="dxa"/>
            <w:shd w:val="clear" w:color="auto" w:fill="F2F2F2" w:themeFill="background1" w:themeFillShade="F2"/>
            <w:tcMar>
              <w:top w:w="57" w:type="dxa"/>
              <w:left w:w="57" w:type="dxa"/>
              <w:bottom w:w="57" w:type="dxa"/>
              <w:right w:w="57" w:type="dxa"/>
            </w:tcMar>
            <w:vAlign w:val="center"/>
          </w:tcPr>
          <w:p w14:paraId="41908656" w14:textId="77777777" w:rsidR="00E36F68" w:rsidRPr="00124637" w:rsidRDefault="00E36F68" w:rsidP="00C27E50">
            <w:pPr>
              <w:pStyle w:val="TableBody"/>
              <w:rPr>
                <w:b/>
              </w:rPr>
            </w:pPr>
          </w:p>
        </w:tc>
        <w:tc>
          <w:tcPr>
            <w:tcW w:w="3118" w:type="dxa"/>
            <w:shd w:val="clear" w:color="auto" w:fill="F2F2F2" w:themeFill="background1" w:themeFillShade="F2"/>
            <w:tcMar>
              <w:top w:w="57" w:type="dxa"/>
              <w:left w:w="57" w:type="dxa"/>
              <w:bottom w:w="57" w:type="dxa"/>
              <w:right w:w="57" w:type="dxa"/>
            </w:tcMar>
            <w:vAlign w:val="center"/>
          </w:tcPr>
          <w:p w14:paraId="607E64EF" w14:textId="77777777" w:rsidR="00E36F68" w:rsidRPr="00124637" w:rsidRDefault="00E36F68" w:rsidP="00800C4D">
            <w:pPr>
              <w:pStyle w:val="TableBody"/>
              <w:jc w:val="right"/>
              <w:rPr>
                <w:b/>
              </w:rPr>
            </w:pPr>
            <w:r w:rsidRPr="00124637">
              <w:rPr>
                <w:b/>
              </w:rPr>
              <w:t>3,203,100</w:t>
            </w:r>
          </w:p>
        </w:tc>
      </w:tr>
    </w:tbl>
    <w:p w14:paraId="69423653" w14:textId="77777777" w:rsidR="00D92FF8" w:rsidRPr="00124637" w:rsidRDefault="00D92FF8" w:rsidP="00124637">
      <w:pPr>
        <w:spacing w:before="240"/>
        <w:rPr>
          <w:rFonts w:cs="Arial"/>
        </w:rPr>
      </w:pPr>
      <w:r w:rsidRPr="00124637">
        <w:rPr>
          <w:rFonts w:cs="Arial"/>
        </w:rPr>
        <w:t>INMS is contracted to the ACMA to provide delegated services to industry for freephone (1800), local rate (13) and six- and eight-digit premium rate numbers. Services undertaken by INMS include number allocations, withdrawals, reservations and placements in quarantine. Table 20 shows the quantity of numbers allocated by INMS and Table 21 shows the quantity surrendered in 2014–15</w:t>
      </w:r>
      <w:r w:rsidR="00C27E50" w:rsidRPr="00124637">
        <w:rPr>
          <w:rFonts w:cs="Arial"/>
        </w:rPr>
        <w:t>,</w:t>
      </w:r>
      <w:r w:rsidRPr="00124637">
        <w:rPr>
          <w:rFonts w:cs="Arial"/>
        </w:rPr>
        <w:t xml:space="preserve"> by number type.</w:t>
      </w:r>
    </w:p>
    <w:p w14:paraId="2C2B0A76" w14:textId="77777777" w:rsidR="00E36F68" w:rsidRPr="00124637" w:rsidRDefault="00E36F68" w:rsidP="00DE1F14">
      <w:pPr>
        <w:pStyle w:val="Caption"/>
        <w:keepNext/>
        <w:keepLines/>
        <w:spacing w:after="120"/>
        <w:rPr>
          <w:color w:val="auto"/>
        </w:rPr>
      </w:pPr>
      <w:r w:rsidRPr="00124637">
        <w:rPr>
          <w:color w:val="auto"/>
        </w:rPr>
        <w:lastRenderedPageBreak/>
        <w:t>Quantity of numbers allocated by INMS by number type and digit length during 2014–15</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3118"/>
      </w:tblGrid>
      <w:tr w:rsidR="00E36F68" w:rsidRPr="003A3898" w14:paraId="43BC50D5" w14:textId="77777777" w:rsidTr="00DE1F14">
        <w:trPr>
          <w:trHeight w:val="158"/>
        </w:trPr>
        <w:tc>
          <w:tcPr>
            <w:tcW w:w="5524" w:type="dxa"/>
            <w:shd w:val="clear" w:color="auto" w:fill="404040" w:themeFill="text1" w:themeFillTint="BF"/>
            <w:tcMar>
              <w:top w:w="57" w:type="dxa"/>
              <w:left w:w="57" w:type="dxa"/>
              <w:bottom w:w="57" w:type="dxa"/>
              <w:right w:w="57" w:type="dxa"/>
            </w:tcMar>
            <w:vAlign w:val="center"/>
          </w:tcPr>
          <w:p w14:paraId="0A3D1176" w14:textId="77777777" w:rsidR="00E36F68" w:rsidRPr="00E36F68" w:rsidRDefault="00E36F68" w:rsidP="00DE1F14">
            <w:pPr>
              <w:pStyle w:val="TableHeading"/>
              <w:keepNext/>
              <w:keepLines/>
              <w:rPr>
                <w:color w:val="FFFFFF" w:themeColor="background1"/>
              </w:rPr>
            </w:pPr>
            <w:r w:rsidRPr="00E36F68">
              <w:rPr>
                <w:color w:val="FFFFFF" w:themeColor="background1"/>
              </w:rPr>
              <w:t>Type of number</w:t>
            </w:r>
          </w:p>
        </w:tc>
        <w:tc>
          <w:tcPr>
            <w:tcW w:w="3118" w:type="dxa"/>
            <w:shd w:val="clear" w:color="auto" w:fill="404040" w:themeFill="text1" w:themeFillTint="BF"/>
            <w:tcMar>
              <w:top w:w="57" w:type="dxa"/>
              <w:left w:w="57" w:type="dxa"/>
              <w:bottom w:w="57" w:type="dxa"/>
              <w:right w:w="57" w:type="dxa"/>
            </w:tcMar>
            <w:vAlign w:val="center"/>
          </w:tcPr>
          <w:p w14:paraId="63D37F02" w14:textId="77777777" w:rsidR="00E36F68" w:rsidRPr="00E36F68" w:rsidRDefault="00E36F68" w:rsidP="00DE1F14">
            <w:pPr>
              <w:pStyle w:val="TableHeading"/>
              <w:keepNext/>
              <w:keepLines/>
              <w:jc w:val="right"/>
              <w:rPr>
                <w:color w:val="FFFFFF" w:themeColor="background1"/>
              </w:rPr>
            </w:pPr>
            <w:r w:rsidRPr="00E36F68">
              <w:rPr>
                <w:color w:val="FFFFFF" w:themeColor="background1"/>
              </w:rPr>
              <w:t>Quantity of numbers allocated</w:t>
            </w:r>
          </w:p>
        </w:tc>
      </w:tr>
      <w:tr w:rsidR="00E36F68" w:rsidRPr="003A3898" w14:paraId="70C15719" w14:textId="77777777" w:rsidTr="00DE1F14">
        <w:tc>
          <w:tcPr>
            <w:tcW w:w="5524" w:type="dxa"/>
            <w:tcMar>
              <w:top w:w="57" w:type="dxa"/>
              <w:left w:w="57" w:type="dxa"/>
              <w:bottom w:w="57" w:type="dxa"/>
              <w:right w:w="57" w:type="dxa"/>
            </w:tcMar>
          </w:tcPr>
          <w:p w14:paraId="2A75E4CE" w14:textId="77777777" w:rsidR="00E36F68" w:rsidRPr="00124637" w:rsidRDefault="00E36F68" w:rsidP="00DE1F14">
            <w:pPr>
              <w:pStyle w:val="TableBody"/>
              <w:keepNext/>
              <w:keepLines/>
            </w:pPr>
            <w:r w:rsidRPr="00124637">
              <w:t>Freephone and local rate (1800, 1300, 13)</w:t>
            </w:r>
          </w:p>
        </w:tc>
        <w:tc>
          <w:tcPr>
            <w:tcW w:w="3118" w:type="dxa"/>
            <w:shd w:val="clear" w:color="auto" w:fill="FFFFFF"/>
            <w:tcMar>
              <w:top w:w="57" w:type="dxa"/>
              <w:left w:w="57" w:type="dxa"/>
              <w:bottom w:w="57" w:type="dxa"/>
              <w:right w:w="57" w:type="dxa"/>
            </w:tcMar>
          </w:tcPr>
          <w:p w14:paraId="07D77C1F" w14:textId="77777777" w:rsidR="00E36F68" w:rsidRPr="00124637" w:rsidRDefault="00E36F68" w:rsidP="00DE1F14">
            <w:pPr>
              <w:pStyle w:val="TableBody"/>
              <w:keepNext/>
              <w:keepLines/>
              <w:jc w:val="right"/>
            </w:pPr>
            <w:r w:rsidRPr="00124637">
              <w:t>28,256</w:t>
            </w:r>
          </w:p>
        </w:tc>
      </w:tr>
      <w:tr w:rsidR="00E36F68" w:rsidRPr="003A3898" w14:paraId="2C2DD664" w14:textId="77777777" w:rsidTr="00DE1F14">
        <w:tc>
          <w:tcPr>
            <w:tcW w:w="5524" w:type="dxa"/>
            <w:tcMar>
              <w:top w:w="57" w:type="dxa"/>
              <w:left w:w="57" w:type="dxa"/>
              <w:bottom w:w="57" w:type="dxa"/>
              <w:right w:w="57" w:type="dxa"/>
            </w:tcMar>
          </w:tcPr>
          <w:p w14:paraId="44374FDF" w14:textId="77777777" w:rsidR="00E36F68" w:rsidRPr="00124637" w:rsidRDefault="00E36F68" w:rsidP="00DE1F14">
            <w:pPr>
              <w:pStyle w:val="TableBody"/>
              <w:keepNext/>
              <w:keepLines/>
            </w:pPr>
            <w:r w:rsidRPr="00124637">
              <w:t>Premium rate numbers (six- and eight-digit 19 numbers)</w:t>
            </w:r>
          </w:p>
        </w:tc>
        <w:tc>
          <w:tcPr>
            <w:tcW w:w="3118" w:type="dxa"/>
            <w:shd w:val="clear" w:color="auto" w:fill="FFFFFF"/>
            <w:tcMar>
              <w:top w:w="57" w:type="dxa"/>
              <w:left w:w="57" w:type="dxa"/>
              <w:bottom w:w="57" w:type="dxa"/>
              <w:right w:w="57" w:type="dxa"/>
            </w:tcMar>
          </w:tcPr>
          <w:p w14:paraId="18FFE62C" w14:textId="77777777" w:rsidR="00E36F68" w:rsidRPr="00124637" w:rsidRDefault="00E36F68" w:rsidP="00DE1F14">
            <w:pPr>
              <w:pStyle w:val="TableBody"/>
              <w:keepNext/>
              <w:keepLines/>
              <w:jc w:val="right"/>
            </w:pPr>
            <w:r w:rsidRPr="00124637">
              <w:t>79</w:t>
            </w:r>
          </w:p>
        </w:tc>
      </w:tr>
      <w:tr w:rsidR="00E36F68" w:rsidRPr="003A3898" w14:paraId="41FFD297" w14:textId="77777777" w:rsidTr="0022095A">
        <w:tc>
          <w:tcPr>
            <w:tcW w:w="5524" w:type="dxa"/>
            <w:shd w:val="clear" w:color="auto" w:fill="F2F2F2" w:themeFill="background1" w:themeFillShade="F2"/>
            <w:tcMar>
              <w:top w:w="57" w:type="dxa"/>
              <w:left w:w="57" w:type="dxa"/>
              <w:bottom w:w="57" w:type="dxa"/>
              <w:right w:w="57" w:type="dxa"/>
            </w:tcMar>
          </w:tcPr>
          <w:p w14:paraId="75867AD7" w14:textId="77777777" w:rsidR="00E36F68" w:rsidRPr="00124637" w:rsidRDefault="00E36F68" w:rsidP="00DE1F14">
            <w:pPr>
              <w:pStyle w:val="TableBody"/>
              <w:keepNext/>
              <w:keepLines/>
              <w:rPr>
                <w:b/>
              </w:rPr>
            </w:pPr>
            <w:r w:rsidRPr="00124637">
              <w:rPr>
                <w:b/>
              </w:rPr>
              <w:t>Total numbers allocated</w:t>
            </w:r>
          </w:p>
        </w:tc>
        <w:tc>
          <w:tcPr>
            <w:tcW w:w="3118" w:type="dxa"/>
            <w:shd w:val="clear" w:color="auto" w:fill="F2F2F2" w:themeFill="background1" w:themeFillShade="F2"/>
            <w:tcMar>
              <w:top w:w="57" w:type="dxa"/>
              <w:left w:w="57" w:type="dxa"/>
              <w:bottom w:w="57" w:type="dxa"/>
              <w:right w:w="57" w:type="dxa"/>
            </w:tcMar>
          </w:tcPr>
          <w:p w14:paraId="43237301" w14:textId="77777777" w:rsidR="00E36F68" w:rsidRPr="00124637" w:rsidRDefault="00E36F68" w:rsidP="00DE1F14">
            <w:pPr>
              <w:pStyle w:val="TableBody"/>
              <w:keepNext/>
              <w:keepLines/>
              <w:jc w:val="right"/>
              <w:rPr>
                <w:b/>
              </w:rPr>
            </w:pPr>
            <w:r w:rsidRPr="00124637">
              <w:rPr>
                <w:b/>
              </w:rPr>
              <w:t>28,335</w:t>
            </w:r>
          </w:p>
        </w:tc>
      </w:tr>
    </w:tbl>
    <w:p w14:paraId="0E3ED3E9" w14:textId="77777777" w:rsidR="00E36F68" w:rsidRPr="003A3898" w:rsidRDefault="00E36F68" w:rsidP="00E36F68">
      <w:pPr>
        <w:pStyle w:val="ACMASpaceaftertable"/>
      </w:pPr>
    </w:p>
    <w:p w14:paraId="1B543816" w14:textId="77777777" w:rsidR="003A3898" w:rsidRPr="00124637" w:rsidRDefault="00E36F68" w:rsidP="00124637">
      <w:pPr>
        <w:pStyle w:val="Caption"/>
        <w:keepNext/>
        <w:spacing w:after="120"/>
        <w:rPr>
          <w:color w:val="auto"/>
        </w:rPr>
      </w:pPr>
      <w:r w:rsidRPr="00124637">
        <w:rPr>
          <w:color w:val="auto"/>
        </w:rPr>
        <w:t>Quantity of numbers surrendered by INMS by number type and digit length during 2014–15</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1"/>
        <w:gridCol w:w="3119"/>
      </w:tblGrid>
      <w:tr w:rsidR="00E36F68" w:rsidRPr="003A3898" w14:paraId="638149EC" w14:textId="77777777" w:rsidTr="00DE1F14">
        <w:trPr>
          <w:trHeight w:val="194"/>
        </w:trPr>
        <w:tc>
          <w:tcPr>
            <w:tcW w:w="5541" w:type="dxa"/>
            <w:shd w:val="clear" w:color="auto" w:fill="404040" w:themeFill="text1" w:themeFillTint="BF"/>
            <w:tcMar>
              <w:top w:w="57" w:type="dxa"/>
              <w:left w:w="57" w:type="dxa"/>
              <w:bottom w:w="57" w:type="dxa"/>
              <w:right w:w="57" w:type="dxa"/>
            </w:tcMar>
            <w:vAlign w:val="center"/>
          </w:tcPr>
          <w:p w14:paraId="08F85E71" w14:textId="77777777" w:rsidR="00E36F68" w:rsidRPr="00E36F68" w:rsidRDefault="00E36F68" w:rsidP="00E36F68">
            <w:pPr>
              <w:pStyle w:val="TableHeading"/>
              <w:rPr>
                <w:color w:val="FFFFFF" w:themeColor="background1"/>
              </w:rPr>
            </w:pPr>
            <w:r w:rsidRPr="00E36F68">
              <w:rPr>
                <w:color w:val="FFFFFF" w:themeColor="background1"/>
              </w:rPr>
              <w:t>Type of number</w:t>
            </w:r>
          </w:p>
        </w:tc>
        <w:tc>
          <w:tcPr>
            <w:tcW w:w="3119" w:type="dxa"/>
            <w:shd w:val="clear" w:color="auto" w:fill="404040" w:themeFill="text1" w:themeFillTint="BF"/>
            <w:tcMar>
              <w:top w:w="57" w:type="dxa"/>
              <w:left w:w="57" w:type="dxa"/>
              <w:bottom w:w="57" w:type="dxa"/>
              <w:right w:w="57" w:type="dxa"/>
            </w:tcMar>
            <w:vAlign w:val="center"/>
          </w:tcPr>
          <w:p w14:paraId="3B4BBC3D" w14:textId="77777777" w:rsidR="00E36F68" w:rsidRPr="00E36F68" w:rsidRDefault="00E36F68" w:rsidP="00C27E50">
            <w:pPr>
              <w:pStyle w:val="TableHeading"/>
              <w:jc w:val="right"/>
              <w:rPr>
                <w:color w:val="FFFFFF" w:themeColor="background1"/>
              </w:rPr>
            </w:pPr>
            <w:r w:rsidRPr="00E36F68">
              <w:rPr>
                <w:color w:val="FFFFFF" w:themeColor="background1"/>
              </w:rPr>
              <w:t>Quantity of numbers surrendered</w:t>
            </w:r>
          </w:p>
        </w:tc>
      </w:tr>
      <w:tr w:rsidR="00E36F68" w:rsidRPr="003A3898" w14:paraId="44375D66" w14:textId="77777777" w:rsidTr="00DE1F14">
        <w:tc>
          <w:tcPr>
            <w:tcW w:w="5541" w:type="dxa"/>
            <w:tcMar>
              <w:top w:w="57" w:type="dxa"/>
              <w:left w:w="57" w:type="dxa"/>
              <w:bottom w:w="57" w:type="dxa"/>
              <w:right w:w="57" w:type="dxa"/>
            </w:tcMar>
          </w:tcPr>
          <w:p w14:paraId="71FDD3CC" w14:textId="77777777" w:rsidR="00E36F68" w:rsidRPr="00124637" w:rsidRDefault="00E36F68" w:rsidP="00800C4D">
            <w:pPr>
              <w:pStyle w:val="TableBody"/>
            </w:pPr>
            <w:r w:rsidRPr="00124637">
              <w:t>Freephone and local rate (1800, 1300, 13)</w:t>
            </w:r>
          </w:p>
        </w:tc>
        <w:tc>
          <w:tcPr>
            <w:tcW w:w="3119" w:type="dxa"/>
            <w:shd w:val="clear" w:color="auto" w:fill="FFFFFF"/>
            <w:tcMar>
              <w:top w:w="57" w:type="dxa"/>
              <w:left w:w="57" w:type="dxa"/>
              <w:bottom w:w="57" w:type="dxa"/>
              <w:right w:w="57" w:type="dxa"/>
            </w:tcMar>
          </w:tcPr>
          <w:p w14:paraId="31B33CFC" w14:textId="77777777" w:rsidR="00E36F68" w:rsidRPr="00124637" w:rsidRDefault="00E36F68" w:rsidP="00C27E50">
            <w:pPr>
              <w:pStyle w:val="TableBody"/>
              <w:jc w:val="right"/>
            </w:pPr>
            <w:r w:rsidRPr="00124637">
              <w:t>27</w:t>
            </w:r>
            <w:r w:rsidR="00C27E50" w:rsidRPr="00124637">
              <w:t>,</w:t>
            </w:r>
            <w:r w:rsidRPr="00124637">
              <w:t>617</w:t>
            </w:r>
          </w:p>
        </w:tc>
      </w:tr>
      <w:tr w:rsidR="00E36F68" w:rsidRPr="003A3898" w14:paraId="667E8217" w14:textId="77777777" w:rsidTr="00DE1F14">
        <w:tc>
          <w:tcPr>
            <w:tcW w:w="5541" w:type="dxa"/>
            <w:tcMar>
              <w:top w:w="57" w:type="dxa"/>
              <w:left w:w="57" w:type="dxa"/>
              <w:bottom w:w="57" w:type="dxa"/>
              <w:right w:w="57" w:type="dxa"/>
            </w:tcMar>
          </w:tcPr>
          <w:p w14:paraId="1B06E155" w14:textId="77777777" w:rsidR="00E36F68" w:rsidRPr="00124637" w:rsidRDefault="00E36F68" w:rsidP="00800C4D">
            <w:pPr>
              <w:pStyle w:val="TableBody"/>
            </w:pPr>
            <w:r w:rsidRPr="00124637">
              <w:t>Premium rate numbers (six- and eight-digit 19 numbers)</w:t>
            </w:r>
          </w:p>
        </w:tc>
        <w:tc>
          <w:tcPr>
            <w:tcW w:w="3119" w:type="dxa"/>
            <w:shd w:val="clear" w:color="auto" w:fill="FFFFFF"/>
            <w:tcMar>
              <w:top w:w="57" w:type="dxa"/>
              <w:left w:w="57" w:type="dxa"/>
              <w:bottom w:w="57" w:type="dxa"/>
              <w:right w:w="57" w:type="dxa"/>
            </w:tcMar>
          </w:tcPr>
          <w:p w14:paraId="71FF3418" w14:textId="77777777" w:rsidR="00E36F68" w:rsidRPr="00124637" w:rsidRDefault="00E36F68" w:rsidP="00C27E50">
            <w:pPr>
              <w:pStyle w:val="TableBody"/>
              <w:jc w:val="right"/>
            </w:pPr>
            <w:r w:rsidRPr="00124637">
              <w:t>258</w:t>
            </w:r>
          </w:p>
        </w:tc>
      </w:tr>
      <w:tr w:rsidR="00E36F68" w:rsidRPr="003A3898" w14:paraId="1253AA34" w14:textId="77777777" w:rsidTr="0022095A">
        <w:tc>
          <w:tcPr>
            <w:tcW w:w="5541" w:type="dxa"/>
            <w:shd w:val="clear" w:color="auto" w:fill="F2F2F2" w:themeFill="background1" w:themeFillShade="F2"/>
            <w:tcMar>
              <w:top w:w="57" w:type="dxa"/>
              <w:left w:w="57" w:type="dxa"/>
              <w:bottom w:w="57" w:type="dxa"/>
              <w:right w:w="57" w:type="dxa"/>
            </w:tcMar>
          </w:tcPr>
          <w:p w14:paraId="1E51927C" w14:textId="77777777" w:rsidR="00E36F68" w:rsidRPr="00124637" w:rsidRDefault="00E36F68" w:rsidP="00800C4D">
            <w:pPr>
              <w:pStyle w:val="TableBody"/>
              <w:rPr>
                <w:b/>
              </w:rPr>
            </w:pPr>
            <w:r w:rsidRPr="00124637">
              <w:rPr>
                <w:b/>
              </w:rPr>
              <w:t>Total numbers surrendered</w:t>
            </w:r>
          </w:p>
        </w:tc>
        <w:tc>
          <w:tcPr>
            <w:tcW w:w="3119" w:type="dxa"/>
            <w:shd w:val="clear" w:color="auto" w:fill="F2F2F2" w:themeFill="background1" w:themeFillShade="F2"/>
            <w:tcMar>
              <w:top w:w="57" w:type="dxa"/>
              <w:left w:w="57" w:type="dxa"/>
              <w:bottom w:w="57" w:type="dxa"/>
              <w:right w:w="57" w:type="dxa"/>
            </w:tcMar>
          </w:tcPr>
          <w:p w14:paraId="3A6D68A1" w14:textId="77777777" w:rsidR="00E36F68" w:rsidRPr="00124637" w:rsidRDefault="00E36F68" w:rsidP="00C27E50">
            <w:pPr>
              <w:pStyle w:val="TableBody"/>
              <w:jc w:val="right"/>
              <w:rPr>
                <w:b/>
              </w:rPr>
            </w:pPr>
            <w:r w:rsidRPr="00124637">
              <w:rPr>
                <w:b/>
              </w:rPr>
              <w:t>27,875</w:t>
            </w:r>
          </w:p>
        </w:tc>
      </w:tr>
    </w:tbl>
    <w:p w14:paraId="2EB54BD5" w14:textId="77777777" w:rsidR="006744F6" w:rsidRPr="00124637" w:rsidRDefault="006744F6" w:rsidP="00363455">
      <w:pPr>
        <w:pStyle w:val="Heading3"/>
        <w:tabs>
          <w:tab w:val="left" w:pos="1399"/>
        </w:tabs>
        <w:spacing w:before="360"/>
      </w:pPr>
      <w:bookmarkStart w:id="199" w:name="_Toc433703337"/>
      <w:r w:rsidRPr="00124637">
        <w:t>Portability</w:t>
      </w:r>
      <w:bookmarkEnd w:id="193"/>
      <w:bookmarkEnd w:id="194"/>
      <w:bookmarkEnd w:id="199"/>
    </w:p>
    <w:p w14:paraId="7C2AF408" w14:textId="77777777" w:rsidR="00D4593F" w:rsidRPr="00124637" w:rsidRDefault="00D4593F" w:rsidP="00D4593F">
      <w:pPr>
        <w:rPr>
          <w:rFonts w:cs="Arial"/>
        </w:rPr>
      </w:pPr>
      <w:bookmarkStart w:id="200" w:name="_Toc337727568"/>
      <w:bookmarkStart w:id="201" w:name="_Toc419122307"/>
      <w:r w:rsidRPr="00124637">
        <w:rPr>
          <w:rFonts w:cs="Arial"/>
        </w:rPr>
        <w:t xml:space="preserve">Number portability allows a customer to retain </w:t>
      </w:r>
      <w:r w:rsidR="00A852F6" w:rsidRPr="00124637">
        <w:rPr>
          <w:rFonts w:cs="Arial"/>
        </w:rPr>
        <w:t>his or her</w:t>
      </w:r>
      <w:r w:rsidRPr="00124637">
        <w:rPr>
          <w:rFonts w:cs="Arial"/>
        </w:rPr>
        <w:t xml:space="preserve"> existing telephone number when changing CSP. Number portability is available for local, mobile, and freephone and local rate numbers.</w:t>
      </w:r>
    </w:p>
    <w:p w14:paraId="16E0C5F4" w14:textId="77777777" w:rsidR="00D4593F" w:rsidRPr="00124637" w:rsidRDefault="00D4593F" w:rsidP="00D4593F">
      <w:pPr>
        <w:rPr>
          <w:rFonts w:cs="Arial"/>
        </w:rPr>
      </w:pPr>
      <w:r w:rsidRPr="00124637">
        <w:rPr>
          <w:rFonts w:cs="Arial"/>
        </w:rPr>
        <w:t xml:space="preserve">The ACMA monitors the effectiveness of porting arrangements, including CSP compliance with the arrangements specified in the Numbering Plan and industry codes that set out the procedures for number portability. </w:t>
      </w:r>
    </w:p>
    <w:p w14:paraId="4816DC9C" w14:textId="6235A83E" w:rsidR="00DE1F7F" w:rsidRPr="00124637" w:rsidRDefault="00DE1F7F" w:rsidP="00DE1F7F">
      <w:pPr>
        <w:rPr>
          <w:rFonts w:cs="Arial"/>
        </w:rPr>
      </w:pPr>
      <w:r w:rsidRPr="00124637">
        <w:rPr>
          <w:rFonts w:cs="Arial"/>
        </w:rPr>
        <w:t xml:space="preserve">In 2014–15, the ACMA continued to work with Communications Alliance and industry to identify regulatory issues that may emerge with portability </w:t>
      </w:r>
      <w:r w:rsidR="00DD04B5" w:rsidRPr="00124637">
        <w:rPr>
          <w:rFonts w:cs="Arial"/>
        </w:rPr>
        <w:t xml:space="preserve">involving services on the </w:t>
      </w:r>
      <w:r w:rsidR="006037DC">
        <w:rPr>
          <w:rFonts w:cs="Arial"/>
        </w:rPr>
        <w:t>nbn network</w:t>
      </w:r>
      <w:r w:rsidR="00DD04B5" w:rsidRPr="00124637">
        <w:rPr>
          <w:rFonts w:cs="Arial"/>
        </w:rPr>
        <w:t xml:space="preserve">. </w:t>
      </w:r>
    </w:p>
    <w:p w14:paraId="301A24A4" w14:textId="77777777" w:rsidR="00DE1F7F" w:rsidRPr="00124637" w:rsidRDefault="00DE1F7F" w:rsidP="00DE1F7F">
      <w:pPr>
        <w:rPr>
          <w:rFonts w:cs="Arial"/>
        </w:rPr>
      </w:pPr>
      <w:r w:rsidRPr="00124637">
        <w:rPr>
          <w:rFonts w:cs="Arial"/>
        </w:rPr>
        <w:t>The ACMA also receives and handles enquiries and complaints about number portability from industry and consumers, with 148 contacts in 2014–15.</w:t>
      </w:r>
    </w:p>
    <w:p w14:paraId="75FC647E" w14:textId="77777777" w:rsidR="00D4593F" w:rsidRPr="00124637" w:rsidRDefault="00D4593F" w:rsidP="00D4593F">
      <w:pPr>
        <w:rPr>
          <w:rFonts w:cs="Arial"/>
        </w:rPr>
      </w:pPr>
      <w:r w:rsidRPr="00124637">
        <w:rPr>
          <w:rFonts w:cs="Arial"/>
        </w:rPr>
        <w:t>Where appropriate, the ACMA may also grant an exemption from the number portability requirements. No exemptions from number portability</w:t>
      </w:r>
      <w:r w:rsidR="001E0FE9" w:rsidRPr="00124637">
        <w:rPr>
          <w:rFonts w:cs="Arial"/>
        </w:rPr>
        <w:t xml:space="preserve"> were sought or granted in 2014–</w:t>
      </w:r>
      <w:r w:rsidRPr="00124637">
        <w:rPr>
          <w:rFonts w:cs="Arial"/>
        </w:rPr>
        <w:t>15.</w:t>
      </w:r>
    </w:p>
    <w:p w14:paraId="6EA82976" w14:textId="77777777" w:rsidR="006744F6" w:rsidRPr="00124637" w:rsidRDefault="006744F6" w:rsidP="006744F6">
      <w:pPr>
        <w:pStyle w:val="Heading3"/>
      </w:pPr>
      <w:bookmarkStart w:id="202" w:name="_Toc433703338"/>
      <w:r w:rsidRPr="00124637">
        <w:t>Pre-selection</w:t>
      </w:r>
      <w:bookmarkEnd w:id="200"/>
      <w:bookmarkEnd w:id="201"/>
      <w:bookmarkEnd w:id="202"/>
    </w:p>
    <w:p w14:paraId="444B7F17" w14:textId="77777777" w:rsidR="00D4593F" w:rsidRPr="00124637" w:rsidRDefault="00D4593F" w:rsidP="00D4593F">
      <w:pPr>
        <w:rPr>
          <w:rFonts w:cs="Arial"/>
        </w:rPr>
      </w:pPr>
      <w:bookmarkStart w:id="203" w:name="_Toc419122308"/>
      <w:r w:rsidRPr="00124637">
        <w:rPr>
          <w:rFonts w:cs="Arial"/>
        </w:rPr>
        <w:t xml:space="preserve">CSPs are required to make pre-selection available on request for </w:t>
      </w:r>
      <w:r w:rsidR="00DD04B5" w:rsidRPr="00124637">
        <w:rPr>
          <w:rFonts w:cs="Arial"/>
        </w:rPr>
        <w:t>many</w:t>
      </w:r>
      <w:r w:rsidRPr="00124637">
        <w:rPr>
          <w:rFonts w:cs="Arial"/>
        </w:rPr>
        <w:t xml:space="preserve"> standard telephone services. Pre-selection includes national long-distance calls, international calls and mobile calls, but not local calls.</w:t>
      </w:r>
    </w:p>
    <w:p w14:paraId="1F576C80" w14:textId="77777777" w:rsidR="00DE1F7F" w:rsidRPr="00124637" w:rsidRDefault="00DE1F7F" w:rsidP="00DE1F7F">
      <w:pPr>
        <w:rPr>
          <w:rFonts w:cs="Arial"/>
        </w:rPr>
      </w:pPr>
      <w:r w:rsidRPr="00124637">
        <w:rPr>
          <w:rFonts w:cs="Arial"/>
        </w:rPr>
        <w:t xml:space="preserve">Under the Telecommunications Act, the ACMA is able to exempt a carrier/CSP from the obligation to provide pre-selection. No exemptions were sought or granted during 2014–15 and no carriers/CSPs have existing exemptions in place. </w:t>
      </w:r>
    </w:p>
    <w:p w14:paraId="77EA277D" w14:textId="314C2BA5" w:rsidR="00DE1F7F" w:rsidRPr="00DE1F14" w:rsidRDefault="00DE1F7F" w:rsidP="00DE1F7F">
      <w:pPr>
        <w:rPr>
          <w:rFonts w:cs="Arial"/>
        </w:rPr>
      </w:pPr>
      <w:r w:rsidRPr="00124637">
        <w:rPr>
          <w:rFonts w:cs="Arial"/>
        </w:rPr>
        <w:t xml:space="preserve">In March 2015, the ACMA made the Telecommunications (Provision of Pre-selection) Determination 2015 as the existing instruments for pre-selection were due to sunset on 1 April 2015. The new instrument substantively incorporates the content of the </w:t>
      </w:r>
      <w:r w:rsidR="00FC4F35" w:rsidRPr="00DE1F14">
        <w:rPr>
          <w:rFonts w:cs="Arial"/>
        </w:rPr>
        <w:t xml:space="preserve">previous </w:t>
      </w:r>
      <w:r w:rsidRPr="00DE1F14">
        <w:rPr>
          <w:rFonts w:cs="Arial"/>
        </w:rPr>
        <w:t xml:space="preserve">instruments. </w:t>
      </w:r>
    </w:p>
    <w:p w14:paraId="6CF9E111" w14:textId="3F844085" w:rsidR="00DD04B5" w:rsidRPr="00124637" w:rsidRDefault="00A868BE" w:rsidP="00DD04B5">
      <w:pPr>
        <w:rPr>
          <w:rFonts w:cs="Arial"/>
        </w:rPr>
      </w:pPr>
      <w:r w:rsidRPr="00DE1F14">
        <w:rPr>
          <w:rFonts w:cs="Arial"/>
        </w:rPr>
        <w:lastRenderedPageBreak/>
        <w:t xml:space="preserve">In 2014–15, the Telecommunications Act was amended by Parliament </w:t>
      </w:r>
      <w:r w:rsidR="00DD04B5" w:rsidRPr="00DE1F14">
        <w:rPr>
          <w:rFonts w:cs="Arial"/>
        </w:rPr>
        <w:t xml:space="preserve">to limit pre-selection to existing networks and not extend it to most new networks (for example, the </w:t>
      </w:r>
      <w:r w:rsidR="00DE1F14">
        <w:rPr>
          <w:rFonts w:cs="Arial"/>
        </w:rPr>
        <w:t>nbn</w:t>
      </w:r>
      <w:r w:rsidR="006037DC">
        <w:rPr>
          <w:rFonts w:cs="Arial"/>
        </w:rPr>
        <w:t xml:space="preserve"> network</w:t>
      </w:r>
      <w:r w:rsidR="00DD04B5" w:rsidRPr="00DE1F14">
        <w:rPr>
          <w:rFonts w:cs="Arial"/>
        </w:rPr>
        <w:t>).</w:t>
      </w:r>
    </w:p>
    <w:p w14:paraId="493C305A" w14:textId="77777777" w:rsidR="00297448" w:rsidRPr="00124637" w:rsidRDefault="00297448" w:rsidP="00297448">
      <w:pPr>
        <w:pStyle w:val="Heading3"/>
        <w:rPr>
          <w:b w:val="0"/>
          <w:bCs w:val="0"/>
        </w:rPr>
      </w:pPr>
      <w:bookmarkStart w:id="204" w:name="_Toc433703339"/>
      <w:r w:rsidRPr="00124637">
        <w:t>Submarine cable protection zones</w:t>
      </w:r>
      <w:bookmarkEnd w:id="204"/>
    </w:p>
    <w:p w14:paraId="2517CB2F" w14:textId="77777777" w:rsidR="00297448" w:rsidRPr="00124637" w:rsidRDefault="00297448" w:rsidP="00297448">
      <w:pPr>
        <w:rPr>
          <w:rFonts w:cs="Arial"/>
        </w:rPr>
      </w:pPr>
      <w:r w:rsidRPr="00124637">
        <w:rPr>
          <w:rFonts w:cs="Arial"/>
        </w:rPr>
        <w:t>Submarine cables carry the bulk of Australia’s voice and data traffic and contribute significantly to the Australian economy. Due to their size and location on the seabed, these cables are vulnerable to damage from activities such as the anchoring of ships, some types of fishing, dumping of materials, dredging and mineral exploration.</w:t>
      </w:r>
    </w:p>
    <w:p w14:paraId="1CDA7F6D" w14:textId="77777777" w:rsidR="00297448" w:rsidRPr="00124637" w:rsidRDefault="00297448" w:rsidP="00124637">
      <w:pPr>
        <w:keepLines/>
        <w:rPr>
          <w:rFonts w:cs="Arial"/>
        </w:rPr>
      </w:pPr>
      <w:r w:rsidRPr="00124637">
        <w:rPr>
          <w:rFonts w:cs="Arial"/>
        </w:rPr>
        <w:t>Schedule 3A of the Telecommunications Act enables the ACMA to declare protection zones over nationally significant cables and to prohibit or restrict activities that pose a risk of damaging cables in these zones. The legislation establishes offences for damaging a cable or breaching prohibitions and restrictions, and provides penalties for these offences. Australia has three submarine cable protection zones—two off the Sydney coast and one off the Perth coast.</w:t>
      </w:r>
    </w:p>
    <w:p w14:paraId="055738AA" w14:textId="77777777" w:rsidR="00297448" w:rsidRPr="00124637" w:rsidRDefault="00297448" w:rsidP="00297448">
      <w:pPr>
        <w:outlineLvl w:val="0"/>
        <w:rPr>
          <w:rFonts w:cs="Arial"/>
        </w:rPr>
      </w:pPr>
      <w:r w:rsidRPr="00124637">
        <w:rPr>
          <w:rFonts w:cs="Arial"/>
        </w:rPr>
        <w:t xml:space="preserve">No requests for additional submarine cable protection zones were considered during </w:t>
      </w:r>
      <w:r w:rsidRPr="00124637">
        <w:rPr>
          <w:rFonts w:cs="Arial"/>
        </w:rPr>
        <w:br/>
        <w:t>2014–15.</w:t>
      </w:r>
    </w:p>
    <w:p w14:paraId="7E2590D8" w14:textId="77777777" w:rsidR="00297448" w:rsidRPr="00124637" w:rsidRDefault="00297448" w:rsidP="00297448">
      <w:pPr>
        <w:pStyle w:val="Heading3"/>
      </w:pPr>
      <w:bookmarkStart w:id="205" w:name="_Toc433703340"/>
      <w:r w:rsidRPr="00124637">
        <w:t>Submarine cable installation permits</w:t>
      </w:r>
      <w:bookmarkEnd w:id="205"/>
    </w:p>
    <w:p w14:paraId="0232AC6D" w14:textId="77777777" w:rsidR="00BE189D" w:rsidRPr="00124637" w:rsidRDefault="00BE189D" w:rsidP="00BE189D">
      <w:pPr>
        <w:rPr>
          <w:rFonts w:cs="Arial"/>
        </w:rPr>
      </w:pPr>
      <w:r w:rsidRPr="00124637">
        <w:rPr>
          <w:rFonts w:cs="Arial"/>
        </w:rPr>
        <w:t xml:space="preserve">Carriers are required to apply to the ACMA for a permit to authorise installation of a submarine cable in Australian waters. </w:t>
      </w:r>
    </w:p>
    <w:p w14:paraId="6D0D921C" w14:textId="77777777" w:rsidR="00BE189D" w:rsidRPr="00124637" w:rsidRDefault="00BE189D" w:rsidP="00BE189D">
      <w:pPr>
        <w:spacing w:after="80"/>
        <w:rPr>
          <w:rFonts w:cs="Arial"/>
        </w:rPr>
      </w:pPr>
      <w:r w:rsidRPr="00124637">
        <w:rPr>
          <w:rFonts w:cs="Arial"/>
        </w:rPr>
        <w:t>Depending on the location of a proposed cable, a carrier may apply for a protection zone permit to authorise installation of the cable:</w:t>
      </w:r>
    </w:p>
    <w:p w14:paraId="3CAB2513" w14:textId="77777777" w:rsidR="00BE189D" w:rsidRPr="00124637" w:rsidRDefault="00BE189D" w:rsidP="00BE189D">
      <w:pPr>
        <w:pStyle w:val="ListBullet"/>
      </w:pPr>
      <w:r w:rsidRPr="00124637">
        <w:t>in a protection zone</w:t>
      </w:r>
    </w:p>
    <w:p w14:paraId="0CBA1FD9" w14:textId="77777777" w:rsidR="00BE189D" w:rsidRPr="00124637" w:rsidRDefault="00BE189D" w:rsidP="00BE189D">
      <w:pPr>
        <w:pStyle w:val="ListBulletLast"/>
      </w:pPr>
      <w:r w:rsidRPr="00124637">
        <w:t>in both a protection zone and in Australian waters that are not in a protection zone and that are not coastal waters.</w:t>
      </w:r>
    </w:p>
    <w:p w14:paraId="5B64886B" w14:textId="77777777" w:rsidR="00BE189D" w:rsidRPr="00124637" w:rsidRDefault="00BE189D" w:rsidP="00BE189D">
      <w:pPr>
        <w:rPr>
          <w:rFonts w:cs="Arial"/>
        </w:rPr>
      </w:pPr>
      <w:r w:rsidRPr="00124637">
        <w:rPr>
          <w:rFonts w:cs="Arial"/>
        </w:rPr>
        <w:t>Carriers may also request a non-protection zone permit to authorise the installation of an international submarine cable in Australian waters that are not in a protection zone and are not coastal waters.</w:t>
      </w:r>
    </w:p>
    <w:p w14:paraId="3AD260BD" w14:textId="77777777" w:rsidR="00BE189D" w:rsidRPr="00124637" w:rsidRDefault="00BE189D" w:rsidP="00BE189D">
      <w:pPr>
        <w:rPr>
          <w:rFonts w:cs="Arial"/>
        </w:rPr>
      </w:pPr>
      <w:r w:rsidRPr="00124637">
        <w:rPr>
          <w:rFonts w:cs="Arial"/>
        </w:rPr>
        <w:t>In 2014–15, there was continued interest among cable consortiums in establishing new international cables off the western coast of Australia, motivated in part by increasing global demands for superfast broadband services and the need to provide a reliable alternative to the existing SEA-ME-WE3 cable. There was also some niche interest in providing additional capacity for oil and gas companies operating along the north-western coast of Australia.</w:t>
      </w:r>
    </w:p>
    <w:p w14:paraId="33D613C5" w14:textId="77777777" w:rsidR="00BE189D" w:rsidRPr="00124637" w:rsidRDefault="00BE189D" w:rsidP="00BE189D">
      <w:pPr>
        <w:rPr>
          <w:rFonts w:cs="Arial"/>
        </w:rPr>
      </w:pPr>
      <w:r w:rsidRPr="00124637">
        <w:rPr>
          <w:rFonts w:cs="Arial"/>
        </w:rPr>
        <w:t xml:space="preserve">The ACMA granted one PZ permit during 2014–15 to install an international submarine cable to Jakarta and Singapore via the Perth Protection Zone. It also granted three NPZ permits, which authorise the installation of international submarine cables landing off Perth, Onslow and Port Hedland in Western Australia. </w:t>
      </w:r>
    </w:p>
    <w:p w14:paraId="36C12FA1" w14:textId="77777777" w:rsidR="00BE189D" w:rsidRPr="00124637" w:rsidRDefault="00BE189D" w:rsidP="00BE189D">
      <w:pPr>
        <w:rPr>
          <w:rFonts w:cs="Arial"/>
        </w:rPr>
      </w:pPr>
      <w:r w:rsidRPr="00124637">
        <w:rPr>
          <w:rFonts w:cs="Arial"/>
        </w:rPr>
        <w:t>The ACMA approved four separate requests to extend the duration of existing PZ and NPZ permits for an international cable to be installed between Perth (via the Perth Protection Zone) and Singapore. Long lead times for securing international regulatory approvals and project financing can result in significant delays for cable installation schedules.</w:t>
      </w:r>
    </w:p>
    <w:p w14:paraId="2C4CFCC5" w14:textId="66A67177" w:rsidR="0054243B" w:rsidRDefault="00212A85" w:rsidP="0022095A">
      <w:pPr>
        <w:pStyle w:val="Heading1"/>
        <w:spacing w:after="0" w:line="360" w:lineRule="atLeast"/>
        <w:rPr>
          <w:sz w:val="36"/>
          <w:szCs w:val="36"/>
        </w:rPr>
      </w:pPr>
      <w:bookmarkStart w:id="206" w:name="_Toc433703341"/>
      <w:r w:rsidRPr="0022095A">
        <w:rPr>
          <w:i/>
          <w:noProof/>
          <w:sz w:val="36"/>
          <w:szCs w:val="36"/>
        </w:rPr>
        <w:lastRenderedPageBreak/>
        <w:drawing>
          <wp:anchor distT="0" distB="0" distL="114300" distR="114300" simplePos="0" relativeHeight="251662336" behindDoc="1" locked="0" layoutInCell="1" allowOverlap="1" wp14:anchorId="39BF924D" wp14:editId="707BD105">
            <wp:simplePos x="0" y="0"/>
            <wp:positionH relativeFrom="column">
              <wp:posOffset>4529</wp:posOffset>
            </wp:positionH>
            <wp:positionV relativeFrom="paragraph">
              <wp:posOffset>7129</wp:posOffset>
            </wp:positionV>
            <wp:extent cx="1117600" cy="1727200"/>
            <wp:effectExtent l="0" t="0" r="6350" b="6350"/>
            <wp:wrapTight wrapText="bothSides">
              <wp:wrapPolygon edited="0">
                <wp:start x="0" y="0"/>
                <wp:lineTo x="0" y="21441"/>
                <wp:lineTo x="21355" y="21441"/>
                <wp:lineTo x="21355" y="0"/>
                <wp:lineTo x="0" y="0"/>
              </wp:wrapPolygon>
            </wp:wrapTight>
            <wp:docPr id="15" name="Picture 15" title="icon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ople.jpg"/>
                    <pic:cNvPicPr/>
                  </pic:nvPicPr>
                  <pic:blipFill>
                    <a:blip r:embed="rId35">
                      <a:extLst>
                        <a:ext uri="{28A0092B-C50C-407E-A947-70E740481C1C}">
                          <a14:useLocalDpi xmlns:a14="http://schemas.microsoft.com/office/drawing/2010/main" val="0"/>
                        </a:ext>
                      </a:extLst>
                    </a:blip>
                    <a:stretch>
                      <a:fillRect/>
                    </a:stretch>
                  </pic:blipFill>
                  <pic:spPr>
                    <a:xfrm>
                      <a:off x="0" y="0"/>
                      <a:ext cx="1117600" cy="1727200"/>
                    </a:xfrm>
                    <a:prstGeom prst="rect">
                      <a:avLst/>
                    </a:prstGeom>
                  </pic:spPr>
                </pic:pic>
              </a:graphicData>
            </a:graphic>
            <wp14:sizeRelH relativeFrom="page">
              <wp14:pctWidth>0</wp14:pctWidth>
            </wp14:sizeRelH>
            <wp14:sizeRelV relativeFrom="page">
              <wp14:pctHeight>0</wp14:pctHeight>
            </wp14:sizeRelV>
          </wp:anchor>
        </w:drawing>
      </w:r>
      <w:r w:rsidR="006744F6" w:rsidRPr="0022095A">
        <w:rPr>
          <w:i/>
          <w:sz w:val="36"/>
          <w:szCs w:val="36"/>
        </w:rPr>
        <w:t>D</w:t>
      </w:r>
      <w:r w:rsidR="0022095A" w:rsidRPr="0022095A">
        <w:rPr>
          <w:i/>
          <w:sz w:val="36"/>
          <w:szCs w:val="36"/>
        </w:rPr>
        <w:t>eliverables</w:t>
      </w:r>
      <w:r w:rsidR="006744F6" w:rsidRPr="00861911">
        <w:rPr>
          <w:sz w:val="36"/>
          <w:szCs w:val="36"/>
        </w:rPr>
        <w:t>:</w:t>
      </w:r>
      <w:bookmarkEnd w:id="206"/>
      <w:r w:rsidR="006744F6" w:rsidRPr="00861911">
        <w:rPr>
          <w:sz w:val="36"/>
          <w:szCs w:val="36"/>
        </w:rPr>
        <w:t xml:space="preserve"> </w:t>
      </w:r>
    </w:p>
    <w:p w14:paraId="2089DDC5" w14:textId="77777777" w:rsidR="00861911" w:rsidRDefault="006744F6" w:rsidP="00212A85">
      <w:pPr>
        <w:pStyle w:val="Heading1"/>
        <w:pageBreakBefore w:val="0"/>
        <w:spacing w:after="120" w:line="360" w:lineRule="atLeast"/>
        <w:ind w:left="426"/>
        <w:rPr>
          <w:sz w:val="36"/>
          <w:szCs w:val="36"/>
        </w:rPr>
      </w:pPr>
      <w:bookmarkStart w:id="207" w:name="_Toc433703342"/>
      <w:r w:rsidRPr="00861911">
        <w:rPr>
          <w:sz w:val="36"/>
          <w:szCs w:val="36"/>
        </w:rPr>
        <w:t>Provision of appropriate and reasonable support to law enforcement, emergency services and national security</w:t>
      </w:r>
      <w:bookmarkEnd w:id="207"/>
    </w:p>
    <w:p w14:paraId="640D9DFD" w14:textId="77777777" w:rsidR="00861911" w:rsidRDefault="0054243B" w:rsidP="00212A85">
      <w:pPr>
        <w:pStyle w:val="Heading1"/>
        <w:pageBreakBefore w:val="0"/>
        <w:tabs>
          <w:tab w:val="left" w:pos="1985"/>
        </w:tabs>
        <w:spacing w:after="120" w:line="360" w:lineRule="atLeast"/>
        <w:ind w:left="1985"/>
        <w:rPr>
          <w:sz w:val="36"/>
          <w:szCs w:val="36"/>
        </w:rPr>
      </w:pPr>
      <w:bookmarkStart w:id="208" w:name="_Toc433703343"/>
      <w:r>
        <w:rPr>
          <w:sz w:val="36"/>
          <w:szCs w:val="36"/>
        </w:rPr>
        <w:t>Work in partnership with i</w:t>
      </w:r>
      <w:r w:rsidR="006744F6" w:rsidRPr="00861911">
        <w:rPr>
          <w:sz w:val="36"/>
          <w:szCs w:val="36"/>
        </w:rPr>
        <w:t>ndustry to improve the performance of Australia’s emergency call services</w:t>
      </w:r>
      <w:bookmarkEnd w:id="208"/>
    </w:p>
    <w:p w14:paraId="7972E16D" w14:textId="77777777" w:rsidR="006744F6" w:rsidRPr="00861911" w:rsidRDefault="006744F6" w:rsidP="00861911">
      <w:pPr>
        <w:pStyle w:val="Heading1"/>
        <w:pageBreakBefore w:val="0"/>
        <w:spacing w:line="360" w:lineRule="atLeast"/>
        <w:rPr>
          <w:sz w:val="36"/>
          <w:szCs w:val="36"/>
        </w:rPr>
      </w:pPr>
      <w:bookmarkStart w:id="209" w:name="_Toc433703344"/>
      <w:r w:rsidRPr="0022095A">
        <w:rPr>
          <w:i/>
          <w:sz w:val="36"/>
          <w:szCs w:val="36"/>
        </w:rPr>
        <w:t>KPI</w:t>
      </w:r>
      <w:r w:rsidRPr="00861911">
        <w:rPr>
          <w:sz w:val="36"/>
          <w:szCs w:val="36"/>
        </w:rPr>
        <w:t>: Law enforcement, emergency services and national security providers are appropriately and reasonably supported by the ACMA and telecommunications industry</w:t>
      </w:r>
      <w:bookmarkEnd w:id="203"/>
      <w:bookmarkEnd w:id="209"/>
    </w:p>
    <w:p w14:paraId="473F0FBA" w14:textId="77777777" w:rsidR="006744F6" w:rsidRPr="00124637" w:rsidRDefault="006744F6" w:rsidP="006744F6">
      <w:pPr>
        <w:pStyle w:val="Heading2"/>
      </w:pPr>
      <w:bookmarkStart w:id="210" w:name="Prov_Work"/>
      <w:bookmarkStart w:id="211" w:name="_Toc419122309"/>
      <w:bookmarkStart w:id="212" w:name="_Toc433703345"/>
      <w:bookmarkEnd w:id="210"/>
      <w:r w:rsidRPr="00124637">
        <w:t>Overview and significant outcomes</w:t>
      </w:r>
      <w:bookmarkEnd w:id="211"/>
      <w:bookmarkEnd w:id="212"/>
    </w:p>
    <w:p w14:paraId="594B3998" w14:textId="77777777" w:rsidR="00DD04B5" w:rsidRPr="00124637" w:rsidRDefault="00DD04B5" w:rsidP="00DD04B5">
      <w:bookmarkStart w:id="213" w:name="_Toc295919787"/>
      <w:bookmarkStart w:id="214" w:name="_Toc337727602"/>
      <w:bookmarkStart w:id="215" w:name="_Toc419122310"/>
      <w:bookmarkStart w:id="216" w:name="_Toc419122311"/>
      <w:r w:rsidRPr="00124637">
        <w:t xml:space="preserve">Agencies involved in law enforcement, national security and emergency services have special operational requirements delivered by the telecommunications industry. The ACMA administers the applicable obligations under the Telecommunications Act and liaises with representatives of agencies and the telecommunications industry. </w:t>
      </w:r>
    </w:p>
    <w:p w14:paraId="35ED730E" w14:textId="77777777" w:rsidR="00DE1F7F" w:rsidRPr="00124637" w:rsidRDefault="00DE1F7F" w:rsidP="00DE1F7F">
      <w:pPr>
        <w:spacing w:after="80"/>
      </w:pPr>
      <w:r w:rsidRPr="00124637">
        <w:t>During the reporting period:</w:t>
      </w:r>
    </w:p>
    <w:p w14:paraId="7163BD12" w14:textId="77777777" w:rsidR="00DD04B5" w:rsidRPr="00124637" w:rsidRDefault="00DD04B5" w:rsidP="00DD04B5">
      <w:pPr>
        <w:pStyle w:val="ListBullet"/>
      </w:pPr>
      <w:r w:rsidRPr="00124637">
        <w:t>the ACMA introduced further changes to enable customer identity verification by mobile providers at the time of activation of prepaid services</w:t>
      </w:r>
    </w:p>
    <w:p w14:paraId="1A594557" w14:textId="77777777" w:rsidR="00DE1F7F" w:rsidRPr="00124637" w:rsidRDefault="00C41A2D" w:rsidP="00063CD2">
      <w:pPr>
        <w:pStyle w:val="ListBulletLast"/>
        <w:spacing w:after="80"/>
      </w:pPr>
      <w:r w:rsidRPr="00124637">
        <w:t>m</w:t>
      </w:r>
      <w:r w:rsidR="00DE1F7F" w:rsidRPr="00124637">
        <w:t>obile carriers introdu</w:t>
      </w:r>
      <w:r w:rsidRPr="00124637">
        <w:t xml:space="preserve">ced </w:t>
      </w:r>
      <w:r w:rsidR="00DD04B5" w:rsidRPr="00124637">
        <w:t xml:space="preserve">a </w:t>
      </w:r>
      <w:r w:rsidRPr="00124637">
        <w:t>new capability that allows e</w:t>
      </w:r>
      <w:r w:rsidR="00DE1F7F" w:rsidRPr="00124637">
        <w:t xml:space="preserve">mergency </w:t>
      </w:r>
      <w:r w:rsidRPr="00124637">
        <w:t>s</w:t>
      </w:r>
      <w:r w:rsidR="00DE1F7F" w:rsidRPr="00124637">
        <w:t xml:space="preserve">ervice </w:t>
      </w:r>
      <w:r w:rsidRPr="00124637">
        <w:t>o</w:t>
      </w:r>
      <w:r w:rsidR="00DE1F7F" w:rsidRPr="00124637">
        <w:t xml:space="preserve">rganisations to obtain better location </w:t>
      </w:r>
      <w:r w:rsidRPr="00124637">
        <w:t>information during Triple Zero c</w:t>
      </w:r>
      <w:r w:rsidR="00063CD2" w:rsidRPr="00124637">
        <w:t>alls</w:t>
      </w:r>
    </w:p>
    <w:p w14:paraId="6DC5E05C" w14:textId="77777777" w:rsidR="00063CD2" w:rsidRPr="00124637" w:rsidRDefault="00063CD2" w:rsidP="00063CD2">
      <w:pPr>
        <w:pStyle w:val="ListBullet"/>
        <w:spacing w:after="240"/>
      </w:pPr>
      <w:r w:rsidRPr="00124637">
        <w:t xml:space="preserve">the ACMA continued to facilitate transition in the 400 MHz band, which </w:t>
      </w:r>
      <w:r w:rsidR="00050B30" w:rsidRPr="00124637">
        <w:t>is enhancing</w:t>
      </w:r>
      <w:r w:rsidRPr="00124637">
        <w:t xml:space="preserve"> interoperability with and between state, territory and federal emergency services. </w:t>
      </w:r>
      <w:r w:rsidR="00827ABD" w:rsidRPr="00124637">
        <w:t xml:space="preserve">This is covered under </w:t>
      </w:r>
      <w:r w:rsidR="00827ABD" w:rsidRPr="00124637">
        <w:rPr>
          <w:i/>
        </w:rPr>
        <w:t>400 MHz band implementation</w:t>
      </w:r>
      <w:r w:rsidR="00827ABD" w:rsidRPr="00124637">
        <w:t xml:space="preserve"> in</w:t>
      </w:r>
      <w:r w:rsidRPr="00124637">
        <w:t xml:space="preserve"> the deliverable </w:t>
      </w:r>
      <w:r w:rsidRPr="00124637">
        <w:rPr>
          <w:i/>
        </w:rPr>
        <w:t>Administration of licensing and number allocation arrangements</w:t>
      </w:r>
      <w:r w:rsidRPr="00124637">
        <w:t>.</w:t>
      </w:r>
    </w:p>
    <w:p w14:paraId="5B3D2DBE" w14:textId="77777777" w:rsidR="00D4593F" w:rsidRPr="00124637" w:rsidRDefault="00D4593F" w:rsidP="00D4593F">
      <w:pPr>
        <w:pStyle w:val="Heading2"/>
      </w:pPr>
      <w:bookmarkStart w:id="217" w:name="_Toc433703346"/>
      <w:r w:rsidRPr="00124637">
        <w:t>Law enforcement and national security</w:t>
      </w:r>
      <w:bookmarkEnd w:id="217"/>
    </w:p>
    <w:p w14:paraId="5510C9D5" w14:textId="77777777" w:rsidR="00D4593F" w:rsidRPr="00124637" w:rsidRDefault="00D4593F" w:rsidP="00C41A2D">
      <w:pPr>
        <w:pStyle w:val="Heading3"/>
      </w:pPr>
      <w:bookmarkStart w:id="218" w:name="_Toc433703347"/>
      <w:r w:rsidRPr="00124637">
        <w:t>Supporting law enforcement and national security agencies</w:t>
      </w:r>
      <w:bookmarkEnd w:id="218"/>
    </w:p>
    <w:p w14:paraId="001BDB3B" w14:textId="77777777" w:rsidR="00D4593F" w:rsidRPr="00124637" w:rsidRDefault="00D4593F" w:rsidP="00D4593F">
      <w:pPr>
        <w:spacing w:after="80"/>
        <w:rPr>
          <w:rFonts w:cs="Arial"/>
        </w:rPr>
      </w:pPr>
      <w:r w:rsidRPr="00124637">
        <w:rPr>
          <w:rFonts w:cs="Arial"/>
        </w:rPr>
        <w:t>The telecommunications industry, including internet service providers</w:t>
      </w:r>
      <w:r w:rsidR="00C41A2D" w:rsidRPr="00124637">
        <w:rPr>
          <w:rFonts w:cs="Arial"/>
        </w:rPr>
        <w:t xml:space="preserve"> (ISPs)</w:t>
      </w:r>
      <w:r w:rsidRPr="00124637">
        <w:rPr>
          <w:rFonts w:cs="Arial"/>
        </w:rPr>
        <w:t xml:space="preserve">, is obliged to provide reasonably necessary assistance to law enforcement and national security </w:t>
      </w:r>
      <w:r w:rsidR="00DD04B5" w:rsidRPr="00124637">
        <w:rPr>
          <w:rFonts w:cs="Arial"/>
        </w:rPr>
        <w:t xml:space="preserve">agencies </w:t>
      </w:r>
      <w:r w:rsidRPr="00124637">
        <w:rPr>
          <w:rFonts w:cs="Arial"/>
        </w:rPr>
        <w:t>under section 313 of the Telecommunications Act</w:t>
      </w:r>
      <w:r w:rsidRPr="00124637">
        <w:rPr>
          <w:rFonts w:cs="Arial"/>
          <w:i/>
        </w:rPr>
        <w:t>.</w:t>
      </w:r>
      <w:r w:rsidRPr="00124637">
        <w:rPr>
          <w:rFonts w:cs="Arial"/>
        </w:rPr>
        <w:t xml:space="preserve"> This assistance most commonly involves providing information </w:t>
      </w:r>
      <w:r w:rsidR="00C41A2D" w:rsidRPr="00124637">
        <w:rPr>
          <w:rFonts w:cs="Arial"/>
        </w:rPr>
        <w:t>about</w:t>
      </w:r>
      <w:r w:rsidRPr="00124637">
        <w:rPr>
          <w:rFonts w:cs="Arial"/>
        </w:rPr>
        <w:t xml:space="preserve"> consumers of telecommunications services and their communications for the purposes of:</w:t>
      </w:r>
    </w:p>
    <w:p w14:paraId="47B61AA9" w14:textId="77777777" w:rsidR="00D4593F" w:rsidRPr="00124637" w:rsidRDefault="00D4593F" w:rsidP="00D4593F">
      <w:pPr>
        <w:pStyle w:val="ListBullet"/>
        <w:tabs>
          <w:tab w:val="clear" w:pos="295"/>
          <w:tab w:val="num" w:pos="0"/>
        </w:tabs>
        <w:spacing w:line="240" w:lineRule="auto"/>
        <w:rPr>
          <w:rFonts w:cs="Arial"/>
        </w:rPr>
      </w:pPr>
      <w:r w:rsidRPr="00124637">
        <w:rPr>
          <w:rFonts w:cs="Arial"/>
        </w:rPr>
        <w:t>enforcing the criminal law</w:t>
      </w:r>
    </w:p>
    <w:p w14:paraId="30299007" w14:textId="77777777" w:rsidR="00D4593F" w:rsidRPr="00124637" w:rsidRDefault="00D4593F" w:rsidP="00D4593F">
      <w:pPr>
        <w:pStyle w:val="ListBullet"/>
        <w:tabs>
          <w:tab w:val="clear" w:pos="295"/>
          <w:tab w:val="num" w:pos="0"/>
        </w:tabs>
        <w:spacing w:line="240" w:lineRule="auto"/>
        <w:rPr>
          <w:rFonts w:cs="Arial"/>
        </w:rPr>
      </w:pPr>
      <w:r w:rsidRPr="00124637">
        <w:rPr>
          <w:rFonts w:cs="Arial"/>
        </w:rPr>
        <w:t>enforcing laws that impose a pecuniary penalty</w:t>
      </w:r>
    </w:p>
    <w:p w14:paraId="45871B1C" w14:textId="77777777" w:rsidR="00D4593F" w:rsidRPr="00124637" w:rsidRDefault="00D4593F" w:rsidP="00D4593F">
      <w:pPr>
        <w:pStyle w:val="ListBullet"/>
        <w:tabs>
          <w:tab w:val="clear" w:pos="295"/>
          <w:tab w:val="num" w:pos="0"/>
        </w:tabs>
        <w:spacing w:line="240" w:lineRule="auto"/>
        <w:rPr>
          <w:rFonts w:cs="Arial"/>
        </w:rPr>
      </w:pPr>
      <w:r w:rsidRPr="00124637">
        <w:rPr>
          <w:rFonts w:cs="Arial"/>
        </w:rPr>
        <w:t>assisting the enforcement of the criminal laws in force in a foreign country</w:t>
      </w:r>
    </w:p>
    <w:p w14:paraId="6B27CE59" w14:textId="77777777" w:rsidR="00D4593F" w:rsidRPr="00124637" w:rsidRDefault="00D4593F" w:rsidP="00D4593F">
      <w:pPr>
        <w:pStyle w:val="ListBullet"/>
        <w:tabs>
          <w:tab w:val="clear" w:pos="295"/>
          <w:tab w:val="num" w:pos="0"/>
        </w:tabs>
        <w:spacing w:line="240" w:lineRule="auto"/>
        <w:rPr>
          <w:rFonts w:cs="Arial"/>
        </w:rPr>
      </w:pPr>
      <w:r w:rsidRPr="00124637">
        <w:rPr>
          <w:rFonts w:cs="Arial"/>
        </w:rPr>
        <w:t>protecting the public revenue</w:t>
      </w:r>
    </w:p>
    <w:p w14:paraId="7124099D" w14:textId="77777777" w:rsidR="00D4593F" w:rsidRPr="00124637" w:rsidRDefault="00D4593F" w:rsidP="00BE3117">
      <w:pPr>
        <w:pStyle w:val="ListBulletLast"/>
        <w:rPr>
          <w:u w:val="single"/>
        </w:rPr>
      </w:pPr>
      <w:r w:rsidRPr="00124637">
        <w:t>safeguarding national security.</w:t>
      </w:r>
    </w:p>
    <w:p w14:paraId="0E91D1C9" w14:textId="77777777" w:rsidR="00D4593F" w:rsidRPr="00124637" w:rsidRDefault="00D4593F" w:rsidP="00D4593F">
      <w:r w:rsidRPr="00124637">
        <w:lastRenderedPageBreak/>
        <w:t xml:space="preserve">During the reporting period, the Attorney-General’s Department (AGD) did not refer any carriers or CSPs to the ACMA for enforcement action for refusing to provide an agency with </w:t>
      </w:r>
      <w:r w:rsidR="00DD04B5" w:rsidRPr="00124637">
        <w:t xml:space="preserve">such </w:t>
      </w:r>
      <w:r w:rsidRPr="00124637">
        <w:t xml:space="preserve">assistance. </w:t>
      </w:r>
    </w:p>
    <w:p w14:paraId="0B29C857" w14:textId="77777777" w:rsidR="00D4593F" w:rsidRPr="00124637" w:rsidRDefault="00D4593F" w:rsidP="00D4593F">
      <w:pPr>
        <w:pStyle w:val="Heading3"/>
      </w:pPr>
      <w:bookmarkStart w:id="219" w:name="ID"/>
      <w:bookmarkStart w:id="220" w:name="_Toc433703348"/>
      <w:bookmarkEnd w:id="219"/>
      <w:r w:rsidRPr="00124637">
        <w:t>Identity-checking requirements for prepaid mobile phone services</w:t>
      </w:r>
      <w:bookmarkEnd w:id="220"/>
    </w:p>
    <w:p w14:paraId="5CF76D8C" w14:textId="77777777" w:rsidR="00DE1F7F" w:rsidRPr="00124637" w:rsidRDefault="00DE1F7F" w:rsidP="00DE1F7F">
      <w:pPr>
        <w:rPr>
          <w:rFonts w:cs="Arial"/>
        </w:rPr>
      </w:pPr>
      <w:r w:rsidRPr="00124637">
        <w:rPr>
          <w:rFonts w:cs="Arial"/>
        </w:rPr>
        <w:t xml:space="preserve">The ACMA is responsible for making and administering a determination that requires CSPs to obtain and verify identity information about the purchasers </w:t>
      </w:r>
      <w:r w:rsidR="00DD04B5" w:rsidRPr="00124637">
        <w:rPr>
          <w:rFonts w:cs="Arial"/>
        </w:rPr>
        <w:t>or</w:t>
      </w:r>
      <w:r w:rsidRPr="00124637">
        <w:rPr>
          <w:rFonts w:cs="Arial"/>
        </w:rPr>
        <w:t xml:space="preserve"> service activators of prepaid mobile services.</w:t>
      </w:r>
    </w:p>
    <w:p w14:paraId="1B3279B1" w14:textId="77777777" w:rsidR="00DE1F7F" w:rsidRPr="00124637" w:rsidRDefault="00DE1F7F" w:rsidP="00DE1F7F">
      <w:pPr>
        <w:spacing w:after="80"/>
        <w:rPr>
          <w:rFonts w:cs="Arial"/>
        </w:rPr>
      </w:pPr>
      <w:r w:rsidRPr="00124637">
        <w:rPr>
          <w:rFonts w:cs="Arial"/>
        </w:rPr>
        <w:t>On 15 December 2014</w:t>
      </w:r>
      <w:r w:rsidR="00C41A2D" w:rsidRPr="00124637">
        <w:rPr>
          <w:rFonts w:cs="Arial"/>
        </w:rPr>
        <w:t>,</w:t>
      </w:r>
      <w:r w:rsidRPr="00124637">
        <w:rPr>
          <w:rFonts w:cs="Arial"/>
        </w:rPr>
        <w:t xml:space="preserve"> the ACMA amended the Telecommunications (Service Provider – Identity Checks for Prepaid Mobile Carriage Services) Determination 2013 under section 99 of the Telecommunications Act. The</w:t>
      </w:r>
      <w:r w:rsidR="00C41A2D" w:rsidRPr="00124637">
        <w:rPr>
          <w:rFonts w:cs="Arial"/>
        </w:rPr>
        <w:t>se</w:t>
      </w:r>
      <w:r w:rsidRPr="00124637">
        <w:rPr>
          <w:rFonts w:cs="Arial"/>
        </w:rPr>
        <w:t xml:space="preserve"> changes allow mobile providers to verify a person’s identity using two new methods:</w:t>
      </w:r>
    </w:p>
    <w:p w14:paraId="7A732901" w14:textId="77777777" w:rsidR="00DE1F7F" w:rsidRPr="00124637" w:rsidRDefault="00DE1F7F" w:rsidP="00DE1F7F">
      <w:pPr>
        <w:pStyle w:val="ListBullet"/>
        <w:tabs>
          <w:tab w:val="clear" w:pos="295"/>
          <w:tab w:val="num" w:pos="0"/>
        </w:tabs>
        <w:spacing w:line="240" w:lineRule="auto"/>
        <w:rPr>
          <w:rFonts w:cs="Arial"/>
        </w:rPr>
      </w:pPr>
      <w:r w:rsidRPr="00124637">
        <w:rPr>
          <w:rFonts w:cs="Arial"/>
        </w:rPr>
        <w:t>confirming a customer’s existing prepaid mobile account</w:t>
      </w:r>
    </w:p>
    <w:p w14:paraId="2EF903ED" w14:textId="77777777" w:rsidR="00DE1F7F" w:rsidRPr="00124637" w:rsidRDefault="00DE1F7F" w:rsidP="00DE1F7F">
      <w:pPr>
        <w:pStyle w:val="ListBulletLast"/>
      </w:pPr>
      <w:r w:rsidRPr="00124637">
        <w:t xml:space="preserve">sighting identification at the mobile provider’s shopfront at the time the service is activated. </w:t>
      </w:r>
    </w:p>
    <w:p w14:paraId="2218589E" w14:textId="77777777" w:rsidR="00DE1F7F" w:rsidRPr="00124637" w:rsidRDefault="00DE1F7F" w:rsidP="00DE1F7F">
      <w:pPr>
        <w:rPr>
          <w:rFonts w:cs="Arial"/>
        </w:rPr>
      </w:pPr>
      <w:r w:rsidRPr="00124637">
        <w:rPr>
          <w:rFonts w:cs="Arial"/>
        </w:rPr>
        <w:t>The new types of identity verification add to the six</w:t>
      </w:r>
      <w:r w:rsidR="00C41A2D" w:rsidRPr="00124637">
        <w:rPr>
          <w:rFonts w:cs="Arial"/>
        </w:rPr>
        <w:t xml:space="preserve"> methods introduced in </w:t>
      </w:r>
      <w:hyperlink r:id="rId36" w:history="1">
        <w:r w:rsidRPr="00124637">
          <w:rPr>
            <w:rFonts w:cs="Arial"/>
          </w:rPr>
          <w:t>October 2013</w:t>
        </w:r>
      </w:hyperlink>
      <w:r w:rsidRPr="00124637">
        <w:rPr>
          <w:rFonts w:cs="Arial"/>
        </w:rPr>
        <w:t xml:space="preserve"> that enable identity verification by the mobile provider itself at the time the service is</w:t>
      </w:r>
      <w:r w:rsidR="00C41A2D" w:rsidRPr="00124637">
        <w:rPr>
          <w:rFonts w:cs="Arial"/>
        </w:rPr>
        <w:t xml:space="preserve"> activated, instead of identity-</w:t>
      </w:r>
      <w:r w:rsidRPr="00124637">
        <w:rPr>
          <w:rFonts w:cs="Arial"/>
        </w:rPr>
        <w:t>checking by third parties at the point of sale.</w:t>
      </w:r>
    </w:p>
    <w:p w14:paraId="1B0C5DBF" w14:textId="77777777" w:rsidR="00DE1F7F" w:rsidRPr="00124637" w:rsidRDefault="00DE1F7F" w:rsidP="00DE1F7F">
      <w:pPr>
        <w:rPr>
          <w:rFonts w:cs="Arial"/>
        </w:rPr>
      </w:pPr>
      <w:r w:rsidRPr="00124637">
        <w:rPr>
          <w:rFonts w:cs="Arial"/>
        </w:rPr>
        <w:t xml:space="preserve">The ACMA consulted </w:t>
      </w:r>
      <w:r w:rsidR="00DD04B5" w:rsidRPr="00124637">
        <w:rPr>
          <w:rFonts w:cs="Arial"/>
        </w:rPr>
        <w:t>on</w:t>
      </w:r>
      <w:r w:rsidRPr="00124637">
        <w:rPr>
          <w:rFonts w:cs="Arial"/>
        </w:rPr>
        <w:t xml:space="preserve"> the amendments with a range of interested parties including the AGD, law enforcement agencies, the Office of the Australian Information Commissioner and consumer advocacy groups.</w:t>
      </w:r>
    </w:p>
    <w:p w14:paraId="447532A4" w14:textId="77777777" w:rsidR="00D4593F" w:rsidRPr="00124637" w:rsidRDefault="00D4593F" w:rsidP="00D4593F">
      <w:pPr>
        <w:pStyle w:val="Heading3"/>
      </w:pPr>
      <w:bookmarkStart w:id="221" w:name="_Toc433703349"/>
      <w:r w:rsidRPr="00124637">
        <w:t>Interception exemption for trial services</w:t>
      </w:r>
      <w:bookmarkEnd w:id="221"/>
    </w:p>
    <w:p w14:paraId="5F2497A4" w14:textId="77777777" w:rsidR="00D4593F" w:rsidRPr="00124637" w:rsidRDefault="00D4593F" w:rsidP="00D4593F">
      <w:pPr>
        <w:rPr>
          <w:rFonts w:cs="Arial"/>
        </w:rPr>
      </w:pPr>
      <w:r w:rsidRPr="00124637">
        <w:rPr>
          <w:rFonts w:cs="Arial"/>
        </w:rPr>
        <w:t xml:space="preserve">Section 193 of the </w:t>
      </w:r>
      <w:r w:rsidRPr="00124637">
        <w:rPr>
          <w:rFonts w:cs="Arial"/>
          <w:i/>
        </w:rPr>
        <w:t>Telecommunications (Interception and Access) Act 1979</w:t>
      </w:r>
      <w:r w:rsidRPr="00124637">
        <w:rPr>
          <w:rFonts w:cs="Arial"/>
        </w:rPr>
        <w:t xml:space="preserve"> gives carriers the opportunity to trial new services before committing expenditure on interception capability. The ACMA can grant an exemption from the obligation to provide interception capability if, after consulting with appropriate interception agencies, it is satisfied that this is unlikely to create a risk to national security or law enforcement. </w:t>
      </w:r>
    </w:p>
    <w:p w14:paraId="19DA5528" w14:textId="77777777" w:rsidR="00D4593F" w:rsidRPr="00124637" w:rsidRDefault="00D4593F" w:rsidP="00D4593F">
      <w:pPr>
        <w:rPr>
          <w:rFonts w:cs="Arial"/>
          <w:iCs/>
        </w:rPr>
      </w:pPr>
      <w:r w:rsidRPr="00124637">
        <w:rPr>
          <w:rFonts w:cs="Arial"/>
          <w:iCs/>
        </w:rPr>
        <w:t>There were two exemptions granted during 2014–15 relating to a single program of trial services.</w:t>
      </w:r>
    </w:p>
    <w:p w14:paraId="6801AC8E" w14:textId="77777777" w:rsidR="00D4593F" w:rsidRPr="00124637" w:rsidRDefault="00D4593F" w:rsidP="00D4593F">
      <w:pPr>
        <w:pStyle w:val="Heading3"/>
      </w:pPr>
      <w:bookmarkStart w:id="222" w:name="_Toc433703350"/>
      <w:r w:rsidRPr="00124637">
        <w:t>Disclosure of customer information to law enforcement and national security agencies</w:t>
      </w:r>
      <w:bookmarkEnd w:id="222"/>
    </w:p>
    <w:p w14:paraId="2345B94D" w14:textId="77777777" w:rsidR="00D4593F" w:rsidRPr="00124637" w:rsidRDefault="00D4593F" w:rsidP="00D4593F">
      <w:pPr>
        <w:spacing w:after="80"/>
        <w:rPr>
          <w:rFonts w:cs="Arial"/>
        </w:rPr>
      </w:pPr>
      <w:r w:rsidRPr="00124637">
        <w:rPr>
          <w:rFonts w:cs="Arial"/>
        </w:rPr>
        <w:t>Customer information provided by telecommunications carriers and CSPs to law enforcement and national security agencies is protected under Part 13 of the Telecommunications Act. Carriers and CSPs are prohibited from disclosing that information to other parties except in limited circumstances. Those circumstances generally relate to:</w:t>
      </w:r>
    </w:p>
    <w:p w14:paraId="44E28029" w14:textId="77777777" w:rsidR="00D4593F" w:rsidRPr="00124637" w:rsidRDefault="00D4593F" w:rsidP="00D4593F">
      <w:pPr>
        <w:pStyle w:val="ListBullet"/>
        <w:ind w:left="284"/>
        <w:rPr>
          <w:rFonts w:cs="Arial"/>
        </w:rPr>
      </w:pPr>
      <w:r w:rsidRPr="00124637">
        <w:rPr>
          <w:rFonts w:cs="Arial"/>
        </w:rPr>
        <w:t xml:space="preserve">assisting in investigations by law enforcement or national security agencies, or the ACMA, ACCC, </w:t>
      </w:r>
      <w:r w:rsidR="00E975D6" w:rsidRPr="00124637">
        <w:rPr>
          <w:rFonts w:cs="Arial"/>
        </w:rPr>
        <w:t>TIO</w:t>
      </w:r>
      <w:r w:rsidRPr="00124637">
        <w:rPr>
          <w:rFonts w:cs="Arial"/>
        </w:rPr>
        <w:t xml:space="preserve"> or TUSMA</w:t>
      </w:r>
    </w:p>
    <w:p w14:paraId="405B7FC8" w14:textId="77777777" w:rsidR="00D4593F" w:rsidRPr="00124637" w:rsidRDefault="00D4593F" w:rsidP="00D4593F">
      <w:pPr>
        <w:pStyle w:val="ListBullet"/>
        <w:ind w:left="284"/>
        <w:rPr>
          <w:rFonts w:cs="Arial"/>
        </w:rPr>
      </w:pPr>
      <w:r w:rsidRPr="00124637">
        <w:rPr>
          <w:rFonts w:cs="Arial"/>
        </w:rPr>
        <w:t>assisting where there is an imminent threat to a person’s life or health</w:t>
      </w:r>
    </w:p>
    <w:p w14:paraId="11420229" w14:textId="77777777" w:rsidR="00D4593F" w:rsidRPr="00124637" w:rsidRDefault="00D4593F" w:rsidP="00BE3117">
      <w:pPr>
        <w:pStyle w:val="ListBulletLast"/>
      </w:pPr>
      <w:r w:rsidRPr="00124637">
        <w:t>satisfying the business needs of other carriers and CSPs.</w:t>
      </w:r>
    </w:p>
    <w:p w14:paraId="2C59A4F4" w14:textId="77777777" w:rsidR="00D4593F" w:rsidRPr="00124637" w:rsidRDefault="00D4593F" w:rsidP="00D4593F">
      <w:pPr>
        <w:rPr>
          <w:rFonts w:cs="Arial"/>
        </w:rPr>
      </w:pPr>
      <w:r w:rsidRPr="00124637">
        <w:rPr>
          <w:rFonts w:cs="Arial"/>
        </w:rPr>
        <w:t xml:space="preserve">The ACMA is required under paragraph 57(2)(f) of the ACMA Act to include in its annual report information on disclosures of customer information made during the reporting year. </w:t>
      </w:r>
      <w:r w:rsidR="00141F5D" w:rsidRPr="00124637">
        <w:rPr>
          <w:rFonts w:cs="Arial"/>
        </w:rPr>
        <w:t xml:space="preserve">See Appendix </w:t>
      </w:r>
      <w:r w:rsidR="004E733F" w:rsidRPr="00124637">
        <w:rPr>
          <w:rFonts w:cs="Arial"/>
        </w:rPr>
        <w:t>11</w:t>
      </w:r>
      <w:r w:rsidR="00141F5D" w:rsidRPr="00124637">
        <w:rPr>
          <w:rFonts w:cs="Arial"/>
        </w:rPr>
        <w:t xml:space="preserve"> for t</w:t>
      </w:r>
      <w:r w:rsidRPr="00124637">
        <w:rPr>
          <w:rFonts w:cs="Arial"/>
        </w:rPr>
        <w:t>he number and type of disclosures made during 2014–15, as reported to the ACMA under section 30</w:t>
      </w:r>
      <w:r w:rsidR="00141F5D" w:rsidRPr="00124637">
        <w:rPr>
          <w:rFonts w:cs="Arial"/>
        </w:rPr>
        <w:t>8 of the Telecommunications Act</w:t>
      </w:r>
      <w:r w:rsidRPr="00124637">
        <w:rPr>
          <w:rFonts w:cs="Arial"/>
        </w:rPr>
        <w:t>.</w:t>
      </w:r>
    </w:p>
    <w:p w14:paraId="0619F81D" w14:textId="77777777" w:rsidR="00DE1F7F" w:rsidRPr="00124637" w:rsidRDefault="00DE1F7F" w:rsidP="00DE1F7F">
      <w:pPr>
        <w:pStyle w:val="BodysubheaderH4"/>
      </w:pPr>
      <w:r w:rsidRPr="00124637">
        <w:lastRenderedPageBreak/>
        <w:t>Disclosure data for telephone-based emergency warning systems</w:t>
      </w:r>
    </w:p>
    <w:p w14:paraId="2D503159" w14:textId="77777777" w:rsidR="00D4593F" w:rsidRPr="00124637" w:rsidRDefault="00D4593F" w:rsidP="00D4593F">
      <w:pPr>
        <w:spacing w:before="60"/>
        <w:rPr>
          <w:rFonts w:cs="Arial"/>
        </w:rPr>
      </w:pPr>
      <w:r w:rsidRPr="00124637">
        <w:rPr>
          <w:rFonts w:cs="Arial"/>
        </w:rPr>
        <w:t>Part 13 of the Telecommunications Act allows information contained in the Integrated Public Number Database (IPND) to be disclosed for the testing and operation of telephone-based emergency warning systems by state and territory governments.</w:t>
      </w:r>
    </w:p>
    <w:p w14:paraId="788201BD" w14:textId="77777777" w:rsidR="00D4593F" w:rsidRPr="00124637" w:rsidRDefault="00D4593F" w:rsidP="00BE5D22">
      <w:r w:rsidRPr="00124637">
        <w:t>Appendix 1</w:t>
      </w:r>
      <w:r w:rsidR="004E733F" w:rsidRPr="00124637">
        <w:t>1</w:t>
      </w:r>
      <w:r w:rsidRPr="00124637">
        <w:t xml:space="preserve"> provides the number of telephone numbers that have been disclosed for this purpose in the reporting period, a description of the emergency or likely emergency, and the location and number of persons to whom the information was disclosed under subsections 295V(1) or 295V(2) of the Telecommunications Act.</w:t>
      </w:r>
    </w:p>
    <w:p w14:paraId="2E89AAC5" w14:textId="77777777" w:rsidR="00DE1F7F" w:rsidRPr="00124637" w:rsidRDefault="00DE1F7F" w:rsidP="00DE1F7F">
      <w:pPr>
        <w:pStyle w:val="Heading2"/>
      </w:pPr>
      <w:bookmarkStart w:id="223" w:name="_Toc433703351"/>
      <w:r w:rsidRPr="00124637">
        <w:t>Integrated Public Number Database</w:t>
      </w:r>
      <w:bookmarkEnd w:id="223"/>
    </w:p>
    <w:p w14:paraId="72690BD3" w14:textId="77777777" w:rsidR="00DE1F7F" w:rsidRPr="00124637" w:rsidRDefault="00DE1F7F" w:rsidP="00DE1F7F">
      <w:pPr>
        <w:rPr>
          <w:rFonts w:cs="Arial"/>
        </w:rPr>
      </w:pPr>
      <w:r w:rsidRPr="00124637">
        <w:rPr>
          <w:rFonts w:cs="Arial"/>
        </w:rPr>
        <w:t xml:space="preserve">The IPND is an industry-wide database of all listed and unlisted public telephone numbers. It was established in 1998 and is currently managed by Telstra under the Carrier Licence Conditions (Telstra Corporation Limited) Declaration 1997. Law enforcement agencies and emergency services regularly access customer data from the IPND and it is critical that the data is accurate for these purposes. </w:t>
      </w:r>
    </w:p>
    <w:p w14:paraId="42F789B3" w14:textId="77777777" w:rsidR="00DE1F7F" w:rsidRPr="00124637" w:rsidRDefault="00DE1F7F" w:rsidP="00DE1F7F">
      <w:pPr>
        <w:rPr>
          <w:rFonts w:cs="Arial"/>
        </w:rPr>
      </w:pPr>
      <w:r w:rsidRPr="00124637">
        <w:rPr>
          <w:rFonts w:cs="Arial"/>
        </w:rPr>
        <w:t xml:space="preserve">The ACMA continued to contribute to the IPND review conducted by </w:t>
      </w:r>
      <w:r w:rsidR="0035247D" w:rsidRPr="00124637">
        <w:rPr>
          <w:rFonts w:cs="Arial"/>
        </w:rPr>
        <w:t>DoC</w:t>
      </w:r>
      <w:r w:rsidRPr="00124637">
        <w:rPr>
          <w:rFonts w:cs="Arial"/>
        </w:rPr>
        <w:t>. The IPND review report was released on 7 May 2015.</w:t>
      </w:r>
    </w:p>
    <w:p w14:paraId="2D6A6F2C" w14:textId="77777777" w:rsidR="00DE1F7F" w:rsidRPr="00124637" w:rsidRDefault="00DE1F7F" w:rsidP="00DE1F7F">
      <w:pPr>
        <w:pStyle w:val="Heading3"/>
      </w:pPr>
      <w:bookmarkStart w:id="224" w:name="_Toc433703352"/>
      <w:r w:rsidRPr="00124637">
        <w:t>CSP compliance with IPND requirements</w:t>
      </w:r>
      <w:bookmarkEnd w:id="224"/>
    </w:p>
    <w:p w14:paraId="6737A7F9" w14:textId="77777777" w:rsidR="00DE1F7F" w:rsidRPr="00124637" w:rsidRDefault="00DE1F7F" w:rsidP="00DE1F7F">
      <w:pPr>
        <w:rPr>
          <w:rFonts w:cs="Arial"/>
        </w:rPr>
      </w:pPr>
      <w:r w:rsidRPr="00124637">
        <w:rPr>
          <w:rFonts w:cs="Arial"/>
        </w:rPr>
        <w:t>The ACMA’s compliance program seeks to improve compliance by CSPs with their IPND-related regulatory obligations</w:t>
      </w:r>
      <w:r w:rsidR="0035247D" w:rsidRPr="00124637">
        <w:rPr>
          <w:rFonts w:cs="Arial"/>
        </w:rPr>
        <w:t>,</w:t>
      </w:r>
      <w:r w:rsidRPr="00124637">
        <w:rPr>
          <w:rFonts w:cs="Arial"/>
        </w:rPr>
        <w:t xml:space="preserve"> and thereby improves the quality and completeness of data contained in the IPND. </w:t>
      </w:r>
    </w:p>
    <w:p w14:paraId="5D33F61D" w14:textId="77777777" w:rsidR="00DD04B5" w:rsidRPr="00124637" w:rsidRDefault="00DD04B5" w:rsidP="00DD04B5">
      <w:pPr>
        <w:rPr>
          <w:rFonts w:cs="Arial"/>
        </w:rPr>
      </w:pPr>
      <w:r w:rsidRPr="00124637">
        <w:rPr>
          <w:rFonts w:cs="Arial"/>
        </w:rPr>
        <w:t>In 2014–15, a key compliance activity was to monitor, on a monthly basis, the percentage of customer records with one or more errors, as identified by the IPND Manager that each data provider has in the IPND. This monitoring resulted in the ACMA raising compliance issues with 16 CSPs. All 16 CSPs contacted by the ACMA have taken steps to improve the quality of the customer data they provide to the IPND Manager.</w:t>
      </w:r>
    </w:p>
    <w:p w14:paraId="2D759DA3" w14:textId="77777777" w:rsidR="00DE1F7F" w:rsidRPr="00124637" w:rsidRDefault="00DE1F7F" w:rsidP="00DE1F7F">
      <w:pPr>
        <w:pStyle w:val="Heading3"/>
      </w:pPr>
      <w:bookmarkStart w:id="225" w:name="_Toc433703353"/>
      <w:r w:rsidRPr="00124637">
        <w:t>Southern Phone Company enforceable undertaking and direction to comply with TCP Code</w:t>
      </w:r>
      <w:bookmarkEnd w:id="225"/>
    </w:p>
    <w:p w14:paraId="142D4DA9" w14:textId="77777777" w:rsidR="00DE1F7F" w:rsidRPr="00124637" w:rsidRDefault="00DE1F7F" w:rsidP="00DE1F7F">
      <w:pPr>
        <w:rPr>
          <w:rFonts w:eastAsiaTheme="minorHAnsi" w:cs="Arial"/>
          <w:iCs/>
          <w:szCs w:val="21"/>
        </w:rPr>
      </w:pPr>
      <w:r w:rsidRPr="00124637">
        <w:rPr>
          <w:rFonts w:eastAsiaTheme="minorHAnsi" w:cs="Arial"/>
          <w:iCs/>
          <w:szCs w:val="21"/>
        </w:rPr>
        <w:t>In May 2015, the ACMA directed Southern Phone Company (SPC) to comply with clause 4.6.3 of the</w:t>
      </w:r>
      <w:r w:rsidR="0035247D" w:rsidRPr="00124637">
        <w:rPr>
          <w:rFonts w:eastAsiaTheme="minorHAnsi" w:cs="Arial"/>
          <w:iCs/>
          <w:szCs w:val="21"/>
        </w:rPr>
        <w:t xml:space="preserve"> TCP Code</w:t>
      </w:r>
      <w:r w:rsidRPr="00124637">
        <w:rPr>
          <w:rFonts w:eastAsiaTheme="minorHAnsi" w:cs="Arial"/>
          <w:iCs/>
          <w:szCs w:val="21"/>
        </w:rPr>
        <w:t xml:space="preserve"> (C628:2012)</w:t>
      </w:r>
      <w:r w:rsidR="0035247D" w:rsidRPr="00124637">
        <w:rPr>
          <w:rFonts w:eastAsiaTheme="minorHAnsi" w:cs="Arial"/>
          <w:iCs/>
          <w:szCs w:val="21"/>
        </w:rPr>
        <w:t>,</w:t>
      </w:r>
      <w:r w:rsidRPr="00124637">
        <w:rPr>
          <w:rFonts w:eastAsiaTheme="minorHAnsi" w:cs="Arial"/>
          <w:iCs/>
          <w:szCs w:val="21"/>
        </w:rPr>
        <w:t xml:space="preserve"> following an investigation that found SPC failed to protect the privacy of its customers’ personal details after it incorrectly classified 3,869 silent numbers in the IPND. The error resulted in those silent numbers</w:t>
      </w:r>
      <w:r w:rsidR="0035247D" w:rsidRPr="00124637">
        <w:rPr>
          <w:rFonts w:eastAsiaTheme="minorHAnsi" w:cs="Arial"/>
          <w:iCs/>
          <w:szCs w:val="21"/>
        </w:rPr>
        <w:t>,</w:t>
      </w:r>
      <w:r w:rsidRPr="00124637">
        <w:rPr>
          <w:rFonts w:eastAsiaTheme="minorHAnsi" w:cs="Arial"/>
          <w:iCs/>
          <w:szCs w:val="21"/>
        </w:rPr>
        <w:t xml:space="preserve"> and the associated name and address details, being published in authorised public number directories, but not in the Wh</w:t>
      </w:r>
      <w:r w:rsidR="00C831B5" w:rsidRPr="00124637">
        <w:rPr>
          <w:rFonts w:eastAsiaTheme="minorHAnsi" w:cs="Arial"/>
          <w:iCs/>
          <w:szCs w:val="21"/>
        </w:rPr>
        <w:t>ite Pages produced by Telstra.</w:t>
      </w:r>
    </w:p>
    <w:p w14:paraId="2908FEE6" w14:textId="77777777" w:rsidR="00DE1F7F" w:rsidRPr="00124637" w:rsidRDefault="00DE1F7F" w:rsidP="00DE1F7F">
      <w:pPr>
        <w:rPr>
          <w:rFonts w:eastAsiaTheme="minorHAnsi" w:cs="Arial"/>
          <w:iCs/>
          <w:szCs w:val="21"/>
        </w:rPr>
      </w:pPr>
      <w:r w:rsidRPr="00124637">
        <w:rPr>
          <w:rFonts w:eastAsiaTheme="minorHAnsi" w:cs="Arial"/>
          <w:iCs/>
          <w:szCs w:val="21"/>
        </w:rPr>
        <w:t>The ACMA also found SPC had breached the Telecommunications Act and the IPND Industry Code</w:t>
      </w:r>
      <w:r w:rsidRPr="00124637">
        <w:rPr>
          <w:rFonts w:eastAsiaTheme="minorHAnsi" w:cs="Arial"/>
          <w:i/>
          <w:iCs/>
          <w:szCs w:val="21"/>
        </w:rPr>
        <w:t xml:space="preserve"> </w:t>
      </w:r>
      <w:r w:rsidRPr="00124637">
        <w:rPr>
          <w:rFonts w:eastAsiaTheme="minorHAnsi" w:cs="Arial"/>
          <w:iCs/>
          <w:szCs w:val="21"/>
        </w:rPr>
        <w:t>(C555:2008)</w:t>
      </w:r>
      <w:r w:rsidR="0035247D" w:rsidRPr="00124637">
        <w:rPr>
          <w:rFonts w:eastAsiaTheme="minorHAnsi" w:cs="Arial"/>
          <w:iCs/>
          <w:szCs w:val="21"/>
        </w:rPr>
        <w:t xml:space="preserve"> </w:t>
      </w:r>
      <w:r w:rsidRPr="00124637">
        <w:rPr>
          <w:rFonts w:eastAsiaTheme="minorHAnsi" w:cs="Arial"/>
          <w:iCs/>
          <w:szCs w:val="21"/>
        </w:rPr>
        <w:t xml:space="preserve">by failing to provide accurate information to the IPND. The ACMA subsequently accepted an enforceable undertaking from SPC to address the non-compliance with the IPND requirements under the Telecommunications Act. </w:t>
      </w:r>
    </w:p>
    <w:p w14:paraId="5927815D" w14:textId="77777777" w:rsidR="00DE1F7F" w:rsidRPr="00124637" w:rsidRDefault="00DE1F7F" w:rsidP="00DE1F7F">
      <w:pPr>
        <w:spacing w:after="80"/>
        <w:rPr>
          <w:rFonts w:eastAsiaTheme="minorHAnsi" w:cs="Arial"/>
          <w:iCs/>
          <w:szCs w:val="21"/>
        </w:rPr>
      </w:pPr>
      <w:r w:rsidRPr="00124637">
        <w:rPr>
          <w:rFonts w:eastAsiaTheme="minorHAnsi" w:cs="Arial"/>
          <w:iCs/>
          <w:szCs w:val="21"/>
        </w:rPr>
        <w:t>The enforceable undertaking commits SPC to:</w:t>
      </w:r>
    </w:p>
    <w:p w14:paraId="5B9AB562" w14:textId="77777777" w:rsidR="00DE1F7F" w:rsidRPr="00124637" w:rsidRDefault="00DE1F7F" w:rsidP="00DE1F7F">
      <w:pPr>
        <w:pStyle w:val="ListBullet"/>
        <w:rPr>
          <w:rFonts w:cs="Arial"/>
        </w:rPr>
      </w:pPr>
      <w:r w:rsidRPr="00124637">
        <w:rPr>
          <w:rFonts w:cs="Arial"/>
        </w:rPr>
        <w:t>upgrade its data collection processes</w:t>
      </w:r>
    </w:p>
    <w:p w14:paraId="592D6052" w14:textId="77777777" w:rsidR="00DE1F7F" w:rsidRPr="00124637" w:rsidRDefault="00DE1F7F" w:rsidP="00DE1F7F">
      <w:pPr>
        <w:pStyle w:val="ListBullet"/>
        <w:rPr>
          <w:rFonts w:cs="Arial"/>
        </w:rPr>
      </w:pPr>
      <w:r w:rsidRPr="00124637">
        <w:rPr>
          <w:rFonts w:cs="Arial"/>
        </w:rPr>
        <w:t>engage an independent auditor to review its IPND processes</w:t>
      </w:r>
    </w:p>
    <w:p w14:paraId="3CD4FCF6" w14:textId="77777777" w:rsidR="00DE1F7F" w:rsidRPr="00124637" w:rsidRDefault="00DE1F7F" w:rsidP="00DE1F7F">
      <w:pPr>
        <w:pStyle w:val="ListBullet"/>
        <w:rPr>
          <w:rFonts w:cs="Arial"/>
        </w:rPr>
      </w:pPr>
      <w:r w:rsidRPr="00124637">
        <w:rPr>
          <w:rFonts w:cs="Arial"/>
        </w:rPr>
        <w:t xml:space="preserve">instigate a comprehensive education and training program </w:t>
      </w:r>
    </w:p>
    <w:p w14:paraId="51F934AB" w14:textId="77777777" w:rsidR="00DE1F7F" w:rsidRPr="00124637" w:rsidRDefault="00DE1F7F" w:rsidP="00DE1F7F">
      <w:pPr>
        <w:pStyle w:val="ListBulletLast"/>
      </w:pPr>
      <w:r w:rsidRPr="00124637">
        <w:t>regularly report to the ACMA for two years.</w:t>
      </w:r>
    </w:p>
    <w:p w14:paraId="60667303" w14:textId="77777777" w:rsidR="00DE1F7F" w:rsidRPr="00124637" w:rsidRDefault="00DE1F7F" w:rsidP="00DE1F7F">
      <w:pPr>
        <w:rPr>
          <w:rFonts w:eastAsiaTheme="minorHAnsi" w:cs="Arial"/>
          <w:iCs/>
          <w:szCs w:val="21"/>
        </w:rPr>
      </w:pPr>
      <w:r w:rsidRPr="00124637">
        <w:rPr>
          <w:rFonts w:eastAsiaTheme="minorHAnsi" w:cs="Arial"/>
          <w:iCs/>
          <w:szCs w:val="21"/>
        </w:rPr>
        <w:t>SPC cooperated fully with the ACMA during the investigation and acknowledged that the ACMA had reasonable</w:t>
      </w:r>
      <w:r w:rsidR="00C831B5" w:rsidRPr="00124637">
        <w:rPr>
          <w:rFonts w:eastAsiaTheme="minorHAnsi" w:cs="Arial"/>
          <w:iCs/>
          <w:szCs w:val="21"/>
        </w:rPr>
        <w:t xml:space="preserve"> grounds to make the findings.</w:t>
      </w:r>
    </w:p>
    <w:p w14:paraId="555733B3" w14:textId="77777777" w:rsidR="00DE1F7F" w:rsidRPr="00124637" w:rsidRDefault="00DE1F7F" w:rsidP="00151556">
      <w:pPr>
        <w:pStyle w:val="Heading3"/>
      </w:pPr>
      <w:bookmarkStart w:id="226" w:name="_Toc433703354"/>
      <w:r w:rsidRPr="00124637">
        <w:lastRenderedPageBreak/>
        <w:t xml:space="preserve">IPND </w:t>
      </w:r>
      <w:r w:rsidR="00827ABD" w:rsidRPr="00124637">
        <w:t>s</w:t>
      </w:r>
      <w:r w:rsidR="00515EB3" w:rsidRPr="00124637">
        <w:t>cheme</w:t>
      </w:r>
      <w:bookmarkEnd w:id="226"/>
    </w:p>
    <w:p w14:paraId="0D672C4D" w14:textId="77777777" w:rsidR="00DE1F7F" w:rsidRPr="00124637" w:rsidRDefault="00DE1F7F" w:rsidP="00DE1F7F">
      <w:pPr>
        <w:rPr>
          <w:rFonts w:cs="Arial"/>
        </w:rPr>
      </w:pPr>
      <w:r w:rsidRPr="00124637">
        <w:rPr>
          <w:rFonts w:cs="Arial"/>
        </w:rPr>
        <w:t xml:space="preserve">The IPND scheme allows for the assessment of applications for authorisation for public number directory publishers and people </w:t>
      </w:r>
      <w:r w:rsidR="0035247D" w:rsidRPr="00124637">
        <w:rPr>
          <w:rFonts w:cs="Arial"/>
        </w:rPr>
        <w:t>conducting research of a kind specified by the minister as being in the public interest.</w:t>
      </w:r>
      <w:r w:rsidR="006B36D8" w:rsidRPr="00124637">
        <w:rPr>
          <w:rFonts w:cs="Arial"/>
        </w:rPr>
        <w:t xml:space="preserve"> Part 13 of the Telecommunications Act provides for the ACMA to administer the IPND scheme.</w:t>
      </w:r>
    </w:p>
    <w:p w14:paraId="4A1B4A62" w14:textId="77777777" w:rsidR="00DE1F7F" w:rsidRPr="00124637" w:rsidRDefault="00DE1F7F" w:rsidP="00DE1F7F">
      <w:r w:rsidRPr="00124637">
        <w:rPr>
          <w:rFonts w:cs="Arial"/>
        </w:rPr>
        <w:t>During the reporting period, the ACMA varied authorisations granted to Fleurieu Link and Local Directories to further support the publication of public number directories. At 30 June 2015, six entities held authorisations to access IPND data for the purpose of publishing public number directories</w:t>
      </w:r>
      <w:r w:rsidR="00561039" w:rsidRPr="00124637">
        <w:rPr>
          <w:rFonts w:cs="Arial"/>
        </w:rPr>
        <w:t>, while</w:t>
      </w:r>
      <w:r w:rsidRPr="00124637">
        <w:rPr>
          <w:rFonts w:cs="Arial"/>
        </w:rPr>
        <w:t xml:space="preserve"> no research authorisations were in place.</w:t>
      </w:r>
    </w:p>
    <w:p w14:paraId="14016539" w14:textId="77777777" w:rsidR="00D4593F" w:rsidRPr="00124637" w:rsidRDefault="00D4593F" w:rsidP="00363455">
      <w:pPr>
        <w:pStyle w:val="Heading2"/>
        <w:keepLines/>
      </w:pPr>
      <w:bookmarkStart w:id="227" w:name="_Toc433703355"/>
      <w:r w:rsidRPr="00124637">
        <w:t>Emergency call service</w:t>
      </w:r>
      <w:bookmarkEnd w:id="213"/>
      <w:bookmarkEnd w:id="214"/>
      <w:bookmarkEnd w:id="215"/>
      <w:bookmarkEnd w:id="227"/>
    </w:p>
    <w:p w14:paraId="14950A76" w14:textId="77777777" w:rsidR="00DE1F7F" w:rsidRPr="00124637" w:rsidRDefault="00DE1F7F" w:rsidP="00DE1F7F">
      <w:pPr>
        <w:keepNext/>
        <w:keepLines/>
        <w:spacing w:after="80"/>
        <w:rPr>
          <w:rFonts w:cs="Arial"/>
        </w:rPr>
      </w:pPr>
      <w:r w:rsidRPr="00124637">
        <w:rPr>
          <w:rFonts w:cs="Arial"/>
        </w:rPr>
        <w:t xml:space="preserve">The emergency call service is a national operator-assisted service that connects emergency callers free-of-charge to state and territory emergency service organisations (ESOs)—police, fire and ambulance. The service is provided by the following emergency call persons: </w:t>
      </w:r>
    </w:p>
    <w:p w14:paraId="34BF00AC" w14:textId="77777777" w:rsidR="00DE1F7F" w:rsidRPr="00124637" w:rsidRDefault="00DE1F7F" w:rsidP="00DE1F7F">
      <w:pPr>
        <w:pStyle w:val="ListBullet"/>
        <w:keepNext/>
        <w:keepLines/>
        <w:rPr>
          <w:rFonts w:cs="Arial"/>
        </w:rPr>
      </w:pPr>
      <w:r w:rsidRPr="00124637">
        <w:rPr>
          <w:rFonts w:cs="Arial"/>
        </w:rPr>
        <w:t>Telstra, for the emergency service numbers 000 and 112</w:t>
      </w:r>
    </w:p>
    <w:p w14:paraId="1E899BFB" w14:textId="77777777" w:rsidR="00DE1F7F" w:rsidRPr="00124637" w:rsidRDefault="00DE1F7F" w:rsidP="00DE1F7F">
      <w:pPr>
        <w:pStyle w:val="ListBulletLast"/>
      </w:pPr>
      <w:r w:rsidRPr="00124637">
        <w:t>Australian Communication Exchange, for the emergency service number 106, used by people who are deaf or have a hearing or</w:t>
      </w:r>
      <w:r w:rsidR="00561039" w:rsidRPr="00124637">
        <w:t xml:space="preserve"> speech </w:t>
      </w:r>
      <w:r w:rsidRPr="00124637">
        <w:t>impairment.</w:t>
      </w:r>
    </w:p>
    <w:p w14:paraId="2031A954" w14:textId="77777777" w:rsidR="00DE1F7F" w:rsidRPr="00124637" w:rsidRDefault="00561039" w:rsidP="00DE1F7F">
      <w:pPr>
        <w:rPr>
          <w:b/>
          <w:bCs/>
        </w:rPr>
      </w:pPr>
      <w:r w:rsidRPr="00124637">
        <w:t xml:space="preserve">The ACMA has been contributing to a review </w:t>
      </w:r>
      <w:r w:rsidR="00DE1F7F" w:rsidRPr="00124637">
        <w:t xml:space="preserve">of the Emergency Call Person (ECP) for 000 and 112 (also referred to as the national Triple Zero operator) </w:t>
      </w:r>
      <w:r w:rsidRPr="00124637">
        <w:t>begun by DoC in July 2014</w:t>
      </w:r>
      <w:r w:rsidR="00DE1F7F" w:rsidRPr="00124637">
        <w:t>.</w:t>
      </w:r>
    </w:p>
    <w:p w14:paraId="2C39B763" w14:textId="77777777" w:rsidR="006744F6" w:rsidRPr="00124637" w:rsidRDefault="006744F6" w:rsidP="006744F6">
      <w:pPr>
        <w:pStyle w:val="Heading3"/>
      </w:pPr>
      <w:bookmarkStart w:id="228" w:name="_Toc433703356"/>
      <w:r w:rsidRPr="00124637">
        <w:t>Emergency Call Service Advisory Committee</w:t>
      </w:r>
      <w:bookmarkEnd w:id="216"/>
      <w:bookmarkEnd w:id="228"/>
    </w:p>
    <w:p w14:paraId="3D3D0976" w14:textId="77777777" w:rsidR="00DE1F7F" w:rsidRPr="00124637" w:rsidRDefault="00DE1F7F" w:rsidP="00DE1F7F">
      <w:pPr>
        <w:rPr>
          <w:rFonts w:cs="Arial"/>
        </w:rPr>
      </w:pPr>
      <w:bookmarkStart w:id="229" w:name="_Toc419122312"/>
      <w:r w:rsidRPr="00124637">
        <w:rPr>
          <w:rFonts w:cs="Arial"/>
        </w:rPr>
        <w:t>The ACMA convenes the Emergency Call Service Advisory Committee (ECSAC) as a formally constituted advisory committee. ECSAC provides a forum for representatives of the telecommunications industry, emergency call persons and emergency service organisations to provide advice to the ACMA and discuss priority issues affecting the operation of the service. ECSAC met once in 20</w:t>
      </w:r>
      <w:r w:rsidR="00561039" w:rsidRPr="00124637">
        <w:rPr>
          <w:rFonts w:cs="Arial"/>
        </w:rPr>
        <w:t>14–</w:t>
      </w:r>
      <w:r w:rsidRPr="00124637">
        <w:rPr>
          <w:rFonts w:cs="Arial"/>
        </w:rPr>
        <w:t>15 and provided advice on a range of matters. Details of ECSAC members are provided at Appendix 2.</w:t>
      </w:r>
    </w:p>
    <w:p w14:paraId="69A0CC0E" w14:textId="77777777" w:rsidR="006744F6" w:rsidRPr="00124637" w:rsidRDefault="006744F6" w:rsidP="006744F6">
      <w:pPr>
        <w:pStyle w:val="Heading3"/>
      </w:pPr>
      <w:bookmarkStart w:id="230" w:name="Red_non"/>
      <w:bookmarkStart w:id="231" w:name="_Toc433703357"/>
      <w:bookmarkEnd w:id="230"/>
      <w:r w:rsidRPr="00124637">
        <w:t>Reducing the volume of non-emergency calls</w:t>
      </w:r>
      <w:bookmarkEnd w:id="229"/>
      <w:bookmarkEnd w:id="231"/>
    </w:p>
    <w:p w14:paraId="58C12D45" w14:textId="77777777" w:rsidR="00DE1F7F" w:rsidRPr="00124637" w:rsidRDefault="00DE1F7F" w:rsidP="00DE1F7F">
      <w:pPr>
        <w:rPr>
          <w:rFonts w:cs="Arial"/>
        </w:rPr>
      </w:pPr>
      <w:bookmarkStart w:id="232" w:name="_Toc419122314"/>
      <w:r w:rsidRPr="00124637">
        <w:rPr>
          <w:rFonts w:cs="Arial"/>
        </w:rPr>
        <w:t xml:space="preserve">An ongoing objective for emergency </w:t>
      </w:r>
      <w:r w:rsidR="006B36D8" w:rsidRPr="00124637">
        <w:rPr>
          <w:rFonts w:cs="Arial"/>
        </w:rPr>
        <w:t xml:space="preserve">call </w:t>
      </w:r>
      <w:r w:rsidRPr="00124637">
        <w:rPr>
          <w:rFonts w:cs="Arial"/>
        </w:rPr>
        <w:t xml:space="preserve">service delivery has been to reduce the volume of calls to Telstra as the ECP for 000 and 112 that are not related to an emergency. Of the </w:t>
      </w:r>
      <w:r w:rsidR="00BE3117" w:rsidRPr="00124637">
        <w:rPr>
          <w:rFonts w:cs="Arial"/>
        </w:rPr>
        <w:t>8.4</w:t>
      </w:r>
      <w:r w:rsidRPr="00124637">
        <w:rPr>
          <w:rFonts w:cs="Arial"/>
        </w:rPr>
        <w:t> million calls made to the ECP during 2014–15,</w:t>
      </w:r>
      <w:r w:rsidR="007B6918" w:rsidRPr="00124637">
        <w:rPr>
          <w:rFonts w:cs="Arial"/>
        </w:rPr>
        <w:t xml:space="preserve"> 5.88 </w:t>
      </w:r>
      <w:r w:rsidRPr="00124637">
        <w:rPr>
          <w:rFonts w:cs="Arial"/>
        </w:rPr>
        <w:t>million were connected through to an ESO.</w:t>
      </w:r>
    </w:p>
    <w:p w14:paraId="05F29765" w14:textId="77777777" w:rsidR="00DE1F7F" w:rsidRPr="00124637" w:rsidRDefault="00DE1F7F" w:rsidP="00DE1F7F">
      <w:pPr>
        <w:rPr>
          <w:rFonts w:cs="Arial"/>
        </w:rPr>
      </w:pPr>
      <w:r w:rsidRPr="00124637">
        <w:rPr>
          <w:rFonts w:cs="Arial"/>
        </w:rPr>
        <w:t xml:space="preserve">Calls that are categorised as </w:t>
      </w:r>
      <w:r w:rsidR="00561039" w:rsidRPr="00124637">
        <w:rPr>
          <w:rFonts w:cs="Arial"/>
        </w:rPr>
        <w:t>‘</w:t>
      </w:r>
      <w:r w:rsidRPr="00124637">
        <w:rPr>
          <w:rFonts w:cs="Arial"/>
        </w:rPr>
        <w:t>non-emergency</w:t>
      </w:r>
      <w:r w:rsidR="00561039" w:rsidRPr="00124637">
        <w:rPr>
          <w:rFonts w:cs="Arial"/>
        </w:rPr>
        <w:t>’</w:t>
      </w:r>
      <w:r w:rsidRPr="00124637">
        <w:rPr>
          <w:rFonts w:cs="Arial"/>
        </w:rPr>
        <w:t xml:space="preserve"> include instances of accidental calls (a particular issue with mobile phones), nuisance calls, calls for assistance that are not time-critical and calls to services that are not accessible through the emergency call service, such as state emergency services.</w:t>
      </w:r>
    </w:p>
    <w:p w14:paraId="46A6C3AD" w14:textId="77777777" w:rsidR="00C546E6" w:rsidRPr="00124637" w:rsidRDefault="00C546E6" w:rsidP="00C546E6">
      <w:pPr>
        <w:rPr>
          <w:rFonts w:cs="Arial"/>
        </w:rPr>
      </w:pPr>
      <w:r w:rsidRPr="00124637">
        <w:rPr>
          <w:rFonts w:cs="Arial"/>
        </w:rPr>
        <w:t xml:space="preserve">Since Telstra’s introduction of a short recorded voice announcement for the Triple Zero service on 19 December 2008, the number of calls to Triple Zero reaching the ECP has reduced by about 30 per cent, without genuine calls being affected. </w:t>
      </w:r>
    </w:p>
    <w:p w14:paraId="06AD905A" w14:textId="77777777" w:rsidR="00DE1F7F" w:rsidRPr="00124637" w:rsidRDefault="00C546E6" w:rsidP="00C546E6">
      <w:pPr>
        <w:rPr>
          <w:rFonts w:cs="Arial"/>
        </w:rPr>
      </w:pPr>
      <w:r w:rsidRPr="00124637">
        <w:rPr>
          <w:rFonts w:cs="Arial"/>
        </w:rPr>
        <w:t>The ACMA is continuing to monitor the results of an escalated warning process, which is managed by Telstra as the ECP and the three mobile network owners. These processes can lead to a mobile handset being blocked from making most calls if it is used to make repeated non-emergency calls to Triple Zero. Experience is showing that the risk of account suspension and police referral is acting as a significant deterrent. On average, 99 per cent of callers making repeated non-emergency calls are deterred from further misuse after receiving a warning from the ECP.</w:t>
      </w:r>
    </w:p>
    <w:p w14:paraId="4B8791A1" w14:textId="77777777" w:rsidR="00D4593F" w:rsidRPr="00124637" w:rsidRDefault="00D4593F" w:rsidP="00D4593F">
      <w:pPr>
        <w:pStyle w:val="Heading3"/>
      </w:pPr>
      <w:bookmarkStart w:id="233" w:name="Imp_mobile"/>
      <w:bookmarkStart w:id="234" w:name="_Toc433703358"/>
      <w:bookmarkEnd w:id="233"/>
      <w:r w:rsidRPr="00124637">
        <w:lastRenderedPageBreak/>
        <w:t>Improved mobile location for emergency service organisations</w:t>
      </w:r>
      <w:bookmarkEnd w:id="234"/>
    </w:p>
    <w:p w14:paraId="2AEAAB86" w14:textId="77777777" w:rsidR="00DE1F7F" w:rsidRPr="00124637" w:rsidRDefault="00DE1F7F" w:rsidP="00DE1F7F">
      <w:pPr>
        <w:rPr>
          <w:rFonts w:cs="Arial"/>
        </w:rPr>
      </w:pPr>
      <w:r w:rsidRPr="00124637">
        <w:rPr>
          <w:rFonts w:cs="Arial"/>
        </w:rPr>
        <w:t>In October 2014, the mobile carriers introduced a new capability that allows ESOs to obtain access to cell tower</w:t>
      </w:r>
      <w:r w:rsidR="00561039" w:rsidRPr="00124637">
        <w:rPr>
          <w:rFonts w:cs="Arial"/>
        </w:rPr>
        <w:t>—</w:t>
      </w:r>
      <w:r w:rsidRPr="00124637">
        <w:rPr>
          <w:rFonts w:cs="Arial"/>
        </w:rPr>
        <w:t>or better location</w:t>
      </w:r>
      <w:r w:rsidR="00561039" w:rsidRPr="00124637">
        <w:rPr>
          <w:rFonts w:cs="Arial"/>
        </w:rPr>
        <w:t>—</w:t>
      </w:r>
      <w:r w:rsidRPr="00124637">
        <w:rPr>
          <w:rFonts w:cs="Arial"/>
        </w:rPr>
        <w:t xml:space="preserve">information during the actual Triple Zero call. </w:t>
      </w:r>
      <w:r w:rsidR="00561039" w:rsidRPr="00124637">
        <w:rPr>
          <w:rFonts w:cs="Arial"/>
        </w:rPr>
        <w:t>While i</w:t>
      </w:r>
      <w:r w:rsidRPr="00124637">
        <w:rPr>
          <w:rFonts w:cs="Arial"/>
        </w:rPr>
        <w:t>n most cases cal</w:t>
      </w:r>
      <w:r w:rsidR="00561039" w:rsidRPr="00124637">
        <w:rPr>
          <w:rFonts w:cs="Arial"/>
        </w:rPr>
        <w:t>lers can provide their location, in some cases they are</w:t>
      </w:r>
      <w:r w:rsidRPr="00124637">
        <w:rPr>
          <w:rFonts w:cs="Arial"/>
        </w:rPr>
        <w:t xml:space="preserve"> unaware of their location or unable to pass on information because they are stressed, disoriented or unfamiliar with the area. Improved mobile caller location </w:t>
      </w:r>
      <w:r w:rsidR="00561039" w:rsidRPr="00124637">
        <w:rPr>
          <w:rFonts w:cs="Arial"/>
        </w:rPr>
        <w:t>helps</w:t>
      </w:r>
      <w:r w:rsidRPr="00124637">
        <w:rPr>
          <w:rFonts w:cs="Arial"/>
        </w:rPr>
        <w:t xml:space="preserve"> emergency services to locate callers and </w:t>
      </w:r>
      <w:r w:rsidR="00561039" w:rsidRPr="00124637">
        <w:rPr>
          <w:rFonts w:cs="Arial"/>
        </w:rPr>
        <w:t xml:space="preserve">provide </w:t>
      </w:r>
      <w:r w:rsidRPr="00124637">
        <w:rPr>
          <w:rFonts w:cs="Arial"/>
        </w:rPr>
        <w:t xml:space="preserve">emergency assistance as quickly as possible. </w:t>
      </w:r>
    </w:p>
    <w:p w14:paraId="07C30BF3" w14:textId="77777777" w:rsidR="00DE1F7F" w:rsidRPr="00124637" w:rsidRDefault="00DE1F7F" w:rsidP="00DE1F7F">
      <w:pPr>
        <w:rPr>
          <w:rFonts w:cs="Arial"/>
        </w:rPr>
      </w:pPr>
      <w:r w:rsidRPr="00124637">
        <w:rPr>
          <w:rFonts w:cs="Arial"/>
        </w:rPr>
        <w:t xml:space="preserve">The ACMA has been keen to facilitate this </w:t>
      </w:r>
      <w:r w:rsidR="00561039" w:rsidRPr="00124637">
        <w:rPr>
          <w:rFonts w:cs="Arial"/>
        </w:rPr>
        <w:t xml:space="preserve">public safety initiative, </w:t>
      </w:r>
      <w:r w:rsidRPr="00124637">
        <w:rPr>
          <w:rFonts w:cs="Arial"/>
        </w:rPr>
        <w:t>and recognises the investment of significant resources and expertise by the mobile</w:t>
      </w:r>
      <w:r w:rsidR="00561039" w:rsidRPr="00124637">
        <w:rPr>
          <w:rFonts w:cs="Arial"/>
        </w:rPr>
        <w:t xml:space="preserve"> carriers and the ECP for 000</w:t>
      </w:r>
      <w:r w:rsidRPr="00124637">
        <w:rPr>
          <w:rFonts w:cs="Arial"/>
        </w:rPr>
        <w:t xml:space="preserve">. The next </w:t>
      </w:r>
      <w:r w:rsidR="00561039" w:rsidRPr="00124637">
        <w:rPr>
          <w:rFonts w:cs="Arial"/>
        </w:rPr>
        <w:t>step</w:t>
      </w:r>
      <w:r w:rsidRPr="00124637">
        <w:rPr>
          <w:rFonts w:cs="Arial"/>
        </w:rPr>
        <w:t xml:space="preserve"> in improving mobile location information is the extraction and automatic transfer of GPS information fr</w:t>
      </w:r>
      <w:r w:rsidR="00561039" w:rsidRPr="00124637">
        <w:rPr>
          <w:rFonts w:cs="Arial"/>
        </w:rPr>
        <w:t xml:space="preserve">om the mobile </w:t>
      </w:r>
      <w:r w:rsidR="006B36D8" w:rsidRPr="00124637">
        <w:rPr>
          <w:rFonts w:cs="Arial"/>
        </w:rPr>
        <w:t xml:space="preserve">customer’s </w:t>
      </w:r>
      <w:r w:rsidR="00561039" w:rsidRPr="00124637">
        <w:rPr>
          <w:rFonts w:cs="Arial"/>
        </w:rPr>
        <w:t>handset</w:t>
      </w:r>
      <w:r w:rsidRPr="00124637">
        <w:rPr>
          <w:rFonts w:cs="Arial"/>
        </w:rPr>
        <w:t xml:space="preserve"> for access by ESOs.</w:t>
      </w:r>
    </w:p>
    <w:p w14:paraId="60AE1BB4" w14:textId="77777777" w:rsidR="00D4593F" w:rsidRPr="00124637" w:rsidRDefault="00227F08" w:rsidP="00363455">
      <w:pPr>
        <w:pStyle w:val="Heading3"/>
      </w:pPr>
      <w:bookmarkStart w:id="235" w:name="_Toc433703359"/>
      <w:r w:rsidRPr="00124637">
        <w:t>Awareness-</w:t>
      </w:r>
      <w:r w:rsidR="00D4593F" w:rsidRPr="00124637">
        <w:t>raising activities</w:t>
      </w:r>
      <w:bookmarkEnd w:id="235"/>
    </w:p>
    <w:p w14:paraId="1269AB99" w14:textId="77777777" w:rsidR="00D4593F" w:rsidRPr="00124637" w:rsidRDefault="00D4593F" w:rsidP="00D4593F">
      <w:pPr>
        <w:rPr>
          <w:rFonts w:cs="Arial"/>
        </w:rPr>
      </w:pPr>
      <w:r w:rsidRPr="00124637">
        <w:rPr>
          <w:rFonts w:cs="Arial"/>
        </w:rPr>
        <w:t xml:space="preserve">During the reporting period, the Triple Zero Awareness Work Group, an ECSAC working group, was active in developing initiatives aimed at improving awareness of Australia’s emergency call service, particularly among children. In the first of what is expected to be numerous </w:t>
      </w:r>
      <w:r w:rsidR="000A03FA" w:rsidRPr="00124637">
        <w:rPr>
          <w:rFonts w:cs="Arial"/>
        </w:rPr>
        <w:t>agreements, the Triple Zero Kid</w:t>
      </w:r>
      <w:r w:rsidRPr="00124637">
        <w:rPr>
          <w:rFonts w:cs="Arial"/>
        </w:rPr>
        <w:t>s</w:t>
      </w:r>
      <w:r w:rsidR="000A03FA" w:rsidRPr="00124637">
        <w:rPr>
          <w:rFonts w:cs="Arial"/>
        </w:rPr>
        <w:t>’ C</w:t>
      </w:r>
      <w:r w:rsidRPr="00124637">
        <w:rPr>
          <w:rFonts w:cs="Arial"/>
        </w:rPr>
        <w:t>hallenge has been licensed to the Queensland Department of Education for use in the pr</w:t>
      </w:r>
      <w:r w:rsidR="000A03FA" w:rsidRPr="00124637">
        <w:rPr>
          <w:rFonts w:cs="Arial"/>
        </w:rPr>
        <w:t>imary school curriculum and a teachers’ g</w:t>
      </w:r>
      <w:r w:rsidRPr="00124637">
        <w:rPr>
          <w:rFonts w:cs="Arial"/>
        </w:rPr>
        <w:t>uide developed. The Triple Zero Kids</w:t>
      </w:r>
      <w:r w:rsidR="000A03FA" w:rsidRPr="00124637">
        <w:rPr>
          <w:rFonts w:cs="Arial"/>
        </w:rPr>
        <w:t>’ C</w:t>
      </w:r>
      <w:r w:rsidRPr="00124637">
        <w:rPr>
          <w:rFonts w:cs="Arial"/>
        </w:rPr>
        <w:t xml:space="preserve">hallenge aims to educate children aged between five and 10 about the emergency call service. Over </w:t>
      </w:r>
      <w:r w:rsidR="00DE1F7F" w:rsidRPr="00124637">
        <w:rPr>
          <w:rFonts w:cs="Arial"/>
        </w:rPr>
        <w:t>one million</w:t>
      </w:r>
      <w:r w:rsidRPr="00124637">
        <w:rPr>
          <w:rFonts w:cs="Arial"/>
          <w:b/>
        </w:rPr>
        <w:t xml:space="preserve"> </w:t>
      </w:r>
      <w:r w:rsidRPr="00124637">
        <w:rPr>
          <w:rFonts w:cs="Arial"/>
        </w:rPr>
        <w:t>games have been played since its launch in May 2010.</w:t>
      </w:r>
    </w:p>
    <w:p w14:paraId="7AE8D2F0" w14:textId="77777777" w:rsidR="00D4593F" w:rsidRPr="00124637" w:rsidRDefault="00D4593F" w:rsidP="00D4593F">
      <w:pPr>
        <w:rPr>
          <w:rFonts w:cs="Arial"/>
        </w:rPr>
      </w:pPr>
      <w:r w:rsidRPr="00124637">
        <w:rPr>
          <w:rFonts w:cs="Arial"/>
        </w:rPr>
        <w:t>On 17 December 2014</w:t>
      </w:r>
      <w:r w:rsidR="000A03FA" w:rsidRPr="00124637">
        <w:rPr>
          <w:rFonts w:cs="Arial"/>
        </w:rPr>
        <w:t>,</w:t>
      </w:r>
      <w:r w:rsidRPr="00124637">
        <w:rPr>
          <w:rFonts w:cs="Arial"/>
        </w:rPr>
        <w:t xml:space="preserve"> the ACMA released an infographic promoting the importance of customers keeping their address details up to date with their CSP. The </w:t>
      </w:r>
      <w:r w:rsidR="000A03FA" w:rsidRPr="00124637">
        <w:rPr>
          <w:rFonts w:cs="Arial"/>
        </w:rPr>
        <w:t xml:space="preserve">infographic, which featured the </w:t>
      </w:r>
      <w:r w:rsidRPr="00124637">
        <w:rPr>
          <w:rFonts w:cs="Arial"/>
        </w:rPr>
        <w:t>Emergency+ app and Emergency Alert system</w:t>
      </w:r>
      <w:r w:rsidR="000A03FA" w:rsidRPr="00124637">
        <w:rPr>
          <w:rFonts w:cs="Arial"/>
        </w:rPr>
        <w:t>,</w:t>
      </w:r>
      <w:r w:rsidRPr="00124637">
        <w:rPr>
          <w:rFonts w:cs="Arial"/>
        </w:rPr>
        <w:t xml:space="preserve"> was viewed by more than 190,000 people on Facebook</w:t>
      </w:r>
      <w:r w:rsidR="000A03FA" w:rsidRPr="00124637">
        <w:rPr>
          <w:rFonts w:cs="Arial"/>
        </w:rPr>
        <w:t xml:space="preserve"> during December</w:t>
      </w:r>
      <w:r w:rsidR="006B36D8" w:rsidRPr="00124637">
        <w:rPr>
          <w:rFonts w:cs="Arial"/>
        </w:rPr>
        <w:t xml:space="preserve"> 2014</w:t>
      </w:r>
      <w:r w:rsidR="000A03FA" w:rsidRPr="00124637">
        <w:rPr>
          <w:rFonts w:cs="Arial"/>
        </w:rPr>
        <w:t>. A second infographic</w:t>
      </w:r>
      <w:r w:rsidRPr="00124637">
        <w:rPr>
          <w:rFonts w:cs="Arial"/>
        </w:rPr>
        <w:t xml:space="preserve"> tackled some of the common myths about calling Triple Ze</w:t>
      </w:r>
      <w:r w:rsidR="000A03FA" w:rsidRPr="00124637">
        <w:rPr>
          <w:rFonts w:cs="Arial"/>
        </w:rPr>
        <w:t xml:space="preserve">ro from a mobile phone. </w:t>
      </w:r>
      <w:r w:rsidRPr="00124637">
        <w:rPr>
          <w:rFonts w:cs="Arial"/>
        </w:rPr>
        <w:t>This infographic</w:t>
      </w:r>
      <w:r w:rsidR="000A03FA" w:rsidRPr="00124637">
        <w:rPr>
          <w:rFonts w:cs="Arial"/>
        </w:rPr>
        <w:t>,</w:t>
      </w:r>
      <w:r w:rsidRPr="00124637">
        <w:rPr>
          <w:rFonts w:cs="Arial"/>
        </w:rPr>
        <w:t xml:space="preserve"> </w:t>
      </w:r>
      <w:r w:rsidR="000A03FA" w:rsidRPr="00124637">
        <w:rPr>
          <w:rFonts w:cs="Arial"/>
        </w:rPr>
        <w:t xml:space="preserve">released on 4 June 2015, </w:t>
      </w:r>
      <w:r w:rsidRPr="00124637">
        <w:rPr>
          <w:rFonts w:cs="Arial"/>
        </w:rPr>
        <w:t xml:space="preserve">reached over half a million people during </w:t>
      </w:r>
      <w:r w:rsidR="000A03FA" w:rsidRPr="00124637">
        <w:rPr>
          <w:rFonts w:cs="Arial"/>
        </w:rPr>
        <w:t>its</w:t>
      </w:r>
      <w:r w:rsidRPr="00124637">
        <w:rPr>
          <w:rFonts w:cs="Arial"/>
        </w:rPr>
        <w:t xml:space="preserve"> first week on Twitter and was viewed by more than 300,000 </w:t>
      </w:r>
      <w:r w:rsidR="000A03FA" w:rsidRPr="00124637">
        <w:rPr>
          <w:rFonts w:cs="Arial"/>
        </w:rPr>
        <w:t>F</w:t>
      </w:r>
      <w:r w:rsidRPr="00124637">
        <w:rPr>
          <w:rFonts w:cs="Arial"/>
        </w:rPr>
        <w:t>acebook</w:t>
      </w:r>
      <w:r w:rsidR="000A03FA" w:rsidRPr="00124637">
        <w:rPr>
          <w:rFonts w:cs="Arial"/>
        </w:rPr>
        <w:t xml:space="preserve"> users</w:t>
      </w:r>
      <w:r w:rsidRPr="00124637">
        <w:rPr>
          <w:rFonts w:cs="Arial"/>
        </w:rPr>
        <w:t>.</w:t>
      </w:r>
    </w:p>
    <w:p w14:paraId="50F13088" w14:textId="77777777" w:rsidR="006744F6" w:rsidRPr="00124637" w:rsidRDefault="006744F6" w:rsidP="006744F6">
      <w:pPr>
        <w:pStyle w:val="Heading3"/>
      </w:pPr>
      <w:bookmarkStart w:id="236" w:name="_Toc433703360"/>
      <w:r w:rsidRPr="00124637">
        <w:t>Emergency+ app</w:t>
      </w:r>
      <w:bookmarkEnd w:id="232"/>
      <w:bookmarkEnd w:id="236"/>
      <w:r w:rsidRPr="00124637">
        <w:t xml:space="preserve"> </w:t>
      </w:r>
    </w:p>
    <w:p w14:paraId="4FDFA83F" w14:textId="77777777" w:rsidR="00DE1F7F" w:rsidRPr="00124637" w:rsidRDefault="00DE1F7F" w:rsidP="00DE1F7F">
      <w:pPr>
        <w:rPr>
          <w:rFonts w:cs="Arial"/>
        </w:rPr>
      </w:pPr>
      <w:bookmarkStart w:id="237" w:name="_Toc419122315"/>
      <w:bookmarkStart w:id="238" w:name="_Toc419122316"/>
      <w:r w:rsidRPr="00124637">
        <w:rPr>
          <w:rFonts w:cs="Arial"/>
        </w:rPr>
        <w:t xml:space="preserve">The Triple Zero Awareness Group oversaw the introduction of two new language translations for the Emergency+ app in December 2014. When activated, the Emergency+ app gives users their GPS reference, which they can provide orally to an emergency call-taker to pinpoint their physical location. The app also contains contact numbers and a short explanation of when to call non-emergency numbers such as the Police Assistance Line and the national State Emergency Service (SES) number. There have been almost 280,000 downloads of the Emergency+ app since </w:t>
      </w:r>
      <w:r w:rsidR="000A03FA" w:rsidRPr="00124637">
        <w:rPr>
          <w:rFonts w:cs="Arial"/>
        </w:rPr>
        <w:t>its</w:t>
      </w:r>
      <w:r w:rsidRPr="00124637">
        <w:rPr>
          <w:rFonts w:cs="Arial"/>
        </w:rPr>
        <w:t xml:space="preserve"> launch.</w:t>
      </w:r>
    </w:p>
    <w:p w14:paraId="524666BB" w14:textId="77777777" w:rsidR="00D4593F" w:rsidRPr="00124637" w:rsidRDefault="00D4593F" w:rsidP="00D4593F">
      <w:pPr>
        <w:pStyle w:val="Heading3"/>
      </w:pPr>
      <w:bookmarkStart w:id="239" w:name="_Toc433703361"/>
      <w:bookmarkEnd w:id="237"/>
      <w:r w:rsidRPr="00124637">
        <w:t>Complaints and investigations about the Triple Zero service</w:t>
      </w:r>
      <w:bookmarkEnd w:id="239"/>
    </w:p>
    <w:p w14:paraId="71DFF8B6" w14:textId="77777777" w:rsidR="00D4593F" w:rsidRPr="00124637" w:rsidRDefault="00D4593F" w:rsidP="00D4593F">
      <w:pPr>
        <w:rPr>
          <w:rFonts w:cs="Arial"/>
        </w:rPr>
      </w:pPr>
      <w:r w:rsidRPr="00124637">
        <w:t>During the reporting period, the ACMA received a small number of complaints and enquiries about the Triple Zero service. Most of these related to the handling of calls by an ESO (and not to Telstra as the ECP for 000 and 112), and were referred to the relevant organisation for a response. No formal investigations were undertaken.</w:t>
      </w:r>
    </w:p>
    <w:p w14:paraId="385543B9" w14:textId="77777777" w:rsidR="00163CCB" w:rsidRPr="004E4548" w:rsidRDefault="00163CCB" w:rsidP="00163CCB">
      <w:pPr>
        <w:pStyle w:val="Heading1"/>
      </w:pPr>
      <w:bookmarkStart w:id="240" w:name="_Toc433703362"/>
      <w:bookmarkEnd w:id="238"/>
      <w:r w:rsidRPr="004E4548">
        <w:lastRenderedPageBreak/>
        <w:t xml:space="preserve">Chapter </w:t>
      </w:r>
      <w:r>
        <w:t>4</w:t>
      </w:r>
      <w:r w:rsidRPr="004E4548">
        <w:t xml:space="preserve">: </w:t>
      </w:r>
      <w:r w:rsidR="00F31620">
        <w:t>Con</w:t>
      </w:r>
      <w:r w:rsidR="00DA36C1">
        <w:t>sumer safeguards, education and </w:t>
      </w:r>
      <w:r w:rsidR="00F31620">
        <w:t>information</w:t>
      </w:r>
      <w:bookmarkEnd w:id="240"/>
    </w:p>
    <w:p w14:paraId="3A13CF5F" w14:textId="77777777" w:rsidR="00163CCB" w:rsidRPr="001E2783" w:rsidRDefault="00163CCB" w:rsidP="00F31620">
      <w:pPr>
        <w:rPr>
          <w:rFonts w:cs="Arial"/>
        </w:rPr>
      </w:pPr>
      <w:r w:rsidRPr="001E2783">
        <w:rPr>
          <w:rFonts w:cs="Arial"/>
        </w:rPr>
        <w:t xml:space="preserve">Chapter </w:t>
      </w:r>
      <w:r>
        <w:rPr>
          <w:rFonts w:cs="Arial"/>
        </w:rPr>
        <w:t>4</w:t>
      </w:r>
      <w:r w:rsidRPr="001E2783">
        <w:rPr>
          <w:rFonts w:cs="Arial"/>
        </w:rPr>
        <w:t xml:space="preserve"> reflects the ACMA</w:t>
      </w:r>
      <w:r w:rsidR="00DA36C1">
        <w:rPr>
          <w:rFonts w:cs="Arial"/>
        </w:rPr>
        <w:t>’s</w:t>
      </w:r>
      <w:r>
        <w:rPr>
          <w:rFonts w:cs="Arial"/>
        </w:rPr>
        <w:t xml:space="preserve"> performance against the deliverables in </w:t>
      </w:r>
      <w:r w:rsidRPr="001E2783">
        <w:rPr>
          <w:rFonts w:cs="Arial"/>
        </w:rPr>
        <w:t>Program 1.</w:t>
      </w:r>
      <w:r w:rsidR="00AE1666">
        <w:rPr>
          <w:rFonts w:cs="Arial"/>
        </w:rPr>
        <w:t>2.</w:t>
      </w:r>
    </w:p>
    <w:p w14:paraId="25074E13" w14:textId="4A9AB87C" w:rsidR="00163CCB" w:rsidRPr="00B24896" w:rsidRDefault="00163CCB" w:rsidP="00163CCB">
      <w:pPr>
        <w:pStyle w:val="TableHeading"/>
      </w:pPr>
      <w:r>
        <w:t>Program 1.2</w:t>
      </w:r>
      <w:r w:rsidR="00DE1F14">
        <w:t xml:space="preserve"> O</w:t>
      </w:r>
      <w:r w:rsidRPr="00B24896">
        <w:t>bjective</w:t>
      </w:r>
    </w:p>
    <w:p w14:paraId="244AEB39" w14:textId="77777777" w:rsidR="00163CCB" w:rsidRDefault="00163CCB" w:rsidP="00163CCB">
      <w:r>
        <w:t xml:space="preserve">Consumer, citizen and audience safeguards are effective, designed to keep pace with evolving market developments, reflect community standards and deliver on consumer and community experience. </w:t>
      </w:r>
    </w:p>
    <w:p w14:paraId="692EA5A6" w14:textId="77777777" w:rsidR="00163CCB" w:rsidRDefault="00163CCB" w:rsidP="00163CCB">
      <w:r>
        <w:t>The benefit to consumers, citizens and industry from engagement in the developing information economy and the evolving networked society is maximised.</w:t>
      </w:r>
    </w:p>
    <w:p w14:paraId="3D95B722" w14:textId="77777777" w:rsidR="00AE1666" w:rsidRPr="004328FB" w:rsidRDefault="00AE1666" w:rsidP="00AE1666">
      <w:pPr>
        <w:pStyle w:val="BodysubheaderH4"/>
      </w:pPr>
      <w:r w:rsidRPr="004328FB">
        <w:t>Linked to:</w:t>
      </w:r>
    </w:p>
    <w:p w14:paraId="339F676C" w14:textId="77777777" w:rsidR="00AE1666" w:rsidRPr="004328FB" w:rsidRDefault="00AE1666" w:rsidP="004328FB">
      <w:pPr>
        <w:spacing w:after="80"/>
      </w:pPr>
      <w:r w:rsidRPr="004328FB">
        <w:t>Elements of the administered items in Program 1.2 are also delivered by the Telecommunications Universal Service Management Agency (TUSMA), which is responsible for delivering public interest telecommunications services including the:</w:t>
      </w:r>
    </w:p>
    <w:p w14:paraId="054F6C6F" w14:textId="77777777" w:rsidR="00AE1666" w:rsidRPr="005B5733" w:rsidRDefault="00AE1666" w:rsidP="004328FB">
      <w:pPr>
        <w:pStyle w:val="ListBullet"/>
      </w:pPr>
      <w:r w:rsidRPr="005B5733">
        <w:t>Universal Service Obligation (USO), which ensures that standard telephone services and payphones are to be reasonably accessible to all people in Australia on an equitable basis, wherever t</w:t>
      </w:r>
      <w:r>
        <w:t>hey reside or carry on business</w:t>
      </w:r>
      <w:r w:rsidR="00DA36C1">
        <w:t>.</w:t>
      </w:r>
    </w:p>
    <w:p w14:paraId="52FF9BC4" w14:textId="77777777" w:rsidR="00AE1666" w:rsidRDefault="00AE1666" w:rsidP="004328FB">
      <w:pPr>
        <w:pStyle w:val="ListBulletLast"/>
      </w:pPr>
      <w:r w:rsidRPr="005B5733">
        <w:t>National Relay Service (NRS), which assists people who are deaf, or have a hearing and/or speech impairment, to access a telephone service equivalent to the standard telephone service available to all Australians</w:t>
      </w:r>
      <w:r w:rsidR="00DA36C1">
        <w:t>.</w:t>
      </w:r>
    </w:p>
    <w:p w14:paraId="330785F2" w14:textId="362BF988" w:rsidR="00163CCB" w:rsidRPr="00716B76" w:rsidRDefault="00DE1F14" w:rsidP="00163CCB">
      <w:pPr>
        <w:pStyle w:val="TableHeading0"/>
      </w:pPr>
      <w:r>
        <w:t>Program 1.2 D</w:t>
      </w:r>
      <w:r w:rsidR="00163CCB">
        <w:t>eliverables</w:t>
      </w:r>
    </w:p>
    <w:p w14:paraId="42AA634A" w14:textId="77777777" w:rsidR="00163CCB" w:rsidRPr="00163CCB" w:rsidRDefault="00163CCB" w:rsidP="00163CCB">
      <w:pPr>
        <w:pStyle w:val="ListBullet"/>
      </w:pPr>
      <w:r w:rsidRPr="00163CCB">
        <w:t>Facilitate transition to the national broadband environment.</w:t>
      </w:r>
    </w:p>
    <w:p w14:paraId="1DAFE793" w14:textId="77777777" w:rsidR="00163CCB" w:rsidRPr="00163CCB" w:rsidRDefault="00163CCB" w:rsidP="00163CCB">
      <w:pPr>
        <w:pStyle w:val="ListBullet"/>
      </w:pPr>
      <w:r w:rsidRPr="00163CCB">
        <w:t>Maintain effective telecommunications safeguards.</w:t>
      </w:r>
    </w:p>
    <w:p w14:paraId="0053B624" w14:textId="77777777" w:rsidR="00163CCB" w:rsidRPr="00163CCB" w:rsidRDefault="00163CCB" w:rsidP="00163CCB">
      <w:pPr>
        <w:pStyle w:val="ListBullet"/>
      </w:pPr>
      <w:r w:rsidRPr="00163CCB">
        <w:t>Minimise unsolicited spam and telemarketing communications.</w:t>
      </w:r>
    </w:p>
    <w:p w14:paraId="267F3E59" w14:textId="77777777" w:rsidR="00163CCB" w:rsidRPr="00163CCB" w:rsidRDefault="00163CCB" w:rsidP="00163CCB">
      <w:pPr>
        <w:pStyle w:val="ListBullet"/>
      </w:pPr>
      <w:r w:rsidRPr="00163CCB">
        <w:t>Maintain effective broadcasting and community standards.</w:t>
      </w:r>
    </w:p>
    <w:p w14:paraId="7A87A9CE" w14:textId="77777777" w:rsidR="00163CCB" w:rsidRPr="00163CCB" w:rsidRDefault="00163CCB" w:rsidP="00163CCB">
      <w:pPr>
        <w:pStyle w:val="ListBullet"/>
      </w:pPr>
      <w:r w:rsidRPr="00163CCB">
        <w:t>Maintain effective online content and community standards.</w:t>
      </w:r>
    </w:p>
    <w:p w14:paraId="418A4B62" w14:textId="77777777" w:rsidR="00163CCB" w:rsidRPr="00163CCB" w:rsidRDefault="00163CCB" w:rsidP="00163CCB">
      <w:pPr>
        <w:pStyle w:val="ListBullet"/>
      </w:pPr>
      <w:r w:rsidRPr="00163CCB">
        <w:t>Promote engagement in the information economy and evolving networked society.</w:t>
      </w:r>
    </w:p>
    <w:p w14:paraId="717AB8B4" w14:textId="77777777" w:rsidR="00163CCB" w:rsidRDefault="00163CCB" w:rsidP="0075052F">
      <w:pPr>
        <w:pStyle w:val="ListBulletLast"/>
      </w:pPr>
      <w:r w:rsidRPr="00163CCB">
        <w:t>Develop and maintain appropriate regulatory settings for an information economy and network society</w:t>
      </w:r>
      <w:r>
        <w:t>.</w:t>
      </w:r>
    </w:p>
    <w:p w14:paraId="0C0CC3E2" w14:textId="0CCF6EBA" w:rsidR="00163CCB" w:rsidRDefault="00163CCB" w:rsidP="00163CCB">
      <w:pPr>
        <w:pStyle w:val="TableHeading0"/>
      </w:pPr>
      <w:r>
        <w:t>Program 1.2</w:t>
      </w:r>
      <w:r w:rsidR="00DE1F14">
        <w:t xml:space="preserve"> K</w:t>
      </w:r>
      <w:r w:rsidRPr="00954045">
        <w:t xml:space="preserve">ey </w:t>
      </w:r>
      <w:r w:rsidR="00DE1F14">
        <w:t>P</w:t>
      </w:r>
      <w:r w:rsidRPr="00954045">
        <w:t xml:space="preserve">erformance </w:t>
      </w:r>
      <w:r w:rsidR="00DE1F14">
        <w:t>I</w:t>
      </w:r>
      <w:r w:rsidRPr="00954045">
        <w:t>ndicators</w:t>
      </w:r>
    </w:p>
    <w:p w14:paraId="60C37D8E" w14:textId="77777777" w:rsidR="00163CCB" w:rsidRDefault="00163CCB" w:rsidP="00163CCB">
      <w:pPr>
        <w:pStyle w:val="ListBullet"/>
      </w:pPr>
      <w:r>
        <w:t>That businesses and consumers confidently transition to a national broadband environment.</w:t>
      </w:r>
    </w:p>
    <w:p w14:paraId="46B4A33A" w14:textId="77777777" w:rsidR="00163CCB" w:rsidRDefault="00163CCB" w:rsidP="00163CCB">
      <w:pPr>
        <w:pStyle w:val="ListBullet"/>
      </w:pPr>
      <w:r>
        <w:t>That consumer interests are protected and promoted when telecommunications services are purchased and used.</w:t>
      </w:r>
    </w:p>
    <w:p w14:paraId="1AE6BE77" w14:textId="77777777" w:rsidR="00163CCB" w:rsidRDefault="00163CCB" w:rsidP="00163CCB">
      <w:pPr>
        <w:pStyle w:val="ListBullet"/>
      </w:pPr>
      <w:r>
        <w:t>That the adverse impacts of spam and unsolicited telemarketing on the economy and society are minimised.</w:t>
      </w:r>
    </w:p>
    <w:p w14:paraId="21259F44" w14:textId="77777777" w:rsidR="00163CCB" w:rsidRDefault="00163CCB" w:rsidP="00163CCB">
      <w:pPr>
        <w:pStyle w:val="ListBullet"/>
      </w:pPr>
      <w:r>
        <w:t>That community’s confidence in the efficacy of broadcasting regulation is maintained.</w:t>
      </w:r>
    </w:p>
    <w:p w14:paraId="3B5BCAD8" w14:textId="77777777" w:rsidR="00163CCB" w:rsidRDefault="00163CCB" w:rsidP="00124637">
      <w:pPr>
        <w:pStyle w:val="ListBullet"/>
        <w:keepNext/>
      </w:pPr>
      <w:r>
        <w:lastRenderedPageBreak/>
        <w:t>That citizens have effective and accessible avenues of complaint for online content that breaches community standards.</w:t>
      </w:r>
    </w:p>
    <w:p w14:paraId="4B81A3D3" w14:textId="77777777" w:rsidR="00163CCB" w:rsidRDefault="00163CCB" w:rsidP="00124637">
      <w:pPr>
        <w:pStyle w:val="ListBullet"/>
        <w:keepNext/>
      </w:pPr>
      <w:r>
        <w:t>That citizens engage positively, confidently and securely in the developing information economy and evolving networked society.</w:t>
      </w:r>
    </w:p>
    <w:p w14:paraId="2E629004" w14:textId="029E7019" w:rsidR="00163CCB" w:rsidRPr="0022095A" w:rsidRDefault="00163CCB" w:rsidP="00163CCB">
      <w:pPr>
        <w:pStyle w:val="ListBulletLast"/>
      </w:pPr>
      <w:r>
        <w:t>That industry and business have sufficient confidence in regulatory settings to continue development of innovative communications and media services.</w:t>
      </w:r>
    </w:p>
    <w:p w14:paraId="163BC0E6" w14:textId="18DAAAA0" w:rsidR="000F2488" w:rsidRDefault="00212A85" w:rsidP="000F2488">
      <w:pPr>
        <w:pStyle w:val="Heading1"/>
        <w:spacing w:after="120" w:line="360" w:lineRule="atLeast"/>
        <w:rPr>
          <w:sz w:val="36"/>
          <w:szCs w:val="36"/>
        </w:rPr>
      </w:pPr>
      <w:bookmarkStart w:id="241" w:name="_Toc419122528"/>
      <w:bookmarkStart w:id="242" w:name="_Toc433703363"/>
      <w:r w:rsidRPr="0022095A">
        <w:rPr>
          <w:i/>
          <w:noProof/>
          <w:sz w:val="36"/>
          <w:szCs w:val="36"/>
        </w:rPr>
        <w:lastRenderedPageBreak/>
        <w:drawing>
          <wp:anchor distT="0" distB="0" distL="114300" distR="114300" simplePos="0" relativeHeight="251663360" behindDoc="1" locked="0" layoutInCell="1" allowOverlap="1" wp14:anchorId="2B2F108C" wp14:editId="2C34D56B">
            <wp:simplePos x="0" y="0"/>
            <wp:positionH relativeFrom="column">
              <wp:posOffset>4529</wp:posOffset>
            </wp:positionH>
            <wp:positionV relativeFrom="paragraph">
              <wp:posOffset>7129</wp:posOffset>
            </wp:positionV>
            <wp:extent cx="1193800" cy="1752600"/>
            <wp:effectExtent l="0" t="0" r="6350" b="0"/>
            <wp:wrapTight wrapText="bothSides">
              <wp:wrapPolygon edited="0">
                <wp:start x="0" y="0"/>
                <wp:lineTo x="0" y="21365"/>
                <wp:lineTo x="21370" y="21365"/>
                <wp:lineTo x="21370" y="0"/>
                <wp:lineTo x="0" y="0"/>
              </wp:wrapPolygon>
            </wp:wrapTight>
            <wp:docPr id="16" name="Picture 16" title="Icon of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jpg"/>
                    <pic:cNvPicPr/>
                  </pic:nvPicPr>
                  <pic:blipFill>
                    <a:blip r:embed="rId37">
                      <a:extLst>
                        <a:ext uri="{28A0092B-C50C-407E-A947-70E740481C1C}">
                          <a14:useLocalDpi xmlns:a14="http://schemas.microsoft.com/office/drawing/2010/main" val="0"/>
                        </a:ext>
                      </a:extLst>
                    </a:blip>
                    <a:stretch>
                      <a:fillRect/>
                    </a:stretch>
                  </pic:blipFill>
                  <pic:spPr>
                    <a:xfrm>
                      <a:off x="0" y="0"/>
                      <a:ext cx="1193800" cy="1752600"/>
                    </a:xfrm>
                    <a:prstGeom prst="rect">
                      <a:avLst/>
                    </a:prstGeom>
                  </pic:spPr>
                </pic:pic>
              </a:graphicData>
            </a:graphic>
            <wp14:sizeRelH relativeFrom="page">
              <wp14:pctWidth>0</wp14:pctWidth>
            </wp14:sizeRelH>
            <wp14:sizeRelV relativeFrom="page">
              <wp14:pctHeight>0</wp14:pctHeight>
            </wp14:sizeRelV>
          </wp:anchor>
        </w:drawing>
      </w:r>
      <w:r w:rsidR="00163CCB" w:rsidRPr="0022095A">
        <w:rPr>
          <w:i/>
          <w:sz w:val="36"/>
          <w:szCs w:val="36"/>
        </w:rPr>
        <w:t>D</w:t>
      </w:r>
      <w:r w:rsidR="0022095A" w:rsidRPr="0022095A">
        <w:rPr>
          <w:i/>
          <w:sz w:val="36"/>
          <w:szCs w:val="36"/>
        </w:rPr>
        <w:t>eliverable</w:t>
      </w:r>
      <w:r w:rsidR="00163CCB" w:rsidRPr="000F2488">
        <w:rPr>
          <w:sz w:val="36"/>
          <w:szCs w:val="36"/>
        </w:rPr>
        <w:t>: Facilitate transition to the national broadband environment</w:t>
      </w:r>
      <w:bookmarkEnd w:id="242"/>
    </w:p>
    <w:p w14:paraId="0D63EA0F" w14:textId="77777777" w:rsidR="00163CCB" w:rsidRPr="000F2488" w:rsidRDefault="00163CCB" w:rsidP="000F2488">
      <w:pPr>
        <w:pStyle w:val="Heading1"/>
        <w:pageBreakBefore w:val="0"/>
        <w:spacing w:line="360" w:lineRule="atLeast"/>
        <w:rPr>
          <w:sz w:val="36"/>
          <w:szCs w:val="36"/>
        </w:rPr>
      </w:pPr>
      <w:bookmarkStart w:id="243" w:name="_Toc433703364"/>
      <w:r w:rsidRPr="0022095A">
        <w:rPr>
          <w:i/>
          <w:sz w:val="36"/>
          <w:szCs w:val="36"/>
        </w:rPr>
        <w:t>KPI</w:t>
      </w:r>
      <w:r w:rsidRPr="000F2488">
        <w:rPr>
          <w:sz w:val="36"/>
          <w:szCs w:val="36"/>
        </w:rPr>
        <w:t>: Businesses and consumers confidently transition to a national broadband environment</w:t>
      </w:r>
      <w:bookmarkEnd w:id="241"/>
      <w:bookmarkEnd w:id="243"/>
    </w:p>
    <w:p w14:paraId="4D170542" w14:textId="77777777" w:rsidR="00163CCB" w:rsidRPr="00124637" w:rsidRDefault="00163CCB" w:rsidP="00163CCB">
      <w:pPr>
        <w:pStyle w:val="Heading2"/>
      </w:pPr>
      <w:bookmarkStart w:id="244" w:name="_Toc419122529"/>
      <w:bookmarkStart w:id="245" w:name="_Toc400018594"/>
      <w:bookmarkStart w:id="246" w:name="_Toc433703365"/>
      <w:r w:rsidRPr="00124637">
        <w:t>Overview and significant outcomes</w:t>
      </w:r>
      <w:bookmarkEnd w:id="244"/>
      <w:bookmarkEnd w:id="246"/>
    </w:p>
    <w:p w14:paraId="07319D95" w14:textId="77777777" w:rsidR="00D92FF8" w:rsidRPr="00124637" w:rsidRDefault="00D92FF8" w:rsidP="00D92FF8">
      <w:bookmarkStart w:id="247" w:name="_Toc419122530"/>
      <w:r w:rsidRPr="00124637">
        <w:t xml:space="preserve">The ACMA administers the telecommunications regulatory arrangements for the supply and connection of telecommunications customer equipment and customer cabling. The objective of the arrangements is to manage both consumer risks (related </w:t>
      </w:r>
      <w:r w:rsidR="00DA36C1" w:rsidRPr="00124637">
        <w:t>to health and safety</w:t>
      </w:r>
      <w:r w:rsidRPr="00124637">
        <w:t xml:space="preserve"> and access to the emergency call service) and industry risks (related to network integrity and interoperability with standard telephone services).</w:t>
      </w:r>
    </w:p>
    <w:p w14:paraId="15770020" w14:textId="77777777" w:rsidR="00DA36C1" w:rsidRPr="00124637" w:rsidRDefault="00DA36C1" w:rsidP="00DA36C1">
      <w:pPr>
        <w:spacing w:after="80"/>
      </w:pPr>
      <w:r w:rsidRPr="00124637">
        <w:t xml:space="preserve">During the reporting period, </w:t>
      </w:r>
      <w:r w:rsidR="00D92FF8" w:rsidRPr="00124637">
        <w:t>the ACMA</w:t>
      </w:r>
      <w:r w:rsidRPr="00124637">
        <w:t>:</w:t>
      </w:r>
    </w:p>
    <w:p w14:paraId="114C786F" w14:textId="77777777" w:rsidR="00DA36C1" w:rsidRPr="00124637" w:rsidRDefault="00DA36C1" w:rsidP="00D92FF8">
      <w:pPr>
        <w:pStyle w:val="ListBullet"/>
        <w:ind w:left="284"/>
      </w:pPr>
      <w:r w:rsidRPr="00124637">
        <w:rPr>
          <w:rFonts w:cs="Arial"/>
        </w:rPr>
        <w:t>C</w:t>
      </w:r>
      <w:r w:rsidR="00D92FF8" w:rsidRPr="00124637">
        <w:rPr>
          <w:rFonts w:cs="Arial"/>
        </w:rPr>
        <w:t>ommenced</w:t>
      </w:r>
      <w:r w:rsidR="00D92FF8" w:rsidRPr="00124637">
        <w:t xml:space="preserve"> a review of the Telecommunications Labelling (Customer Equipment and Customer Cabling)</w:t>
      </w:r>
      <w:r w:rsidRPr="00124637">
        <w:t xml:space="preserve"> Notice 2001</w:t>
      </w:r>
      <w:r w:rsidR="00326E3E" w:rsidRPr="00124637">
        <w:t xml:space="preserve"> (the 2001 Notice)</w:t>
      </w:r>
      <w:r w:rsidRPr="00124637">
        <w:t>.</w:t>
      </w:r>
    </w:p>
    <w:p w14:paraId="3DB505A1" w14:textId="77777777" w:rsidR="00D92FF8" w:rsidRPr="00124637" w:rsidRDefault="00DA36C1" w:rsidP="00D92FF8">
      <w:pPr>
        <w:pStyle w:val="ListBullet"/>
        <w:ind w:left="284"/>
      </w:pPr>
      <w:r w:rsidRPr="00124637">
        <w:rPr>
          <w:rFonts w:cs="Arial"/>
        </w:rPr>
        <w:t>R</w:t>
      </w:r>
      <w:r w:rsidR="00D92FF8" w:rsidRPr="00124637">
        <w:rPr>
          <w:rFonts w:cs="Arial"/>
        </w:rPr>
        <w:t xml:space="preserve">emade the Telecommunications (Labelling Notice for Customer Equipment and Customer Cabling) Instrument 2015 </w:t>
      </w:r>
      <w:r w:rsidRPr="00124637">
        <w:rPr>
          <w:rFonts w:cs="Arial"/>
        </w:rPr>
        <w:t>(</w:t>
      </w:r>
      <w:r w:rsidR="00D92FF8" w:rsidRPr="00124637">
        <w:rPr>
          <w:rFonts w:cs="Arial"/>
        </w:rPr>
        <w:t>and associated technical standards</w:t>
      </w:r>
      <w:r w:rsidRPr="00124637">
        <w:rPr>
          <w:rFonts w:cs="Arial"/>
        </w:rPr>
        <w:t>) so it is simpler and better reflects</w:t>
      </w:r>
      <w:r w:rsidR="00D92FF8" w:rsidRPr="00124637">
        <w:rPr>
          <w:rFonts w:cs="Arial"/>
        </w:rPr>
        <w:t xml:space="preserve"> the contemporary operating and technical environment.</w:t>
      </w:r>
    </w:p>
    <w:p w14:paraId="64A5BA04" w14:textId="77777777" w:rsidR="00933477" w:rsidRPr="00124637" w:rsidRDefault="00933477" w:rsidP="00933477">
      <w:pPr>
        <w:pStyle w:val="Heading2"/>
      </w:pPr>
      <w:bookmarkStart w:id="248" w:name="_Toc433703366"/>
      <w:r w:rsidRPr="00124637">
        <w:t>Telecommunications standards</w:t>
      </w:r>
      <w:bookmarkEnd w:id="248"/>
    </w:p>
    <w:p w14:paraId="44DE2510" w14:textId="77777777" w:rsidR="00933477" w:rsidRPr="00124637" w:rsidRDefault="00933477" w:rsidP="00933477">
      <w:pPr>
        <w:rPr>
          <w:rFonts w:cs="Arial"/>
        </w:rPr>
      </w:pPr>
      <w:r w:rsidRPr="00124637">
        <w:t xml:space="preserve">Under section 376 of the </w:t>
      </w:r>
      <w:r w:rsidR="00326E3E" w:rsidRPr="00124637">
        <w:t xml:space="preserve">Telecommunications </w:t>
      </w:r>
      <w:r w:rsidRPr="00124637">
        <w:t xml:space="preserve">Act, the ACMA may make a technical standard that applies to specified customer equipment or customer cabling. </w:t>
      </w:r>
      <w:r w:rsidRPr="00124637">
        <w:rPr>
          <w:rFonts w:cs="Arial"/>
        </w:rPr>
        <w:t>An ACMA standard only has practical effect if it is referenced in the Telecommunications Labelling Notice.</w:t>
      </w:r>
    </w:p>
    <w:p w14:paraId="1940A916" w14:textId="77777777" w:rsidR="00933477" w:rsidRPr="00124637" w:rsidRDefault="00933477" w:rsidP="00933477">
      <w:pPr>
        <w:rPr>
          <w:rFonts w:cs="Arial"/>
        </w:rPr>
      </w:pPr>
      <w:r w:rsidRPr="00124637">
        <w:rPr>
          <w:rFonts w:cs="Arial"/>
        </w:rPr>
        <w:t xml:space="preserve">The ACMA’s mandatory standards for customer equipment are underpinned by technical standards developed by Communications Alliance and Standards Australia. </w:t>
      </w:r>
      <w:r w:rsidRPr="00124637">
        <w:t>Each ACMA standard incorporates by reference one or more industry standard(s) that contain the technical parameters for the performance of specified customer equipment or customer cabling.</w:t>
      </w:r>
    </w:p>
    <w:p w14:paraId="60A37566" w14:textId="77777777" w:rsidR="00933477" w:rsidRPr="00124637" w:rsidRDefault="00933477" w:rsidP="00933477">
      <w:pPr>
        <w:rPr>
          <w:rFonts w:cs="Arial"/>
        </w:rPr>
      </w:pPr>
      <w:r w:rsidRPr="00124637">
        <w:rPr>
          <w:rFonts w:cs="Arial"/>
        </w:rPr>
        <w:t>In 2014</w:t>
      </w:r>
      <w:r w:rsidR="00326E3E" w:rsidRPr="00124637">
        <w:rPr>
          <w:rFonts w:cs="Arial"/>
        </w:rPr>
        <w:t>–</w:t>
      </w:r>
      <w:r w:rsidRPr="00124637">
        <w:rPr>
          <w:rFonts w:cs="Arial"/>
        </w:rPr>
        <w:t>15, as part of the review of the 2001 Notice, the ACMA remade 11 technical standards</w:t>
      </w:r>
      <w:r w:rsidR="00B66FFC" w:rsidRPr="00124637">
        <w:rPr>
          <w:rFonts w:cs="Arial"/>
        </w:rPr>
        <w:t>,</w:t>
      </w:r>
      <w:r w:rsidRPr="00124637">
        <w:rPr>
          <w:rFonts w:cs="Arial"/>
        </w:rPr>
        <w:t xml:space="preserve"> giving regulatory effect to 19 industry standards. The revised ACMA standards include provisions </w:t>
      </w:r>
      <w:r w:rsidR="00B66FFC" w:rsidRPr="00124637">
        <w:rPr>
          <w:rFonts w:cs="Arial"/>
        </w:rPr>
        <w:t>that</w:t>
      </w:r>
      <w:r w:rsidRPr="00124637">
        <w:rPr>
          <w:rFonts w:cs="Arial"/>
        </w:rPr>
        <w:t xml:space="preserve"> automatically adopt amendments or replacements of industry standards. A number of superseded standards were also revoked and references to those standards removed.</w:t>
      </w:r>
    </w:p>
    <w:p w14:paraId="79DBC409" w14:textId="77777777" w:rsidR="00933477" w:rsidRPr="00124637" w:rsidRDefault="00933477" w:rsidP="00933477">
      <w:pPr>
        <w:pStyle w:val="Heading2"/>
      </w:pPr>
      <w:bookmarkStart w:id="249" w:name="_Toc433703367"/>
      <w:r w:rsidRPr="00124637">
        <w:t>Cabling regulation</w:t>
      </w:r>
      <w:bookmarkEnd w:id="249"/>
    </w:p>
    <w:p w14:paraId="7EFC8261" w14:textId="77777777" w:rsidR="00933477" w:rsidRPr="00124637" w:rsidRDefault="00933477" w:rsidP="00933477">
      <w:pPr>
        <w:rPr>
          <w:rFonts w:cs="Arial"/>
        </w:rPr>
      </w:pPr>
      <w:r w:rsidRPr="00124637">
        <w:rPr>
          <w:rFonts w:cs="Arial"/>
        </w:rPr>
        <w:t xml:space="preserve">The ACMA is responsible for regulating telecommunications cabling in Australia. Under the Telecommunications Act, the ACMA has regulatory powers to </w:t>
      </w:r>
      <w:r w:rsidR="00B66FFC" w:rsidRPr="00124637">
        <w:rPr>
          <w:rFonts w:cs="Arial"/>
        </w:rPr>
        <w:t xml:space="preserve">make </w:t>
      </w:r>
      <w:r w:rsidRPr="00124637">
        <w:rPr>
          <w:rFonts w:cs="Arial"/>
        </w:rPr>
        <w:t xml:space="preserve">safety and network integrity standards for cabling installation practices. </w:t>
      </w:r>
    </w:p>
    <w:p w14:paraId="3822BFD8" w14:textId="77777777" w:rsidR="00933477" w:rsidRPr="00124637" w:rsidRDefault="00933477" w:rsidP="00933477">
      <w:pPr>
        <w:spacing w:after="80"/>
        <w:rPr>
          <w:rFonts w:cs="Arial"/>
        </w:rPr>
      </w:pPr>
      <w:r w:rsidRPr="00124637">
        <w:rPr>
          <w:rFonts w:cs="Arial"/>
        </w:rPr>
        <w:t>The ACMA’s approach to regulating customer cabling includes:</w:t>
      </w:r>
    </w:p>
    <w:p w14:paraId="28269E02" w14:textId="77777777" w:rsidR="00933477" w:rsidRPr="00124637" w:rsidRDefault="00933477" w:rsidP="00933477">
      <w:pPr>
        <w:pStyle w:val="ListBullet"/>
        <w:ind w:left="284"/>
        <w:rPr>
          <w:rFonts w:cs="Arial"/>
        </w:rPr>
      </w:pPr>
      <w:r w:rsidRPr="00124637">
        <w:rPr>
          <w:rFonts w:cs="Arial"/>
        </w:rPr>
        <w:t>overseeing the industry-managed cabling registration scheme</w:t>
      </w:r>
    </w:p>
    <w:p w14:paraId="6C8872B7" w14:textId="77777777" w:rsidR="00933477" w:rsidRPr="00124637" w:rsidRDefault="00933477" w:rsidP="00933477">
      <w:pPr>
        <w:pStyle w:val="ListBullet"/>
        <w:ind w:left="284"/>
        <w:rPr>
          <w:rFonts w:cs="Arial"/>
        </w:rPr>
      </w:pPr>
      <w:r w:rsidRPr="00124637">
        <w:rPr>
          <w:rFonts w:cs="Arial"/>
        </w:rPr>
        <w:t>monitoring and enforcing compliance with cabling regulatory requirements</w:t>
      </w:r>
    </w:p>
    <w:p w14:paraId="49A5B4F7" w14:textId="77777777" w:rsidR="00933477" w:rsidRPr="00124637" w:rsidRDefault="00933477" w:rsidP="00933477">
      <w:pPr>
        <w:pStyle w:val="ListBullet"/>
        <w:ind w:left="284"/>
        <w:rPr>
          <w:rFonts w:cs="Arial"/>
        </w:rPr>
      </w:pPr>
      <w:r w:rsidRPr="00124637">
        <w:rPr>
          <w:rFonts w:cs="Arial"/>
        </w:rPr>
        <w:lastRenderedPageBreak/>
        <w:t>supporting greater cabling industry self-regulation</w:t>
      </w:r>
    </w:p>
    <w:p w14:paraId="751C4384" w14:textId="77777777" w:rsidR="00933477" w:rsidRPr="00124637" w:rsidRDefault="00933477" w:rsidP="00933477">
      <w:pPr>
        <w:pStyle w:val="ListBulletLast"/>
      </w:pPr>
      <w:r w:rsidRPr="00124637">
        <w:t xml:space="preserve">promoting consumer and industry awareness of </w:t>
      </w:r>
      <w:r w:rsidR="00B66FFC" w:rsidRPr="00124637">
        <w:t>customer cabling regulatory arrangements</w:t>
      </w:r>
      <w:r w:rsidRPr="00124637">
        <w:t>.</w:t>
      </w:r>
    </w:p>
    <w:p w14:paraId="58570C59" w14:textId="77777777" w:rsidR="00933477" w:rsidRPr="00124637" w:rsidRDefault="00933477" w:rsidP="00933477">
      <w:pPr>
        <w:pStyle w:val="Heading3"/>
        <w:keepNext w:val="0"/>
      </w:pPr>
      <w:bookmarkStart w:id="250" w:name="_Toc433703368"/>
      <w:r w:rsidRPr="00124637">
        <w:t>Cabling registration scheme</w:t>
      </w:r>
      <w:bookmarkEnd w:id="250"/>
    </w:p>
    <w:p w14:paraId="1E8193AB" w14:textId="77777777" w:rsidR="00933477" w:rsidRPr="00124637" w:rsidRDefault="001B60B2" w:rsidP="00933477">
      <w:pPr>
        <w:rPr>
          <w:rFonts w:cs="Arial"/>
        </w:rPr>
      </w:pPr>
      <w:r w:rsidRPr="00124637">
        <w:rPr>
          <w:rFonts w:cs="Arial"/>
        </w:rPr>
        <w:t xml:space="preserve">The </w:t>
      </w:r>
      <w:r w:rsidR="00933477" w:rsidRPr="00124637">
        <w:rPr>
          <w:rFonts w:cs="Arial"/>
        </w:rPr>
        <w:t xml:space="preserve">Cabling Provider Rules (CPRs) are based on an industry-managed national registration system. The ACMA currently accredits five industry bodies to be registrars under the CPRs. These registrars issue registrations to cabling providers. </w:t>
      </w:r>
    </w:p>
    <w:p w14:paraId="6C0AB8B9" w14:textId="77777777" w:rsidR="00D92FF8" w:rsidRPr="00124637" w:rsidRDefault="00D92FF8" w:rsidP="00D92FF8">
      <w:pPr>
        <w:rPr>
          <w:rFonts w:cs="Arial"/>
        </w:rPr>
      </w:pPr>
      <w:r w:rsidRPr="00124637">
        <w:rPr>
          <w:rFonts w:cs="Arial"/>
        </w:rPr>
        <w:t xml:space="preserve">At 30 June 2015, there were </w:t>
      </w:r>
      <w:r w:rsidR="00886C3E" w:rsidRPr="00124637">
        <w:rPr>
          <w:rFonts w:cs="Arial"/>
        </w:rPr>
        <w:t xml:space="preserve">71,288 </w:t>
      </w:r>
      <w:r w:rsidRPr="00124637">
        <w:rPr>
          <w:rFonts w:cs="Arial"/>
        </w:rPr>
        <w:t>registered cabling providers. The ACMA continues to monitor the performance of registrars in meeting their contractual obligation to provide registration services to the cabling industry. It also works with registrars to improve reporting arrangements and monitor service delivery levels across the industry through quarterly meetings of the ACMA’s Registrars’ Coordinating Committee (RCC). The ACMA also meets quarterly with the Cabling Advisory Group (CAG) on technical issues and related cabling policy. The CAG includes a wide range of representatives from the cabling industry.</w:t>
      </w:r>
    </w:p>
    <w:p w14:paraId="725D747C" w14:textId="77777777" w:rsidR="00933477" w:rsidRPr="00124637" w:rsidRDefault="00933477" w:rsidP="00933477">
      <w:pPr>
        <w:pStyle w:val="Heading3"/>
        <w:keepNext w:val="0"/>
        <w:rPr>
          <w:b w:val="0"/>
        </w:rPr>
      </w:pPr>
      <w:bookmarkStart w:id="251" w:name="_Toc433703369"/>
      <w:r w:rsidRPr="00124637">
        <w:t>Telecommunications Cabling Provider Rules 2014</w:t>
      </w:r>
      <w:bookmarkEnd w:id="251"/>
    </w:p>
    <w:p w14:paraId="064AACD1" w14:textId="77777777" w:rsidR="001B60B2" w:rsidRPr="00124637" w:rsidRDefault="001B60B2" w:rsidP="001B60B2">
      <w:pPr>
        <w:rPr>
          <w:rFonts w:cs="Arial"/>
        </w:rPr>
      </w:pPr>
      <w:r w:rsidRPr="00124637">
        <w:rPr>
          <w:rFonts w:cs="Arial"/>
        </w:rPr>
        <w:t xml:space="preserve">In December 2014, the ACMA made the Telecommunications Cabling Provider Rules 2014 (the 2014 Rules) to replace the Telecommunications Cabling Provider Rules 2000 (the 2000 Rules), which were due to sunset in October 2015. </w:t>
      </w:r>
    </w:p>
    <w:p w14:paraId="79D47376" w14:textId="77777777" w:rsidR="00C84ED1" w:rsidRPr="00124637" w:rsidRDefault="00C84ED1" w:rsidP="00C84ED1">
      <w:pPr>
        <w:spacing w:after="80"/>
        <w:rPr>
          <w:rFonts w:cs="Arial"/>
        </w:rPr>
      </w:pPr>
      <w:r w:rsidRPr="00124637">
        <w:rPr>
          <w:rFonts w:cs="Arial"/>
        </w:rPr>
        <w:t xml:space="preserve">In making the 2014 Rules, the ACMA </w:t>
      </w:r>
      <w:r w:rsidR="00641FEA" w:rsidRPr="00124637">
        <w:rPr>
          <w:rFonts w:cs="Arial"/>
        </w:rPr>
        <w:t>also simplified</w:t>
      </w:r>
      <w:r w:rsidRPr="00124637">
        <w:rPr>
          <w:rFonts w:cs="Arial"/>
        </w:rPr>
        <w:t xml:space="preserve"> customer cabling regulation by combining the requirements of two other cabling instruments to form a consolidated instrument. The</w:t>
      </w:r>
      <w:r w:rsidR="00641FEA" w:rsidRPr="00124637">
        <w:rPr>
          <w:rFonts w:cs="Arial"/>
        </w:rPr>
        <w:t>se</w:t>
      </w:r>
      <w:r w:rsidRPr="00124637">
        <w:rPr>
          <w:rFonts w:cs="Arial"/>
        </w:rPr>
        <w:t xml:space="preserve"> instruments were: </w:t>
      </w:r>
    </w:p>
    <w:p w14:paraId="665E7624" w14:textId="77777777" w:rsidR="00933477" w:rsidRPr="00124637" w:rsidRDefault="00933477" w:rsidP="00933477">
      <w:pPr>
        <w:pStyle w:val="ListBullet"/>
      </w:pPr>
      <w:r w:rsidRPr="00124637">
        <w:t>Accreditation Procedures for Cabling Provider Registrars (Accreditation Procedures)</w:t>
      </w:r>
    </w:p>
    <w:p w14:paraId="50E74215" w14:textId="77777777" w:rsidR="00933477" w:rsidRPr="00124637" w:rsidRDefault="00933477" w:rsidP="00933477">
      <w:pPr>
        <w:pStyle w:val="ListBulletLast"/>
      </w:pPr>
      <w:r w:rsidRPr="00124637">
        <w:t>Telecommunications Cabling Provider Rules 2000 – Arrangements for Operation of the Registration System (No. 3) (2012) (Arrangements Instrument)</w:t>
      </w:r>
      <w:r w:rsidR="00641FEA" w:rsidRPr="00124637">
        <w:t>.</w:t>
      </w:r>
    </w:p>
    <w:p w14:paraId="52DEF4E5" w14:textId="77777777" w:rsidR="00933477" w:rsidRPr="00124637" w:rsidRDefault="00933477" w:rsidP="00933477">
      <w:r w:rsidRPr="00124637">
        <w:t>The 2014 Rules do not contain any substantive changes to the regulatory requirements established by the 2000 Rules, Accreditation Procedures and Arrangements Instrument.</w:t>
      </w:r>
    </w:p>
    <w:p w14:paraId="4E65EA27" w14:textId="77777777" w:rsidR="00933477" w:rsidRPr="00124637" w:rsidRDefault="00933477" w:rsidP="00933477">
      <w:pPr>
        <w:pStyle w:val="Heading3"/>
        <w:keepNext w:val="0"/>
      </w:pPr>
      <w:bookmarkStart w:id="252" w:name="_Toc433703370"/>
      <w:r w:rsidRPr="00124637">
        <w:t>Telecommunications Cabling Determination 2015</w:t>
      </w:r>
      <w:bookmarkEnd w:id="252"/>
    </w:p>
    <w:p w14:paraId="36D4C8C3" w14:textId="77777777" w:rsidR="00933477" w:rsidRPr="00124637" w:rsidRDefault="00933477" w:rsidP="00933477">
      <w:pPr>
        <w:rPr>
          <w:rFonts w:cs="Arial"/>
        </w:rPr>
      </w:pPr>
      <w:r w:rsidRPr="00124637">
        <w:rPr>
          <w:rFonts w:cs="Arial"/>
        </w:rPr>
        <w:t>In March 2015, the ACMA made the Telecommunications (Section of the Telecommunications Industry – Cabling Service Operators) Determination 2015 (the 2015 Determination) to replace the Telecommunications (Section of Telecommunications Industry) Determination 2003 (No. 1) (the 2003 Determination)</w:t>
      </w:r>
      <w:r w:rsidR="00641FEA" w:rsidRPr="00124637">
        <w:rPr>
          <w:rFonts w:cs="Arial"/>
        </w:rPr>
        <w:t>,</w:t>
      </w:r>
      <w:r w:rsidRPr="00124637">
        <w:rPr>
          <w:rFonts w:cs="Arial"/>
        </w:rPr>
        <w:t xml:space="preserve"> which was due to sunset in April 2015. </w:t>
      </w:r>
    </w:p>
    <w:p w14:paraId="1C26BE94" w14:textId="77777777" w:rsidR="00933477" w:rsidRPr="00124637" w:rsidRDefault="00933477" w:rsidP="00933477">
      <w:pPr>
        <w:rPr>
          <w:rFonts w:cs="Arial"/>
        </w:rPr>
      </w:pPr>
      <w:r w:rsidRPr="00124637">
        <w:rPr>
          <w:rFonts w:cs="Arial"/>
        </w:rPr>
        <w:t>The 2015 Determination specifies cabling service operators (person</w:t>
      </w:r>
      <w:r w:rsidR="001B60B2" w:rsidRPr="00124637">
        <w:rPr>
          <w:rFonts w:cs="Arial"/>
        </w:rPr>
        <w:t>s that arrange</w:t>
      </w:r>
      <w:r w:rsidRPr="00124637">
        <w:rPr>
          <w:rFonts w:cs="Arial"/>
        </w:rPr>
        <w:t xml:space="preserve"> for the performance of cabling work to be carried out by suitably qualified cabling providers) to be a section of the telecommunications industry. The 2015 Determination provides the legal basis </w:t>
      </w:r>
      <w:r w:rsidR="00641FEA" w:rsidRPr="00124637">
        <w:rPr>
          <w:rFonts w:cs="Arial"/>
        </w:rPr>
        <w:t>to register</w:t>
      </w:r>
      <w:r w:rsidRPr="00124637">
        <w:rPr>
          <w:rFonts w:cs="Arial"/>
        </w:rPr>
        <w:t xml:space="preserve"> industry codes applicable to cabling service operators</w:t>
      </w:r>
      <w:r w:rsidR="00641FEA" w:rsidRPr="00124637">
        <w:rPr>
          <w:rFonts w:cs="Arial"/>
        </w:rPr>
        <w:t>,</w:t>
      </w:r>
      <w:r w:rsidRPr="00124637">
        <w:rPr>
          <w:rFonts w:cs="Arial"/>
        </w:rPr>
        <w:t xml:space="preserve"> </w:t>
      </w:r>
      <w:r w:rsidR="00641FEA" w:rsidRPr="00124637">
        <w:rPr>
          <w:rFonts w:cs="Arial"/>
        </w:rPr>
        <w:t>so</w:t>
      </w:r>
      <w:r w:rsidRPr="00124637">
        <w:rPr>
          <w:rFonts w:cs="Arial"/>
        </w:rPr>
        <w:t xml:space="preserve"> that cabling providers working on their behalf perform work in accordance with the Telecommunications Cabling Provider Rules 2014.</w:t>
      </w:r>
    </w:p>
    <w:p w14:paraId="1569F029" w14:textId="77777777" w:rsidR="00933477" w:rsidRPr="00124637" w:rsidRDefault="00933477" w:rsidP="00933477">
      <w:r w:rsidRPr="00124637">
        <w:rPr>
          <w:rFonts w:cs="Arial"/>
        </w:rPr>
        <w:t xml:space="preserve">The 2015 Determination does not contain any </w:t>
      </w:r>
      <w:r w:rsidRPr="00124637">
        <w:t>substantive changes to the requirements established by the 2003 Determination.</w:t>
      </w:r>
      <w:r w:rsidRPr="00124637" w:rsidDel="00BA7380">
        <w:t xml:space="preserve"> </w:t>
      </w:r>
    </w:p>
    <w:p w14:paraId="1C2F17CF" w14:textId="35BDE3D9" w:rsidR="00163CCB" w:rsidRPr="00124637" w:rsidRDefault="00163CCB" w:rsidP="00933477">
      <w:pPr>
        <w:pStyle w:val="Heading2"/>
      </w:pPr>
      <w:bookmarkStart w:id="253" w:name="_Toc433703371"/>
      <w:r w:rsidRPr="00124637">
        <w:lastRenderedPageBreak/>
        <w:t>Informed consent arran</w:t>
      </w:r>
      <w:r w:rsidR="00641FEA" w:rsidRPr="00124637">
        <w:t xml:space="preserve">gements for </w:t>
      </w:r>
      <w:r w:rsidR="00AB13BC">
        <w:t xml:space="preserve">the </w:t>
      </w:r>
      <w:r w:rsidR="00DE1F14">
        <w:t>nbn</w:t>
      </w:r>
      <w:r w:rsidR="00641FEA" w:rsidRPr="00124637">
        <w:t xml:space="preserve"> </w:t>
      </w:r>
      <w:r w:rsidR="00AB13BC">
        <w:t>network</w:t>
      </w:r>
      <w:r w:rsidR="00D04BE3">
        <w:t xml:space="preserve"> </w:t>
      </w:r>
      <w:r w:rsidR="00641FEA" w:rsidRPr="00124637">
        <w:t>battery back</w:t>
      </w:r>
      <w:r w:rsidR="00641FEA" w:rsidRPr="00124637">
        <w:noBreakHyphen/>
        <w:t>up </w:t>
      </w:r>
      <w:r w:rsidRPr="00124637">
        <w:t>services</w:t>
      </w:r>
      <w:bookmarkEnd w:id="245"/>
      <w:bookmarkEnd w:id="247"/>
      <w:bookmarkEnd w:id="253"/>
    </w:p>
    <w:p w14:paraId="55B11B8B" w14:textId="12F7A0F0" w:rsidR="00050B30" w:rsidRPr="00124637" w:rsidRDefault="00050B30" w:rsidP="00050B30">
      <w:bookmarkStart w:id="254" w:name="_Toc419122533"/>
      <w:r w:rsidRPr="00124637">
        <w:rPr>
          <w:rFonts w:cs="Arial"/>
          <w:szCs w:val="19"/>
        </w:rPr>
        <w:t>On 12 August 2014, t</w:t>
      </w:r>
      <w:r w:rsidRPr="00124637">
        <w:t xml:space="preserve">he ACMA made the </w:t>
      </w:r>
      <w:r w:rsidRPr="00124637">
        <w:rPr>
          <w:iCs/>
        </w:rPr>
        <w:t>Telecommunications (Backup Power and Informed Decisions) Service Provider Determination 2014</w:t>
      </w:r>
      <w:r w:rsidRPr="00124637">
        <w:t xml:space="preserve">. </w:t>
      </w:r>
      <w:r w:rsidRPr="00124637">
        <w:rPr>
          <w:rFonts w:cs="Arial"/>
          <w:szCs w:val="19"/>
        </w:rPr>
        <w:t xml:space="preserve">The Backup Power Determination helps protect the interests of residential customers that are obtaining a fibre-to-the-premise </w:t>
      </w:r>
      <w:r w:rsidR="00DE1F14">
        <w:rPr>
          <w:rFonts w:cs="Arial"/>
          <w:szCs w:val="19"/>
        </w:rPr>
        <w:t>nbn</w:t>
      </w:r>
      <w:r w:rsidRPr="00124637">
        <w:rPr>
          <w:rFonts w:cs="Arial"/>
          <w:szCs w:val="19"/>
        </w:rPr>
        <w:t xml:space="preserve"> </w:t>
      </w:r>
      <w:r w:rsidR="00AB13BC">
        <w:rPr>
          <w:rFonts w:cs="Arial"/>
          <w:szCs w:val="19"/>
        </w:rPr>
        <w:t xml:space="preserve">network </w:t>
      </w:r>
      <w:r w:rsidRPr="00124637">
        <w:rPr>
          <w:rFonts w:cs="Arial"/>
          <w:szCs w:val="19"/>
        </w:rPr>
        <w:t xml:space="preserve">voice service. The Backup Power Determination requires CSPs to provide </w:t>
      </w:r>
      <w:r w:rsidRPr="00124637">
        <w:t>sufficient information about how an end user’s voice service will operate in a power failure. The ACMA has worked with carriage service providers to ensure compliance with the Determination.</w:t>
      </w:r>
    </w:p>
    <w:p w14:paraId="067A77F2" w14:textId="3CB411F9" w:rsidR="00050B30" w:rsidRPr="00124637" w:rsidRDefault="00050B30" w:rsidP="00050B30">
      <w:r w:rsidRPr="00124637">
        <w:t xml:space="preserve">Additionally, with the adoption of the multi-technology mix </w:t>
      </w:r>
      <w:r w:rsidR="003509D2" w:rsidRPr="00124637">
        <w:t xml:space="preserve">for the </w:t>
      </w:r>
      <w:r w:rsidR="00DE1F14">
        <w:t>nbn</w:t>
      </w:r>
      <w:r w:rsidR="00AB13BC">
        <w:t xml:space="preserve"> network</w:t>
      </w:r>
      <w:r w:rsidRPr="00124637">
        <w:t xml:space="preserve">, the ACMA is now working with </w:t>
      </w:r>
      <w:r w:rsidR="003509D2" w:rsidRPr="00124637">
        <w:t>DoC</w:t>
      </w:r>
      <w:r w:rsidRPr="00124637">
        <w:t xml:space="preserve">, </w:t>
      </w:r>
      <w:r w:rsidR="00AB13BC">
        <w:t>NBN Co Limited</w:t>
      </w:r>
      <w:r w:rsidRPr="00124637">
        <w:t xml:space="preserve"> and industry to ensure the development and implementation of appropriate strategies to address consumer risks</w:t>
      </w:r>
      <w:r w:rsidR="003509D2" w:rsidRPr="00124637">
        <w:t>. These risks are</w:t>
      </w:r>
      <w:r w:rsidRPr="00124637">
        <w:t xml:space="preserve"> associated with the supply of voice services over all technologies being deployed by nbn, including fibre-to-the-node, fibre-to-the-basement and hybrid fibre coaxial (HFC).</w:t>
      </w:r>
    </w:p>
    <w:p w14:paraId="2358273A" w14:textId="243A9BD4" w:rsidR="000F2488" w:rsidRDefault="00212A85" w:rsidP="000F2488">
      <w:pPr>
        <w:pStyle w:val="Heading1"/>
        <w:spacing w:after="120" w:line="360" w:lineRule="atLeast"/>
        <w:rPr>
          <w:sz w:val="36"/>
          <w:szCs w:val="36"/>
        </w:rPr>
      </w:pPr>
      <w:bookmarkStart w:id="255" w:name="_Toc433703372"/>
      <w:r w:rsidRPr="00583E1B">
        <w:rPr>
          <w:i/>
          <w:noProof/>
          <w:sz w:val="36"/>
          <w:szCs w:val="36"/>
        </w:rPr>
        <w:lastRenderedPageBreak/>
        <w:drawing>
          <wp:anchor distT="0" distB="0" distL="114300" distR="114300" simplePos="0" relativeHeight="251664384" behindDoc="1" locked="0" layoutInCell="1" allowOverlap="1" wp14:anchorId="0E2F6C6F" wp14:editId="42C38AB6">
            <wp:simplePos x="0" y="0"/>
            <wp:positionH relativeFrom="column">
              <wp:posOffset>-635</wp:posOffset>
            </wp:positionH>
            <wp:positionV relativeFrom="paragraph">
              <wp:posOffset>107315</wp:posOffset>
            </wp:positionV>
            <wp:extent cx="1244600" cy="1782445"/>
            <wp:effectExtent l="0" t="0" r="0" b="8255"/>
            <wp:wrapTight wrapText="bothSides">
              <wp:wrapPolygon edited="0">
                <wp:start x="0" y="0"/>
                <wp:lineTo x="0" y="21469"/>
                <wp:lineTo x="21159" y="21469"/>
                <wp:lineTo x="21159" y="0"/>
                <wp:lineTo x="0" y="0"/>
              </wp:wrapPolygon>
            </wp:wrapTight>
            <wp:docPr id="17" name="Picture 17" title="icon of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lco.jpg"/>
                    <pic:cNvPicPr/>
                  </pic:nvPicPr>
                  <pic:blipFill rotWithShape="1">
                    <a:blip r:embed="rId38">
                      <a:extLst>
                        <a:ext uri="{28A0092B-C50C-407E-A947-70E740481C1C}">
                          <a14:useLocalDpi xmlns:a14="http://schemas.microsoft.com/office/drawing/2010/main" val="0"/>
                        </a:ext>
                      </a:extLst>
                    </a:blip>
                    <a:srcRect/>
                    <a:stretch/>
                  </pic:blipFill>
                  <pic:spPr bwMode="auto">
                    <a:xfrm>
                      <a:off x="0" y="0"/>
                      <a:ext cx="1244600" cy="178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CCB" w:rsidRPr="00583E1B">
        <w:rPr>
          <w:i/>
          <w:sz w:val="36"/>
          <w:szCs w:val="36"/>
        </w:rPr>
        <w:t>D</w:t>
      </w:r>
      <w:r w:rsidR="00583E1B" w:rsidRPr="00583E1B">
        <w:rPr>
          <w:i/>
          <w:sz w:val="36"/>
          <w:szCs w:val="36"/>
        </w:rPr>
        <w:t>eliverable</w:t>
      </w:r>
      <w:r w:rsidR="00163CCB" w:rsidRPr="000F2488">
        <w:rPr>
          <w:sz w:val="36"/>
          <w:szCs w:val="36"/>
        </w:rPr>
        <w:t>: Maintain effective telecommunications safeguards</w:t>
      </w:r>
      <w:bookmarkEnd w:id="255"/>
    </w:p>
    <w:p w14:paraId="07E5AB46" w14:textId="77777777" w:rsidR="00163CCB" w:rsidRPr="000F2488" w:rsidRDefault="00163CCB" w:rsidP="000F2488">
      <w:pPr>
        <w:pStyle w:val="Heading1"/>
        <w:pageBreakBefore w:val="0"/>
        <w:spacing w:line="360" w:lineRule="atLeast"/>
        <w:rPr>
          <w:sz w:val="36"/>
          <w:szCs w:val="36"/>
        </w:rPr>
      </w:pPr>
      <w:bookmarkStart w:id="256" w:name="_Toc433703373"/>
      <w:r w:rsidRPr="00583E1B">
        <w:rPr>
          <w:i/>
          <w:sz w:val="36"/>
          <w:szCs w:val="36"/>
        </w:rPr>
        <w:t>KPI</w:t>
      </w:r>
      <w:r w:rsidRPr="000F2488">
        <w:rPr>
          <w:sz w:val="36"/>
          <w:szCs w:val="36"/>
        </w:rPr>
        <w:t>: Consumer interests are protected and promoted when telecommunications services are purchased and used</w:t>
      </w:r>
      <w:bookmarkEnd w:id="254"/>
      <w:bookmarkEnd w:id="256"/>
    </w:p>
    <w:p w14:paraId="10E84FAF" w14:textId="77777777" w:rsidR="00D4593F" w:rsidRPr="00124637" w:rsidRDefault="00D4593F" w:rsidP="00D4593F">
      <w:pPr>
        <w:pStyle w:val="Heading2"/>
      </w:pPr>
      <w:bookmarkStart w:id="257" w:name="Main_telco"/>
      <w:bookmarkStart w:id="258" w:name="_Toc419122534"/>
      <w:bookmarkStart w:id="259" w:name="_Toc419122553"/>
      <w:bookmarkStart w:id="260" w:name="_Toc433703374"/>
      <w:bookmarkEnd w:id="257"/>
      <w:r w:rsidRPr="00124637">
        <w:t>Overview and significant outcomes</w:t>
      </w:r>
      <w:bookmarkEnd w:id="258"/>
      <w:bookmarkEnd w:id="260"/>
    </w:p>
    <w:p w14:paraId="3B45A957" w14:textId="77777777" w:rsidR="00D4593F" w:rsidRPr="00124637" w:rsidRDefault="00D4593F" w:rsidP="00DA1B46">
      <w:pPr>
        <w:spacing w:after="80"/>
        <w:rPr>
          <w:rFonts w:cs="Arial"/>
        </w:rPr>
      </w:pPr>
      <w:r w:rsidRPr="00124637">
        <w:rPr>
          <w:rFonts w:cs="Arial"/>
        </w:rPr>
        <w:t>The ACMA undertakes activities to ensure industry is complying with key telecommunications consumer protection requirements</w:t>
      </w:r>
      <w:r w:rsidR="00CE4DF1" w:rsidRPr="00124637">
        <w:rPr>
          <w:rFonts w:cs="Arial"/>
        </w:rPr>
        <w:t>,</w:t>
      </w:r>
      <w:r w:rsidRPr="00124637">
        <w:rPr>
          <w:rFonts w:cs="Arial"/>
        </w:rPr>
        <w:t xml:space="preserve"> including the:</w:t>
      </w:r>
    </w:p>
    <w:p w14:paraId="7A7E545B" w14:textId="77777777" w:rsidR="006B36D8" w:rsidRPr="00124637" w:rsidRDefault="006B36D8" w:rsidP="006B36D8">
      <w:pPr>
        <w:pStyle w:val="ListBullet"/>
      </w:pPr>
      <w:r w:rsidRPr="00124637">
        <w:t xml:space="preserve">Telecommunications Consumer Protections (TCP) Code 2012 </w:t>
      </w:r>
    </w:p>
    <w:p w14:paraId="5B771A86" w14:textId="77777777" w:rsidR="006B36D8" w:rsidRPr="00124637" w:rsidRDefault="006B36D8" w:rsidP="006B36D8">
      <w:pPr>
        <w:pStyle w:val="ListBullet"/>
      </w:pPr>
      <w:r w:rsidRPr="00124637">
        <w:t>Mobile Premium Services (MPS) Code 2011</w:t>
      </w:r>
    </w:p>
    <w:p w14:paraId="03415D13" w14:textId="77777777" w:rsidR="006B36D8" w:rsidRPr="00124637" w:rsidRDefault="006B36D8" w:rsidP="006B36D8">
      <w:pPr>
        <w:pStyle w:val="ListBullet"/>
      </w:pPr>
      <w:r w:rsidRPr="00124637">
        <w:t xml:space="preserve">International Mobile Roaming (IMR) Standard 2013 </w:t>
      </w:r>
    </w:p>
    <w:p w14:paraId="7D9C65EF" w14:textId="77777777" w:rsidR="006B36D8" w:rsidRPr="00124637" w:rsidRDefault="006B36D8" w:rsidP="006B36D8">
      <w:pPr>
        <w:pStyle w:val="ListBullet"/>
      </w:pPr>
      <w:r w:rsidRPr="00124637">
        <w:t xml:space="preserve">Telecommunications Industry Ombudsman (TIO) scheme </w:t>
      </w:r>
    </w:p>
    <w:p w14:paraId="73FF7F54" w14:textId="77777777" w:rsidR="006B36D8" w:rsidRPr="00124637" w:rsidRDefault="006B36D8" w:rsidP="006B36D8">
      <w:pPr>
        <w:pStyle w:val="ListBullet"/>
      </w:pPr>
      <w:r w:rsidRPr="00124637">
        <w:t>universal service obligation (USO)</w:t>
      </w:r>
    </w:p>
    <w:p w14:paraId="2BC4B3E0" w14:textId="77777777" w:rsidR="006B36D8" w:rsidRPr="00124637" w:rsidRDefault="006B36D8" w:rsidP="006B36D8">
      <w:pPr>
        <w:pStyle w:val="ListBullet"/>
      </w:pPr>
      <w:r w:rsidRPr="00124637">
        <w:t>payphone performance</w:t>
      </w:r>
    </w:p>
    <w:p w14:paraId="343563AE" w14:textId="77777777" w:rsidR="006B36D8" w:rsidRPr="00124637" w:rsidRDefault="006B36D8" w:rsidP="006B36D8">
      <w:pPr>
        <w:pStyle w:val="ListBullet"/>
      </w:pPr>
      <w:r w:rsidRPr="00124637">
        <w:t>Customer Service Guarantee (CSG)</w:t>
      </w:r>
    </w:p>
    <w:p w14:paraId="7F3DD2BD" w14:textId="77777777" w:rsidR="006B36D8" w:rsidRPr="00124637" w:rsidRDefault="006B36D8" w:rsidP="006B36D8">
      <w:pPr>
        <w:pStyle w:val="ListBullet"/>
      </w:pPr>
      <w:r w:rsidRPr="00124637">
        <w:t>Network Reliability Framework</w:t>
      </w:r>
    </w:p>
    <w:p w14:paraId="01CA9646" w14:textId="77777777" w:rsidR="006B36D8" w:rsidRPr="00124637" w:rsidRDefault="006B36D8" w:rsidP="006B36D8">
      <w:pPr>
        <w:pStyle w:val="ListBulletLast"/>
      </w:pPr>
      <w:r w:rsidRPr="00124637">
        <w:t>priority assistance.</w:t>
      </w:r>
    </w:p>
    <w:p w14:paraId="53F3A769" w14:textId="77777777" w:rsidR="00D4593F" w:rsidRPr="00124637" w:rsidRDefault="00D4593F" w:rsidP="00D4593F">
      <w:pPr>
        <w:rPr>
          <w:rFonts w:cs="Arial"/>
        </w:rPr>
      </w:pPr>
      <w:r w:rsidRPr="00124637">
        <w:rPr>
          <w:rFonts w:cs="Arial"/>
        </w:rPr>
        <w:t xml:space="preserve">Ordinarily, the ACMA does not handle or investigate individual residential or small-business customer complaints unless they generate concerns about systemic compliance. The TIO is the complaints-handling body for telecommunications consumer protection matters. TIO complaint statistics for 2014–15 will be released in its annual report. </w:t>
      </w:r>
    </w:p>
    <w:p w14:paraId="456A58E3" w14:textId="77777777" w:rsidR="006B36D8" w:rsidRPr="00124637" w:rsidRDefault="006B36D8" w:rsidP="006B36D8">
      <w:pPr>
        <w:spacing w:after="80"/>
        <w:rPr>
          <w:rFonts w:cs="Arial"/>
        </w:rPr>
      </w:pPr>
      <w:r w:rsidRPr="00124637">
        <w:rPr>
          <w:rFonts w:cs="Arial"/>
        </w:rPr>
        <w:t xml:space="preserve">During the reporting </w:t>
      </w:r>
      <w:r w:rsidRPr="00DE1F14">
        <w:rPr>
          <w:rFonts w:cs="Arial"/>
        </w:rPr>
        <w:t>period, the ACMA</w:t>
      </w:r>
      <w:r w:rsidR="007A7214" w:rsidRPr="00DE1F14">
        <w:rPr>
          <w:rStyle w:val="FootnoteReference"/>
        </w:rPr>
        <w:footnoteReference w:id="2"/>
      </w:r>
      <w:r w:rsidRPr="00DE1F14">
        <w:rPr>
          <w:rFonts w:cs="Arial"/>
        </w:rPr>
        <w:t>:</w:t>
      </w:r>
    </w:p>
    <w:p w14:paraId="1BE0E2F8" w14:textId="77777777" w:rsidR="006B36D8" w:rsidRPr="00124637" w:rsidRDefault="006B36D8" w:rsidP="006B36D8">
      <w:pPr>
        <w:pStyle w:val="ListBullet"/>
      </w:pPr>
      <w:r w:rsidRPr="00124637">
        <w:t>commenced 125 enquiries and conducted 20 investigations into providers’ compliance with the TCP Code</w:t>
      </w:r>
    </w:p>
    <w:p w14:paraId="1D700A27" w14:textId="77777777" w:rsidR="006B36D8" w:rsidRPr="00124637" w:rsidRDefault="006B36D8" w:rsidP="006B36D8">
      <w:pPr>
        <w:pStyle w:val="ListBullet"/>
      </w:pPr>
      <w:r w:rsidRPr="00124637">
        <w:t>issued 42 formal warnings and 16 directions in response to non-compliance with the TCP Code</w:t>
      </w:r>
    </w:p>
    <w:p w14:paraId="6E424DA3" w14:textId="77777777" w:rsidR="006B36D8" w:rsidRPr="00124637" w:rsidRDefault="006B36D8" w:rsidP="006B36D8">
      <w:pPr>
        <w:pStyle w:val="ListBulletLast"/>
      </w:pPr>
      <w:r w:rsidRPr="00124637">
        <w:t>directed four firms to join the TIO scheme and one to comply with the TIO scheme.</w:t>
      </w:r>
    </w:p>
    <w:p w14:paraId="00A94D65" w14:textId="77777777" w:rsidR="00D4593F" w:rsidRPr="00124637" w:rsidRDefault="00D4593F" w:rsidP="00D4593F">
      <w:pPr>
        <w:pStyle w:val="Heading2"/>
      </w:pPr>
      <w:bookmarkStart w:id="261" w:name="TCP_Code"/>
      <w:bookmarkStart w:id="262" w:name="_Toc433703375"/>
      <w:bookmarkEnd w:id="261"/>
      <w:r w:rsidRPr="00124637">
        <w:t>The TCP Code</w:t>
      </w:r>
      <w:bookmarkEnd w:id="262"/>
      <w:r w:rsidRPr="00124637">
        <w:t xml:space="preserve"> </w:t>
      </w:r>
    </w:p>
    <w:p w14:paraId="7A0AD3CF" w14:textId="77777777" w:rsidR="00DE1F7F" w:rsidRPr="00124637" w:rsidRDefault="00DE1F7F" w:rsidP="00DE1F7F">
      <w:pPr>
        <w:spacing w:after="80"/>
        <w:rPr>
          <w:rFonts w:cs="Arial"/>
        </w:rPr>
      </w:pPr>
      <w:r w:rsidRPr="00124637">
        <w:rPr>
          <w:rFonts w:cs="Arial"/>
        </w:rPr>
        <w:t>The ACMA proactively encourages and monitors compliance through:</w:t>
      </w:r>
    </w:p>
    <w:p w14:paraId="0C6CAE48" w14:textId="77777777" w:rsidR="00DE1F7F" w:rsidRPr="00124637" w:rsidRDefault="00DE1F7F" w:rsidP="00DE1F7F">
      <w:pPr>
        <w:pStyle w:val="ListBullet"/>
      </w:pPr>
      <w:r w:rsidRPr="00124637">
        <w:rPr>
          <w:b/>
        </w:rPr>
        <w:t>Education</w:t>
      </w:r>
      <w:r w:rsidRPr="00124637">
        <w:t xml:space="preserve">—the ACMA visits and liaises with providers to discuss the requirements of the TCP Code and any concerns they may have, particularly when requirements or the provider are new. </w:t>
      </w:r>
    </w:p>
    <w:p w14:paraId="4066A565" w14:textId="77777777" w:rsidR="00DE1F7F" w:rsidRPr="00124637" w:rsidRDefault="00DE1F7F" w:rsidP="00DE1F7F">
      <w:pPr>
        <w:pStyle w:val="ListBullet"/>
      </w:pPr>
      <w:r w:rsidRPr="00124637">
        <w:rPr>
          <w:b/>
        </w:rPr>
        <w:lastRenderedPageBreak/>
        <w:t>Environmental scanning</w:t>
      </w:r>
      <w:r w:rsidRPr="00124637">
        <w:t xml:space="preserve">—the ACMA assesses a provider’s actions and raises any concerns with them. </w:t>
      </w:r>
    </w:p>
    <w:p w14:paraId="3CE3F819" w14:textId="77777777" w:rsidR="00DE1F7F" w:rsidRPr="00124637" w:rsidRDefault="00DE1F7F" w:rsidP="00DE1F7F">
      <w:pPr>
        <w:pStyle w:val="ListBullet"/>
      </w:pPr>
      <w:r w:rsidRPr="00124637">
        <w:rPr>
          <w:b/>
        </w:rPr>
        <w:t>Enquiries</w:t>
      </w:r>
      <w:r w:rsidRPr="00124637">
        <w:t xml:space="preserve">—the ACMA contacts providers to ask questions about compliance. </w:t>
      </w:r>
    </w:p>
    <w:p w14:paraId="10B199D9" w14:textId="77777777" w:rsidR="00DE1F7F" w:rsidRPr="00124637" w:rsidRDefault="00DE1F7F" w:rsidP="00DE1F7F">
      <w:pPr>
        <w:pStyle w:val="ListBulletLast"/>
      </w:pPr>
      <w:r w:rsidRPr="00124637">
        <w:rPr>
          <w:b/>
        </w:rPr>
        <w:t>Investigations—</w:t>
      </w:r>
      <w:r w:rsidRPr="00124637">
        <w:t>the ACMA investigates possible non-compliance under Part 26 of the Telecommunications Act.</w:t>
      </w:r>
    </w:p>
    <w:p w14:paraId="0867C73E" w14:textId="77777777" w:rsidR="00DE1F7F" w:rsidRPr="00124637" w:rsidRDefault="00AB13F8" w:rsidP="00DE1F7F">
      <w:pPr>
        <w:rPr>
          <w:rFonts w:cs="Arial"/>
        </w:rPr>
      </w:pPr>
      <w:r w:rsidRPr="00124637">
        <w:rPr>
          <w:rFonts w:cs="Arial"/>
        </w:rPr>
        <w:t>During 2014–15, t</w:t>
      </w:r>
      <w:r w:rsidR="00DE1F7F" w:rsidRPr="00124637">
        <w:rPr>
          <w:rFonts w:cs="Arial"/>
        </w:rPr>
        <w:t xml:space="preserve">he ACMA’s TCP Code compliance activities covered a broad range of topics, including critical information summaries, spend management alerts, code compliance statements, complaints-handling, customer transfer, direct debit and related credit management practices. Details of key activities and investigation results are set out below. </w:t>
      </w:r>
    </w:p>
    <w:p w14:paraId="10534BDA" w14:textId="77777777" w:rsidR="006B36D8" w:rsidRPr="00124637" w:rsidRDefault="006B36D8" w:rsidP="006B36D8">
      <w:pPr>
        <w:pStyle w:val="Heading3"/>
      </w:pPr>
      <w:bookmarkStart w:id="263" w:name="_Toc433703376"/>
      <w:r w:rsidRPr="00124637">
        <w:t>The ACMA’s enforcement powers</w:t>
      </w:r>
      <w:bookmarkEnd w:id="263"/>
    </w:p>
    <w:p w14:paraId="669191C1" w14:textId="77777777" w:rsidR="006B36D8" w:rsidRPr="00124637" w:rsidRDefault="006B36D8" w:rsidP="006B36D8">
      <w:pPr>
        <w:spacing w:after="80"/>
        <w:rPr>
          <w:rFonts w:cs="Arial"/>
        </w:rPr>
      </w:pPr>
      <w:r w:rsidRPr="00124637">
        <w:rPr>
          <w:rFonts w:cs="Arial"/>
        </w:rPr>
        <w:t>The ACMA has a range of powers to address breaches of the TCP Code. Where the ACMA finds a breach of the code, it can:</w:t>
      </w:r>
    </w:p>
    <w:p w14:paraId="799195B7" w14:textId="77777777" w:rsidR="006B36D8" w:rsidRPr="00124637" w:rsidRDefault="006B36D8" w:rsidP="006B36D8">
      <w:pPr>
        <w:pStyle w:val="ListBullet"/>
      </w:pPr>
      <w:r w:rsidRPr="00124637">
        <w:t>agree with the telecommunications provider on steps it will take to remedy the breach or improve compliance</w:t>
      </w:r>
    </w:p>
    <w:p w14:paraId="6129904E" w14:textId="77777777" w:rsidR="006B36D8" w:rsidRPr="00124637" w:rsidRDefault="006B36D8" w:rsidP="006B36D8">
      <w:pPr>
        <w:pStyle w:val="ListBullet"/>
      </w:pPr>
      <w:r w:rsidRPr="00124637">
        <w:t>issue a formal warning</w:t>
      </w:r>
    </w:p>
    <w:p w14:paraId="1291DFDF" w14:textId="77777777" w:rsidR="006B36D8" w:rsidRPr="00124637" w:rsidRDefault="006B36D8" w:rsidP="006B36D8">
      <w:pPr>
        <w:pStyle w:val="ListBulletLast"/>
      </w:pPr>
      <w:r w:rsidRPr="00124637">
        <w:t>give a direction to comply with the code or code provision under section 121 of the Telecommunications Act.</w:t>
      </w:r>
    </w:p>
    <w:p w14:paraId="01463832" w14:textId="77777777" w:rsidR="006B36D8" w:rsidRPr="00124637" w:rsidRDefault="006B36D8" w:rsidP="006B36D8">
      <w:pPr>
        <w:rPr>
          <w:rFonts w:cs="Arial"/>
        </w:rPr>
      </w:pPr>
      <w:r w:rsidRPr="00124637">
        <w:rPr>
          <w:rFonts w:cs="Arial"/>
        </w:rPr>
        <w:t>If a section 121 direction is breached, the ACMA may commence Federal Court proceedings. In addition, under Part 31B of the Telecommunications Act, the ACMA may issue an infringement notice for an alleged contravention of certain civil penalty provisions relating to telecommunications. An infringement notice may be given as an alternative to the ACMA instituting proceedings in a Federal Court.</w:t>
      </w:r>
    </w:p>
    <w:p w14:paraId="7DE682E5" w14:textId="77777777" w:rsidR="006B36D8" w:rsidRPr="00124637" w:rsidRDefault="006B36D8" w:rsidP="006B36D8">
      <w:pPr>
        <w:pStyle w:val="Heading3"/>
      </w:pPr>
      <w:bookmarkStart w:id="264" w:name="_Toc433703377"/>
      <w:r w:rsidRPr="00124637">
        <w:t>Enquiries and investigations about compliance with the TCP Code</w:t>
      </w:r>
      <w:bookmarkEnd w:id="264"/>
    </w:p>
    <w:p w14:paraId="0F3875E5" w14:textId="77777777" w:rsidR="006B36D8" w:rsidRPr="00124637" w:rsidRDefault="006B36D8" w:rsidP="006B36D8">
      <w:pPr>
        <w:rPr>
          <w:rFonts w:cs="Arial"/>
        </w:rPr>
      </w:pPr>
      <w:r w:rsidRPr="00124637">
        <w:rPr>
          <w:rFonts w:cs="Arial"/>
        </w:rPr>
        <w:t xml:space="preserve">During the reporting period, the ACMA continued to focus on improving industry compliance with the TCP Code, with a primary emphasis on investigation and enforcement as the code has become well established. </w:t>
      </w:r>
    </w:p>
    <w:p w14:paraId="040F8406" w14:textId="77777777" w:rsidR="006B36D8" w:rsidRPr="00124637" w:rsidRDefault="006B36D8" w:rsidP="00DE1F7F">
      <w:r w:rsidRPr="00124637">
        <w:t>During the reporting period, the ACMA commenced 125 enquiries into the compliance of suppliers with the TCP Code. Over the same period, it conducted 20 investigations (at times involving multiple TCP issues). Some of these investigations commenced before 1 July 2014.</w:t>
      </w:r>
      <w:r w:rsidRPr="00124637">
        <w:rPr>
          <w:rFonts w:cs="Arial"/>
        </w:rPr>
        <w:t xml:space="preserve"> Details of the type and outcome of investigations about compliance with the TCP Code made during 2014–15 are provided at Appendix 7.</w:t>
      </w:r>
    </w:p>
    <w:p w14:paraId="624885A3" w14:textId="77777777" w:rsidR="00DE1F7F" w:rsidRPr="00124637" w:rsidRDefault="00DE1F7F" w:rsidP="00DE1F7F">
      <w:pPr>
        <w:pStyle w:val="Heading3"/>
      </w:pPr>
      <w:bookmarkStart w:id="265" w:name="_Toc433703378"/>
      <w:r w:rsidRPr="00124637">
        <w:t>Compliance attestations review</w:t>
      </w:r>
      <w:bookmarkEnd w:id="265"/>
    </w:p>
    <w:p w14:paraId="133BA58B" w14:textId="77777777" w:rsidR="00DE1F7F" w:rsidRPr="00124637" w:rsidRDefault="00DE1F7F" w:rsidP="00DE1F7F">
      <w:pPr>
        <w:rPr>
          <w:rFonts w:cs="Arial"/>
        </w:rPr>
      </w:pPr>
      <w:r w:rsidRPr="00124637">
        <w:rPr>
          <w:rFonts w:cs="Arial"/>
        </w:rPr>
        <w:t>Under Chapter 9 of the TCP Code, suppliers must give Communications Compliance (CommCom) attestations that confirm their compliance with the requirements of the code.</w:t>
      </w:r>
      <w:r w:rsidRPr="00124637">
        <w:t xml:space="preserve"> </w:t>
      </w:r>
      <w:r w:rsidRPr="00124637">
        <w:rPr>
          <w:rFonts w:cs="Arial"/>
        </w:rPr>
        <w:t>CommCom is a self-regulatory industry body that aims to improve industry members’ compliance with the TCP Code.</w:t>
      </w:r>
    </w:p>
    <w:p w14:paraId="724A8B7A" w14:textId="77777777" w:rsidR="00DE1F7F" w:rsidRPr="00124637" w:rsidRDefault="00DE1F7F" w:rsidP="00DE1F7F">
      <w:pPr>
        <w:rPr>
          <w:rFonts w:cs="Arial"/>
        </w:rPr>
      </w:pPr>
      <w:r w:rsidRPr="00124637">
        <w:rPr>
          <w:rFonts w:cs="Arial"/>
        </w:rPr>
        <w:t xml:space="preserve">During the reporting period, the ACMA issued 11 directions and 39 formal warnings to providers who failed to lodge compliance attestations. </w:t>
      </w:r>
    </w:p>
    <w:p w14:paraId="30D5BA30" w14:textId="77777777" w:rsidR="00DE1F7F" w:rsidRPr="00124637" w:rsidRDefault="00DE1F7F" w:rsidP="00DE1F7F">
      <w:pPr>
        <w:rPr>
          <w:rFonts w:cs="Arial"/>
        </w:rPr>
      </w:pPr>
      <w:r w:rsidRPr="00124637">
        <w:rPr>
          <w:rFonts w:cs="Arial"/>
        </w:rPr>
        <w:t xml:space="preserve">In May 2015, CommCom informed the ACMA that 388 providers had lodged compliance attestations for 2015—a 17 per cent increase on 2014. Drawing on this information and TIO membership records, the ACMA sent preliminary enquiry letters to 41 </w:t>
      </w:r>
      <w:r w:rsidR="003A6515" w:rsidRPr="00124637">
        <w:rPr>
          <w:rFonts w:cs="Arial"/>
        </w:rPr>
        <w:t>providers in June 2015</w:t>
      </w:r>
      <w:r w:rsidRPr="00124637">
        <w:rPr>
          <w:rFonts w:cs="Arial"/>
        </w:rPr>
        <w:t xml:space="preserve"> to ascertain why they did not lodge attestations with CommCom. The ACMA will consider enforcement action if it concludes that the providers did not comply with the TCP Code.</w:t>
      </w:r>
    </w:p>
    <w:p w14:paraId="12548873" w14:textId="77777777" w:rsidR="00DE1F7F" w:rsidRPr="00124637" w:rsidRDefault="00DE1F7F" w:rsidP="00DE1F7F">
      <w:pPr>
        <w:pStyle w:val="Heading3"/>
      </w:pPr>
      <w:bookmarkStart w:id="266" w:name="_Toc433703379"/>
      <w:r w:rsidRPr="00124637">
        <w:lastRenderedPageBreak/>
        <w:t>Critical information summaries review</w:t>
      </w:r>
      <w:bookmarkEnd w:id="266"/>
    </w:p>
    <w:p w14:paraId="5003626B" w14:textId="77777777" w:rsidR="00DE1F7F" w:rsidRPr="00124637" w:rsidRDefault="00DE1F7F" w:rsidP="00DE1F7F">
      <w:pPr>
        <w:rPr>
          <w:rFonts w:cs="Arial"/>
        </w:rPr>
      </w:pPr>
      <w:r w:rsidRPr="00124637">
        <w:rPr>
          <w:rFonts w:cs="Arial"/>
        </w:rPr>
        <w:t xml:space="preserve">The ACMA </w:t>
      </w:r>
      <w:r w:rsidR="003A6515" w:rsidRPr="00124637">
        <w:rPr>
          <w:rFonts w:cs="Arial"/>
        </w:rPr>
        <w:t>undertook its annual review of c</w:t>
      </w:r>
      <w:r w:rsidRPr="00124637">
        <w:rPr>
          <w:rFonts w:cs="Arial"/>
        </w:rPr>
        <w:t xml:space="preserve">ritical </w:t>
      </w:r>
      <w:r w:rsidR="003A6515" w:rsidRPr="00124637">
        <w:rPr>
          <w:rFonts w:cs="Arial"/>
        </w:rPr>
        <w:t>i</w:t>
      </w:r>
      <w:r w:rsidRPr="00124637">
        <w:rPr>
          <w:rFonts w:cs="Arial"/>
        </w:rPr>
        <w:t xml:space="preserve">nformation </w:t>
      </w:r>
      <w:r w:rsidR="003A6515" w:rsidRPr="00124637">
        <w:rPr>
          <w:rFonts w:cs="Arial"/>
        </w:rPr>
        <w:t>s</w:t>
      </w:r>
      <w:r w:rsidRPr="00124637">
        <w:rPr>
          <w:rFonts w:cs="Arial"/>
        </w:rPr>
        <w:t>ummaries (CISs) in March 2015</w:t>
      </w:r>
      <w:r w:rsidR="003A6515" w:rsidRPr="00124637">
        <w:rPr>
          <w:rFonts w:cs="Arial"/>
        </w:rPr>
        <w:t xml:space="preserve">, assessing </w:t>
      </w:r>
      <w:r w:rsidRPr="00124637">
        <w:rPr>
          <w:rFonts w:cs="Arial"/>
        </w:rPr>
        <w:t xml:space="preserve">a total of 68 offers from 35 providers. </w:t>
      </w:r>
      <w:r w:rsidR="003A6515" w:rsidRPr="00124637">
        <w:rPr>
          <w:rFonts w:cs="Arial"/>
        </w:rPr>
        <w:t>Comparative results are summarised in Table 22.</w:t>
      </w:r>
    </w:p>
    <w:p w14:paraId="2CE37704" w14:textId="77777777" w:rsidR="00BE3117" w:rsidRPr="00124637" w:rsidRDefault="00BE3117" w:rsidP="006B36D8">
      <w:pPr>
        <w:pStyle w:val="Caption"/>
        <w:keepNext/>
        <w:spacing w:after="120"/>
        <w:rPr>
          <w:rFonts w:cs="Arial"/>
          <w:color w:val="auto"/>
        </w:rPr>
      </w:pPr>
      <w:r w:rsidRPr="00124637">
        <w:rPr>
          <w:color w:val="auto"/>
        </w:rPr>
        <w:t xml:space="preserve">CIS </w:t>
      </w:r>
      <w:r w:rsidR="003A6515" w:rsidRPr="00124637">
        <w:rPr>
          <w:color w:val="auto"/>
        </w:rPr>
        <w:t>r</w:t>
      </w:r>
      <w:r w:rsidRPr="00124637">
        <w:rPr>
          <w:color w:val="auto"/>
        </w:rPr>
        <w:t xml:space="preserve">eview </w:t>
      </w:r>
      <w:r w:rsidR="003A6515" w:rsidRPr="00124637">
        <w:rPr>
          <w:color w:val="auto"/>
        </w:rPr>
        <w:t>c</w:t>
      </w:r>
      <w:r w:rsidRPr="00124637">
        <w:rPr>
          <w:color w:val="auto"/>
        </w:rPr>
        <w:t>omparisons</w:t>
      </w:r>
      <w:r w:rsidR="003A6515" w:rsidRPr="00124637">
        <w:rPr>
          <w:color w:val="auto"/>
        </w:rPr>
        <w:t>,</w:t>
      </w:r>
      <w:r w:rsidRPr="00124637">
        <w:rPr>
          <w:color w:val="auto"/>
        </w:rPr>
        <w:t xml:space="preserve"> 2014 and 2015</w:t>
      </w: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59"/>
        <w:gridCol w:w="1276"/>
        <w:gridCol w:w="1276"/>
      </w:tblGrid>
      <w:tr w:rsidR="003A6515" w:rsidRPr="00AD0F92" w14:paraId="573A693D" w14:textId="77777777" w:rsidTr="003A6515">
        <w:trPr>
          <w:tblHeader/>
        </w:trPr>
        <w:tc>
          <w:tcPr>
            <w:tcW w:w="5259" w:type="dxa"/>
            <w:shd w:val="clear" w:color="auto" w:fill="404040" w:themeFill="text1" w:themeFillTint="BF"/>
            <w:tcMar>
              <w:top w:w="28" w:type="dxa"/>
              <w:left w:w="28" w:type="dxa"/>
            </w:tcMar>
            <w:hideMark/>
          </w:tcPr>
          <w:p w14:paraId="2D59AD9F" w14:textId="77777777" w:rsidR="003A6515" w:rsidRPr="00BE3117" w:rsidRDefault="003A6515" w:rsidP="003A6515">
            <w:pPr>
              <w:pStyle w:val="TableHeading"/>
              <w:rPr>
                <w:color w:val="FFFFFF" w:themeColor="background1"/>
              </w:rPr>
            </w:pPr>
            <w:r w:rsidRPr="00BE3117">
              <w:rPr>
                <w:color w:val="FFFFFF" w:themeColor="background1"/>
              </w:rPr>
              <w:t>Activity</w:t>
            </w:r>
          </w:p>
        </w:tc>
        <w:tc>
          <w:tcPr>
            <w:tcW w:w="1276" w:type="dxa"/>
            <w:shd w:val="clear" w:color="auto" w:fill="404040" w:themeFill="text1" w:themeFillTint="BF"/>
            <w:tcMar>
              <w:top w:w="28" w:type="dxa"/>
              <w:left w:w="28" w:type="dxa"/>
            </w:tcMar>
            <w:hideMark/>
          </w:tcPr>
          <w:p w14:paraId="64666614" w14:textId="77777777" w:rsidR="003A6515" w:rsidRPr="00BE3117" w:rsidRDefault="003A6515" w:rsidP="003A6515">
            <w:pPr>
              <w:pStyle w:val="TableHeading"/>
              <w:rPr>
                <w:color w:val="FFFFFF" w:themeColor="background1"/>
              </w:rPr>
            </w:pPr>
            <w:r w:rsidRPr="00BE3117">
              <w:rPr>
                <w:color w:val="FFFFFF" w:themeColor="background1"/>
              </w:rPr>
              <w:t>2014</w:t>
            </w:r>
          </w:p>
        </w:tc>
        <w:tc>
          <w:tcPr>
            <w:tcW w:w="1276" w:type="dxa"/>
            <w:shd w:val="clear" w:color="auto" w:fill="404040" w:themeFill="text1" w:themeFillTint="BF"/>
          </w:tcPr>
          <w:p w14:paraId="47670BBF" w14:textId="77777777" w:rsidR="003A6515" w:rsidRPr="00BE3117" w:rsidRDefault="003A6515" w:rsidP="003A6515">
            <w:pPr>
              <w:pStyle w:val="TableHeading"/>
              <w:jc w:val="right"/>
              <w:rPr>
                <w:color w:val="FFFFFF" w:themeColor="background1"/>
              </w:rPr>
            </w:pPr>
            <w:r w:rsidRPr="00BE3117">
              <w:rPr>
                <w:color w:val="FFFFFF" w:themeColor="background1"/>
              </w:rPr>
              <w:t>2015</w:t>
            </w:r>
          </w:p>
        </w:tc>
      </w:tr>
      <w:tr w:rsidR="003A6515" w:rsidRPr="00AD0F92" w14:paraId="440A6A1F" w14:textId="77777777" w:rsidTr="003A6515">
        <w:tc>
          <w:tcPr>
            <w:tcW w:w="5259" w:type="dxa"/>
            <w:tcMar>
              <w:top w:w="28" w:type="dxa"/>
              <w:left w:w="28" w:type="dxa"/>
            </w:tcMar>
            <w:hideMark/>
          </w:tcPr>
          <w:p w14:paraId="76E4349B" w14:textId="77777777" w:rsidR="003A6515" w:rsidRPr="00124637" w:rsidRDefault="003A6515" w:rsidP="003A6515">
            <w:pPr>
              <w:pStyle w:val="TableBody"/>
            </w:pPr>
            <w:r w:rsidRPr="00124637">
              <w:t>Number of providers assessed</w:t>
            </w:r>
          </w:p>
        </w:tc>
        <w:tc>
          <w:tcPr>
            <w:tcW w:w="1276" w:type="dxa"/>
            <w:tcMar>
              <w:top w:w="28" w:type="dxa"/>
              <w:left w:w="28" w:type="dxa"/>
            </w:tcMar>
            <w:hideMark/>
          </w:tcPr>
          <w:p w14:paraId="2BC30A48" w14:textId="77777777" w:rsidR="003A6515" w:rsidRPr="00124637" w:rsidRDefault="003A6515" w:rsidP="003A6515">
            <w:pPr>
              <w:pStyle w:val="TableBody"/>
            </w:pPr>
            <w:r w:rsidRPr="00124637">
              <w:t>46</w:t>
            </w:r>
          </w:p>
        </w:tc>
        <w:tc>
          <w:tcPr>
            <w:tcW w:w="1276" w:type="dxa"/>
          </w:tcPr>
          <w:p w14:paraId="746E3C40" w14:textId="77777777" w:rsidR="003A6515" w:rsidRPr="00124637" w:rsidRDefault="003A6515" w:rsidP="003A6515">
            <w:pPr>
              <w:pStyle w:val="TableBody"/>
              <w:jc w:val="right"/>
            </w:pPr>
            <w:r w:rsidRPr="00124637">
              <w:t>35</w:t>
            </w:r>
          </w:p>
        </w:tc>
      </w:tr>
      <w:tr w:rsidR="003A6515" w:rsidRPr="00AD0F92" w14:paraId="313E0C3E" w14:textId="77777777" w:rsidTr="003A6515">
        <w:tc>
          <w:tcPr>
            <w:tcW w:w="5259" w:type="dxa"/>
            <w:tcMar>
              <w:top w:w="28" w:type="dxa"/>
              <w:left w:w="28" w:type="dxa"/>
            </w:tcMar>
            <w:hideMark/>
          </w:tcPr>
          <w:p w14:paraId="5E95FF4D" w14:textId="77777777" w:rsidR="003A6515" w:rsidRPr="00124637" w:rsidRDefault="003A6515" w:rsidP="003A6515">
            <w:pPr>
              <w:pStyle w:val="TableBody"/>
            </w:pPr>
            <w:r w:rsidRPr="00124637">
              <w:t>Number of offers assessed</w:t>
            </w:r>
          </w:p>
        </w:tc>
        <w:tc>
          <w:tcPr>
            <w:tcW w:w="1276" w:type="dxa"/>
            <w:tcMar>
              <w:top w:w="28" w:type="dxa"/>
              <w:left w:w="28" w:type="dxa"/>
            </w:tcMar>
            <w:hideMark/>
          </w:tcPr>
          <w:p w14:paraId="3B701739" w14:textId="77777777" w:rsidR="003A6515" w:rsidRPr="00124637" w:rsidRDefault="003A6515" w:rsidP="003A6515">
            <w:pPr>
              <w:pStyle w:val="TableBody"/>
            </w:pPr>
            <w:r w:rsidRPr="00124637">
              <w:t>92</w:t>
            </w:r>
          </w:p>
        </w:tc>
        <w:tc>
          <w:tcPr>
            <w:tcW w:w="1276" w:type="dxa"/>
          </w:tcPr>
          <w:p w14:paraId="5637AEE9" w14:textId="77777777" w:rsidR="003A6515" w:rsidRPr="00124637" w:rsidRDefault="003A6515" w:rsidP="003A6515">
            <w:pPr>
              <w:pStyle w:val="TableBody"/>
              <w:jc w:val="right"/>
            </w:pPr>
            <w:r w:rsidRPr="00124637">
              <w:t>68</w:t>
            </w:r>
          </w:p>
        </w:tc>
      </w:tr>
      <w:tr w:rsidR="003A6515" w:rsidRPr="00AD0F92" w14:paraId="141D1463" w14:textId="77777777" w:rsidTr="003A6515">
        <w:tc>
          <w:tcPr>
            <w:tcW w:w="5259" w:type="dxa"/>
            <w:tcMar>
              <w:top w:w="28" w:type="dxa"/>
              <w:left w:w="28" w:type="dxa"/>
            </w:tcMar>
            <w:hideMark/>
          </w:tcPr>
          <w:p w14:paraId="34687A12" w14:textId="77777777" w:rsidR="003A6515" w:rsidRPr="00124637" w:rsidRDefault="003A6515" w:rsidP="003A6515">
            <w:pPr>
              <w:pStyle w:val="TableBody"/>
            </w:pPr>
            <w:r w:rsidRPr="00124637">
              <w:t>CIS immediately compliant</w:t>
            </w:r>
          </w:p>
        </w:tc>
        <w:tc>
          <w:tcPr>
            <w:tcW w:w="1276" w:type="dxa"/>
            <w:tcMar>
              <w:top w:w="28" w:type="dxa"/>
              <w:left w:w="28" w:type="dxa"/>
            </w:tcMar>
            <w:hideMark/>
          </w:tcPr>
          <w:p w14:paraId="271FCC52" w14:textId="77777777" w:rsidR="003A6515" w:rsidRPr="00124637" w:rsidRDefault="003A6515" w:rsidP="003A6515">
            <w:pPr>
              <w:pStyle w:val="TableBody"/>
            </w:pPr>
            <w:r w:rsidRPr="00124637">
              <w:t>90%</w:t>
            </w:r>
          </w:p>
        </w:tc>
        <w:tc>
          <w:tcPr>
            <w:tcW w:w="1276" w:type="dxa"/>
          </w:tcPr>
          <w:p w14:paraId="09EE4015" w14:textId="77777777" w:rsidR="003A6515" w:rsidRPr="00124637" w:rsidRDefault="003A6515" w:rsidP="003A6515">
            <w:pPr>
              <w:pStyle w:val="TableBody"/>
              <w:jc w:val="right"/>
            </w:pPr>
            <w:r w:rsidRPr="00124637">
              <w:t xml:space="preserve">69% </w:t>
            </w:r>
          </w:p>
        </w:tc>
      </w:tr>
      <w:tr w:rsidR="003A6515" w:rsidRPr="00AD0F92" w14:paraId="587AAA7E" w14:textId="77777777" w:rsidTr="003A6515">
        <w:tc>
          <w:tcPr>
            <w:tcW w:w="5259" w:type="dxa"/>
            <w:tcMar>
              <w:top w:w="28" w:type="dxa"/>
              <w:left w:w="28" w:type="dxa"/>
            </w:tcMar>
            <w:hideMark/>
          </w:tcPr>
          <w:p w14:paraId="3AA3DAA1" w14:textId="77777777" w:rsidR="003A6515" w:rsidRPr="00124637" w:rsidRDefault="003A6515" w:rsidP="003A6515">
            <w:pPr>
              <w:pStyle w:val="TableBody"/>
            </w:pPr>
            <w:r w:rsidRPr="00124637">
              <w:t>CIS with some content or formatting issues</w:t>
            </w:r>
          </w:p>
        </w:tc>
        <w:tc>
          <w:tcPr>
            <w:tcW w:w="1276" w:type="dxa"/>
            <w:tcMar>
              <w:top w:w="28" w:type="dxa"/>
              <w:left w:w="28" w:type="dxa"/>
            </w:tcMar>
            <w:hideMark/>
          </w:tcPr>
          <w:p w14:paraId="3B0722F6" w14:textId="77777777" w:rsidR="003A6515" w:rsidRPr="00124637" w:rsidRDefault="003A6515" w:rsidP="003A6515">
            <w:pPr>
              <w:pStyle w:val="TableBody"/>
            </w:pPr>
            <w:r w:rsidRPr="00124637">
              <w:t>8%</w:t>
            </w:r>
          </w:p>
        </w:tc>
        <w:tc>
          <w:tcPr>
            <w:tcW w:w="1276" w:type="dxa"/>
          </w:tcPr>
          <w:p w14:paraId="1BD5145B" w14:textId="77777777" w:rsidR="003A6515" w:rsidRPr="00124637" w:rsidRDefault="003A6515" w:rsidP="003A6515">
            <w:pPr>
              <w:pStyle w:val="TableBody"/>
              <w:jc w:val="right"/>
            </w:pPr>
            <w:r w:rsidRPr="00124637">
              <w:t xml:space="preserve">27% </w:t>
            </w:r>
          </w:p>
        </w:tc>
      </w:tr>
      <w:tr w:rsidR="003A6515" w:rsidRPr="00AD0F92" w14:paraId="221288E3" w14:textId="77777777" w:rsidTr="003A6515">
        <w:tc>
          <w:tcPr>
            <w:tcW w:w="5259" w:type="dxa"/>
            <w:tcMar>
              <w:top w:w="28" w:type="dxa"/>
              <w:left w:w="28" w:type="dxa"/>
            </w:tcMar>
            <w:hideMark/>
          </w:tcPr>
          <w:p w14:paraId="74EB8FE4" w14:textId="77777777" w:rsidR="003A6515" w:rsidRPr="00124637" w:rsidRDefault="003A6515" w:rsidP="003A6515">
            <w:pPr>
              <w:pStyle w:val="TableBody"/>
            </w:pPr>
            <w:r w:rsidRPr="00124637">
              <w:t>No CIS</w:t>
            </w:r>
          </w:p>
        </w:tc>
        <w:tc>
          <w:tcPr>
            <w:tcW w:w="1276" w:type="dxa"/>
            <w:tcMar>
              <w:top w:w="28" w:type="dxa"/>
              <w:left w:w="28" w:type="dxa"/>
            </w:tcMar>
            <w:hideMark/>
          </w:tcPr>
          <w:p w14:paraId="0BFC2228" w14:textId="77777777" w:rsidR="003A6515" w:rsidRPr="00124637" w:rsidRDefault="003A6515" w:rsidP="003A6515">
            <w:pPr>
              <w:pStyle w:val="TableBody"/>
            </w:pPr>
            <w:r w:rsidRPr="00124637">
              <w:t>2%</w:t>
            </w:r>
          </w:p>
        </w:tc>
        <w:tc>
          <w:tcPr>
            <w:tcW w:w="1276" w:type="dxa"/>
          </w:tcPr>
          <w:p w14:paraId="62B7039D" w14:textId="77777777" w:rsidR="003A6515" w:rsidRPr="00124637" w:rsidRDefault="003A6515" w:rsidP="003A6515">
            <w:pPr>
              <w:pStyle w:val="TableBody"/>
              <w:jc w:val="right"/>
            </w:pPr>
            <w:r w:rsidRPr="00124637">
              <w:t>4%</w:t>
            </w:r>
          </w:p>
        </w:tc>
      </w:tr>
    </w:tbl>
    <w:p w14:paraId="3C1A20B1" w14:textId="77777777" w:rsidR="00AD0F92" w:rsidRPr="00124637" w:rsidRDefault="006B36D8" w:rsidP="00AD0F92">
      <w:pPr>
        <w:spacing w:before="360"/>
        <w:rPr>
          <w:rFonts w:cs="Arial"/>
        </w:rPr>
      </w:pPr>
      <w:r w:rsidRPr="00124637">
        <w:rPr>
          <w:rFonts w:cs="Arial"/>
        </w:rPr>
        <w:t xml:space="preserve">The deterioration in compliance mainly reflects a failure among some mid-sized firms to keep information in CISs up to date. </w:t>
      </w:r>
      <w:r w:rsidR="00AD0F92" w:rsidRPr="00124637">
        <w:rPr>
          <w:rFonts w:cs="Arial"/>
        </w:rPr>
        <w:t xml:space="preserve">The majority of the non-compliant CISs required only minor changes to </w:t>
      </w:r>
      <w:r w:rsidR="003A6515" w:rsidRPr="00124637">
        <w:rPr>
          <w:rFonts w:cs="Arial"/>
        </w:rPr>
        <w:t>become</w:t>
      </w:r>
      <w:r w:rsidR="00AD0F92" w:rsidRPr="00124637">
        <w:rPr>
          <w:rFonts w:cs="Arial"/>
        </w:rPr>
        <w:t xml:space="preserve"> compliant. </w:t>
      </w:r>
      <w:r w:rsidR="003A6515" w:rsidRPr="00124637">
        <w:rPr>
          <w:rFonts w:cs="Arial"/>
        </w:rPr>
        <w:t>After t</w:t>
      </w:r>
      <w:r w:rsidR="00AD0F92" w:rsidRPr="00124637">
        <w:rPr>
          <w:rFonts w:cs="Arial"/>
        </w:rPr>
        <w:t>he ACMA wrote to each provider with non-compliant CISs</w:t>
      </w:r>
      <w:r w:rsidR="003A6515" w:rsidRPr="00124637">
        <w:rPr>
          <w:rFonts w:cs="Arial"/>
        </w:rPr>
        <w:t>,</w:t>
      </w:r>
      <w:r w:rsidR="00AD0F92" w:rsidRPr="00124637">
        <w:rPr>
          <w:rFonts w:cs="Arial"/>
        </w:rPr>
        <w:t xml:space="preserve"> all but one provider amend</w:t>
      </w:r>
      <w:r w:rsidR="003A6515" w:rsidRPr="00124637">
        <w:rPr>
          <w:rFonts w:cs="Arial"/>
        </w:rPr>
        <w:t>ed</w:t>
      </w:r>
      <w:r w:rsidR="00AD0F92" w:rsidRPr="00124637">
        <w:rPr>
          <w:rFonts w:cs="Arial"/>
        </w:rPr>
        <w:t xml:space="preserve"> their CIS and updat</w:t>
      </w:r>
      <w:r w:rsidR="003A6515" w:rsidRPr="00124637">
        <w:rPr>
          <w:rFonts w:cs="Arial"/>
        </w:rPr>
        <w:t>ed</w:t>
      </w:r>
      <w:r w:rsidR="00AD0F92" w:rsidRPr="00124637">
        <w:rPr>
          <w:rFonts w:cs="Arial"/>
        </w:rPr>
        <w:t xml:space="preserve"> their website immediately. Finalisation of one matter is ongoing.</w:t>
      </w:r>
    </w:p>
    <w:p w14:paraId="5164F0EE" w14:textId="77777777" w:rsidR="00AD0F92" w:rsidRPr="00124637" w:rsidRDefault="00AD0F92" w:rsidP="00AD0F92">
      <w:pPr>
        <w:pStyle w:val="Heading3"/>
      </w:pPr>
      <w:bookmarkStart w:id="267" w:name="_Toc433703380"/>
      <w:r w:rsidRPr="00124637">
        <w:t xml:space="preserve">Customer transfer </w:t>
      </w:r>
      <w:r w:rsidRPr="00124637">
        <w:rPr>
          <w:rStyle w:val="Heading3Char"/>
          <w:b/>
          <w:bCs/>
        </w:rPr>
        <w:t>investigations</w:t>
      </w:r>
      <w:r w:rsidRPr="00124637">
        <w:t xml:space="preserve"> and review</w:t>
      </w:r>
      <w:bookmarkEnd w:id="267"/>
    </w:p>
    <w:p w14:paraId="287BB101" w14:textId="77777777" w:rsidR="00AD0F92" w:rsidRPr="00124637" w:rsidRDefault="00AD0F92" w:rsidP="00AD0F92">
      <w:pPr>
        <w:rPr>
          <w:rFonts w:cs="Arial"/>
        </w:rPr>
      </w:pPr>
      <w:r w:rsidRPr="00124637">
        <w:rPr>
          <w:rFonts w:cs="Arial"/>
        </w:rPr>
        <w:t xml:space="preserve">The ACMA initiated five investigations into compliance with the customer transfer provisions in the TCP Code during the reporting period. </w:t>
      </w:r>
    </w:p>
    <w:p w14:paraId="2C424556" w14:textId="77777777" w:rsidR="00AD0F92" w:rsidRPr="00124637" w:rsidRDefault="00AD0F92" w:rsidP="00AD0F92">
      <w:pPr>
        <w:rPr>
          <w:rFonts w:cs="Arial"/>
        </w:rPr>
      </w:pPr>
      <w:r w:rsidRPr="00124637">
        <w:rPr>
          <w:rFonts w:cs="Arial"/>
        </w:rPr>
        <w:t xml:space="preserve">One supplier was found to be in breach of multiple TCP Code provisions </w:t>
      </w:r>
      <w:r w:rsidR="00FA2B8D" w:rsidRPr="00124637">
        <w:rPr>
          <w:rFonts w:cs="Arial"/>
        </w:rPr>
        <w:t>on</w:t>
      </w:r>
      <w:r w:rsidRPr="00124637">
        <w:rPr>
          <w:rFonts w:cs="Arial"/>
        </w:rPr>
        <w:t xml:space="preserve"> telecommunications offers and changing suppliers, and was issued with a direction to comply in September 2014. A subsequent investigation into the transfer of customers to a related provider found a number of breaches </w:t>
      </w:r>
      <w:r w:rsidR="00FA2B8D" w:rsidRPr="00124637">
        <w:rPr>
          <w:rFonts w:cs="Arial"/>
        </w:rPr>
        <w:t>of</w:t>
      </w:r>
      <w:r w:rsidRPr="00124637">
        <w:rPr>
          <w:rFonts w:cs="Arial"/>
        </w:rPr>
        <w:t xml:space="preserve"> transfer consent, p</w:t>
      </w:r>
      <w:r w:rsidR="00FA2B8D" w:rsidRPr="00124637">
        <w:rPr>
          <w:rFonts w:cs="Arial"/>
        </w:rPr>
        <w:t>roviding information and record-</w:t>
      </w:r>
      <w:r w:rsidRPr="00124637">
        <w:rPr>
          <w:rFonts w:cs="Arial"/>
        </w:rPr>
        <w:t xml:space="preserve">keeping </w:t>
      </w:r>
      <w:r w:rsidR="00FA2B8D" w:rsidRPr="00124637">
        <w:rPr>
          <w:rFonts w:cs="Arial"/>
        </w:rPr>
        <w:t>of</w:t>
      </w:r>
      <w:r w:rsidRPr="00124637">
        <w:rPr>
          <w:rFonts w:cs="Arial"/>
        </w:rPr>
        <w:t xml:space="preserve"> the transfer process. The ACMA issued a direction to comply to the related provider in April 2015. </w:t>
      </w:r>
    </w:p>
    <w:p w14:paraId="056AC325" w14:textId="77777777" w:rsidR="00AD0F92" w:rsidRPr="00124637" w:rsidRDefault="00AD0F92" w:rsidP="00AD0F92">
      <w:pPr>
        <w:rPr>
          <w:rFonts w:cs="Arial"/>
        </w:rPr>
      </w:pPr>
      <w:r w:rsidRPr="00124637">
        <w:rPr>
          <w:rFonts w:cs="Arial"/>
        </w:rPr>
        <w:t>A review of transfer provisions within Chapter 7 of the TCP Code in 2013</w:t>
      </w:r>
      <w:r w:rsidR="00FA2B8D" w:rsidRPr="00124637">
        <w:rPr>
          <w:rFonts w:cs="Arial"/>
        </w:rPr>
        <w:t>–</w:t>
      </w:r>
      <w:r w:rsidRPr="00124637">
        <w:rPr>
          <w:rFonts w:cs="Arial"/>
        </w:rPr>
        <w:t xml:space="preserve">14 year led to an investigation </w:t>
      </w:r>
      <w:r w:rsidR="00FA2B8D" w:rsidRPr="00124637">
        <w:rPr>
          <w:rFonts w:cs="Arial"/>
        </w:rPr>
        <w:t>that</w:t>
      </w:r>
      <w:r w:rsidRPr="00124637">
        <w:rPr>
          <w:rFonts w:cs="Arial"/>
        </w:rPr>
        <w:t xml:space="preserve"> found a company to be in breach of a number of the transfer provisions within the code. A direction to comply with the TCP Code was subsequently issued in January 2015.</w:t>
      </w:r>
    </w:p>
    <w:p w14:paraId="6BCD202E" w14:textId="77777777" w:rsidR="00AD0F92" w:rsidRPr="00124637" w:rsidRDefault="00AD0F92" w:rsidP="00AD0F92">
      <w:pPr>
        <w:rPr>
          <w:rFonts w:cs="Arial"/>
        </w:rPr>
      </w:pPr>
      <w:r w:rsidRPr="00124637">
        <w:rPr>
          <w:rFonts w:cs="Arial"/>
        </w:rPr>
        <w:t>In April 2015</w:t>
      </w:r>
      <w:r w:rsidR="00FA2B8D" w:rsidRPr="00124637">
        <w:rPr>
          <w:rFonts w:cs="Arial"/>
        </w:rPr>
        <w:t>,</w:t>
      </w:r>
      <w:r w:rsidRPr="00124637">
        <w:rPr>
          <w:rFonts w:cs="Arial"/>
        </w:rPr>
        <w:t xml:space="preserve"> the ACMA </w:t>
      </w:r>
      <w:r w:rsidR="00FA2B8D" w:rsidRPr="00124637">
        <w:rPr>
          <w:rFonts w:cs="Arial"/>
        </w:rPr>
        <w:t>began</w:t>
      </w:r>
      <w:r w:rsidRPr="00124637">
        <w:rPr>
          <w:rFonts w:cs="Arial"/>
        </w:rPr>
        <w:t xml:space="preserve"> a multi-provider review to examine whether providers are giving accurate and adequate information about transfers between apparently related entities and obtaining informed consent from consumers. The ACMA </w:t>
      </w:r>
      <w:r w:rsidR="00FA2B8D" w:rsidRPr="00124637">
        <w:rPr>
          <w:rFonts w:cs="Arial"/>
        </w:rPr>
        <w:t xml:space="preserve">then </w:t>
      </w:r>
      <w:r w:rsidRPr="00124637">
        <w:rPr>
          <w:rFonts w:cs="Arial"/>
        </w:rPr>
        <w:t>initiated preliminary enquiries into three suppliers</w:t>
      </w:r>
      <w:r w:rsidR="00FA2B8D" w:rsidRPr="00124637">
        <w:rPr>
          <w:rFonts w:cs="Arial"/>
        </w:rPr>
        <w:t>—one provider was found to be compliant, o</w:t>
      </w:r>
      <w:r w:rsidRPr="00124637">
        <w:rPr>
          <w:rFonts w:cs="Arial"/>
        </w:rPr>
        <w:t xml:space="preserve">ne </w:t>
      </w:r>
      <w:r w:rsidR="00FA2B8D" w:rsidRPr="00124637">
        <w:rPr>
          <w:rFonts w:cs="Arial"/>
        </w:rPr>
        <w:t>enquiry led</w:t>
      </w:r>
      <w:r w:rsidRPr="00124637">
        <w:rPr>
          <w:rFonts w:cs="Arial"/>
        </w:rPr>
        <w:t xml:space="preserve"> to an inv</w:t>
      </w:r>
      <w:r w:rsidR="00FA2B8D" w:rsidRPr="00124637">
        <w:rPr>
          <w:rFonts w:cs="Arial"/>
        </w:rPr>
        <w:t xml:space="preserve">estigation and </w:t>
      </w:r>
      <w:r w:rsidRPr="00124637">
        <w:rPr>
          <w:rFonts w:cs="Arial"/>
        </w:rPr>
        <w:t>another matter is still open.</w:t>
      </w:r>
    </w:p>
    <w:p w14:paraId="37587853" w14:textId="77777777" w:rsidR="00D4593F" w:rsidRPr="00124637" w:rsidRDefault="00D4593F" w:rsidP="00D4593F">
      <w:pPr>
        <w:pStyle w:val="Heading2"/>
      </w:pPr>
      <w:bookmarkStart w:id="268" w:name="_Toc400018560"/>
      <w:bookmarkStart w:id="269" w:name="_Toc419122538"/>
      <w:bookmarkStart w:id="270" w:name="_Toc433703381"/>
      <w:r w:rsidRPr="00124637">
        <w:t>Mobile premium services</w:t>
      </w:r>
      <w:bookmarkEnd w:id="268"/>
      <w:bookmarkEnd w:id="269"/>
      <w:bookmarkEnd w:id="270"/>
    </w:p>
    <w:p w14:paraId="580CEC7B" w14:textId="77777777" w:rsidR="00AD0F92" w:rsidRPr="00DE1F14" w:rsidRDefault="00AD0F92" w:rsidP="00AD0F92">
      <w:pPr>
        <w:spacing w:after="80"/>
        <w:rPr>
          <w:rFonts w:cs="Arial"/>
        </w:rPr>
      </w:pPr>
      <w:bookmarkStart w:id="271" w:name="_Toc400018587"/>
      <w:bookmarkStart w:id="272" w:name="_Toc419122539"/>
      <w:r w:rsidRPr="00124637">
        <w:rPr>
          <w:rFonts w:cs="Arial"/>
        </w:rPr>
        <w:t xml:space="preserve">Mobile </w:t>
      </w:r>
      <w:r w:rsidR="007C6673" w:rsidRPr="00124637">
        <w:rPr>
          <w:rFonts w:cs="Arial"/>
        </w:rPr>
        <w:t>p</w:t>
      </w:r>
      <w:r w:rsidRPr="00124637">
        <w:rPr>
          <w:rFonts w:cs="Arial"/>
        </w:rPr>
        <w:t xml:space="preserve">remium </w:t>
      </w:r>
      <w:r w:rsidR="007C6673" w:rsidRPr="00124637">
        <w:rPr>
          <w:rFonts w:cs="Arial"/>
        </w:rPr>
        <w:t>s</w:t>
      </w:r>
      <w:r w:rsidRPr="00124637">
        <w:rPr>
          <w:rFonts w:cs="Arial"/>
        </w:rPr>
        <w:t>ervices (M</w:t>
      </w:r>
      <w:r w:rsidR="007C6673" w:rsidRPr="00124637">
        <w:rPr>
          <w:rFonts w:cs="Arial"/>
        </w:rPr>
        <w:t xml:space="preserve">PS) are subject to an industry </w:t>
      </w:r>
      <w:r w:rsidR="007C6673" w:rsidRPr="00DE1F14">
        <w:rPr>
          <w:rFonts w:cs="Arial"/>
        </w:rPr>
        <w:t>c</w:t>
      </w:r>
      <w:r w:rsidRPr="00DE1F14">
        <w:rPr>
          <w:rFonts w:cs="Arial"/>
        </w:rPr>
        <w:t xml:space="preserve">ode. The MPS Code was reviewed during </w:t>
      </w:r>
      <w:r w:rsidR="007C6673" w:rsidRPr="00DE1F14">
        <w:rPr>
          <w:rFonts w:cs="Arial"/>
        </w:rPr>
        <w:t>2014–</w:t>
      </w:r>
      <w:r w:rsidRPr="00DE1F14">
        <w:rPr>
          <w:rFonts w:cs="Arial"/>
        </w:rPr>
        <w:t>15</w:t>
      </w:r>
      <w:r w:rsidR="00DC3727" w:rsidRPr="00DE1F14">
        <w:rPr>
          <w:rStyle w:val="FootnoteReference"/>
          <w:rFonts w:cs="Arial"/>
        </w:rPr>
        <w:footnoteReference w:id="3"/>
      </w:r>
      <w:r w:rsidR="007C6673" w:rsidRPr="00DE1F14">
        <w:rPr>
          <w:rFonts w:cs="Arial"/>
        </w:rPr>
        <w:t>, with a</w:t>
      </w:r>
      <w:r w:rsidRPr="00DE1F14">
        <w:rPr>
          <w:rFonts w:cs="Arial"/>
        </w:rPr>
        <w:t>mendme</w:t>
      </w:r>
      <w:r w:rsidR="007C6673" w:rsidRPr="00DE1F14">
        <w:rPr>
          <w:rFonts w:cs="Arial"/>
        </w:rPr>
        <w:t>nts including</w:t>
      </w:r>
      <w:r w:rsidRPr="00DE1F14">
        <w:rPr>
          <w:rFonts w:cs="Arial"/>
        </w:rPr>
        <w:t>:</w:t>
      </w:r>
    </w:p>
    <w:p w14:paraId="02D90CD8" w14:textId="77777777" w:rsidR="00AD0F92" w:rsidRPr="00124637" w:rsidRDefault="00AD0F92" w:rsidP="00AD0F92">
      <w:pPr>
        <w:pStyle w:val="ListBullet"/>
      </w:pPr>
      <w:r w:rsidRPr="00DE1F14">
        <w:t xml:space="preserve">new protections to prevent customers being charged a </w:t>
      </w:r>
      <w:r w:rsidR="007C6673" w:rsidRPr="00DE1F14">
        <w:t>p</w:t>
      </w:r>
      <w:r w:rsidRPr="00DE1F14">
        <w:t>remium</w:t>
      </w:r>
      <w:r w:rsidRPr="00124637">
        <w:t xml:space="preserve"> </w:t>
      </w:r>
      <w:r w:rsidR="007C6673" w:rsidRPr="00124637">
        <w:t xml:space="preserve">fee of more than 25 cents </w:t>
      </w:r>
      <w:r w:rsidRPr="00124637">
        <w:t>to opt</w:t>
      </w:r>
      <w:r w:rsidR="007C6673" w:rsidRPr="00124637">
        <w:t xml:space="preserve"> </w:t>
      </w:r>
      <w:r w:rsidRPr="00124637">
        <w:t>out of marketing messages</w:t>
      </w:r>
    </w:p>
    <w:p w14:paraId="5BCE6BFF" w14:textId="77777777" w:rsidR="00AD0F92" w:rsidRPr="00124637" w:rsidRDefault="00AD0F92" w:rsidP="00AD0F92">
      <w:pPr>
        <w:pStyle w:val="ListBullet"/>
      </w:pPr>
      <w:r w:rsidRPr="00124637">
        <w:lastRenderedPageBreak/>
        <w:t>new obligations that require CSPs and aggregators to provide specific information on the availability of MPS barring when a custo</w:t>
      </w:r>
      <w:r w:rsidR="00CE4DF1" w:rsidRPr="00124637">
        <w:t>mer makes an MPS-</w:t>
      </w:r>
      <w:r w:rsidRPr="00124637">
        <w:t>related inquiry or complaint</w:t>
      </w:r>
    </w:p>
    <w:p w14:paraId="1911F1F4" w14:textId="77777777" w:rsidR="00AD0F92" w:rsidRPr="00124637" w:rsidRDefault="00AD0F92" w:rsidP="00AD0F92">
      <w:pPr>
        <w:pStyle w:val="ListBulletLast"/>
      </w:pPr>
      <w:r w:rsidRPr="00124637">
        <w:t xml:space="preserve">the removal of industry reporting requirements. </w:t>
      </w:r>
    </w:p>
    <w:p w14:paraId="607BDFBA" w14:textId="04B8D668" w:rsidR="00AD0F92" w:rsidRPr="00124637" w:rsidRDefault="00AD0F92" w:rsidP="00AD0F92">
      <w:pPr>
        <w:rPr>
          <w:rFonts w:cs="Arial"/>
        </w:rPr>
      </w:pPr>
      <w:r w:rsidRPr="00124637">
        <w:rPr>
          <w:rFonts w:cs="Arial"/>
        </w:rPr>
        <w:t xml:space="preserve">The number of MPS-related complaints </w:t>
      </w:r>
      <w:r w:rsidR="00CE4DF1" w:rsidRPr="00124637">
        <w:rPr>
          <w:rFonts w:cs="Arial"/>
        </w:rPr>
        <w:t xml:space="preserve">made </w:t>
      </w:r>
      <w:r w:rsidRPr="00124637">
        <w:rPr>
          <w:rFonts w:cs="Arial"/>
        </w:rPr>
        <w:t xml:space="preserve">to the TIO </w:t>
      </w:r>
      <w:r w:rsidR="00CE4DF1" w:rsidRPr="00124637">
        <w:rPr>
          <w:rFonts w:cs="Arial"/>
        </w:rPr>
        <w:t xml:space="preserve">had </w:t>
      </w:r>
      <w:r w:rsidRPr="00124637">
        <w:rPr>
          <w:rFonts w:cs="Arial"/>
        </w:rPr>
        <w:t>remained steady since the last update to the MPS Code in 2014</w:t>
      </w:r>
      <w:r w:rsidR="00CE4DF1" w:rsidRPr="00124637">
        <w:rPr>
          <w:rFonts w:cs="Arial"/>
        </w:rPr>
        <w:t>—</w:t>
      </w:r>
      <w:r w:rsidRPr="00124637">
        <w:rPr>
          <w:rFonts w:cs="Arial"/>
        </w:rPr>
        <w:t>until the March 2015 quarter</w:t>
      </w:r>
      <w:r w:rsidR="00CE4DF1" w:rsidRPr="00124637">
        <w:rPr>
          <w:rFonts w:cs="Arial"/>
        </w:rPr>
        <w:t>, when</w:t>
      </w:r>
      <w:r w:rsidRPr="00124637">
        <w:rPr>
          <w:rFonts w:cs="Arial"/>
        </w:rPr>
        <w:t xml:space="preserve"> complaints spiked sharply. The ACMA has </w:t>
      </w:r>
      <w:r w:rsidR="00CE4DF1" w:rsidRPr="00124637">
        <w:rPr>
          <w:rFonts w:cs="Arial"/>
        </w:rPr>
        <w:t>begun</w:t>
      </w:r>
      <w:r w:rsidRPr="00124637">
        <w:rPr>
          <w:rFonts w:cs="Arial"/>
        </w:rPr>
        <w:t xml:space="preserve"> five preliminary enquiries into providers to identify the reason/s for the increase. Further monitoring of MPS will continue i</w:t>
      </w:r>
      <w:r w:rsidR="00C831B5" w:rsidRPr="00124637">
        <w:rPr>
          <w:rFonts w:cs="Arial"/>
        </w:rPr>
        <w:t>nto the next reporting period.</w:t>
      </w:r>
    </w:p>
    <w:p w14:paraId="0B42C45B" w14:textId="77777777" w:rsidR="00D4593F" w:rsidRPr="00124637" w:rsidRDefault="00B86A4C" w:rsidP="00B86A4C">
      <w:pPr>
        <w:pStyle w:val="Heading2"/>
      </w:pPr>
      <w:bookmarkStart w:id="273" w:name="_Toc433703382"/>
      <w:r w:rsidRPr="00124637">
        <w:t>I</w:t>
      </w:r>
      <w:r w:rsidR="00D4593F" w:rsidRPr="00124637">
        <w:t>nternational mobile roaming sta</w:t>
      </w:r>
      <w:r w:rsidR="00D4593F" w:rsidRPr="00124637">
        <w:rPr>
          <w:rStyle w:val="Heading2Char"/>
        </w:rPr>
        <w:t>n</w:t>
      </w:r>
      <w:r w:rsidR="00D4593F" w:rsidRPr="00124637">
        <w:t>dard</w:t>
      </w:r>
      <w:bookmarkEnd w:id="271"/>
      <w:bookmarkEnd w:id="272"/>
      <w:bookmarkEnd w:id="273"/>
      <w:r w:rsidR="00D4593F" w:rsidRPr="00124637">
        <w:t xml:space="preserve"> </w:t>
      </w:r>
    </w:p>
    <w:p w14:paraId="1B738C1C" w14:textId="77777777" w:rsidR="00AD0F92" w:rsidRPr="00124637" w:rsidRDefault="00AD0F92" w:rsidP="00AD0F92">
      <w:pPr>
        <w:rPr>
          <w:rFonts w:cs="Arial"/>
        </w:rPr>
      </w:pPr>
      <w:bookmarkStart w:id="274" w:name="_Toc274124110"/>
      <w:bookmarkStart w:id="275" w:name="_Toc337727622"/>
      <w:bookmarkStart w:id="276" w:name="_Toc400018588"/>
      <w:bookmarkStart w:id="277" w:name="_Toc419122540"/>
      <w:r w:rsidRPr="00124637">
        <w:rPr>
          <w:rFonts w:cs="Arial"/>
        </w:rPr>
        <w:t xml:space="preserve">The International Mobile Roaming (IMR) Standard requires providers to give consumers information about the cost of roaming when overseas and </w:t>
      </w:r>
      <w:r w:rsidR="00CE4DF1" w:rsidRPr="00124637">
        <w:rPr>
          <w:rFonts w:cs="Arial"/>
        </w:rPr>
        <w:t>enable them</w:t>
      </w:r>
      <w:r w:rsidRPr="00124637">
        <w:rPr>
          <w:rFonts w:cs="Arial"/>
        </w:rPr>
        <w:t xml:space="preserve"> to opt out of roaming services, in order to help minimise the risk and incidence of bill shock. It also requires CSPs to offer their customers spend management tools to help them manage expenditure while travelling.</w:t>
      </w:r>
    </w:p>
    <w:p w14:paraId="3AD2D8BA" w14:textId="77777777" w:rsidR="00AD0F92" w:rsidRPr="00124637" w:rsidRDefault="00AD0F92" w:rsidP="00AD0F92">
      <w:pPr>
        <w:rPr>
          <w:rFonts w:cs="Arial"/>
        </w:rPr>
      </w:pPr>
      <w:r w:rsidRPr="00124637">
        <w:rPr>
          <w:rFonts w:cs="Arial"/>
        </w:rPr>
        <w:t>The ACMA conducted an assessment of the three mobile carriers (Telstra, Optus and Vodafone) in January 2015 and found a high level of compliance by all three providers with the requirements to provide usage alerts as mandated in the IMR Standard. Since the introduction of the IMR Standard there has been a significant drop in complaints to the TIO.</w:t>
      </w:r>
    </w:p>
    <w:p w14:paraId="45D12725" w14:textId="77777777" w:rsidR="00D4593F" w:rsidRPr="00124637" w:rsidRDefault="00D4593F" w:rsidP="00D4593F">
      <w:pPr>
        <w:pStyle w:val="Heading2"/>
      </w:pPr>
      <w:bookmarkStart w:id="278" w:name="_Toc433703383"/>
      <w:r w:rsidRPr="00124637">
        <w:t>Telecommunications Industry Ombudsman</w:t>
      </w:r>
      <w:bookmarkEnd w:id="274"/>
      <w:r w:rsidRPr="00124637">
        <w:t xml:space="preserve"> </w:t>
      </w:r>
      <w:bookmarkEnd w:id="275"/>
      <w:r w:rsidRPr="00124637">
        <w:t>scheme</w:t>
      </w:r>
      <w:bookmarkEnd w:id="276"/>
      <w:bookmarkEnd w:id="277"/>
      <w:bookmarkEnd w:id="278"/>
    </w:p>
    <w:p w14:paraId="03D78C8A" w14:textId="77777777" w:rsidR="00AD0F92" w:rsidRPr="00124637" w:rsidRDefault="00AD0F92" w:rsidP="00AD0F92">
      <w:pPr>
        <w:rPr>
          <w:rFonts w:cs="Arial"/>
        </w:rPr>
      </w:pPr>
      <w:bookmarkStart w:id="279" w:name="_Toc419122541"/>
      <w:r w:rsidRPr="00124637">
        <w:rPr>
          <w:rFonts w:cs="Arial"/>
        </w:rPr>
        <w:t xml:space="preserve">Carriers and eligible CSPs have an obligation under the </w:t>
      </w:r>
      <w:r w:rsidR="00CE4DF1" w:rsidRPr="00124637">
        <w:rPr>
          <w:rFonts w:cs="Arial"/>
          <w:i/>
        </w:rPr>
        <w:t>Telecommunications (Consumer Protection and Service Standards) Act 1999</w:t>
      </w:r>
      <w:r w:rsidR="00CE4DF1" w:rsidRPr="00124637">
        <w:rPr>
          <w:rFonts w:cs="Arial"/>
        </w:rPr>
        <w:t xml:space="preserve"> (</w:t>
      </w:r>
      <w:r w:rsidRPr="00124637">
        <w:rPr>
          <w:rFonts w:cs="Arial"/>
        </w:rPr>
        <w:t>TCPSS Act</w:t>
      </w:r>
      <w:r w:rsidR="00CE4DF1" w:rsidRPr="00124637">
        <w:rPr>
          <w:rFonts w:cs="Arial"/>
        </w:rPr>
        <w:t>)</w:t>
      </w:r>
      <w:r w:rsidRPr="00124637">
        <w:rPr>
          <w:rFonts w:cs="Arial"/>
        </w:rPr>
        <w:t xml:space="preserve"> to join the TIO scheme. The scheme provides an alternative dispute resolution service for small-business and residential customers with unresolved complaints about their telephone or internet services. </w:t>
      </w:r>
    </w:p>
    <w:p w14:paraId="7F37324A" w14:textId="77777777" w:rsidR="00AD0F92" w:rsidRPr="00124637" w:rsidRDefault="00AD0F92" w:rsidP="00AD0F92">
      <w:pPr>
        <w:rPr>
          <w:rFonts w:cs="Arial"/>
        </w:rPr>
      </w:pPr>
      <w:r w:rsidRPr="00124637">
        <w:rPr>
          <w:rFonts w:cs="Arial"/>
        </w:rPr>
        <w:t>The TIO may investigate, make determinations and give directions on complaints about carriage services by end users of those services. The TIO has the authority to make binding determinations up to the value of $30,000 and recommendations up to the value of $85,000.</w:t>
      </w:r>
    </w:p>
    <w:p w14:paraId="03914EE0" w14:textId="77777777" w:rsidR="00D4593F" w:rsidRPr="00124637" w:rsidRDefault="00D4593F" w:rsidP="00D4593F">
      <w:pPr>
        <w:pStyle w:val="Heading3"/>
      </w:pPr>
      <w:bookmarkStart w:id="280" w:name="_Toc433703384"/>
      <w:r w:rsidRPr="00124637">
        <w:t>TIO scheme membership</w:t>
      </w:r>
      <w:bookmarkEnd w:id="279"/>
      <w:bookmarkEnd w:id="280"/>
    </w:p>
    <w:p w14:paraId="788BA2F1" w14:textId="77777777" w:rsidR="00AD0F92" w:rsidRPr="00124637" w:rsidRDefault="00AD0F92" w:rsidP="00AD0F92">
      <w:pPr>
        <w:rPr>
          <w:rFonts w:cs="Arial"/>
        </w:rPr>
      </w:pPr>
      <w:r w:rsidRPr="00124637">
        <w:rPr>
          <w:rFonts w:cs="Arial"/>
        </w:rPr>
        <w:t>From 1 July 2014 to 30 June 2015, the TIO referred 21 companies that had not joined the TIO scheme to the ACMA, resulting in the ACMA initiating seven investigations. Additionally, five referrals from the TI</w:t>
      </w:r>
      <w:r w:rsidR="00E628C6" w:rsidRPr="00124637">
        <w:rPr>
          <w:rFonts w:cs="Arial"/>
        </w:rPr>
        <w:t>O sent in 2013–</w:t>
      </w:r>
      <w:r w:rsidRPr="00124637">
        <w:rPr>
          <w:rFonts w:cs="Arial"/>
        </w:rPr>
        <w:t xml:space="preserve">14 resulted in the ACMA initiating </w:t>
      </w:r>
      <w:r w:rsidR="00E628C6" w:rsidRPr="00124637">
        <w:rPr>
          <w:rFonts w:cs="Arial"/>
        </w:rPr>
        <w:t xml:space="preserve">another </w:t>
      </w:r>
      <w:r w:rsidR="00C831B5" w:rsidRPr="00124637">
        <w:rPr>
          <w:rFonts w:cs="Arial"/>
        </w:rPr>
        <w:t xml:space="preserve">four investigations this year. </w:t>
      </w:r>
      <w:r w:rsidRPr="00124637">
        <w:rPr>
          <w:rFonts w:cs="Arial"/>
        </w:rPr>
        <w:t xml:space="preserve">At 30 June 2015, 17 of the above referrals (resulting in either preliminary enquiries or investigations) led to providers joining the TIO scheme. Further detail is provided at Appendix </w:t>
      </w:r>
      <w:r w:rsidR="004E733F" w:rsidRPr="00124637">
        <w:rPr>
          <w:rFonts w:cs="Arial"/>
        </w:rPr>
        <w:t>7</w:t>
      </w:r>
      <w:r w:rsidRPr="00124637">
        <w:rPr>
          <w:rFonts w:cs="Arial"/>
        </w:rPr>
        <w:t>.</w:t>
      </w:r>
    </w:p>
    <w:p w14:paraId="1FF6E0E7" w14:textId="77777777" w:rsidR="00AD0F92" w:rsidRPr="00124637" w:rsidRDefault="00AD0F92" w:rsidP="00AD0F92">
      <w:r w:rsidRPr="00124637">
        <w:rPr>
          <w:rFonts w:cs="Arial"/>
        </w:rPr>
        <w:t xml:space="preserve">Investigations into TIO scheme membership led to four different providers being issued </w:t>
      </w:r>
      <w:r w:rsidR="00E628C6" w:rsidRPr="00124637">
        <w:rPr>
          <w:rFonts w:cs="Arial"/>
        </w:rPr>
        <w:t>d</w:t>
      </w:r>
      <w:r w:rsidRPr="00124637">
        <w:rPr>
          <w:rFonts w:cs="Arial"/>
        </w:rPr>
        <w:t xml:space="preserve">irections to comply with section 128 </w:t>
      </w:r>
      <w:r w:rsidR="00E628C6" w:rsidRPr="00124637">
        <w:rPr>
          <w:rFonts w:cs="Arial"/>
        </w:rPr>
        <w:t xml:space="preserve">of </w:t>
      </w:r>
      <w:r w:rsidRPr="00124637">
        <w:rPr>
          <w:rFonts w:cs="Arial"/>
        </w:rPr>
        <w:t xml:space="preserve">the TCPSS Act. Two providers subsequently joined the TIO scheme, complying with the terms of the ACMA </w:t>
      </w:r>
      <w:r w:rsidR="00E628C6" w:rsidRPr="00124637">
        <w:rPr>
          <w:rFonts w:cs="Arial"/>
        </w:rPr>
        <w:t>d</w:t>
      </w:r>
      <w:r w:rsidRPr="00124637">
        <w:rPr>
          <w:rFonts w:cs="Arial"/>
        </w:rPr>
        <w:t xml:space="preserve">irections. </w:t>
      </w:r>
    </w:p>
    <w:p w14:paraId="5D1EC061" w14:textId="77777777" w:rsidR="00D4593F" w:rsidRPr="00124637" w:rsidRDefault="006B36D8" w:rsidP="00B86A4C">
      <w:pPr>
        <w:pStyle w:val="Heading3"/>
      </w:pPr>
      <w:bookmarkStart w:id="281" w:name="_Toc433703385"/>
      <w:r w:rsidRPr="00124637">
        <w:t>TIO scheme investigation</w:t>
      </w:r>
      <w:bookmarkEnd w:id="281"/>
    </w:p>
    <w:p w14:paraId="7FC7277F" w14:textId="77777777" w:rsidR="00AD0F92" w:rsidRPr="00124637" w:rsidRDefault="00AD0F92" w:rsidP="00AD0F92">
      <w:pPr>
        <w:rPr>
          <w:rFonts w:cs="Arial"/>
        </w:rPr>
      </w:pPr>
      <w:r w:rsidRPr="00124637">
        <w:rPr>
          <w:rFonts w:cs="Arial"/>
        </w:rPr>
        <w:t>In June 2014, the TIO referred a provider</w:t>
      </w:r>
      <w:r w:rsidR="00E628C6" w:rsidRPr="00124637">
        <w:rPr>
          <w:rFonts w:cs="Arial"/>
        </w:rPr>
        <w:t>,</w:t>
      </w:r>
      <w:r w:rsidRPr="00124637">
        <w:rPr>
          <w:rFonts w:cs="Arial"/>
        </w:rPr>
        <w:t xml:space="preserve"> </w:t>
      </w:r>
      <w:r w:rsidR="00E628C6" w:rsidRPr="00124637">
        <w:rPr>
          <w:rFonts w:cs="Arial"/>
        </w:rPr>
        <w:t xml:space="preserve">Planet ISP Pty Ltd, </w:t>
      </w:r>
      <w:r w:rsidRPr="00124637">
        <w:rPr>
          <w:rFonts w:cs="Arial"/>
        </w:rPr>
        <w:t>to the ACMA for fail</w:t>
      </w:r>
      <w:r w:rsidR="00E628C6" w:rsidRPr="00124637">
        <w:rPr>
          <w:rFonts w:cs="Arial"/>
        </w:rPr>
        <w:t>ing</w:t>
      </w:r>
      <w:r w:rsidRPr="00124637">
        <w:rPr>
          <w:rFonts w:cs="Arial"/>
        </w:rPr>
        <w:t xml:space="preserve"> to comply with the TIO scheme under section 132 of the TCPSS Act.</w:t>
      </w:r>
    </w:p>
    <w:p w14:paraId="1643204F" w14:textId="77777777" w:rsidR="00AD0F92" w:rsidRPr="00124637" w:rsidRDefault="00AD0F92" w:rsidP="00AD0F92">
      <w:pPr>
        <w:rPr>
          <w:rFonts w:cs="Arial"/>
        </w:rPr>
      </w:pPr>
      <w:r w:rsidRPr="00124637">
        <w:rPr>
          <w:rFonts w:cs="Arial"/>
        </w:rPr>
        <w:lastRenderedPageBreak/>
        <w:t>The TIO made a binding determination requiring that the provider refund a customer the sum of $5</w:t>
      </w:r>
      <w:r w:rsidR="00E628C6" w:rsidRPr="00124637">
        <w:rPr>
          <w:rFonts w:cs="Arial"/>
        </w:rPr>
        <w:t>,</w:t>
      </w:r>
      <w:r w:rsidRPr="00124637">
        <w:rPr>
          <w:rFonts w:cs="Arial"/>
        </w:rPr>
        <w:t xml:space="preserve">115.26 for international call charges arising from unauthorised calls and </w:t>
      </w:r>
      <w:r w:rsidR="00E628C6" w:rsidRPr="00124637">
        <w:rPr>
          <w:rFonts w:cs="Arial"/>
        </w:rPr>
        <w:t>for failing</w:t>
      </w:r>
      <w:r w:rsidRPr="00124637">
        <w:rPr>
          <w:rFonts w:cs="Arial"/>
        </w:rPr>
        <w:t xml:space="preserve"> to act on a customer’s request to suspend the service.</w:t>
      </w:r>
    </w:p>
    <w:p w14:paraId="283B4334" w14:textId="77777777" w:rsidR="00AD0F92" w:rsidRPr="00124637" w:rsidRDefault="00AD0F92" w:rsidP="00AD0F92">
      <w:pPr>
        <w:rPr>
          <w:rFonts w:cs="Arial"/>
        </w:rPr>
      </w:pPr>
      <w:r w:rsidRPr="00124637">
        <w:rPr>
          <w:rFonts w:cs="Arial"/>
        </w:rPr>
        <w:t>Following its investigati</w:t>
      </w:r>
      <w:r w:rsidR="00E628C6" w:rsidRPr="00124637">
        <w:rPr>
          <w:rFonts w:cs="Arial"/>
        </w:rPr>
        <w:t>on, the ACMA issued a remedial d</w:t>
      </w:r>
      <w:r w:rsidRPr="00124637">
        <w:rPr>
          <w:rFonts w:cs="Arial"/>
        </w:rPr>
        <w:t>irection in December 2014 and indicated its intention to star</w:t>
      </w:r>
      <w:r w:rsidR="00E628C6" w:rsidRPr="00124637">
        <w:rPr>
          <w:rFonts w:cs="Arial"/>
        </w:rPr>
        <w:t>t legal proceedings if the TIO d</w:t>
      </w:r>
      <w:r w:rsidRPr="00124637">
        <w:rPr>
          <w:rFonts w:cs="Arial"/>
        </w:rPr>
        <w:t xml:space="preserve">etermination was not complied with. In April 2015, the provider </w:t>
      </w:r>
      <w:r w:rsidR="00E628C6" w:rsidRPr="00124637">
        <w:rPr>
          <w:rFonts w:cs="Arial"/>
        </w:rPr>
        <w:t>refunded the amount in the TIO d</w:t>
      </w:r>
      <w:r w:rsidRPr="00124637">
        <w:rPr>
          <w:rFonts w:cs="Arial"/>
        </w:rPr>
        <w:t xml:space="preserve">etermination to the customer to </w:t>
      </w:r>
      <w:r w:rsidR="00E628C6" w:rsidRPr="00124637">
        <w:rPr>
          <w:rFonts w:cs="Arial"/>
        </w:rPr>
        <w:t>meet the terms of the remedial d</w:t>
      </w:r>
      <w:r w:rsidRPr="00124637">
        <w:rPr>
          <w:rFonts w:cs="Arial"/>
        </w:rPr>
        <w:t xml:space="preserve">irection. </w:t>
      </w:r>
    </w:p>
    <w:p w14:paraId="048DE6D4" w14:textId="77777777" w:rsidR="00D4593F" w:rsidRPr="00124637" w:rsidRDefault="00D4593F" w:rsidP="00B86A4C">
      <w:pPr>
        <w:pStyle w:val="Heading3"/>
      </w:pPr>
      <w:bookmarkStart w:id="282" w:name="_Toc433703386"/>
      <w:r w:rsidRPr="00124637">
        <w:t>Exemptions from the TIO scheme</w:t>
      </w:r>
      <w:bookmarkEnd w:id="282"/>
    </w:p>
    <w:p w14:paraId="52DD0AB0" w14:textId="77777777" w:rsidR="00AD0F92" w:rsidRPr="00124637" w:rsidRDefault="00AD0F92" w:rsidP="00AD0F92">
      <w:r w:rsidRPr="00124637">
        <w:t>Section 129 of the TCPSS Act allows the ACMA to declare a carrier or eligible CSP exempt from the TIO scheme.</w:t>
      </w:r>
    </w:p>
    <w:p w14:paraId="04EFDA35" w14:textId="77777777" w:rsidR="00AD0F92" w:rsidRPr="00124637" w:rsidRDefault="00AD0F92" w:rsidP="00AD0F92">
      <w:pPr>
        <w:rPr>
          <w:b/>
          <w:szCs w:val="20"/>
        </w:rPr>
      </w:pPr>
      <w:r w:rsidRPr="00124637">
        <w:t>In 2014–15, the ACMA granted four exemptions from the obligation to join the TIO scheme. A register of providers granted exemptions is available on the ACMA website.</w:t>
      </w:r>
    </w:p>
    <w:p w14:paraId="0092D5AF" w14:textId="77777777" w:rsidR="00D4593F" w:rsidRPr="00124637" w:rsidRDefault="00D4593F" w:rsidP="00B86A4C">
      <w:pPr>
        <w:pStyle w:val="Heading2"/>
      </w:pPr>
      <w:bookmarkStart w:id="283" w:name="_Toc433703387"/>
      <w:r w:rsidRPr="00124637">
        <w:t>Copyright Notice Scheme Code</w:t>
      </w:r>
      <w:bookmarkEnd w:id="283"/>
    </w:p>
    <w:p w14:paraId="1C1C576B" w14:textId="77777777" w:rsidR="00953EED" w:rsidRPr="00124637" w:rsidRDefault="00AD0F92" w:rsidP="00953EED">
      <w:pPr>
        <w:spacing w:after="80"/>
      </w:pPr>
      <w:bookmarkStart w:id="284" w:name="_Toc400018589"/>
      <w:bookmarkStart w:id="285" w:name="_Toc419122545"/>
      <w:r w:rsidRPr="00124637">
        <w:t>Online copyright infringement presents significan</w:t>
      </w:r>
      <w:r w:rsidR="00953EED" w:rsidRPr="00124637">
        <w:t>t challenges for content rights-</w:t>
      </w:r>
      <w:r w:rsidRPr="00124637">
        <w:t xml:space="preserve">holders and ISPs. </w:t>
      </w:r>
      <w:r w:rsidR="00953EED" w:rsidRPr="00124637">
        <w:t>In response to a request from the minister and the Attorney-General, Communications Alliance developed a</w:t>
      </w:r>
      <w:r w:rsidRPr="00124637">
        <w:t xml:space="preserve"> draft Copyright Notice Scheme (CNS) Code. The CNS Code proposes an education and warning scheme</w:t>
      </w:r>
      <w:r w:rsidR="00953EED" w:rsidRPr="00124637">
        <w:t>,</w:t>
      </w:r>
      <w:r w:rsidRPr="00124637">
        <w:t xml:space="preserve"> where</w:t>
      </w:r>
      <w:r w:rsidR="00953EED" w:rsidRPr="00124637">
        <w:t>by:</w:t>
      </w:r>
    </w:p>
    <w:p w14:paraId="06526A3C" w14:textId="77777777" w:rsidR="00953EED" w:rsidRPr="00124637" w:rsidRDefault="00953EED" w:rsidP="00953EED">
      <w:pPr>
        <w:pStyle w:val="ListBullet"/>
      </w:pPr>
      <w:r w:rsidRPr="00124637">
        <w:t>Rights-h</w:t>
      </w:r>
      <w:r w:rsidR="00AD0F92" w:rsidRPr="00124637">
        <w:t>olders will provide ISPs with the IP addresses of alleged infringers</w:t>
      </w:r>
      <w:r w:rsidRPr="00124637">
        <w:t>.</w:t>
      </w:r>
    </w:p>
    <w:p w14:paraId="22C22DEB" w14:textId="2D64A33C" w:rsidR="00953EED" w:rsidRPr="00DE1F14" w:rsidRDefault="00AD0F92" w:rsidP="00953EED">
      <w:pPr>
        <w:pStyle w:val="ListBullet"/>
      </w:pPr>
      <w:r w:rsidRPr="00DE1F14">
        <w:t>ISP</w:t>
      </w:r>
      <w:r w:rsidR="00953EED" w:rsidRPr="00DE1F14">
        <w:t>s</w:t>
      </w:r>
      <w:r w:rsidRPr="00DE1F14">
        <w:t xml:space="preserve"> will match t</w:t>
      </w:r>
      <w:r w:rsidR="00953EED" w:rsidRPr="00DE1F14">
        <w:t>hose IP addresses to an account-</w:t>
      </w:r>
      <w:r w:rsidRPr="00DE1F14">
        <w:t>holder and then issue up t</w:t>
      </w:r>
      <w:r w:rsidR="00953EED" w:rsidRPr="00DE1F14">
        <w:t>o three letters to that account-</w:t>
      </w:r>
      <w:r w:rsidRPr="00DE1F14">
        <w:t xml:space="preserve">holder advising of </w:t>
      </w:r>
      <w:r w:rsidR="00B00C12" w:rsidRPr="00DE1F14">
        <w:t xml:space="preserve">legitimate </w:t>
      </w:r>
      <w:r w:rsidRPr="00DE1F14">
        <w:t xml:space="preserve">content avenues and the implications of continued </w:t>
      </w:r>
      <w:r w:rsidR="00B00C12" w:rsidRPr="00DE1F14">
        <w:t xml:space="preserve">infringing </w:t>
      </w:r>
      <w:r w:rsidRPr="00DE1F14">
        <w:t xml:space="preserve">activity. </w:t>
      </w:r>
    </w:p>
    <w:p w14:paraId="0E684F5A" w14:textId="20C11F37" w:rsidR="00AD0F92" w:rsidRPr="00DE1F14" w:rsidRDefault="00AD0F92" w:rsidP="00B00C12">
      <w:pPr>
        <w:pStyle w:val="ListBulletLast"/>
      </w:pPr>
      <w:r w:rsidRPr="00DE1F14">
        <w:t xml:space="preserve">After three letters, </w:t>
      </w:r>
      <w:r w:rsidR="00B00C12" w:rsidRPr="00DE1F14">
        <w:t>a ‘facilitated preliminary discovery’ process can be initiated, through which ISPs can assist rights-holders who may decide to take legal action against persistent infringers.</w:t>
      </w:r>
    </w:p>
    <w:p w14:paraId="52B8E9A7" w14:textId="099429CD" w:rsidR="007D4C6D" w:rsidRPr="00124637" w:rsidRDefault="007D4C6D" w:rsidP="007D4C6D">
      <w:r w:rsidRPr="00124637">
        <w:t xml:space="preserve">On 8 April 2015, Communications Alliance submitted the CNS Code to the ACMA but noted that several issues needed to be resolved before the code could be considered for registration under Part 6 of the Telecommunications Act. As at 30 June 2015, these issues remain unresolved, preventing the ACMA from considering it for registration. </w:t>
      </w:r>
    </w:p>
    <w:p w14:paraId="1AE88579" w14:textId="77777777" w:rsidR="00D4593F" w:rsidRPr="00124637" w:rsidRDefault="00D4593F" w:rsidP="00D4593F">
      <w:pPr>
        <w:pStyle w:val="Heading2"/>
      </w:pPr>
      <w:bookmarkStart w:id="286" w:name="_Toc433703388"/>
      <w:r w:rsidRPr="00124637">
        <w:t>Universal service obligation</w:t>
      </w:r>
      <w:bookmarkEnd w:id="284"/>
      <w:bookmarkEnd w:id="285"/>
      <w:bookmarkEnd w:id="286"/>
    </w:p>
    <w:p w14:paraId="65552E00" w14:textId="77777777" w:rsidR="00D4593F" w:rsidRPr="00124637" w:rsidRDefault="00D4593F" w:rsidP="00D4593F">
      <w:pPr>
        <w:rPr>
          <w:rFonts w:cs="Arial"/>
        </w:rPr>
      </w:pPr>
      <w:r w:rsidRPr="00124637">
        <w:rPr>
          <w:rFonts w:cs="Arial"/>
        </w:rPr>
        <w:t>Part 2 of the TCPSS Act establishes a universal service regime administered by the ACMA, which includes the universal service obligation (USO).</w:t>
      </w:r>
    </w:p>
    <w:p w14:paraId="0FD294F0" w14:textId="77777777" w:rsidR="00D4593F" w:rsidRPr="00124637" w:rsidRDefault="00D4593F" w:rsidP="00D4593F">
      <w:pPr>
        <w:rPr>
          <w:rFonts w:cs="Arial"/>
        </w:rPr>
      </w:pPr>
      <w:r w:rsidRPr="00124637">
        <w:rPr>
          <w:rFonts w:cs="Arial"/>
        </w:rPr>
        <w:t xml:space="preserve">The ACMA monitors several aspects of compliance with the USO regime through the Customer Service Guarantee and Payphone Performance Benchmarks, and reports on these matters in its annual communications report (see also </w:t>
      </w:r>
      <w:r w:rsidRPr="00124637">
        <w:rPr>
          <w:rFonts w:cs="Arial"/>
          <w:i/>
        </w:rPr>
        <w:t>Payphone performance</w:t>
      </w:r>
      <w:r w:rsidRPr="00124637">
        <w:rPr>
          <w:rFonts w:cs="Arial"/>
        </w:rPr>
        <w:t xml:space="preserve"> and </w:t>
      </w:r>
      <w:r w:rsidRPr="00124637">
        <w:rPr>
          <w:rFonts w:cs="Arial"/>
          <w:i/>
        </w:rPr>
        <w:t>Customer Service Guarantee</w:t>
      </w:r>
      <w:r w:rsidRPr="00124637">
        <w:rPr>
          <w:rFonts w:cs="Arial"/>
        </w:rPr>
        <w:t xml:space="preserve"> below). TUSMA also manages contracts with Telstra for the provision of standard telephone services and payphones under the USO. From 1 July 2015, TUSMA’s functions are to be performed by </w:t>
      </w:r>
      <w:r w:rsidR="00953EED" w:rsidRPr="00124637">
        <w:rPr>
          <w:rFonts w:cs="Arial"/>
        </w:rPr>
        <w:t>DoC</w:t>
      </w:r>
      <w:r w:rsidRPr="00124637">
        <w:rPr>
          <w:rFonts w:cs="Arial"/>
        </w:rPr>
        <w:t xml:space="preserve">. </w:t>
      </w:r>
    </w:p>
    <w:p w14:paraId="1CA873FC" w14:textId="77777777" w:rsidR="00D4593F" w:rsidRPr="00124637" w:rsidRDefault="00D4593F" w:rsidP="00D4593F">
      <w:pPr>
        <w:rPr>
          <w:rFonts w:cs="Arial"/>
        </w:rPr>
      </w:pPr>
      <w:r w:rsidRPr="00124637">
        <w:rPr>
          <w:rFonts w:cs="Arial"/>
        </w:rPr>
        <w:t xml:space="preserve">Telstra continues to be the only universal service provider and is responsible for all areas in Australia. </w:t>
      </w:r>
    </w:p>
    <w:p w14:paraId="05765840" w14:textId="77777777" w:rsidR="00D4593F" w:rsidRPr="00124637" w:rsidRDefault="00D4593F" w:rsidP="007D4C6D">
      <w:pPr>
        <w:pStyle w:val="Heading2"/>
      </w:pPr>
      <w:bookmarkStart w:id="287" w:name="_Toc337727624"/>
      <w:bookmarkStart w:id="288" w:name="_Toc400018590"/>
      <w:bookmarkStart w:id="289" w:name="_Toc419122546"/>
      <w:bookmarkStart w:id="290" w:name="_Toc433703389"/>
      <w:r w:rsidRPr="00124637">
        <w:t>Payphone performance</w:t>
      </w:r>
      <w:bookmarkEnd w:id="287"/>
      <w:bookmarkEnd w:id="288"/>
      <w:bookmarkEnd w:id="289"/>
      <w:bookmarkEnd w:id="290"/>
    </w:p>
    <w:p w14:paraId="28245097" w14:textId="77777777" w:rsidR="00D4593F" w:rsidRPr="00124637" w:rsidRDefault="00D4593F" w:rsidP="00B86A4C">
      <w:r w:rsidRPr="00124637">
        <w:t xml:space="preserve">In October 2014, the ACMA completed its assessment of Telstra’s compliance against the Telecommunications Universal Service Obligation (Payphone Performance Benchmarks) </w:t>
      </w:r>
      <w:r w:rsidR="007D4C6D" w:rsidRPr="00124637">
        <w:t xml:space="preserve">Instrument </w:t>
      </w:r>
      <w:r w:rsidRPr="00124637">
        <w:t>(No. 1) 2011 for the period 1 July 2013 to 30 June 2014. The ACMA determined that Telstra met the required benchmarks.</w:t>
      </w:r>
    </w:p>
    <w:p w14:paraId="14347352" w14:textId="77777777" w:rsidR="00D4593F" w:rsidRPr="00124637" w:rsidRDefault="00D4593F" w:rsidP="00B86A4C">
      <w:r w:rsidRPr="00124637">
        <w:lastRenderedPageBreak/>
        <w:t xml:space="preserve">In 2014–15, the ACMA received one complaint on the relocation of a payphone. The ACMA finalised </w:t>
      </w:r>
      <w:r w:rsidR="007D4C6D" w:rsidRPr="00124637">
        <w:t>the matter</w:t>
      </w:r>
      <w:r w:rsidRPr="00124637">
        <w:t xml:space="preserve"> within the reporting period and found that Telstra had complied with its Standard Marketing Plan and other agree</w:t>
      </w:r>
      <w:r w:rsidR="00B86A4C" w:rsidRPr="00124637">
        <w:t xml:space="preserve">d processes. </w:t>
      </w:r>
    </w:p>
    <w:p w14:paraId="3B38C8B0" w14:textId="77777777" w:rsidR="00D4593F" w:rsidRPr="00124637" w:rsidRDefault="00D4593F" w:rsidP="00D4593F">
      <w:pPr>
        <w:pStyle w:val="Heading2"/>
      </w:pPr>
      <w:bookmarkStart w:id="291" w:name="_Toc337727625"/>
      <w:bookmarkStart w:id="292" w:name="_Toc400018591"/>
      <w:bookmarkStart w:id="293" w:name="_Toc419122547"/>
      <w:bookmarkStart w:id="294" w:name="_Toc433703390"/>
      <w:r w:rsidRPr="00124637">
        <w:t>Customer Service Guarantee</w:t>
      </w:r>
      <w:bookmarkEnd w:id="291"/>
      <w:bookmarkEnd w:id="292"/>
      <w:bookmarkEnd w:id="293"/>
      <w:bookmarkEnd w:id="294"/>
    </w:p>
    <w:p w14:paraId="0C77CEC0" w14:textId="77777777" w:rsidR="00AD0F92" w:rsidRPr="00124637" w:rsidRDefault="00AD0F92" w:rsidP="00421DD0">
      <w:pPr>
        <w:rPr>
          <w:rFonts w:cs="Arial"/>
        </w:rPr>
      </w:pPr>
      <w:r w:rsidRPr="00124637">
        <w:rPr>
          <w:rFonts w:cs="Arial"/>
        </w:rPr>
        <w:t xml:space="preserve">In October 2014, the ACMA completed its assessment of the compliance of qualifying CSPs against the Telecommunications (Customer Service Guarantee – Retail Performance Benchmarks) Instrument (No. 1) 2011 and the Telecommunications (Customer Service Guarantee) Record-Keeping Rules 2011. The benchmarks and record-keeping rules applied to Telstra, Optus, iiNet, Primus and Dodo for the 2013–14 period. </w:t>
      </w:r>
      <w:r w:rsidR="00091A7D" w:rsidRPr="00124637">
        <w:rPr>
          <w:rFonts w:cs="Arial"/>
        </w:rPr>
        <w:t>All these providers</w:t>
      </w:r>
      <w:r w:rsidRPr="00124637">
        <w:rPr>
          <w:rFonts w:cs="Arial"/>
        </w:rPr>
        <w:t xml:space="preserve"> me</w:t>
      </w:r>
      <w:r w:rsidR="007D4C6D" w:rsidRPr="00124637">
        <w:rPr>
          <w:rFonts w:cs="Arial"/>
        </w:rPr>
        <w:t>t all relevant benchmarks in that</w:t>
      </w:r>
      <w:r w:rsidRPr="00124637">
        <w:rPr>
          <w:rFonts w:cs="Arial"/>
        </w:rPr>
        <w:t xml:space="preserve"> reporting period. </w:t>
      </w:r>
    </w:p>
    <w:p w14:paraId="6B4341D0" w14:textId="77777777" w:rsidR="00AD0F92" w:rsidRPr="00124637" w:rsidRDefault="00AD0F92" w:rsidP="00AD0F92">
      <w:pPr>
        <w:rPr>
          <w:rFonts w:cs="Arial"/>
        </w:rPr>
      </w:pPr>
      <w:r w:rsidRPr="00124637">
        <w:rPr>
          <w:rFonts w:cs="Arial"/>
        </w:rPr>
        <w:t xml:space="preserve">The ACMA also receives notification of exemptions </w:t>
      </w:r>
      <w:r w:rsidR="007D4C6D" w:rsidRPr="00124637">
        <w:rPr>
          <w:rFonts w:cs="Arial"/>
        </w:rPr>
        <w:t xml:space="preserve">declared </w:t>
      </w:r>
      <w:r w:rsidRPr="00124637">
        <w:rPr>
          <w:rFonts w:cs="Arial"/>
        </w:rPr>
        <w:t>by CSPs for mass service disruptions and monitors this information to determine that the requirements for claiming exemptions have been met. The number of mass service disruption notices (not including extensions) received by the ACMA from carriers/CSPs increased from 234 in 2013–14 to 339 in 2014–15 (see Table </w:t>
      </w:r>
      <w:r w:rsidR="00091A7D" w:rsidRPr="00124637">
        <w:rPr>
          <w:rFonts w:cs="Arial"/>
        </w:rPr>
        <w:t>23</w:t>
      </w:r>
      <w:r w:rsidRPr="00124637">
        <w:rPr>
          <w:rFonts w:cs="Arial"/>
        </w:rPr>
        <w:t>). The impact of each exemption varies in the number of services affected and the duration.</w:t>
      </w:r>
    </w:p>
    <w:p w14:paraId="0E40ACE5" w14:textId="77777777" w:rsidR="00BE3117" w:rsidRPr="00124637" w:rsidRDefault="00BE3117" w:rsidP="00BE3117">
      <w:pPr>
        <w:pStyle w:val="Caption"/>
        <w:spacing w:after="120"/>
        <w:rPr>
          <w:rFonts w:cs="Arial"/>
          <w:color w:val="auto"/>
        </w:rPr>
      </w:pPr>
      <w:r w:rsidRPr="00124637">
        <w:rPr>
          <w:color w:val="auto"/>
        </w:rPr>
        <w:t>Mass service disruption notices, by carrier/CSP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2835"/>
      </w:tblGrid>
      <w:tr w:rsidR="00BE3117" w:rsidRPr="00D8068E" w14:paraId="073825E5" w14:textId="77777777" w:rsidTr="00800C4D">
        <w:trPr>
          <w:cantSplit/>
          <w:trHeight w:val="274"/>
        </w:trPr>
        <w:tc>
          <w:tcPr>
            <w:tcW w:w="3228" w:type="dxa"/>
            <w:shd w:val="clear" w:color="auto" w:fill="404040" w:themeFill="text1" w:themeFillTint="BF"/>
            <w:tcMar>
              <w:top w:w="57" w:type="dxa"/>
              <w:left w:w="57" w:type="dxa"/>
              <w:bottom w:w="57" w:type="dxa"/>
              <w:right w:w="57" w:type="dxa"/>
            </w:tcMar>
          </w:tcPr>
          <w:p w14:paraId="6235890F" w14:textId="77777777" w:rsidR="00BE3117" w:rsidRPr="00BE3117" w:rsidRDefault="00BE3117" w:rsidP="00800C4D">
            <w:pPr>
              <w:pStyle w:val="TableHeading"/>
              <w:keepNext/>
              <w:rPr>
                <w:rFonts w:cs="Arial"/>
                <w:color w:val="FFFFFF" w:themeColor="background1"/>
              </w:rPr>
            </w:pPr>
            <w:r w:rsidRPr="00BE3117">
              <w:rPr>
                <w:rFonts w:cs="Arial"/>
                <w:color w:val="FFFFFF" w:themeColor="background1"/>
              </w:rPr>
              <w:t>Carrier</w:t>
            </w:r>
          </w:p>
        </w:tc>
        <w:tc>
          <w:tcPr>
            <w:tcW w:w="2835" w:type="dxa"/>
            <w:shd w:val="clear" w:color="auto" w:fill="404040" w:themeFill="text1" w:themeFillTint="BF"/>
            <w:tcMar>
              <w:top w:w="57" w:type="dxa"/>
              <w:left w:w="57" w:type="dxa"/>
              <w:bottom w:w="57" w:type="dxa"/>
              <w:right w:w="57" w:type="dxa"/>
            </w:tcMar>
          </w:tcPr>
          <w:p w14:paraId="3AD7E34F" w14:textId="77777777" w:rsidR="00BE3117" w:rsidRPr="00BE3117" w:rsidRDefault="00BE3117" w:rsidP="00091A7D">
            <w:pPr>
              <w:pStyle w:val="TableHeading"/>
              <w:keepNext/>
              <w:jc w:val="right"/>
              <w:rPr>
                <w:rFonts w:cs="Arial"/>
                <w:color w:val="FFFFFF" w:themeColor="background1"/>
              </w:rPr>
            </w:pPr>
            <w:r w:rsidRPr="00BE3117">
              <w:rPr>
                <w:rFonts w:cs="Arial"/>
                <w:color w:val="FFFFFF" w:themeColor="background1"/>
              </w:rPr>
              <w:t>No. of notices</w:t>
            </w:r>
          </w:p>
        </w:tc>
      </w:tr>
      <w:tr w:rsidR="00124637" w:rsidRPr="00124637" w14:paraId="1F58ECD6" w14:textId="77777777" w:rsidTr="00800C4D">
        <w:trPr>
          <w:cantSplit/>
        </w:trPr>
        <w:tc>
          <w:tcPr>
            <w:tcW w:w="3228" w:type="dxa"/>
            <w:tcMar>
              <w:top w:w="57" w:type="dxa"/>
              <w:left w:w="57" w:type="dxa"/>
              <w:bottom w:w="57" w:type="dxa"/>
              <w:right w:w="57" w:type="dxa"/>
            </w:tcMar>
          </w:tcPr>
          <w:p w14:paraId="10126DA7" w14:textId="77777777" w:rsidR="00BE3117" w:rsidRPr="00124637" w:rsidRDefault="00BE3117" w:rsidP="00800C4D">
            <w:pPr>
              <w:pStyle w:val="TableBody"/>
            </w:pPr>
            <w:r w:rsidRPr="00124637">
              <w:t>Telstra</w:t>
            </w:r>
          </w:p>
        </w:tc>
        <w:tc>
          <w:tcPr>
            <w:tcW w:w="2835" w:type="dxa"/>
            <w:tcMar>
              <w:top w:w="57" w:type="dxa"/>
              <w:left w:w="57" w:type="dxa"/>
              <w:bottom w:w="57" w:type="dxa"/>
              <w:right w:w="57" w:type="dxa"/>
            </w:tcMar>
          </w:tcPr>
          <w:p w14:paraId="2E0560A2" w14:textId="77777777" w:rsidR="00BE3117" w:rsidRPr="00124637" w:rsidRDefault="00BE3117" w:rsidP="00091A7D">
            <w:pPr>
              <w:pStyle w:val="TableBody"/>
              <w:jc w:val="right"/>
            </w:pPr>
            <w:r w:rsidRPr="00124637">
              <w:t>80</w:t>
            </w:r>
          </w:p>
        </w:tc>
      </w:tr>
      <w:tr w:rsidR="00124637" w:rsidRPr="00124637" w14:paraId="6F588152" w14:textId="77777777" w:rsidTr="00800C4D">
        <w:trPr>
          <w:cantSplit/>
        </w:trPr>
        <w:tc>
          <w:tcPr>
            <w:tcW w:w="3228" w:type="dxa"/>
            <w:tcMar>
              <w:top w:w="57" w:type="dxa"/>
              <w:left w:w="57" w:type="dxa"/>
              <w:bottom w:w="57" w:type="dxa"/>
              <w:right w:w="57" w:type="dxa"/>
            </w:tcMar>
          </w:tcPr>
          <w:p w14:paraId="31829A3F" w14:textId="77777777" w:rsidR="00BE3117" w:rsidRPr="00124637" w:rsidRDefault="00BE3117" w:rsidP="00800C4D">
            <w:pPr>
              <w:pStyle w:val="TableBody"/>
            </w:pPr>
            <w:r w:rsidRPr="00124637">
              <w:t>iiNet</w:t>
            </w:r>
          </w:p>
        </w:tc>
        <w:tc>
          <w:tcPr>
            <w:tcW w:w="2835" w:type="dxa"/>
            <w:tcMar>
              <w:top w:w="57" w:type="dxa"/>
              <w:left w:w="57" w:type="dxa"/>
              <w:bottom w:w="57" w:type="dxa"/>
              <w:right w:w="57" w:type="dxa"/>
            </w:tcMar>
          </w:tcPr>
          <w:p w14:paraId="7A6427D1" w14:textId="77777777" w:rsidR="00BE3117" w:rsidRPr="00124637" w:rsidRDefault="00BE3117" w:rsidP="00091A7D">
            <w:pPr>
              <w:pStyle w:val="TableBody"/>
              <w:jc w:val="right"/>
            </w:pPr>
            <w:r w:rsidRPr="00124637">
              <w:t>80</w:t>
            </w:r>
          </w:p>
        </w:tc>
      </w:tr>
      <w:tr w:rsidR="00124637" w:rsidRPr="00124637" w14:paraId="79D74A5C" w14:textId="77777777" w:rsidTr="00800C4D">
        <w:trPr>
          <w:cantSplit/>
        </w:trPr>
        <w:tc>
          <w:tcPr>
            <w:tcW w:w="3228" w:type="dxa"/>
            <w:tcMar>
              <w:top w:w="57" w:type="dxa"/>
              <w:left w:w="57" w:type="dxa"/>
              <w:bottom w:w="57" w:type="dxa"/>
              <w:right w:w="57" w:type="dxa"/>
            </w:tcMar>
          </w:tcPr>
          <w:p w14:paraId="3166257E" w14:textId="77777777" w:rsidR="00BE3117" w:rsidRPr="00124637" w:rsidRDefault="00BE3117" w:rsidP="00800C4D">
            <w:pPr>
              <w:pStyle w:val="TableBody"/>
            </w:pPr>
            <w:r w:rsidRPr="00124637">
              <w:t>Optus</w:t>
            </w:r>
          </w:p>
        </w:tc>
        <w:tc>
          <w:tcPr>
            <w:tcW w:w="2835" w:type="dxa"/>
            <w:tcMar>
              <w:top w:w="57" w:type="dxa"/>
              <w:left w:w="57" w:type="dxa"/>
              <w:bottom w:w="57" w:type="dxa"/>
              <w:right w:w="57" w:type="dxa"/>
            </w:tcMar>
          </w:tcPr>
          <w:p w14:paraId="36B9329C" w14:textId="77777777" w:rsidR="00BE3117" w:rsidRPr="00124637" w:rsidDel="009D03B1" w:rsidRDefault="00BE3117" w:rsidP="00091A7D">
            <w:pPr>
              <w:pStyle w:val="TableBody"/>
              <w:jc w:val="right"/>
            </w:pPr>
            <w:r w:rsidRPr="00124637">
              <w:t>79</w:t>
            </w:r>
          </w:p>
        </w:tc>
      </w:tr>
      <w:tr w:rsidR="00124637" w:rsidRPr="00124637" w14:paraId="7ADB1343" w14:textId="77777777" w:rsidTr="00800C4D">
        <w:trPr>
          <w:cantSplit/>
        </w:trPr>
        <w:tc>
          <w:tcPr>
            <w:tcW w:w="3228" w:type="dxa"/>
            <w:tcMar>
              <w:top w:w="57" w:type="dxa"/>
              <w:left w:w="57" w:type="dxa"/>
              <w:bottom w:w="57" w:type="dxa"/>
              <w:right w:w="57" w:type="dxa"/>
            </w:tcMar>
          </w:tcPr>
          <w:p w14:paraId="534C9465" w14:textId="77777777" w:rsidR="00BE3117" w:rsidRPr="00124637" w:rsidRDefault="00BE3117" w:rsidP="00800C4D">
            <w:pPr>
              <w:pStyle w:val="TableBody"/>
            </w:pPr>
            <w:r w:rsidRPr="00124637">
              <w:t>M2 Group*</w:t>
            </w:r>
          </w:p>
        </w:tc>
        <w:tc>
          <w:tcPr>
            <w:tcW w:w="2835" w:type="dxa"/>
            <w:tcMar>
              <w:top w:w="57" w:type="dxa"/>
              <w:left w:w="57" w:type="dxa"/>
              <w:bottom w:w="57" w:type="dxa"/>
              <w:right w:w="57" w:type="dxa"/>
            </w:tcMar>
          </w:tcPr>
          <w:p w14:paraId="3BE5D2F7" w14:textId="77777777" w:rsidR="00BE3117" w:rsidRPr="00124637" w:rsidRDefault="00BE3117" w:rsidP="00091A7D">
            <w:pPr>
              <w:pStyle w:val="TableBody"/>
              <w:jc w:val="right"/>
            </w:pPr>
            <w:r w:rsidRPr="00124637">
              <w:t>78</w:t>
            </w:r>
          </w:p>
        </w:tc>
      </w:tr>
      <w:tr w:rsidR="00124637" w:rsidRPr="00124637" w14:paraId="6AEF0A5F" w14:textId="77777777" w:rsidTr="00800C4D">
        <w:trPr>
          <w:cantSplit/>
        </w:trPr>
        <w:tc>
          <w:tcPr>
            <w:tcW w:w="3228" w:type="dxa"/>
            <w:tcMar>
              <w:top w:w="57" w:type="dxa"/>
              <w:left w:w="57" w:type="dxa"/>
              <w:bottom w:w="57" w:type="dxa"/>
              <w:right w:w="57" w:type="dxa"/>
            </w:tcMar>
          </w:tcPr>
          <w:p w14:paraId="417EE0C2" w14:textId="77777777" w:rsidR="00BE3117" w:rsidRPr="00124637" w:rsidRDefault="00BE3117" w:rsidP="00800C4D">
            <w:pPr>
              <w:pStyle w:val="TableBody"/>
            </w:pPr>
            <w:r w:rsidRPr="00124637">
              <w:t>Foxtel</w:t>
            </w:r>
          </w:p>
        </w:tc>
        <w:tc>
          <w:tcPr>
            <w:tcW w:w="2835" w:type="dxa"/>
            <w:tcMar>
              <w:top w:w="57" w:type="dxa"/>
              <w:left w:w="57" w:type="dxa"/>
              <w:bottom w:w="57" w:type="dxa"/>
              <w:right w:w="57" w:type="dxa"/>
            </w:tcMar>
          </w:tcPr>
          <w:p w14:paraId="3B815036" w14:textId="77777777" w:rsidR="00BE3117" w:rsidRPr="00124637" w:rsidRDefault="00BE3117" w:rsidP="00091A7D">
            <w:pPr>
              <w:pStyle w:val="TableBody"/>
              <w:jc w:val="right"/>
            </w:pPr>
            <w:r w:rsidRPr="00124637">
              <w:t>22</w:t>
            </w:r>
          </w:p>
        </w:tc>
      </w:tr>
      <w:tr w:rsidR="00124637" w:rsidRPr="00124637" w14:paraId="5DE6D2F5" w14:textId="77777777" w:rsidTr="0022095A">
        <w:trPr>
          <w:cantSplit/>
        </w:trPr>
        <w:tc>
          <w:tcPr>
            <w:tcW w:w="3228" w:type="dxa"/>
            <w:shd w:val="clear" w:color="auto" w:fill="F2F2F2" w:themeFill="background1" w:themeFillShade="F2"/>
            <w:tcMar>
              <w:top w:w="57" w:type="dxa"/>
              <w:left w:w="57" w:type="dxa"/>
              <w:bottom w:w="57" w:type="dxa"/>
              <w:right w:w="57" w:type="dxa"/>
            </w:tcMar>
          </w:tcPr>
          <w:p w14:paraId="6F6DC7C9" w14:textId="77777777" w:rsidR="00BE3117" w:rsidRPr="00124637" w:rsidRDefault="00BE3117" w:rsidP="00800C4D">
            <w:pPr>
              <w:pStyle w:val="TableBody"/>
            </w:pPr>
            <w:r w:rsidRPr="00124637">
              <w:rPr>
                <w:b/>
              </w:rPr>
              <w:t>Total</w:t>
            </w:r>
          </w:p>
        </w:tc>
        <w:tc>
          <w:tcPr>
            <w:tcW w:w="2835" w:type="dxa"/>
            <w:shd w:val="clear" w:color="auto" w:fill="F2F2F2" w:themeFill="background1" w:themeFillShade="F2"/>
            <w:tcMar>
              <w:top w:w="57" w:type="dxa"/>
              <w:left w:w="57" w:type="dxa"/>
              <w:bottom w:w="57" w:type="dxa"/>
              <w:right w:w="57" w:type="dxa"/>
            </w:tcMar>
          </w:tcPr>
          <w:p w14:paraId="61964BCD" w14:textId="77777777" w:rsidR="00BE3117" w:rsidRPr="00124637" w:rsidDel="009D03B1" w:rsidRDefault="00BE3117" w:rsidP="00091A7D">
            <w:pPr>
              <w:pStyle w:val="TableBody"/>
              <w:jc w:val="right"/>
              <w:rPr>
                <w:b/>
              </w:rPr>
            </w:pPr>
            <w:r w:rsidRPr="00124637">
              <w:rPr>
                <w:b/>
              </w:rPr>
              <w:t>339</w:t>
            </w:r>
          </w:p>
        </w:tc>
      </w:tr>
    </w:tbl>
    <w:p w14:paraId="7B37F8E3" w14:textId="77777777" w:rsidR="00BE3117" w:rsidRPr="00124637" w:rsidRDefault="00BE3117" w:rsidP="00BE3117">
      <w:pPr>
        <w:pStyle w:val="ACMANotes"/>
      </w:pPr>
      <w:r w:rsidRPr="00124637">
        <w:t>*M2 Group exemption notifications include Primus, Eftel and Dodo exemptions due to recent acquisitions by the M2 Group.</w:t>
      </w:r>
    </w:p>
    <w:p w14:paraId="2D540E48" w14:textId="77777777" w:rsidR="00D4593F" w:rsidRPr="00124637" w:rsidRDefault="00D4593F" w:rsidP="00953EED">
      <w:pPr>
        <w:pStyle w:val="Heading2"/>
      </w:pPr>
      <w:bookmarkStart w:id="295" w:name="_Toc337727626"/>
      <w:bookmarkStart w:id="296" w:name="_Toc400018592"/>
      <w:bookmarkStart w:id="297" w:name="_Toc419122548"/>
      <w:bookmarkStart w:id="298" w:name="_Toc433703391"/>
      <w:r w:rsidRPr="00124637">
        <w:t>Network Reliability Framework</w:t>
      </w:r>
      <w:bookmarkEnd w:id="295"/>
      <w:bookmarkEnd w:id="296"/>
      <w:bookmarkEnd w:id="297"/>
      <w:bookmarkEnd w:id="298"/>
    </w:p>
    <w:p w14:paraId="0CB4B6B4" w14:textId="77777777" w:rsidR="00AD0F92" w:rsidRPr="00124637" w:rsidRDefault="00AD0F92" w:rsidP="00AD0F92">
      <w:pPr>
        <w:spacing w:after="80"/>
        <w:rPr>
          <w:rFonts w:cs="Arial"/>
        </w:rPr>
      </w:pPr>
      <w:bookmarkStart w:id="299" w:name="_Toc337727627"/>
      <w:bookmarkStart w:id="300" w:name="_Toc400018593"/>
      <w:bookmarkStart w:id="301" w:name="_Toc419122549"/>
      <w:r w:rsidRPr="00124637">
        <w:rPr>
          <w:rFonts w:cs="Arial"/>
        </w:rPr>
        <w:t xml:space="preserve">Under the NRF, Telstra </w:t>
      </w:r>
      <w:r w:rsidR="00091A7D" w:rsidRPr="00124637">
        <w:rPr>
          <w:rFonts w:cs="Arial"/>
        </w:rPr>
        <w:t>must</w:t>
      </w:r>
      <w:r w:rsidRPr="00124637">
        <w:rPr>
          <w:rFonts w:cs="Arial"/>
        </w:rPr>
        <w:t xml:space="preserve"> provide the ACMA with network performance reports at three levels:</w:t>
      </w:r>
    </w:p>
    <w:p w14:paraId="0BD1C301" w14:textId="77777777" w:rsidR="00AD0F92" w:rsidRPr="00124637" w:rsidRDefault="00AD0F92" w:rsidP="00AD0F92">
      <w:pPr>
        <w:pStyle w:val="ListBullet"/>
        <w:ind w:left="284"/>
        <w:rPr>
          <w:rFonts w:cs="Arial"/>
        </w:rPr>
      </w:pPr>
      <w:r w:rsidRPr="00124637">
        <w:rPr>
          <w:rFonts w:cs="Arial"/>
        </w:rPr>
        <w:t>Level 1—geographical area level, based on Telstra’s field service areas</w:t>
      </w:r>
    </w:p>
    <w:p w14:paraId="0932A5E7" w14:textId="77777777" w:rsidR="00AD0F92" w:rsidRPr="00124637" w:rsidRDefault="00AD0F92" w:rsidP="00AD0F92">
      <w:pPr>
        <w:pStyle w:val="ListBullet"/>
        <w:ind w:left="284"/>
        <w:rPr>
          <w:rFonts w:cs="Arial"/>
        </w:rPr>
      </w:pPr>
      <w:r w:rsidRPr="00124637">
        <w:rPr>
          <w:rFonts w:cs="Arial"/>
        </w:rPr>
        <w:t>Level 2—disaggregated parts of the network known as cable runs</w:t>
      </w:r>
    </w:p>
    <w:p w14:paraId="77134CA8" w14:textId="77777777" w:rsidR="00AD0F92" w:rsidRPr="00124637" w:rsidRDefault="00AD0F92" w:rsidP="00AD0F92">
      <w:pPr>
        <w:pStyle w:val="ListBulletLast"/>
      </w:pPr>
      <w:r w:rsidRPr="00124637">
        <w:t>Level 3—the individual service level.</w:t>
      </w:r>
    </w:p>
    <w:p w14:paraId="3A70BCA5" w14:textId="77777777" w:rsidR="00AD0F92" w:rsidRPr="00124637" w:rsidRDefault="00AD0F92" w:rsidP="00AD0F92">
      <w:pPr>
        <w:rPr>
          <w:rFonts w:cs="Arial"/>
        </w:rPr>
      </w:pPr>
      <w:r w:rsidRPr="00124637">
        <w:rPr>
          <w:rFonts w:cs="Arial"/>
        </w:rPr>
        <w:t>Level 1 of the NRF shows the percentage of CSG services without a fault or service difficulty, the percentage of time CSG services are available and the average time (hours) to restore fault-affected CSG services.</w:t>
      </w:r>
    </w:p>
    <w:p w14:paraId="1201EA46" w14:textId="77777777" w:rsidR="00AD0F92" w:rsidRPr="00124637" w:rsidRDefault="00AD0F92" w:rsidP="00AD0F92">
      <w:pPr>
        <w:rPr>
          <w:rFonts w:cs="Arial"/>
        </w:rPr>
      </w:pPr>
      <w:r w:rsidRPr="00124637">
        <w:rPr>
          <w:rFonts w:cs="Arial"/>
        </w:rPr>
        <w:t xml:space="preserve">Each month, the ACMA is required to approve the initial selection of Level 2 cable runs in line with a prescribed formula and to receive reports on the remediations. Where a remediation time frame has not been met, and the reasons for this match specific requirements, the ACMA can grant an extension of the remediation time frame. The ACMA approved all Level 2 cable run lists provided in 2014–15 and granted 12 extensions of time for remediation of cable runs in the reporting period. </w:t>
      </w:r>
    </w:p>
    <w:p w14:paraId="6E853B38" w14:textId="77777777" w:rsidR="00AD0F92" w:rsidRPr="00124637" w:rsidRDefault="00AD0F92" w:rsidP="00AD0F92">
      <w:pPr>
        <w:rPr>
          <w:rFonts w:cs="Arial"/>
        </w:rPr>
      </w:pPr>
      <w:r w:rsidRPr="00124637">
        <w:rPr>
          <w:rFonts w:cs="Arial"/>
        </w:rPr>
        <w:t xml:space="preserve">The Level 3 requirement is for Telstra to remediate individual services that have experienced more than three faults or service difficulties in a 60-day rolling period or </w:t>
      </w:r>
      <w:r w:rsidRPr="00124637">
        <w:rPr>
          <w:rFonts w:cs="Arial"/>
        </w:rPr>
        <w:lastRenderedPageBreak/>
        <w:t xml:space="preserve">more than four faults or service difficulties in a 365-day rolling calendar period. The ACMA is required to approve a proposed remediation plan for the services. In </w:t>
      </w:r>
      <w:r w:rsidR="00D27680" w:rsidRPr="00124637">
        <w:rPr>
          <w:rFonts w:cs="Arial"/>
        </w:rPr>
        <w:br/>
      </w:r>
      <w:r w:rsidRPr="00124637">
        <w:rPr>
          <w:rFonts w:cs="Arial"/>
        </w:rPr>
        <w:t xml:space="preserve">2014–15, Telstra reported </w:t>
      </w:r>
      <w:r w:rsidR="007D4C6D" w:rsidRPr="00124637">
        <w:rPr>
          <w:rFonts w:cs="Arial"/>
        </w:rPr>
        <w:t xml:space="preserve">2,480 </w:t>
      </w:r>
      <w:r w:rsidRPr="00124637">
        <w:rPr>
          <w:rFonts w:cs="Arial"/>
        </w:rPr>
        <w:t>Level 3 contraventions, for which the ACMA approved all submitted remediation plans.</w:t>
      </w:r>
    </w:p>
    <w:p w14:paraId="083DD19A" w14:textId="77777777" w:rsidR="00AD0F92" w:rsidRPr="00124637" w:rsidRDefault="00AD0F92" w:rsidP="00AD0F92">
      <w:pPr>
        <w:rPr>
          <w:rFonts w:cs="Arial"/>
        </w:rPr>
      </w:pPr>
      <w:r w:rsidRPr="00124637">
        <w:rPr>
          <w:rFonts w:cs="Arial"/>
        </w:rPr>
        <w:t>Service performance under the NRF is reported in the ACMA’s annual communications report.</w:t>
      </w:r>
    </w:p>
    <w:p w14:paraId="469EB6F8" w14:textId="77777777" w:rsidR="00D4593F" w:rsidRPr="00124637" w:rsidRDefault="00D4593F" w:rsidP="00124637">
      <w:pPr>
        <w:pStyle w:val="Heading2"/>
        <w:keepLines/>
      </w:pPr>
      <w:bookmarkStart w:id="302" w:name="_Toc433703392"/>
      <w:r w:rsidRPr="00124637">
        <w:t>Priority assistance</w:t>
      </w:r>
      <w:bookmarkEnd w:id="299"/>
      <w:bookmarkEnd w:id="300"/>
      <w:bookmarkEnd w:id="301"/>
      <w:bookmarkEnd w:id="302"/>
    </w:p>
    <w:p w14:paraId="51DE2082" w14:textId="77777777" w:rsidR="00AD0F92" w:rsidRPr="00124637" w:rsidRDefault="00AD0F92" w:rsidP="00124637">
      <w:pPr>
        <w:keepLines/>
        <w:rPr>
          <w:rFonts w:cs="Arial"/>
        </w:rPr>
      </w:pPr>
      <w:bookmarkStart w:id="303" w:name="_Toc337727628"/>
      <w:bookmarkStart w:id="304" w:name="_Toc400018597"/>
      <w:bookmarkStart w:id="305" w:name="_Toc419122550"/>
      <w:r w:rsidRPr="00124637">
        <w:rPr>
          <w:rFonts w:cs="Arial"/>
        </w:rPr>
        <w:t>Priority assistance is an enhanced telephone connection and repair service for people with a diagnosed life-threatening medical condition who are at risk of suffering a rapid deterioration in their condition. Telstra is currently the only carrier required under its carrier licence conditions to provide priority assistance services. However, other service providers may offer priority assistance in accordance with industry code ACIF C609:2007</w:t>
      </w:r>
      <w:r w:rsidRPr="00124637">
        <w:rPr>
          <w:rFonts w:cs="Arial"/>
          <w:i/>
        </w:rPr>
        <w:t xml:space="preserve"> Priority Assistance for Life Threatening Medical Conditions</w:t>
      </w:r>
      <w:r w:rsidRPr="00124637">
        <w:rPr>
          <w:rFonts w:cs="Arial"/>
        </w:rPr>
        <w:t xml:space="preserve">. </w:t>
      </w:r>
    </w:p>
    <w:p w14:paraId="519201F4" w14:textId="77777777" w:rsidR="00AD0F92" w:rsidRPr="00124637" w:rsidRDefault="00AD0F92" w:rsidP="00AD0F92">
      <w:pPr>
        <w:rPr>
          <w:rFonts w:cs="Arial"/>
        </w:rPr>
      </w:pPr>
      <w:r w:rsidRPr="00124637">
        <w:rPr>
          <w:rFonts w:cs="Arial"/>
        </w:rPr>
        <w:t>The ACMA received one complaint about priority assistance in 2014–15, which was resolved through communication with the complainant and Telstra.</w:t>
      </w:r>
    </w:p>
    <w:p w14:paraId="6961C89A" w14:textId="77777777" w:rsidR="00D4593F" w:rsidRPr="00124637" w:rsidRDefault="00D4593F" w:rsidP="00D4593F">
      <w:pPr>
        <w:pStyle w:val="Heading2"/>
      </w:pPr>
      <w:bookmarkStart w:id="306" w:name="_Toc433703393"/>
      <w:r w:rsidRPr="00124637">
        <w:t>Local presence plan</w:t>
      </w:r>
      <w:bookmarkEnd w:id="303"/>
      <w:bookmarkEnd w:id="304"/>
      <w:bookmarkEnd w:id="305"/>
      <w:bookmarkEnd w:id="306"/>
    </w:p>
    <w:p w14:paraId="6759A96A" w14:textId="77777777" w:rsidR="00D4593F" w:rsidRPr="00124637" w:rsidRDefault="00D4593F" w:rsidP="00D4593F">
      <w:pPr>
        <w:rPr>
          <w:rFonts w:cs="Arial"/>
        </w:rPr>
      </w:pPr>
      <w:r w:rsidRPr="00124637">
        <w:rPr>
          <w:rFonts w:cs="Arial"/>
        </w:rPr>
        <w:t>Under its licence conditions, Telstra is required to maintain a local presence in regional, rural and remote Australia, to the extent that this is broadly compatible with its overall commercial interests.</w:t>
      </w:r>
    </w:p>
    <w:p w14:paraId="75C52FCE" w14:textId="77777777" w:rsidR="00D4593F" w:rsidRPr="00124637" w:rsidRDefault="00D4593F" w:rsidP="00D4593F">
      <w:pPr>
        <w:rPr>
          <w:rFonts w:cs="Arial"/>
        </w:rPr>
      </w:pPr>
      <w:r w:rsidRPr="00124637">
        <w:rPr>
          <w:rFonts w:cs="Arial"/>
        </w:rPr>
        <w:t xml:space="preserve">In accordance with Telstra’s carrier licence conditions, </w:t>
      </w:r>
      <w:r w:rsidR="00D27680" w:rsidRPr="00124637">
        <w:rPr>
          <w:rFonts w:cs="Arial"/>
        </w:rPr>
        <w:t xml:space="preserve">on 29 August 2014 </w:t>
      </w:r>
      <w:r w:rsidRPr="00124637">
        <w:rPr>
          <w:rFonts w:cs="Arial"/>
        </w:rPr>
        <w:t xml:space="preserve">the ACMA received Telstra’s report on performance against the local presence plan for the previous reporting period </w:t>
      </w:r>
      <w:r w:rsidR="00D27680" w:rsidRPr="00124637">
        <w:rPr>
          <w:rFonts w:cs="Arial"/>
        </w:rPr>
        <w:t>(</w:t>
      </w:r>
      <w:r w:rsidRPr="00124637">
        <w:rPr>
          <w:rFonts w:cs="Arial"/>
        </w:rPr>
        <w:t>2013–14</w:t>
      </w:r>
      <w:r w:rsidR="00D27680" w:rsidRPr="00124637">
        <w:rPr>
          <w:rFonts w:cs="Arial"/>
        </w:rPr>
        <w:t>)</w:t>
      </w:r>
      <w:r w:rsidRPr="00124637">
        <w:rPr>
          <w:rFonts w:cs="Arial"/>
        </w:rPr>
        <w:t>.</w:t>
      </w:r>
    </w:p>
    <w:p w14:paraId="28C7EC0C" w14:textId="77777777" w:rsidR="00D4593F" w:rsidRPr="00124637" w:rsidRDefault="00D4593F" w:rsidP="00D4593F">
      <w:pPr>
        <w:pStyle w:val="Heading2"/>
      </w:pPr>
      <w:bookmarkStart w:id="307" w:name="_Toc400018599"/>
      <w:bookmarkStart w:id="308" w:name="_Toc419122551"/>
      <w:bookmarkStart w:id="309" w:name="_Toc433703394"/>
      <w:r w:rsidRPr="00124637">
        <w:t>Consumer Consultative Forum</w:t>
      </w:r>
      <w:bookmarkEnd w:id="307"/>
      <w:bookmarkEnd w:id="308"/>
      <w:bookmarkEnd w:id="309"/>
    </w:p>
    <w:p w14:paraId="18B745BA" w14:textId="77777777" w:rsidR="00D4593F" w:rsidRPr="00124637" w:rsidRDefault="00D4593F" w:rsidP="00D4593F">
      <w:pPr>
        <w:rPr>
          <w:rFonts w:cs="Arial"/>
        </w:rPr>
      </w:pPr>
      <w:r w:rsidRPr="00124637">
        <w:rPr>
          <w:rFonts w:cs="Arial"/>
        </w:rPr>
        <w:t xml:space="preserve">The </w:t>
      </w:r>
      <w:r w:rsidR="00D27680" w:rsidRPr="00124637">
        <w:rPr>
          <w:rFonts w:cs="Arial"/>
        </w:rPr>
        <w:t>Consumer Consultative Forum (</w:t>
      </w:r>
      <w:r w:rsidRPr="00124637">
        <w:rPr>
          <w:rFonts w:cs="Arial"/>
        </w:rPr>
        <w:t>CCF</w:t>
      </w:r>
      <w:r w:rsidR="00D27680" w:rsidRPr="00124637">
        <w:rPr>
          <w:rFonts w:cs="Arial"/>
        </w:rPr>
        <w:t>)</w:t>
      </w:r>
      <w:r w:rsidRPr="00124637">
        <w:rPr>
          <w:rFonts w:cs="Arial"/>
        </w:rPr>
        <w:t xml:space="preserve"> is a formal advisory committee established under section 59 of the ACMA Act to help the ACMA perform its consumer functions. It provides advice to the ACMA on communications issues (mainly telecommunications and the internet) that affect consumers. </w:t>
      </w:r>
    </w:p>
    <w:p w14:paraId="49FAC158" w14:textId="77777777" w:rsidR="00D4593F" w:rsidRPr="00124637" w:rsidRDefault="00D4593F" w:rsidP="00DA1B46">
      <w:pPr>
        <w:spacing w:after="80"/>
        <w:rPr>
          <w:rFonts w:cs="Arial"/>
        </w:rPr>
      </w:pPr>
      <w:r w:rsidRPr="00124637">
        <w:rPr>
          <w:rFonts w:cs="Arial"/>
        </w:rPr>
        <w:t>This year, the ACMA appointed a new consumer representative—George Fong (Internet Australia). Consumer representatives joined regulators and industry bodies at two meetings during the reporting period to discuss topics including:</w:t>
      </w:r>
    </w:p>
    <w:p w14:paraId="33D81F77" w14:textId="57764C06" w:rsidR="00D4593F" w:rsidRPr="00124637" w:rsidRDefault="00D4593F" w:rsidP="00D04DF2">
      <w:pPr>
        <w:pStyle w:val="ListBullet"/>
      </w:pPr>
      <w:r w:rsidRPr="00124637">
        <w:t xml:space="preserve">the </w:t>
      </w:r>
      <w:r w:rsidR="00AB13BC">
        <w:t>nbn network</w:t>
      </w:r>
      <w:r w:rsidRPr="00124637">
        <w:t xml:space="preserve"> and its impact on consumers </w:t>
      </w:r>
    </w:p>
    <w:p w14:paraId="053BF18D" w14:textId="77777777" w:rsidR="00D4593F" w:rsidRPr="00124637" w:rsidRDefault="00D4593F" w:rsidP="00D04DF2">
      <w:pPr>
        <w:pStyle w:val="ListBullet"/>
      </w:pPr>
      <w:r w:rsidRPr="00124637">
        <w:t xml:space="preserve">ACMA activities such as the enforcement of the TCP Code </w:t>
      </w:r>
    </w:p>
    <w:p w14:paraId="67AE4F1D" w14:textId="77777777" w:rsidR="00D4593F" w:rsidRPr="00124637" w:rsidRDefault="00D4593F" w:rsidP="00D04DF2">
      <w:pPr>
        <w:pStyle w:val="ListBullet"/>
      </w:pPr>
      <w:r w:rsidRPr="00124637">
        <w:t>the government’s deregulation program</w:t>
      </w:r>
    </w:p>
    <w:p w14:paraId="251E01C6" w14:textId="77777777" w:rsidR="00D4593F" w:rsidRPr="00124637" w:rsidRDefault="00D27680" w:rsidP="00D04DF2">
      <w:pPr>
        <w:pStyle w:val="ListBullet"/>
      </w:pPr>
      <w:r w:rsidRPr="00124637">
        <w:t xml:space="preserve">the </w:t>
      </w:r>
      <w:r w:rsidR="00D4593F" w:rsidRPr="00124637">
        <w:t>incidence of bill shock due to children using devices over school holidays</w:t>
      </w:r>
    </w:p>
    <w:p w14:paraId="0B36D489" w14:textId="77777777" w:rsidR="00D4593F" w:rsidRPr="00124637" w:rsidRDefault="00D4593F" w:rsidP="00800C4D">
      <w:pPr>
        <w:pStyle w:val="ListBulletLast"/>
      </w:pPr>
      <w:r w:rsidRPr="00124637">
        <w:t>holistic approaches to dealing with consumers’ financial hardship.</w:t>
      </w:r>
    </w:p>
    <w:p w14:paraId="518449CF" w14:textId="0875EBCF" w:rsidR="000F2488" w:rsidRDefault="00212A85" w:rsidP="000F2488">
      <w:pPr>
        <w:pStyle w:val="Heading1"/>
        <w:spacing w:after="120" w:line="360" w:lineRule="atLeast"/>
        <w:rPr>
          <w:sz w:val="36"/>
          <w:szCs w:val="36"/>
        </w:rPr>
      </w:pPr>
      <w:bookmarkStart w:id="310" w:name="_Toc433703395"/>
      <w:r w:rsidRPr="0022095A">
        <w:rPr>
          <w:i/>
          <w:noProof/>
          <w:sz w:val="36"/>
          <w:szCs w:val="36"/>
        </w:rPr>
        <w:lastRenderedPageBreak/>
        <w:drawing>
          <wp:anchor distT="0" distB="0" distL="114300" distR="114300" simplePos="0" relativeHeight="251665408" behindDoc="1" locked="0" layoutInCell="1" allowOverlap="1" wp14:anchorId="0929F9FE" wp14:editId="7738505E">
            <wp:simplePos x="0" y="0"/>
            <wp:positionH relativeFrom="column">
              <wp:posOffset>-635</wp:posOffset>
            </wp:positionH>
            <wp:positionV relativeFrom="paragraph">
              <wp:posOffset>67945</wp:posOffset>
            </wp:positionV>
            <wp:extent cx="1308100" cy="2061845"/>
            <wp:effectExtent l="0" t="0" r="6350" b="0"/>
            <wp:wrapTight wrapText="bothSides">
              <wp:wrapPolygon edited="0">
                <wp:start x="0" y="0"/>
                <wp:lineTo x="0" y="21354"/>
                <wp:lineTo x="21390" y="21354"/>
                <wp:lineTo x="21390" y="0"/>
                <wp:lineTo x="0" y="0"/>
              </wp:wrapPolygon>
            </wp:wrapTight>
            <wp:docPr id="18" name="Picture 18" title="Icon of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NC.jpg"/>
                    <pic:cNvPicPr/>
                  </pic:nvPicPr>
                  <pic:blipFill rotWithShape="1">
                    <a:blip r:embed="rId39">
                      <a:extLst>
                        <a:ext uri="{28A0092B-C50C-407E-A947-70E740481C1C}">
                          <a14:useLocalDpi xmlns:a14="http://schemas.microsoft.com/office/drawing/2010/main" val="0"/>
                        </a:ext>
                      </a:extLst>
                    </a:blip>
                    <a:srcRect/>
                    <a:stretch/>
                  </pic:blipFill>
                  <pic:spPr bwMode="auto">
                    <a:xfrm>
                      <a:off x="0" y="0"/>
                      <a:ext cx="1308100" cy="206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CCB" w:rsidRPr="0022095A">
        <w:rPr>
          <w:i/>
          <w:sz w:val="36"/>
          <w:szCs w:val="36"/>
        </w:rPr>
        <w:t>D</w:t>
      </w:r>
      <w:r w:rsidR="0022095A" w:rsidRPr="0022095A">
        <w:rPr>
          <w:i/>
          <w:sz w:val="36"/>
          <w:szCs w:val="36"/>
        </w:rPr>
        <w:t>eliverable</w:t>
      </w:r>
      <w:r w:rsidR="00163CCB" w:rsidRPr="000F2488">
        <w:rPr>
          <w:sz w:val="36"/>
          <w:szCs w:val="36"/>
        </w:rPr>
        <w:t>: Minimise unsolicited spam and telemarketing communications</w:t>
      </w:r>
      <w:bookmarkEnd w:id="310"/>
    </w:p>
    <w:p w14:paraId="5B107353" w14:textId="77777777" w:rsidR="00163CCB" w:rsidRPr="000F2488" w:rsidRDefault="00163CCB" w:rsidP="000F2488">
      <w:pPr>
        <w:pStyle w:val="Heading1"/>
        <w:pageBreakBefore w:val="0"/>
        <w:spacing w:line="360" w:lineRule="atLeast"/>
        <w:rPr>
          <w:sz w:val="36"/>
          <w:szCs w:val="36"/>
        </w:rPr>
      </w:pPr>
      <w:bookmarkStart w:id="311" w:name="_Toc433703396"/>
      <w:r w:rsidRPr="0022095A">
        <w:rPr>
          <w:i/>
          <w:sz w:val="36"/>
          <w:szCs w:val="36"/>
        </w:rPr>
        <w:t>KPI</w:t>
      </w:r>
      <w:r w:rsidRPr="000F2488">
        <w:rPr>
          <w:sz w:val="36"/>
          <w:szCs w:val="36"/>
        </w:rPr>
        <w:t>: The adverse impacts of spam and unsolicited telemarketing on the economy and society are minimised</w:t>
      </w:r>
      <w:bookmarkEnd w:id="259"/>
      <w:bookmarkEnd w:id="311"/>
    </w:p>
    <w:p w14:paraId="21250AED" w14:textId="77777777" w:rsidR="00163CCB" w:rsidRPr="00124637" w:rsidRDefault="00163CCB" w:rsidP="00163CCB">
      <w:pPr>
        <w:pStyle w:val="Heading2"/>
      </w:pPr>
      <w:bookmarkStart w:id="312" w:name="Min_Ov"/>
      <w:bookmarkStart w:id="313" w:name="_Toc419122554"/>
      <w:bookmarkStart w:id="314" w:name="_Toc433703397"/>
      <w:bookmarkEnd w:id="312"/>
      <w:r w:rsidRPr="00124637">
        <w:t>Overview and significant outcomes</w:t>
      </w:r>
      <w:bookmarkEnd w:id="313"/>
      <w:bookmarkEnd w:id="314"/>
    </w:p>
    <w:p w14:paraId="2520DC6C" w14:textId="77777777" w:rsidR="007D4C6D" w:rsidRPr="00124637" w:rsidRDefault="007D4C6D" w:rsidP="007D4C6D">
      <w:bookmarkStart w:id="315" w:name="_Toc419122555"/>
      <w:bookmarkStart w:id="316" w:name="_Toc419122566"/>
      <w:r w:rsidRPr="00124637">
        <w:t>To deliver its unsolicited communications compliance outcomes, the ACMA adopts a graduated approach to compliance and enforcement. This approach is complemented by education and stakeholder engagement activities, targeted campaigns and international cooperation. The aim is to minimise the impact of spam and unsolicited telemarketing and fax marketing by encouraging telemarketers, fax marketers and e</w:t>
      </w:r>
      <w:r w:rsidRPr="00124637">
        <w:noBreakHyphen/>
        <w:t>marketers to avoid breaching their regulatory obligations in the first instance. Underpinning the compliance activities for unsolicited telemarketing and fax marketing, the ACMA also operates the Do Not Call Register.</w:t>
      </w:r>
    </w:p>
    <w:p w14:paraId="78B4E928" w14:textId="77777777" w:rsidR="00F57A1A" w:rsidRPr="00124637" w:rsidRDefault="00F57A1A" w:rsidP="00F57A1A">
      <w:pPr>
        <w:spacing w:after="80"/>
        <w:rPr>
          <w:rFonts w:cs="Arial"/>
        </w:rPr>
      </w:pPr>
      <w:r w:rsidRPr="00124637">
        <w:rPr>
          <w:rFonts w:cs="Arial"/>
        </w:rPr>
        <w:t xml:space="preserve">The ACMA </w:t>
      </w:r>
      <w:r w:rsidRPr="00124637">
        <w:rPr>
          <w:rFonts w:cs="Arial"/>
          <w:i/>
        </w:rPr>
        <w:t>Corporate plan 2013–16</w:t>
      </w:r>
      <w:r w:rsidRPr="00124637">
        <w:rPr>
          <w:rFonts w:cs="Arial"/>
        </w:rPr>
        <w:t xml:space="preserve"> sets out further key performance indicators for unsolicited communications compliance activities:</w:t>
      </w:r>
    </w:p>
    <w:p w14:paraId="4F61A023" w14:textId="77777777" w:rsidR="00F57A1A" w:rsidRPr="00124637" w:rsidRDefault="00F57A1A" w:rsidP="00F57A1A">
      <w:pPr>
        <w:pStyle w:val="ListBullet"/>
        <w:rPr>
          <w:rFonts w:cs="Arial"/>
        </w:rPr>
      </w:pPr>
      <w:r w:rsidRPr="00124637">
        <w:rPr>
          <w:rFonts w:cs="Arial"/>
        </w:rPr>
        <w:t xml:space="preserve">the number of complaints and reports about unsolicited communications received from businesses after they have been sent informal warnings is low </w:t>
      </w:r>
    </w:p>
    <w:p w14:paraId="6F493B40" w14:textId="77777777" w:rsidR="00F57A1A" w:rsidRPr="00124637" w:rsidRDefault="00F57A1A" w:rsidP="00F57A1A">
      <w:pPr>
        <w:pStyle w:val="ListBulletLast"/>
      </w:pPr>
      <w:r w:rsidRPr="00124637">
        <w:t xml:space="preserve">the number of complaints about unsolicited communications within targeted priority areas reduces. </w:t>
      </w:r>
    </w:p>
    <w:p w14:paraId="6772EC9A" w14:textId="77777777" w:rsidR="007D4C6D" w:rsidRPr="00124637" w:rsidRDefault="007D4C6D" w:rsidP="007D4C6D">
      <w:pPr>
        <w:spacing w:after="80"/>
      </w:pPr>
      <w:r w:rsidRPr="00124637">
        <w:t>During the reporting period:</w:t>
      </w:r>
    </w:p>
    <w:p w14:paraId="3EEBAE95" w14:textId="77777777" w:rsidR="007D4C6D" w:rsidRPr="00124637" w:rsidRDefault="007D4C6D" w:rsidP="007D4C6D">
      <w:pPr>
        <w:pStyle w:val="ListBullet"/>
      </w:pPr>
      <w:r w:rsidRPr="00124637">
        <w:t xml:space="preserve">the </w:t>
      </w:r>
      <w:r w:rsidRPr="00124637">
        <w:rPr>
          <w:rFonts w:cs="Arial"/>
        </w:rPr>
        <w:t>majority</w:t>
      </w:r>
      <w:r w:rsidRPr="00124637">
        <w:t xml:space="preserve"> of businesses required only a single contact from the ACMA to address compliance issues, following a complaint from a member of the public about an unsolicited communication</w:t>
      </w:r>
    </w:p>
    <w:p w14:paraId="72954D69" w14:textId="77777777" w:rsidR="006663F0" w:rsidRPr="00124637" w:rsidRDefault="006663F0" w:rsidP="007D4C6D">
      <w:pPr>
        <w:pStyle w:val="ListBullet"/>
      </w:pPr>
      <w:r w:rsidRPr="00124637">
        <w:t>listings on the Do Not Call Register became permanent, whereas previously registrations expired after eight years</w:t>
      </w:r>
    </w:p>
    <w:p w14:paraId="64C7B9B1" w14:textId="77777777" w:rsidR="007D4C6D" w:rsidRPr="00124637" w:rsidRDefault="007D4C6D" w:rsidP="007D4C6D">
      <w:pPr>
        <w:pStyle w:val="ListBullet"/>
      </w:pPr>
      <w:r w:rsidRPr="00124637">
        <w:t>numbers on the Do Not Call Register increased to over 10 million registrations in 2014–15</w:t>
      </w:r>
    </w:p>
    <w:p w14:paraId="5D2BA194" w14:textId="77777777" w:rsidR="007D4C6D" w:rsidRPr="00124637" w:rsidRDefault="007D4C6D" w:rsidP="007D4C6D">
      <w:pPr>
        <w:pStyle w:val="ListBulletLast"/>
      </w:pPr>
      <w:r w:rsidRPr="00124637">
        <w:t xml:space="preserve">complaints about telemarketing and fax marketing from people with numbers on the register fell by 11 per cent. </w:t>
      </w:r>
    </w:p>
    <w:p w14:paraId="6DE28248" w14:textId="77777777" w:rsidR="00830D0F" w:rsidRPr="00124637" w:rsidRDefault="00830D0F" w:rsidP="00830D0F">
      <w:r w:rsidRPr="00124637">
        <w:t xml:space="preserve">The success of the ACMA’s informal compliance actions has allowed greater targeting of formal compliance activity. Investigations are now </w:t>
      </w:r>
      <w:r w:rsidR="00852AEA" w:rsidRPr="00124637">
        <w:t>focused on</w:t>
      </w:r>
      <w:r w:rsidRPr="00124637">
        <w:t xml:space="preserve"> repeated non</w:t>
      </w:r>
      <w:r w:rsidR="00852AEA" w:rsidRPr="00124637">
        <w:noBreakHyphen/>
      </w:r>
      <w:r w:rsidRPr="00124637">
        <w:t xml:space="preserve">compliance, flagrant breaches and complex matters. </w:t>
      </w:r>
    </w:p>
    <w:p w14:paraId="25ACE3FE" w14:textId="77777777" w:rsidR="00D8068E" w:rsidRPr="00124637" w:rsidRDefault="00D8068E" w:rsidP="00D04DF2">
      <w:pPr>
        <w:pStyle w:val="Heading2"/>
      </w:pPr>
      <w:bookmarkStart w:id="317" w:name="Unsol_comp"/>
      <w:bookmarkStart w:id="318" w:name="_Toc433703398"/>
      <w:bookmarkEnd w:id="317"/>
      <w:r w:rsidRPr="00124637">
        <w:t>Unsolicited communications compliance</w:t>
      </w:r>
      <w:bookmarkEnd w:id="318"/>
      <w:r w:rsidRPr="00124637">
        <w:t xml:space="preserve"> </w:t>
      </w:r>
    </w:p>
    <w:p w14:paraId="74B34709" w14:textId="2FCEFA63" w:rsidR="007D4C6D" w:rsidRPr="00124637" w:rsidRDefault="007D4C6D" w:rsidP="007D4C6D">
      <w:pPr>
        <w:rPr>
          <w:rFonts w:cs="Arial"/>
        </w:rPr>
      </w:pPr>
      <w:r w:rsidRPr="00124637">
        <w:rPr>
          <w:rFonts w:cs="Arial"/>
        </w:rPr>
        <w:t xml:space="preserve">Under Part 26 of the </w:t>
      </w:r>
      <w:r w:rsidRPr="00124637">
        <w:rPr>
          <w:rFonts w:cs="Arial"/>
          <w:iCs/>
        </w:rPr>
        <w:t xml:space="preserve">Telecommunications Act, </w:t>
      </w:r>
      <w:r w:rsidRPr="00124637">
        <w:rPr>
          <w:rFonts w:cs="Arial"/>
        </w:rPr>
        <w:t xml:space="preserve">Australians can make complaints to the ACMA about contraventions of the </w:t>
      </w:r>
      <w:r w:rsidRPr="00124637">
        <w:rPr>
          <w:rFonts w:cs="Arial"/>
          <w:i/>
        </w:rPr>
        <w:t>Do Not Call Register Act 2006</w:t>
      </w:r>
      <w:r w:rsidRPr="00124637">
        <w:rPr>
          <w:rFonts w:cs="Arial"/>
        </w:rPr>
        <w:t xml:space="preserve"> (DNCR Act), </w:t>
      </w:r>
      <w:r w:rsidRPr="00124637">
        <w:t xml:space="preserve">Telemarketing and Research Industry Standard 2007, </w:t>
      </w:r>
      <w:r w:rsidRPr="00124637">
        <w:rPr>
          <w:rFonts w:cs="Arial"/>
        </w:rPr>
        <w:t xml:space="preserve">Fax Marketing Industry </w:t>
      </w:r>
      <w:r w:rsidRPr="00DE1F14">
        <w:rPr>
          <w:rFonts w:cs="Arial"/>
        </w:rPr>
        <w:lastRenderedPageBreak/>
        <w:t>Standard 2011 and</w:t>
      </w:r>
      <w:r w:rsidRPr="00DE1F14">
        <w:rPr>
          <w:rFonts w:cs="Arial"/>
          <w:i/>
        </w:rPr>
        <w:t xml:space="preserve"> Spam Act 2003</w:t>
      </w:r>
      <w:r w:rsidRPr="00DE1F14">
        <w:rPr>
          <w:rFonts w:cs="Arial"/>
          <w:i/>
          <w:iCs/>
        </w:rPr>
        <w:t>.</w:t>
      </w:r>
      <w:r w:rsidR="001C2157" w:rsidRPr="00DE1F14">
        <w:rPr>
          <w:rStyle w:val="FootnoteReference"/>
          <w:rFonts w:cs="Arial"/>
          <w:i/>
          <w:iCs/>
        </w:rPr>
        <w:footnoteReference w:id="4"/>
      </w:r>
      <w:r w:rsidRPr="00DE1F14">
        <w:rPr>
          <w:rFonts w:cs="Arial"/>
        </w:rPr>
        <w:t xml:space="preserve"> The ACMA</w:t>
      </w:r>
      <w:r w:rsidRPr="00124637">
        <w:rPr>
          <w:rFonts w:cs="Arial"/>
        </w:rPr>
        <w:t xml:space="preserve"> also receives reports of spam activity, some directly from individuals and some indirectly via ISPs or from organisations dedicated</w:t>
      </w:r>
      <w:r w:rsidR="00AB13BC">
        <w:rPr>
          <w:rFonts w:cs="Arial"/>
        </w:rPr>
        <w:t xml:space="preserve"> to comba</w:t>
      </w:r>
      <w:r w:rsidRPr="00124637">
        <w:rPr>
          <w:rFonts w:cs="Arial"/>
        </w:rPr>
        <w:t xml:space="preserve">ting spam. In the reporting year, the ACMA received over eight million spam reports. </w:t>
      </w:r>
    </w:p>
    <w:p w14:paraId="1CB91437" w14:textId="77777777" w:rsidR="007D4C6D" w:rsidRPr="00124637" w:rsidRDefault="007D4C6D" w:rsidP="007D4C6D">
      <w:pPr>
        <w:spacing w:after="80"/>
        <w:rPr>
          <w:rFonts w:cs="Arial"/>
        </w:rPr>
      </w:pPr>
      <w:r w:rsidRPr="00124637">
        <w:rPr>
          <w:rFonts w:cs="Arial"/>
        </w:rPr>
        <w:t xml:space="preserve">As part of the ACMA’s unsolicited communications business compliance program, priority is given to reports that are sent directly to the ACMA by individuals using two primary channels established for this purpose: </w:t>
      </w:r>
    </w:p>
    <w:p w14:paraId="034943D9" w14:textId="77777777" w:rsidR="007D4C6D" w:rsidRPr="00124637" w:rsidRDefault="00583E1B" w:rsidP="007D4C6D">
      <w:pPr>
        <w:pStyle w:val="ListBullet"/>
      </w:pPr>
      <w:hyperlink r:id="rId40" w:history="1">
        <w:r w:rsidR="007D4C6D" w:rsidRPr="00ED735D">
          <w:rPr>
            <w:rStyle w:val="Hyperlink"/>
            <w:rFonts w:cs="Arial"/>
          </w:rPr>
          <w:t>report@submit.spam.acma.gov.au</w:t>
        </w:r>
      </w:hyperlink>
      <w:r w:rsidR="007D4C6D">
        <w:t xml:space="preserve"> </w:t>
      </w:r>
      <w:r w:rsidR="007D4C6D" w:rsidRPr="00124637">
        <w:t>for email spam</w:t>
      </w:r>
    </w:p>
    <w:p w14:paraId="2CBC8259" w14:textId="77777777" w:rsidR="007D4C6D" w:rsidRPr="00124637" w:rsidRDefault="007D4C6D" w:rsidP="007D4C6D">
      <w:pPr>
        <w:pStyle w:val="ListBulletLast"/>
      </w:pPr>
      <w:r w:rsidRPr="00124637">
        <w:t xml:space="preserve">the SMS reporting number for SMS spam.  </w:t>
      </w:r>
    </w:p>
    <w:p w14:paraId="56E151BF" w14:textId="77777777" w:rsidR="007D4C6D" w:rsidRPr="00124637" w:rsidRDefault="007D4C6D" w:rsidP="007D4C6D">
      <w:pPr>
        <w:rPr>
          <w:rFonts w:cs="Arial"/>
        </w:rPr>
      </w:pPr>
      <w:r w:rsidRPr="00124637">
        <w:rPr>
          <w:rFonts w:cs="Arial"/>
        </w:rPr>
        <w:t xml:space="preserve">Using the complaints about unsolicited telemarketing, fax marketing and spam reports from these primary channels to identify businesses that are potentially in breach of the legislation, the ACMA undertakes a graduated series of interactions with these businesses, with the objective of achieving compliance in the most efficient way. </w:t>
      </w:r>
    </w:p>
    <w:p w14:paraId="1D09ECD2" w14:textId="77777777" w:rsidR="007D4C6D" w:rsidRPr="00124637" w:rsidRDefault="007D4C6D" w:rsidP="007D4C6D">
      <w:pPr>
        <w:rPr>
          <w:rFonts w:cs="Arial"/>
        </w:rPr>
      </w:pPr>
      <w:r w:rsidRPr="00124637">
        <w:rPr>
          <w:rFonts w:cs="Arial"/>
        </w:rPr>
        <w:t>The remaining spam reports provide the ACMA with intelligence that assists its investigations, trend analysis and identification of malware within spam messages.</w:t>
      </w:r>
    </w:p>
    <w:p w14:paraId="20CF055D" w14:textId="77777777" w:rsidR="007D4C6D" w:rsidRPr="00124637" w:rsidRDefault="007D4C6D" w:rsidP="007D4C6D">
      <w:pPr>
        <w:rPr>
          <w:rFonts w:cs="Arial"/>
        </w:rPr>
      </w:pPr>
      <w:r w:rsidRPr="00124637">
        <w:rPr>
          <w:rFonts w:cs="Arial"/>
        </w:rPr>
        <w:t>Table 24 summarises the complaints and spam reports from the primary channels made to the ACMA about unsolicited communications in the current and previous financial years. Compared to 2013–14, there was a small increase in the number of spam complaints and primary reports received in 2014–15, while there was an 11 per cent decrease in Do Not Call complaints. Virtually all complaints received about the DNCR Act and related industry standards were about telemarketing, with fewer than one per cent of complaints about unwanted fax marketing.</w:t>
      </w:r>
    </w:p>
    <w:p w14:paraId="410D88CB" w14:textId="77777777" w:rsidR="00BE3117" w:rsidRPr="00124637" w:rsidRDefault="007D4C6D" w:rsidP="00DF219E">
      <w:pPr>
        <w:pStyle w:val="Caption"/>
        <w:spacing w:after="120"/>
        <w:rPr>
          <w:rFonts w:cs="Arial"/>
          <w:color w:val="auto"/>
        </w:rPr>
      </w:pPr>
      <w:r w:rsidRPr="00124637">
        <w:rPr>
          <w:color w:val="auto"/>
        </w:rPr>
        <w:t>Complaints and reports (primary channels only) from members of the public about unsolicited communications</w:t>
      </w:r>
    </w:p>
    <w:tbl>
      <w:tblPr>
        <w:tblW w:w="7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6"/>
        <w:gridCol w:w="1383"/>
        <w:gridCol w:w="1383"/>
      </w:tblGrid>
      <w:tr w:rsidR="00BE3117" w:rsidRPr="00D8068E" w14:paraId="301DB1A7" w14:textId="77777777" w:rsidTr="007D4C6D">
        <w:trPr>
          <w:trHeight w:val="287"/>
        </w:trPr>
        <w:tc>
          <w:tcPr>
            <w:tcW w:w="4856" w:type="dxa"/>
            <w:tcBorders>
              <w:top w:val="single" w:sz="4" w:space="0" w:color="auto"/>
            </w:tcBorders>
            <w:shd w:val="clear" w:color="auto" w:fill="404040" w:themeFill="text1" w:themeFillTint="BF"/>
            <w:tcMar>
              <w:top w:w="57" w:type="dxa"/>
              <w:left w:w="57" w:type="dxa"/>
              <w:bottom w:w="57" w:type="dxa"/>
              <w:right w:w="57" w:type="dxa"/>
            </w:tcMar>
            <w:vAlign w:val="center"/>
          </w:tcPr>
          <w:p w14:paraId="3F459C94" w14:textId="77777777" w:rsidR="00BE3117" w:rsidRPr="00BE3117" w:rsidRDefault="00BE3117" w:rsidP="00BE3117">
            <w:pPr>
              <w:pStyle w:val="TableHeading"/>
              <w:rPr>
                <w:color w:val="FFFFFF" w:themeColor="background1"/>
              </w:rPr>
            </w:pPr>
            <w:r w:rsidRPr="00BE3117">
              <w:rPr>
                <w:color w:val="FFFFFF" w:themeColor="background1"/>
              </w:rPr>
              <w:t>Activity</w:t>
            </w:r>
          </w:p>
        </w:tc>
        <w:tc>
          <w:tcPr>
            <w:tcW w:w="1383" w:type="dxa"/>
            <w:tcBorders>
              <w:top w:val="single" w:sz="4" w:space="0" w:color="auto"/>
            </w:tcBorders>
            <w:shd w:val="clear" w:color="auto" w:fill="404040" w:themeFill="text1" w:themeFillTint="BF"/>
            <w:vAlign w:val="center"/>
          </w:tcPr>
          <w:p w14:paraId="6C94A285" w14:textId="77777777" w:rsidR="00BE3117" w:rsidRPr="00BE3117" w:rsidRDefault="00BE3117" w:rsidP="00BE3117">
            <w:pPr>
              <w:pStyle w:val="TableHeading"/>
              <w:rPr>
                <w:color w:val="FFFFFF" w:themeColor="background1"/>
              </w:rPr>
            </w:pPr>
            <w:r w:rsidRPr="00BE3117">
              <w:rPr>
                <w:color w:val="FFFFFF" w:themeColor="background1"/>
              </w:rPr>
              <w:t>2013–14</w:t>
            </w:r>
          </w:p>
        </w:tc>
        <w:tc>
          <w:tcPr>
            <w:tcW w:w="1383" w:type="dxa"/>
            <w:tcBorders>
              <w:top w:val="single" w:sz="4" w:space="0" w:color="auto"/>
            </w:tcBorders>
            <w:shd w:val="clear" w:color="auto" w:fill="404040" w:themeFill="text1" w:themeFillTint="BF"/>
            <w:vAlign w:val="center"/>
          </w:tcPr>
          <w:p w14:paraId="1D2BB078" w14:textId="77777777" w:rsidR="00BE3117" w:rsidRPr="00BE3117" w:rsidRDefault="00BE3117" w:rsidP="00BE3117">
            <w:pPr>
              <w:pStyle w:val="TableHeading"/>
              <w:jc w:val="right"/>
              <w:rPr>
                <w:color w:val="FFFFFF" w:themeColor="background1"/>
              </w:rPr>
            </w:pPr>
            <w:r w:rsidRPr="00BE3117">
              <w:rPr>
                <w:color w:val="FFFFFF" w:themeColor="background1"/>
              </w:rPr>
              <w:t>2014–15</w:t>
            </w:r>
          </w:p>
        </w:tc>
      </w:tr>
      <w:tr w:rsidR="007D4C6D" w:rsidRPr="00D8068E" w14:paraId="5A96EDC6" w14:textId="77777777" w:rsidTr="007D4C6D">
        <w:trPr>
          <w:trHeight w:val="287"/>
        </w:trPr>
        <w:tc>
          <w:tcPr>
            <w:tcW w:w="4856" w:type="dxa"/>
            <w:tcBorders>
              <w:top w:val="single" w:sz="4" w:space="0" w:color="auto"/>
            </w:tcBorders>
            <w:shd w:val="clear" w:color="auto" w:fill="auto"/>
            <w:tcMar>
              <w:top w:w="57" w:type="dxa"/>
              <w:left w:w="57" w:type="dxa"/>
              <w:bottom w:w="57" w:type="dxa"/>
              <w:right w:w="57" w:type="dxa"/>
            </w:tcMar>
            <w:vAlign w:val="center"/>
          </w:tcPr>
          <w:p w14:paraId="7E352722" w14:textId="77777777" w:rsidR="007D4C6D" w:rsidRPr="00124637" w:rsidRDefault="007D4C6D" w:rsidP="007D4C6D">
            <w:pPr>
              <w:pStyle w:val="TableBody"/>
            </w:pPr>
            <w:r w:rsidRPr="00124637">
              <w:t xml:space="preserve">Email complaints and reports </w:t>
            </w:r>
          </w:p>
        </w:tc>
        <w:tc>
          <w:tcPr>
            <w:tcW w:w="1383" w:type="dxa"/>
            <w:tcBorders>
              <w:top w:val="single" w:sz="4" w:space="0" w:color="auto"/>
            </w:tcBorders>
            <w:shd w:val="clear" w:color="auto" w:fill="auto"/>
            <w:vAlign w:val="center"/>
          </w:tcPr>
          <w:p w14:paraId="582B50E4" w14:textId="77777777" w:rsidR="007D4C6D" w:rsidRPr="00124637" w:rsidRDefault="007D4C6D" w:rsidP="007D4C6D">
            <w:pPr>
              <w:pStyle w:val="TableBody"/>
              <w:rPr>
                <w:b/>
              </w:rPr>
            </w:pPr>
            <w:r w:rsidRPr="00124637">
              <w:t>338,817</w:t>
            </w:r>
          </w:p>
        </w:tc>
        <w:tc>
          <w:tcPr>
            <w:tcW w:w="1383" w:type="dxa"/>
            <w:tcBorders>
              <w:top w:val="single" w:sz="4" w:space="0" w:color="auto"/>
            </w:tcBorders>
            <w:shd w:val="clear" w:color="auto" w:fill="auto"/>
            <w:vAlign w:val="center"/>
          </w:tcPr>
          <w:p w14:paraId="10CB1951" w14:textId="77777777" w:rsidR="007D4C6D" w:rsidRPr="00124637" w:rsidRDefault="007D4C6D" w:rsidP="007D4C6D">
            <w:pPr>
              <w:pStyle w:val="TableBody"/>
              <w:jc w:val="right"/>
              <w:rPr>
                <w:b/>
                <w:highlight w:val="yellow"/>
              </w:rPr>
            </w:pPr>
            <w:r w:rsidRPr="00124637">
              <w:t>343,948</w:t>
            </w:r>
          </w:p>
        </w:tc>
      </w:tr>
      <w:tr w:rsidR="007D4C6D" w:rsidRPr="00D8068E" w14:paraId="0C8F9F42" w14:textId="77777777" w:rsidTr="007D4C6D">
        <w:trPr>
          <w:trHeight w:val="287"/>
        </w:trPr>
        <w:tc>
          <w:tcPr>
            <w:tcW w:w="4856" w:type="dxa"/>
            <w:tcBorders>
              <w:top w:val="single" w:sz="4" w:space="0" w:color="auto"/>
            </w:tcBorders>
            <w:shd w:val="clear" w:color="auto" w:fill="auto"/>
            <w:tcMar>
              <w:top w:w="57" w:type="dxa"/>
              <w:left w:w="57" w:type="dxa"/>
              <w:bottom w:w="57" w:type="dxa"/>
              <w:right w:w="57" w:type="dxa"/>
            </w:tcMar>
            <w:vAlign w:val="center"/>
          </w:tcPr>
          <w:p w14:paraId="6B2CAB5B" w14:textId="77777777" w:rsidR="007D4C6D" w:rsidRPr="00124637" w:rsidRDefault="007D4C6D" w:rsidP="007D4C6D">
            <w:pPr>
              <w:pStyle w:val="TableBody"/>
            </w:pPr>
            <w:r w:rsidRPr="00124637">
              <w:t>SMS complaints and reports</w:t>
            </w:r>
          </w:p>
        </w:tc>
        <w:tc>
          <w:tcPr>
            <w:tcW w:w="1383" w:type="dxa"/>
            <w:tcBorders>
              <w:top w:val="single" w:sz="4" w:space="0" w:color="auto"/>
            </w:tcBorders>
            <w:shd w:val="clear" w:color="auto" w:fill="auto"/>
            <w:vAlign w:val="center"/>
          </w:tcPr>
          <w:p w14:paraId="2BB6A783" w14:textId="77777777" w:rsidR="007D4C6D" w:rsidRPr="00124637" w:rsidRDefault="007D4C6D" w:rsidP="007D4C6D">
            <w:pPr>
              <w:pStyle w:val="TableBody"/>
              <w:rPr>
                <w:b/>
              </w:rPr>
            </w:pPr>
            <w:r w:rsidRPr="00124637">
              <w:t>9,162</w:t>
            </w:r>
          </w:p>
        </w:tc>
        <w:tc>
          <w:tcPr>
            <w:tcW w:w="1383" w:type="dxa"/>
            <w:tcBorders>
              <w:top w:val="single" w:sz="4" w:space="0" w:color="auto"/>
            </w:tcBorders>
            <w:shd w:val="clear" w:color="auto" w:fill="auto"/>
            <w:vAlign w:val="center"/>
          </w:tcPr>
          <w:p w14:paraId="19452455" w14:textId="77777777" w:rsidR="007D4C6D" w:rsidRPr="00124637" w:rsidRDefault="007D4C6D" w:rsidP="007D4C6D">
            <w:pPr>
              <w:pStyle w:val="TableBody"/>
              <w:jc w:val="right"/>
              <w:rPr>
                <w:b/>
                <w:highlight w:val="yellow"/>
              </w:rPr>
            </w:pPr>
            <w:r w:rsidRPr="00124637">
              <w:t>7,077</w:t>
            </w:r>
          </w:p>
        </w:tc>
      </w:tr>
      <w:tr w:rsidR="007D4C6D" w:rsidRPr="00D8068E" w14:paraId="2C2DFF76" w14:textId="77777777" w:rsidTr="00A524B6">
        <w:trPr>
          <w:trHeight w:val="277"/>
        </w:trPr>
        <w:tc>
          <w:tcPr>
            <w:tcW w:w="4856" w:type="dxa"/>
            <w:shd w:val="clear" w:color="auto" w:fill="F2F2F2" w:themeFill="background1" w:themeFillShade="F2"/>
            <w:tcMar>
              <w:top w:w="57" w:type="dxa"/>
              <w:left w:w="57" w:type="dxa"/>
              <w:bottom w:w="57" w:type="dxa"/>
              <w:right w:w="57" w:type="dxa"/>
            </w:tcMar>
            <w:vAlign w:val="center"/>
          </w:tcPr>
          <w:p w14:paraId="7CDD5A4D" w14:textId="77777777" w:rsidR="007D4C6D" w:rsidRPr="00124637" w:rsidRDefault="007D4C6D" w:rsidP="007D4C6D">
            <w:pPr>
              <w:pStyle w:val="TableBody"/>
              <w:rPr>
                <w:b/>
              </w:rPr>
            </w:pPr>
            <w:r w:rsidRPr="00124637">
              <w:rPr>
                <w:b/>
              </w:rPr>
              <w:t>Total Spam Act</w:t>
            </w:r>
          </w:p>
        </w:tc>
        <w:tc>
          <w:tcPr>
            <w:tcW w:w="1383" w:type="dxa"/>
            <w:shd w:val="clear" w:color="auto" w:fill="F2F2F2" w:themeFill="background1" w:themeFillShade="F2"/>
            <w:vAlign w:val="center"/>
          </w:tcPr>
          <w:p w14:paraId="52DE2612" w14:textId="77777777" w:rsidR="007D4C6D" w:rsidRPr="00124637" w:rsidRDefault="007D4C6D" w:rsidP="007D4C6D">
            <w:pPr>
              <w:pStyle w:val="TableBody"/>
            </w:pPr>
            <w:r w:rsidRPr="00124637">
              <w:t>347,979</w:t>
            </w:r>
          </w:p>
        </w:tc>
        <w:tc>
          <w:tcPr>
            <w:tcW w:w="1383" w:type="dxa"/>
            <w:shd w:val="clear" w:color="auto" w:fill="F2F2F2" w:themeFill="background1" w:themeFillShade="F2"/>
            <w:vAlign w:val="center"/>
          </w:tcPr>
          <w:p w14:paraId="2F67622C" w14:textId="77777777" w:rsidR="007D4C6D" w:rsidRPr="00124637" w:rsidRDefault="007D4C6D" w:rsidP="007D4C6D">
            <w:pPr>
              <w:pStyle w:val="TableBody"/>
              <w:jc w:val="right"/>
              <w:rPr>
                <w:highlight w:val="yellow"/>
              </w:rPr>
            </w:pPr>
            <w:r w:rsidRPr="00124637">
              <w:rPr>
                <w:b/>
              </w:rPr>
              <w:t>351,025</w:t>
            </w:r>
          </w:p>
        </w:tc>
      </w:tr>
      <w:tr w:rsidR="007D4C6D" w:rsidRPr="00D8068E" w14:paraId="1EE30B14" w14:textId="77777777" w:rsidTr="007D4C6D">
        <w:trPr>
          <w:trHeight w:val="277"/>
        </w:trPr>
        <w:tc>
          <w:tcPr>
            <w:tcW w:w="4856" w:type="dxa"/>
            <w:shd w:val="clear" w:color="auto" w:fill="auto"/>
            <w:tcMar>
              <w:top w:w="57" w:type="dxa"/>
              <w:left w:w="57" w:type="dxa"/>
              <w:bottom w:w="57" w:type="dxa"/>
              <w:right w:w="57" w:type="dxa"/>
            </w:tcMar>
            <w:vAlign w:val="center"/>
          </w:tcPr>
          <w:p w14:paraId="7BAE24A9" w14:textId="77777777" w:rsidR="007D4C6D" w:rsidRPr="00124637" w:rsidRDefault="007D4C6D" w:rsidP="007D4C6D">
            <w:pPr>
              <w:pStyle w:val="TableBody"/>
            </w:pPr>
            <w:r w:rsidRPr="00124637">
              <w:t>Telemarketing</w:t>
            </w:r>
          </w:p>
        </w:tc>
        <w:tc>
          <w:tcPr>
            <w:tcW w:w="1383" w:type="dxa"/>
            <w:vAlign w:val="center"/>
          </w:tcPr>
          <w:p w14:paraId="62C15C95" w14:textId="77777777" w:rsidR="007D4C6D" w:rsidRPr="00124637" w:rsidRDefault="007D4C6D" w:rsidP="007D4C6D">
            <w:pPr>
              <w:pStyle w:val="TableBody"/>
            </w:pPr>
            <w:r w:rsidRPr="00124637">
              <w:t>20,232</w:t>
            </w:r>
          </w:p>
        </w:tc>
        <w:tc>
          <w:tcPr>
            <w:tcW w:w="1383" w:type="dxa"/>
            <w:vAlign w:val="center"/>
          </w:tcPr>
          <w:p w14:paraId="2F099D44" w14:textId="77777777" w:rsidR="007D4C6D" w:rsidRPr="00124637" w:rsidRDefault="007D4C6D" w:rsidP="007D4C6D">
            <w:pPr>
              <w:pStyle w:val="TableBody"/>
              <w:jc w:val="right"/>
              <w:rPr>
                <w:highlight w:val="yellow"/>
              </w:rPr>
            </w:pPr>
            <w:r w:rsidRPr="00124637">
              <w:t>18,081</w:t>
            </w:r>
          </w:p>
        </w:tc>
      </w:tr>
      <w:tr w:rsidR="007D4C6D" w:rsidRPr="00D8068E" w14:paraId="06751F7C" w14:textId="77777777" w:rsidTr="007D4C6D">
        <w:trPr>
          <w:trHeight w:val="277"/>
        </w:trPr>
        <w:tc>
          <w:tcPr>
            <w:tcW w:w="4856" w:type="dxa"/>
            <w:shd w:val="clear" w:color="auto" w:fill="auto"/>
            <w:tcMar>
              <w:top w:w="57" w:type="dxa"/>
              <w:left w:w="57" w:type="dxa"/>
              <w:bottom w:w="57" w:type="dxa"/>
              <w:right w:w="57" w:type="dxa"/>
            </w:tcMar>
            <w:vAlign w:val="center"/>
          </w:tcPr>
          <w:p w14:paraId="072CBBC9" w14:textId="77777777" w:rsidR="007D4C6D" w:rsidRPr="00124637" w:rsidRDefault="007D4C6D" w:rsidP="007D4C6D">
            <w:pPr>
              <w:pStyle w:val="TableBody"/>
            </w:pPr>
            <w:r w:rsidRPr="00124637">
              <w:t>Fax marketing</w:t>
            </w:r>
          </w:p>
        </w:tc>
        <w:tc>
          <w:tcPr>
            <w:tcW w:w="1383" w:type="dxa"/>
            <w:vAlign w:val="center"/>
          </w:tcPr>
          <w:p w14:paraId="5A2CC65D" w14:textId="77777777" w:rsidR="007D4C6D" w:rsidRPr="00124637" w:rsidRDefault="007D4C6D" w:rsidP="007D4C6D">
            <w:pPr>
              <w:pStyle w:val="TableBody"/>
            </w:pPr>
            <w:r w:rsidRPr="00124637">
              <w:t>230</w:t>
            </w:r>
          </w:p>
        </w:tc>
        <w:tc>
          <w:tcPr>
            <w:tcW w:w="1383" w:type="dxa"/>
            <w:vAlign w:val="center"/>
          </w:tcPr>
          <w:p w14:paraId="02C2CE68" w14:textId="77777777" w:rsidR="007D4C6D" w:rsidRPr="00124637" w:rsidRDefault="007D4C6D" w:rsidP="007D4C6D">
            <w:pPr>
              <w:pStyle w:val="TableBody"/>
              <w:jc w:val="right"/>
              <w:rPr>
                <w:highlight w:val="yellow"/>
              </w:rPr>
            </w:pPr>
            <w:r w:rsidRPr="00124637">
              <w:t>99</w:t>
            </w:r>
          </w:p>
        </w:tc>
      </w:tr>
      <w:tr w:rsidR="007D4C6D" w:rsidRPr="00D8068E" w14:paraId="035002F0" w14:textId="77777777" w:rsidTr="00A524B6">
        <w:trPr>
          <w:trHeight w:val="277"/>
        </w:trPr>
        <w:tc>
          <w:tcPr>
            <w:tcW w:w="4856" w:type="dxa"/>
            <w:shd w:val="clear" w:color="auto" w:fill="F2F2F2" w:themeFill="background1" w:themeFillShade="F2"/>
            <w:tcMar>
              <w:top w:w="57" w:type="dxa"/>
              <w:left w:w="57" w:type="dxa"/>
              <w:bottom w:w="57" w:type="dxa"/>
              <w:right w:w="57" w:type="dxa"/>
            </w:tcMar>
            <w:vAlign w:val="center"/>
          </w:tcPr>
          <w:p w14:paraId="56459843" w14:textId="77777777" w:rsidR="007D4C6D" w:rsidRPr="00124637" w:rsidRDefault="007D4C6D" w:rsidP="002F0433">
            <w:pPr>
              <w:pStyle w:val="TableBody"/>
              <w:rPr>
                <w:b/>
              </w:rPr>
            </w:pPr>
            <w:r w:rsidRPr="00124637">
              <w:rPr>
                <w:b/>
              </w:rPr>
              <w:t>Total DNCR Act</w:t>
            </w:r>
            <w:r w:rsidRPr="00124637">
              <w:rPr>
                <w:rFonts w:cs="Arial"/>
                <w:b/>
              </w:rPr>
              <w:t xml:space="preserve"> and related industry standards</w:t>
            </w:r>
          </w:p>
        </w:tc>
        <w:tc>
          <w:tcPr>
            <w:tcW w:w="1383" w:type="dxa"/>
            <w:shd w:val="clear" w:color="auto" w:fill="F2F2F2" w:themeFill="background1" w:themeFillShade="F2"/>
            <w:vAlign w:val="center"/>
          </w:tcPr>
          <w:p w14:paraId="46EF265C" w14:textId="77777777" w:rsidR="007D4C6D" w:rsidRPr="00124637" w:rsidRDefault="007D4C6D" w:rsidP="007D4C6D">
            <w:pPr>
              <w:pStyle w:val="TableBody"/>
            </w:pPr>
            <w:r w:rsidRPr="00124637">
              <w:t>20,462</w:t>
            </w:r>
          </w:p>
        </w:tc>
        <w:tc>
          <w:tcPr>
            <w:tcW w:w="1383" w:type="dxa"/>
            <w:shd w:val="clear" w:color="auto" w:fill="F2F2F2" w:themeFill="background1" w:themeFillShade="F2"/>
            <w:vAlign w:val="center"/>
          </w:tcPr>
          <w:p w14:paraId="5F9F74C8" w14:textId="77777777" w:rsidR="007D4C6D" w:rsidRPr="00124637" w:rsidRDefault="007D4C6D" w:rsidP="007D4C6D">
            <w:pPr>
              <w:pStyle w:val="TableBody"/>
              <w:jc w:val="right"/>
              <w:rPr>
                <w:highlight w:val="yellow"/>
              </w:rPr>
            </w:pPr>
            <w:r w:rsidRPr="00124637">
              <w:rPr>
                <w:b/>
              </w:rPr>
              <w:t>18,180</w:t>
            </w:r>
          </w:p>
        </w:tc>
      </w:tr>
    </w:tbl>
    <w:p w14:paraId="2F8D6257" w14:textId="77777777" w:rsidR="00830D0F" w:rsidRPr="00124637" w:rsidRDefault="00830D0F" w:rsidP="00421DD0">
      <w:pPr>
        <w:spacing w:before="240"/>
        <w:rPr>
          <w:rFonts w:cs="Arial"/>
        </w:rPr>
      </w:pPr>
      <w:r w:rsidRPr="00124637">
        <w:rPr>
          <w:rFonts w:cs="Arial"/>
        </w:rPr>
        <w:t xml:space="preserve">Once a business is identified from a complaint about non-compliance with the DNCR Act or </w:t>
      </w:r>
      <w:r w:rsidR="009E361F" w:rsidRPr="00124637">
        <w:rPr>
          <w:rFonts w:cs="Arial"/>
        </w:rPr>
        <w:t>i</w:t>
      </w:r>
      <w:r w:rsidRPr="00124637">
        <w:rPr>
          <w:rFonts w:cs="Arial"/>
        </w:rPr>
        <w:t xml:space="preserve">ndustry </w:t>
      </w:r>
      <w:r w:rsidR="009E361F" w:rsidRPr="00124637">
        <w:rPr>
          <w:rFonts w:cs="Arial"/>
        </w:rPr>
        <w:t>s</w:t>
      </w:r>
      <w:r w:rsidRPr="00124637">
        <w:rPr>
          <w:rFonts w:cs="Arial"/>
        </w:rPr>
        <w:t xml:space="preserve">tandards, </w:t>
      </w:r>
      <w:r w:rsidR="009E361F" w:rsidRPr="00124637">
        <w:rPr>
          <w:rFonts w:cs="Arial"/>
        </w:rPr>
        <w:t>it</w:t>
      </w:r>
      <w:r w:rsidRPr="00124637">
        <w:rPr>
          <w:rFonts w:cs="Arial"/>
        </w:rPr>
        <w:t xml:space="preserve"> is advised of its obligations under the Act. If further complaints are received, it is issued with an informal warning. Where voluntary compliance is not forthcoming and informal resolution is not achievable, the ACMA may escalate to a formal investigation. </w:t>
      </w:r>
      <w:r w:rsidR="009E361F" w:rsidRPr="00124637">
        <w:rPr>
          <w:rFonts w:cs="Arial"/>
        </w:rPr>
        <w:t>A</w:t>
      </w:r>
      <w:r w:rsidRPr="00124637">
        <w:rPr>
          <w:rFonts w:cs="Arial"/>
        </w:rPr>
        <w:t xml:space="preserve"> business that is the subject of a spam complaint or </w:t>
      </w:r>
      <w:r w:rsidR="002F0433" w:rsidRPr="00124637">
        <w:rPr>
          <w:rFonts w:cs="Arial"/>
        </w:rPr>
        <w:t xml:space="preserve">primary channel </w:t>
      </w:r>
      <w:r w:rsidRPr="00124637">
        <w:rPr>
          <w:rFonts w:cs="Arial"/>
        </w:rPr>
        <w:t xml:space="preserve">report may receive several informal warnings before escalation. </w:t>
      </w:r>
    </w:p>
    <w:p w14:paraId="5E028371" w14:textId="77777777" w:rsidR="002F0433" w:rsidRPr="00124637" w:rsidRDefault="002F0433" w:rsidP="002F0433">
      <w:pPr>
        <w:rPr>
          <w:rFonts w:cs="Arial"/>
        </w:rPr>
      </w:pPr>
      <w:r w:rsidRPr="00124637">
        <w:rPr>
          <w:rFonts w:cs="Arial"/>
        </w:rPr>
        <w:lastRenderedPageBreak/>
        <w:t xml:space="preserve">Table 25 summarises the informal and formal compliance actions taken by the ACMA for the Spam Act, DNCR Act and related industry standards in 2014–15. Because the total number of complaints about the DNCR Act and related industry standards decreased, the ACMA sent fewer advisory and informal warning letters than in </w:t>
      </w:r>
      <w:r w:rsidRPr="00124637">
        <w:rPr>
          <w:rFonts w:cs="Arial"/>
        </w:rPr>
        <w:br/>
        <w:t xml:space="preserve">2013–14. In </w:t>
      </w:r>
      <w:r w:rsidRPr="00124637">
        <w:t>2014–15, 75 per cent of businesses that attracted spam complaints and 78 per cent of businesses that attracted telemarketing complaints received no further complaints after being sent a single informal advisory or warning letter.</w:t>
      </w:r>
    </w:p>
    <w:p w14:paraId="21795CBF" w14:textId="77777777" w:rsidR="00BE3117" w:rsidRPr="00124637" w:rsidRDefault="00BE3117" w:rsidP="00BE3117">
      <w:pPr>
        <w:pStyle w:val="Caption"/>
        <w:keepNext/>
        <w:spacing w:after="120"/>
        <w:rPr>
          <w:color w:val="auto"/>
        </w:rPr>
      </w:pPr>
      <w:r w:rsidRPr="00124637">
        <w:rPr>
          <w:color w:val="auto"/>
        </w:rPr>
        <w:t>Graduated compliance activities and enforcement outcomes</w:t>
      </w:r>
    </w:p>
    <w:tbl>
      <w:tblPr>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540"/>
        <w:gridCol w:w="1540"/>
      </w:tblGrid>
      <w:tr w:rsidR="00BE3117" w:rsidRPr="00D8068E" w14:paraId="021CFE58" w14:textId="77777777" w:rsidTr="002F0433">
        <w:trPr>
          <w:trHeight w:val="287"/>
        </w:trPr>
        <w:tc>
          <w:tcPr>
            <w:tcW w:w="4957" w:type="dxa"/>
            <w:tcBorders>
              <w:top w:val="single" w:sz="4" w:space="0" w:color="auto"/>
            </w:tcBorders>
            <w:shd w:val="clear" w:color="auto" w:fill="404040" w:themeFill="text1" w:themeFillTint="BF"/>
            <w:tcMar>
              <w:top w:w="57" w:type="dxa"/>
              <w:left w:w="57" w:type="dxa"/>
              <w:bottom w:w="57" w:type="dxa"/>
              <w:right w:w="57" w:type="dxa"/>
            </w:tcMar>
            <w:vAlign w:val="center"/>
          </w:tcPr>
          <w:p w14:paraId="47E7C4EE" w14:textId="77777777" w:rsidR="00BE3117" w:rsidRPr="00BE3117" w:rsidRDefault="00BE3117" w:rsidP="00800C4D">
            <w:pPr>
              <w:pStyle w:val="TableHeading"/>
              <w:keepNext/>
              <w:keepLines/>
              <w:rPr>
                <w:rFonts w:cs="Arial"/>
                <w:color w:val="FFFFFF" w:themeColor="background1"/>
              </w:rPr>
            </w:pPr>
            <w:r w:rsidRPr="00BE3117">
              <w:rPr>
                <w:rFonts w:cs="Arial"/>
                <w:color w:val="FFFFFF" w:themeColor="background1"/>
              </w:rPr>
              <w:t>Activity</w:t>
            </w:r>
          </w:p>
        </w:tc>
        <w:tc>
          <w:tcPr>
            <w:tcW w:w="1540" w:type="dxa"/>
            <w:tcBorders>
              <w:top w:val="single" w:sz="4" w:space="0" w:color="auto"/>
            </w:tcBorders>
            <w:shd w:val="clear" w:color="auto" w:fill="404040" w:themeFill="text1" w:themeFillTint="BF"/>
            <w:vAlign w:val="center"/>
          </w:tcPr>
          <w:p w14:paraId="217ACB7C" w14:textId="77777777" w:rsidR="00BE3117" w:rsidRPr="00BE3117" w:rsidRDefault="00BE3117" w:rsidP="00BE3117">
            <w:pPr>
              <w:pStyle w:val="TableHeading"/>
              <w:keepNext/>
              <w:keepLines/>
              <w:rPr>
                <w:rFonts w:cs="Arial"/>
                <w:color w:val="FFFFFF" w:themeColor="background1"/>
              </w:rPr>
            </w:pPr>
            <w:r w:rsidRPr="00BE3117">
              <w:rPr>
                <w:rFonts w:cs="Arial"/>
                <w:color w:val="FFFFFF" w:themeColor="background1"/>
              </w:rPr>
              <w:t>2013–14</w:t>
            </w:r>
          </w:p>
        </w:tc>
        <w:tc>
          <w:tcPr>
            <w:tcW w:w="1540" w:type="dxa"/>
            <w:tcBorders>
              <w:top w:val="single" w:sz="4" w:space="0" w:color="auto"/>
            </w:tcBorders>
            <w:shd w:val="clear" w:color="auto" w:fill="404040" w:themeFill="text1" w:themeFillTint="BF"/>
            <w:vAlign w:val="center"/>
          </w:tcPr>
          <w:p w14:paraId="7EDD1289" w14:textId="77777777" w:rsidR="00BE3117" w:rsidRPr="00BE3117" w:rsidRDefault="00BE3117" w:rsidP="00800C4D">
            <w:pPr>
              <w:pStyle w:val="TableHeading"/>
              <w:keepNext/>
              <w:keepLines/>
              <w:jc w:val="right"/>
              <w:rPr>
                <w:rFonts w:cs="Arial"/>
                <w:color w:val="FFFFFF" w:themeColor="background1"/>
              </w:rPr>
            </w:pPr>
            <w:r w:rsidRPr="00BE3117">
              <w:rPr>
                <w:rFonts w:cs="Arial"/>
                <w:color w:val="FFFFFF" w:themeColor="background1"/>
              </w:rPr>
              <w:t>2014–15</w:t>
            </w:r>
          </w:p>
        </w:tc>
      </w:tr>
      <w:tr w:rsidR="00124637" w:rsidRPr="00124637" w14:paraId="5EA5FEE5" w14:textId="77777777" w:rsidTr="002F0433">
        <w:trPr>
          <w:trHeight w:val="287"/>
        </w:trPr>
        <w:tc>
          <w:tcPr>
            <w:tcW w:w="8037" w:type="dxa"/>
            <w:gridSpan w:val="3"/>
            <w:tcBorders>
              <w:top w:val="single" w:sz="4" w:space="0" w:color="auto"/>
            </w:tcBorders>
            <w:shd w:val="clear" w:color="auto" w:fill="F2F2F2" w:themeFill="background1" w:themeFillShade="F2"/>
            <w:tcMar>
              <w:top w:w="57" w:type="dxa"/>
              <w:left w:w="57" w:type="dxa"/>
              <w:bottom w:w="57" w:type="dxa"/>
              <w:right w:w="57" w:type="dxa"/>
            </w:tcMar>
            <w:vAlign w:val="center"/>
          </w:tcPr>
          <w:p w14:paraId="2D563117" w14:textId="77777777" w:rsidR="002F0433" w:rsidRPr="00124637" w:rsidRDefault="002F0433" w:rsidP="002F0433">
            <w:pPr>
              <w:pStyle w:val="TableTextLeft"/>
              <w:keepNext/>
              <w:keepLines/>
              <w:spacing w:before="0" w:after="0"/>
              <w:rPr>
                <w:rFonts w:cs="Arial"/>
                <w:b/>
                <w:sz w:val="20"/>
                <w:highlight w:val="yellow"/>
              </w:rPr>
            </w:pPr>
            <w:r w:rsidRPr="00124637">
              <w:rPr>
                <w:rFonts w:cs="Arial"/>
                <w:b/>
                <w:sz w:val="20"/>
              </w:rPr>
              <w:t xml:space="preserve">Spam Act </w:t>
            </w:r>
          </w:p>
        </w:tc>
      </w:tr>
      <w:tr w:rsidR="00124637" w:rsidRPr="00124637" w14:paraId="074EE241" w14:textId="77777777" w:rsidTr="002F0433">
        <w:trPr>
          <w:trHeight w:val="267"/>
        </w:trPr>
        <w:tc>
          <w:tcPr>
            <w:tcW w:w="4957" w:type="dxa"/>
            <w:shd w:val="clear" w:color="auto" w:fill="auto"/>
            <w:tcMar>
              <w:top w:w="57" w:type="dxa"/>
              <w:left w:w="57" w:type="dxa"/>
              <w:bottom w:w="57" w:type="dxa"/>
              <w:right w:w="57" w:type="dxa"/>
            </w:tcMar>
            <w:vAlign w:val="center"/>
          </w:tcPr>
          <w:p w14:paraId="2130893C" w14:textId="77777777" w:rsidR="002F0433" w:rsidRPr="00124637" w:rsidRDefault="002F0433" w:rsidP="002F0433">
            <w:pPr>
              <w:pStyle w:val="TableTextLeft"/>
              <w:keepNext/>
              <w:keepLines/>
              <w:spacing w:before="0" w:after="0"/>
              <w:rPr>
                <w:rFonts w:cs="Arial"/>
                <w:sz w:val="20"/>
              </w:rPr>
            </w:pPr>
            <w:r w:rsidRPr="00124637">
              <w:rPr>
                <w:rFonts w:cs="Arial"/>
                <w:sz w:val="20"/>
              </w:rPr>
              <w:t>Informal warnings</w:t>
            </w:r>
          </w:p>
        </w:tc>
        <w:tc>
          <w:tcPr>
            <w:tcW w:w="1540" w:type="dxa"/>
            <w:shd w:val="clear" w:color="auto" w:fill="auto"/>
            <w:vAlign w:val="center"/>
          </w:tcPr>
          <w:p w14:paraId="5E0D87CE" w14:textId="77777777" w:rsidR="002F0433" w:rsidRPr="00124637" w:rsidRDefault="002F0433" w:rsidP="002F0433">
            <w:pPr>
              <w:pStyle w:val="TableTextLeft"/>
              <w:keepNext/>
              <w:keepLines/>
              <w:spacing w:before="0" w:after="0"/>
              <w:rPr>
                <w:rFonts w:cs="Arial"/>
                <w:sz w:val="20"/>
              </w:rPr>
            </w:pPr>
            <w:r w:rsidRPr="00124637">
              <w:rPr>
                <w:rFonts w:cs="Arial"/>
                <w:sz w:val="20"/>
              </w:rPr>
              <w:t>4,697*</w:t>
            </w:r>
          </w:p>
        </w:tc>
        <w:tc>
          <w:tcPr>
            <w:tcW w:w="1540" w:type="dxa"/>
            <w:shd w:val="clear" w:color="auto" w:fill="auto"/>
            <w:vAlign w:val="center"/>
          </w:tcPr>
          <w:p w14:paraId="481FCED7"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6,918</w:t>
            </w:r>
          </w:p>
        </w:tc>
      </w:tr>
      <w:tr w:rsidR="00124637" w:rsidRPr="00124637" w14:paraId="0694F919" w14:textId="77777777" w:rsidTr="002F0433">
        <w:trPr>
          <w:trHeight w:val="166"/>
        </w:trPr>
        <w:tc>
          <w:tcPr>
            <w:tcW w:w="4957" w:type="dxa"/>
            <w:shd w:val="clear" w:color="auto" w:fill="auto"/>
            <w:tcMar>
              <w:top w:w="57" w:type="dxa"/>
              <w:left w:w="57" w:type="dxa"/>
              <w:bottom w:w="57" w:type="dxa"/>
              <w:right w:w="57" w:type="dxa"/>
            </w:tcMar>
            <w:vAlign w:val="center"/>
          </w:tcPr>
          <w:p w14:paraId="784A8A69" w14:textId="77777777" w:rsidR="002F0433" w:rsidRPr="00124637" w:rsidRDefault="002F0433" w:rsidP="002F0433">
            <w:pPr>
              <w:pStyle w:val="TableTextLeft"/>
              <w:keepNext/>
              <w:keepLines/>
              <w:spacing w:before="0" w:after="0"/>
              <w:rPr>
                <w:rFonts w:cs="Arial"/>
                <w:i/>
                <w:sz w:val="20"/>
              </w:rPr>
            </w:pPr>
            <w:r w:rsidRPr="00124637">
              <w:rPr>
                <w:rFonts w:cs="Arial"/>
                <w:sz w:val="20"/>
              </w:rPr>
              <w:t>Investigations</w:t>
            </w:r>
          </w:p>
        </w:tc>
        <w:tc>
          <w:tcPr>
            <w:tcW w:w="1540" w:type="dxa"/>
            <w:shd w:val="clear" w:color="auto" w:fill="auto"/>
            <w:vAlign w:val="center"/>
          </w:tcPr>
          <w:p w14:paraId="5EACE431" w14:textId="77777777" w:rsidR="002F0433" w:rsidRPr="00124637" w:rsidRDefault="002F0433" w:rsidP="002F0433">
            <w:pPr>
              <w:pStyle w:val="TableTextLeft"/>
              <w:keepNext/>
              <w:keepLines/>
              <w:spacing w:before="0" w:after="0"/>
              <w:rPr>
                <w:rFonts w:cs="Arial"/>
                <w:sz w:val="20"/>
              </w:rPr>
            </w:pPr>
            <w:r w:rsidRPr="00124637">
              <w:rPr>
                <w:rFonts w:cs="Arial"/>
                <w:sz w:val="20"/>
              </w:rPr>
              <w:t>10</w:t>
            </w:r>
          </w:p>
        </w:tc>
        <w:tc>
          <w:tcPr>
            <w:tcW w:w="1540" w:type="dxa"/>
            <w:shd w:val="clear" w:color="auto" w:fill="auto"/>
            <w:vAlign w:val="center"/>
          </w:tcPr>
          <w:p w14:paraId="29BB03FE" w14:textId="77777777" w:rsidR="002F0433" w:rsidRPr="00124637" w:rsidRDefault="002A2EB8" w:rsidP="002F0433">
            <w:pPr>
              <w:pStyle w:val="TableTextLeft"/>
              <w:keepNext/>
              <w:keepLines/>
              <w:spacing w:before="0" w:after="0"/>
              <w:jc w:val="right"/>
              <w:rPr>
                <w:rFonts w:cs="Arial"/>
                <w:sz w:val="20"/>
                <w:highlight w:val="yellow"/>
              </w:rPr>
            </w:pPr>
            <w:r w:rsidRPr="00124637">
              <w:rPr>
                <w:rFonts w:cs="Arial"/>
                <w:sz w:val="20"/>
              </w:rPr>
              <w:t>4</w:t>
            </w:r>
          </w:p>
        </w:tc>
      </w:tr>
      <w:tr w:rsidR="00124637" w:rsidRPr="00124637" w14:paraId="1852DDE5" w14:textId="77777777" w:rsidTr="002F0433">
        <w:trPr>
          <w:trHeight w:val="166"/>
        </w:trPr>
        <w:tc>
          <w:tcPr>
            <w:tcW w:w="4957" w:type="dxa"/>
            <w:shd w:val="clear" w:color="auto" w:fill="auto"/>
            <w:tcMar>
              <w:top w:w="57" w:type="dxa"/>
              <w:left w:w="57" w:type="dxa"/>
              <w:bottom w:w="57" w:type="dxa"/>
              <w:right w:w="57" w:type="dxa"/>
            </w:tcMar>
            <w:vAlign w:val="center"/>
          </w:tcPr>
          <w:p w14:paraId="1C24F50C"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Formal warnings</w:t>
            </w:r>
          </w:p>
        </w:tc>
        <w:tc>
          <w:tcPr>
            <w:tcW w:w="1540" w:type="dxa"/>
            <w:shd w:val="clear" w:color="auto" w:fill="auto"/>
            <w:vAlign w:val="center"/>
          </w:tcPr>
          <w:p w14:paraId="50D99357" w14:textId="77777777" w:rsidR="002F0433" w:rsidRPr="00124637" w:rsidRDefault="002F0433" w:rsidP="002F0433">
            <w:pPr>
              <w:pStyle w:val="TableTextLeft"/>
              <w:keepNext/>
              <w:keepLines/>
              <w:spacing w:before="0" w:after="0"/>
              <w:rPr>
                <w:rFonts w:cs="Arial"/>
                <w:sz w:val="20"/>
              </w:rPr>
            </w:pPr>
            <w:r w:rsidRPr="00124637">
              <w:rPr>
                <w:rFonts w:cs="Arial"/>
                <w:sz w:val="20"/>
              </w:rPr>
              <w:t>5</w:t>
            </w:r>
          </w:p>
        </w:tc>
        <w:tc>
          <w:tcPr>
            <w:tcW w:w="1540" w:type="dxa"/>
            <w:shd w:val="clear" w:color="auto" w:fill="auto"/>
            <w:vAlign w:val="center"/>
          </w:tcPr>
          <w:p w14:paraId="45F66378" w14:textId="77777777" w:rsidR="002F0433" w:rsidRPr="00124637" w:rsidRDefault="002A2EB8" w:rsidP="002F0433">
            <w:pPr>
              <w:pStyle w:val="TableTextLeft"/>
              <w:keepNext/>
              <w:keepLines/>
              <w:spacing w:before="0" w:after="0"/>
              <w:jc w:val="right"/>
              <w:rPr>
                <w:rFonts w:cs="Arial"/>
                <w:sz w:val="20"/>
                <w:highlight w:val="yellow"/>
              </w:rPr>
            </w:pPr>
            <w:r w:rsidRPr="00124637">
              <w:rPr>
                <w:rFonts w:cs="Arial"/>
                <w:sz w:val="20"/>
              </w:rPr>
              <w:t>2</w:t>
            </w:r>
          </w:p>
        </w:tc>
      </w:tr>
      <w:tr w:rsidR="00124637" w:rsidRPr="00124637" w14:paraId="01F1E34D" w14:textId="77777777" w:rsidTr="002F0433">
        <w:trPr>
          <w:trHeight w:val="166"/>
        </w:trPr>
        <w:tc>
          <w:tcPr>
            <w:tcW w:w="4957" w:type="dxa"/>
            <w:shd w:val="clear" w:color="auto" w:fill="auto"/>
            <w:tcMar>
              <w:top w:w="57" w:type="dxa"/>
              <w:left w:w="57" w:type="dxa"/>
              <w:bottom w:w="57" w:type="dxa"/>
              <w:right w:w="57" w:type="dxa"/>
            </w:tcMar>
            <w:vAlign w:val="center"/>
          </w:tcPr>
          <w:p w14:paraId="3E1751DD"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Enforceable undertakings</w:t>
            </w:r>
          </w:p>
        </w:tc>
        <w:tc>
          <w:tcPr>
            <w:tcW w:w="1540" w:type="dxa"/>
            <w:shd w:val="clear" w:color="auto" w:fill="auto"/>
            <w:vAlign w:val="center"/>
          </w:tcPr>
          <w:p w14:paraId="1FAC638E" w14:textId="77777777" w:rsidR="002F0433" w:rsidRPr="00124637" w:rsidRDefault="002F0433" w:rsidP="002F0433">
            <w:pPr>
              <w:pStyle w:val="TableTextLeft"/>
              <w:keepNext/>
              <w:keepLines/>
              <w:spacing w:before="0" w:after="0"/>
              <w:rPr>
                <w:rFonts w:cs="Arial"/>
                <w:sz w:val="20"/>
              </w:rPr>
            </w:pPr>
            <w:r w:rsidRPr="00124637">
              <w:rPr>
                <w:rFonts w:cs="Arial"/>
                <w:sz w:val="20"/>
              </w:rPr>
              <w:t>1</w:t>
            </w:r>
          </w:p>
        </w:tc>
        <w:tc>
          <w:tcPr>
            <w:tcW w:w="1540" w:type="dxa"/>
            <w:shd w:val="clear" w:color="auto" w:fill="auto"/>
            <w:vAlign w:val="center"/>
          </w:tcPr>
          <w:p w14:paraId="3373F104"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1</w:t>
            </w:r>
          </w:p>
        </w:tc>
      </w:tr>
      <w:tr w:rsidR="00124637" w:rsidRPr="00124637" w14:paraId="4A319D6D" w14:textId="77777777" w:rsidTr="002F0433">
        <w:trPr>
          <w:trHeight w:val="166"/>
        </w:trPr>
        <w:tc>
          <w:tcPr>
            <w:tcW w:w="4957" w:type="dxa"/>
            <w:shd w:val="clear" w:color="auto" w:fill="auto"/>
            <w:tcMar>
              <w:top w:w="57" w:type="dxa"/>
              <w:left w:w="57" w:type="dxa"/>
              <w:bottom w:w="57" w:type="dxa"/>
              <w:right w:w="57" w:type="dxa"/>
            </w:tcMar>
            <w:vAlign w:val="center"/>
          </w:tcPr>
          <w:p w14:paraId="37A9A0F8"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Infringement notices</w:t>
            </w:r>
          </w:p>
        </w:tc>
        <w:tc>
          <w:tcPr>
            <w:tcW w:w="1540" w:type="dxa"/>
            <w:shd w:val="clear" w:color="auto" w:fill="auto"/>
            <w:vAlign w:val="center"/>
          </w:tcPr>
          <w:p w14:paraId="01911315" w14:textId="77777777" w:rsidR="002F0433" w:rsidRPr="00124637" w:rsidRDefault="002F0433" w:rsidP="002F0433">
            <w:pPr>
              <w:pStyle w:val="TableTextLeft"/>
              <w:keepNext/>
              <w:keepLines/>
              <w:spacing w:before="0" w:after="0"/>
              <w:rPr>
                <w:rFonts w:cs="Arial"/>
                <w:sz w:val="20"/>
              </w:rPr>
            </w:pPr>
            <w:r w:rsidRPr="00124637">
              <w:rPr>
                <w:rFonts w:cs="Arial"/>
                <w:sz w:val="20"/>
              </w:rPr>
              <w:t>3</w:t>
            </w:r>
          </w:p>
        </w:tc>
        <w:tc>
          <w:tcPr>
            <w:tcW w:w="1540" w:type="dxa"/>
            <w:shd w:val="clear" w:color="auto" w:fill="auto"/>
            <w:vAlign w:val="center"/>
          </w:tcPr>
          <w:p w14:paraId="3595AD99"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1</w:t>
            </w:r>
          </w:p>
        </w:tc>
      </w:tr>
      <w:tr w:rsidR="00124637" w:rsidRPr="00124637" w14:paraId="4D867E42" w14:textId="77777777" w:rsidTr="002F0433">
        <w:trPr>
          <w:trHeight w:val="166"/>
        </w:trPr>
        <w:tc>
          <w:tcPr>
            <w:tcW w:w="8037" w:type="dxa"/>
            <w:gridSpan w:val="3"/>
            <w:shd w:val="clear" w:color="auto" w:fill="F2F2F2" w:themeFill="background1" w:themeFillShade="F2"/>
            <w:tcMar>
              <w:top w:w="57" w:type="dxa"/>
              <w:left w:w="57" w:type="dxa"/>
              <w:bottom w:w="57" w:type="dxa"/>
              <w:right w:w="57" w:type="dxa"/>
            </w:tcMar>
            <w:vAlign w:val="center"/>
          </w:tcPr>
          <w:p w14:paraId="6C71318A" w14:textId="77777777" w:rsidR="002F0433" w:rsidRPr="00124637" w:rsidRDefault="002F0433" w:rsidP="002F0433">
            <w:pPr>
              <w:pStyle w:val="TableTextLeft"/>
              <w:keepNext/>
              <w:keepLines/>
              <w:spacing w:before="0" w:after="0"/>
              <w:rPr>
                <w:rFonts w:cs="Arial"/>
                <w:b/>
                <w:sz w:val="20"/>
                <w:highlight w:val="yellow"/>
              </w:rPr>
            </w:pPr>
            <w:r w:rsidRPr="00124637">
              <w:rPr>
                <w:rFonts w:cs="Arial"/>
                <w:b/>
                <w:sz w:val="20"/>
              </w:rPr>
              <w:t>DNCR Act and related industry standards</w:t>
            </w:r>
          </w:p>
        </w:tc>
      </w:tr>
      <w:tr w:rsidR="00124637" w:rsidRPr="00124637" w14:paraId="359809C8" w14:textId="77777777" w:rsidTr="002F0433">
        <w:trPr>
          <w:trHeight w:val="166"/>
        </w:trPr>
        <w:tc>
          <w:tcPr>
            <w:tcW w:w="4957" w:type="dxa"/>
            <w:shd w:val="clear" w:color="auto" w:fill="auto"/>
            <w:tcMar>
              <w:top w:w="57" w:type="dxa"/>
              <w:left w:w="57" w:type="dxa"/>
              <w:bottom w:w="57" w:type="dxa"/>
              <w:right w:w="57" w:type="dxa"/>
            </w:tcMar>
            <w:vAlign w:val="center"/>
          </w:tcPr>
          <w:p w14:paraId="3BA67F05" w14:textId="77777777" w:rsidR="002F0433" w:rsidRPr="00124637" w:rsidRDefault="002F0433" w:rsidP="002F0433">
            <w:pPr>
              <w:pStyle w:val="TableTextLeft"/>
              <w:keepNext/>
              <w:keepLines/>
              <w:spacing w:before="0" w:after="0"/>
              <w:rPr>
                <w:rFonts w:cs="Arial"/>
                <w:sz w:val="20"/>
              </w:rPr>
            </w:pPr>
            <w:r w:rsidRPr="00124637">
              <w:rPr>
                <w:rFonts w:cs="Arial"/>
                <w:sz w:val="20"/>
              </w:rPr>
              <w:t>Advisory letters</w:t>
            </w:r>
          </w:p>
        </w:tc>
        <w:tc>
          <w:tcPr>
            <w:tcW w:w="1540" w:type="dxa"/>
            <w:shd w:val="clear" w:color="auto" w:fill="auto"/>
            <w:vAlign w:val="center"/>
          </w:tcPr>
          <w:p w14:paraId="7D63C2DF" w14:textId="77777777" w:rsidR="002F0433" w:rsidRPr="00124637" w:rsidRDefault="002F0433" w:rsidP="002F0433">
            <w:pPr>
              <w:pStyle w:val="TableTextLeft"/>
              <w:keepNext/>
              <w:keepLines/>
              <w:spacing w:before="0" w:after="0"/>
              <w:rPr>
                <w:rFonts w:cs="Arial"/>
                <w:sz w:val="20"/>
              </w:rPr>
            </w:pPr>
            <w:r w:rsidRPr="00124637">
              <w:rPr>
                <w:rFonts w:cs="Arial"/>
                <w:sz w:val="20"/>
              </w:rPr>
              <w:t>940*</w:t>
            </w:r>
          </w:p>
        </w:tc>
        <w:tc>
          <w:tcPr>
            <w:tcW w:w="1540" w:type="dxa"/>
            <w:shd w:val="clear" w:color="auto" w:fill="auto"/>
            <w:vAlign w:val="center"/>
          </w:tcPr>
          <w:p w14:paraId="7737DFF7"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880</w:t>
            </w:r>
          </w:p>
        </w:tc>
      </w:tr>
      <w:tr w:rsidR="00124637" w:rsidRPr="00124637" w14:paraId="48C8690B" w14:textId="77777777" w:rsidTr="002F0433">
        <w:trPr>
          <w:trHeight w:val="166"/>
        </w:trPr>
        <w:tc>
          <w:tcPr>
            <w:tcW w:w="4957" w:type="dxa"/>
            <w:shd w:val="clear" w:color="auto" w:fill="auto"/>
            <w:tcMar>
              <w:top w:w="57" w:type="dxa"/>
              <w:left w:w="57" w:type="dxa"/>
              <w:bottom w:w="57" w:type="dxa"/>
              <w:right w:w="57" w:type="dxa"/>
            </w:tcMar>
            <w:vAlign w:val="center"/>
          </w:tcPr>
          <w:p w14:paraId="24BC0BA9" w14:textId="77777777" w:rsidR="002F0433" w:rsidRPr="00124637" w:rsidRDefault="002F0433" w:rsidP="002F0433">
            <w:pPr>
              <w:pStyle w:val="TableTextLeft"/>
              <w:keepNext/>
              <w:keepLines/>
              <w:spacing w:before="0" w:after="0"/>
              <w:rPr>
                <w:rFonts w:cs="Arial"/>
                <w:sz w:val="20"/>
              </w:rPr>
            </w:pPr>
            <w:r w:rsidRPr="00124637">
              <w:rPr>
                <w:rFonts w:cs="Arial"/>
                <w:sz w:val="20"/>
              </w:rPr>
              <w:t>Informal warnings</w:t>
            </w:r>
          </w:p>
        </w:tc>
        <w:tc>
          <w:tcPr>
            <w:tcW w:w="1540" w:type="dxa"/>
            <w:shd w:val="clear" w:color="auto" w:fill="auto"/>
            <w:vAlign w:val="center"/>
          </w:tcPr>
          <w:p w14:paraId="5D18093E" w14:textId="77777777" w:rsidR="002F0433" w:rsidRPr="00124637" w:rsidRDefault="002F0433" w:rsidP="002F0433">
            <w:pPr>
              <w:pStyle w:val="TableTextLeft"/>
              <w:keepNext/>
              <w:keepLines/>
              <w:spacing w:before="0" w:after="0"/>
              <w:rPr>
                <w:rFonts w:cs="Arial"/>
                <w:sz w:val="20"/>
              </w:rPr>
            </w:pPr>
            <w:r w:rsidRPr="00124637">
              <w:rPr>
                <w:rFonts w:cs="Arial"/>
                <w:sz w:val="20"/>
              </w:rPr>
              <w:t>114*</w:t>
            </w:r>
          </w:p>
        </w:tc>
        <w:tc>
          <w:tcPr>
            <w:tcW w:w="1540" w:type="dxa"/>
            <w:shd w:val="clear" w:color="auto" w:fill="auto"/>
            <w:vAlign w:val="center"/>
          </w:tcPr>
          <w:p w14:paraId="7E2767DC"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82</w:t>
            </w:r>
          </w:p>
        </w:tc>
      </w:tr>
      <w:tr w:rsidR="00124637" w:rsidRPr="00124637" w14:paraId="320A3261" w14:textId="77777777" w:rsidTr="002F0433">
        <w:trPr>
          <w:trHeight w:val="166"/>
        </w:trPr>
        <w:tc>
          <w:tcPr>
            <w:tcW w:w="4957" w:type="dxa"/>
            <w:shd w:val="clear" w:color="auto" w:fill="auto"/>
            <w:tcMar>
              <w:top w:w="57" w:type="dxa"/>
              <w:left w:w="57" w:type="dxa"/>
              <w:bottom w:w="57" w:type="dxa"/>
              <w:right w:w="57" w:type="dxa"/>
            </w:tcMar>
            <w:vAlign w:val="center"/>
          </w:tcPr>
          <w:p w14:paraId="4B72AA3B" w14:textId="77777777" w:rsidR="002F0433" w:rsidRPr="00124637" w:rsidRDefault="002F0433" w:rsidP="002F0433">
            <w:pPr>
              <w:pStyle w:val="TableTextLeft"/>
              <w:keepNext/>
              <w:keepLines/>
              <w:spacing w:before="0" w:after="0"/>
              <w:rPr>
                <w:rFonts w:cs="Arial"/>
                <w:sz w:val="20"/>
              </w:rPr>
            </w:pPr>
            <w:r w:rsidRPr="00124637">
              <w:rPr>
                <w:rFonts w:cs="Arial"/>
                <w:sz w:val="20"/>
              </w:rPr>
              <w:t>Investigations</w:t>
            </w:r>
          </w:p>
        </w:tc>
        <w:tc>
          <w:tcPr>
            <w:tcW w:w="1540" w:type="dxa"/>
            <w:shd w:val="clear" w:color="auto" w:fill="auto"/>
            <w:vAlign w:val="center"/>
          </w:tcPr>
          <w:p w14:paraId="08F96E1B" w14:textId="77777777" w:rsidR="002F0433" w:rsidRPr="00124637" w:rsidRDefault="002A2EB8" w:rsidP="002F0433">
            <w:pPr>
              <w:pStyle w:val="TableTextLeft"/>
              <w:keepNext/>
              <w:keepLines/>
              <w:spacing w:before="0" w:after="0"/>
              <w:rPr>
                <w:rFonts w:cs="Arial"/>
                <w:sz w:val="20"/>
              </w:rPr>
            </w:pPr>
            <w:r w:rsidRPr="00124637">
              <w:rPr>
                <w:rFonts w:cs="Arial"/>
                <w:sz w:val="20"/>
              </w:rPr>
              <w:t>5</w:t>
            </w:r>
          </w:p>
        </w:tc>
        <w:tc>
          <w:tcPr>
            <w:tcW w:w="1540" w:type="dxa"/>
            <w:shd w:val="clear" w:color="auto" w:fill="auto"/>
            <w:vAlign w:val="center"/>
          </w:tcPr>
          <w:p w14:paraId="6401BF06"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5</w:t>
            </w:r>
          </w:p>
        </w:tc>
      </w:tr>
      <w:tr w:rsidR="00124637" w:rsidRPr="00124637" w14:paraId="389E5F6D" w14:textId="77777777" w:rsidTr="002F0433">
        <w:trPr>
          <w:trHeight w:val="166"/>
        </w:trPr>
        <w:tc>
          <w:tcPr>
            <w:tcW w:w="4957" w:type="dxa"/>
            <w:shd w:val="clear" w:color="auto" w:fill="auto"/>
            <w:tcMar>
              <w:top w:w="57" w:type="dxa"/>
              <w:left w:w="57" w:type="dxa"/>
              <w:bottom w:w="57" w:type="dxa"/>
              <w:right w:w="57" w:type="dxa"/>
            </w:tcMar>
            <w:vAlign w:val="center"/>
          </w:tcPr>
          <w:p w14:paraId="4C3B8DFA"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Formal warnings</w:t>
            </w:r>
          </w:p>
        </w:tc>
        <w:tc>
          <w:tcPr>
            <w:tcW w:w="1540" w:type="dxa"/>
            <w:shd w:val="clear" w:color="auto" w:fill="auto"/>
            <w:vAlign w:val="center"/>
          </w:tcPr>
          <w:p w14:paraId="23C28863" w14:textId="77777777" w:rsidR="002F0433" w:rsidRPr="00124637" w:rsidRDefault="002F0433" w:rsidP="002F0433">
            <w:pPr>
              <w:pStyle w:val="TableTextLeft"/>
              <w:keepNext/>
              <w:keepLines/>
              <w:spacing w:before="0" w:after="0"/>
              <w:rPr>
                <w:rFonts w:cs="Arial"/>
                <w:sz w:val="20"/>
              </w:rPr>
            </w:pPr>
            <w:r w:rsidRPr="00124637">
              <w:rPr>
                <w:rFonts w:cs="Arial"/>
                <w:sz w:val="20"/>
              </w:rPr>
              <w:t>2</w:t>
            </w:r>
          </w:p>
        </w:tc>
        <w:tc>
          <w:tcPr>
            <w:tcW w:w="1540" w:type="dxa"/>
            <w:shd w:val="clear" w:color="auto" w:fill="auto"/>
            <w:vAlign w:val="center"/>
          </w:tcPr>
          <w:p w14:paraId="78F70C43" w14:textId="77777777" w:rsidR="002F0433" w:rsidRPr="00124637" w:rsidRDefault="002F0433" w:rsidP="002F0433">
            <w:pPr>
              <w:pStyle w:val="TableTextLeft"/>
              <w:keepNext/>
              <w:keepLines/>
              <w:spacing w:before="0" w:after="0"/>
              <w:jc w:val="right"/>
              <w:rPr>
                <w:rFonts w:cs="Arial"/>
                <w:sz w:val="20"/>
                <w:highlight w:val="yellow"/>
              </w:rPr>
            </w:pPr>
            <w:r w:rsidRPr="00124637">
              <w:rPr>
                <w:rFonts w:cs="Arial"/>
                <w:sz w:val="20"/>
              </w:rPr>
              <w:t>1</w:t>
            </w:r>
          </w:p>
        </w:tc>
      </w:tr>
      <w:tr w:rsidR="00124637" w:rsidRPr="00124637" w14:paraId="3E180720" w14:textId="77777777" w:rsidTr="002F0433">
        <w:trPr>
          <w:trHeight w:val="166"/>
        </w:trPr>
        <w:tc>
          <w:tcPr>
            <w:tcW w:w="4957" w:type="dxa"/>
            <w:shd w:val="clear" w:color="auto" w:fill="auto"/>
            <w:tcMar>
              <w:top w:w="57" w:type="dxa"/>
              <w:left w:w="57" w:type="dxa"/>
              <w:bottom w:w="57" w:type="dxa"/>
              <w:right w:w="57" w:type="dxa"/>
            </w:tcMar>
            <w:vAlign w:val="center"/>
          </w:tcPr>
          <w:p w14:paraId="2EBFA075"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Enforceable undertakings</w:t>
            </w:r>
          </w:p>
        </w:tc>
        <w:tc>
          <w:tcPr>
            <w:tcW w:w="1540" w:type="dxa"/>
            <w:shd w:val="clear" w:color="auto" w:fill="auto"/>
            <w:vAlign w:val="center"/>
          </w:tcPr>
          <w:p w14:paraId="087B6367" w14:textId="77777777" w:rsidR="002F0433" w:rsidRPr="00124637" w:rsidRDefault="002F0433" w:rsidP="002F0433">
            <w:pPr>
              <w:pStyle w:val="TableTextLeft"/>
              <w:keepNext/>
              <w:keepLines/>
              <w:spacing w:before="0" w:after="0"/>
              <w:rPr>
                <w:rFonts w:cs="Arial"/>
                <w:sz w:val="20"/>
              </w:rPr>
            </w:pPr>
            <w:r w:rsidRPr="00124637">
              <w:rPr>
                <w:rFonts w:cs="Arial"/>
                <w:sz w:val="20"/>
              </w:rPr>
              <w:t>2</w:t>
            </w:r>
          </w:p>
        </w:tc>
        <w:tc>
          <w:tcPr>
            <w:tcW w:w="1540" w:type="dxa"/>
            <w:shd w:val="clear" w:color="auto" w:fill="auto"/>
            <w:vAlign w:val="center"/>
          </w:tcPr>
          <w:p w14:paraId="00A1110E" w14:textId="77777777" w:rsidR="002F0433" w:rsidRPr="00124637" w:rsidRDefault="002F0433" w:rsidP="002F0433">
            <w:pPr>
              <w:pStyle w:val="TableTextLeft"/>
              <w:keepNext/>
              <w:keepLines/>
              <w:spacing w:before="0" w:after="0"/>
              <w:jc w:val="right"/>
              <w:rPr>
                <w:rFonts w:cs="Arial"/>
                <w:sz w:val="20"/>
              </w:rPr>
            </w:pPr>
            <w:r w:rsidRPr="00124637">
              <w:rPr>
                <w:rFonts w:cs="Arial"/>
                <w:sz w:val="20"/>
              </w:rPr>
              <w:t>0</w:t>
            </w:r>
          </w:p>
        </w:tc>
      </w:tr>
      <w:tr w:rsidR="00124637" w:rsidRPr="00124637" w14:paraId="091D8C53" w14:textId="77777777" w:rsidTr="002F0433">
        <w:trPr>
          <w:trHeight w:val="166"/>
        </w:trPr>
        <w:tc>
          <w:tcPr>
            <w:tcW w:w="4957" w:type="dxa"/>
            <w:shd w:val="clear" w:color="auto" w:fill="auto"/>
            <w:tcMar>
              <w:top w:w="57" w:type="dxa"/>
              <w:left w:w="57" w:type="dxa"/>
              <w:bottom w:w="57" w:type="dxa"/>
              <w:right w:w="57" w:type="dxa"/>
            </w:tcMar>
            <w:vAlign w:val="center"/>
          </w:tcPr>
          <w:p w14:paraId="3AD62394" w14:textId="77777777" w:rsidR="002F0433" w:rsidRPr="00124637" w:rsidRDefault="002F0433" w:rsidP="002F0433">
            <w:pPr>
              <w:pStyle w:val="TableTextLeft"/>
              <w:keepNext/>
              <w:keepLines/>
              <w:spacing w:before="0" w:after="0"/>
              <w:rPr>
                <w:rFonts w:cs="Arial"/>
                <w:b/>
                <w:i/>
                <w:sz w:val="20"/>
              </w:rPr>
            </w:pPr>
            <w:r w:rsidRPr="00124637">
              <w:rPr>
                <w:rFonts w:cs="Arial"/>
                <w:i/>
                <w:sz w:val="20"/>
              </w:rPr>
              <w:tab/>
              <w:t>Infringement notices</w:t>
            </w:r>
          </w:p>
        </w:tc>
        <w:tc>
          <w:tcPr>
            <w:tcW w:w="1540" w:type="dxa"/>
            <w:shd w:val="clear" w:color="auto" w:fill="auto"/>
            <w:vAlign w:val="center"/>
          </w:tcPr>
          <w:p w14:paraId="441FB89C" w14:textId="77777777" w:rsidR="002F0433" w:rsidRPr="00124637" w:rsidRDefault="002F0433" w:rsidP="002F0433">
            <w:pPr>
              <w:pStyle w:val="TableTextLeft"/>
              <w:keepNext/>
              <w:keepLines/>
              <w:spacing w:before="0" w:after="0"/>
              <w:rPr>
                <w:rFonts w:cs="Arial"/>
                <w:sz w:val="20"/>
              </w:rPr>
            </w:pPr>
            <w:r w:rsidRPr="00124637">
              <w:rPr>
                <w:rFonts w:cs="Arial"/>
                <w:sz w:val="20"/>
              </w:rPr>
              <w:t>1</w:t>
            </w:r>
          </w:p>
        </w:tc>
        <w:tc>
          <w:tcPr>
            <w:tcW w:w="1540" w:type="dxa"/>
            <w:shd w:val="clear" w:color="auto" w:fill="auto"/>
            <w:vAlign w:val="center"/>
          </w:tcPr>
          <w:p w14:paraId="0FFA1C54" w14:textId="77777777" w:rsidR="002F0433" w:rsidRPr="00124637" w:rsidRDefault="002F0433" w:rsidP="002F0433">
            <w:pPr>
              <w:pStyle w:val="TableTextLeft"/>
              <w:keepNext/>
              <w:keepLines/>
              <w:spacing w:before="0" w:after="0"/>
              <w:jc w:val="right"/>
              <w:rPr>
                <w:rFonts w:cs="Arial"/>
                <w:sz w:val="20"/>
              </w:rPr>
            </w:pPr>
            <w:r w:rsidRPr="00124637">
              <w:rPr>
                <w:rFonts w:cs="Arial"/>
                <w:sz w:val="20"/>
              </w:rPr>
              <w:t>0</w:t>
            </w:r>
          </w:p>
        </w:tc>
      </w:tr>
    </w:tbl>
    <w:p w14:paraId="4D9CFC68" w14:textId="77777777" w:rsidR="002F0433" w:rsidRPr="00124637" w:rsidRDefault="002F0433" w:rsidP="002F0433">
      <w:pPr>
        <w:pStyle w:val="ACMANotes"/>
      </w:pPr>
      <w:r w:rsidRPr="00124637">
        <w:t>*Revised from previous year.</w:t>
      </w:r>
    </w:p>
    <w:p w14:paraId="1A8BFAB9" w14:textId="77777777" w:rsidR="002F0433" w:rsidRPr="00124637" w:rsidRDefault="002F0433" w:rsidP="002F0433">
      <w:pPr>
        <w:spacing w:before="240" w:after="80"/>
        <w:rPr>
          <w:rFonts w:cs="Arial"/>
          <w:szCs w:val="20"/>
        </w:rPr>
      </w:pPr>
      <w:r w:rsidRPr="00124637">
        <w:t xml:space="preserve">During 2014–15, the ACMA finalised five telemarketing- and five spam-related investigations under Part 26 of the Telecommunications Act. </w:t>
      </w:r>
    </w:p>
    <w:p w14:paraId="071E55FD" w14:textId="77777777" w:rsidR="002F0433" w:rsidRPr="00124637" w:rsidRDefault="002F0433" w:rsidP="002F0433">
      <w:pPr>
        <w:keepNext/>
        <w:spacing w:before="240" w:after="80"/>
        <w:rPr>
          <w:rFonts w:ascii="Calibri" w:hAnsi="Calibri"/>
          <w:sz w:val="22"/>
          <w:szCs w:val="22"/>
          <w:lang w:eastAsia="en-US"/>
        </w:rPr>
      </w:pPr>
      <w:r w:rsidRPr="00124637">
        <w:t>For the telemarketing investigations:</w:t>
      </w:r>
    </w:p>
    <w:p w14:paraId="31D58907" w14:textId="77777777" w:rsidR="002F0433" w:rsidRPr="00124637" w:rsidRDefault="002F0433" w:rsidP="002F0433">
      <w:pPr>
        <w:pStyle w:val="ListBullet"/>
        <w:rPr>
          <w:lang w:val="en-US"/>
        </w:rPr>
      </w:pPr>
      <w:r w:rsidRPr="00124637">
        <w:rPr>
          <w:lang w:val="en-US"/>
        </w:rPr>
        <w:t>the ACMA issued one formal warning for contraventions of the DNCR Act to Sputt Link Pty Ltd</w:t>
      </w:r>
    </w:p>
    <w:p w14:paraId="67F69B45" w14:textId="77777777" w:rsidR="002F0433" w:rsidRPr="00124637" w:rsidRDefault="002F0433" w:rsidP="002F0433">
      <w:pPr>
        <w:pStyle w:val="ListBullet"/>
        <w:rPr>
          <w:lang w:val="en-US"/>
        </w:rPr>
      </w:pPr>
      <w:r w:rsidRPr="00124637">
        <w:rPr>
          <w:lang w:val="en-US"/>
        </w:rPr>
        <w:t>the remaining four investigations resulted in no findings/administrative closure without enforcement outcomes.</w:t>
      </w:r>
    </w:p>
    <w:p w14:paraId="7AAF9C13" w14:textId="77777777" w:rsidR="002F0433" w:rsidRPr="00124637" w:rsidRDefault="002F0433" w:rsidP="002F0433">
      <w:pPr>
        <w:keepNext/>
        <w:spacing w:before="240" w:after="80"/>
      </w:pPr>
      <w:r w:rsidRPr="00124637">
        <w:t>For contraventions of the Spam Act:</w:t>
      </w:r>
    </w:p>
    <w:p w14:paraId="3E038854" w14:textId="77777777" w:rsidR="002F0433" w:rsidRPr="00124637" w:rsidRDefault="002F0433" w:rsidP="002F0433">
      <w:pPr>
        <w:pStyle w:val="ListBullet"/>
      </w:pPr>
      <w:r w:rsidRPr="00124637">
        <w:t>the ACMA accepted one enforceable undertaking from Club Retail Pty Ltd</w:t>
      </w:r>
    </w:p>
    <w:p w14:paraId="2891C912" w14:textId="77777777" w:rsidR="002F0433" w:rsidRPr="00124637" w:rsidRDefault="002F0433" w:rsidP="002F0433">
      <w:pPr>
        <w:pStyle w:val="ListBullet"/>
      </w:pPr>
      <w:r w:rsidRPr="00124637">
        <w:t>an infringement notice was paid by AUSvance LLC</w:t>
      </w:r>
    </w:p>
    <w:p w14:paraId="7BDB871C" w14:textId="77777777" w:rsidR="002F0433" w:rsidRPr="00124637" w:rsidRDefault="002F0433" w:rsidP="002F0433">
      <w:pPr>
        <w:pStyle w:val="ListBulletLast"/>
      </w:pPr>
      <w:r w:rsidRPr="00124637">
        <w:t xml:space="preserve">the ACMA issued </w:t>
      </w:r>
      <w:r w:rsidR="002A2EB8" w:rsidRPr="00124637">
        <w:t>two</w:t>
      </w:r>
      <w:r w:rsidRPr="00124637">
        <w:t xml:space="preserve"> formal warnings—one to Australian Premier Products trading as Get Wines Direct and </w:t>
      </w:r>
      <w:r w:rsidR="002A2EB8" w:rsidRPr="00124637">
        <w:t>another</w:t>
      </w:r>
      <w:r w:rsidRPr="00124637">
        <w:t xml:space="preserve"> to Vadkho Pty Ltd trading as GoDeals.</w:t>
      </w:r>
    </w:p>
    <w:p w14:paraId="2FDB39A1" w14:textId="77777777" w:rsidR="00D8068E" w:rsidRPr="00124637" w:rsidRDefault="00541FFA" w:rsidP="00055904">
      <w:pPr>
        <w:pStyle w:val="Heading3"/>
      </w:pPr>
      <w:bookmarkStart w:id="319" w:name="_Toc433703399"/>
      <w:r w:rsidRPr="00124637">
        <w:t>E</w:t>
      </w:r>
      <w:r w:rsidR="00D8068E" w:rsidRPr="00124637">
        <w:t>ducation initiatives and stakeholder engagement</w:t>
      </w:r>
      <w:bookmarkEnd w:id="319"/>
    </w:p>
    <w:p w14:paraId="083EA417" w14:textId="77777777" w:rsidR="00D8068E" w:rsidRPr="00124637" w:rsidRDefault="00D8068E" w:rsidP="00D8068E">
      <w:pPr>
        <w:keepNext/>
        <w:spacing w:after="80"/>
        <w:rPr>
          <w:rFonts w:cs="Arial"/>
        </w:rPr>
      </w:pPr>
      <w:r w:rsidRPr="00124637">
        <w:rPr>
          <w:rFonts w:cs="Arial"/>
        </w:rPr>
        <w:t>To help businesses meet their unsolicited communications obligations and the public deal with unsolicited marketing, the ACMA engages in targeted educational activities. This includes:</w:t>
      </w:r>
    </w:p>
    <w:p w14:paraId="6629CE96" w14:textId="7E84A74C" w:rsidR="00D8068E" w:rsidRPr="00124637" w:rsidRDefault="006270A1" w:rsidP="00E605C0">
      <w:pPr>
        <w:pStyle w:val="ListBullet"/>
        <w:rPr>
          <w:i/>
        </w:rPr>
      </w:pPr>
      <w:r w:rsidRPr="00124637">
        <w:rPr>
          <w:b/>
        </w:rPr>
        <w:t>Two i</w:t>
      </w:r>
      <w:r w:rsidR="00DE1F14">
        <w:rPr>
          <w:b/>
        </w:rPr>
        <w:t>ndustry blog streams</w:t>
      </w:r>
      <w:r w:rsidRPr="00124637">
        <w:t>—</w:t>
      </w:r>
      <w:r w:rsidR="00D8068E" w:rsidRPr="00124637">
        <w:t>aimed directly at businesse</w:t>
      </w:r>
      <w:r w:rsidR="00055904" w:rsidRPr="00124637">
        <w:t xml:space="preserve">s that engage in telemarketing </w:t>
      </w:r>
      <w:r w:rsidR="00D8068E" w:rsidRPr="00124637">
        <w:t>and e-marketing</w:t>
      </w:r>
      <w:r w:rsidRPr="00124637">
        <w:t xml:space="preserve">, </w:t>
      </w:r>
      <w:r w:rsidRPr="00124637">
        <w:rPr>
          <w:i/>
        </w:rPr>
        <w:t xml:space="preserve">Successful e-marketing ... it’s about reputation </w:t>
      </w:r>
      <w:r w:rsidRPr="00124637">
        <w:t>and</w:t>
      </w:r>
      <w:r w:rsidR="00D8068E" w:rsidRPr="00124637">
        <w:t xml:space="preserve"> </w:t>
      </w:r>
      <w:r w:rsidRPr="00124637">
        <w:rPr>
          <w:i/>
        </w:rPr>
        <w:lastRenderedPageBreak/>
        <w:t>Better telemarketing … take the right line</w:t>
      </w:r>
      <w:r w:rsidRPr="00124637">
        <w:t xml:space="preserve"> </w:t>
      </w:r>
      <w:r w:rsidR="00D8068E" w:rsidRPr="00124637">
        <w:t>promote and encourage busi</w:t>
      </w:r>
      <w:r w:rsidRPr="00124637">
        <w:t>nesses to comply with the rules.</w:t>
      </w:r>
    </w:p>
    <w:p w14:paraId="6CE72E3A" w14:textId="77777777" w:rsidR="00D8068E" w:rsidRPr="00124637" w:rsidRDefault="00D04DF2" w:rsidP="00D04DF2">
      <w:pPr>
        <w:pStyle w:val="ListBullet"/>
      </w:pPr>
      <w:r w:rsidRPr="00124637">
        <w:rPr>
          <w:b/>
        </w:rPr>
        <w:t>Consumer a</w:t>
      </w:r>
      <w:r w:rsidR="00D8068E" w:rsidRPr="00124637">
        <w:rPr>
          <w:b/>
        </w:rPr>
        <w:t>lerts</w:t>
      </w:r>
      <w:r w:rsidR="006270A1" w:rsidRPr="00124637">
        <w:t>—</w:t>
      </w:r>
      <w:r w:rsidR="00D8068E" w:rsidRPr="00124637">
        <w:t>inform the community about pertinent issues such as new malware or scams that are circulating.</w:t>
      </w:r>
    </w:p>
    <w:p w14:paraId="7BE549D3" w14:textId="77777777" w:rsidR="00D8068E" w:rsidRPr="00124637" w:rsidRDefault="00D8068E" w:rsidP="00476D23">
      <w:pPr>
        <w:pStyle w:val="ListBullet"/>
      </w:pPr>
      <w:r w:rsidRPr="00124637">
        <w:rPr>
          <w:b/>
        </w:rPr>
        <w:t>Social media</w:t>
      </w:r>
      <w:r w:rsidR="006270A1" w:rsidRPr="00124637">
        <w:t>—a</w:t>
      </w:r>
      <w:r w:rsidRPr="00124637">
        <w:t>s well as using traditional channels, the ACMA increasingly engages with members of the public on telemarketing and spam-related issues via Facebook and Twitter. These channels also enable the ACMA to quickly issue alerts and warnings about apparent phone, email and SMS scams in circulation.</w:t>
      </w:r>
    </w:p>
    <w:p w14:paraId="264E0D14" w14:textId="77777777" w:rsidR="001C4D21" w:rsidRPr="00124637" w:rsidRDefault="00476D23" w:rsidP="001C4D21">
      <w:pPr>
        <w:pStyle w:val="ListBulletLast"/>
      </w:pPr>
      <w:r w:rsidRPr="00124637">
        <w:rPr>
          <w:b/>
        </w:rPr>
        <w:t>Targeted e</w:t>
      </w:r>
      <w:r w:rsidR="00D8068E" w:rsidRPr="00124637">
        <w:rPr>
          <w:b/>
        </w:rPr>
        <w:t xml:space="preserve">ducation </w:t>
      </w:r>
      <w:r w:rsidRPr="00124637">
        <w:rPr>
          <w:b/>
        </w:rPr>
        <w:t>c</w:t>
      </w:r>
      <w:r w:rsidR="00D8068E" w:rsidRPr="00124637">
        <w:rPr>
          <w:b/>
        </w:rPr>
        <w:t>ampaigns</w:t>
      </w:r>
      <w:r w:rsidRPr="00124637">
        <w:t>—d</w:t>
      </w:r>
      <w:r w:rsidR="001C4D21" w:rsidRPr="00124637">
        <w:t xml:space="preserve">uring </w:t>
      </w:r>
      <w:r w:rsidRPr="00124637">
        <w:t>2014–15</w:t>
      </w:r>
      <w:r w:rsidR="001C4D21" w:rsidRPr="00124637">
        <w:t xml:space="preserve">, the ACMA observed a high number of complaints about telemarketing calls </w:t>
      </w:r>
      <w:r w:rsidRPr="00124637">
        <w:t>on the</w:t>
      </w:r>
      <w:r w:rsidR="001C4D21" w:rsidRPr="00124637">
        <w:t xml:space="preserve"> installation of retail solar energy equipment. To address apparent systemic problems underlying these complaints, the ACMA </w:t>
      </w:r>
      <w:r w:rsidRPr="00124637">
        <w:t>began</w:t>
      </w:r>
      <w:r w:rsidR="001C4D21" w:rsidRPr="00124637">
        <w:t xml:space="preserve"> a targeted education campaign to </w:t>
      </w:r>
      <w:r w:rsidRPr="00124637">
        <w:t>educate</w:t>
      </w:r>
      <w:r w:rsidR="001C4D21" w:rsidRPr="00124637">
        <w:t xml:space="preserve"> industry </w:t>
      </w:r>
      <w:r w:rsidRPr="00124637">
        <w:t xml:space="preserve">on complying with the DNCR Act and </w:t>
      </w:r>
      <w:r w:rsidR="001C4D21" w:rsidRPr="00124637">
        <w:t>Telemarketing and Research Calls Industry Standard. The results of this campaign will be assessed in 2015</w:t>
      </w:r>
      <w:r w:rsidRPr="00124637">
        <w:t>–</w:t>
      </w:r>
      <w:r w:rsidR="001C4D21" w:rsidRPr="00124637">
        <w:t>16.</w:t>
      </w:r>
    </w:p>
    <w:p w14:paraId="1B58819F" w14:textId="77777777" w:rsidR="00D8068E" w:rsidRPr="00124637" w:rsidRDefault="00D8068E" w:rsidP="00476D23">
      <w:pPr>
        <w:pStyle w:val="Heading3"/>
      </w:pPr>
      <w:bookmarkStart w:id="320" w:name="_Toc433703400"/>
      <w:r w:rsidRPr="00124637">
        <w:t>International cooperation</w:t>
      </w:r>
      <w:bookmarkEnd w:id="320"/>
    </w:p>
    <w:p w14:paraId="2D7183EF" w14:textId="77777777" w:rsidR="00D8068E" w:rsidRPr="00124637" w:rsidRDefault="00D8068E" w:rsidP="00D8068E">
      <w:pPr>
        <w:spacing w:after="80"/>
        <w:rPr>
          <w:rFonts w:cs="Arial"/>
        </w:rPr>
      </w:pPr>
      <w:r w:rsidRPr="00124637">
        <w:rPr>
          <w:rFonts w:cs="Arial"/>
        </w:rPr>
        <w:t>Recognising that it is a global issue, the ACMA strives to be an international leader and influential in combating unsolicited communications. The aim of cooperating internationally is to reduce the impact on Australians of unsolicited communications originating elsewhere. In 2014–15, the ACMA actively participated in a number of international efforts to counter unsolicited telemarketing calls and spam:</w:t>
      </w:r>
    </w:p>
    <w:p w14:paraId="76DF3320" w14:textId="77777777" w:rsidR="00D8068E" w:rsidRPr="00124637" w:rsidRDefault="00D8068E" w:rsidP="00D8068E">
      <w:pPr>
        <w:pStyle w:val="ListBullet"/>
        <w:rPr>
          <w:rFonts w:cs="Arial"/>
        </w:rPr>
      </w:pPr>
      <w:r w:rsidRPr="00124637">
        <w:rPr>
          <w:rFonts w:cs="Arial"/>
          <w:b/>
        </w:rPr>
        <w:t>London Action Plan</w:t>
      </w:r>
      <w:r w:rsidRPr="00124637">
        <w:rPr>
          <w:rFonts w:cs="Arial"/>
        </w:rPr>
        <w:t xml:space="preserve">—the LAP is a prominent international forum that fosters spam enforcement cooperation between its members. The LAP has 45 government members, 28 industry participants and five observers. </w:t>
      </w:r>
    </w:p>
    <w:p w14:paraId="6BB94184" w14:textId="77777777" w:rsidR="00D8068E" w:rsidRPr="00124637" w:rsidRDefault="00D8068E" w:rsidP="00D04DF2">
      <w:pPr>
        <w:pStyle w:val="ListBullet"/>
      </w:pPr>
      <w:r w:rsidRPr="00124637">
        <w:rPr>
          <w:b/>
        </w:rPr>
        <w:t>International Do Not Call Network</w:t>
      </w:r>
      <w:r w:rsidR="00476D23" w:rsidRPr="00124637">
        <w:t>—the n</w:t>
      </w:r>
      <w:r w:rsidRPr="00124637">
        <w:t>etwork (</w:t>
      </w:r>
      <w:r w:rsidR="00055904" w:rsidRPr="00124637">
        <w:t>affiliated with</w:t>
      </w:r>
      <w:r w:rsidRPr="00124637">
        <w:t xml:space="preserve"> the </w:t>
      </w:r>
      <w:r w:rsidR="00476D23" w:rsidRPr="00124637">
        <w:t>LAP</w:t>
      </w:r>
      <w:r w:rsidRPr="00124637">
        <w:t xml:space="preserve">) focuses on unsolicited telemarketing calls and administering Do Not Call schemes in members’ respective jurisdictions. </w:t>
      </w:r>
    </w:p>
    <w:p w14:paraId="3D135E90" w14:textId="77777777" w:rsidR="00D8068E" w:rsidRPr="00124637" w:rsidRDefault="00D8068E" w:rsidP="00D8068E">
      <w:pPr>
        <w:pStyle w:val="ListBulletLast"/>
      </w:pPr>
      <w:r w:rsidRPr="00124637">
        <w:rPr>
          <w:b/>
        </w:rPr>
        <w:t>2014 Internet Governance Forum</w:t>
      </w:r>
      <w:r w:rsidR="00476D23" w:rsidRPr="00124637">
        <w:t>—s</w:t>
      </w:r>
      <w:r w:rsidRPr="00124637">
        <w:t>ponsored by the United Nations Secretary General</w:t>
      </w:r>
      <w:r w:rsidR="00476D23" w:rsidRPr="00124637">
        <w:t>, the IGF</w:t>
      </w:r>
      <w:r w:rsidRPr="00124637">
        <w:t xml:space="preserve"> brings together a range of stakeholders to discuss public policy issues related to internet governance. In 2014,</w:t>
      </w:r>
      <w:r w:rsidR="00476D23" w:rsidRPr="00124637">
        <w:t xml:space="preserve"> the ACMA contributed to a best-</w:t>
      </w:r>
      <w:r w:rsidRPr="00124637">
        <w:t>practice group on spam.</w:t>
      </w:r>
    </w:p>
    <w:p w14:paraId="2B1F8CA9" w14:textId="77777777" w:rsidR="00D8068E" w:rsidRPr="00124637" w:rsidRDefault="00D8068E" w:rsidP="00D8068E">
      <w:pPr>
        <w:pStyle w:val="Heading2"/>
      </w:pPr>
      <w:bookmarkStart w:id="321" w:name="DNCR"/>
      <w:bookmarkStart w:id="322" w:name="_Toc433703401"/>
      <w:bookmarkEnd w:id="321"/>
      <w:r w:rsidRPr="00124637">
        <w:t>Do Not Call Register</w:t>
      </w:r>
      <w:bookmarkEnd w:id="322"/>
    </w:p>
    <w:p w14:paraId="7463FAC5" w14:textId="77777777" w:rsidR="001C4D21" w:rsidRPr="00124637" w:rsidRDefault="00701A67" w:rsidP="00421DD0">
      <w:pPr>
        <w:rPr>
          <w:rFonts w:cs="Arial"/>
        </w:rPr>
      </w:pPr>
      <w:r w:rsidRPr="00124637">
        <w:rPr>
          <w:rFonts w:cs="Arial"/>
        </w:rPr>
        <w:t>From May 201</w:t>
      </w:r>
      <w:r w:rsidR="001C4D21" w:rsidRPr="00124637">
        <w:rPr>
          <w:rFonts w:cs="Arial"/>
        </w:rPr>
        <w:t>5, registrations of numbers on the Do Not Call Register became permanent. Under previous arrangements, registrations expired after eight years.</w:t>
      </w:r>
    </w:p>
    <w:p w14:paraId="3A984D6E" w14:textId="77777777" w:rsidR="00055904" w:rsidRPr="00124637" w:rsidRDefault="00055904" w:rsidP="00055904">
      <w:pPr>
        <w:rPr>
          <w:rFonts w:cs="Arial"/>
        </w:rPr>
      </w:pPr>
      <w:r w:rsidRPr="00124637">
        <w:rPr>
          <w:rFonts w:cs="Arial"/>
        </w:rPr>
        <w:t>In 2014–15, 660,000 fixed-line, mobile and fax numbers were added to the register, for a total of 10.26 million numbers at 30 June 2015. This comprised 5.39 million fixed-line numbers, 4.46 million mobile numbers and 410,000 fax numbers (see Figure 3). Registration is free and numbers can be added, checked or removed at any time.</w:t>
      </w:r>
    </w:p>
    <w:p w14:paraId="7FDF4428" w14:textId="77777777" w:rsidR="001C4D21" w:rsidRPr="00124637" w:rsidRDefault="001C4D21" w:rsidP="001C4D21">
      <w:pPr>
        <w:rPr>
          <w:rFonts w:cs="Arial"/>
        </w:rPr>
      </w:pPr>
      <w:r w:rsidRPr="00124637">
        <w:rPr>
          <w:rFonts w:cs="Arial"/>
        </w:rPr>
        <w:t xml:space="preserve">To </w:t>
      </w:r>
      <w:r w:rsidR="00802051" w:rsidRPr="00124637">
        <w:rPr>
          <w:rFonts w:cs="Arial"/>
        </w:rPr>
        <w:t>help them comply</w:t>
      </w:r>
      <w:r w:rsidRPr="00124637">
        <w:rPr>
          <w:rFonts w:cs="Arial"/>
        </w:rPr>
        <w:t xml:space="preserve"> with the DNCR Act, telemarketers and fax marketers can submit their call lists for checking against the register. In 2014–15, over 960 million numbers were checked or ‘washed’ against the register by 1,096 telemarketers and fax marketers.</w:t>
      </w:r>
    </w:p>
    <w:p w14:paraId="3346B283" w14:textId="77777777" w:rsidR="00BE3117" w:rsidRPr="00124637" w:rsidRDefault="00BE3117" w:rsidP="00BE3117">
      <w:pPr>
        <w:pStyle w:val="Captionfigure"/>
        <w:spacing w:after="120"/>
        <w:rPr>
          <w:color w:val="auto"/>
        </w:rPr>
      </w:pPr>
      <w:r w:rsidRPr="00124637">
        <w:rPr>
          <w:color w:val="auto"/>
        </w:rPr>
        <w:lastRenderedPageBreak/>
        <w:t>Fixed-line, mobile and fax numbers listed on the Do Not Call Register, 2010</w:t>
      </w:r>
      <w:r w:rsidR="008B4F11" w:rsidRPr="00124637">
        <w:rPr>
          <w:color w:val="auto"/>
        </w:rPr>
        <w:t>–11 to 2014–</w:t>
      </w:r>
      <w:r w:rsidRPr="00124637">
        <w:rPr>
          <w:color w:val="auto"/>
        </w:rPr>
        <w:t>15</w:t>
      </w:r>
    </w:p>
    <w:p w14:paraId="3A3B085B" w14:textId="209EE612" w:rsidR="00DF219E" w:rsidRDefault="00D04BE3" w:rsidP="00D04BE3">
      <w:pPr>
        <w:pStyle w:val="ACMASpaceaftertable"/>
        <w:spacing w:after="0"/>
      </w:pPr>
      <w:r>
        <w:rPr>
          <w:noProof/>
        </w:rPr>
        <w:drawing>
          <wp:inline distT="0" distB="0" distL="0" distR="0" wp14:anchorId="0AECFAC3" wp14:editId="499D4423">
            <wp:extent cx="5531020" cy="2277480"/>
            <wp:effectExtent l="0" t="0" r="0" b="8890"/>
            <wp:docPr id="26" name="Picture 26" title="Graph showing numbers of fixed-line, mobile and fax numbers listed on the Do Not Call Register, 2010–11 to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551265" cy="2285816"/>
                    </a:xfrm>
                    <a:prstGeom prst="rect">
                      <a:avLst/>
                    </a:prstGeom>
                  </pic:spPr>
                </pic:pic>
              </a:graphicData>
            </a:graphic>
          </wp:inline>
        </w:drawing>
      </w:r>
    </w:p>
    <w:p w14:paraId="47251F12" w14:textId="77777777" w:rsidR="00D04BE3" w:rsidRPr="00D04BE3" w:rsidRDefault="00D04BE3" w:rsidP="00D04BE3">
      <w:pPr>
        <w:pStyle w:val="ACMASpaceaftertable"/>
      </w:pPr>
    </w:p>
    <w:p w14:paraId="05BC70D1" w14:textId="77777777" w:rsidR="00D8068E" w:rsidRPr="00124637" w:rsidRDefault="00D8068E" w:rsidP="00E95B86">
      <w:pPr>
        <w:pStyle w:val="Heading2"/>
        <w:spacing w:before="120"/>
      </w:pPr>
      <w:bookmarkStart w:id="323" w:name="_Toc433703402"/>
      <w:r w:rsidRPr="00124637">
        <w:t>De-registration of Internet</w:t>
      </w:r>
      <w:r w:rsidR="00D04DF2" w:rsidRPr="00124637">
        <w:t xml:space="preserve"> Industry Spam Code of Practice</w:t>
      </w:r>
      <w:bookmarkEnd w:id="323"/>
    </w:p>
    <w:bookmarkEnd w:id="315"/>
    <w:p w14:paraId="2940A8AA" w14:textId="77777777" w:rsidR="001C4D21" w:rsidRPr="00124637" w:rsidRDefault="001C4D21" w:rsidP="00D04BE3">
      <w:pPr>
        <w:spacing w:after="0"/>
      </w:pPr>
      <w:r w:rsidRPr="00124637">
        <w:t>On 16 October 2014, the ACMA de-registered the Internet Industry Spam Code of Practice, following a public consultation process.</w:t>
      </w:r>
    </w:p>
    <w:p w14:paraId="30935814" w14:textId="77777777" w:rsidR="001C4D21" w:rsidRPr="00124637" w:rsidRDefault="001C4D21" w:rsidP="001C4D21">
      <w:r w:rsidRPr="00124637">
        <w:t>The ACMA considered that the code had n</w:t>
      </w:r>
      <w:r w:rsidR="00055904" w:rsidRPr="00124637">
        <w:t>o ongoing utility in protecting</w:t>
      </w:r>
      <w:r w:rsidRPr="00124637">
        <w:t xml:space="preserve"> networks and subscribers from email spam. The code was developed and registered in 2006 to provide an operational framework for ISPs and email service providers to address email spam on its networks. Since this time</w:t>
      </w:r>
      <w:r w:rsidR="008B4F11" w:rsidRPr="00124637">
        <w:t>,</w:t>
      </w:r>
      <w:r w:rsidRPr="00124637">
        <w:t xml:space="preserve"> ISPs and email service providers have deployed mechanisms for meeting the threat of email spam (as well as other emerging abuses) that were developed without reference to </w:t>
      </w:r>
      <w:r w:rsidR="008B4F11" w:rsidRPr="00124637">
        <w:t xml:space="preserve">the code </w:t>
      </w:r>
      <w:r w:rsidRPr="00124637">
        <w:t>and go beyond</w:t>
      </w:r>
      <w:r w:rsidR="008B4F11" w:rsidRPr="00124637">
        <w:t xml:space="preserve"> its framework</w:t>
      </w:r>
      <w:r w:rsidRPr="00124637">
        <w:t>.</w:t>
      </w:r>
    </w:p>
    <w:p w14:paraId="1FA6B456" w14:textId="77777777" w:rsidR="001C4D21" w:rsidRPr="00124637" w:rsidRDefault="001C4D21" w:rsidP="001C4D21">
      <w:pPr>
        <w:rPr>
          <w:rFonts w:ascii="Calibri" w:hAnsi="Calibri"/>
        </w:rPr>
      </w:pPr>
      <w:r w:rsidRPr="00124637">
        <w:t>Existing protections in the Spam Act continue to provide appropriate community safeguards against spam.</w:t>
      </w:r>
    </w:p>
    <w:p w14:paraId="5960FC24" w14:textId="0B73444A" w:rsidR="000F2488" w:rsidRPr="00E605C0" w:rsidRDefault="00212A85" w:rsidP="000F2488">
      <w:pPr>
        <w:pStyle w:val="Heading1"/>
        <w:spacing w:after="120" w:line="360" w:lineRule="atLeast"/>
        <w:rPr>
          <w:sz w:val="36"/>
          <w:szCs w:val="36"/>
        </w:rPr>
      </w:pPr>
      <w:bookmarkStart w:id="324" w:name="_Toc433703403"/>
      <w:r w:rsidRPr="00583E1B">
        <w:rPr>
          <w:i/>
          <w:noProof/>
          <w:sz w:val="36"/>
          <w:szCs w:val="36"/>
        </w:rPr>
        <w:lastRenderedPageBreak/>
        <w:drawing>
          <wp:anchor distT="0" distB="0" distL="114300" distR="114300" simplePos="0" relativeHeight="251666432" behindDoc="1" locked="0" layoutInCell="1" allowOverlap="1" wp14:anchorId="34514FF2" wp14:editId="38CA7DC2">
            <wp:simplePos x="0" y="0"/>
            <wp:positionH relativeFrom="column">
              <wp:posOffset>-243</wp:posOffset>
            </wp:positionH>
            <wp:positionV relativeFrom="paragraph">
              <wp:posOffset>338</wp:posOffset>
            </wp:positionV>
            <wp:extent cx="1028700" cy="1612900"/>
            <wp:effectExtent l="0" t="0" r="0" b="6350"/>
            <wp:wrapTight wrapText="bothSides">
              <wp:wrapPolygon edited="0">
                <wp:start x="0" y="0"/>
                <wp:lineTo x="0" y="21430"/>
                <wp:lineTo x="21200" y="21430"/>
                <wp:lineTo x="21200" y="0"/>
                <wp:lineTo x="0" y="0"/>
              </wp:wrapPolygon>
            </wp:wrapTight>
            <wp:docPr id="19" name="Picture 19" title="Icon of 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V.jpg"/>
                    <pic:cNvPicPr/>
                  </pic:nvPicPr>
                  <pic:blipFill>
                    <a:blip r:embed="rId42">
                      <a:extLst>
                        <a:ext uri="{28A0092B-C50C-407E-A947-70E740481C1C}">
                          <a14:useLocalDpi xmlns:a14="http://schemas.microsoft.com/office/drawing/2010/main" val="0"/>
                        </a:ext>
                      </a:extLst>
                    </a:blip>
                    <a:stretch>
                      <a:fillRect/>
                    </a:stretch>
                  </pic:blipFill>
                  <pic:spPr>
                    <a:xfrm>
                      <a:off x="0" y="0"/>
                      <a:ext cx="1028700" cy="1612900"/>
                    </a:xfrm>
                    <a:prstGeom prst="rect">
                      <a:avLst/>
                    </a:prstGeom>
                  </pic:spPr>
                </pic:pic>
              </a:graphicData>
            </a:graphic>
            <wp14:sizeRelH relativeFrom="page">
              <wp14:pctWidth>0</wp14:pctWidth>
            </wp14:sizeRelH>
            <wp14:sizeRelV relativeFrom="page">
              <wp14:pctHeight>0</wp14:pctHeight>
            </wp14:sizeRelV>
          </wp:anchor>
        </w:drawing>
      </w:r>
      <w:r w:rsidR="00163CCB" w:rsidRPr="00583E1B">
        <w:rPr>
          <w:i/>
          <w:sz w:val="36"/>
          <w:szCs w:val="36"/>
        </w:rPr>
        <w:t>D</w:t>
      </w:r>
      <w:r w:rsidR="00583E1B" w:rsidRPr="00583E1B">
        <w:rPr>
          <w:i/>
          <w:sz w:val="36"/>
          <w:szCs w:val="36"/>
        </w:rPr>
        <w:t>eliverable</w:t>
      </w:r>
      <w:r w:rsidR="00163CCB" w:rsidRPr="00E605C0">
        <w:rPr>
          <w:sz w:val="36"/>
          <w:szCs w:val="36"/>
        </w:rPr>
        <w:t>: Maintain effective broadcasting and community standards</w:t>
      </w:r>
      <w:bookmarkEnd w:id="324"/>
    </w:p>
    <w:p w14:paraId="78B5D40E" w14:textId="77777777" w:rsidR="00163CCB" w:rsidRPr="000F2488" w:rsidRDefault="00163CCB" w:rsidP="000F2488">
      <w:pPr>
        <w:pStyle w:val="Heading1"/>
        <w:pageBreakBefore w:val="0"/>
        <w:spacing w:line="360" w:lineRule="atLeast"/>
        <w:rPr>
          <w:sz w:val="36"/>
          <w:szCs w:val="36"/>
        </w:rPr>
      </w:pPr>
      <w:bookmarkStart w:id="325" w:name="_Toc433703404"/>
      <w:r w:rsidRPr="00583E1B">
        <w:rPr>
          <w:i/>
          <w:sz w:val="36"/>
          <w:szCs w:val="36"/>
        </w:rPr>
        <w:t>KPI</w:t>
      </w:r>
      <w:r w:rsidRPr="00E605C0">
        <w:rPr>
          <w:sz w:val="36"/>
          <w:szCs w:val="36"/>
        </w:rPr>
        <w:t>: Community’s confidence in the efficacy of broadcasting regulation is maintained</w:t>
      </w:r>
      <w:bookmarkEnd w:id="316"/>
      <w:bookmarkEnd w:id="325"/>
    </w:p>
    <w:p w14:paraId="72951B43" w14:textId="77777777" w:rsidR="00163CCB" w:rsidRPr="00124637" w:rsidRDefault="00163CCB" w:rsidP="00163CCB">
      <w:pPr>
        <w:pStyle w:val="Heading2"/>
      </w:pPr>
      <w:bookmarkStart w:id="326" w:name="maintain_OV"/>
      <w:bookmarkStart w:id="327" w:name="_Toc419122567"/>
      <w:bookmarkStart w:id="328" w:name="_Toc274124010"/>
      <w:bookmarkStart w:id="329" w:name="_Toc337727530"/>
      <w:bookmarkStart w:id="330" w:name="_Toc400018497"/>
      <w:bookmarkStart w:id="331" w:name="_Toc433703405"/>
      <w:bookmarkEnd w:id="326"/>
      <w:r w:rsidRPr="00124637">
        <w:t>Overview and significant outcomes</w:t>
      </w:r>
      <w:bookmarkEnd w:id="327"/>
      <w:bookmarkEnd w:id="331"/>
    </w:p>
    <w:p w14:paraId="5D43D50C" w14:textId="77777777" w:rsidR="00805AF9" w:rsidRPr="00124637" w:rsidRDefault="00805AF9" w:rsidP="00805AF9">
      <w:bookmarkStart w:id="332" w:name="_Toc419122568"/>
      <w:r w:rsidRPr="00124637">
        <w:t>On 17 October 2014, the ACMA was given a discretion to investigate complaints about broadcasting matters. Previously, the ACMA had to investigate all such complaints even when, for example, the matter complained of was clearly trivial.</w:t>
      </w:r>
    </w:p>
    <w:p w14:paraId="0E510301" w14:textId="77777777" w:rsidR="00805AF9" w:rsidRPr="00124637" w:rsidRDefault="00805AF9" w:rsidP="00805AF9">
      <w:r w:rsidRPr="00124637">
        <w:t xml:space="preserve">When deciding whether to investigate a particular matter, the ACMA’s primary consideration is the public interest. In this regard, a range of factors are considered, including, for example, the nature and seriousness of the issue raised. </w:t>
      </w:r>
    </w:p>
    <w:p w14:paraId="54ED0871" w14:textId="77777777" w:rsidR="00805AF9" w:rsidRPr="00124637" w:rsidRDefault="00805AF9" w:rsidP="00805AF9">
      <w:r w:rsidRPr="00124637">
        <w:t>The introduction of this discretion has allowed the ACMA to review processes for responding to complaints into broadcasting matters to improve the timeliness of outcomes, produce internal efficiencies and reduce the administrative burden on industry.</w:t>
      </w:r>
    </w:p>
    <w:p w14:paraId="2469B10B" w14:textId="77777777" w:rsidR="00805AF9" w:rsidRPr="00124637" w:rsidRDefault="00805AF9" w:rsidP="00805AF9">
      <w:r w:rsidRPr="00124637">
        <w:t xml:space="preserve">The benefit of the reviewed processes is evident in the broadcasting investigations statistics reported during 2014–15, with the average time taken to investigate broadcast matters reduced to 2.6 months—from approximately 3.1 months per investigation last year. This is a significant reduction from the average of approximately 4.7 months five years ago. </w:t>
      </w:r>
    </w:p>
    <w:p w14:paraId="05B9AC3F" w14:textId="77777777" w:rsidR="00805AF9" w:rsidRPr="00124637" w:rsidRDefault="00805AF9" w:rsidP="00805AF9">
      <w:r w:rsidRPr="00124637">
        <w:t xml:space="preserve">Across the board, compliance by industry with the legislative provisions, standards, conditions and codes of practice was high during the reporting period. </w:t>
      </w:r>
    </w:p>
    <w:p w14:paraId="3F1197AC" w14:textId="77777777" w:rsidR="00163CCB" w:rsidRPr="00124637" w:rsidRDefault="00163CCB" w:rsidP="001C4D21">
      <w:pPr>
        <w:pStyle w:val="Heading2"/>
      </w:pPr>
      <w:bookmarkStart w:id="333" w:name="_Toc433703406"/>
      <w:r w:rsidRPr="00124637">
        <w:t>Ownership and control</w:t>
      </w:r>
      <w:bookmarkEnd w:id="328"/>
      <w:bookmarkEnd w:id="329"/>
      <w:bookmarkEnd w:id="330"/>
      <w:bookmarkEnd w:id="332"/>
      <w:bookmarkEnd w:id="333"/>
    </w:p>
    <w:p w14:paraId="20F47076" w14:textId="77777777" w:rsidR="001C4D21" w:rsidRPr="00124637" w:rsidRDefault="001C4D21" w:rsidP="001C4D21">
      <w:pPr>
        <w:rPr>
          <w:rFonts w:cs="Arial"/>
        </w:rPr>
      </w:pPr>
      <w:bookmarkStart w:id="334" w:name="_Toc260730497"/>
      <w:bookmarkStart w:id="335" w:name="_Toc274124012"/>
      <w:bookmarkStart w:id="336" w:name="_Toc337727533"/>
      <w:bookmarkStart w:id="337" w:name="_Toc400018499"/>
      <w:bookmarkStart w:id="338" w:name="_Toc419122570"/>
      <w:bookmarkStart w:id="339" w:name="_Toc264884679"/>
      <w:bookmarkStart w:id="340" w:name="_Toc337727535"/>
      <w:bookmarkStart w:id="341" w:name="_Toc400018503"/>
      <w:bookmarkStart w:id="342" w:name="_Toc419122574"/>
      <w:r w:rsidRPr="00124637">
        <w:rPr>
          <w:rFonts w:cs="Arial"/>
        </w:rPr>
        <w:t xml:space="preserve">The ACMA monitors and investigates compliance with the media diversity and control rules, and takes enforcement action where appropriate. It also handles applications for prior approval of temporary breaches of control rules. </w:t>
      </w:r>
      <w:bookmarkEnd w:id="334"/>
    </w:p>
    <w:p w14:paraId="5C8B2393" w14:textId="77777777" w:rsidR="00D8068E" w:rsidRPr="00124637" w:rsidRDefault="00D8068E" w:rsidP="00D8068E">
      <w:pPr>
        <w:pStyle w:val="Heading3"/>
      </w:pPr>
      <w:bookmarkStart w:id="343" w:name="_Toc433703407"/>
      <w:r w:rsidRPr="00124637">
        <w:t>Compliance with ownership and control provisions</w:t>
      </w:r>
      <w:bookmarkEnd w:id="335"/>
      <w:bookmarkEnd w:id="336"/>
      <w:bookmarkEnd w:id="337"/>
      <w:bookmarkEnd w:id="338"/>
      <w:bookmarkEnd w:id="343"/>
    </w:p>
    <w:p w14:paraId="60E0ADE5" w14:textId="77777777" w:rsidR="00D8068E" w:rsidRPr="00124637" w:rsidRDefault="00D8068E" w:rsidP="00D8068E">
      <w:pPr>
        <w:pStyle w:val="BodysubheaderH4"/>
        <w:rPr>
          <w:rFonts w:cs="Arial"/>
        </w:rPr>
      </w:pPr>
      <w:r w:rsidRPr="00124637">
        <w:rPr>
          <w:rFonts w:cs="Arial"/>
        </w:rPr>
        <w:t>Notifications of changes in control</w:t>
      </w:r>
    </w:p>
    <w:p w14:paraId="267C0ED2" w14:textId="77777777" w:rsidR="001C4D21" w:rsidRPr="00124637" w:rsidRDefault="001C4D21" w:rsidP="001C4D21">
      <w:pPr>
        <w:spacing w:after="80"/>
        <w:rPr>
          <w:rFonts w:cs="Arial"/>
        </w:rPr>
      </w:pPr>
      <w:r w:rsidRPr="00124637">
        <w:rPr>
          <w:rFonts w:cs="Arial"/>
        </w:rPr>
        <w:t>During the reporting period, the ACMA received notifications about 16 events that affected the control of media operations, most of which affected multiple media operations. These notifications of change of control affected:</w:t>
      </w:r>
    </w:p>
    <w:p w14:paraId="005165F6" w14:textId="77777777" w:rsidR="001C4D21" w:rsidRPr="00124637" w:rsidRDefault="001C4D21" w:rsidP="001C4D21">
      <w:pPr>
        <w:pStyle w:val="ListBullet"/>
        <w:tabs>
          <w:tab w:val="clear" w:pos="295"/>
        </w:tabs>
        <w:ind w:left="284"/>
        <w:rPr>
          <w:rFonts w:cs="Arial"/>
        </w:rPr>
      </w:pPr>
      <w:r w:rsidRPr="00124637">
        <w:rPr>
          <w:rFonts w:cs="Arial"/>
        </w:rPr>
        <w:t>51 commercial radio broadcasting licences</w:t>
      </w:r>
    </w:p>
    <w:p w14:paraId="4DC12F69" w14:textId="77777777" w:rsidR="001C4D21" w:rsidRPr="00124637" w:rsidRDefault="001C4D21" w:rsidP="001C4D21">
      <w:pPr>
        <w:pStyle w:val="ListBulletLast"/>
      </w:pPr>
      <w:r w:rsidRPr="00124637">
        <w:t>20 associated newspapers.</w:t>
      </w:r>
    </w:p>
    <w:p w14:paraId="0744ACF6" w14:textId="77777777" w:rsidR="00332C13" w:rsidRPr="00124637" w:rsidRDefault="00332C13" w:rsidP="00332C13">
      <w:pPr>
        <w:rPr>
          <w:rFonts w:cs="Arial"/>
        </w:rPr>
      </w:pPr>
      <w:r w:rsidRPr="00124637">
        <w:rPr>
          <w:rFonts w:cs="Arial"/>
        </w:rPr>
        <w:t>No commercial television broadcasting licences were affected.</w:t>
      </w:r>
    </w:p>
    <w:p w14:paraId="70AC04BF" w14:textId="77777777" w:rsidR="001C4D21" w:rsidRPr="00124637" w:rsidRDefault="001C4D21" w:rsidP="001C4D21">
      <w:r w:rsidRPr="00124637">
        <w:t>There were no formal investigations into compliance with the ownership and control limits in the BSA in 2014–15.</w:t>
      </w:r>
      <w:r w:rsidR="00805AF9" w:rsidRPr="00124637">
        <w:t xml:space="preserve"> Informal enquiries and analysis of ownership and control matters were undertaken as required.  </w:t>
      </w:r>
    </w:p>
    <w:p w14:paraId="123F1A1C" w14:textId="77777777" w:rsidR="00D8068E" w:rsidRPr="00124637" w:rsidRDefault="00D8068E" w:rsidP="00D8068E">
      <w:pPr>
        <w:pStyle w:val="BodysubheaderH4"/>
        <w:rPr>
          <w:rFonts w:cs="Arial"/>
        </w:rPr>
      </w:pPr>
      <w:r w:rsidRPr="00124637">
        <w:rPr>
          <w:rFonts w:cs="Arial"/>
        </w:rPr>
        <w:lastRenderedPageBreak/>
        <w:t>Annual notifications</w:t>
      </w:r>
    </w:p>
    <w:p w14:paraId="19D96E6E" w14:textId="77777777" w:rsidR="001C4D21" w:rsidRPr="00124637" w:rsidRDefault="001C4D21" w:rsidP="001C4D21">
      <w:pPr>
        <w:rPr>
          <w:rFonts w:cs="Arial"/>
        </w:rPr>
      </w:pPr>
      <w:r w:rsidRPr="00124637">
        <w:rPr>
          <w:rFonts w:cs="Arial"/>
        </w:rPr>
        <w:t>All 327 commercial television and radio broadcasting licensees</w:t>
      </w:r>
      <w:r w:rsidR="00332C13" w:rsidRPr="00124637">
        <w:rPr>
          <w:rFonts w:cs="Arial"/>
        </w:rPr>
        <w:t>,</w:t>
      </w:r>
      <w:r w:rsidRPr="00124637">
        <w:rPr>
          <w:rFonts w:cs="Arial"/>
        </w:rPr>
        <w:t xml:space="preserve"> as well as publishers of all 46 associated newspapers</w:t>
      </w:r>
      <w:r w:rsidR="00332C13" w:rsidRPr="00124637">
        <w:rPr>
          <w:rFonts w:cs="Arial"/>
        </w:rPr>
        <w:t>,</w:t>
      </w:r>
      <w:r w:rsidRPr="00124637">
        <w:rPr>
          <w:rFonts w:cs="Arial"/>
        </w:rPr>
        <w:t xml:space="preserve"> lodged annual returns notifying the ACMA of all directors of companies in a position to exercise control of the licence or newspaper as at 30 June 2014.</w:t>
      </w:r>
    </w:p>
    <w:p w14:paraId="456E25A9" w14:textId="77777777" w:rsidR="001C4D21" w:rsidRPr="00124637" w:rsidRDefault="001C4D21" w:rsidP="001C4D21">
      <w:pPr>
        <w:rPr>
          <w:rFonts w:cs="Arial"/>
        </w:rPr>
      </w:pPr>
      <w:r w:rsidRPr="00124637">
        <w:rPr>
          <w:rFonts w:cs="Arial"/>
        </w:rPr>
        <w:t>In 2014, the requirement on licensees/publishers to notify controllers and directors of controllers at the end of each financial year was removed, with effect</w:t>
      </w:r>
      <w:r w:rsidRPr="00124637">
        <w:rPr>
          <w:rFonts w:cs="Arial"/>
          <w:lang w:val="en"/>
        </w:rPr>
        <w:t xml:space="preserve"> from </w:t>
      </w:r>
      <w:r w:rsidR="00332C13" w:rsidRPr="00124637">
        <w:rPr>
          <w:rFonts w:cs="Arial"/>
          <w:lang w:val="en"/>
        </w:rPr>
        <w:t>2014–</w:t>
      </w:r>
      <w:r w:rsidRPr="00124637">
        <w:rPr>
          <w:rFonts w:cs="Arial"/>
          <w:lang w:val="en"/>
        </w:rPr>
        <w:t>15.</w:t>
      </w:r>
      <w:r w:rsidRPr="00124637" w:rsidDel="00697401">
        <w:rPr>
          <w:rFonts w:cs="Arial"/>
        </w:rPr>
        <w:t xml:space="preserve"> </w:t>
      </w:r>
    </w:p>
    <w:p w14:paraId="2DA7AAF9" w14:textId="77777777" w:rsidR="00D8068E" w:rsidRPr="00124637" w:rsidRDefault="00D8068E" w:rsidP="00D8068E">
      <w:pPr>
        <w:pStyle w:val="BodysubheaderH4"/>
        <w:rPr>
          <w:rFonts w:cs="Arial"/>
        </w:rPr>
      </w:pPr>
      <w:r w:rsidRPr="00124637">
        <w:rPr>
          <w:rFonts w:cs="Arial"/>
        </w:rPr>
        <w:t>Enforcement for failure to comply with notification provisions</w:t>
      </w:r>
    </w:p>
    <w:p w14:paraId="1456DF7C" w14:textId="77777777" w:rsidR="001C4D21" w:rsidRPr="00124637" w:rsidRDefault="001C4D21" w:rsidP="001C4D21">
      <w:pPr>
        <w:rPr>
          <w:rFonts w:cs="Arial"/>
        </w:rPr>
      </w:pPr>
      <w:r w:rsidRPr="00124637">
        <w:rPr>
          <w:rFonts w:cs="Arial"/>
        </w:rPr>
        <w:t>Most of the notifications lodged with the ACMA for change of control events that occurred in the reporting period were lodged within statutory time limits. During the reporting period, no infringement notices and eight formal warnings were given for late notifications of changes in control (four related to late notifications submitted in the previous financial year). </w:t>
      </w:r>
    </w:p>
    <w:p w14:paraId="63C86765" w14:textId="77777777" w:rsidR="00D8068E" w:rsidRPr="00124637" w:rsidRDefault="00D8068E" w:rsidP="00D8068E">
      <w:pPr>
        <w:pStyle w:val="BodysubheaderH4"/>
        <w:rPr>
          <w:rFonts w:cs="Arial"/>
        </w:rPr>
      </w:pPr>
      <w:r w:rsidRPr="00124637">
        <w:rPr>
          <w:rFonts w:cs="Arial"/>
        </w:rPr>
        <w:t>Applications for prior approval</w:t>
      </w:r>
    </w:p>
    <w:p w14:paraId="1A33753F" w14:textId="77777777" w:rsidR="001C4D21" w:rsidRPr="00124637" w:rsidRDefault="001C4D21" w:rsidP="001C4D21">
      <w:r w:rsidRPr="00124637">
        <w:rPr>
          <w:rFonts w:cs="Arial"/>
          <w:szCs w:val="20"/>
        </w:rPr>
        <w:t>The ACMA approved five applications for prior approval of temporary breaches under section 67 and one application for prior approval of a transaction that will result in an unacceptable media diversity situation (UMDS) under section 61AJ during the reporting period. These breaches arose in the Syd</w:t>
      </w:r>
      <w:r w:rsidR="00332C13" w:rsidRPr="00124637">
        <w:rPr>
          <w:rFonts w:cs="Arial"/>
          <w:szCs w:val="20"/>
        </w:rPr>
        <w:t>ney RA1 licence area and the Mt </w:t>
      </w:r>
      <w:r w:rsidRPr="00124637">
        <w:rPr>
          <w:rFonts w:cs="Arial"/>
          <w:szCs w:val="20"/>
        </w:rPr>
        <w:t>Isa RA1 licence area as a result of the merger of Macquarie Radio Network (MRN) with the radio business of Fairfax Media Limited (Fairfax).</w:t>
      </w:r>
      <w:r w:rsidR="00332C13" w:rsidRPr="00124637">
        <w:rPr>
          <w:rFonts w:cs="Arial"/>
          <w:szCs w:val="20"/>
        </w:rPr>
        <w:t xml:space="preserve"> </w:t>
      </w:r>
      <w:r w:rsidRPr="00124637">
        <w:rPr>
          <w:rFonts w:cs="Arial"/>
          <w:szCs w:val="20"/>
        </w:rPr>
        <w:t xml:space="preserve">All applications were finalised within the allowed statutory period. Details of temporary breaches approved by the ACMA are provided in the Register of Notices and Approvals under Part 5 of </w:t>
      </w:r>
      <w:r w:rsidR="00332C13" w:rsidRPr="00124637">
        <w:rPr>
          <w:rFonts w:cs="Arial"/>
          <w:szCs w:val="20"/>
        </w:rPr>
        <w:t>the BSA, available on the ACMA</w:t>
      </w:r>
      <w:r w:rsidRPr="00124637">
        <w:rPr>
          <w:rFonts w:cs="Arial"/>
          <w:szCs w:val="20"/>
        </w:rPr>
        <w:t xml:space="preserve"> website.</w:t>
      </w:r>
    </w:p>
    <w:p w14:paraId="4325A669" w14:textId="77777777" w:rsidR="001C4D21" w:rsidRPr="00124637" w:rsidRDefault="001C4D21" w:rsidP="001C4D21">
      <w:pPr>
        <w:autoSpaceDE w:val="0"/>
        <w:autoSpaceDN w:val="0"/>
        <w:rPr>
          <w:rFonts w:cs="Arial"/>
          <w:szCs w:val="20"/>
        </w:rPr>
      </w:pPr>
      <w:r w:rsidRPr="00124637">
        <w:rPr>
          <w:rFonts w:cs="Arial"/>
          <w:szCs w:val="20"/>
        </w:rPr>
        <w:t>The ACMA also accepted enforceable undertakings given by MRN and Fairfax under section 205W and section 61AS of the BSA to remedy the temporary breaches and the UMDS by selling Radio 2CH Pty Ltd or the 2CH commercial radio broadcasting licence in the Sydney licence area and 4LM in the Mt Isa licence area. The undertak</w:t>
      </w:r>
      <w:r w:rsidR="00332C13" w:rsidRPr="00124637">
        <w:rPr>
          <w:rFonts w:cs="Arial"/>
          <w:szCs w:val="20"/>
        </w:rPr>
        <w:t>ings are published on the ACMA</w:t>
      </w:r>
      <w:r w:rsidRPr="00124637">
        <w:rPr>
          <w:rFonts w:cs="Arial"/>
          <w:szCs w:val="20"/>
        </w:rPr>
        <w:t xml:space="preserve"> website.</w:t>
      </w:r>
    </w:p>
    <w:p w14:paraId="166DF0A6" w14:textId="77777777" w:rsidR="00D8068E" w:rsidRPr="00124637" w:rsidRDefault="00D8068E" w:rsidP="00D8068E">
      <w:pPr>
        <w:pStyle w:val="BodysubheaderH4"/>
        <w:rPr>
          <w:rFonts w:cs="Arial"/>
        </w:rPr>
      </w:pPr>
      <w:r w:rsidRPr="00124637">
        <w:rPr>
          <w:rFonts w:cs="Arial"/>
        </w:rPr>
        <w:t xml:space="preserve">Category-of-service opinions </w:t>
      </w:r>
    </w:p>
    <w:p w14:paraId="12B5D65E" w14:textId="77777777" w:rsidR="00D8068E" w:rsidRPr="00124637" w:rsidRDefault="00D8068E" w:rsidP="00D8068E">
      <w:pPr>
        <w:rPr>
          <w:rFonts w:cs="Arial"/>
        </w:rPr>
      </w:pPr>
      <w:r w:rsidRPr="00124637">
        <w:rPr>
          <w:rFonts w:cs="Arial"/>
        </w:rPr>
        <w:t>Section 21 of the BSA allows a person who is providing, or who proposes to provide, a broadcasting service to apply to the ACMA for an opinion as to which category of broadcasting service the service falls into. The ACMA did not give any category-of-service opinions during the reporting period.</w:t>
      </w:r>
    </w:p>
    <w:p w14:paraId="64ED8141" w14:textId="77777777" w:rsidR="00D8068E" w:rsidRPr="00124637" w:rsidRDefault="00D8068E" w:rsidP="00D8068E">
      <w:pPr>
        <w:pStyle w:val="Heading2"/>
      </w:pPr>
      <w:bookmarkStart w:id="344" w:name="_Toc274124013"/>
      <w:bookmarkStart w:id="345" w:name="_Toc337727534"/>
      <w:bookmarkStart w:id="346" w:name="_Toc400018500"/>
      <w:bookmarkStart w:id="347" w:name="_Toc419122571"/>
      <w:bookmarkStart w:id="348" w:name="_Toc433703408"/>
      <w:r w:rsidRPr="00124637">
        <w:t>Local content</w:t>
      </w:r>
      <w:bookmarkEnd w:id="344"/>
      <w:bookmarkEnd w:id="345"/>
      <w:bookmarkEnd w:id="346"/>
      <w:bookmarkEnd w:id="347"/>
      <w:bookmarkEnd w:id="348"/>
    </w:p>
    <w:p w14:paraId="068481CB" w14:textId="77777777" w:rsidR="00D8068E" w:rsidRPr="00124637" w:rsidRDefault="00D8068E" w:rsidP="00D8068E">
      <w:pPr>
        <w:pStyle w:val="Heading3"/>
      </w:pPr>
      <w:bookmarkStart w:id="349" w:name="_Toc367787635"/>
      <w:bookmarkStart w:id="350" w:name="_Toc400018501"/>
      <w:bookmarkStart w:id="351" w:name="_Toc419122572"/>
      <w:bookmarkStart w:id="352" w:name="_Toc433703409"/>
      <w:r w:rsidRPr="00124637">
        <w:t>Regional television</w:t>
      </w:r>
      <w:bookmarkEnd w:id="349"/>
      <w:bookmarkEnd w:id="350"/>
      <w:bookmarkEnd w:id="351"/>
      <w:bookmarkEnd w:id="352"/>
    </w:p>
    <w:p w14:paraId="247400CB" w14:textId="77777777" w:rsidR="001C4D21" w:rsidRPr="00124637" w:rsidRDefault="001C4D21" w:rsidP="001C4D21">
      <w:bookmarkStart w:id="353" w:name="_Toc400018502"/>
      <w:bookmarkStart w:id="354" w:name="_Toc419122573"/>
      <w:r w:rsidRPr="00124637">
        <w:rPr>
          <w:szCs w:val="20"/>
        </w:rPr>
        <w:t>The Broadcasting Services (Additional Televis</w:t>
      </w:r>
      <w:r w:rsidR="00332C13" w:rsidRPr="00124637">
        <w:rPr>
          <w:szCs w:val="20"/>
        </w:rPr>
        <w:t>ion Licence Condition) Notice 8 </w:t>
      </w:r>
      <w:r w:rsidRPr="00124637">
        <w:rPr>
          <w:szCs w:val="20"/>
        </w:rPr>
        <w:t>November 2007 requires regional</w:t>
      </w:r>
      <w:r w:rsidRPr="00124637">
        <w:t xml:space="preserve"> commercial television broadcasting licensees in Queensland, New South Wales, Victoria and Tasmania to broadcast minimum amounts of material of local significance (local content).</w:t>
      </w:r>
    </w:p>
    <w:p w14:paraId="114F407E" w14:textId="77777777" w:rsidR="001C4D21" w:rsidRPr="00124637" w:rsidRDefault="001C4D21" w:rsidP="001C4D21">
      <w:r w:rsidRPr="00124637">
        <w:t>Based on figures provided to the ACMA by the licensees subject to the condition, all licensees met the quota requirements for the 2013 calendar year, the last year they were collated.</w:t>
      </w:r>
    </w:p>
    <w:p w14:paraId="2869E5F6" w14:textId="77777777" w:rsidR="001C4D21" w:rsidRPr="00124637" w:rsidRDefault="001C4D21" w:rsidP="001C4D21">
      <w:pPr>
        <w:rPr>
          <w:rFonts w:cs="Arial"/>
        </w:rPr>
      </w:pPr>
      <w:r w:rsidRPr="00124637">
        <w:rPr>
          <w:rFonts w:cs="Arial"/>
        </w:rPr>
        <w:t xml:space="preserve">Taking into account the high level of licensee compliance, including the high visibility of compliance with this obligation, the ACMA amended the licence condition in 2014 to remove reporting obligations and reduce record-keeping requirements. </w:t>
      </w:r>
    </w:p>
    <w:p w14:paraId="01A7CD16" w14:textId="77777777" w:rsidR="001C4D21" w:rsidRPr="00124637" w:rsidRDefault="001C4D21" w:rsidP="001C4D21">
      <w:pPr>
        <w:pStyle w:val="BodysubheaderH4"/>
        <w:rPr>
          <w:rFonts w:cs="Arial"/>
        </w:rPr>
      </w:pPr>
      <w:r w:rsidRPr="00124637">
        <w:rPr>
          <w:rFonts w:cs="Arial"/>
        </w:rPr>
        <w:lastRenderedPageBreak/>
        <w:t>Investigations—local content licence condition</w:t>
      </w:r>
    </w:p>
    <w:p w14:paraId="1D7379BF" w14:textId="77777777" w:rsidR="001C4D21" w:rsidRPr="00124637" w:rsidRDefault="001C4D21" w:rsidP="001C4D21">
      <w:r w:rsidRPr="00124637">
        <w:t>During the reporting period, there were no complaints or investigations involving compliance with the local content licence condition.</w:t>
      </w:r>
      <w:r w:rsidRPr="00124637" w:rsidDel="00614F8B">
        <w:t xml:space="preserve"> </w:t>
      </w:r>
    </w:p>
    <w:p w14:paraId="72124311" w14:textId="77777777" w:rsidR="00D8068E" w:rsidRPr="00124637" w:rsidRDefault="00D8068E" w:rsidP="001C4D21">
      <w:pPr>
        <w:pStyle w:val="Heading3"/>
        <w:keepLines/>
      </w:pPr>
      <w:bookmarkStart w:id="355" w:name="_Toc433703410"/>
      <w:r w:rsidRPr="00124637">
        <w:t>Regional radio</w:t>
      </w:r>
      <w:bookmarkEnd w:id="353"/>
      <w:bookmarkEnd w:id="354"/>
      <w:bookmarkEnd w:id="355"/>
    </w:p>
    <w:p w14:paraId="41A3CEBC" w14:textId="77777777" w:rsidR="00D8068E" w:rsidRPr="00124637" w:rsidRDefault="00D8068E" w:rsidP="00D8068E">
      <w:pPr>
        <w:pStyle w:val="BodysubheaderH4"/>
        <w:keepLines/>
        <w:rPr>
          <w:rFonts w:cs="Arial"/>
        </w:rPr>
      </w:pPr>
      <w:r w:rsidRPr="00124637">
        <w:rPr>
          <w:rFonts w:cs="Arial"/>
        </w:rPr>
        <w:t>Local content—all regional commercial radio broadcasting licensees</w:t>
      </w:r>
    </w:p>
    <w:p w14:paraId="443EE594" w14:textId="77777777" w:rsidR="001C4D21" w:rsidRPr="00124637" w:rsidRDefault="001C4D21" w:rsidP="001C4D21">
      <w:pPr>
        <w:keepLines/>
        <w:rPr>
          <w:rFonts w:cs="Arial"/>
        </w:rPr>
      </w:pPr>
      <w:r w:rsidRPr="00124637">
        <w:rPr>
          <w:rFonts w:cs="Arial"/>
        </w:rPr>
        <w:t>The Broadcasting Services (Regional Commercial Radio – Material of Local Significance) Licence Condition 2012 requires 211 regional commercial radio licensees to broadcast prescribed amounts of material of local significance (known as ‘local content’) between 5 am and 8 pm on business days.</w:t>
      </w:r>
      <w:r w:rsidRPr="00124637">
        <w:rPr>
          <w:rStyle w:val="FootnoteReference"/>
          <w:rFonts w:cs="Arial"/>
        </w:rPr>
        <w:footnoteReference w:id="5"/>
      </w:r>
      <w:r w:rsidRPr="00124637">
        <w:rPr>
          <w:rFonts w:cs="Arial"/>
        </w:rPr>
        <w:t xml:space="preserve"> Licensees are exempt from this obligation for a five-week ‘holiday’ period each year.</w:t>
      </w:r>
    </w:p>
    <w:p w14:paraId="3BFA2C18" w14:textId="77777777" w:rsidR="001C4D21" w:rsidRPr="00124637" w:rsidRDefault="001C4D21" w:rsidP="001C4D21">
      <w:pPr>
        <w:spacing w:after="160" w:line="259" w:lineRule="auto"/>
      </w:pPr>
      <w:r w:rsidRPr="00124637">
        <w:rPr>
          <w:rFonts w:cs="Arial"/>
        </w:rPr>
        <w:t xml:space="preserve">Annual reporting from licensees submitted by 30 September 2014 for the 2013–14 financial year showed a very high level of compliance with the local content licence condition. </w:t>
      </w:r>
      <w:r w:rsidRPr="00124637">
        <w:t xml:space="preserve">All of the 211 </w:t>
      </w:r>
      <w:r w:rsidRPr="00124637">
        <w:rPr>
          <w:rFonts w:cs="Arial"/>
        </w:rPr>
        <w:t xml:space="preserve">regional commercial radio </w:t>
      </w:r>
      <w:r w:rsidRPr="00124637">
        <w:t xml:space="preserve">licensees broadcast the prescribed amount of local content. </w:t>
      </w:r>
    </w:p>
    <w:p w14:paraId="077A5995" w14:textId="6AEA344E" w:rsidR="001C4D21" w:rsidRPr="00124637" w:rsidRDefault="001C4D21" w:rsidP="001C4D21">
      <w:pPr>
        <w:spacing w:after="160" w:line="259" w:lineRule="auto"/>
      </w:pPr>
      <w:r w:rsidRPr="00124637">
        <w:t>One licensee reported non-compliance with the record-ke</w:t>
      </w:r>
      <w:r w:rsidR="00AB13BC">
        <w:t>eping requirement for two licenc</w:t>
      </w:r>
      <w:r w:rsidRPr="00124637">
        <w:t>es in a single radio licence area. This was caused by hardware crashes on the digital logging computer used for both licences. No further action was taken over the non-compliance, as the cause was inadvertent and the licensee had taken appropriate steps to prevent future non-compliance.</w:t>
      </w:r>
    </w:p>
    <w:p w14:paraId="7BCB59D4" w14:textId="77777777" w:rsidR="001C4D21" w:rsidRPr="00124637" w:rsidRDefault="001C4D21" w:rsidP="001C4D21">
      <w:pPr>
        <w:spacing w:after="160" w:line="259" w:lineRule="auto"/>
        <w:rPr>
          <w:rFonts w:cs="Arial"/>
        </w:rPr>
      </w:pPr>
      <w:r w:rsidRPr="00124637">
        <w:rPr>
          <w:rFonts w:cs="Arial"/>
        </w:rPr>
        <w:t xml:space="preserve">Taking into account the high level of licensee compliance, including the high visibility of compliance with this obligation, the ACMA amended the licence condition in 2014 to remove reporting obligations and reduce record-keeping requirements. </w:t>
      </w:r>
    </w:p>
    <w:p w14:paraId="43421CC4" w14:textId="77777777" w:rsidR="00D8068E" w:rsidRPr="00124637" w:rsidRDefault="00D8068E" w:rsidP="001C4D21">
      <w:pPr>
        <w:pStyle w:val="BodysubheaderH4"/>
        <w:rPr>
          <w:rFonts w:cs="Arial"/>
        </w:rPr>
      </w:pPr>
      <w:r w:rsidRPr="00124637">
        <w:rPr>
          <w:rFonts w:cs="Arial"/>
        </w:rPr>
        <w:t>Investigations—local content licence condition</w:t>
      </w:r>
    </w:p>
    <w:p w14:paraId="5A5663B1" w14:textId="77777777" w:rsidR="00D8068E" w:rsidRPr="00124637" w:rsidRDefault="00D8068E" w:rsidP="00D8068E">
      <w:pPr>
        <w:rPr>
          <w:rFonts w:cs="Arial"/>
        </w:rPr>
      </w:pPr>
      <w:r w:rsidRPr="00124637">
        <w:rPr>
          <w:rFonts w:cs="Arial"/>
        </w:rPr>
        <w:t xml:space="preserve">During the reporting period, there were no complaints or investigations involving compliance with the local content licence condition. </w:t>
      </w:r>
    </w:p>
    <w:p w14:paraId="3F3B6AFF" w14:textId="77777777" w:rsidR="00D8068E" w:rsidRPr="00124637" w:rsidRDefault="00D8068E" w:rsidP="00D8068E">
      <w:pPr>
        <w:pStyle w:val="BodysubheaderH4"/>
        <w:rPr>
          <w:rFonts w:cs="Arial"/>
        </w:rPr>
      </w:pPr>
      <w:r w:rsidRPr="00124637">
        <w:rPr>
          <w:rFonts w:cs="Arial"/>
        </w:rPr>
        <w:t>Local content and presence obligations due to a trigger event</w:t>
      </w:r>
      <w:r w:rsidRPr="00124637">
        <w:rPr>
          <w:rStyle w:val="FootnoteReference"/>
          <w:rFonts w:cs="Arial"/>
        </w:rPr>
        <w:footnoteReference w:id="6"/>
      </w:r>
    </w:p>
    <w:p w14:paraId="65848F7A" w14:textId="3738A526" w:rsidR="00D8068E" w:rsidRPr="00124637" w:rsidRDefault="00D8068E" w:rsidP="00D8068E">
      <w:pPr>
        <w:spacing w:after="80"/>
        <w:rPr>
          <w:rFonts w:cs="Arial"/>
        </w:rPr>
      </w:pPr>
      <w:r w:rsidRPr="00124637">
        <w:rPr>
          <w:rFonts w:cs="Arial"/>
        </w:rPr>
        <w:t>Under the BSA, a regional commercial radio licensee affected by</w:t>
      </w:r>
      <w:r w:rsidR="00A3150C">
        <w:rPr>
          <w:rFonts w:cs="Arial"/>
        </w:rPr>
        <w:t xml:space="preserve"> a trigger event is required to</w:t>
      </w:r>
      <w:r w:rsidRPr="00124637">
        <w:rPr>
          <w:rStyle w:val="FootnoteReference"/>
          <w:rFonts w:cs="Arial"/>
        </w:rPr>
        <w:footnoteReference w:id="7"/>
      </w:r>
      <w:r w:rsidR="00A3150C">
        <w:rPr>
          <w:rFonts w:cs="Arial"/>
        </w:rPr>
        <w:t>:</w:t>
      </w:r>
      <w:r w:rsidRPr="00124637">
        <w:rPr>
          <w:rFonts w:cs="Arial"/>
        </w:rPr>
        <w:t xml:space="preserve"> </w:t>
      </w:r>
    </w:p>
    <w:p w14:paraId="2981292B" w14:textId="77777777" w:rsidR="00D8068E" w:rsidRPr="00124637" w:rsidRDefault="00D8068E" w:rsidP="00D8068E">
      <w:pPr>
        <w:pStyle w:val="ListBullet"/>
        <w:rPr>
          <w:rFonts w:cs="Arial"/>
        </w:rPr>
      </w:pPr>
      <w:r w:rsidRPr="00124637">
        <w:rPr>
          <w:rFonts w:cs="Arial"/>
        </w:rPr>
        <w:t>broadcast specified amounts of local news and information for 47 weeks per year (minimum service standards)</w:t>
      </w:r>
    </w:p>
    <w:p w14:paraId="5B151509" w14:textId="77777777" w:rsidR="00D8068E" w:rsidRPr="00124637" w:rsidRDefault="00D8068E" w:rsidP="00D8068E">
      <w:pPr>
        <w:pStyle w:val="ListBullet"/>
        <w:spacing w:after="240"/>
        <w:rPr>
          <w:rFonts w:cs="Arial"/>
        </w:rPr>
      </w:pPr>
      <w:r w:rsidRPr="00124637">
        <w:rPr>
          <w:rFonts w:cs="Arial"/>
        </w:rPr>
        <w:t>maintain existing levels of local presence (local staff and facilities) for 24 months from the date of the trigger event.</w:t>
      </w:r>
    </w:p>
    <w:p w14:paraId="52D4DFDF" w14:textId="77777777" w:rsidR="00D8068E" w:rsidRPr="00124637" w:rsidRDefault="00D8068E" w:rsidP="00D8068E">
      <w:pPr>
        <w:rPr>
          <w:rFonts w:cs="Arial"/>
        </w:rPr>
      </w:pPr>
      <w:r w:rsidRPr="00124637">
        <w:rPr>
          <w:rFonts w:cs="Arial"/>
        </w:rPr>
        <w:t xml:space="preserve">Once a trigger event occurs for a licence, the licensee must give the ACMA a draft local content plan within 90 days setting out how </w:t>
      </w:r>
      <w:r w:rsidR="00CE276A" w:rsidRPr="00124637">
        <w:rPr>
          <w:rFonts w:cs="Arial"/>
        </w:rPr>
        <w:t>it</w:t>
      </w:r>
      <w:r w:rsidRPr="00124637">
        <w:rPr>
          <w:rFonts w:cs="Arial"/>
        </w:rPr>
        <w:t xml:space="preserve"> will meet its obligation to broadcast specified amounts of local news and information. Once the </w:t>
      </w:r>
      <w:r w:rsidR="00CE276A" w:rsidRPr="00124637">
        <w:rPr>
          <w:rFonts w:cs="Arial"/>
        </w:rPr>
        <w:t xml:space="preserve">ACMA approves the </w:t>
      </w:r>
      <w:r w:rsidRPr="00124637">
        <w:rPr>
          <w:rFonts w:cs="Arial"/>
        </w:rPr>
        <w:t>plan, a licensee must take all reasonable steps to ensure that it complies with the plan.</w:t>
      </w:r>
    </w:p>
    <w:p w14:paraId="4B9D538A" w14:textId="77777777" w:rsidR="00D8068E" w:rsidRPr="00124637" w:rsidRDefault="00D8068E" w:rsidP="00D8068E">
      <w:pPr>
        <w:pStyle w:val="BodysubheaderH4"/>
        <w:rPr>
          <w:rFonts w:cs="Arial"/>
        </w:rPr>
      </w:pPr>
      <w:r w:rsidRPr="00124637">
        <w:rPr>
          <w:rFonts w:cs="Arial"/>
        </w:rPr>
        <w:lastRenderedPageBreak/>
        <w:t>Compliance with local content plans</w:t>
      </w:r>
    </w:p>
    <w:p w14:paraId="6D9AB3B1" w14:textId="77777777" w:rsidR="001C4D21" w:rsidRPr="00124637" w:rsidRDefault="001C4D21" w:rsidP="001C4D21">
      <w:pPr>
        <w:spacing w:after="160" w:line="259" w:lineRule="auto"/>
        <w:rPr>
          <w:highlight w:val="yellow"/>
        </w:rPr>
      </w:pPr>
      <w:r w:rsidRPr="00124637">
        <w:rPr>
          <w:rFonts w:cs="Arial"/>
        </w:rPr>
        <w:t xml:space="preserve">Annual reporting for the 2013–14 financial year from trigger event-affected licensees showed a high level of compliance with their local content plans. </w:t>
      </w:r>
      <w:r w:rsidRPr="00124637">
        <w:t>Of the 110 trigger event-affected licensees reporting to the ACMA, all but two reported compliance with their approved plans. No further action was taken, noting that in both cases the impact of the non-compliance was minimal, the licensee continued to exceed the statutory minimum requirements</w:t>
      </w:r>
      <w:r w:rsidR="00CE276A" w:rsidRPr="00124637">
        <w:t>,</w:t>
      </w:r>
      <w:r w:rsidRPr="00124637">
        <w:t xml:space="preserve"> and action was taken to resolve the non-compliance and to prevent future non-compliance.</w:t>
      </w:r>
    </w:p>
    <w:p w14:paraId="62EC6FFB" w14:textId="77777777" w:rsidR="00D8068E" w:rsidRPr="00124637" w:rsidRDefault="00D8068E" w:rsidP="00D8068E">
      <w:pPr>
        <w:pStyle w:val="BodysubheaderH4"/>
        <w:rPr>
          <w:rFonts w:cs="Arial"/>
        </w:rPr>
      </w:pPr>
      <w:r w:rsidRPr="00124637">
        <w:rPr>
          <w:rFonts w:cs="Arial"/>
        </w:rPr>
        <w:t>Compliance with existing levels of local presence</w:t>
      </w:r>
    </w:p>
    <w:p w14:paraId="2390D291" w14:textId="77777777" w:rsidR="001C4D21" w:rsidRPr="00124637" w:rsidRDefault="001C4D21" w:rsidP="001C4D21">
      <w:pPr>
        <w:rPr>
          <w:rFonts w:cs="Arial"/>
        </w:rPr>
      </w:pPr>
      <w:r w:rsidRPr="00124637">
        <w:rPr>
          <w:rFonts w:cs="Arial"/>
        </w:rPr>
        <w:t xml:space="preserve">From 16 April 2012, regional commercial radio licensees have been required to maintain their existing levels of local presence for 24 months after a trigger event. </w:t>
      </w:r>
    </w:p>
    <w:p w14:paraId="05EACB1D" w14:textId="77777777" w:rsidR="001C4D21" w:rsidRPr="00124637" w:rsidRDefault="001C4D21" w:rsidP="001C4D21">
      <w:pPr>
        <w:spacing w:after="160" w:line="256" w:lineRule="auto"/>
      </w:pPr>
      <w:r w:rsidRPr="00124637">
        <w:t>On 2 July 2014, the 24-month local presence compliance peri</w:t>
      </w:r>
      <w:r w:rsidR="00CE276A" w:rsidRPr="00124637">
        <w:t>od ceased for two trigger event-</w:t>
      </w:r>
      <w:r w:rsidRPr="00124637">
        <w:t>affected regional commercial radio licences</w:t>
      </w:r>
      <w:r w:rsidR="00CE276A" w:rsidRPr="00124637">
        <w:t>. O</w:t>
      </w:r>
      <w:r w:rsidRPr="00124637">
        <w:t>n 15 March 2015, the 24-month local presence compliance period ceased for an additional two trigger event-affected regional commercial radio licences. Final reports on compliance with the local presence licence condition for these four licences were received within the statutory deadline.</w:t>
      </w:r>
    </w:p>
    <w:p w14:paraId="1B7EC11F" w14:textId="77777777" w:rsidR="00D8068E" w:rsidRPr="00124637" w:rsidRDefault="00D8068E" w:rsidP="00D8068E">
      <w:pPr>
        <w:pStyle w:val="BodysubheaderH4"/>
        <w:rPr>
          <w:rFonts w:cs="Arial"/>
        </w:rPr>
      </w:pPr>
      <w:r w:rsidRPr="00124637">
        <w:rPr>
          <w:rFonts w:cs="Arial"/>
        </w:rPr>
        <w:t>Investigations—local news and information and local presence</w:t>
      </w:r>
    </w:p>
    <w:p w14:paraId="68C394D5" w14:textId="77777777" w:rsidR="001C4D21" w:rsidRPr="00124637" w:rsidRDefault="001C4D21" w:rsidP="001C4D21">
      <w:bookmarkStart w:id="356" w:name="_Toc274124075"/>
      <w:bookmarkStart w:id="357" w:name="_Toc337727594"/>
      <w:bookmarkStart w:id="358" w:name="_Toc400018562"/>
      <w:bookmarkStart w:id="359" w:name="_Toc419122577"/>
      <w:bookmarkEnd w:id="339"/>
      <w:bookmarkEnd w:id="340"/>
      <w:bookmarkEnd w:id="341"/>
      <w:bookmarkEnd w:id="342"/>
      <w:r w:rsidRPr="00124637">
        <w:t>There were no complaints about the way licensees fulfilled their local presence obligations and the requirement to broadcast local news a</w:t>
      </w:r>
      <w:r w:rsidR="00CE276A" w:rsidRPr="00124637">
        <w:t>nd information on trigger event-</w:t>
      </w:r>
      <w:r w:rsidRPr="00124637">
        <w:t>affected regional commercial radio licensees. The ACMA conducted one investigation into the requirement to provide a local presence statement and a draft local content plan within 90 days of a trigger event. The investigation was concluded with no finding.</w:t>
      </w:r>
    </w:p>
    <w:p w14:paraId="32318FAA" w14:textId="77777777" w:rsidR="00163CCB" w:rsidRPr="00124637" w:rsidRDefault="00163CCB" w:rsidP="00163CCB">
      <w:pPr>
        <w:pStyle w:val="Heading2"/>
      </w:pPr>
      <w:bookmarkStart w:id="360" w:name="_Toc433703411"/>
      <w:r w:rsidRPr="00124637">
        <w:t>Broadcasting compliance</w:t>
      </w:r>
      <w:bookmarkEnd w:id="356"/>
      <w:bookmarkEnd w:id="357"/>
      <w:bookmarkEnd w:id="358"/>
      <w:bookmarkEnd w:id="359"/>
      <w:bookmarkEnd w:id="360"/>
    </w:p>
    <w:p w14:paraId="32612FE5" w14:textId="77777777" w:rsidR="00D8068E" w:rsidRPr="00124637" w:rsidRDefault="00D8068E" w:rsidP="00D8068E">
      <w:pPr>
        <w:rPr>
          <w:rFonts w:cs="Arial"/>
        </w:rPr>
      </w:pPr>
      <w:bookmarkStart w:id="361" w:name="_Toc419122578"/>
      <w:r w:rsidRPr="00124637">
        <w:rPr>
          <w:rFonts w:cs="Arial"/>
        </w:rPr>
        <w:t>The ACMA conducts investigations into matters related to broadcasting codes of practice and compliance with obligations in the BSA, including licence conditions and program standards.</w:t>
      </w:r>
    </w:p>
    <w:p w14:paraId="55773470" w14:textId="77777777" w:rsidR="00D8068E" w:rsidRPr="00124637" w:rsidRDefault="00D8068E" w:rsidP="00D8068E">
      <w:pPr>
        <w:rPr>
          <w:rFonts w:cs="Arial"/>
        </w:rPr>
      </w:pPr>
      <w:r w:rsidRPr="00124637">
        <w:rPr>
          <w:rFonts w:cs="Arial"/>
        </w:rPr>
        <w:t xml:space="preserve">Most investigations are undertaken in response to complaints about matters covered by the codes of practice. The ACMA can also investigate complaints made directly to it if they are about a licensee’s compliance with a licence condition or a program standard. The ACMA can also initiate investigations on its own volition where there are significant public interest reasons for doing so and can conduct investigations at the direction of the minister. </w:t>
      </w:r>
    </w:p>
    <w:p w14:paraId="59239B21" w14:textId="77777777" w:rsidR="00163CCB" w:rsidRPr="00124637" w:rsidRDefault="00163CCB" w:rsidP="00163CCB">
      <w:pPr>
        <w:pStyle w:val="Heading3"/>
      </w:pPr>
      <w:bookmarkStart w:id="362" w:name="_Toc433703412"/>
      <w:r w:rsidRPr="00124637">
        <w:t>Broadcasting codes of practice, licence conditions and standards</w:t>
      </w:r>
      <w:bookmarkEnd w:id="361"/>
      <w:bookmarkEnd w:id="362"/>
    </w:p>
    <w:p w14:paraId="46033726" w14:textId="77777777" w:rsidR="001C4D21" w:rsidRPr="00124637" w:rsidRDefault="001C4D21" w:rsidP="001C4D21">
      <w:pPr>
        <w:rPr>
          <w:rFonts w:cs="Arial"/>
        </w:rPr>
      </w:pPr>
      <w:bookmarkStart w:id="363" w:name="_Toc419122579"/>
      <w:r w:rsidRPr="00124637">
        <w:rPr>
          <w:rFonts w:cs="Arial"/>
        </w:rPr>
        <w:t>The ACMA’s co-regulatory role in dealing with complaints under industry codes is prescribed by the BSA.</w:t>
      </w:r>
    </w:p>
    <w:p w14:paraId="046797CE" w14:textId="77777777" w:rsidR="001C4D21" w:rsidRPr="00124637" w:rsidRDefault="001C4D21" w:rsidP="001C4D21">
      <w:pPr>
        <w:keepNext/>
        <w:spacing w:after="80"/>
        <w:rPr>
          <w:rFonts w:cs="Arial"/>
        </w:rPr>
      </w:pPr>
      <w:r w:rsidRPr="00124637">
        <w:rPr>
          <w:rFonts w:cs="Arial"/>
        </w:rPr>
        <w:t xml:space="preserve">Section 123 of the BSA allows commercial, subscription, narrowcast and community sections of the broadcasting industry to develop codes of practice and submit those codes to the ACMA for registration. The ACMA must register a code if it is satisfied that: </w:t>
      </w:r>
    </w:p>
    <w:p w14:paraId="15377C00" w14:textId="77777777" w:rsidR="001C4D21" w:rsidRPr="00124637" w:rsidRDefault="001C4D21" w:rsidP="001C4D21">
      <w:pPr>
        <w:pStyle w:val="ListBullet"/>
        <w:rPr>
          <w:rFonts w:cs="Arial"/>
        </w:rPr>
      </w:pPr>
      <w:r w:rsidRPr="00124637">
        <w:rPr>
          <w:rFonts w:cs="Arial"/>
        </w:rPr>
        <w:t>the code provides appropriate community safeguards for the matters that it covers</w:t>
      </w:r>
    </w:p>
    <w:p w14:paraId="0C9CCE64" w14:textId="77777777" w:rsidR="001C4D21" w:rsidRPr="00124637" w:rsidRDefault="001C4D21" w:rsidP="001C4D21">
      <w:pPr>
        <w:pStyle w:val="ListBullet"/>
        <w:rPr>
          <w:rFonts w:cs="Arial"/>
        </w:rPr>
      </w:pPr>
      <w:r w:rsidRPr="00124637">
        <w:rPr>
          <w:rFonts w:cs="Arial"/>
        </w:rPr>
        <w:t>the code was endorsed by a majority of providers of broadcasting services in that section of the industry</w:t>
      </w:r>
    </w:p>
    <w:p w14:paraId="76A68341" w14:textId="77777777" w:rsidR="001C4D21" w:rsidRPr="00124637" w:rsidRDefault="001C4D21" w:rsidP="001C4D21">
      <w:pPr>
        <w:pStyle w:val="ListBulletLast"/>
      </w:pPr>
      <w:r w:rsidRPr="00124637">
        <w:t xml:space="preserve">members of the public have been given an adequate opportunity to comment. </w:t>
      </w:r>
    </w:p>
    <w:p w14:paraId="6D0645E7" w14:textId="77777777" w:rsidR="001C4D21" w:rsidRPr="00124637" w:rsidRDefault="001C4D21" w:rsidP="001C4D21">
      <w:pPr>
        <w:rPr>
          <w:rFonts w:cs="Arial"/>
        </w:rPr>
      </w:pPr>
      <w:r w:rsidRPr="00124637">
        <w:rPr>
          <w:rFonts w:cs="Arial"/>
        </w:rPr>
        <w:t>National broadcasters notify their codes to the ACMA.</w:t>
      </w:r>
    </w:p>
    <w:p w14:paraId="24B4A156" w14:textId="77777777" w:rsidR="001C4D21" w:rsidRPr="00124637" w:rsidRDefault="001C4D21" w:rsidP="001C4D21">
      <w:pPr>
        <w:rPr>
          <w:rFonts w:cs="Arial"/>
        </w:rPr>
      </w:pPr>
      <w:r w:rsidRPr="00124637">
        <w:rPr>
          <w:rFonts w:cs="Arial"/>
        </w:rPr>
        <w:lastRenderedPageBreak/>
        <w:t>The BSA includes a number of licence conditions made by the Australian Parliament, including for captioning, tobacco advertising, political and election matter, material classified ‘Refused Classification’, local content and local presence. The ACMA also has the power to impose additional licence conditions on individual licensees.</w:t>
      </w:r>
    </w:p>
    <w:p w14:paraId="409E21CE" w14:textId="77777777" w:rsidR="001C4D21" w:rsidRPr="00124637" w:rsidRDefault="001C4D21" w:rsidP="001C4D21">
      <w:pPr>
        <w:rPr>
          <w:rFonts w:cs="Arial"/>
          <w:szCs w:val="20"/>
        </w:rPr>
      </w:pPr>
      <w:r w:rsidRPr="00124637">
        <w:rPr>
          <w:rFonts w:cs="Arial"/>
          <w:szCs w:val="20"/>
        </w:rPr>
        <w:t>The ACMA may determine program standards where codes of practice fail or where no code is developed by industry. Compliance with program standards is a licence condition on relevant licensees. In addition, the BSA requires the ACMA to determine standards for commercial television broadcasting licensees relating to programs for children and the Australian content of programs.</w:t>
      </w:r>
    </w:p>
    <w:p w14:paraId="0D83B335" w14:textId="77777777" w:rsidR="001C4D21" w:rsidRPr="00124637" w:rsidRDefault="001C4D21" w:rsidP="001C4D21">
      <w:pPr>
        <w:spacing w:after="80"/>
        <w:rPr>
          <w:rFonts w:cs="Arial"/>
          <w:iCs/>
          <w:szCs w:val="20"/>
        </w:rPr>
      </w:pPr>
      <w:r w:rsidRPr="00124637">
        <w:rPr>
          <w:rFonts w:cs="Arial"/>
          <w:iCs/>
          <w:szCs w:val="20"/>
        </w:rPr>
        <w:t>Issues of particular concern to Australians are generally covered by program standards. In 2014</w:t>
      </w:r>
      <w:r w:rsidR="00CE276A" w:rsidRPr="00124637">
        <w:rPr>
          <w:rFonts w:cs="Arial"/>
          <w:iCs/>
          <w:szCs w:val="20"/>
        </w:rPr>
        <w:t>–</w:t>
      </w:r>
      <w:r w:rsidRPr="00124637">
        <w:rPr>
          <w:rFonts w:cs="Arial"/>
          <w:iCs/>
          <w:szCs w:val="20"/>
        </w:rPr>
        <w:t>15</w:t>
      </w:r>
      <w:r w:rsidR="00CE276A" w:rsidRPr="00124637">
        <w:rPr>
          <w:rFonts w:cs="Arial"/>
          <w:iCs/>
          <w:szCs w:val="20"/>
        </w:rPr>
        <w:t>,</w:t>
      </w:r>
      <w:r w:rsidRPr="00124637">
        <w:rPr>
          <w:rFonts w:cs="Arial"/>
          <w:iCs/>
          <w:szCs w:val="20"/>
        </w:rPr>
        <w:t xml:space="preserve"> there were program standards covering:</w:t>
      </w:r>
    </w:p>
    <w:p w14:paraId="107EA3CA" w14:textId="77777777" w:rsidR="001C4D21" w:rsidRPr="00124637" w:rsidRDefault="001C4D21" w:rsidP="001C4D21">
      <w:pPr>
        <w:pStyle w:val="ListBullet"/>
        <w:tabs>
          <w:tab w:val="clear" w:pos="295"/>
        </w:tabs>
        <w:ind w:left="284"/>
        <w:rPr>
          <w:rFonts w:cs="Arial"/>
        </w:rPr>
      </w:pPr>
      <w:r w:rsidRPr="00124637">
        <w:rPr>
          <w:rFonts w:cs="Arial"/>
        </w:rPr>
        <w:t>Australian content on commercial television</w:t>
      </w:r>
    </w:p>
    <w:p w14:paraId="655E4450" w14:textId="77777777" w:rsidR="001C4D21" w:rsidRPr="00124637" w:rsidRDefault="001C4D21" w:rsidP="001C4D21">
      <w:pPr>
        <w:pStyle w:val="ListBullet"/>
        <w:tabs>
          <w:tab w:val="clear" w:pos="295"/>
        </w:tabs>
        <w:ind w:left="284"/>
        <w:rPr>
          <w:rFonts w:cs="Arial"/>
        </w:rPr>
      </w:pPr>
      <w:r w:rsidRPr="00124637">
        <w:rPr>
          <w:rFonts w:cs="Arial"/>
        </w:rPr>
        <w:t>commercial influence on commercial radio current affairs programs</w:t>
      </w:r>
    </w:p>
    <w:p w14:paraId="6C6F9949" w14:textId="77777777" w:rsidR="001C4D21" w:rsidRPr="00124637" w:rsidRDefault="001C4D21" w:rsidP="001C4D21">
      <w:pPr>
        <w:pStyle w:val="ListBullet"/>
        <w:tabs>
          <w:tab w:val="clear" w:pos="295"/>
        </w:tabs>
        <w:ind w:left="284"/>
        <w:rPr>
          <w:rFonts w:cs="Arial"/>
        </w:rPr>
      </w:pPr>
      <w:r w:rsidRPr="00124637">
        <w:rPr>
          <w:rFonts w:cs="Arial"/>
        </w:rPr>
        <w:t>children’s programming on commercial television</w:t>
      </w:r>
    </w:p>
    <w:p w14:paraId="105878C3" w14:textId="77777777" w:rsidR="001C4D21" w:rsidRPr="00124637" w:rsidRDefault="001C4D21" w:rsidP="001C4D21">
      <w:pPr>
        <w:pStyle w:val="ListBulletLast"/>
      </w:pPr>
      <w:r w:rsidRPr="00124637">
        <w:t>anti-terrorism requirements for narrowcast services.</w:t>
      </w:r>
    </w:p>
    <w:p w14:paraId="2D1D9267" w14:textId="77777777" w:rsidR="00D8068E" w:rsidRPr="00124637" w:rsidRDefault="00D8068E" w:rsidP="00D8068E">
      <w:pPr>
        <w:pStyle w:val="Heading3"/>
      </w:pPr>
      <w:bookmarkStart w:id="364" w:name="Code_rev"/>
      <w:bookmarkStart w:id="365" w:name="_Toc433703413"/>
      <w:bookmarkEnd w:id="364"/>
      <w:r w:rsidRPr="00124637">
        <w:t>Code reviews</w:t>
      </w:r>
      <w:bookmarkEnd w:id="365"/>
      <w:r w:rsidRPr="00124637">
        <w:t xml:space="preserve"> </w:t>
      </w:r>
    </w:p>
    <w:p w14:paraId="628650C8" w14:textId="77777777" w:rsidR="001C4D21" w:rsidRPr="00124637" w:rsidRDefault="001C4D21" w:rsidP="001C4D21">
      <w:r w:rsidRPr="00124637">
        <w:t xml:space="preserve">Codes of practice registered by the ACMA are regularly reviewed to ensure the matters covered by the codes remain relevant and the community safeguards they contain continue to address community concerns. </w:t>
      </w:r>
    </w:p>
    <w:p w14:paraId="55D600EA" w14:textId="77777777" w:rsidR="001C4D21" w:rsidRPr="00124637" w:rsidRDefault="001C4D21" w:rsidP="001C4D21">
      <w:r w:rsidRPr="00124637">
        <w:t xml:space="preserve">A review of the Commercial Television Industry Code of Practice 2010 </w:t>
      </w:r>
      <w:r w:rsidR="00CE276A" w:rsidRPr="00124637">
        <w:t>began</w:t>
      </w:r>
      <w:r w:rsidRPr="00124637">
        <w:t xml:space="preserve"> during the reporting period. The current</w:t>
      </w:r>
      <w:r w:rsidR="00CE276A" w:rsidRPr="00124637">
        <w:t xml:space="preserve"> code was last reviewed in 2008–</w:t>
      </w:r>
      <w:r w:rsidRPr="00124637">
        <w:t>09 and came into effect on 1 January 2010. Since January 2010</w:t>
      </w:r>
      <w:r w:rsidR="00CE276A" w:rsidRPr="00124637">
        <w:t>,</w:t>
      </w:r>
      <w:r w:rsidRPr="00124637">
        <w:t xml:space="preserve"> there have been some incremental updates of the code. For example, in 2013 new limits on betting odds promotions and gambling advertising during live sports broadcasts were introduced.</w:t>
      </w:r>
    </w:p>
    <w:p w14:paraId="0DEDFF4E" w14:textId="77777777" w:rsidR="001C4D21" w:rsidRPr="00124637" w:rsidRDefault="001C4D21" w:rsidP="001C4D21">
      <w:r w:rsidRPr="00124637">
        <w:t xml:space="preserve">As part of the current review, Free TV Australia released a draft new code for public comment </w:t>
      </w:r>
      <w:r w:rsidR="00CE276A" w:rsidRPr="00124637">
        <w:t xml:space="preserve">on </w:t>
      </w:r>
      <w:r w:rsidRPr="00124637">
        <w:t>20 February 2015. The public consultation period ran for six weeks and closed on 3 April 2015</w:t>
      </w:r>
      <w:r w:rsidR="00CE276A" w:rsidRPr="00124637">
        <w:t>,</w:t>
      </w:r>
      <w:r w:rsidRPr="00124637">
        <w:t xml:space="preserve"> with Free TV continuing</w:t>
      </w:r>
      <w:r w:rsidR="00CE276A" w:rsidRPr="00124637">
        <w:t xml:space="preserve"> to accept submissions until 20 </w:t>
      </w:r>
      <w:r w:rsidR="00805AF9" w:rsidRPr="00124637">
        <w:t>April</w:t>
      </w:r>
      <w:r w:rsidRPr="00124637">
        <w:t xml:space="preserve"> 2015. Free TV received 2</w:t>
      </w:r>
      <w:r w:rsidR="00401568" w:rsidRPr="00124637">
        <w:t>,</w:t>
      </w:r>
      <w:r w:rsidRPr="00124637">
        <w:t>874 submissions</w:t>
      </w:r>
      <w:r w:rsidR="00401568" w:rsidRPr="00124637">
        <w:t>,</w:t>
      </w:r>
      <w:r w:rsidRPr="00124637">
        <w:t xml:space="preserve"> which were provided to the ACMA as part of the review process. A decision on registration of the draft code is expected in the next reporting period. </w:t>
      </w:r>
    </w:p>
    <w:p w14:paraId="7E681532" w14:textId="77777777" w:rsidR="001C4D21" w:rsidRPr="00124637" w:rsidRDefault="00401568" w:rsidP="001C4D21">
      <w:r w:rsidRPr="00124637">
        <w:t>T</w:t>
      </w:r>
      <w:r w:rsidR="001C4D21" w:rsidRPr="00124637">
        <w:t xml:space="preserve">he ACMA accepted a request in October 2014 from the </w:t>
      </w:r>
      <w:r w:rsidRPr="00124637">
        <w:t>Community Broadcasting Association of Australia</w:t>
      </w:r>
      <w:r w:rsidR="001C4D21" w:rsidRPr="00124637">
        <w:t xml:space="preserve"> to discontinue the review of the Community Radio Broadcasting Codes of Practice 2008.</w:t>
      </w:r>
    </w:p>
    <w:p w14:paraId="7A021267" w14:textId="77777777" w:rsidR="00163CCB" w:rsidRPr="00124637" w:rsidRDefault="00163CCB" w:rsidP="00163CCB">
      <w:pPr>
        <w:pStyle w:val="Heading3"/>
      </w:pPr>
      <w:bookmarkStart w:id="366" w:name="_Toc433703414"/>
      <w:r w:rsidRPr="00124637">
        <w:t>The ACMA’s enforcement powers under the BSA</w:t>
      </w:r>
      <w:bookmarkEnd w:id="363"/>
      <w:bookmarkEnd w:id="366"/>
    </w:p>
    <w:p w14:paraId="3C88E158" w14:textId="77777777" w:rsidR="00163CCB" w:rsidRPr="00124637" w:rsidRDefault="00163CCB" w:rsidP="00163CCB">
      <w:pPr>
        <w:rPr>
          <w:rFonts w:cs="Arial"/>
        </w:rPr>
      </w:pPr>
      <w:r w:rsidRPr="00124637">
        <w:rPr>
          <w:rFonts w:cs="Arial"/>
        </w:rPr>
        <w:t>The ACMA has a range of powers with which to address breaches of the BSA, licence conditions, program standards or</w:t>
      </w:r>
      <w:r w:rsidRPr="00124637" w:rsidDel="00E4689E">
        <w:rPr>
          <w:rFonts w:cs="Arial"/>
        </w:rPr>
        <w:t xml:space="preserve"> </w:t>
      </w:r>
      <w:r w:rsidR="00442B81" w:rsidRPr="00124637">
        <w:rPr>
          <w:rFonts w:cs="Arial"/>
        </w:rPr>
        <w:t xml:space="preserve">industry codes. </w:t>
      </w:r>
    </w:p>
    <w:p w14:paraId="6A39C468" w14:textId="77777777" w:rsidR="00163CCB" w:rsidRPr="00124637" w:rsidRDefault="00163CCB" w:rsidP="00163CCB">
      <w:pPr>
        <w:rPr>
          <w:rFonts w:cs="Arial"/>
        </w:rPr>
      </w:pPr>
      <w:r w:rsidRPr="00124637">
        <w:rPr>
          <w:rFonts w:cs="Arial"/>
        </w:rPr>
        <w:t>Where there has been a breach of a code, the ACMA may accept an enforceable undertaking for the purpose of securing future compliance with the code, or it may impose an additional licence condition under section 43 of the BSA requiring a lic</w:t>
      </w:r>
      <w:r w:rsidR="00442B81" w:rsidRPr="00124637">
        <w:rPr>
          <w:rFonts w:cs="Arial"/>
        </w:rPr>
        <w:t xml:space="preserve">ensee to comply with the code. </w:t>
      </w:r>
    </w:p>
    <w:p w14:paraId="4530C902" w14:textId="77777777" w:rsidR="00163CCB" w:rsidRPr="00124637" w:rsidRDefault="00163CCB" w:rsidP="00163CCB">
      <w:pPr>
        <w:rPr>
          <w:rFonts w:cs="Arial"/>
        </w:rPr>
      </w:pPr>
      <w:r w:rsidRPr="00124637">
        <w:rPr>
          <w:rFonts w:cs="Arial"/>
        </w:rPr>
        <w:t xml:space="preserve">In the event of a breach of a licence condition, including an additional licence condition imposed by the ACMA under the BSA, the ACMA has the power to give the licensee a remedial direction requiring compliance, or to suspend or cancel the licence. In the case of licence conditions imposed by the parliament, breaches can result in </w:t>
      </w:r>
      <w:r w:rsidR="00442B81" w:rsidRPr="00124637">
        <w:rPr>
          <w:rFonts w:cs="Arial"/>
        </w:rPr>
        <w:t xml:space="preserve">civil or criminal proceedings. </w:t>
      </w:r>
    </w:p>
    <w:p w14:paraId="7B9C3BE6" w14:textId="77777777" w:rsidR="00163CCB" w:rsidRPr="00124637" w:rsidRDefault="00163CCB" w:rsidP="00163CCB">
      <w:pPr>
        <w:rPr>
          <w:rFonts w:cs="Arial"/>
        </w:rPr>
      </w:pPr>
      <w:r w:rsidRPr="00124637">
        <w:rPr>
          <w:rFonts w:cs="Arial"/>
        </w:rPr>
        <w:lastRenderedPageBreak/>
        <w:t xml:space="preserve">The ACMA may also informally agree to accept measures by broadcasters to improve compliance following breaches of codes of practice. For example, the ACMA has, on many occasions, agreed on measures with licensees involving action </w:t>
      </w:r>
      <w:r w:rsidR="00442B81" w:rsidRPr="00124637">
        <w:rPr>
          <w:rFonts w:cs="Arial"/>
        </w:rPr>
        <w:t>to address compliance problems.</w:t>
      </w:r>
    </w:p>
    <w:p w14:paraId="33B2CF28" w14:textId="77777777" w:rsidR="001C4D21" w:rsidRPr="00124637" w:rsidRDefault="001C4D21" w:rsidP="00421DD0">
      <w:pPr>
        <w:pStyle w:val="Heading3"/>
      </w:pPr>
      <w:bookmarkStart w:id="367" w:name="Invest"/>
      <w:bookmarkStart w:id="368" w:name="_Toc419122580"/>
      <w:bookmarkStart w:id="369" w:name="_Toc433703415"/>
      <w:bookmarkEnd w:id="367"/>
      <w:r w:rsidRPr="00124637">
        <w:t>Investigations conducted by the ACMA in 201</w:t>
      </w:r>
      <w:r w:rsidR="00401568" w:rsidRPr="00124637">
        <w:t>4–</w:t>
      </w:r>
      <w:r w:rsidRPr="00124637">
        <w:t>15</w:t>
      </w:r>
      <w:bookmarkEnd w:id="368"/>
      <w:bookmarkEnd w:id="369"/>
    </w:p>
    <w:p w14:paraId="6DC1FAE2" w14:textId="77777777" w:rsidR="001C4D21" w:rsidRPr="00124637" w:rsidRDefault="001C4D21" w:rsidP="001C4D21">
      <w:pPr>
        <w:rPr>
          <w:rFonts w:cs="Arial"/>
        </w:rPr>
      </w:pPr>
      <w:r w:rsidRPr="00124637">
        <w:rPr>
          <w:rFonts w:cs="Arial"/>
        </w:rPr>
        <w:t>The numbers of complaints and investigations about radio and television licensees’ compliance with codes of practice, licence conditions and standards related to the BSA are provided in Table 2</w:t>
      </w:r>
      <w:r w:rsidR="00A524B6" w:rsidRPr="00124637">
        <w:rPr>
          <w:rFonts w:cs="Arial"/>
        </w:rPr>
        <w:t>6</w:t>
      </w:r>
      <w:r w:rsidRPr="00124637">
        <w:rPr>
          <w:rFonts w:cs="Arial"/>
        </w:rPr>
        <w:t>. Details of breach and non-breach findings by category of broadcasting service are in Appendix 6.</w:t>
      </w:r>
    </w:p>
    <w:p w14:paraId="45C2A9A3" w14:textId="77777777" w:rsidR="00BF6F04" w:rsidRPr="00124637" w:rsidRDefault="00A524B6" w:rsidP="00BF6F04">
      <w:pPr>
        <w:pStyle w:val="Caption"/>
        <w:spacing w:after="120"/>
        <w:rPr>
          <w:rFonts w:cs="Arial"/>
          <w:color w:val="auto"/>
        </w:rPr>
      </w:pPr>
      <w:r w:rsidRPr="00124637">
        <w:rPr>
          <w:color w:val="auto"/>
        </w:rPr>
        <w:t>B</w:t>
      </w:r>
      <w:r w:rsidR="00BF6F04" w:rsidRPr="00124637">
        <w:rPr>
          <w:color w:val="auto"/>
        </w:rPr>
        <w:t>roadcasting complaints and investigations for commercial, national, subscription and community bro</w:t>
      </w:r>
      <w:r w:rsidRPr="00124637">
        <w:rPr>
          <w:color w:val="auto"/>
        </w:rPr>
        <w:t>adcasters and datacasters, 2014–</w:t>
      </w:r>
      <w:r w:rsidR="00BF6F04" w:rsidRPr="00124637">
        <w:rPr>
          <w:color w:val="auto"/>
        </w:rPr>
        <w:t>15</w:t>
      </w:r>
    </w:p>
    <w:tbl>
      <w:tblPr>
        <w:tblpPr w:leftFromText="181" w:rightFromText="181"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415"/>
        <w:gridCol w:w="1420"/>
      </w:tblGrid>
      <w:tr w:rsidR="00BF6F04" w14:paraId="7C068EDB" w14:textId="77777777" w:rsidTr="00805AF9">
        <w:trPr>
          <w:cantSplit/>
          <w:trHeight w:val="560"/>
        </w:trPr>
        <w:tc>
          <w:tcPr>
            <w:tcW w:w="8075" w:type="dxa"/>
            <w:gridSpan w:val="2"/>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57F29DAB" w14:textId="77777777" w:rsidR="00BF6F04" w:rsidRPr="00124637" w:rsidRDefault="00BF6F04" w:rsidP="00800C4D">
            <w:pPr>
              <w:pStyle w:val="TableHeading"/>
              <w:rPr>
                <w:rFonts w:cs="Arial"/>
                <w:color w:val="FFFFFF" w:themeColor="background1"/>
                <w:szCs w:val="20"/>
              </w:rPr>
            </w:pPr>
            <w:r w:rsidRPr="00124637">
              <w:rPr>
                <w:rFonts w:cs="Arial"/>
                <w:color w:val="FFFFFF" w:themeColor="background1"/>
                <w:szCs w:val="20"/>
              </w:rPr>
              <w:t>Written complaints and enquiries received</w:t>
            </w:r>
          </w:p>
        </w:tc>
        <w:tc>
          <w:tcPr>
            <w:tcW w:w="142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11977F97" w14:textId="77777777" w:rsidR="00BF6F04" w:rsidRPr="00805AF9" w:rsidRDefault="00BF6F04" w:rsidP="00401568">
            <w:pPr>
              <w:keepNext/>
              <w:keepLines/>
              <w:spacing w:after="0"/>
              <w:jc w:val="right"/>
              <w:rPr>
                <w:rFonts w:cs="Arial"/>
                <w:b/>
                <w:color w:val="FFFFFF" w:themeColor="background1"/>
                <w:szCs w:val="20"/>
              </w:rPr>
            </w:pPr>
            <w:r w:rsidRPr="00805AF9">
              <w:rPr>
                <w:rFonts w:cs="Arial"/>
                <w:b/>
                <w:color w:val="FFFFFF" w:themeColor="background1"/>
                <w:szCs w:val="20"/>
              </w:rPr>
              <w:t>1</w:t>
            </w:r>
            <w:r w:rsidR="00401568" w:rsidRPr="00805AF9">
              <w:rPr>
                <w:rFonts w:cs="Arial"/>
                <w:b/>
                <w:color w:val="FFFFFF" w:themeColor="background1"/>
                <w:szCs w:val="20"/>
              </w:rPr>
              <w:t>,</w:t>
            </w:r>
            <w:r w:rsidRPr="00805AF9">
              <w:rPr>
                <w:rFonts w:cs="Arial"/>
                <w:b/>
                <w:color w:val="FFFFFF" w:themeColor="background1"/>
                <w:szCs w:val="20"/>
              </w:rPr>
              <w:t>012</w:t>
            </w:r>
          </w:p>
        </w:tc>
      </w:tr>
      <w:tr w:rsidR="00BF6F04" w14:paraId="323157EE" w14:textId="77777777" w:rsidTr="00805AF9">
        <w:trPr>
          <w:cantSplit/>
          <w:trHeight w:val="560"/>
        </w:trPr>
        <w:tc>
          <w:tcPr>
            <w:tcW w:w="8075" w:type="dxa"/>
            <w:gridSpan w:val="2"/>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22A360F2" w14:textId="77777777" w:rsidR="00BF6F04" w:rsidRPr="00124637" w:rsidRDefault="00BF6F04" w:rsidP="00800C4D">
            <w:pPr>
              <w:pStyle w:val="TableHeading"/>
              <w:rPr>
                <w:rFonts w:cs="Arial"/>
                <w:color w:val="FFFFFF" w:themeColor="background1"/>
                <w:szCs w:val="20"/>
              </w:rPr>
            </w:pPr>
            <w:r w:rsidRPr="00124637">
              <w:rPr>
                <w:rFonts w:cs="Arial"/>
                <w:color w:val="FFFFFF" w:themeColor="background1"/>
                <w:szCs w:val="20"/>
              </w:rPr>
              <w:t xml:space="preserve">Written complaints and enquiries actioned within time frame of seven days </w:t>
            </w:r>
          </w:p>
        </w:tc>
        <w:tc>
          <w:tcPr>
            <w:tcW w:w="142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70CAE147" w14:textId="77777777" w:rsidR="00BF6F04" w:rsidRPr="00805AF9" w:rsidRDefault="00BF6F04" w:rsidP="00401568">
            <w:pPr>
              <w:keepNext/>
              <w:keepLines/>
              <w:spacing w:after="0"/>
              <w:jc w:val="right"/>
              <w:rPr>
                <w:rFonts w:cs="Arial"/>
                <w:b/>
                <w:color w:val="FFFFFF" w:themeColor="background1"/>
                <w:szCs w:val="20"/>
              </w:rPr>
            </w:pPr>
            <w:r w:rsidRPr="00805AF9">
              <w:rPr>
                <w:rFonts w:cs="Arial"/>
                <w:b/>
                <w:color w:val="FFFFFF" w:themeColor="background1"/>
                <w:szCs w:val="20"/>
              </w:rPr>
              <w:t>1</w:t>
            </w:r>
            <w:r w:rsidR="00401568" w:rsidRPr="00805AF9">
              <w:rPr>
                <w:rFonts w:cs="Arial"/>
                <w:b/>
                <w:color w:val="FFFFFF" w:themeColor="background1"/>
                <w:szCs w:val="20"/>
              </w:rPr>
              <w:t>,</w:t>
            </w:r>
            <w:r w:rsidRPr="00805AF9">
              <w:rPr>
                <w:rFonts w:cs="Arial"/>
                <w:b/>
                <w:color w:val="FFFFFF" w:themeColor="background1"/>
                <w:szCs w:val="20"/>
              </w:rPr>
              <w:t>003</w:t>
            </w:r>
            <w:r w:rsidR="00401568" w:rsidRPr="00805AF9">
              <w:rPr>
                <w:rFonts w:cs="Arial"/>
                <w:b/>
                <w:color w:val="FFFFFF" w:themeColor="background1"/>
                <w:szCs w:val="20"/>
              </w:rPr>
              <w:t xml:space="preserve"> </w:t>
            </w:r>
            <w:r w:rsidRPr="00805AF9">
              <w:rPr>
                <w:rFonts w:cs="Arial"/>
                <w:b/>
                <w:color w:val="FFFFFF" w:themeColor="background1"/>
                <w:szCs w:val="20"/>
              </w:rPr>
              <w:t>(99%)</w:t>
            </w:r>
          </w:p>
        </w:tc>
      </w:tr>
      <w:tr w:rsidR="00BF6F04" w14:paraId="189343D4" w14:textId="77777777" w:rsidTr="00805AF9">
        <w:trPr>
          <w:cantSplit/>
          <w:trHeight w:val="560"/>
        </w:trPr>
        <w:tc>
          <w:tcPr>
            <w:tcW w:w="8075" w:type="dxa"/>
            <w:gridSpan w:val="2"/>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2A07181C" w14:textId="77777777" w:rsidR="00BF6F04" w:rsidRPr="00124637" w:rsidRDefault="00BF6F04" w:rsidP="00800C4D">
            <w:pPr>
              <w:pStyle w:val="TableHeading"/>
              <w:rPr>
                <w:rFonts w:cs="Arial"/>
                <w:color w:val="FFFFFF" w:themeColor="background1"/>
                <w:szCs w:val="20"/>
              </w:rPr>
            </w:pPr>
            <w:r w:rsidRPr="00124637">
              <w:rPr>
                <w:rFonts w:cs="Arial"/>
                <w:color w:val="FFFFFF" w:themeColor="background1"/>
                <w:szCs w:val="20"/>
              </w:rPr>
              <w:t>Investigations completed</w:t>
            </w:r>
          </w:p>
        </w:tc>
        <w:tc>
          <w:tcPr>
            <w:tcW w:w="142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6D34AB0F" w14:textId="77777777" w:rsidR="00BF6F04" w:rsidRPr="00805AF9" w:rsidRDefault="00BF6F04" w:rsidP="00401568">
            <w:pPr>
              <w:keepNext/>
              <w:keepLines/>
              <w:spacing w:after="0"/>
              <w:jc w:val="right"/>
              <w:rPr>
                <w:rFonts w:cs="Arial"/>
                <w:b/>
                <w:color w:val="FFFFFF" w:themeColor="background1"/>
                <w:spacing w:val="-28"/>
                <w:szCs w:val="20"/>
              </w:rPr>
            </w:pPr>
            <w:r w:rsidRPr="00805AF9">
              <w:rPr>
                <w:rFonts w:cs="Arial"/>
                <w:b/>
                <w:color w:val="FFFFFF" w:themeColor="background1"/>
                <w:szCs w:val="20"/>
              </w:rPr>
              <w:t>145</w:t>
            </w:r>
          </w:p>
        </w:tc>
      </w:tr>
      <w:tr w:rsidR="00BF6F04" w14:paraId="1C33CE2A" w14:textId="77777777" w:rsidTr="00805AF9">
        <w:trPr>
          <w:cantSplit/>
          <w:trHeight w:val="560"/>
        </w:trPr>
        <w:tc>
          <w:tcPr>
            <w:tcW w:w="8075" w:type="dxa"/>
            <w:gridSpan w:val="2"/>
            <w:tcBorders>
              <w:top w:val="single" w:sz="4" w:space="0" w:color="auto"/>
              <w:left w:val="single" w:sz="4" w:space="0" w:color="auto"/>
              <w:bottom w:val="single" w:sz="4" w:space="0" w:color="auto"/>
              <w:right w:val="nil"/>
            </w:tcBorders>
            <w:shd w:val="clear" w:color="auto" w:fill="F3F3F3"/>
            <w:noWrap/>
            <w:vAlign w:val="center"/>
            <w:hideMark/>
          </w:tcPr>
          <w:p w14:paraId="649DECB6" w14:textId="77777777" w:rsidR="00BF6F04" w:rsidRPr="00124637" w:rsidRDefault="00BF6F04" w:rsidP="00800C4D">
            <w:pPr>
              <w:pStyle w:val="TableTextLeft"/>
              <w:rPr>
                <w:rFonts w:cs="Arial"/>
                <w:b/>
                <w:sz w:val="20"/>
              </w:rPr>
            </w:pPr>
            <w:r w:rsidRPr="00124637">
              <w:rPr>
                <w:rFonts w:cs="Arial"/>
                <w:b/>
                <w:sz w:val="20"/>
              </w:rPr>
              <w:t>Investigations resulting in breach findings</w:t>
            </w:r>
            <w:r w:rsidRPr="00124637">
              <w:rPr>
                <w:rFonts w:cs="Arial"/>
                <w:b/>
                <w:sz w:val="20"/>
                <w:vertAlign w:val="superscript"/>
              </w:rPr>
              <w:t>^</w:t>
            </w:r>
          </w:p>
        </w:tc>
        <w:tc>
          <w:tcPr>
            <w:tcW w:w="1420" w:type="dxa"/>
            <w:tcBorders>
              <w:top w:val="single" w:sz="4" w:space="0" w:color="auto"/>
              <w:left w:val="nil"/>
              <w:bottom w:val="single" w:sz="4" w:space="0" w:color="auto"/>
              <w:right w:val="single" w:sz="4" w:space="0" w:color="auto"/>
            </w:tcBorders>
            <w:shd w:val="clear" w:color="auto" w:fill="F3F3F3"/>
            <w:noWrap/>
            <w:vAlign w:val="center"/>
            <w:hideMark/>
          </w:tcPr>
          <w:p w14:paraId="198EF403" w14:textId="77777777" w:rsidR="00BF6F04" w:rsidRPr="00124637" w:rsidRDefault="00BF6F04" w:rsidP="00401568">
            <w:pPr>
              <w:keepNext/>
              <w:keepLines/>
              <w:spacing w:after="0"/>
              <w:jc w:val="right"/>
              <w:rPr>
                <w:rFonts w:cs="Arial"/>
                <w:b/>
                <w:szCs w:val="20"/>
              </w:rPr>
            </w:pPr>
            <w:r w:rsidRPr="00124637">
              <w:rPr>
                <w:rFonts w:cs="Arial"/>
                <w:b/>
                <w:szCs w:val="20"/>
              </w:rPr>
              <w:t>35</w:t>
            </w:r>
          </w:p>
        </w:tc>
      </w:tr>
      <w:tr w:rsidR="00BF6F04" w14:paraId="3943822A" w14:textId="77777777" w:rsidTr="00805AF9">
        <w:trPr>
          <w:cantSplit/>
          <w:trHeight w:val="560"/>
        </w:trPr>
        <w:tc>
          <w:tcPr>
            <w:tcW w:w="8075" w:type="dxa"/>
            <w:gridSpan w:val="2"/>
            <w:tcBorders>
              <w:top w:val="single" w:sz="4" w:space="0" w:color="auto"/>
              <w:left w:val="single" w:sz="4" w:space="0" w:color="auto"/>
              <w:bottom w:val="single" w:sz="4" w:space="0" w:color="auto"/>
              <w:right w:val="single" w:sz="4" w:space="0" w:color="auto"/>
            </w:tcBorders>
            <w:noWrap/>
            <w:vAlign w:val="center"/>
            <w:hideMark/>
          </w:tcPr>
          <w:p w14:paraId="0A78E825" w14:textId="77777777" w:rsidR="00BF6F04" w:rsidRPr="00124637" w:rsidRDefault="00BF6F04" w:rsidP="00800C4D">
            <w:pPr>
              <w:pStyle w:val="TableTextLeft"/>
              <w:ind w:left="596"/>
              <w:rPr>
                <w:rFonts w:cs="Arial"/>
                <w:sz w:val="20"/>
              </w:rPr>
            </w:pPr>
            <w:r w:rsidRPr="00124637">
              <w:rPr>
                <w:rFonts w:cs="Arial"/>
                <w:sz w:val="20"/>
              </w:rPr>
              <w:t xml:space="preserve">Investigations of compliance with codes of practice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5B6E8079" w14:textId="77777777" w:rsidR="00BF6F04" w:rsidRPr="00124637" w:rsidRDefault="00BF6F04" w:rsidP="00401568">
            <w:pPr>
              <w:keepNext/>
              <w:keepLines/>
              <w:spacing w:after="0"/>
              <w:jc w:val="right"/>
              <w:rPr>
                <w:rFonts w:cs="Arial"/>
                <w:szCs w:val="20"/>
              </w:rPr>
            </w:pPr>
            <w:r w:rsidRPr="00124637">
              <w:rPr>
                <w:rFonts w:cs="Arial"/>
                <w:szCs w:val="20"/>
              </w:rPr>
              <w:t>6</w:t>
            </w:r>
          </w:p>
        </w:tc>
      </w:tr>
      <w:tr w:rsidR="00BF6F04" w14:paraId="5EB0A7F8" w14:textId="77777777" w:rsidTr="00805AF9">
        <w:trPr>
          <w:cantSplit/>
          <w:trHeight w:val="560"/>
        </w:trPr>
        <w:tc>
          <w:tcPr>
            <w:tcW w:w="8075" w:type="dxa"/>
            <w:gridSpan w:val="2"/>
            <w:tcBorders>
              <w:top w:val="single" w:sz="4" w:space="0" w:color="auto"/>
              <w:left w:val="single" w:sz="4" w:space="0" w:color="auto"/>
              <w:bottom w:val="single" w:sz="4" w:space="0" w:color="auto"/>
              <w:right w:val="single" w:sz="4" w:space="0" w:color="auto"/>
            </w:tcBorders>
            <w:noWrap/>
            <w:vAlign w:val="center"/>
            <w:hideMark/>
          </w:tcPr>
          <w:p w14:paraId="6DE567C9" w14:textId="77777777" w:rsidR="00BF6F04" w:rsidRPr="00124637" w:rsidRDefault="00BF6F04" w:rsidP="00800C4D">
            <w:pPr>
              <w:pStyle w:val="TableTextLeft"/>
              <w:ind w:left="596"/>
              <w:rPr>
                <w:rFonts w:cs="Arial"/>
                <w:sz w:val="20"/>
              </w:rPr>
            </w:pPr>
            <w:r w:rsidRPr="00124637">
              <w:rPr>
                <w:rFonts w:cs="Arial"/>
                <w:sz w:val="20"/>
              </w:rPr>
              <w:t>Investigations of compliance with BSA, licence conditions or standards</w:t>
            </w: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14CB84C1" w14:textId="77777777" w:rsidR="00BF6F04" w:rsidRPr="00124637" w:rsidRDefault="00BF6F04" w:rsidP="00401568">
            <w:pPr>
              <w:keepNext/>
              <w:keepLines/>
              <w:spacing w:after="0"/>
              <w:jc w:val="right"/>
              <w:rPr>
                <w:rFonts w:cs="Arial"/>
                <w:szCs w:val="20"/>
              </w:rPr>
            </w:pPr>
            <w:r w:rsidRPr="00124637">
              <w:rPr>
                <w:rFonts w:cs="Arial"/>
                <w:szCs w:val="20"/>
              </w:rPr>
              <w:t>29</w:t>
            </w:r>
          </w:p>
        </w:tc>
      </w:tr>
      <w:tr w:rsidR="00BF6F04" w14:paraId="5D784CB3" w14:textId="77777777" w:rsidTr="00805AF9">
        <w:trPr>
          <w:cantSplit/>
          <w:trHeight w:val="560"/>
        </w:trPr>
        <w:tc>
          <w:tcPr>
            <w:tcW w:w="8075" w:type="dxa"/>
            <w:gridSpan w:val="2"/>
            <w:tcBorders>
              <w:top w:val="single" w:sz="4" w:space="0" w:color="auto"/>
              <w:left w:val="single" w:sz="4" w:space="0" w:color="auto"/>
              <w:bottom w:val="single" w:sz="4" w:space="0" w:color="auto"/>
              <w:right w:val="nil"/>
            </w:tcBorders>
            <w:shd w:val="clear" w:color="auto" w:fill="F3F3F3"/>
            <w:noWrap/>
            <w:vAlign w:val="center"/>
            <w:hideMark/>
          </w:tcPr>
          <w:p w14:paraId="3A28B65A" w14:textId="77777777" w:rsidR="00BF6F04" w:rsidRPr="00124637" w:rsidRDefault="00BF6F04" w:rsidP="00800C4D">
            <w:pPr>
              <w:pStyle w:val="TableTextLeft"/>
              <w:rPr>
                <w:rFonts w:cs="Arial"/>
                <w:b/>
                <w:sz w:val="20"/>
              </w:rPr>
            </w:pPr>
            <w:r w:rsidRPr="00124637">
              <w:rPr>
                <w:rFonts w:cs="Arial"/>
                <w:b/>
                <w:sz w:val="20"/>
              </w:rPr>
              <w:t>Investigations resulting in non-breach findings</w:t>
            </w:r>
          </w:p>
        </w:tc>
        <w:tc>
          <w:tcPr>
            <w:tcW w:w="1420" w:type="dxa"/>
            <w:tcBorders>
              <w:top w:val="single" w:sz="4" w:space="0" w:color="auto"/>
              <w:left w:val="nil"/>
              <w:bottom w:val="single" w:sz="4" w:space="0" w:color="auto"/>
              <w:right w:val="single" w:sz="4" w:space="0" w:color="auto"/>
            </w:tcBorders>
            <w:shd w:val="clear" w:color="auto" w:fill="F3F3F3"/>
            <w:noWrap/>
            <w:vAlign w:val="center"/>
            <w:hideMark/>
          </w:tcPr>
          <w:p w14:paraId="46E86BB1" w14:textId="77777777" w:rsidR="00BF6F04" w:rsidRPr="00124637" w:rsidRDefault="00BF6F04" w:rsidP="00401568">
            <w:pPr>
              <w:keepNext/>
              <w:keepLines/>
              <w:spacing w:after="0" w:line="240" w:lineRule="auto"/>
              <w:jc w:val="right"/>
              <w:rPr>
                <w:rFonts w:cs="Arial"/>
                <w:b/>
                <w:szCs w:val="20"/>
              </w:rPr>
            </w:pPr>
            <w:r w:rsidRPr="00124637">
              <w:rPr>
                <w:rFonts w:cs="Arial"/>
                <w:b/>
                <w:szCs w:val="20"/>
              </w:rPr>
              <w:t>100</w:t>
            </w:r>
          </w:p>
        </w:tc>
      </w:tr>
      <w:tr w:rsidR="00BF6F04" w14:paraId="2A7B4C28" w14:textId="77777777" w:rsidTr="00805AF9">
        <w:trPr>
          <w:cantSplit/>
          <w:trHeight w:val="560"/>
        </w:trPr>
        <w:tc>
          <w:tcPr>
            <w:tcW w:w="8075" w:type="dxa"/>
            <w:gridSpan w:val="2"/>
            <w:tcBorders>
              <w:top w:val="single" w:sz="4" w:space="0" w:color="auto"/>
              <w:left w:val="single" w:sz="4" w:space="0" w:color="auto"/>
              <w:bottom w:val="single" w:sz="4" w:space="0" w:color="auto"/>
              <w:right w:val="single" w:sz="4" w:space="0" w:color="auto"/>
            </w:tcBorders>
            <w:noWrap/>
            <w:vAlign w:val="center"/>
            <w:hideMark/>
          </w:tcPr>
          <w:p w14:paraId="6B236257" w14:textId="77777777" w:rsidR="00BF6F04" w:rsidRPr="00124637" w:rsidRDefault="00BF6F04" w:rsidP="00800C4D">
            <w:pPr>
              <w:pStyle w:val="TableTextLeft"/>
              <w:ind w:left="596"/>
              <w:rPr>
                <w:rFonts w:cs="Arial"/>
                <w:sz w:val="20"/>
              </w:rPr>
            </w:pPr>
            <w:r w:rsidRPr="00124637">
              <w:rPr>
                <w:rFonts w:cs="Arial"/>
                <w:sz w:val="20"/>
              </w:rPr>
              <w:t xml:space="preserve">Investigations of compliance with codes of practice </w:t>
            </w: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47809259" w14:textId="77777777" w:rsidR="00BF6F04" w:rsidRPr="00124637" w:rsidRDefault="00BF6F04" w:rsidP="00401568">
            <w:pPr>
              <w:spacing w:after="0" w:line="240" w:lineRule="auto"/>
              <w:jc w:val="right"/>
              <w:rPr>
                <w:rFonts w:eastAsiaTheme="minorHAnsi" w:cs="Arial"/>
                <w:szCs w:val="20"/>
              </w:rPr>
            </w:pPr>
            <w:r w:rsidRPr="00124637">
              <w:rPr>
                <w:rFonts w:cs="Arial"/>
                <w:szCs w:val="20"/>
              </w:rPr>
              <w:t>90</w:t>
            </w:r>
          </w:p>
        </w:tc>
      </w:tr>
      <w:tr w:rsidR="00BF6F04" w14:paraId="09D6EF21" w14:textId="77777777" w:rsidTr="00805AF9">
        <w:trPr>
          <w:cantSplit/>
          <w:trHeight w:val="560"/>
        </w:trPr>
        <w:tc>
          <w:tcPr>
            <w:tcW w:w="8075" w:type="dxa"/>
            <w:gridSpan w:val="2"/>
            <w:tcBorders>
              <w:top w:val="single" w:sz="4" w:space="0" w:color="auto"/>
              <w:left w:val="single" w:sz="4" w:space="0" w:color="auto"/>
              <w:bottom w:val="single" w:sz="4" w:space="0" w:color="auto"/>
              <w:right w:val="single" w:sz="4" w:space="0" w:color="auto"/>
            </w:tcBorders>
            <w:noWrap/>
            <w:vAlign w:val="center"/>
            <w:hideMark/>
          </w:tcPr>
          <w:p w14:paraId="57255C9E" w14:textId="77777777" w:rsidR="00BF6F04" w:rsidRPr="00124637" w:rsidRDefault="00BF6F04" w:rsidP="00800C4D">
            <w:pPr>
              <w:pStyle w:val="TableTextLeft"/>
              <w:ind w:left="596"/>
              <w:rPr>
                <w:rFonts w:cs="Arial"/>
                <w:sz w:val="20"/>
              </w:rPr>
            </w:pPr>
            <w:r w:rsidRPr="00124637">
              <w:rPr>
                <w:rFonts w:cs="Arial"/>
                <w:sz w:val="20"/>
              </w:rPr>
              <w:t>Investigations of compliance with BSA, licence conditions or standards</w:t>
            </w: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4F5EFB2E" w14:textId="77777777" w:rsidR="00BF6F04" w:rsidRPr="00124637" w:rsidRDefault="00BF6F04" w:rsidP="00401568">
            <w:pPr>
              <w:spacing w:after="0" w:line="240" w:lineRule="auto"/>
              <w:jc w:val="right"/>
              <w:rPr>
                <w:rFonts w:eastAsiaTheme="minorHAnsi" w:cs="Arial"/>
                <w:szCs w:val="20"/>
              </w:rPr>
            </w:pPr>
            <w:r w:rsidRPr="00124637">
              <w:rPr>
                <w:rFonts w:cs="Arial"/>
                <w:szCs w:val="20"/>
              </w:rPr>
              <w:t>10</w:t>
            </w:r>
          </w:p>
        </w:tc>
      </w:tr>
      <w:tr w:rsidR="00BF6F04" w14:paraId="1D6F9B9D" w14:textId="77777777" w:rsidTr="00BF6F04">
        <w:trPr>
          <w:cantSplit/>
          <w:trHeight w:val="560"/>
        </w:trPr>
        <w:tc>
          <w:tcPr>
            <w:tcW w:w="6660" w:type="dxa"/>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15A0692E" w14:textId="77777777" w:rsidR="00BF6F04" w:rsidRPr="00124637" w:rsidRDefault="00BF6F04" w:rsidP="00800C4D">
            <w:pPr>
              <w:pStyle w:val="TableBody"/>
              <w:rPr>
                <w:rFonts w:cs="Arial"/>
                <w:b/>
                <w:color w:val="FFFFFF" w:themeColor="background1"/>
                <w:szCs w:val="20"/>
              </w:rPr>
            </w:pPr>
            <w:r w:rsidRPr="00124637">
              <w:rPr>
                <w:rFonts w:cs="Arial"/>
                <w:b/>
                <w:color w:val="FFFFFF" w:themeColor="background1"/>
                <w:szCs w:val="20"/>
              </w:rPr>
              <w:t>Investigations completed within time frame of three months</w:t>
            </w:r>
          </w:p>
        </w:tc>
        <w:tc>
          <w:tcPr>
            <w:tcW w:w="2835" w:type="dxa"/>
            <w:gridSpan w:val="2"/>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45EFD949" w14:textId="77777777" w:rsidR="00BF6F04" w:rsidRPr="00124637" w:rsidRDefault="00BF6F04" w:rsidP="00401568">
            <w:pPr>
              <w:keepNext/>
              <w:keepLines/>
              <w:spacing w:after="0"/>
              <w:ind w:left="-817" w:firstLine="817"/>
              <w:jc w:val="right"/>
              <w:rPr>
                <w:rFonts w:cs="Arial"/>
                <w:b/>
                <w:bCs/>
                <w:color w:val="FFFFFF" w:themeColor="background1"/>
                <w:szCs w:val="20"/>
              </w:rPr>
            </w:pPr>
            <w:r w:rsidRPr="00124637">
              <w:rPr>
                <w:rFonts w:cs="Arial"/>
                <w:b/>
                <w:bCs/>
                <w:color w:val="FFFFFF" w:themeColor="background1"/>
                <w:szCs w:val="20"/>
              </w:rPr>
              <w:t>117 (81%)</w:t>
            </w:r>
          </w:p>
        </w:tc>
      </w:tr>
      <w:tr w:rsidR="00BF6F04" w14:paraId="21C78E43" w14:textId="77777777" w:rsidTr="00BF6F04">
        <w:trPr>
          <w:cantSplit/>
          <w:trHeight w:val="560"/>
        </w:trPr>
        <w:tc>
          <w:tcPr>
            <w:tcW w:w="6660" w:type="dxa"/>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5DB1A48F" w14:textId="77777777" w:rsidR="00BF6F04" w:rsidRPr="00124637" w:rsidRDefault="00BF6F04" w:rsidP="00800C4D">
            <w:pPr>
              <w:pStyle w:val="TableBody"/>
              <w:rPr>
                <w:rFonts w:cs="Arial"/>
                <w:b/>
                <w:color w:val="FFFFFF" w:themeColor="background1"/>
                <w:szCs w:val="20"/>
              </w:rPr>
            </w:pPr>
            <w:r w:rsidRPr="00124637">
              <w:rPr>
                <w:rFonts w:cs="Arial"/>
                <w:b/>
                <w:color w:val="FFFFFF" w:themeColor="background1"/>
                <w:szCs w:val="20"/>
              </w:rPr>
              <w:t>Investigations completed within time frame of six months</w:t>
            </w:r>
          </w:p>
        </w:tc>
        <w:tc>
          <w:tcPr>
            <w:tcW w:w="2835" w:type="dxa"/>
            <w:gridSpan w:val="2"/>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0302E994" w14:textId="77777777" w:rsidR="00BF6F04" w:rsidRPr="00124637" w:rsidRDefault="00BF6F04" w:rsidP="00401568">
            <w:pPr>
              <w:keepNext/>
              <w:keepLines/>
              <w:spacing w:after="0"/>
              <w:ind w:left="-817" w:firstLine="817"/>
              <w:jc w:val="right"/>
              <w:rPr>
                <w:rFonts w:cs="Arial"/>
                <w:b/>
                <w:color w:val="FFFFFF" w:themeColor="background1"/>
                <w:szCs w:val="20"/>
              </w:rPr>
            </w:pPr>
            <w:r w:rsidRPr="00124637">
              <w:rPr>
                <w:rFonts w:cs="Arial"/>
                <w:b/>
                <w:bCs/>
                <w:color w:val="FFFFFF" w:themeColor="background1"/>
                <w:szCs w:val="20"/>
              </w:rPr>
              <w:t>134 (92%)</w:t>
            </w:r>
          </w:p>
        </w:tc>
      </w:tr>
      <w:tr w:rsidR="00BF6F04" w14:paraId="516548E1" w14:textId="77777777" w:rsidTr="00BF6F04">
        <w:trPr>
          <w:cantSplit/>
          <w:trHeight w:val="560"/>
        </w:trPr>
        <w:tc>
          <w:tcPr>
            <w:tcW w:w="6660" w:type="dxa"/>
            <w:tcBorders>
              <w:top w:val="single" w:sz="4" w:space="0" w:color="auto"/>
              <w:left w:val="single" w:sz="4" w:space="0" w:color="auto"/>
              <w:bottom w:val="single" w:sz="4" w:space="0" w:color="auto"/>
              <w:right w:val="nil"/>
            </w:tcBorders>
            <w:shd w:val="clear" w:color="auto" w:fill="404040" w:themeFill="text1" w:themeFillTint="BF"/>
            <w:noWrap/>
            <w:vAlign w:val="center"/>
            <w:hideMark/>
          </w:tcPr>
          <w:p w14:paraId="7FA95C5B" w14:textId="77777777" w:rsidR="00BF6F04" w:rsidRPr="00124637" w:rsidRDefault="00BF6F04" w:rsidP="00800C4D">
            <w:pPr>
              <w:pStyle w:val="TableBody"/>
              <w:rPr>
                <w:rFonts w:cs="Arial"/>
                <w:b/>
                <w:color w:val="FFFFFF" w:themeColor="background1"/>
                <w:szCs w:val="20"/>
              </w:rPr>
            </w:pPr>
            <w:r w:rsidRPr="00124637">
              <w:rPr>
                <w:rFonts w:cs="Arial"/>
                <w:b/>
                <w:bCs/>
                <w:color w:val="FFFFFF" w:themeColor="background1"/>
                <w:szCs w:val="20"/>
              </w:rPr>
              <w:t>Average time for completion of investigations</w:t>
            </w:r>
          </w:p>
        </w:tc>
        <w:tc>
          <w:tcPr>
            <w:tcW w:w="2835" w:type="dxa"/>
            <w:gridSpan w:val="2"/>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1F4912DC" w14:textId="77777777" w:rsidR="00BF6F04" w:rsidRPr="00124637" w:rsidRDefault="00BF6F04" w:rsidP="00401568">
            <w:pPr>
              <w:keepNext/>
              <w:keepLines/>
              <w:spacing w:after="0"/>
              <w:ind w:left="-817" w:firstLine="817"/>
              <w:jc w:val="right"/>
              <w:rPr>
                <w:rFonts w:cs="Arial"/>
                <w:b/>
                <w:bCs/>
                <w:color w:val="FFFFFF" w:themeColor="background1"/>
                <w:szCs w:val="20"/>
              </w:rPr>
            </w:pPr>
            <w:r w:rsidRPr="00124637">
              <w:rPr>
                <w:rFonts w:cs="Arial"/>
                <w:b/>
                <w:bCs/>
                <w:color w:val="FFFFFF" w:themeColor="background1"/>
                <w:szCs w:val="20"/>
              </w:rPr>
              <w:t>2.6 months</w:t>
            </w:r>
          </w:p>
        </w:tc>
      </w:tr>
    </w:tbl>
    <w:p w14:paraId="35A9BA1A" w14:textId="77777777" w:rsidR="00BF6F04" w:rsidRPr="00124637" w:rsidRDefault="00BF6F04" w:rsidP="00BF6F04">
      <w:pPr>
        <w:pStyle w:val="ACMANotes"/>
        <w:rPr>
          <w:b/>
          <w:bCs/>
        </w:rPr>
      </w:pPr>
      <w:r w:rsidRPr="00124637">
        <w:rPr>
          <w:vertAlign w:val="superscript"/>
        </w:rPr>
        <w:t>*</w:t>
      </w:r>
      <w:r w:rsidRPr="00124637">
        <w:t>Includes three investigations that resulted in no findings and seven investigations that were concluded (withdrawn prior to decision).</w:t>
      </w:r>
    </w:p>
    <w:p w14:paraId="4B555388" w14:textId="77777777" w:rsidR="00BF6F04" w:rsidRPr="00124637" w:rsidRDefault="00BF6F04" w:rsidP="00BF6F04">
      <w:pPr>
        <w:pStyle w:val="ACMANotes"/>
      </w:pPr>
      <w:r w:rsidRPr="00124637">
        <w:rPr>
          <w:bCs/>
          <w:vertAlign w:val="superscript"/>
        </w:rPr>
        <w:t>^</w:t>
      </w:r>
      <w:r w:rsidRPr="00124637">
        <w:t>Investigations involving compliance with codes of practice may also involve licence conditions or standards. For the purposes of the annual report, these investigations have only been counted once. Further details can be found in Appendix 6 or on the ACMA website.</w:t>
      </w:r>
    </w:p>
    <w:p w14:paraId="23726B50" w14:textId="77777777" w:rsidR="00421DD0" w:rsidRPr="00124637" w:rsidRDefault="00421DD0" w:rsidP="00421DD0">
      <w:pPr>
        <w:pStyle w:val="BodysubheaderH4"/>
        <w:spacing w:before="240"/>
      </w:pPr>
      <w:r w:rsidRPr="00124637">
        <w:t>Discretion to investigate</w:t>
      </w:r>
    </w:p>
    <w:p w14:paraId="778BACE8" w14:textId="77777777" w:rsidR="00421DD0" w:rsidRPr="00124637" w:rsidRDefault="00421DD0" w:rsidP="00BF6F04">
      <w:r w:rsidRPr="00124637">
        <w:t xml:space="preserve">Since 17 October 2014, the ACMA has had a discretion whether to investigate complaints about broadcasting matters in the public interest. When deciding whether to investigate a particular matter, the ACMA </w:t>
      </w:r>
      <w:r w:rsidR="00401568" w:rsidRPr="00124637">
        <w:t>considers</w:t>
      </w:r>
      <w:r w:rsidRPr="00124637">
        <w:t xml:space="preserve"> a range of factors</w:t>
      </w:r>
      <w:r w:rsidR="00401568" w:rsidRPr="00124637">
        <w:t>,</w:t>
      </w:r>
      <w:r w:rsidRPr="00124637">
        <w:t xml:space="preserve"> including the nature and </w:t>
      </w:r>
      <w:r w:rsidR="00401568" w:rsidRPr="00124637">
        <w:t>seriousness of the issue raised;</w:t>
      </w:r>
      <w:r w:rsidRPr="00124637">
        <w:t xml:space="preserve"> the applicability of any relevant legislatio</w:t>
      </w:r>
      <w:r w:rsidR="00401568" w:rsidRPr="00124637">
        <w:t>n, code of practice or standard;</w:t>
      </w:r>
      <w:r w:rsidRPr="00124637">
        <w:t xml:space="preserve"> the matter’s potential to affect the community at large and its priority </w:t>
      </w:r>
      <w:r w:rsidR="00401568" w:rsidRPr="00124637">
        <w:t>compared</w:t>
      </w:r>
      <w:r w:rsidRPr="00124637">
        <w:t xml:space="preserve"> to other matters of public interest.</w:t>
      </w:r>
    </w:p>
    <w:p w14:paraId="4475401C" w14:textId="77777777" w:rsidR="00421DD0" w:rsidRPr="00124637" w:rsidRDefault="00421DD0" w:rsidP="00BF6F04">
      <w:r w:rsidRPr="00124637">
        <w:lastRenderedPageBreak/>
        <w:t>From 17 October 2014 to 30 June 2015, the ACMA exercised its discretion to investigate 61 valid complaints and declined to investigate 35 valid complaints (multiple valid complaints may conce</w:t>
      </w:r>
      <w:r w:rsidR="00401568" w:rsidRPr="00124637">
        <w:t>rn a single broadcast or matter</w:t>
      </w:r>
      <w:r w:rsidRPr="00124637">
        <w:t>)</w:t>
      </w:r>
      <w:r w:rsidR="00401568" w:rsidRPr="00124637">
        <w:t>.</w:t>
      </w:r>
    </w:p>
    <w:p w14:paraId="61294783" w14:textId="77777777" w:rsidR="00421DD0" w:rsidRPr="00124637" w:rsidRDefault="00421DD0" w:rsidP="00421DD0">
      <w:pPr>
        <w:pStyle w:val="Heading3"/>
        <w:tabs>
          <w:tab w:val="right" w:pos="7671"/>
        </w:tabs>
      </w:pPr>
      <w:bookmarkStart w:id="370" w:name="_Toc433703416"/>
      <w:r w:rsidRPr="00124637">
        <w:t>Anti-siphoning provisions</w:t>
      </w:r>
      <w:bookmarkEnd w:id="370"/>
    </w:p>
    <w:p w14:paraId="07A96886" w14:textId="77777777" w:rsidR="00421DD0" w:rsidRPr="00124637" w:rsidRDefault="00421DD0" w:rsidP="00421DD0">
      <w:pPr>
        <w:tabs>
          <w:tab w:val="left" w:pos="0"/>
        </w:tabs>
        <w:rPr>
          <w:rFonts w:ascii="Calibri" w:hAnsi="Calibri"/>
        </w:rPr>
      </w:pPr>
      <w:r w:rsidRPr="00124637">
        <w:rPr>
          <w:rFonts w:cs="Arial"/>
        </w:rPr>
        <w:t>The ACMA conducted no investigations into the anti-siphoning provisions in the reporting period.</w:t>
      </w:r>
      <w:r w:rsidR="00401568" w:rsidRPr="00124637">
        <w:rPr>
          <w:rFonts w:cs="Arial"/>
        </w:rPr>
        <w:t xml:space="preserve"> It </w:t>
      </w:r>
      <w:r w:rsidRPr="00124637">
        <w:rPr>
          <w:rFonts w:cs="Arial"/>
        </w:rPr>
        <w:t xml:space="preserve">dealt with 17 complaints or enquiries about the availability of sports programs on free-to-air television. The majority of the complaints were about events not being broadcast live, in-full or at all (such complaints are not currently within the ACMA’s jurisdiction). </w:t>
      </w:r>
    </w:p>
    <w:p w14:paraId="091BA0CB" w14:textId="77777777" w:rsidR="00E615FE" w:rsidRPr="00124637" w:rsidRDefault="00E615FE" w:rsidP="00E615FE">
      <w:pPr>
        <w:pStyle w:val="Heading3"/>
      </w:pPr>
      <w:bookmarkStart w:id="371" w:name="_Toc400018579"/>
      <w:bookmarkStart w:id="372" w:name="_Toc419122588"/>
      <w:bookmarkStart w:id="373" w:name="_Toc400018582"/>
      <w:bookmarkStart w:id="374" w:name="_Toc419122591"/>
      <w:bookmarkStart w:id="375" w:name="_Toc433703417"/>
      <w:r w:rsidRPr="00124637">
        <w:t>Australian content</w:t>
      </w:r>
      <w:bookmarkEnd w:id="371"/>
      <w:bookmarkEnd w:id="372"/>
      <w:bookmarkEnd w:id="375"/>
    </w:p>
    <w:p w14:paraId="03F4437F" w14:textId="77777777" w:rsidR="00421DD0" w:rsidRPr="00124637" w:rsidRDefault="00421DD0" w:rsidP="00421DD0">
      <w:bookmarkStart w:id="376" w:name="_Toc400018580"/>
      <w:bookmarkStart w:id="377" w:name="_Toc419122589"/>
      <w:r w:rsidRPr="00124637">
        <w:t>All metropolitan commercial television broadcasting licensees reported meeting primary channel (55 per cent) and non-primary channels (1,095 hours) transmission quotas for Australian content in 2014.</w:t>
      </w:r>
    </w:p>
    <w:p w14:paraId="4CCE1802" w14:textId="77777777" w:rsidR="00421DD0" w:rsidRPr="00124637" w:rsidRDefault="00421DD0" w:rsidP="00421DD0">
      <w:r w:rsidRPr="00124637">
        <w:t xml:space="preserve">The transmission quotas apply to programs televised by free-to-air commercial broadcasters between 6 am and midnight each calendar year and are specified by the BSA. Australian content on commercial television’s primary channels was high, with the Seven and Nine Networks each providing an average of over 70 per cent local programming and Network Ten an average of over 62 per cent. </w:t>
      </w:r>
    </w:p>
    <w:p w14:paraId="197BD966" w14:textId="77777777" w:rsidR="000E5213" w:rsidRPr="00124637" w:rsidRDefault="000E5213" w:rsidP="000E5213">
      <w:pPr>
        <w:spacing w:after="80"/>
      </w:pPr>
      <w:r w:rsidRPr="00124637">
        <w:t>In 2014, a</w:t>
      </w:r>
      <w:r w:rsidR="00421DD0" w:rsidRPr="00124637">
        <w:t>ll three networks comfortably met the 1,095 non-primary channel transmission quota</w:t>
      </w:r>
      <w:r w:rsidRPr="00124637">
        <w:t>:</w:t>
      </w:r>
    </w:p>
    <w:p w14:paraId="3F4FDB45" w14:textId="77777777" w:rsidR="000E5213" w:rsidRPr="00124637" w:rsidRDefault="00421DD0" w:rsidP="000E5213">
      <w:pPr>
        <w:pStyle w:val="ListBullet"/>
      </w:pPr>
      <w:r w:rsidRPr="00124637">
        <w:t>Seven Network averag</w:t>
      </w:r>
      <w:r w:rsidR="000E5213" w:rsidRPr="00124637">
        <w:t xml:space="preserve">ed </w:t>
      </w:r>
      <w:r w:rsidRPr="00124637">
        <w:t>3,092 hours</w:t>
      </w:r>
    </w:p>
    <w:p w14:paraId="759BCF43" w14:textId="77777777" w:rsidR="000E5213" w:rsidRPr="00124637" w:rsidRDefault="00421DD0" w:rsidP="000E5213">
      <w:pPr>
        <w:pStyle w:val="ListBullet"/>
      </w:pPr>
      <w:r w:rsidRPr="00124637">
        <w:t>Nine Network averag</w:t>
      </w:r>
      <w:r w:rsidR="000E5213" w:rsidRPr="00124637">
        <w:t xml:space="preserve">ed </w:t>
      </w:r>
      <w:r w:rsidRPr="00124637">
        <w:t>1,662 hours</w:t>
      </w:r>
    </w:p>
    <w:p w14:paraId="756B3E70" w14:textId="77777777" w:rsidR="000E5213" w:rsidRPr="00124637" w:rsidRDefault="00421DD0" w:rsidP="000E5213">
      <w:pPr>
        <w:pStyle w:val="ListBulletLast"/>
      </w:pPr>
      <w:r w:rsidRPr="00124637">
        <w:t>Network Ten averag</w:t>
      </w:r>
      <w:r w:rsidR="000E5213" w:rsidRPr="00124637">
        <w:t>ed</w:t>
      </w:r>
      <w:r w:rsidRPr="00124637">
        <w:t xml:space="preserve"> 3,490 hours. </w:t>
      </w:r>
    </w:p>
    <w:p w14:paraId="2E474DB1" w14:textId="77777777" w:rsidR="00421DD0" w:rsidRPr="00124637" w:rsidRDefault="00421DD0" w:rsidP="000E5213">
      <w:r w:rsidRPr="00124637">
        <w:t xml:space="preserve">In 2015, this transmission quota increases to 1,460 hours. </w:t>
      </w:r>
    </w:p>
    <w:p w14:paraId="007C54A6" w14:textId="77777777" w:rsidR="00421DD0" w:rsidRPr="00124637" w:rsidRDefault="00421DD0" w:rsidP="00421DD0">
      <w:r w:rsidRPr="00124637">
        <w:t xml:space="preserve">In addition to the transmission quotas, </w:t>
      </w:r>
      <w:r w:rsidR="000E5213" w:rsidRPr="00124637">
        <w:t xml:space="preserve">across their commercial television broadcasting service licensees must meet </w:t>
      </w:r>
      <w:r w:rsidRPr="00124637">
        <w:t>annual sub-quotas for first-release Australian drama, documentary and chil</w:t>
      </w:r>
      <w:r w:rsidR="000E5213" w:rsidRPr="00124637">
        <w:t>dren’s programs, as well as sub</w:t>
      </w:r>
      <w:r w:rsidR="000E5213" w:rsidRPr="00124637">
        <w:noBreakHyphen/>
      </w:r>
      <w:r w:rsidRPr="00124637">
        <w:t>quota requirements for repeat children’s programs and Australian preschool programs. All metropolitan licensees reported compliance with the annual sub-quota requirements in 2014.</w:t>
      </w:r>
    </w:p>
    <w:p w14:paraId="3CC81383" w14:textId="77777777" w:rsidR="00421DD0" w:rsidRPr="00124637" w:rsidRDefault="00421DD0" w:rsidP="00421DD0">
      <w:r w:rsidRPr="00124637">
        <w:t>The latest triennial</w:t>
      </w:r>
      <w:r w:rsidR="000E5213" w:rsidRPr="00124637">
        <w:t xml:space="preserve"> period for the first-</w:t>
      </w:r>
      <w:r w:rsidRPr="00124637">
        <w:t>rele</w:t>
      </w:r>
      <w:r w:rsidR="000E5213" w:rsidRPr="00124637">
        <w:t>ase Australian C d</w:t>
      </w:r>
      <w:r w:rsidRPr="00124637">
        <w:t>rama quota concluded in 2014. The quota requirement for each triennial period is 96</w:t>
      </w:r>
      <w:r w:rsidR="000E5213" w:rsidRPr="00124637">
        <w:t xml:space="preserve"> hours. Both the Seven and Ten n</w:t>
      </w:r>
      <w:r w:rsidRPr="00124637">
        <w:t xml:space="preserve">etworks slightly exceeded the quota by providing 96.50 hours per licence. However, due to non-compliance found </w:t>
      </w:r>
      <w:r w:rsidR="000E5213" w:rsidRPr="00124637">
        <w:t>for first-release Australian C d</w:t>
      </w:r>
      <w:r w:rsidRPr="00124637">
        <w:t xml:space="preserve">rama in 2013, the Nine </w:t>
      </w:r>
      <w:r w:rsidR="000E5213" w:rsidRPr="00124637">
        <w:t>Network failed to meet the 2012–</w:t>
      </w:r>
      <w:r w:rsidRPr="00124637">
        <w:t>14 triennium quota</w:t>
      </w:r>
      <w:r w:rsidR="000E5213" w:rsidRPr="00124637">
        <w:t>,</w:t>
      </w:r>
      <w:r w:rsidRPr="00124637">
        <w:t xml:space="preserve"> providing 91.5 hours per licensee.</w:t>
      </w:r>
    </w:p>
    <w:p w14:paraId="62A14CB3" w14:textId="77777777" w:rsidR="00421DD0" w:rsidRPr="00124637" w:rsidRDefault="00421DD0" w:rsidP="00421DD0">
      <w:r w:rsidRPr="00124637">
        <w:t>The 2014 Australian content compliance results for regional commercial television broadcasting licensees were not available at the time of publication.</w:t>
      </w:r>
      <w:r w:rsidRPr="00124637" w:rsidDel="00F5669D">
        <w:t xml:space="preserve"> </w:t>
      </w:r>
    </w:p>
    <w:p w14:paraId="6108589A" w14:textId="77777777" w:rsidR="00421DD0" w:rsidRPr="00124637" w:rsidRDefault="00421DD0" w:rsidP="00421DD0">
      <w:pPr>
        <w:pStyle w:val="Heading3"/>
      </w:pPr>
      <w:bookmarkStart w:id="378" w:name="_Toc433703418"/>
      <w:r w:rsidRPr="00124637">
        <w:t>Broadcasting (Australian Content) Standard 2005</w:t>
      </w:r>
      <w:bookmarkEnd w:id="378"/>
    </w:p>
    <w:p w14:paraId="183BE32A" w14:textId="77777777" w:rsidR="00805AF9" w:rsidRPr="00124637" w:rsidRDefault="00805AF9" w:rsidP="00805AF9">
      <w:pPr>
        <w:keepLines/>
      </w:pPr>
      <w:bookmarkStart w:id="379" w:name="_Toc400018581"/>
      <w:bookmarkStart w:id="380" w:name="_Toc419122590"/>
      <w:bookmarkEnd w:id="376"/>
      <w:bookmarkEnd w:id="377"/>
      <w:r w:rsidRPr="00124637">
        <w:t xml:space="preserve">During 2014–15, the ACMA investigated 19 regional licensees’ compliance with the Broadcasting (Australian Content) Standard 2005 (ACS). These resulted from the ACMA’s investigations in 2013–14 into three Nine Network licensees’ compliance with quotas for Australian children’s programs.  </w:t>
      </w:r>
    </w:p>
    <w:p w14:paraId="4C868638" w14:textId="77777777" w:rsidR="00864A99" w:rsidRPr="00124637" w:rsidRDefault="00864A99" w:rsidP="00864A99">
      <w:pPr>
        <w:pStyle w:val="Heading3"/>
      </w:pPr>
      <w:bookmarkStart w:id="381" w:name="_Toc433703419"/>
      <w:bookmarkEnd w:id="379"/>
      <w:bookmarkEnd w:id="380"/>
      <w:r w:rsidRPr="00124637">
        <w:lastRenderedPageBreak/>
        <w:t>Children’s Television Standards 2009</w:t>
      </w:r>
      <w:bookmarkEnd w:id="381"/>
    </w:p>
    <w:p w14:paraId="5FD7E284" w14:textId="77777777" w:rsidR="00421DD0" w:rsidRPr="00124637" w:rsidRDefault="00421DD0" w:rsidP="00864A99">
      <w:pPr>
        <w:keepLines/>
      </w:pPr>
      <w:r w:rsidRPr="00124637">
        <w:t xml:space="preserve">Compliance with the </w:t>
      </w:r>
      <w:r w:rsidR="00864A99" w:rsidRPr="00124637">
        <w:t>Children’s Television Standards 2009 (</w:t>
      </w:r>
      <w:r w:rsidRPr="00124637">
        <w:t>CTS</w:t>
      </w:r>
      <w:r w:rsidR="00864A99" w:rsidRPr="00124637">
        <w:t>)</w:t>
      </w:r>
      <w:r w:rsidRPr="00124637">
        <w:t xml:space="preserve"> is a licence condition for all commercial television broadcasting licensees. The CTS require these licensees to broadcast a combined total of at least 390 hours of children’s (C) and preschool (P) programs each year, with a minimum of 260 hours of C-classified and 130 hours of P-classified programs annually. These are the C and P quotas. The Australian Content Standard requires that 50 per cent of the C-quota must be first-release Australian programs and that all P-programs are Australian programs.</w:t>
      </w:r>
    </w:p>
    <w:p w14:paraId="7819C96D" w14:textId="77777777" w:rsidR="00421DD0" w:rsidRPr="00124637" w:rsidRDefault="00421DD0" w:rsidP="00421DD0">
      <w:pPr>
        <w:spacing w:after="80"/>
      </w:pPr>
      <w:r w:rsidRPr="00124637">
        <w:t>In 2014, the amount of first-release Australian children’s drama broadcast reported by the metropolitan networks averaged more than the 25-hour quota:</w:t>
      </w:r>
    </w:p>
    <w:p w14:paraId="105154E2" w14:textId="77777777" w:rsidR="00421DD0" w:rsidRPr="00124637" w:rsidRDefault="00421DD0" w:rsidP="00421DD0">
      <w:pPr>
        <w:pStyle w:val="ListBullet"/>
        <w:keepNext/>
        <w:keepLines/>
        <w:tabs>
          <w:tab w:val="clear" w:pos="295"/>
        </w:tabs>
        <w:ind w:left="284"/>
        <w:rPr>
          <w:rFonts w:cs="Arial"/>
        </w:rPr>
      </w:pPr>
      <w:r w:rsidRPr="00124637">
        <w:t xml:space="preserve">Seven </w:t>
      </w:r>
      <w:r w:rsidRPr="00124637">
        <w:rPr>
          <w:rFonts w:cs="Arial"/>
        </w:rPr>
        <w:t>Network licensees averaged 37 hours (27 hours in 2013)</w:t>
      </w:r>
    </w:p>
    <w:p w14:paraId="1B32265D" w14:textId="77777777" w:rsidR="00421DD0" w:rsidRPr="00124637" w:rsidRDefault="00421DD0" w:rsidP="00421DD0">
      <w:pPr>
        <w:pStyle w:val="ListBullet"/>
        <w:keepNext/>
        <w:keepLines/>
        <w:tabs>
          <w:tab w:val="clear" w:pos="295"/>
        </w:tabs>
        <w:ind w:left="284"/>
        <w:rPr>
          <w:rFonts w:cs="Arial"/>
        </w:rPr>
      </w:pPr>
      <w:r w:rsidRPr="00124637">
        <w:rPr>
          <w:rFonts w:cs="Arial"/>
        </w:rPr>
        <w:t>Nine Network licensees averaged 32 hours (27.5 hours in 2013)</w:t>
      </w:r>
    </w:p>
    <w:p w14:paraId="6DF68377" w14:textId="77777777" w:rsidR="00421DD0" w:rsidRPr="00124637" w:rsidRDefault="00421DD0" w:rsidP="00421DD0">
      <w:pPr>
        <w:pStyle w:val="ListBullet"/>
        <w:keepNext/>
        <w:keepLines/>
        <w:tabs>
          <w:tab w:val="clear" w:pos="295"/>
        </w:tabs>
        <w:spacing w:after="240"/>
        <w:ind w:left="284"/>
      </w:pPr>
      <w:r w:rsidRPr="00124637">
        <w:rPr>
          <w:rFonts w:cs="Arial"/>
        </w:rPr>
        <w:t>Network Ten licensees</w:t>
      </w:r>
      <w:r w:rsidRPr="00124637">
        <w:t xml:space="preserve"> averaged 37.5 hours (34 hours in 2013).</w:t>
      </w:r>
    </w:p>
    <w:p w14:paraId="251E6996" w14:textId="77777777" w:rsidR="00421DD0" w:rsidRPr="00124637" w:rsidRDefault="00421DD0" w:rsidP="00421DD0">
      <w:r w:rsidRPr="00124637">
        <w:t xml:space="preserve">All metropolitan licensees reported meeting the annual minimum quota requirements for children’s programming in 2014. However, as discussed above, following </w:t>
      </w:r>
      <w:r w:rsidR="00CD3C19" w:rsidRPr="00124637">
        <w:t>investigations in 2014–</w:t>
      </w:r>
      <w:r w:rsidRPr="00124637">
        <w:t>15, three Nine Network licensees failed to provide</w:t>
      </w:r>
      <w:r w:rsidR="00CD3C19" w:rsidRPr="00124637">
        <w:t xml:space="preserve"> at least 96 </w:t>
      </w:r>
      <w:r w:rsidRPr="00124637">
        <w:t>hours</w:t>
      </w:r>
      <w:r w:rsidR="00CD3C19" w:rsidRPr="00124637">
        <w:t xml:space="preserve"> of first release Australian C d</w:t>
      </w:r>
      <w:r w:rsidRPr="00124637">
        <w:t>rama in the 2012</w:t>
      </w:r>
      <w:r w:rsidR="00CD3C19" w:rsidRPr="00124637">
        <w:t>–</w:t>
      </w:r>
      <w:r w:rsidRPr="00124637">
        <w:t xml:space="preserve">14 triennial period, due to non-compliance found in 2013. </w:t>
      </w:r>
    </w:p>
    <w:p w14:paraId="1AC574FD" w14:textId="77777777" w:rsidR="00421DD0" w:rsidRPr="00124637" w:rsidRDefault="00421DD0" w:rsidP="00421DD0">
      <w:r w:rsidRPr="00124637">
        <w:t>In 2014–15, the ACMA reviewed the compliance of 19 regional licensees’ compliance with the CTS. The investigations were initiated by the ACMA under section 170 of the BSA and related to compliance for the 2013 calendar year.</w:t>
      </w:r>
    </w:p>
    <w:p w14:paraId="2425CB0E" w14:textId="77777777" w:rsidR="00421DD0" w:rsidRPr="00124637" w:rsidRDefault="00421DD0" w:rsidP="00421DD0">
      <w:r w:rsidRPr="00124637">
        <w:t xml:space="preserve">The ACMA found the 19 regional affiliates breached the CTS because the Nine Network had failed to meet the 260-hour quota and breached </w:t>
      </w:r>
      <w:r w:rsidR="00864A99" w:rsidRPr="00124637">
        <w:t>the ACS</w:t>
      </w:r>
      <w:r w:rsidRPr="00124637">
        <w:t xml:space="preserve">. No enforcement action was required as the Nine Network had implemented agreed measures to remedy the breaches. </w:t>
      </w:r>
    </w:p>
    <w:p w14:paraId="58EB93F4" w14:textId="77777777" w:rsidR="00421DD0" w:rsidRPr="00124637" w:rsidRDefault="00421DD0" w:rsidP="00421DD0">
      <w:r w:rsidRPr="00124637">
        <w:t xml:space="preserve">The 2014 CTS compliance results for regional commercial television broadcasting licensees were not available at the time of publication. </w:t>
      </w:r>
    </w:p>
    <w:p w14:paraId="6097D680" w14:textId="77777777" w:rsidR="00E615FE" w:rsidRPr="00124637" w:rsidRDefault="00E615FE" w:rsidP="00E615FE">
      <w:pPr>
        <w:pStyle w:val="Bodysubheader0"/>
        <w:keepNext/>
        <w:rPr>
          <w:rFonts w:ascii="Arial" w:hAnsi="Arial" w:cs="Arial"/>
        </w:rPr>
      </w:pPr>
      <w:r w:rsidRPr="00124637">
        <w:rPr>
          <w:rFonts w:ascii="Arial" w:hAnsi="Arial" w:cs="Arial"/>
        </w:rPr>
        <w:t>Children’s and preschool programs</w:t>
      </w:r>
    </w:p>
    <w:p w14:paraId="3C0CC4B1" w14:textId="77777777" w:rsidR="00421DD0" w:rsidRPr="00124637" w:rsidRDefault="00421DD0" w:rsidP="00421DD0">
      <w:pPr>
        <w:rPr>
          <w:rFonts w:cs="Arial"/>
        </w:rPr>
      </w:pPr>
      <w:r w:rsidRPr="00124637">
        <w:rPr>
          <w:rFonts w:cs="Arial"/>
        </w:rPr>
        <w:t>During 2014–15, the ACMA assessed 28 applications for classification of children’s and preschool programs, including the renewal of classification for three preschool programs. Two applications were refused classification. This compares with 40 programs assessed and 39 granted classification in 2013–14 (see Table </w:t>
      </w:r>
      <w:r w:rsidR="00945045" w:rsidRPr="00124637">
        <w:rPr>
          <w:rFonts w:cs="Arial"/>
        </w:rPr>
        <w:t>27</w:t>
      </w:r>
      <w:r w:rsidRPr="00124637">
        <w:rPr>
          <w:rFonts w:cs="Arial"/>
        </w:rPr>
        <w:t>).</w:t>
      </w:r>
    </w:p>
    <w:p w14:paraId="50E28C1F" w14:textId="77777777" w:rsidR="00421DD0" w:rsidRPr="00124637" w:rsidRDefault="00421DD0" w:rsidP="00421DD0">
      <w:pPr>
        <w:rPr>
          <w:rFonts w:cs="Arial"/>
        </w:rPr>
      </w:pPr>
      <w:r w:rsidRPr="00124637">
        <w:rPr>
          <w:rFonts w:cs="Arial"/>
        </w:rPr>
        <w:t>All except one of these program classification asses</w:t>
      </w:r>
      <w:r w:rsidR="00945045" w:rsidRPr="00124637">
        <w:rPr>
          <w:rFonts w:cs="Arial"/>
        </w:rPr>
        <w:t>sments were completed within 60 </w:t>
      </w:r>
      <w:r w:rsidRPr="00124637">
        <w:rPr>
          <w:rFonts w:cs="Arial"/>
        </w:rPr>
        <w:t>days of the ACMA receiving a completed application.</w:t>
      </w:r>
    </w:p>
    <w:p w14:paraId="1E266897" w14:textId="77777777" w:rsidR="00421DD0" w:rsidRPr="00124637" w:rsidRDefault="00421DD0" w:rsidP="00421DD0">
      <w:pPr>
        <w:rPr>
          <w:rFonts w:cs="Arial"/>
        </w:rPr>
      </w:pPr>
      <w:r w:rsidRPr="00124637">
        <w:rPr>
          <w:rFonts w:cs="Arial"/>
        </w:rPr>
        <w:t>A list of children’s television consultants and programs granted C or P classification is in Appendix 5.</w:t>
      </w:r>
    </w:p>
    <w:p w14:paraId="42872ED7" w14:textId="77777777" w:rsidR="00BF6F04" w:rsidRPr="00124637" w:rsidRDefault="00BF6F04" w:rsidP="00212A85">
      <w:pPr>
        <w:pStyle w:val="Caption"/>
        <w:keepNext/>
        <w:keepLines/>
        <w:rPr>
          <w:rFonts w:cs="Arial"/>
          <w:color w:val="auto"/>
        </w:rPr>
      </w:pPr>
      <w:r w:rsidRPr="00124637">
        <w:rPr>
          <w:color w:val="auto"/>
        </w:rPr>
        <w:lastRenderedPageBreak/>
        <w:t>Children’s and preschool progra</w:t>
      </w:r>
      <w:r w:rsidR="00945045" w:rsidRPr="00124637">
        <w:rPr>
          <w:color w:val="auto"/>
        </w:rPr>
        <w:t xml:space="preserve">m classification, 2013–14 and </w:t>
      </w:r>
      <w:r w:rsidR="00945045" w:rsidRPr="00124637">
        <w:rPr>
          <w:color w:val="auto"/>
        </w:rPr>
        <w:br/>
        <w:t>2014–15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1701"/>
        <w:gridCol w:w="1701"/>
        <w:gridCol w:w="1559"/>
        <w:gridCol w:w="1647"/>
      </w:tblGrid>
      <w:tr w:rsidR="00BF6F04" w:rsidRPr="00E615FE" w14:paraId="5F586F3C" w14:textId="77777777" w:rsidTr="00800C4D">
        <w:tc>
          <w:tcPr>
            <w:tcW w:w="2998" w:type="dxa"/>
            <w:vMerge w:val="restart"/>
            <w:shd w:val="clear" w:color="auto" w:fill="404040" w:themeFill="text1" w:themeFillTint="BF"/>
            <w:tcMar>
              <w:top w:w="57" w:type="dxa"/>
              <w:left w:w="57" w:type="dxa"/>
              <w:bottom w:w="57" w:type="dxa"/>
              <w:right w:w="57" w:type="dxa"/>
            </w:tcMar>
          </w:tcPr>
          <w:p w14:paraId="571CBA9B" w14:textId="77777777" w:rsidR="00BF6F04" w:rsidRPr="00124637" w:rsidRDefault="00BF6F04" w:rsidP="00212A85">
            <w:pPr>
              <w:pStyle w:val="TableHeading"/>
              <w:keepNext/>
              <w:keepLines/>
              <w:jc w:val="right"/>
              <w:rPr>
                <w:rFonts w:cs="Arial"/>
                <w:color w:val="FFFFFF" w:themeColor="background1"/>
                <w:kern w:val="32"/>
              </w:rPr>
            </w:pPr>
          </w:p>
        </w:tc>
        <w:tc>
          <w:tcPr>
            <w:tcW w:w="3402" w:type="dxa"/>
            <w:gridSpan w:val="2"/>
            <w:shd w:val="clear" w:color="auto" w:fill="404040" w:themeFill="text1" w:themeFillTint="BF"/>
            <w:tcMar>
              <w:top w:w="57" w:type="dxa"/>
              <w:left w:w="57" w:type="dxa"/>
              <w:bottom w:w="57" w:type="dxa"/>
              <w:right w:w="57" w:type="dxa"/>
            </w:tcMar>
          </w:tcPr>
          <w:p w14:paraId="042FB79C" w14:textId="77777777" w:rsidR="00BF6F04" w:rsidRPr="00124637" w:rsidRDefault="00945045" w:rsidP="00212A85">
            <w:pPr>
              <w:pStyle w:val="TableHeading"/>
              <w:keepNext/>
              <w:keepLines/>
              <w:jc w:val="center"/>
              <w:rPr>
                <w:rFonts w:cs="Arial"/>
                <w:color w:val="FFFFFF" w:themeColor="background1"/>
              </w:rPr>
            </w:pPr>
            <w:r w:rsidRPr="00124637">
              <w:rPr>
                <w:rFonts w:cs="Arial"/>
                <w:color w:val="FFFFFF" w:themeColor="background1"/>
              </w:rPr>
              <w:t>2013–</w:t>
            </w:r>
            <w:r w:rsidR="00BF6F04" w:rsidRPr="00124637">
              <w:rPr>
                <w:rFonts w:cs="Arial"/>
                <w:color w:val="FFFFFF" w:themeColor="background1"/>
              </w:rPr>
              <w:t>14</w:t>
            </w:r>
          </w:p>
        </w:tc>
        <w:tc>
          <w:tcPr>
            <w:tcW w:w="3206" w:type="dxa"/>
            <w:gridSpan w:val="2"/>
            <w:shd w:val="clear" w:color="auto" w:fill="404040" w:themeFill="text1" w:themeFillTint="BF"/>
            <w:tcMar>
              <w:top w:w="57" w:type="dxa"/>
              <w:left w:w="57" w:type="dxa"/>
              <w:bottom w:w="57" w:type="dxa"/>
              <w:right w:w="57" w:type="dxa"/>
            </w:tcMar>
          </w:tcPr>
          <w:p w14:paraId="35A39358" w14:textId="77777777" w:rsidR="00BF6F04" w:rsidRPr="00BF6F04" w:rsidRDefault="00BF6F04" w:rsidP="00212A85">
            <w:pPr>
              <w:pStyle w:val="TableHeading"/>
              <w:keepNext/>
              <w:keepLines/>
              <w:jc w:val="center"/>
              <w:rPr>
                <w:rFonts w:cs="Arial"/>
                <w:color w:val="FFFFFF" w:themeColor="background1"/>
              </w:rPr>
            </w:pPr>
            <w:r w:rsidRPr="00BF6F04">
              <w:rPr>
                <w:rFonts w:cs="Arial"/>
                <w:color w:val="FFFFFF" w:themeColor="background1"/>
              </w:rPr>
              <w:t>2014–15</w:t>
            </w:r>
          </w:p>
        </w:tc>
      </w:tr>
      <w:tr w:rsidR="00BF6F04" w:rsidRPr="00E615FE" w14:paraId="4DF5794B" w14:textId="77777777" w:rsidTr="00800C4D">
        <w:tc>
          <w:tcPr>
            <w:tcW w:w="2998" w:type="dxa"/>
            <w:vMerge/>
            <w:shd w:val="clear" w:color="auto" w:fill="404040" w:themeFill="text1" w:themeFillTint="BF"/>
            <w:tcMar>
              <w:top w:w="57" w:type="dxa"/>
              <w:left w:w="57" w:type="dxa"/>
              <w:bottom w:w="57" w:type="dxa"/>
              <w:right w:w="57" w:type="dxa"/>
            </w:tcMar>
          </w:tcPr>
          <w:p w14:paraId="5EB02996" w14:textId="77777777" w:rsidR="00BF6F04" w:rsidRPr="00E615FE" w:rsidRDefault="00BF6F04" w:rsidP="00212A85">
            <w:pPr>
              <w:pStyle w:val="TableHeading"/>
              <w:keepNext/>
              <w:keepLines/>
              <w:jc w:val="right"/>
              <w:rPr>
                <w:rFonts w:cs="Arial"/>
                <w:color w:val="0070C0"/>
              </w:rPr>
            </w:pPr>
          </w:p>
        </w:tc>
        <w:tc>
          <w:tcPr>
            <w:tcW w:w="1701" w:type="dxa"/>
            <w:shd w:val="clear" w:color="auto" w:fill="404040" w:themeFill="text1" w:themeFillTint="BF"/>
            <w:tcMar>
              <w:top w:w="57" w:type="dxa"/>
              <w:left w:w="57" w:type="dxa"/>
              <w:bottom w:w="57" w:type="dxa"/>
              <w:right w:w="57" w:type="dxa"/>
            </w:tcMar>
          </w:tcPr>
          <w:p w14:paraId="273842B3" w14:textId="77777777" w:rsidR="00BF6F04" w:rsidRPr="00BF6F04" w:rsidRDefault="00BF6F04" w:rsidP="00212A85">
            <w:pPr>
              <w:pStyle w:val="TableHeading"/>
              <w:keepNext/>
              <w:keepLines/>
              <w:rPr>
                <w:rFonts w:cs="Arial"/>
                <w:color w:val="FFFFFF" w:themeColor="background1"/>
              </w:rPr>
            </w:pPr>
            <w:r w:rsidRPr="00BF6F04">
              <w:rPr>
                <w:rFonts w:cs="Arial"/>
                <w:color w:val="FFFFFF" w:themeColor="background1"/>
              </w:rPr>
              <w:t>Applications granted classification</w:t>
            </w:r>
          </w:p>
        </w:tc>
        <w:tc>
          <w:tcPr>
            <w:tcW w:w="1701" w:type="dxa"/>
            <w:shd w:val="clear" w:color="auto" w:fill="404040" w:themeFill="text1" w:themeFillTint="BF"/>
            <w:tcMar>
              <w:top w:w="57" w:type="dxa"/>
              <w:left w:w="57" w:type="dxa"/>
              <w:bottom w:w="57" w:type="dxa"/>
              <w:right w:w="57" w:type="dxa"/>
            </w:tcMar>
          </w:tcPr>
          <w:p w14:paraId="34639363" w14:textId="77777777" w:rsidR="00BF6F04" w:rsidRPr="00BF6F04" w:rsidRDefault="00BF6F04" w:rsidP="00212A85">
            <w:pPr>
              <w:pStyle w:val="TableHeading"/>
              <w:keepNext/>
              <w:keepLines/>
              <w:rPr>
                <w:rFonts w:cs="Arial"/>
                <w:color w:val="FFFFFF" w:themeColor="background1"/>
              </w:rPr>
            </w:pPr>
            <w:r w:rsidRPr="00BF6F04">
              <w:rPr>
                <w:rFonts w:cs="Arial"/>
                <w:color w:val="FFFFFF" w:themeColor="background1"/>
              </w:rPr>
              <w:t>Applications refused classification*</w:t>
            </w:r>
          </w:p>
        </w:tc>
        <w:tc>
          <w:tcPr>
            <w:tcW w:w="1559" w:type="dxa"/>
            <w:shd w:val="clear" w:color="auto" w:fill="404040" w:themeFill="text1" w:themeFillTint="BF"/>
            <w:tcMar>
              <w:top w:w="57" w:type="dxa"/>
              <w:left w:w="57" w:type="dxa"/>
              <w:bottom w:w="57" w:type="dxa"/>
              <w:right w:w="57" w:type="dxa"/>
            </w:tcMar>
          </w:tcPr>
          <w:p w14:paraId="6B1A05F1" w14:textId="77777777" w:rsidR="00BF6F04" w:rsidRPr="00BF6F04" w:rsidRDefault="00BF6F04" w:rsidP="00212A85">
            <w:pPr>
              <w:pStyle w:val="TableHeading"/>
              <w:keepNext/>
              <w:keepLines/>
              <w:jc w:val="right"/>
              <w:rPr>
                <w:rFonts w:cs="Arial"/>
                <w:color w:val="FFFFFF" w:themeColor="background1"/>
              </w:rPr>
            </w:pPr>
            <w:r w:rsidRPr="00BF6F04">
              <w:rPr>
                <w:rFonts w:cs="Arial"/>
                <w:color w:val="FFFFFF" w:themeColor="background1"/>
              </w:rPr>
              <w:t>Applications granted classification</w:t>
            </w:r>
          </w:p>
        </w:tc>
        <w:tc>
          <w:tcPr>
            <w:tcW w:w="1647" w:type="dxa"/>
            <w:shd w:val="clear" w:color="auto" w:fill="404040" w:themeFill="text1" w:themeFillTint="BF"/>
            <w:tcMar>
              <w:top w:w="57" w:type="dxa"/>
              <w:left w:w="57" w:type="dxa"/>
              <w:bottom w:w="57" w:type="dxa"/>
              <w:right w:w="57" w:type="dxa"/>
            </w:tcMar>
          </w:tcPr>
          <w:p w14:paraId="6062EB9B" w14:textId="77777777" w:rsidR="00BF6F04" w:rsidRPr="00BF6F04" w:rsidRDefault="00BF6F04" w:rsidP="00212A85">
            <w:pPr>
              <w:pStyle w:val="TableHeading"/>
              <w:keepNext/>
              <w:keepLines/>
              <w:jc w:val="right"/>
              <w:rPr>
                <w:rFonts w:cs="Arial"/>
                <w:color w:val="FFFFFF" w:themeColor="background1"/>
              </w:rPr>
            </w:pPr>
            <w:r w:rsidRPr="00BF6F04">
              <w:rPr>
                <w:rFonts w:cs="Arial"/>
                <w:color w:val="FFFFFF" w:themeColor="background1"/>
              </w:rPr>
              <w:t>Applications refused classification*</w:t>
            </w:r>
          </w:p>
        </w:tc>
      </w:tr>
      <w:tr w:rsidR="00124637" w:rsidRPr="00124637" w14:paraId="3DBDB39F" w14:textId="77777777" w:rsidTr="00800C4D">
        <w:tc>
          <w:tcPr>
            <w:tcW w:w="2998" w:type="dxa"/>
            <w:shd w:val="clear" w:color="auto" w:fill="auto"/>
            <w:tcMar>
              <w:top w:w="57" w:type="dxa"/>
              <w:left w:w="57" w:type="dxa"/>
              <w:bottom w:w="57" w:type="dxa"/>
              <w:right w:w="57" w:type="dxa"/>
            </w:tcMar>
          </w:tcPr>
          <w:p w14:paraId="5D3AFFDF" w14:textId="77777777" w:rsidR="00BF6F04" w:rsidRPr="00124637" w:rsidRDefault="00BF6F04" w:rsidP="00212A85">
            <w:pPr>
              <w:pStyle w:val="TableBody"/>
              <w:keepNext/>
              <w:keepLines/>
            </w:pPr>
            <w:r w:rsidRPr="00124637">
              <w:t>Children’s programs</w:t>
            </w:r>
          </w:p>
        </w:tc>
        <w:tc>
          <w:tcPr>
            <w:tcW w:w="1701" w:type="dxa"/>
            <w:shd w:val="clear" w:color="auto" w:fill="auto"/>
            <w:tcMar>
              <w:top w:w="57" w:type="dxa"/>
              <w:left w:w="57" w:type="dxa"/>
              <w:bottom w:w="57" w:type="dxa"/>
              <w:right w:w="57" w:type="dxa"/>
            </w:tcMar>
          </w:tcPr>
          <w:p w14:paraId="3B76EEBF" w14:textId="77777777" w:rsidR="00BF6F04" w:rsidRPr="00124637" w:rsidRDefault="00BF6F04" w:rsidP="00212A85">
            <w:pPr>
              <w:pStyle w:val="TableBody"/>
              <w:keepNext/>
              <w:keepLines/>
            </w:pPr>
            <w:r w:rsidRPr="00124637">
              <w:t>8</w:t>
            </w:r>
          </w:p>
        </w:tc>
        <w:tc>
          <w:tcPr>
            <w:tcW w:w="1701" w:type="dxa"/>
            <w:shd w:val="clear" w:color="auto" w:fill="auto"/>
            <w:tcMar>
              <w:top w:w="57" w:type="dxa"/>
              <w:left w:w="57" w:type="dxa"/>
              <w:bottom w:w="57" w:type="dxa"/>
              <w:right w:w="57" w:type="dxa"/>
            </w:tcMar>
          </w:tcPr>
          <w:p w14:paraId="5CB1DBF8" w14:textId="77777777" w:rsidR="00BF6F04" w:rsidRPr="00124637" w:rsidRDefault="00BF6F04" w:rsidP="00212A85">
            <w:pPr>
              <w:pStyle w:val="TableBody"/>
              <w:keepNext/>
              <w:keepLines/>
            </w:pPr>
            <w:r w:rsidRPr="00124637">
              <w:t>1</w:t>
            </w:r>
          </w:p>
        </w:tc>
        <w:tc>
          <w:tcPr>
            <w:tcW w:w="1559" w:type="dxa"/>
            <w:shd w:val="clear" w:color="auto" w:fill="auto"/>
            <w:tcMar>
              <w:top w:w="57" w:type="dxa"/>
              <w:left w:w="57" w:type="dxa"/>
              <w:bottom w:w="57" w:type="dxa"/>
              <w:right w:w="57" w:type="dxa"/>
            </w:tcMar>
          </w:tcPr>
          <w:p w14:paraId="2E5096FB" w14:textId="77777777" w:rsidR="00BF6F04" w:rsidRPr="00124637" w:rsidRDefault="00BF6F04" w:rsidP="00212A85">
            <w:pPr>
              <w:pStyle w:val="TableBody"/>
              <w:keepNext/>
              <w:keepLines/>
              <w:jc w:val="right"/>
            </w:pPr>
            <w:r w:rsidRPr="00124637">
              <w:t>7</w:t>
            </w:r>
          </w:p>
        </w:tc>
        <w:tc>
          <w:tcPr>
            <w:tcW w:w="1647" w:type="dxa"/>
            <w:shd w:val="clear" w:color="auto" w:fill="auto"/>
            <w:tcMar>
              <w:top w:w="57" w:type="dxa"/>
              <w:left w:w="57" w:type="dxa"/>
              <w:bottom w:w="57" w:type="dxa"/>
              <w:right w:w="57" w:type="dxa"/>
            </w:tcMar>
          </w:tcPr>
          <w:p w14:paraId="64BCE583" w14:textId="77777777" w:rsidR="00BF6F04" w:rsidRPr="00124637" w:rsidRDefault="00BF6F04" w:rsidP="00212A85">
            <w:pPr>
              <w:pStyle w:val="TableBody"/>
              <w:keepNext/>
              <w:keepLines/>
              <w:jc w:val="right"/>
            </w:pPr>
            <w:r w:rsidRPr="00124637">
              <w:t>1</w:t>
            </w:r>
          </w:p>
        </w:tc>
      </w:tr>
      <w:tr w:rsidR="00124637" w:rsidRPr="00124637" w14:paraId="34604DD1" w14:textId="77777777" w:rsidTr="00800C4D">
        <w:tc>
          <w:tcPr>
            <w:tcW w:w="2998" w:type="dxa"/>
            <w:shd w:val="clear" w:color="auto" w:fill="auto"/>
            <w:tcMar>
              <w:top w:w="57" w:type="dxa"/>
              <w:left w:w="57" w:type="dxa"/>
              <w:bottom w:w="57" w:type="dxa"/>
              <w:right w:w="57" w:type="dxa"/>
            </w:tcMar>
          </w:tcPr>
          <w:p w14:paraId="31A0BD38" w14:textId="77777777" w:rsidR="00BF6F04" w:rsidRPr="00124637" w:rsidRDefault="00BF6F04" w:rsidP="00212A85">
            <w:pPr>
              <w:pStyle w:val="TableBody"/>
              <w:keepNext/>
              <w:keepLines/>
            </w:pPr>
            <w:r w:rsidRPr="00124637">
              <w:t>Children’s programs—drama</w:t>
            </w:r>
          </w:p>
        </w:tc>
        <w:tc>
          <w:tcPr>
            <w:tcW w:w="1701" w:type="dxa"/>
            <w:shd w:val="clear" w:color="auto" w:fill="auto"/>
            <w:tcMar>
              <w:top w:w="57" w:type="dxa"/>
              <w:left w:w="57" w:type="dxa"/>
              <w:bottom w:w="57" w:type="dxa"/>
              <w:right w:w="57" w:type="dxa"/>
            </w:tcMar>
          </w:tcPr>
          <w:p w14:paraId="7E87DABE" w14:textId="77777777" w:rsidR="00BF6F04" w:rsidRPr="00124637" w:rsidRDefault="00BF6F04" w:rsidP="00212A85">
            <w:pPr>
              <w:pStyle w:val="TableBody"/>
              <w:keepNext/>
              <w:keepLines/>
            </w:pPr>
            <w:r w:rsidRPr="00124637">
              <w:t>16</w:t>
            </w:r>
          </w:p>
        </w:tc>
        <w:tc>
          <w:tcPr>
            <w:tcW w:w="1701" w:type="dxa"/>
            <w:shd w:val="clear" w:color="auto" w:fill="auto"/>
            <w:tcMar>
              <w:top w:w="57" w:type="dxa"/>
              <w:left w:w="57" w:type="dxa"/>
              <w:bottom w:w="57" w:type="dxa"/>
              <w:right w:w="57" w:type="dxa"/>
            </w:tcMar>
          </w:tcPr>
          <w:p w14:paraId="3CDF9D37" w14:textId="77777777" w:rsidR="00BF6F04" w:rsidRPr="00124637" w:rsidRDefault="00BF6F04" w:rsidP="00212A85">
            <w:pPr>
              <w:pStyle w:val="TableBody"/>
              <w:keepNext/>
              <w:keepLines/>
            </w:pPr>
            <w:r w:rsidRPr="00124637">
              <w:t>0</w:t>
            </w:r>
          </w:p>
        </w:tc>
        <w:tc>
          <w:tcPr>
            <w:tcW w:w="1559" w:type="dxa"/>
            <w:shd w:val="clear" w:color="auto" w:fill="auto"/>
            <w:tcMar>
              <w:top w:w="57" w:type="dxa"/>
              <w:left w:w="57" w:type="dxa"/>
              <w:bottom w:w="57" w:type="dxa"/>
              <w:right w:w="57" w:type="dxa"/>
            </w:tcMar>
          </w:tcPr>
          <w:p w14:paraId="699F19ED" w14:textId="77777777" w:rsidR="00BF6F04" w:rsidRPr="00124637" w:rsidRDefault="00BF6F04" w:rsidP="00212A85">
            <w:pPr>
              <w:pStyle w:val="TableBody"/>
              <w:keepNext/>
              <w:keepLines/>
              <w:jc w:val="right"/>
            </w:pPr>
            <w:r w:rsidRPr="00124637">
              <w:t>10</w:t>
            </w:r>
          </w:p>
        </w:tc>
        <w:tc>
          <w:tcPr>
            <w:tcW w:w="1647" w:type="dxa"/>
            <w:shd w:val="clear" w:color="auto" w:fill="auto"/>
            <w:tcMar>
              <w:top w:w="57" w:type="dxa"/>
              <w:left w:w="57" w:type="dxa"/>
              <w:bottom w:w="57" w:type="dxa"/>
              <w:right w:w="57" w:type="dxa"/>
            </w:tcMar>
          </w:tcPr>
          <w:p w14:paraId="17B275DD" w14:textId="77777777" w:rsidR="00BF6F04" w:rsidRPr="00124637" w:rsidRDefault="00BF6F04" w:rsidP="00212A85">
            <w:pPr>
              <w:pStyle w:val="TableBody"/>
              <w:keepNext/>
              <w:keepLines/>
              <w:jc w:val="right"/>
            </w:pPr>
            <w:r w:rsidRPr="00124637">
              <w:t>1</w:t>
            </w:r>
          </w:p>
        </w:tc>
      </w:tr>
      <w:tr w:rsidR="00124637" w:rsidRPr="00124637" w14:paraId="37BB535F" w14:textId="77777777" w:rsidTr="00800C4D">
        <w:tc>
          <w:tcPr>
            <w:tcW w:w="2998" w:type="dxa"/>
            <w:shd w:val="clear" w:color="auto" w:fill="auto"/>
            <w:tcMar>
              <w:top w:w="57" w:type="dxa"/>
              <w:left w:w="57" w:type="dxa"/>
              <w:bottom w:w="57" w:type="dxa"/>
              <w:right w:w="57" w:type="dxa"/>
            </w:tcMar>
          </w:tcPr>
          <w:p w14:paraId="6D961D0B" w14:textId="77777777" w:rsidR="00BF6F04" w:rsidRPr="00124637" w:rsidRDefault="00BF6F04" w:rsidP="00212A85">
            <w:pPr>
              <w:pStyle w:val="TableBody"/>
              <w:keepNext/>
              <w:keepLines/>
            </w:pPr>
            <w:r w:rsidRPr="00124637">
              <w:t>Provisional—children’s</w:t>
            </w:r>
          </w:p>
        </w:tc>
        <w:tc>
          <w:tcPr>
            <w:tcW w:w="1701" w:type="dxa"/>
            <w:shd w:val="clear" w:color="auto" w:fill="auto"/>
            <w:tcMar>
              <w:top w:w="57" w:type="dxa"/>
              <w:left w:w="57" w:type="dxa"/>
              <w:bottom w:w="57" w:type="dxa"/>
              <w:right w:w="57" w:type="dxa"/>
            </w:tcMar>
          </w:tcPr>
          <w:p w14:paraId="32E53232" w14:textId="77777777" w:rsidR="00BF6F04" w:rsidRPr="00124637" w:rsidRDefault="00BF6F04" w:rsidP="00212A85">
            <w:pPr>
              <w:pStyle w:val="TableBody"/>
              <w:keepNext/>
              <w:keepLines/>
            </w:pPr>
            <w:r w:rsidRPr="00124637">
              <w:t>7</w:t>
            </w:r>
          </w:p>
        </w:tc>
        <w:tc>
          <w:tcPr>
            <w:tcW w:w="1701" w:type="dxa"/>
            <w:shd w:val="clear" w:color="auto" w:fill="auto"/>
            <w:tcMar>
              <w:top w:w="57" w:type="dxa"/>
              <w:left w:w="57" w:type="dxa"/>
              <w:bottom w:w="57" w:type="dxa"/>
              <w:right w:w="57" w:type="dxa"/>
            </w:tcMar>
          </w:tcPr>
          <w:p w14:paraId="1DC3841A" w14:textId="77777777" w:rsidR="00BF6F04" w:rsidRPr="00124637" w:rsidRDefault="00BF6F04" w:rsidP="00212A85">
            <w:pPr>
              <w:pStyle w:val="TableBody"/>
              <w:keepNext/>
              <w:keepLines/>
            </w:pPr>
            <w:r w:rsidRPr="00124637">
              <w:t>0</w:t>
            </w:r>
          </w:p>
        </w:tc>
        <w:tc>
          <w:tcPr>
            <w:tcW w:w="1559" w:type="dxa"/>
            <w:shd w:val="clear" w:color="auto" w:fill="auto"/>
            <w:tcMar>
              <w:top w:w="57" w:type="dxa"/>
              <w:left w:w="57" w:type="dxa"/>
              <w:bottom w:w="57" w:type="dxa"/>
              <w:right w:w="57" w:type="dxa"/>
            </w:tcMar>
          </w:tcPr>
          <w:p w14:paraId="70AFAE69" w14:textId="77777777" w:rsidR="00BF6F04" w:rsidRPr="00124637" w:rsidRDefault="00BF6F04" w:rsidP="00212A85">
            <w:pPr>
              <w:pStyle w:val="TableBody"/>
              <w:keepNext/>
              <w:keepLines/>
              <w:jc w:val="right"/>
            </w:pPr>
            <w:r w:rsidRPr="00124637">
              <w:t>6</w:t>
            </w:r>
          </w:p>
        </w:tc>
        <w:tc>
          <w:tcPr>
            <w:tcW w:w="1647" w:type="dxa"/>
            <w:shd w:val="clear" w:color="auto" w:fill="auto"/>
            <w:tcMar>
              <w:top w:w="57" w:type="dxa"/>
              <w:left w:w="57" w:type="dxa"/>
              <w:bottom w:w="57" w:type="dxa"/>
              <w:right w:w="57" w:type="dxa"/>
            </w:tcMar>
          </w:tcPr>
          <w:p w14:paraId="1EC2F19A" w14:textId="77777777" w:rsidR="00BF6F04" w:rsidRPr="00124637" w:rsidRDefault="00BF6F04" w:rsidP="00212A85">
            <w:pPr>
              <w:pStyle w:val="TableBody"/>
              <w:keepNext/>
              <w:keepLines/>
              <w:jc w:val="right"/>
            </w:pPr>
            <w:r w:rsidRPr="00124637">
              <w:t>0</w:t>
            </w:r>
          </w:p>
        </w:tc>
      </w:tr>
      <w:tr w:rsidR="00124637" w:rsidRPr="00124637" w14:paraId="5F3C5869" w14:textId="77777777" w:rsidTr="00800C4D">
        <w:tc>
          <w:tcPr>
            <w:tcW w:w="2998" w:type="dxa"/>
            <w:shd w:val="clear" w:color="auto" w:fill="auto"/>
            <w:tcMar>
              <w:top w:w="57" w:type="dxa"/>
              <w:left w:w="57" w:type="dxa"/>
              <w:bottom w:w="57" w:type="dxa"/>
              <w:right w:w="57" w:type="dxa"/>
            </w:tcMar>
          </w:tcPr>
          <w:p w14:paraId="287A46B8" w14:textId="77777777" w:rsidR="00BF6F04" w:rsidRPr="00124637" w:rsidRDefault="00BF6F04" w:rsidP="00800C4D">
            <w:pPr>
              <w:pStyle w:val="TableBody"/>
              <w:keepNext/>
              <w:keepLines/>
            </w:pPr>
            <w:r w:rsidRPr="00124637">
              <w:t>Provisional—preschool</w:t>
            </w:r>
          </w:p>
        </w:tc>
        <w:tc>
          <w:tcPr>
            <w:tcW w:w="1701" w:type="dxa"/>
            <w:shd w:val="clear" w:color="auto" w:fill="auto"/>
            <w:tcMar>
              <w:top w:w="57" w:type="dxa"/>
              <w:left w:w="57" w:type="dxa"/>
              <w:bottom w:w="57" w:type="dxa"/>
              <w:right w:w="57" w:type="dxa"/>
            </w:tcMar>
          </w:tcPr>
          <w:p w14:paraId="75F7C733" w14:textId="77777777" w:rsidR="00BF6F04" w:rsidRPr="00124637" w:rsidRDefault="00BF6F04" w:rsidP="00BF6F04">
            <w:pPr>
              <w:pStyle w:val="TableBody"/>
              <w:keepNext/>
              <w:keepLines/>
            </w:pPr>
            <w:r w:rsidRPr="00124637">
              <w:t>1</w:t>
            </w:r>
          </w:p>
        </w:tc>
        <w:tc>
          <w:tcPr>
            <w:tcW w:w="1701" w:type="dxa"/>
            <w:shd w:val="clear" w:color="auto" w:fill="auto"/>
            <w:tcMar>
              <w:top w:w="57" w:type="dxa"/>
              <w:left w:w="57" w:type="dxa"/>
              <w:bottom w:w="57" w:type="dxa"/>
              <w:right w:w="57" w:type="dxa"/>
            </w:tcMar>
          </w:tcPr>
          <w:p w14:paraId="3DA1DEDF" w14:textId="77777777" w:rsidR="00BF6F04" w:rsidRPr="00124637" w:rsidRDefault="00BF6F04" w:rsidP="00BF6F04">
            <w:pPr>
              <w:pStyle w:val="TableBody"/>
              <w:keepNext/>
              <w:keepLines/>
            </w:pPr>
            <w:r w:rsidRPr="00124637">
              <w:t>0</w:t>
            </w:r>
          </w:p>
        </w:tc>
        <w:tc>
          <w:tcPr>
            <w:tcW w:w="1559" w:type="dxa"/>
            <w:shd w:val="clear" w:color="auto" w:fill="auto"/>
            <w:tcMar>
              <w:top w:w="57" w:type="dxa"/>
              <w:left w:w="57" w:type="dxa"/>
              <w:bottom w:w="57" w:type="dxa"/>
              <w:right w:w="57" w:type="dxa"/>
            </w:tcMar>
          </w:tcPr>
          <w:p w14:paraId="05EFE7DC" w14:textId="77777777" w:rsidR="00BF6F04" w:rsidRPr="00124637" w:rsidRDefault="00BF6F04" w:rsidP="00661442">
            <w:pPr>
              <w:pStyle w:val="TableBody"/>
              <w:keepNext/>
              <w:keepLines/>
              <w:jc w:val="right"/>
            </w:pPr>
            <w:r w:rsidRPr="00124637">
              <w:t>0</w:t>
            </w:r>
          </w:p>
        </w:tc>
        <w:tc>
          <w:tcPr>
            <w:tcW w:w="1647" w:type="dxa"/>
            <w:shd w:val="clear" w:color="auto" w:fill="auto"/>
            <w:tcMar>
              <w:top w:w="57" w:type="dxa"/>
              <w:left w:w="57" w:type="dxa"/>
              <w:bottom w:w="57" w:type="dxa"/>
              <w:right w:w="57" w:type="dxa"/>
            </w:tcMar>
          </w:tcPr>
          <w:p w14:paraId="5F9E840A" w14:textId="77777777" w:rsidR="00BF6F04" w:rsidRPr="00124637" w:rsidRDefault="00BF6F04" w:rsidP="00661442">
            <w:pPr>
              <w:pStyle w:val="TableBody"/>
              <w:keepNext/>
              <w:keepLines/>
              <w:jc w:val="right"/>
            </w:pPr>
            <w:r w:rsidRPr="00124637">
              <w:t>0</w:t>
            </w:r>
          </w:p>
        </w:tc>
      </w:tr>
      <w:tr w:rsidR="00124637" w:rsidRPr="00124637" w14:paraId="555B7F9D" w14:textId="77777777" w:rsidTr="00800C4D">
        <w:tc>
          <w:tcPr>
            <w:tcW w:w="2998" w:type="dxa"/>
            <w:shd w:val="clear" w:color="auto" w:fill="auto"/>
            <w:tcMar>
              <w:top w:w="57" w:type="dxa"/>
              <w:left w:w="57" w:type="dxa"/>
              <w:bottom w:w="57" w:type="dxa"/>
              <w:right w:w="57" w:type="dxa"/>
            </w:tcMar>
          </w:tcPr>
          <w:p w14:paraId="291899C0" w14:textId="77777777" w:rsidR="00BF6F04" w:rsidRPr="00124637" w:rsidRDefault="00BF6F04" w:rsidP="00800C4D">
            <w:pPr>
              <w:pStyle w:val="TableBody"/>
              <w:keepNext/>
              <w:keepLines/>
            </w:pPr>
            <w:r w:rsidRPr="00124637">
              <w:t>Preschool programs</w:t>
            </w:r>
          </w:p>
        </w:tc>
        <w:tc>
          <w:tcPr>
            <w:tcW w:w="1701" w:type="dxa"/>
            <w:shd w:val="clear" w:color="auto" w:fill="auto"/>
            <w:tcMar>
              <w:top w:w="57" w:type="dxa"/>
              <w:left w:w="57" w:type="dxa"/>
              <w:bottom w:w="57" w:type="dxa"/>
              <w:right w:w="57" w:type="dxa"/>
            </w:tcMar>
          </w:tcPr>
          <w:p w14:paraId="2FCF19EA" w14:textId="77777777" w:rsidR="00BF6F04" w:rsidRPr="00124637" w:rsidRDefault="00BF6F04" w:rsidP="00BF6F04">
            <w:pPr>
              <w:pStyle w:val="TableBody"/>
              <w:keepNext/>
              <w:keepLines/>
            </w:pPr>
            <w:r w:rsidRPr="00124637">
              <w:t>7**</w:t>
            </w:r>
          </w:p>
        </w:tc>
        <w:tc>
          <w:tcPr>
            <w:tcW w:w="1701" w:type="dxa"/>
            <w:shd w:val="clear" w:color="auto" w:fill="auto"/>
            <w:tcMar>
              <w:top w:w="57" w:type="dxa"/>
              <w:left w:w="57" w:type="dxa"/>
              <w:bottom w:w="57" w:type="dxa"/>
              <w:right w:w="57" w:type="dxa"/>
            </w:tcMar>
          </w:tcPr>
          <w:p w14:paraId="37220491" w14:textId="77777777" w:rsidR="00BF6F04" w:rsidRPr="00124637" w:rsidRDefault="00BF6F04" w:rsidP="00BF6F04">
            <w:pPr>
              <w:pStyle w:val="TableBody"/>
              <w:keepNext/>
              <w:keepLines/>
            </w:pPr>
            <w:r w:rsidRPr="00124637">
              <w:t>0</w:t>
            </w:r>
          </w:p>
        </w:tc>
        <w:tc>
          <w:tcPr>
            <w:tcW w:w="1559" w:type="dxa"/>
            <w:shd w:val="clear" w:color="auto" w:fill="auto"/>
            <w:tcMar>
              <w:top w:w="57" w:type="dxa"/>
              <w:left w:w="57" w:type="dxa"/>
              <w:bottom w:w="57" w:type="dxa"/>
              <w:right w:w="57" w:type="dxa"/>
            </w:tcMar>
          </w:tcPr>
          <w:p w14:paraId="2F16115C" w14:textId="77777777" w:rsidR="00BF6F04" w:rsidRPr="00124637" w:rsidRDefault="00BF6F04" w:rsidP="00661442">
            <w:pPr>
              <w:pStyle w:val="TableBody"/>
              <w:keepNext/>
              <w:keepLines/>
              <w:jc w:val="right"/>
            </w:pPr>
            <w:r w:rsidRPr="00124637">
              <w:t>3</w:t>
            </w:r>
          </w:p>
        </w:tc>
        <w:tc>
          <w:tcPr>
            <w:tcW w:w="1647" w:type="dxa"/>
            <w:shd w:val="clear" w:color="auto" w:fill="auto"/>
            <w:tcMar>
              <w:top w:w="57" w:type="dxa"/>
              <w:left w:w="57" w:type="dxa"/>
              <w:bottom w:w="57" w:type="dxa"/>
              <w:right w:w="57" w:type="dxa"/>
            </w:tcMar>
          </w:tcPr>
          <w:p w14:paraId="7CA4B25C" w14:textId="77777777" w:rsidR="00BF6F04" w:rsidRPr="00124637" w:rsidRDefault="00BF6F04" w:rsidP="00661442">
            <w:pPr>
              <w:pStyle w:val="TableBody"/>
              <w:keepNext/>
              <w:keepLines/>
              <w:jc w:val="right"/>
            </w:pPr>
            <w:r w:rsidRPr="00124637">
              <w:t>0</w:t>
            </w:r>
          </w:p>
        </w:tc>
      </w:tr>
      <w:tr w:rsidR="00124637" w:rsidRPr="00124637" w14:paraId="1731AE7E" w14:textId="77777777" w:rsidTr="0022095A">
        <w:tc>
          <w:tcPr>
            <w:tcW w:w="2998" w:type="dxa"/>
            <w:shd w:val="clear" w:color="auto" w:fill="F2F2F2" w:themeFill="background1" w:themeFillShade="F2"/>
            <w:tcMar>
              <w:top w:w="57" w:type="dxa"/>
              <w:left w:w="57" w:type="dxa"/>
              <w:bottom w:w="57" w:type="dxa"/>
              <w:right w:w="57" w:type="dxa"/>
            </w:tcMar>
          </w:tcPr>
          <w:p w14:paraId="323B7E2E" w14:textId="77777777" w:rsidR="00BF6F04" w:rsidRPr="00124637" w:rsidRDefault="00BF6F04" w:rsidP="00800C4D">
            <w:pPr>
              <w:pStyle w:val="TableBody"/>
              <w:keepNext/>
              <w:keepLines/>
              <w:rPr>
                <w:b/>
              </w:rPr>
            </w:pPr>
            <w:r w:rsidRPr="00124637">
              <w:rPr>
                <w:b/>
              </w:rPr>
              <w:t>Total</w:t>
            </w:r>
          </w:p>
        </w:tc>
        <w:tc>
          <w:tcPr>
            <w:tcW w:w="1701" w:type="dxa"/>
            <w:shd w:val="clear" w:color="auto" w:fill="F2F2F2" w:themeFill="background1" w:themeFillShade="F2"/>
            <w:tcMar>
              <w:top w:w="57" w:type="dxa"/>
              <w:left w:w="57" w:type="dxa"/>
              <w:bottom w:w="57" w:type="dxa"/>
              <w:right w:w="57" w:type="dxa"/>
            </w:tcMar>
          </w:tcPr>
          <w:p w14:paraId="2F6483E0" w14:textId="77777777" w:rsidR="00BF6F04" w:rsidRPr="00124637" w:rsidRDefault="00BF6F04" w:rsidP="00BF6F04">
            <w:pPr>
              <w:pStyle w:val="TableBody"/>
              <w:keepNext/>
              <w:keepLines/>
              <w:rPr>
                <w:b/>
              </w:rPr>
            </w:pPr>
            <w:r w:rsidRPr="00124637">
              <w:rPr>
                <w:b/>
              </w:rPr>
              <w:t>39</w:t>
            </w:r>
          </w:p>
        </w:tc>
        <w:tc>
          <w:tcPr>
            <w:tcW w:w="1701" w:type="dxa"/>
            <w:shd w:val="clear" w:color="auto" w:fill="F2F2F2" w:themeFill="background1" w:themeFillShade="F2"/>
            <w:tcMar>
              <w:top w:w="57" w:type="dxa"/>
              <w:left w:w="57" w:type="dxa"/>
              <w:bottom w:w="57" w:type="dxa"/>
              <w:right w:w="57" w:type="dxa"/>
            </w:tcMar>
          </w:tcPr>
          <w:p w14:paraId="3E24080F" w14:textId="77777777" w:rsidR="00BF6F04" w:rsidRPr="00124637" w:rsidRDefault="00BF6F04" w:rsidP="00BF6F04">
            <w:pPr>
              <w:pStyle w:val="TableBody"/>
              <w:keepNext/>
              <w:keepLines/>
              <w:rPr>
                <w:b/>
              </w:rPr>
            </w:pPr>
            <w:r w:rsidRPr="00124637">
              <w:rPr>
                <w:b/>
              </w:rPr>
              <w:t>1</w:t>
            </w:r>
          </w:p>
        </w:tc>
        <w:tc>
          <w:tcPr>
            <w:tcW w:w="1559" w:type="dxa"/>
            <w:shd w:val="clear" w:color="auto" w:fill="F2F2F2" w:themeFill="background1" w:themeFillShade="F2"/>
            <w:tcMar>
              <w:top w:w="57" w:type="dxa"/>
              <w:left w:w="57" w:type="dxa"/>
              <w:bottom w:w="57" w:type="dxa"/>
              <w:right w:w="57" w:type="dxa"/>
            </w:tcMar>
          </w:tcPr>
          <w:p w14:paraId="0755FF92" w14:textId="77777777" w:rsidR="00BF6F04" w:rsidRPr="00124637" w:rsidRDefault="00BF6F04" w:rsidP="00661442">
            <w:pPr>
              <w:pStyle w:val="TableBody"/>
              <w:keepNext/>
              <w:keepLines/>
              <w:jc w:val="right"/>
              <w:rPr>
                <w:b/>
              </w:rPr>
            </w:pPr>
            <w:r w:rsidRPr="00124637">
              <w:rPr>
                <w:b/>
              </w:rPr>
              <w:t>26</w:t>
            </w:r>
          </w:p>
        </w:tc>
        <w:tc>
          <w:tcPr>
            <w:tcW w:w="1647" w:type="dxa"/>
            <w:shd w:val="clear" w:color="auto" w:fill="F2F2F2" w:themeFill="background1" w:themeFillShade="F2"/>
            <w:tcMar>
              <w:top w:w="57" w:type="dxa"/>
              <w:left w:w="57" w:type="dxa"/>
              <w:bottom w:w="57" w:type="dxa"/>
              <w:right w:w="57" w:type="dxa"/>
            </w:tcMar>
          </w:tcPr>
          <w:p w14:paraId="093A2888" w14:textId="77777777" w:rsidR="00BF6F04" w:rsidRPr="00124637" w:rsidRDefault="00BF6F04" w:rsidP="00661442">
            <w:pPr>
              <w:pStyle w:val="TableBody"/>
              <w:keepNext/>
              <w:keepLines/>
              <w:jc w:val="right"/>
              <w:rPr>
                <w:b/>
              </w:rPr>
            </w:pPr>
            <w:r w:rsidRPr="00124637">
              <w:rPr>
                <w:b/>
              </w:rPr>
              <w:t>2</w:t>
            </w:r>
          </w:p>
        </w:tc>
      </w:tr>
    </w:tbl>
    <w:p w14:paraId="67FFDD61" w14:textId="77777777" w:rsidR="00BF6F04" w:rsidRPr="00124637" w:rsidRDefault="00BF6F04" w:rsidP="00BF6F04">
      <w:pPr>
        <w:pStyle w:val="ACMANotes"/>
      </w:pPr>
      <w:r w:rsidRPr="00124637">
        <w:t>*These programs failed to satisfy the criteria in the CTS.</w:t>
      </w:r>
    </w:p>
    <w:p w14:paraId="5DDCC8A0" w14:textId="77777777" w:rsidR="00BF6F04" w:rsidRPr="00124637" w:rsidRDefault="00BF6F04" w:rsidP="00BF6F04">
      <w:pPr>
        <w:pStyle w:val="ACMANotes"/>
      </w:pPr>
      <w:r w:rsidRPr="00124637">
        <w:t>**Includes three renewals of classification.</w:t>
      </w:r>
    </w:p>
    <w:p w14:paraId="7A097BA9" w14:textId="77777777" w:rsidR="00163CCB" w:rsidRPr="00124637" w:rsidRDefault="00163CCB" w:rsidP="00DA1B46">
      <w:pPr>
        <w:pStyle w:val="Heading3"/>
        <w:spacing w:before="360"/>
      </w:pPr>
      <w:bookmarkStart w:id="382" w:name="_Toc400018584"/>
      <w:bookmarkStart w:id="383" w:name="_Toc419122593"/>
      <w:bookmarkStart w:id="384" w:name="_Toc274124100"/>
      <w:bookmarkStart w:id="385" w:name="_Toc433703420"/>
      <w:bookmarkEnd w:id="373"/>
      <w:bookmarkEnd w:id="374"/>
      <w:r w:rsidRPr="00124637">
        <w:t>Subscription television drama expenditure</w:t>
      </w:r>
      <w:bookmarkEnd w:id="382"/>
      <w:bookmarkEnd w:id="383"/>
      <w:bookmarkEnd w:id="385"/>
    </w:p>
    <w:p w14:paraId="58DA04EB" w14:textId="77777777" w:rsidR="00421DD0" w:rsidRPr="00124637" w:rsidRDefault="00421DD0" w:rsidP="00421DD0">
      <w:pPr>
        <w:rPr>
          <w:rFonts w:cs="Arial"/>
        </w:rPr>
      </w:pPr>
      <w:bookmarkStart w:id="386" w:name="_Toc419122595"/>
      <w:bookmarkEnd w:id="384"/>
      <w:r w:rsidRPr="00124637">
        <w:rPr>
          <w:rFonts w:cs="Arial"/>
        </w:rPr>
        <w:t xml:space="preserve">The new eligible drama (NED) expenditure scheme requires licensees and channel providers that provide subscription television drama services to spend at least 10 per cent of their annual total program expenditure on eligible drama programs during a financial year. </w:t>
      </w:r>
    </w:p>
    <w:p w14:paraId="3EFB9565" w14:textId="77777777" w:rsidR="00421DD0" w:rsidRPr="00124637" w:rsidRDefault="00421DD0" w:rsidP="00421DD0">
      <w:pPr>
        <w:rPr>
          <w:rFonts w:cs="Arial"/>
        </w:rPr>
      </w:pPr>
      <w:r w:rsidRPr="00124637">
        <w:rPr>
          <w:rFonts w:cs="Arial"/>
        </w:rPr>
        <w:t xml:space="preserve">Each year, scheme participants are required to provide annual returns by 29 August. As a result, only 2013–14 information is available for this annual report. For the </w:t>
      </w:r>
      <w:r w:rsidRPr="00124637">
        <w:rPr>
          <w:rFonts w:cs="Arial"/>
        </w:rPr>
        <w:br/>
        <w:t>2013–14 compliance period, five licensees and six channel providers supplied 30 eligible drama channels. All participants met their expenditure obligations for this period, reporting an expenditure on new eligible Australian drama of $36.81 million (aggregated). Of that expenditure, $25.76 million was nominated to acquit the expenditure shortfall for 2012–13. Similarly, for 2014–15, licensees and channel providers must spend a minimum of $18.06 million on new eligible programs to acquit the remaining 2013–14 obligation.</w:t>
      </w:r>
    </w:p>
    <w:p w14:paraId="549F1E5B" w14:textId="77777777" w:rsidR="00E615FE" w:rsidRPr="00124637" w:rsidRDefault="00421DD0" w:rsidP="00421DD0">
      <w:pPr>
        <w:rPr>
          <w:rFonts w:cs="Arial"/>
        </w:rPr>
      </w:pPr>
      <w:r w:rsidRPr="00124637">
        <w:rPr>
          <w:rFonts w:cs="Arial"/>
        </w:rPr>
        <w:t>Industry compliance results for the current and previous periods are shown in Table </w:t>
      </w:r>
      <w:r w:rsidR="00945045" w:rsidRPr="00124637">
        <w:rPr>
          <w:rFonts w:cs="Arial"/>
        </w:rPr>
        <w:t>28</w:t>
      </w:r>
      <w:r w:rsidR="00E615FE" w:rsidRPr="00124637">
        <w:rPr>
          <w:rFonts w:cs="Arial"/>
        </w:rPr>
        <w:t>.</w:t>
      </w:r>
    </w:p>
    <w:p w14:paraId="775C5AA7" w14:textId="77777777" w:rsidR="00BF6F04" w:rsidRPr="00124637" w:rsidRDefault="00BF6F04" w:rsidP="00945045">
      <w:pPr>
        <w:pStyle w:val="Caption"/>
        <w:keepNext/>
        <w:spacing w:after="120"/>
        <w:rPr>
          <w:rFonts w:cs="Arial"/>
          <w:color w:val="auto"/>
        </w:rPr>
      </w:pPr>
      <w:r w:rsidRPr="00124637">
        <w:rPr>
          <w:color w:val="auto"/>
        </w:rPr>
        <w:lastRenderedPageBreak/>
        <w:t xml:space="preserve">Revised </w:t>
      </w:r>
      <w:r w:rsidR="00945045" w:rsidRPr="00124637">
        <w:rPr>
          <w:color w:val="auto"/>
        </w:rPr>
        <w:t>NED expenditure compliance, 2008–09</w:t>
      </w:r>
      <w:r w:rsidRPr="00124637">
        <w:rPr>
          <w:color w:val="auto"/>
        </w:rPr>
        <w:t xml:space="preserve"> to 2013–14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78"/>
        <w:gridCol w:w="921"/>
        <w:gridCol w:w="921"/>
        <w:gridCol w:w="922"/>
        <w:gridCol w:w="921"/>
        <w:gridCol w:w="921"/>
        <w:gridCol w:w="922"/>
      </w:tblGrid>
      <w:tr w:rsidR="00BF6F04" w:rsidRPr="00E615FE" w14:paraId="36A24950" w14:textId="77777777" w:rsidTr="00800C4D">
        <w:tc>
          <w:tcPr>
            <w:tcW w:w="4078" w:type="dxa"/>
            <w:vMerge w:val="restart"/>
            <w:shd w:val="clear" w:color="auto" w:fill="404040" w:themeFill="text1" w:themeFillTint="BF"/>
          </w:tcPr>
          <w:p w14:paraId="2D0EB174" w14:textId="77777777" w:rsidR="00BF6F04" w:rsidRPr="00124637" w:rsidRDefault="00BF6F04" w:rsidP="00945045">
            <w:pPr>
              <w:pStyle w:val="TableHeading"/>
              <w:keepNext/>
              <w:keepLines/>
              <w:jc w:val="center"/>
              <w:rPr>
                <w:rFonts w:cs="Arial"/>
                <w:color w:val="FFFFFF" w:themeColor="background1"/>
              </w:rPr>
            </w:pPr>
          </w:p>
        </w:tc>
        <w:tc>
          <w:tcPr>
            <w:tcW w:w="921" w:type="dxa"/>
            <w:shd w:val="clear" w:color="auto" w:fill="404040" w:themeFill="text1" w:themeFillTint="BF"/>
          </w:tcPr>
          <w:p w14:paraId="27BA817D" w14:textId="77777777" w:rsidR="00BF6F04" w:rsidRPr="00124637" w:rsidRDefault="00BF6F04" w:rsidP="00945045">
            <w:pPr>
              <w:pStyle w:val="TableHeading"/>
              <w:keepNext/>
              <w:keepLines/>
              <w:jc w:val="right"/>
              <w:rPr>
                <w:rFonts w:cs="Arial"/>
                <w:color w:val="FFFFFF" w:themeColor="background1"/>
              </w:rPr>
            </w:pPr>
            <w:r w:rsidRPr="00124637">
              <w:rPr>
                <w:rFonts w:cs="Arial"/>
                <w:color w:val="FFFFFF" w:themeColor="background1"/>
              </w:rPr>
              <w:t>2008–09</w:t>
            </w:r>
          </w:p>
        </w:tc>
        <w:tc>
          <w:tcPr>
            <w:tcW w:w="921" w:type="dxa"/>
            <w:shd w:val="clear" w:color="auto" w:fill="404040" w:themeFill="text1" w:themeFillTint="BF"/>
          </w:tcPr>
          <w:p w14:paraId="390663CA" w14:textId="77777777" w:rsidR="00BF6F04" w:rsidRPr="00124637" w:rsidRDefault="00BF6F04" w:rsidP="00945045">
            <w:pPr>
              <w:pStyle w:val="TableHeading"/>
              <w:keepNext/>
              <w:keepLines/>
              <w:jc w:val="right"/>
              <w:rPr>
                <w:rFonts w:cs="Arial"/>
                <w:color w:val="FFFFFF" w:themeColor="background1"/>
              </w:rPr>
            </w:pPr>
            <w:r w:rsidRPr="00124637">
              <w:rPr>
                <w:rFonts w:cs="Arial"/>
                <w:color w:val="FFFFFF" w:themeColor="background1"/>
              </w:rPr>
              <w:t>2009–10</w:t>
            </w:r>
          </w:p>
        </w:tc>
        <w:tc>
          <w:tcPr>
            <w:tcW w:w="922" w:type="dxa"/>
            <w:shd w:val="clear" w:color="auto" w:fill="404040" w:themeFill="text1" w:themeFillTint="BF"/>
          </w:tcPr>
          <w:p w14:paraId="452F0BE2" w14:textId="77777777" w:rsidR="00BF6F04" w:rsidRPr="00124637" w:rsidRDefault="00BF6F04" w:rsidP="00945045">
            <w:pPr>
              <w:pStyle w:val="TableHeading"/>
              <w:keepNext/>
              <w:keepLines/>
              <w:jc w:val="right"/>
              <w:rPr>
                <w:rFonts w:cs="Arial"/>
                <w:color w:val="FFFFFF" w:themeColor="background1"/>
              </w:rPr>
            </w:pPr>
            <w:r w:rsidRPr="00124637">
              <w:rPr>
                <w:rFonts w:cs="Arial"/>
                <w:color w:val="FFFFFF" w:themeColor="background1"/>
              </w:rPr>
              <w:t>2010–11</w:t>
            </w:r>
          </w:p>
        </w:tc>
        <w:tc>
          <w:tcPr>
            <w:tcW w:w="921" w:type="dxa"/>
            <w:shd w:val="clear" w:color="auto" w:fill="404040" w:themeFill="text1" w:themeFillTint="BF"/>
          </w:tcPr>
          <w:p w14:paraId="38E7AC3A" w14:textId="77777777" w:rsidR="00BF6F04" w:rsidRPr="00BF6F04" w:rsidRDefault="00BF6F04" w:rsidP="00945045">
            <w:pPr>
              <w:pStyle w:val="TableHeading"/>
              <w:keepNext/>
              <w:keepLines/>
              <w:jc w:val="right"/>
              <w:rPr>
                <w:rFonts w:cs="Arial"/>
                <w:color w:val="FFFFFF" w:themeColor="background1"/>
              </w:rPr>
            </w:pPr>
            <w:r w:rsidRPr="00BF6F04">
              <w:rPr>
                <w:rFonts w:cs="Arial"/>
                <w:color w:val="FFFFFF" w:themeColor="background1"/>
              </w:rPr>
              <w:t>2011–12</w:t>
            </w:r>
          </w:p>
        </w:tc>
        <w:tc>
          <w:tcPr>
            <w:tcW w:w="921" w:type="dxa"/>
            <w:shd w:val="clear" w:color="auto" w:fill="404040" w:themeFill="text1" w:themeFillTint="BF"/>
          </w:tcPr>
          <w:p w14:paraId="2AC6FFB8" w14:textId="77777777" w:rsidR="00BF6F04" w:rsidRPr="00BF6F04" w:rsidRDefault="00BF6F04" w:rsidP="00945045">
            <w:pPr>
              <w:pStyle w:val="TableHeading"/>
              <w:keepNext/>
              <w:keepLines/>
              <w:jc w:val="right"/>
              <w:rPr>
                <w:rFonts w:cs="Arial"/>
                <w:color w:val="FFFFFF" w:themeColor="background1"/>
              </w:rPr>
            </w:pPr>
            <w:r w:rsidRPr="00BF6F04">
              <w:rPr>
                <w:rFonts w:cs="Arial"/>
                <w:color w:val="FFFFFF" w:themeColor="background1"/>
              </w:rPr>
              <w:t>2012–13</w:t>
            </w:r>
          </w:p>
        </w:tc>
        <w:tc>
          <w:tcPr>
            <w:tcW w:w="922" w:type="dxa"/>
            <w:shd w:val="clear" w:color="auto" w:fill="404040" w:themeFill="text1" w:themeFillTint="BF"/>
          </w:tcPr>
          <w:p w14:paraId="2F4CF6BC" w14:textId="77777777" w:rsidR="00BF6F04" w:rsidRPr="00BF6F04" w:rsidRDefault="00BF6F04" w:rsidP="00945045">
            <w:pPr>
              <w:pStyle w:val="TableHeading"/>
              <w:keepNext/>
              <w:keepLines/>
              <w:jc w:val="right"/>
              <w:rPr>
                <w:rFonts w:cs="Arial"/>
                <w:color w:val="FFFFFF" w:themeColor="background1"/>
              </w:rPr>
            </w:pPr>
            <w:r w:rsidRPr="00BF6F04">
              <w:rPr>
                <w:rFonts w:cs="Arial"/>
                <w:color w:val="FFFFFF" w:themeColor="background1"/>
              </w:rPr>
              <w:t>2013–14</w:t>
            </w:r>
          </w:p>
        </w:tc>
      </w:tr>
      <w:tr w:rsidR="00BF6F04" w:rsidRPr="00E615FE" w14:paraId="55B55FB1" w14:textId="77777777" w:rsidTr="00800C4D">
        <w:tc>
          <w:tcPr>
            <w:tcW w:w="4078" w:type="dxa"/>
            <w:vMerge/>
            <w:shd w:val="clear" w:color="auto" w:fill="404040" w:themeFill="text1" w:themeFillTint="BF"/>
          </w:tcPr>
          <w:p w14:paraId="0AE352B0" w14:textId="77777777" w:rsidR="00BF6F04" w:rsidRPr="00E615FE" w:rsidRDefault="00BF6F04" w:rsidP="00945045">
            <w:pPr>
              <w:pStyle w:val="TableHeading"/>
              <w:keepNext/>
              <w:keepLines/>
              <w:jc w:val="center"/>
              <w:rPr>
                <w:rFonts w:cs="Arial"/>
                <w:color w:val="0070C0"/>
              </w:rPr>
            </w:pPr>
          </w:p>
        </w:tc>
        <w:tc>
          <w:tcPr>
            <w:tcW w:w="5528" w:type="dxa"/>
            <w:gridSpan w:val="6"/>
            <w:shd w:val="clear" w:color="auto" w:fill="404040" w:themeFill="text1" w:themeFillTint="BF"/>
          </w:tcPr>
          <w:p w14:paraId="4DE7EE7F" w14:textId="77777777" w:rsidR="00BF6F04" w:rsidRPr="00BF6F04" w:rsidRDefault="00BF6F04" w:rsidP="00945045">
            <w:pPr>
              <w:pStyle w:val="TableHeading"/>
              <w:keepNext/>
              <w:keepLines/>
              <w:jc w:val="center"/>
              <w:rPr>
                <w:rFonts w:cs="Arial"/>
                <w:color w:val="FFFFFF" w:themeColor="background1"/>
              </w:rPr>
            </w:pPr>
            <w:r w:rsidRPr="00BF6F04">
              <w:rPr>
                <w:rFonts w:cs="Arial"/>
                <w:color w:val="FFFFFF" w:themeColor="background1"/>
              </w:rPr>
              <w:t>$million</w:t>
            </w:r>
          </w:p>
        </w:tc>
      </w:tr>
      <w:tr w:rsidR="00BF6F04" w:rsidRPr="00E615FE" w14:paraId="009C7DD5" w14:textId="77777777" w:rsidTr="00800C4D">
        <w:tc>
          <w:tcPr>
            <w:tcW w:w="4078" w:type="dxa"/>
            <w:vAlign w:val="center"/>
          </w:tcPr>
          <w:p w14:paraId="2A24F62C" w14:textId="77777777" w:rsidR="00BF6F04" w:rsidRPr="00124637" w:rsidRDefault="00BF6F04" w:rsidP="00945045">
            <w:pPr>
              <w:pStyle w:val="TableBody"/>
              <w:keepNext/>
              <w:keepLines/>
            </w:pPr>
            <w:r w:rsidRPr="00124637">
              <w:t>NED expenditure requirement</w:t>
            </w:r>
          </w:p>
        </w:tc>
        <w:tc>
          <w:tcPr>
            <w:tcW w:w="921" w:type="dxa"/>
            <w:vAlign w:val="center"/>
          </w:tcPr>
          <w:p w14:paraId="6704CCE6" w14:textId="77777777" w:rsidR="00BF6F04" w:rsidRPr="00124637" w:rsidRDefault="00BF6F04" w:rsidP="00945045">
            <w:pPr>
              <w:pStyle w:val="TableBody"/>
              <w:keepNext/>
              <w:keepLines/>
              <w:jc w:val="right"/>
            </w:pPr>
            <w:r w:rsidRPr="00124637">
              <w:t>26.11</w:t>
            </w:r>
          </w:p>
        </w:tc>
        <w:tc>
          <w:tcPr>
            <w:tcW w:w="921" w:type="dxa"/>
            <w:vAlign w:val="center"/>
          </w:tcPr>
          <w:p w14:paraId="3E35885E" w14:textId="77777777" w:rsidR="00BF6F04" w:rsidRPr="00124637" w:rsidRDefault="00BF6F04" w:rsidP="00945045">
            <w:pPr>
              <w:pStyle w:val="TableBody"/>
              <w:keepNext/>
              <w:keepLines/>
              <w:jc w:val="right"/>
            </w:pPr>
            <w:r w:rsidRPr="00124637">
              <w:t>27.74</w:t>
            </w:r>
          </w:p>
        </w:tc>
        <w:tc>
          <w:tcPr>
            <w:tcW w:w="922" w:type="dxa"/>
            <w:vAlign w:val="center"/>
          </w:tcPr>
          <w:p w14:paraId="26BD5ECF" w14:textId="77777777" w:rsidR="00BF6F04" w:rsidRPr="00124637" w:rsidRDefault="00BF6F04" w:rsidP="00945045">
            <w:pPr>
              <w:pStyle w:val="TableBody"/>
              <w:keepNext/>
              <w:keepLines/>
              <w:jc w:val="right"/>
            </w:pPr>
            <w:r w:rsidRPr="00124637">
              <w:t>30.87</w:t>
            </w:r>
          </w:p>
        </w:tc>
        <w:tc>
          <w:tcPr>
            <w:tcW w:w="921" w:type="dxa"/>
            <w:vAlign w:val="center"/>
          </w:tcPr>
          <w:p w14:paraId="49EAEAD0" w14:textId="77777777" w:rsidR="00BF6F04" w:rsidRPr="00124637" w:rsidRDefault="00BF6F04" w:rsidP="00945045">
            <w:pPr>
              <w:pStyle w:val="TableBody"/>
              <w:keepNext/>
              <w:keepLines/>
              <w:jc w:val="right"/>
              <w:rPr>
                <w:lang w:bidi="he-IL"/>
              </w:rPr>
            </w:pPr>
            <w:r w:rsidRPr="00124637">
              <w:t>28.82</w:t>
            </w:r>
          </w:p>
        </w:tc>
        <w:tc>
          <w:tcPr>
            <w:tcW w:w="921" w:type="dxa"/>
            <w:vAlign w:val="center"/>
          </w:tcPr>
          <w:p w14:paraId="543F0F91" w14:textId="77777777" w:rsidR="00BF6F04" w:rsidRPr="00124637" w:rsidRDefault="00BF6F04" w:rsidP="00945045">
            <w:pPr>
              <w:pStyle w:val="TableBody"/>
              <w:keepNext/>
              <w:keepLines/>
              <w:jc w:val="right"/>
            </w:pPr>
            <w:r w:rsidRPr="00124637">
              <w:t>33.41</w:t>
            </w:r>
          </w:p>
        </w:tc>
        <w:tc>
          <w:tcPr>
            <w:tcW w:w="922" w:type="dxa"/>
            <w:vAlign w:val="center"/>
          </w:tcPr>
          <w:p w14:paraId="12451DFF" w14:textId="77777777" w:rsidR="00BF6F04" w:rsidRPr="00124637" w:rsidRDefault="00BF6F04" w:rsidP="00945045">
            <w:pPr>
              <w:pStyle w:val="TableBody"/>
              <w:keepNext/>
              <w:keepLines/>
              <w:jc w:val="right"/>
            </w:pPr>
            <w:r w:rsidRPr="00124637">
              <w:t>28.57</w:t>
            </w:r>
          </w:p>
        </w:tc>
      </w:tr>
      <w:tr w:rsidR="00BF6F04" w:rsidRPr="00E615FE" w14:paraId="5073D269" w14:textId="77777777" w:rsidTr="00800C4D">
        <w:tc>
          <w:tcPr>
            <w:tcW w:w="4078" w:type="dxa"/>
          </w:tcPr>
          <w:p w14:paraId="0E93FEB7" w14:textId="77777777" w:rsidR="00BF6F04" w:rsidRPr="00124637" w:rsidRDefault="00BF6F04" w:rsidP="00945045">
            <w:pPr>
              <w:pStyle w:val="TableBody"/>
              <w:keepNext/>
              <w:keepLines/>
            </w:pPr>
            <w:r w:rsidRPr="00124637">
              <w:t>Expenditure on NED</w:t>
            </w:r>
          </w:p>
        </w:tc>
        <w:tc>
          <w:tcPr>
            <w:tcW w:w="921" w:type="dxa"/>
            <w:vAlign w:val="center"/>
          </w:tcPr>
          <w:p w14:paraId="5E9F7E02" w14:textId="77777777" w:rsidR="00BF6F04" w:rsidRPr="00124637" w:rsidRDefault="00BF6F04" w:rsidP="00945045">
            <w:pPr>
              <w:pStyle w:val="TableBody"/>
              <w:keepNext/>
              <w:keepLines/>
              <w:jc w:val="right"/>
            </w:pPr>
            <w:r w:rsidRPr="00124637">
              <w:t>28.56</w:t>
            </w:r>
          </w:p>
        </w:tc>
        <w:tc>
          <w:tcPr>
            <w:tcW w:w="921" w:type="dxa"/>
            <w:vAlign w:val="center"/>
          </w:tcPr>
          <w:p w14:paraId="27B1FBAA" w14:textId="77777777" w:rsidR="00BF6F04" w:rsidRPr="00124637" w:rsidRDefault="00BF6F04" w:rsidP="00945045">
            <w:pPr>
              <w:pStyle w:val="TableBody"/>
              <w:keepNext/>
              <w:keepLines/>
              <w:jc w:val="right"/>
            </w:pPr>
            <w:r w:rsidRPr="00124637">
              <w:t>36.15</w:t>
            </w:r>
          </w:p>
        </w:tc>
        <w:tc>
          <w:tcPr>
            <w:tcW w:w="922" w:type="dxa"/>
            <w:vAlign w:val="center"/>
          </w:tcPr>
          <w:p w14:paraId="72107E53" w14:textId="77777777" w:rsidR="00BF6F04" w:rsidRPr="00124637" w:rsidRDefault="00BF6F04" w:rsidP="00945045">
            <w:pPr>
              <w:pStyle w:val="TableBody"/>
              <w:keepNext/>
              <w:keepLines/>
              <w:jc w:val="right"/>
            </w:pPr>
            <w:r w:rsidRPr="00124637">
              <w:t>34.63</w:t>
            </w:r>
          </w:p>
        </w:tc>
        <w:tc>
          <w:tcPr>
            <w:tcW w:w="921" w:type="dxa"/>
            <w:vAlign w:val="center"/>
          </w:tcPr>
          <w:p w14:paraId="7DCB209F" w14:textId="77777777" w:rsidR="00BF6F04" w:rsidRPr="00124637" w:rsidRDefault="00BF6F04" w:rsidP="00945045">
            <w:pPr>
              <w:pStyle w:val="TableBody"/>
              <w:keepNext/>
              <w:keepLines/>
              <w:jc w:val="right"/>
              <w:rPr>
                <w:lang w:bidi="he-IL"/>
              </w:rPr>
            </w:pPr>
            <w:r w:rsidRPr="00124637">
              <w:t>24.38</w:t>
            </w:r>
          </w:p>
        </w:tc>
        <w:tc>
          <w:tcPr>
            <w:tcW w:w="921" w:type="dxa"/>
            <w:vAlign w:val="center"/>
          </w:tcPr>
          <w:p w14:paraId="74AF784F" w14:textId="77777777" w:rsidR="00BF6F04" w:rsidRPr="00124637" w:rsidRDefault="00BF6F04" w:rsidP="00945045">
            <w:pPr>
              <w:pStyle w:val="TableBody"/>
              <w:keepNext/>
              <w:keepLines/>
              <w:jc w:val="right"/>
            </w:pPr>
            <w:r w:rsidRPr="00124637">
              <w:t>13.70</w:t>
            </w:r>
          </w:p>
        </w:tc>
        <w:tc>
          <w:tcPr>
            <w:tcW w:w="922" w:type="dxa"/>
            <w:vAlign w:val="center"/>
          </w:tcPr>
          <w:p w14:paraId="0AA754FB" w14:textId="77777777" w:rsidR="00BF6F04" w:rsidRPr="00124637" w:rsidRDefault="00BF6F04" w:rsidP="00945045">
            <w:pPr>
              <w:pStyle w:val="TableBody"/>
              <w:keepNext/>
              <w:keepLines/>
              <w:jc w:val="right"/>
            </w:pPr>
            <w:r w:rsidRPr="00124637">
              <w:t>36.81</w:t>
            </w:r>
          </w:p>
        </w:tc>
      </w:tr>
      <w:tr w:rsidR="00BF6F04" w:rsidRPr="00E615FE" w14:paraId="4D302CC6" w14:textId="77777777" w:rsidTr="00800C4D">
        <w:tc>
          <w:tcPr>
            <w:tcW w:w="4078" w:type="dxa"/>
            <w:vAlign w:val="center"/>
          </w:tcPr>
          <w:p w14:paraId="065BECF3" w14:textId="77777777" w:rsidR="00BF6F04" w:rsidRPr="00124637" w:rsidRDefault="00BF6F04" w:rsidP="00945045">
            <w:pPr>
              <w:pStyle w:val="TableBody"/>
              <w:keepNext/>
              <w:keepLines/>
            </w:pPr>
            <w:r w:rsidRPr="00124637">
              <w:t>Expenditure nominated to make up previous year’s shortfall</w:t>
            </w:r>
          </w:p>
        </w:tc>
        <w:tc>
          <w:tcPr>
            <w:tcW w:w="921" w:type="dxa"/>
            <w:vAlign w:val="center"/>
          </w:tcPr>
          <w:p w14:paraId="0F9DE1D9" w14:textId="77777777" w:rsidR="00BF6F04" w:rsidRPr="00124637" w:rsidRDefault="00BF6F04" w:rsidP="00945045">
            <w:pPr>
              <w:pStyle w:val="TableBody"/>
              <w:keepNext/>
              <w:keepLines/>
              <w:jc w:val="right"/>
            </w:pPr>
            <w:r w:rsidRPr="00124637">
              <w:t>13.88</w:t>
            </w:r>
          </w:p>
        </w:tc>
        <w:tc>
          <w:tcPr>
            <w:tcW w:w="921" w:type="dxa"/>
            <w:vAlign w:val="center"/>
          </w:tcPr>
          <w:p w14:paraId="36EE04D2" w14:textId="77777777" w:rsidR="00BF6F04" w:rsidRPr="00124637" w:rsidRDefault="00BF6F04" w:rsidP="00945045">
            <w:pPr>
              <w:pStyle w:val="TableBody"/>
              <w:keepNext/>
              <w:keepLines/>
              <w:jc w:val="right"/>
            </w:pPr>
            <w:r w:rsidRPr="00124637">
              <w:t>11.32</w:t>
            </w:r>
          </w:p>
        </w:tc>
        <w:tc>
          <w:tcPr>
            <w:tcW w:w="922" w:type="dxa"/>
            <w:vAlign w:val="center"/>
          </w:tcPr>
          <w:p w14:paraId="643BAE99" w14:textId="77777777" w:rsidR="00BF6F04" w:rsidRPr="00124637" w:rsidRDefault="00BF6F04" w:rsidP="00945045">
            <w:pPr>
              <w:pStyle w:val="TableBody"/>
              <w:keepNext/>
              <w:keepLines/>
              <w:jc w:val="right"/>
            </w:pPr>
            <w:r w:rsidRPr="00124637">
              <w:t>12.11</w:t>
            </w:r>
          </w:p>
        </w:tc>
        <w:tc>
          <w:tcPr>
            <w:tcW w:w="921" w:type="dxa"/>
            <w:vAlign w:val="center"/>
          </w:tcPr>
          <w:p w14:paraId="60A61A44" w14:textId="77777777" w:rsidR="00BF6F04" w:rsidRPr="00124637" w:rsidRDefault="00BF6F04" w:rsidP="00945045">
            <w:pPr>
              <w:pStyle w:val="TableBody"/>
              <w:keepNext/>
              <w:keepLines/>
              <w:jc w:val="right"/>
              <w:rPr>
                <w:lang w:bidi="he-IL"/>
              </w:rPr>
            </w:pPr>
            <w:r w:rsidRPr="00124637">
              <w:t>6.81</w:t>
            </w:r>
          </w:p>
        </w:tc>
        <w:tc>
          <w:tcPr>
            <w:tcW w:w="921" w:type="dxa"/>
            <w:vAlign w:val="center"/>
          </w:tcPr>
          <w:p w14:paraId="5F4A981D" w14:textId="77777777" w:rsidR="00BF6F04" w:rsidRPr="00124637" w:rsidRDefault="00BF6F04" w:rsidP="00945045">
            <w:pPr>
              <w:pStyle w:val="TableBody"/>
              <w:keepNext/>
              <w:keepLines/>
              <w:jc w:val="right"/>
            </w:pPr>
            <w:r w:rsidRPr="00124637">
              <w:t>6.41</w:t>
            </w:r>
          </w:p>
        </w:tc>
        <w:tc>
          <w:tcPr>
            <w:tcW w:w="922" w:type="dxa"/>
            <w:vAlign w:val="center"/>
          </w:tcPr>
          <w:p w14:paraId="4BBA8293" w14:textId="77777777" w:rsidR="00BF6F04" w:rsidRPr="00124637" w:rsidRDefault="00BF6F04" w:rsidP="00945045">
            <w:pPr>
              <w:pStyle w:val="TableBody"/>
              <w:keepNext/>
              <w:keepLines/>
              <w:jc w:val="right"/>
            </w:pPr>
            <w:r w:rsidRPr="00124637">
              <w:t>25.76</w:t>
            </w:r>
          </w:p>
        </w:tc>
      </w:tr>
      <w:tr w:rsidR="00BF6F04" w:rsidRPr="00E615FE" w14:paraId="4FC0431C" w14:textId="77777777" w:rsidTr="00800C4D">
        <w:tc>
          <w:tcPr>
            <w:tcW w:w="4078" w:type="dxa"/>
            <w:vAlign w:val="center"/>
          </w:tcPr>
          <w:p w14:paraId="4C328CEF" w14:textId="77777777" w:rsidR="00BF6F04" w:rsidRPr="00124637" w:rsidRDefault="00BF6F04" w:rsidP="00945045">
            <w:pPr>
              <w:pStyle w:val="TableBody"/>
              <w:keepNext/>
              <w:keepLines/>
            </w:pPr>
            <w:r w:rsidRPr="00124637">
              <w:t>Expenditure</w:t>
            </w:r>
            <w:r w:rsidR="00945045" w:rsidRPr="00124637">
              <w:t xml:space="preserve"> nominated towards current year’</w:t>
            </w:r>
            <w:r w:rsidRPr="00124637">
              <w:t xml:space="preserve">s NED requirement </w:t>
            </w:r>
          </w:p>
        </w:tc>
        <w:tc>
          <w:tcPr>
            <w:tcW w:w="921" w:type="dxa"/>
            <w:vAlign w:val="center"/>
          </w:tcPr>
          <w:p w14:paraId="4A5580F8" w14:textId="77777777" w:rsidR="00BF6F04" w:rsidRPr="00124637" w:rsidRDefault="00BF6F04" w:rsidP="00945045">
            <w:pPr>
              <w:pStyle w:val="TableBody"/>
              <w:keepNext/>
              <w:keepLines/>
              <w:jc w:val="right"/>
            </w:pPr>
            <w:r w:rsidRPr="00124637">
              <w:t>14.79</w:t>
            </w:r>
          </w:p>
        </w:tc>
        <w:tc>
          <w:tcPr>
            <w:tcW w:w="921" w:type="dxa"/>
            <w:vAlign w:val="center"/>
          </w:tcPr>
          <w:p w14:paraId="4D418342" w14:textId="77777777" w:rsidR="00BF6F04" w:rsidRPr="00124637" w:rsidRDefault="00BF6F04" w:rsidP="00945045">
            <w:pPr>
              <w:pStyle w:val="TableBody"/>
              <w:keepNext/>
              <w:keepLines/>
              <w:jc w:val="right"/>
            </w:pPr>
            <w:r w:rsidRPr="00124637">
              <w:t>15.59</w:t>
            </w:r>
          </w:p>
        </w:tc>
        <w:tc>
          <w:tcPr>
            <w:tcW w:w="922" w:type="dxa"/>
            <w:vAlign w:val="center"/>
          </w:tcPr>
          <w:p w14:paraId="65555AA8" w14:textId="77777777" w:rsidR="00BF6F04" w:rsidRPr="00124637" w:rsidRDefault="00BF6F04" w:rsidP="00945045">
            <w:pPr>
              <w:pStyle w:val="TableBody"/>
              <w:keepNext/>
              <w:keepLines/>
              <w:jc w:val="right"/>
            </w:pPr>
            <w:r w:rsidRPr="00124637">
              <w:t>24.05</w:t>
            </w:r>
          </w:p>
        </w:tc>
        <w:tc>
          <w:tcPr>
            <w:tcW w:w="921" w:type="dxa"/>
            <w:vAlign w:val="center"/>
          </w:tcPr>
          <w:p w14:paraId="1683DD83" w14:textId="77777777" w:rsidR="00BF6F04" w:rsidRPr="00124637" w:rsidRDefault="00BF6F04" w:rsidP="00945045">
            <w:pPr>
              <w:pStyle w:val="TableBody"/>
              <w:keepNext/>
              <w:keepLines/>
              <w:jc w:val="right"/>
              <w:rPr>
                <w:lang w:bidi="he-IL"/>
              </w:rPr>
            </w:pPr>
            <w:r w:rsidRPr="00124637">
              <w:t>22.53</w:t>
            </w:r>
          </w:p>
        </w:tc>
        <w:tc>
          <w:tcPr>
            <w:tcW w:w="921" w:type="dxa"/>
            <w:vAlign w:val="center"/>
          </w:tcPr>
          <w:p w14:paraId="5BD5B571" w14:textId="77777777" w:rsidR="00BF6F04" w:rsidRPr="00124637" w:rsidRDefault="00BF6F04" w:rsidP="00945045">
            <w:pPr>
              <w:pStyle w:val="TableBody"/>
              <w:keepNext/>
              <w:keepLines/>
              <w:jc w:val="right"/>
            </w:pPr>
            <w:r w:rsidRPr="00124637">
              <w:t>6.42</w:t>
            </w:r>
          </w:p>
        </w:tc>
        <w:tc>
          <w:tcPr>
            <w:tcW w:w="922" w:type="dxa"/>
            <w:vAlign w:val="center"/>
          </w:tcPr>
          <w:p w14:paraId="309E9B80" w14:textId="77777777" w:rsidR="00BF6F04" w:rsidRPr="00124637" w:rsidRDefault="00BF6F04" w:rsidP="00945045">
            <w:pPr>
              <w:pStyle w:val="TableBody"/>
              <w:keepNext/>
              <w:keepLines/>
              <w:jc w:val="right"/>
            </w:pPr>
            <w:r w:rsidRPr="00124637">
              <w:t>10.14</w:t>
            </w:r>
          </w:p>
        </w:tc>
      </w:tr>
      <w:tr w:rsidR="00BF6F04" w:rsidRPr="00E615FE" w14:paraId="087BEAFA" w14:textId="77777777" w:rsidTr="00800C4D">
        <w:tc>
          <w:tcPr>
            <w:tcW w:w="4078" w:type="dxa"/>
            <w:vAlign w:val="center"/>
          </w:tcPr>
          <w:p w14:paraId="1DDB5933" w14:textId="77777777" w:rsidR="00BF6F04" w:rsidRPr="00124637" w:rsidRDefault="00BF6F04" w:rsidP="00945045">
            <w:pPr>
              <w:pStyle w:val="TableBody"/>
              <w:keepNext/>
              <w:keepLines/>
            </w:pPr>
            <w:r w:rsidRPr="00124637">
              <w:t>Remaining obligation to be acquitted next fi</w:t>
            </w:r>
            <w:r w:rsidR="00945045" w:rsidRPr="00124637">
              <w:t>nancial year</w:t>
            </w:r>
          </w:p>
        </w:tc>
        <w:tc>
          <w:tcPr>
            <w:tcW w:w="921" w:type="dxa"/>
            <w:vAlign w:val="center"/>
          </w:tcPr>
          <w:p w14:paraId="02F9ACB5" w14:textId="77777777" w:rsidR="00BF6F04" w:rsidRPr="00124637" w:rsidRDefault="00BF6F04" w:rsidP="00945045">
            <w:pPr>
              <w:pStyle w:val="TableBody"/>
              <w:keepNext/>
              <w:keepLines/>
              <w:jc w:val="right"/>
            </w:pPr>
            <w:r w:rsidRPr="00124637">
              <w:t>11.32</w:t>
            </w:r>
          </w:p>
        </w:tc>
        <w:tc>
          <w:tcPr>
            <w:tcW w:w="921" w:type="dxa"/>
            <w:vAlign w:val="center"/>
          </w:tcPr>
          <w:p w14:paraId="3F63518E" w14:textId="77777777" w:rsidR="00BF6F04" w:rsidRPr="00124637" w:rsidRDefault="00BF6F04" w:rsidP="00945045">
            <w:pPr>
              <w:pStyle w:val="TableBody"/>
              <w:keepNext/>
              <w:keepLines/>
              <w:jc w:val="right"/>
            </w:pPr>
            <w:r w:rsidRPr="00124637">
              <w:t>12.15</w:t>
            </w:r>
          </w:p>
        </w:tc>
        <w:tc>
          <w:tcPr>
            <w:tcW w:w="922" w:type="dxa"/>
            <w:vAlign w:val="center"/>
          </w:tcPr>
          <w:p w14:paraId="603C7819" w14:textId="77777777" w:rsidR="00BF6F04" w:rsidRPr="00124637" w:rsidRDefault="00BF6F04" w:rsidP="00945045">
            <w:pPr>
              <w:pStyle w:val="TableBody"/>
              <w:keepNext/>
              <w:keepLines/>
              <w:jc w:val="right"/>
              <w:rPr>
                <w:lang w:bidi="he-IL"/>
              </w:rPr>
            </w:pPr>
            <w:r w:rsidRPr="00124637">
              <w:t>6.81</w:t>
            </w:r>
          </w:p>
        </w:tc>
        <w:tc>
          <w:tcPr>
            <w:tcW w:w="921" w:type="dxa"/>
            <w:vAlign w:val="center"/>
          </w:tcPr>
          <w:p w14:paraId="0AD83AD1" w14:textId="77777777" w:rsidR="00BF6F04" w:rsidRPr="00124637" w:rsidRDefault="00BF6F04" w:rsidP="00945045">
            <w:pPr>
              <w:pStyle w:val="TableBody"/>
              <w:keepNext/>
              <w:keepLines/>
              <w:jc w:val="right"/>
              <w:rPr>
                <w:lang w:bidi="he-IL"/>
              </w:rPr>
            </w:pPr>
            <w:r w:rsidRPr="00124637">
              <w:t>6.41</w:t>
            </w:r>
          </w:p>
        </w:tc>
        <w:tc>
          <w:tcPr>
            <w:tcW w:w="921" w:type="dxa"/>
            <w:vAlign w:val="center"/>
          </w:tcPr>
          <w:p w14:paraId="24550E56" w14:textId="77777777" w:rsidR="00BF6F04" w:rsidRPr="00124637" w:rsidRDefault="00BF6F04" w:rsidP="00945045">
            <w:pPr>
              <w:pStyle w:val="TableBody"/>
              <w:keepNext/>
              <w:keepLines/>
              <w:jc w:val="right"/>
            </w:pPr>
            <w:r w:rsidRPr="00124637">
              <w:t>25.76</w:t>
            </w:r>
          </w:p>
        </w:tc>
        <w:tc>
          <w:tcPr>
            <w:tcW w:w="922" w:type="dxa"/>
            <w:vAlign w:val="center"/>
          </w:tcPr>
          <w:p w14:paraId="6E13CBBC" w14:textId="77777777" w:rsidR="00BF6F04" w:rsidRPr="00124637" w:rsidRDefault="00BF6F04" w:rsidP="00945045">
            <w:pPr>
              <w:pStyle w:val="TableBody"/>
              <w:keepNext/>
              <w:keepLines/>
              <w:jc w:val="right"/>
            </w:pPr>
            <w:r w:rsidRPr="00124637">
              <w:t>18.06</w:t>
            </w:r>
          </w:p>
        </w:tc>
      </w:tr>
    </w:tbl>
    <w:p w14:paraId="14F24014" w14:textId="77777777" w:rsidR="00E615FE" w:rsidRPr="00124637" w:rsidRDefault="00E615FE" w:rsidP="00945045">
      <w:pPr>
        <w:pStyle w:val="Heading3"/>
        <w:spacing w:before="240"/>
      </w:pPr>
      <w:bookmarkStart w:id="387" w:name="_Toc400018585"/>
      <w:bookmarkStart w:id="388" w:name="_Toc419122594"/>
      <w:bookmarkStart w:id="389" w:name="_Toc433703421"/>
      <w:r w:rsidRPr="00124637">
        <w:t>Captioning</w:t>
      </w:r>
      <w:bookmarkEnd w:id="387"/>
      <w:bookmarkEnd w:id="388"/>
      <w:bookmarkEnd w:id="389"/>
    </w:p>
    <w:p w14:paraId="2C910F24" w14:textId="77777777" w:rsidR="00E615FE" w:rsidRPr="00124637" w:rsidRDefault="00E615FE" w:rsidP="00E615FE">
      <w:pPr>
        <w:rPr>
          <w:rFonts w:cs="Arial"/>
        </w:rPr>
      </w:pPr>
      <w:r w:rsidRPr="00124637">
        <w:rPr>
          <w:rFonts w:cs="Arial"/>
        </w:rPr>
        <w:t xml:space="preserve">In September 2014, the ACMA received annual compliance reports on captioning obligations for national television broadcasters (the ABC and SBS), commercial television licensees and subscription television licensees. </w:t>
      </w:r>
    </w:p>
    <w:p w14:paraId="53FEA3AE" w14:textId="77777777" w:rsidR="00E615FE" w:rsidRPr="00124637" w:rsidRDefault="00E615FE" w:rsidP="00E615FE">
      <w:pPr>
        <w:spacing w:after="80"/>
        <w:rPr>
          <w:rFonts w:cs="Arial"/>
        </w:rPr>
      </w:pPr>
      <w:r w:rsidRPr="00124637">
        <w:rPr>
          <w:rFonts w:cs="Arial"/>
        </w:rPr>
        <w:t xml:space="preserve">The annual compliance reports indicated a high level of compliance with annual captioning target requirements during 2013–14, the second year for new television captioning obligations: </w:t>
      </w:r>
    </w:p>
    <w:p w14:paraId="6ADA2E9D" w14:textId="77777777" w:rsidR="00E615FE" w:rsidRPr="00124637" w:rsidRDefault="00E615FE" w:rsidP="00E615FE">
      <w:pPr>
        <w:pStyle w:val="ListBullet"/>
        <w:spacing w:after="60"/>
        <w:rPr>
          <w:rFonts w:cs="Arial"/>
        </w:rPr>
      </w:pPr>
      <w:r w:rsidRPr="00124637">
        <w:rPr>
          <w:rFonts w:cs="Arial"/>
        </w:rPr>
        <w:t>All 51 commercial television broadcasting licensees (involving 75 services) and SBS services (in 12 coverage areas) exceeded their annual captioning target requirements. In total, the 95 free-to-air (commercial and national) television services broadcast 573,352 hours of captioned television programs on their primary service</w:t>
      </w:r>
      <w:r w:rsidR="00945045" w:rsidRPr="00124637">
        <w:rPr>
          <w:rFonts w:cs="Arial"/>
        </w:rPr>
        <w:t>s in 2013–14 (6 am to midnight). This comprised</w:t>
      </w:r>
      <w:r w:rsidRPr="00124637">
        <w:rPr>
          <w:rFonts w:cs="Arial"/>
        </w:rPr>
        <w:t xml:space="preserve"> approximately 97 per cent of the programming broadcast during this period. </w:t>
      </w:r>
    </w:p>
    <w:p w14:paraId="4F3B2629" w14:textId="77777777" w:rsidR="00E615FE" w:rsidRPr="00124637" w:rsidRDefault="00E615FE" w:rsidP="00E615FE">
      <w:pPr>
        <w:pStyle w:val="ListBulletLast"/>
      </w:pPr>
      <w:r w:rsidRPr="00124637">
        <w:t>Ninety-nine per cent of subscription television services (656 out of 660) met their annual captioning target requirements. During the year, captioning services were required to be provided on 372 subscription television services (or 80 distinct subscription television channels—as the same channels provided by different licensees are treated as different services under the captioning legislation).</w:t>
      </w:r>
    </w:p>
    <w:p w14:paraId="2B33C6BE" w14:textId="77777777" w:rsidR="00E615FE" w:rsidRPr="00124637" w:rsidRDefault="00E615FE" w:rsidP="00BF6F04">
      <w:r w:rsidRPr="00124637">
        <w:t>However, some television service providers also reported breaches of their captioning obligations during 2013–14. All of the</w:t>
      </w:r>
      <w:r w:rsidR="00945045" w:rsidRPr="00124637">
        <w:t>se</w:t>
      </w:r>
      <w:r w:rsidRPr="00124637">
        <w:t xml:space="preserve"> providers have taken appropriate steps to prevent similar issues recurring, including resolving technical issues, enhancing procedures and undertaking staff training. </w:t>
      </w:r>
    </w:p>
    <w:p w14:paraId="7C5C2450" w14:textId="77777777" w:rsidR="00E615FE" w:rsidRPr="00124637" w:rsidRDefault="00945045" w:rsidP="00BF6F04">
      <w:r w:rsidRPr="00124637">
        <w:t>T</w:t>
      </w:r>
      <w:r w:rsidR="00E615FE" w:rsidRPr="00124637">
        <w:t>he ACMA</w:t>
      </w:r>
      <w:r w:rsidRPr="00124637">
        <w:rPr>
          <w:rFonts w:hint="eastAsia"/>
        </w:rPr>
        <w:t xml:space="preserve"> </w:t>
      </w:r>
      <w:r w:rsidR="00E615FE" w:rsidRPr="00124637">
        <w:t>did not take any</w:t>
      </w:r>
      <w:r w:rsidR="007341D9" w:rsidRPr="00124637">
        <w:t xml:space="preserve"> formal</w:t>
      </w:r>
      <w:r w:rsidR="00E615FE" w:rsidRPr="00124637">
        <w:t xml:space="preserve"> enforcement action </w:t>
      </w:r>
      <w:r w:rsidRPr="00124637">
        <w:t>for</w:t>
      </w:r>
      <w:r w:rsidR="00E615FE" w:rsidRPr="00124637">
        <w:t xml:space="preserve"> these matters</w:t>
      </w:r>
      <w:r w:rsidRPr="00124637">
        <w:t>. This</w:t>
      </w:r>
      <w:r w:rsidR="00E615FE" w:rsidRPr="00124637">
        <w:t xml:space="preserve"> is consistent with </w:t>
      </w:r>
      <w:r w:rsidRPr="00124637">
        <w:t>its</w:t>
      </w:r>
      <w:r w:rsidR="00E615FE" w:rsidRPr="00124637">
        <w:t xml:space="preserve"> comp</w:t>
      </w:r>
      <w:r w:rsidRPr="00124637">
        <w:t>liance and enforcement strategy—</w:t>
      </w:r>
      <w:r w:rsidR="00E615FE" w:rsidRPr="00124637">
        <w:t xml:space="preserve">a graduated and strategic risk-based approach that generally uses the minimum power or intervention necessary to achieve the desired result. </w:t>
      </w:r>
    </w:p>
    <w:p w14:paraId="75EA013A" w14:textId="77777777" w:rsidR="00E615FE" w:rsidRPr="00124637" w:rsidRDefault="00E615FE" w:rsidP="00BF6F04">
      <w:r w:rsidRPr="00124637">
        <w:t>Table </w:t>
      </w:r>
      <w:r w:rsidR="00945045" w:rsidRPr="00124637">
        <w:t>29</w:t>
      </w:r>
      <w:r w:rsidRPr="00124637">
        <w:t xml:space="preserve"> summarises the captioning breaches, excluding disregarded breaches.</w:t>
      </w:r>
      <w:r w:rsidRPr="00124637">
        <w:rPr>
          <w:rStyle w:val="FootnoteReference"/>
          <w:rFonts w:cs="Arial"/>
        </w:rPr>
        <w:footnoteReference w:id="8"/>
      </w:r>
      <w:r w:rsidRPr="00124637">
        <w:t xml:space="preserve"> </w:t>
      </w:r>
    </w:p>
    <w:p w14:paraId="403DAA9C" w14:textId="77777777" w:rsidR="00BF6F04" w:rsidRPr="00124637" w:rsidRDefault="00BF6F04" w:rsidP="0022095A">
      <w:pPr>
        <w:pStyle w:val="Caption"/>
        <w:keepNext/>
        <w:keepLines/>
        <w:spacing w:after="120"/>
        <w:rPr>
          <w:rFonts w:cs="Arial"/>
          <w:color w:val="auto"/>
        </w:rPr>
      </w:pPr>
      <w:r w:rsidRPr="00124637">
        <w:rPr>
          <w:color w:val="auto"/>
        </w:rPr>
        <w:lastRenderedPageBreak/>
        <w:t>Captioning breaches, 2013–14</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2589"/>
        <w:gridCol w:w="2590"/>
        <w:gridCol w:w="2590"/>
      </w:tblGrid>
      <w:tr w:rsidR="00BF6F04" w:rsidRPr="00E615FE" w14:paraId="4BD80993" w14:textId="77777777" w:rsidTr="0022095A">
        <w:trPr>
          <w:cantSplit/>
          <w:tblHeader/>
        </w:trPr>
        <w:tc>
          <w:tcPr>
            <w:tcW w:w="1737" w:type="dxa"/>
            <w:shd w:val="clear" w:color="auto" w:fill="404040" w:themeFill="text1" w:themeFillTint="BF"/>
          </w:tcPr>
          <w:p w14:paraId="18C6F04D" w14:textId="77777777" w:rsidR="00BF6F04" w:rsidRPr="00BF6F04" w:rsidRDefault="00BF6F04" w:rsidP="0022095A">
            <w:pPr>
              <w:pStyle w:val="TableHeading"/>
              <w:keepNext/>
              <w:keepLines/>
              <w:rPr>
                <w:color w:val="FFFFFF" w:themeColor="background1"/>
              </w:rPr>
            </w:pPr>
            <w:r w:rsidRPr="00BF6F04">
              <w:rPr>
                <w:color w:val="FFFFFF" w:themeColor="background1"/>
              </w:rPr>
              <w:t>Captioning obligations</w:t>
            </w:r>
          </w:p>
        </w:tc>
        <w:tc>
          <w:tcPr>
            <w:tcW w:w="2589" w:type="dxa"/>
            <w:shd w:val="clear" w:color="auto" w:fill="404040" w:themeFill="text1" w:themeFillTint="BF"/>
          </w:tcPr>
          <w:p w14:paraId="22FD7458" w14:textId="77777777" w:rsidR="00BF6F04" w:rsidRPr="00BF6F04" w:rsidRDefault="00BF6F04" w:rsidP="0022095A">
            <w:pPr>
              <w:pStyle w:val="TableHeading"/>
              <w:keepNext/>
              <w:keepLines/>
              <w:rPr>
                <w:color w:val="FFFFFF" w:themeColor="background1"/>
              </w:rPr>
            </w:pPr>
            <w:r w:rsidRPr="00BF6F04">
              <w:rPr>
                <w:color w:val="FFFFFF" w:themeColor="background1"/>
              </w:rPr>
              <w:t xml:space="preserve">Description of obligations </w:t>
            </w:r>
          </w:p>
        </w:tc>
        <w:tc>
          <w:tcPr>
            <w:tcW w:w="2590" w:type="dxa"/>
            <w:shd w:val="clear" w:color="auto" w:fill="404040" w:themeFill="text1" w:themeFillTint="BF"/>
          </w:tcPr>
          <w:p w14:paraId="70651A8C" w14:textId="77777777" w:rsidR="00BF6F04" w:rsidRPr="00BF6F04" w:rsidRDefault="00BF6F04" w:rsidP="0022095A">
            <w:pPr>
              <w:pStyle w:val="TableHeading"/>
              <w:keepNext/>
              <w:keepLines/>
              <w:rPr>
                <w:color w:val="FFFFFF" w:themeColor="background1"/>
              </w:rPr>
            </w:pPr>
            <w:r w:rsidRPr="00BF6F04">
              <w:rPr>
                <w:color w:val="FFFFFF" w:themeColor="background1"/>
              </w:rPr>
              <w:t>Free-to-air—</w:t>
            </w:r>
            <w:r w:rsidRPr="00BF6F04">
              <w:rPr>
                <w:color w:val="FFFFFF" w:themeColor="background1"/>
              </w:rPr>
              <w:br/>
              <w:t>number of services in breach</w:t>
            </w:r>
          </w:p>
        </w:tc>
        <w:tc>
          <w:tcPr>
            <w:tcW w:w="2590" w:type="dxa"/>
            <w:shd w:val="clear" w:color="auto" w:fill="404040" w:themeFill="text1" w:themeFillTint="BF"/>
          </w:tcPr>
          <w:p w14:paraId="71B8711B" w14:textId="77777777" w:rsidR="00BF6F04" w:rsidRPr="00BF6F04" w:rsidRDefault="00BF6F04" w:rsidP="0022095A">
            <w:pPr>
              <w:pStyle w:val="TableHeading"/>
              <w:keepNext/>
              <w:keepLines/>
              <w:rPr>
                <w:color w:val="FFFFFF" w:themeColor="background1"/>
              </w:rPr>
            </w:pPr>
            <w:r w:rsidRPr="00BF6F04">
              <w:rPr>
                <w:color w:val="FFFFFF" w:themeColor="background1"/>
              </w:rPr>
              <w:t>Subscription—number of services in breach</w:t>
            </w:r>
          </w:p>
        </w:tc>
      </w:tr>
      <w:tr w:rsidR="00BF6F04" w:rsidRPr="00E615FE" w14:paraId="435BAF01" w14:textId="77777777" w:rsidTr="000C4D7D">
        <w:trPr>
          <w:cantSplit/>
        </w:trPr>
        <w:tc>
          <w:tcPr>
            <w:tcW w:w="1737" w:type="dxa"/>
          </w:tcPr>
          <w:p w14:paraId="39F4347A" w14:textId="77777777" w:rsidR="00BF6F04" w:rsidRPr="00124637" w:rsidRDefault="00BF6F04" w:rsidP="0022095A">
            <w:pPr>
              <w:pStyle w:val="TableTextLeft"/>
              <w:keepNext/>
              <w:keepLines/>
              <w:rPr>
                <w:rFonts w:cs="Arial"/>
                <w:sz w:val="20"/>
              </w:rPr>
            </w:pPr>
            <w:r w:rsidRPr="00124637">
              <w:rPr>
                <w:rFonts w:cs="Arial"/>
                <w:sz w:val="20"/>
              </w:rPr>
              <w:t xml:space="preserve">Annual captioning target </w:t>
            </w:r>
          </w:p>
        </w:tc>
        <w:tc>
          <w:tcPr>
            <w:tcW w:w="2589" w:type="dxa"/>
            <w:shd w:val="clear" w:color="auto" w:fill="auto"/>
          </w:tcPr>
          <w:p w14:paraId="688E119F" w14:textId="77777777" w:rsidR="00BF6F04" w:rsidRPr="00124637" w:rsidRDefault="00661442" w:rsidP="0022095A">
            <w:pPr>
              <w:pStyle w:val="TableTextLeft"/>
              <w:keepNext/>
              <w:keepLines/>
              <w:rPr>
                <w:rFonts w:cs="Arial"/>
                <w:sz w:val="20"/>
              </w:rPr>
            </w:pPr>
            <w:r w:rsidRPr="00124637">
              <w:rPr>
                <w:rFonts w:cs="Arial"/>
                <w:sz w:val="20"/>
              </w:rPr>
              <w:t xml:space="preserve">Free-to-air: </w:t>
            </w:r>
            <w:r w:rsidR="00BF6F04" w:rsidRPr="00124637">
              <w:rPr>
                <w:rFonts w:cs="Arial"/>
                <w:sz w:val="20"/>
              </w:rPr>
              <w:t>95</w:t>
            </w:r>
            <w:r w:rsidRPr="00124637">
              <w:rPr>
                <w:rFonts w:cs="Arial"/>
                <w:sz w:val="20"/>
              </w:rPr>
              <w:t>%</w:t>
            </w:r>
            <w:r w:rsidR="00BF6F04" w:rsidRPr="00124637">
              <w:rPr>
                <w:rFonts w:cs="Arial"/>
                <w:sz w:val="20"/>
              </w:rPr>
              <w:t xml:space="preserve"> captioning 6 am to midnight across the year on primary services, with exceptions.</w:t>
            </w:r>
          </w:p>
          <w:p w14:paraId="2D46F0C8" w14:textId="77777777" w:rsidR="00BF6F04" w:rsidRPr="00124637" w:rsidRDefault="00BF6F04" w:rsidP="0022095A">
            <w:pPr>
              <w:pStyle w:val="TableTextLeft"/>
              <w:keepNext/>
              <w:keepLines/>
              <w:rPr>
                <w:rFonts w:cs="Arial"/>
                <w:sz w:val="20"/>
              </w:rPr>
            </w:pPr>
            <w:r w:rsidRPr="00124637">
              <w:rPr>
                <w:rFonts w:cs="Arial"/>
                <w:sz w:val="20"/>
              </w:rPr>
              <w:t>Subscription: from 5</w:t>
            </w:r>
            <w:r w:rsidR="00661442" w:rsidRPr="00124637">
              <w:rPr>
                <w:rFonts w:cs="Arial"/>
                <w:sz w:val="20"/>
              </w:rPr>
              <w:t>–70%</w:t>
            </w:r>
            <w:r w:rsidRPr="00124637">
              <w:rPr>
                <w:rFonts w:cs="Arial"/>
                <w:sz w:val="20"/>
              </w:rPr>
              <w:t xml:space="preserve"> captioning across the year depending on service category, with exceptions.</w:t>
            </w:r>
          </w:p>
          <w:p w14:paraId="158FF157" w14:textId="77777777" w:rsidR="00BF6F04" w:rsidRPr="00124637" w:rsidRDefault="00BF6F04" w:rsidP="0022095A">
            <w:pPr>
              <w:pStyle w:val="TableTextLeft"/>
              <w:keepNext/>
              <w:keepLines/>
              <w:rPr>
                <w:rFonts w:cs="Arial"/>
                <w:sz w:val="20"/>
              </w:rPr>
            </w:pPr>
            <w:r w:rsidRPr="00124637">
              <w:rPr>
                <w:rFonts w:cs="Arial"/>
                <w:sz w:val="20"/>
              </w:rPr>
              <w:t>(See notes below.)</w:t>
            </w:r>
          </w:p>
        </w:tc>
        <w:tc>
          <w:tcPr>
            <w:tcW w:w="2590" w:type="dxa"/>
          </w:tcPr>
          <w:p w14:paraId="4E2A516C" w14:textId="77777777" w:rsidR="00BF6F04" w:rsidRPr="00124637" w:rsidRDefault="00BF6F04" w:rsidP="0022095A">
            <w:pPr>
              <w:pStyle w:val="TableTextLeft"/>
              <w:keepNext/>
              <w:keepLines/>
              <w:rPr>
                <w:rFonts w:cs="Arial"/>
                <w:sz w:val="20"/>
              </w:rPr>
            </w:pPr>
            <w:r w:rsidRPr="00124637">
              <w:rPr>
                <w:rFonts w:cs="Arial"/>
                <w:sz w:val="20"/>
              </w:rPr>
              <w:t>Eight national services</w:t>
            </w:r>
            <w:r w:rsidR="00661442" w:rsidRPr="00124637">
              <w:rPr>
                <w:rFonts w:cs="Arial"/>
                <w:sz w:val="20"/>
              </w:rPr>
              <w:t>.</w:t>
            </w:r>
          </w:p>
          <w:p w14:paraId="48828CA0" w14:textId="77777777" w:rsidR="00BF6F04" w:rsidRPr="00124637" w:rsidRDefault="00BF6F04" w:rsidP="0022095A">
            <w:pPr>
              <w:pStyle w:val="TableTextLeft"/>
              <w:keepNext/>
              <w:keepLines/>
              <w:rPr>
                <w:rFonts w:cs="Arial"/>
                <w:sz w:val="20"/>
              </w:rPr>
            </w:pPr>
            <w:r w:rsidRPr="00124637">
              <w:rPr>
                <w:rFonts w:cs="Arial"/>
                <w:sz w:val="20"/>
              </w:rPr>
              <w:t xml:space="preserve">One national broadcaster was approximately </w:t>
            </w:r>
            <w:r w:rsidR="00661442" w:rsidRPr="00124637">
              <w:rPr>
                <w:rFonts w:cs="Arial"/>
                <w:sz w:val="20"/>
              </w:rPr>
              <w:t>1%</w:t>
            </w:r>
            <w:r w:rsidRPr="00124637">
              <w:rPr>
                <w:rFonts w:cs="Arial"/>
                <w:sz w:val="20"/>
              </w:rPr>
              <w:t xml:space="preserve"> under the target for its services in eight coverage areas, as one music program was not captioned until June 2014</w:t>
            </w:r>
            <w:r w:rsidR="00661442" w:rsidRPr="00124637">
              <w:rPr>
                <w:rFonts w:cs="Arial"/>
                <w:sz w:val="20"/>
              </w:rPr>
              <w:t>.</w:t>
            </w:r>
            <w:r w:rsidRPr="00124637">
              <w:rPr>
                <w:rFonts w:cs="Arial"/>
                <w:sz w:val="20"/>
              </w:rPr>
              <w:t xml:space="preserve"> </w:t>
            </w:r>
          </w:p>
        </w:tc>
        <w:tc>
          <w:tcPr>
            <w:tcW w:w="2590" w:type="dxa"/>
          </w:tcPr>
          <w:p w14:paraId="5359C1A5" w14:textId="77777777" w:rsidR="00BF6F04" w:rsidRPr="00124637" w:rsidRDefault="00BF6F04" w:rsidP="0022095A">
            <w:pPr>
              <w:pStyle w:val="TableTextLeft"/>
              <w:keepNext/>
              <w:keepLines/>
              <w:rPr>
                <w:rFonts w:cs="Arial"/>
                <w:sz w:val="20"/>
              </w:rPr>
            </w:pPr>
            <w:r w:rsidRPr="00124637">
              <w:rPr>
                <w:rFonts w:cs="Arial"/>
                <w:sz w:val="20"/>
              </w:rPr>
              <w:t>Four services</w:t>
            </w:r>
            <w:r w:rsidR="00661442" w:rsidRPr="00124637">
              <w:rPr>
                <w:rFonts w:cs="Arial"/>
                <w:sz w:val="20"/>
              </w:rPr>
              <w:t>.</w:t>
            </w:r>
          </w:p>
          <w:p w14:paraId="3566C9E2" w14:textId="77777777" w:rsidR="00BF6F04" w:rsidRPr="00124637" w:rsidRDefault="00BF6F04" w:rsidP="0022095A">
            <w:pPr>
              <w:pStyle w:val="TableTextLeft"/>
              <w:keepNext/>
              <w:keepLines/>
              <w:rPr>
                <w:rFonts w:cs="Arial"/>
                <w:sz w:val="20"/>
              </w:rPr>
            </w:pPr>
            <w:r w:rsidRPr="00124637">
              <w:rPr>
                <w:rFonts w:cs="Arial"/>
                <w:sz w:val="20"/>
              </w:rPr>
              <w:t xml:space="preserve">One licensee was </w:t>
            </w:r>
            <w:r w:rsidR="00661442" w:rsidRPr="00124637">
              <w:rPr>
                <w:rFonts w:cs="Arial"/>
                <w:sz w:val="20"/>
              </w:rPr>
              <w:t xml:space="preserve">1–8% </w:t>
            </w:r>
            <w:r w:rsidRPr="00124637">
              <w:rPr>
                <w:rFonts w:cs="Arial"/>
                <w:sz w:val="20"/>
              </w:rPr>
              <w:t>under the various targets f</w:t>
            </w:r>
            <w:r w:rsidR="00C831B5" w:rsidRPr="00124637">
              <w:rPr>
                <w:rFonts w:cs="Arial"/>
                <w:sz w:val="20"/>
              </w:rPr>
              <w:t xml:space="preserve">or four of its services due to </w:t>
            </w:r>
            <w:r w:rsidRPr="00124637">
              <w:rPr>
                <w:rFonts w:cs="Arial"/>
                <w:sz w:val="20"/>
              </w:rPr>
              <w:t>unanticipated issues</w:t>
            </w:r>
            <w:r w:rsidR="00661442" w:rsidRPr="00124637">
              <w:rPr>
                <w:rFonts w:cs="Arial"/>
                <w:sz w:val="20"/>
              </w:rPr>
              <w:t>.</w:t>
            </w:r>
          </w:p>
        </w:tc>
      </w:tr>
      <w:tr w:rsidR="00BF6F04" w:rsidRPr="00E615FE" w14:paraId="1A8C4B23" w14:textId="77777777" w:rsidTr="000C4D7D">
        <w:trPr>
          <w:cantSplit/>
        </w:trPr>
        <w:tc>
          <w:tcPr>
            <w:tcW w:w="1737" w:type="dxa"/>
          </w:tcPr>
          <w:p w14:paraId="2F559347" w14:textId="77777777" w:rsidR="00BF6F04" w:rsidRPr="00124637" w:rsidRDefault="00BF6F04" w:rsidP="00BF6F04">
            <w:pPr>
              <w:pStyle w:val="TableTextLeft"/>
              <w:keepLines/>
              <w:rPr>
                <w:rFonts w:cs="Arial"/>
                <w:sz w:val="20"/>
              </w:rPr>
            </w:pPr>
            <w:r w:rsidRPr="00124637">
              <w:rPr>
                <w:rFonts w:cs="Arial"/>
                <w:sz w:val="20"/>
              </w:rPr>
              <w:t xml:space="preserve">Emergency warnings </w:t>
            </w:r>
          </w:p>
        </w:tc>
        <w:tc>
          <w:tcPr>
            <w:tcW w:w="2589" w:type="dxa"/>
          </w:tcPr>
          <w:p w14:paraId="00FFE370" w14:textId="77777777" w:rsidR="00BF6F04" w:rsidRPr="00124637" w:rsidRDefault="00BF6F04" w:rsidP="00BF6F04">
            <w:pPr>
              <w:pStyle w:val="TableTextLeft"/>
              <w:keepLines/>
              <w:rPr>
                <w:rFonts w:cs="Arial"/>
                <w:sz w:val="20"/>
              </w:rPr>
            </w:pPr>
            <w:r w:rsidRPr="00124637">
              <w:rPr>
                <w:rFonts w:cs="Arial"/>
                <w:sz w:val="20"/>
              </w:rPr>
              <w:t>Transmit emergency warnings in text and speech and, if practicable, with captioning.</w:t>
            </w:r>
          </w:p>
        </w:tc>
        <w:tc>
          <w:tcPr>
            <w:tcW w:w="2590" w:type="dxa"/>
          </w:tcPr>
          <w:p w14:paraId="73C4EE97" w14:textId="77777777" w:rsidR="00BF6F04" w:rsidRPr="00124637" w:rsidRDefault="00BF6F04" w:rsidP="00BF6F04">
            <w:pPr>
              <w:pStyle w:val="TableTextLeft"/>
              <w:keepLines/>
              <w:rPr>
                <w:rFonts w:cs="Arial"/>
                <w:sz w:val="20"/>
              </w:rPr>
            </w:pPr>
            <w:r w:rsidRPr="00124637">
              <w:rPr>
                <w:rFonts w:cs="Arial"/>
                <w:sz w:val="20"/>
              </w:rPr>
              <w:t>0</w:t>
            </w:r>
          </w:p>
        </w:tc>
        <w:tc>
          <w:tcPr>
            <w:tcW w:w="2590" w:type="dxa"/>
          </w:tcPr>
          <w:p w14:paraId="65020BD1" w14:textId="77777777" w:rsidR="00BF6F04" w:rsidRPr="00124637" w:rsidRDefault="00BF6F04" w:rsidP="00BF6F04">
            <w:pPr>
              <w:pStyle w:val="TableTextLeft"/>
              <w:keepLines/>
              <w:rPr>
                <w:rFonts w:cs="Arial"/>
                <w:sz w:val="20"/>
              </w:rPr>
            </w:pPr>
            <w:r w:rsidRPr="00124637">
              <w:rPr>
                <w:rFonts w:cs="Arial"/>
                <w:sz w:val="20"/>
              </w:rPr>
              <w:t>0</w:t>
            </w:r>
          </w:p>
        </w:tc>
      </w:tr>
      <w:tr w:rsidR="00BF6F04" w:rsidRPr="00E615FE" w14:paraId="411AB843" w14:textId="77777777" w:rsidTr="000C4D7D">
        <w:trPr>
          <w:cantSplit/>
        </w:trPr>
        <w:tc>
          <w:tcPr>
            <w:tcW w:w="1737" w:type="dxa"/>
          </w:tcPr>
          <w:p w14:paraId="132B3B02" w14:textId="77777777" w:rsidR="00BF6F04" w:rsidRPr="00124637" w:rsidRDefault="00BF6F04" w:rsidP="00800C4D">
            <w:pPr>
              <w:pStyle w:val="TableTextLeft"/>
              <w:rPr>
                <w:rFonts w:cs="Arial"/>
                <w:sz w:val="20"/>
              </w:rPr>
            </w:pPr>
            <w:r w:rsidRPr="00124637">
              <w:rPr>
                <w:rFonts w:cs="Arial"/>
                <w:sz w:val="20"/>
              </w:rPr>
              <w:t>Basic rule—designated viewing hours (free-to-air)</w:t>
            </w:r>
          </w:p>
        </w:tc>
        <w:tc>
          <w:tcPr>
            <w:tcW w:w="2589" w:type="dxa"/>
          </w:tcPr>
          <w:p w14:paraId="7C838587" w14:textId="77777777" w:rsidR="00BF6F04" w:rsidRPr="00124637" w:rsidRDefault="00BF6F04" w:rsidP="00800C4D">
            <w:pPr>
              <w:pStyle w:val="TableTextLeft"/>
              <w:rPr>
                <w:rFonts w:cs="Arial"/>
                <w:sz w:val="20"/>
              </w:rPr>
            </w:pPr>
            <w:r w:rsidRPr="00124637">
              <w:rPr>
                <w:rFonts w:cs="Arial"/>
                <w:sz w:val="20"/>
              </w:rPr>
              <w:t>Caption all programming between 6 pm and 10.30 pm each day (designated viewing hours) on primary service.</w:t>
            </w:r>
          </w:p>
        </w:tc>
        <w:tc>
          <w:tcPr>
            <w:tcW w:w="2590" w:type="dxa"/>
            <w:shd w:val="clear" w:color="auto" w:fill="auto"/>
          </w:tcPr>
          <w:p w14:paraId="5CA68906" w14:textId="77777777" w:rsidR="00BF6F04" w:rsidRPr="00124637" w:rsidRDefault="00BF6F04" w:rsidP="00800C4D">
            <w:pPr>
              <w:pStyle w:val="TableTextLeft"/>
              <w:rPr>
                <w:rFonts w:cs="Arial"/>
                <w:sz w:val="20"/>
              </w:rPr>
            </w:pPr>
            <w:r w:rsidRPr="00124637">
              <w:rPr>
                <w:rFonts w:cs="Arial"/>
                <w:sz w:val="20"/>
              </w:rPr>
              <w:t>20 nati</w:t>
            </w:r>
            <w:r w:rsidR="000C4D7D" w:rsidRPr="00124637">
              <w:rPr>
                <w:rFonts w:cs="Arial"/>
                <w:sz w:val="20"/>
              </w:rPr>
              <w:t>onal services and 42 commercial-</w:t>
            </w:r>
            <w:r w:rsidRPr="00124637">
              <w:rPr>
                <w:rFonts w:cs="Arial"/>
                <w:sz w:val="20"/>
              </w:rPr>
              <w:t>licensed services</w:t>
            </w:r>
            <w:r w:rsidR="00661442" w:rsidRPr="00124637">
              <w:rPr>
                <w:rFonts w:cs="Arial"/>
                <w:sz w:val="20"/>
              </w:rPr>
              <w:t>.</w:t>
            </w:r>
          </w:p>
          <w:p w14:paraId="7BE3841E" w14:textId="77777777" w:rsidR="00BF6F04" w:rsidRPr="00124637" w:rsidRDefault="00BF6F04" w:rsidP="00800C4D">
            <w:pPr>
              <w:pStyle w:val="TableTextLeft"/>
              <w:rPr>
                <w:rFonts w:cs="Arial"/>
                <w:sz w:val="20"/>
              </w:rPr>
            </w:pPr>
            <w:r w:rsidRPr="00124637">
              <w:rPr>
                <w:rFonts w:cs="Arial"/>
                <w:sz w:val="20"/>
              </w:rPr>
              <w:t>Average tot</w:t>
            </w:r>
            <w:r w:rsidR="00661442" w:rsidRPr="00124637">
              <w:rPr>
                <w:rFonts w:cs="Arial"/>
                <w:sz w:val="20"/>
              </w:rPr>
              <w:t>al duration of breaches per non</w:t>
            </w:r>
            <w:r w:rsidR="00661442" w:rsidRPr="00124637">
              <w:rPr>
                <w:rFonts w:cs="Arial"/>
                <w:sz w:val="20"/>
              </w:rPr>
              <w:noBreakHyphen/>
            </w:r>
            <w:r w:rsidRPr="00124637">
              <w:rPr>
                <w:rFonts w:cs="Arial"/>
                <w:sz w:val="20"/>
              </w:rPr>
              <w:t>compliant service was approximately</w:t>
            </w:r>
            <w:r w:rsidRPr="00124637">
              <w:rPr>
                <w:rFonts w:cs="Arial" w:hint="eastAsia"/>
                <w:sz w:val="20"/>
              </w:rPr>
              <w:t> </w:t>
            </w:r>
            <w:r w:rsidR="00661442" w:rsidRPr="00124637">
              <w:rPr>
                <w:rFonts w:cs="Arial"/>
                <w:sz w:val="20"/>
              </w:rPr>
              <w:t>30 minutes (0.03%</w:t>
            </w:r>
            <w:r w:rsidRPr="00124637">
              <w:rPr>
                <w:rFonts w:cs="Arial"/>
                <w:sz w:val="20"/>
              </w:rPr>
              <w:t xml:space="preserve"> of the</w:t>
            </w:r>
            <w:r w:rsidR="00661442" w:rsidRPr="00124637">
              <w:rPr>
                <w:rFonts w:cs="Arial" w:hint="eastAsia"/>
                <w:sz w:val="20"/>
              </w:rPr>
              <w:t xml:space="preserve"> </w:t>
            </w:r>
            <w:r w:rsidRPr="00124637">
              <w:rPr>
                <w:rFonts w:cs="Arial"/>
                <w:sz w:val="20"/>
              </w:rPr>
              <w:t>designated viewing hours in the year)</w:t>
            </w:r>
            <w:r w:rsidR="00661442" w:rsidRPr="00124637">
              <w:rPr>
                <w:rFonts w:cs="Arial"/>
                <w:sz w:val="20"/>
              </w:rPr>
              <w:t>.</w:t>
            </w:r>
          </w:p>
        </w:tc>
        <w:tc>
          <w:tcPr>
            <w:tcW w:w="2590" w:type="dxa"/>
          </w:tcPr>
          <w:p w14:paraId="6250640A" w14:textId="77777777" w:rsidR="00BF6F04" w:rsidRPr="00124637" w:rsidRDefault="00BF6F04" w:rsidP="00800C4D">
            <w:pPr>
              <w:pStyle w:val="TableTextLeft"/>
              <w:rPr>
                <w:rFonts w:cs="Arial"/>
                <w:sz w:val="20"/>
              </w:rPr>
            </w:pPr>
            <w:r w:rsidRPr="00124637">
              <w:rPr>
                <w:rFonts w:cs="Arial"/>
                <w:sz w:val="20"/>
              </w:rPr>
              <w:t>n/a</w:t>
            </w:r>
          </w:p>
        </w:tc>
      </w:tr>
      <w:tr w:rsidR="00BF6F04" w:rsidRPr="00E615FE" w14:paraId="7BEC3F2C" w14:textId="77777777" w:rsidTr="000C4D7D">
        <w:trPr>
          <w:cantSplit/>
        </w:trPr>
        <w:tc>
          <w:tcPr>
            <w:tcW w:w="1737" w:type="dxa"/>
          </w:tcPr>
          <w:p w14:paraId="391BBA02" w14:textId="77777777" w:rsidR="00BF6F04" w:rsidRPr="00124637" w:rsidRDefault="00BF6F04" w:rsidP="00800C4D">
            <w:pPr>
              <w:pStyle w:val="TableTextLeft"/>
              <w:rPr>
                <w:rFonts w:cs="Arial"/>
                <w:sz w:val="20"/>
              </w:rPr>
            </w:pPr>
            <w:r w:rsidRPr="00124637">
              <w:rPr>
                <w:rFonts w:cs="Arial"/>
                <w:sz w:val="20"/>
              </w:rPr>
              <w:t>Basic rule—news and current affairs (free-to-air)</w:t>
            </w:r>
          </w:p>
        </w:tc>
        <w:tc>
          <w:tcPr>
            <w:tcW w:w="2589" w:type="dxa"/>
          </w:tcPr>
          <w:p w14:paraId="77BBA621" w14:textId="77777777" w:rsidR="00BF6F04" w:rsidRPr="00124637" w:rsidRDefault="00BF6F04" w:rsidP="00800C4D">
            <w:pPr>
              <w:pStyle w:val="TableTextLeft"/>
              <w:rPr>
                <w:rFonts w:cs="Arial"/>
                <w:sz w:val="20"/>
              </w:rPr>
            </w:pPr>
            <w:r w:rsidRPr="00124637">
              <w:rPr>
                <w:rFonts w:cs="Arial"/>
                <w:sz w:val="20"/>
              </w:rPr>
              <w:t>Caption all news and current affairs outside designated viewing hours on primary service.</w:t>
            </w:r>
          </w:p>
        </w:tc>
        <w:tc>
          <w:tcPr>
            <w:tcW w:w="2590" w:type="dxa"/>
          </w:tcPr>
          <w:p w14:paraId="74E14429" w14:textId="77777777" w:rsidR="00BF6F04" w:rsidRPr="00124637" w:rsidRDefault="00BF6F04" w:rsidP="00800C4D">
            <w:pPr>
              <w:pStyle w:val="TableTextLeft"/>
              <w:rPr>
                <w:rFonts w:cs="Arial"/>
                <w:sz w:val="20"/>
              </w:rPr>
            </w:pPr>
            <w:r w:rsidRPr="00124637">
              <w:rPr>
                <w:rFonts w:cs="Arial"/>
                <w:sz w:val="20"/>
              </w:rPr>
              <w:t>20 nati</w:t>
            </w:r>
            <w:r w:rsidR="000C4D7D" w:rsidRPr="00124637">
              <w:rPr>
                <w:rFonts w:cs="Arial"/>
                <w:sz w:val="20"/>
              </w:rPr>
              <w:t>onal services and 39 commercial-</w:t>
            </w:r>
            <w:r w:rsidRPr="00124637">
              <w:rPr>
                <w:rFonts w:cs="Arial"/>
                <w:sz w:val="20"/>
              </w:rPr>
              <w:t>licensed services</w:t>
            </w:r>
            <w:r w:rsidR="000C4D7D" w:rsidRPr="00124637">
              <w:rPr>
                <w:rFonts w:cs="Arial"/>
                <w:sz w:val="20"/>
              </w:rPr>
              <w:t>.</w:t>
            </w:r>
          </w:p>
          <w:p w14:paraId="0100C29F" w14:textId="77777777" w:rsidR="00BF6F04" w:rsidRPr="00124637" w:rsidRDefault="00BF6F04" w:rsidP="00800C4D">
            <w:pPr>
              <w:pStyle w:val="TableTextLeft"/>
              <w:rPr>
                <w:rFonts w:cs="Arial"/>
                <w:sz w:val="20"/>
              </w:rPr>
            </w:pPr>
            <w:r w:rsidRPr="00124637">
              <w:rPr>
                <w:rFonts w:cs="Arial"/>
                <w:sz w:val="20"/>
              </w:rPr>
              <w:t>Average tot</w:t>
            </w:r>
            <w:r w:rsidR="000C4D7D" w:rsidRPr="00124637">
              <w:rPr>
                <w:rFonts w:cs="Arial"/>
                <w:sz w:val="20"/>
              </w:rPr>
              <w:t>al duration of breaches per non</w:t>
            </w:r>
            <w:r w:rsidR="000C4D7D" w:rsidRPr="00124637">
              <w:rPr>
                <w:rFonts w:cs="Arial"/>
                <w:sz w:val="20"/>
              </w:rPr>
              <w:noBreakHyphen/>
            </w:r>
            <w:r w:rsidRPr="00124637">
              <w:rPr>
                <w:rFonts w:cs="Arial"/>
                <w:sz w:val="20"/>
              </w:rPr>
              <w:t>compliant service was approximately 35 minutes in the year</w:t>
            </w:r>
            <w:r w:rsidR="000C4D7D" w:rsidRPr="00124637">
              <w:rPr>
                <w:rFonts w:cs="Arial"/>
                <w:sz w:val="20"/>
              </w:rPr>
              <w:t>.</w:t>
            </w:r>
          </w:p>
        </w:tc>
        <w:tc>
          <w:tcPr>
            <w:tcW w:w="2590" w:type="dxa"/>
          </w:tcPr>
          <w:p w14:paraId="15370CA1" w14:textId="77777777" w:rsidR="00BF6F04" w:rsidRPr="00124637" w:rsidRDefault="00BF6F04" w:rsidP="00800C4D">
            <w:pPr>
              <w:pStyle w:val="TableTextLeft"/>
              <w:rPr>
                <w:rFonts w:cs="Arial"/>
                <w:sz w:val="20"/>
              </w:rPr>
            </w:pPr>
            <w:r w:rsidRPr="00124637">
              <w:rPr>
                <w:rFonts w:cs="Arial"/>
                <w:sz w:val="20"/>
              </w:rPr>
              <w:t>n/a</w:t>
            </w:r>
          </w:p>
        </w:tc>
      </w:tr>
      <w:tr w:rsidR="00BF6F04" w:rsidRPr="00E615FE" w14:paraId="78E627E9" w14:textId="77777777" w:rsidTr="000C4D7D">
        <w:trPr>
          <w:cantSplit/>
        </w:trPr>
        <w:tc>
          <w:tcPr>
            <w:tcW w:w="1737" w:type="dxa"/>
          </w:tcPr>
          <w:p w14:paraId="314079A7" w14:textId="77777777" w:rsidR="00BF6F04" w:rsidRPr="00124637" w:rsidRDefault="00BF6F04" w:rsidP="00800C4D">
            <w:pPr>
              <w:pStyle w:val="TableTextLeft"/>
              <w:rPr>
                <w:rFonts w:cs="Arial"/>
                <w:sz w:val="20"/>
              </w:rPr>
            </w:pPr>
            <w:r w:rsidRPr="00124637">
              <w:rPr>
                <w:rFonts w:cs="Arial"/>
                <w:sz w:val="20"/>
              </w:rPr>
              <w:t>Multi-channel (free-to-air)</w:t>
            </w:r>
          </w:p>
        </w:tc>
        <w:tc>
          <w:tcPr>
            <w:tcW w:w="2589" w:type="dxa"/>
          </w:tcPr>
          <w:p w14:paraId="1187C4E0" w14:textId="77777777" w:rsidR="00BF6F04" w:rsidRPr="00124637" w:rsidRDefault="00BF6F04" w:rsidP="00800C4D">
            <w:pPr>
              <w:pStyle w:val="TableTextLeft"/>
              <w:rPr>
                <w:rFonts w:cs="Arial"/>
                <w:sz w:val="20"/>
              </w:rPr>
            </w:pPr>
            <w:r w:rsidRPr="00124637">
              <w:rPr>
                <w:rFonts w:cs="Arial"/>
                <w:sz w:val="20"/>
              </w:rPr>
              <w:t>Caption repeated programs on a multi-channel if those programs have previously been broadcast with captioning on the broadcaster’s primary service in the licence or coverage area.</w:t>
            </w:r>
          </w:p>
        </w:tc>
        <w:tc>
          <w:tcPr>
            <w:tcW w:w="2590" w:type="dxa"/>
          </w:tcPr>
          <w:p w14:paraId="20988A9C" w14:textId="77777777" w:rsidR="00BF6F04" w:rsidRPr="00124637" w:rsidRDefault="00BF6F04" w:rsidP="00800C4D">
            <w:pPr>
              <w:pStyle w:val="TableTextLeft"/>
              <w:rPr>
                <w:rFonts w:cs="Arial"/>
                <w:sz w:val="20"/>
              </w:rPr>
            </w:pPr>
            <w:r w:rsidRPr="00124637">
              <w:rPr>
                <w:rFonts w:cs="Arial"/>
                <w:sz w:val="20"/>
              </w:rPr>
              <w:t>15 commerci</w:t>
            </w:r>
            <w:r w:rsidR="000C4D7D" w:rsidRPr="00124637">
              <w:rPr>
                <w:rFonts w:cs="Arial"/>
                <w:sz w:val="20"/>
              </w:rPr>
              <w:t>al-</w:t>
            </w:r>
            <w:r w:rsidRPr="00124637">
              <w:rPr>
                <w:rFonts w:cs="Arial"/>
                <w:sz w:val="20"/>
              </w:rPr>
              <w:t>licensed services</w:t>
            </w:r>
            <w:r w:rsidR="000C4D7D" w:rsidRPr="00124637">
              <w:rPr>
                <w:rFonts w:cs="Arial"/>
                <w:sz w:val="20"/>
              </w:rPr>
              <w:t>.</w:t>
            </w:r>
          </w:p>
          <w:p w14:paraId="170A5638" w14:textId="77777777" w:rsidR="00BF6F04" w:rsidRPr="00124637" w:rsidRDefault="00BF6F04" w:rsidP="00800C4D">
            <w:pPr>
              <w:pStyle w:val="TableTextLeft"/>
              <w:rPr>
                <w:rFonts w:cs="Arial"/>
                <w:sz w:val="20"/>
              </w:rPr>
            </w:pPr>
            <w:r w:rsidRPr="00124637">
              <w:rPr>
                <w:rFonts w:cs="Arial"/>
                <w:sz w:val="20"/>
              </w:rPr>
              <w:t>Average tot</w:t>
            </w:r>
            <w:r w:rsidR="000C4D7D" w:rsidRPr="00124637">
              <w:rPr>
                <w:rFonts w:cs="Arial"/>
                <w:sz w:val="20"/>
              </w:rPr>
              <w:t>al duration of breaches per non</w:t>
            </w:r>
            <w:r w:rsidR="000C4D7D" w:rsidRPr="00124637">
              <w:rPr>
                <w:rFonts w:cs="Arial"/>
                <w:sz w:val="20"/>
              </w:rPr>
              <w:noBreakHyphen/>
            </w:r>
            <w:r w:rsidRPr="00124637">
              <w:rPr>
                <w:rFonts w:cs="Arial"/>
                <w:sz w:val="20"/>
              </w:rPr>
              <w:t>compliant service was approximately 41 minutes in the year</w:t>
            </w:r>
            <w:r w:rsidR="000C4D7D" w:rsidRPr="00124637">
              <w:rPr>
                <w:rFonts w:cs="Arial"/>
                <w:sz w:val="20"/>
              </w:rPr>
              <w:t>.</w:t>
            </w:r>
          </w:p>
        </w:tc>
        <w:tc>
          <w:tcPr>
            <w:tcW w:w="2590" w:type="dxa"/>
          </w:tcPr>
          <w:p w14:paraId="029A6A21" w14:textId="77777777" w:rsidR="00BF6F04" w:rsidRPr="00124637" w:rsidRDefault="00BF6F04" w:rsidP="00800C4D">
            <w:pPr>
              <w:pStyle w:val="TableTextLeft"/>
              <w:rPr>
                <w:rFonts w:cs="Arial"/>
                <w:sz w:val="20"/>
              </w:rPr>
            </w:pPr>
            <w:r w:rsidRPr="00124637">
              <w:rPr>
                <w:rFonts w:cs="Arial"/>
                <w:sz w:val="20"/>
              </w:rPr>
              <w:t>n/a</w:t>
            </w:r>
          </w:p>
        </w:tc>
      </w:tr>
      <w:tr w:rsidR="00BF6F04" w:rsidRPr="00E615FE" w14:paraId="0381F211" w14:textId="77777777" w:rsidTr="000C4D7D">
        <w:trPr>
          <w:cantSplit/>
        </w:trPr>
        <w:tc>
          <w:tcPr>
            <w:tcW w:w="1737" w:type="dxa"/>
          </w:tcPr>
          <w:p w14:paraId="30961121" w14:textId="77777777" w:rsidR="00BF6F04" w:rsidRPr="00124637" w:rsidRDefault="00BF6F04" w:rsidP="00800C4D">
            <w:pPr>
              <w:pStyle w:val="TableTextLeft"/>
              <w:rPr>
                <w:rFonts w:cs="Arial"/>
                <w:sz w:val="20"/>
              </w:rPr>
            </w:pPr>
            <w:r w:rsidRPr="00124637">
              <w:rPr>
                <w:rFonts w:cs="Arial"/>
                <w:sz w:val="20"/>
              </w:rPr>
              <w:t>Simulcast programming (subscription)</w:t>
            </w:r>
          </w:p>
        </w:tc>
        <w:tc>
          <w:tcPr>
            <w:tcW w:w="2589" w:type="dxa"/>
          </w:tcPr>
          <w:p w14:paraId="081BF6BC" w14:textId="77777777" w:rsidR="00BF6F04" w:rsidRPr="00124637" w:rsidRDefault="00BF6F04" w:rsidP="00800C4D">
            <w:pPr>
              <w:pStyle w:val="TableTextLeft"/>
              <w:rPr>
                <w:rFonts w:cs="Arial"/>
                <w:sz w:val="20"/>
              </w:rPr>
            </w:pPr>
            <w:r w:rsidRPr="00124637">
              <w:rPr>
                <w:rFonts w:cs="Arial"/>
                <w:sz w:val="20"/>
              </w:rPr>
              <w:t>Caption simulcast programs on the second service if the programs are simultaneously transmitted with captioning on the first service.</w:t>
            </w:r>
          </w:p>
        </w:tc>
        <w:tc>
          <w:tcPr>
            <w:tcW w:w="2590" w:type="dxa"/>
          </w:tcPr>
          <w:p w14:paraId="33D5324F" w14:textId="77777777" w:rsidR="00BF6F04" w:rsidRPr="00124637" w:rsidRDefault="00BF6F04" w:rsidP="00800C4D">
            <w:pPr>
              <w:pStyle w:val="TableTextLeft"/>
              <w:rPr>
                <w:rFonts w:cs="Arial"/>
                <w:sz w:val="20"/>
              </w:rPr>
            </w:pPr>
            <w:r w:rsidRPr="00124637">
              <w:rPr>
                <w:rFonts w:cs="Arial"/>
                <w:sz w:val="20"/>
              </w:rPr>
              <w:t>n/a</w:t>
            </w:r>
          </w:p>
        </w:tc>
        <w:tc>
          <w:tcPr>
            <w:tcW w:w="2590" w:type="dxa"/>
          </w:tcPr>
          <w:p w14:paraId="14F7DA64" w14:textId="77777777" w:rsidR="00BF6F04" w:rsidRPr="00124637" w:rsidRDefault="00BF6F04" w:rsidP="00800C4D">
            <w:pPr>
              <w:pStyle w:val="TableTextLeft"/>
              <w:rPr>
                <w:rFonts w:cs="Arial"/>
                <w:sz w:val="20"/>
              </w:rPr>
            </w:pPr>
            <w:r w:rsidRPr="00124637">
              <w:rPr>
                <w:rFonts w:cs="Arial"/>
                <w:sz w:val="20"/>
              </w:rPr>
              <w:t>15 services (three distinct channels involved)</w:t>
            </w:r>
          </w:p>
        </w:tc>
      </w:tr>
      <w:tr w:rsidR="00124637" w:rsidRPr="00124637" w14:paraId="2522DF5C" w14:textId="77777777" w:rsidTr="000C4D7D">
        <w:trPr>
          <w:cantSplit/>
        </w:trPr>
        <w:tc>
          <w:tcPr>
            <w:tcW w:w="1737" w:type="dxa"/>
          </w:tcPr>
          <w:p w14:paraId="2B303172" w14:textId="77777777" w:rsidR="00BF6F04" w:rsidRPr="00124637" w:rsidRDefault="00BF6F04" w:rsidP="00800C4D">
            <w:pPr>
              <w:pStyle w:val="TableTextLeft"/>
              <w:rPr>
                <w:rFonts w:cs="Arial"/>
                <w:sz w:val="20"/>
              </w:rPr>
            </w:pPr>
            <w:r w:rsidRPr="00124637">
              <w:rPr>
                <w:rFonts w:cs="Arial"/>
                <w:sz w:val="20"/>
              </w:rPr>
              <w:lastRenderedPageBreak/>
              <w:t>Repeat programming (subscription)</w:t>
            </w:r>
          </w:p>
        </w:tc>
        <w:tc>
          <w:tcPr>
            <w:tcW w:w="2589" w:type="dxa"/>
          </w:tcPr>
          <w:p w14:paraId="72E5AFE3" w14:textId="77777777" w:rsidR="00BF6F04" w:rsidRPr="00124637" w:rsidRDefault="00BF6F04" w:rsidP="00800C4D">
            <w:pPr>
              <w:pStyle w:val="TableTextLeft"/>
              <w:rPr>
                <w:rFonts w:cs="Arial"/>
                <w:sz w:val="20"/>
              </w:rPr>
            </w:pPr>
            <w:r w:rsidRPr="00124637">
              <w:rPr>
                <w:rFonts w:cs="Arial"/>
                <w:sz w:val="20"/>
              </w:rPr>
              <w:t>Caption programs that have previously been transmitted with captioning and then repeated on the same or another subscription television service provided by the licensee.</w:t>
            </w:r>
          </w:p>
        </w:tc>
        <w:tc>
          <w:tcPr>
            <w:tcW w:w="2590" w:type="dxa"/>
          </w:tcPr>
          <w:p w14:paraId="7099909F" w14:textId="77777777" w:rsidR="00BF6F04" w:rsidRPr="00124637" w:rsidRDefault="00BF6F04" w:rsidP="00800C4D">
            <w:pPr>
              <w:pStyle w:val="TableTextLeft"/>
              <w:rPr>
                <w:rFonts w:cs="Arial"/>
                <w:sz w:val="20"/>
              </w:rPr>
            </w:pPr>
            <w:r w:rsidRPr="00124637">
              <w:rPr>
                <w:rFonts w:cs="Arial"/>
                <w:sz w:val="20"/>
              </w:rPr>
              <w:t>n/a</w:t>
            </w:r>
          </w:p>
        </w:tc>
        <w:tc>
          <w:tcPr>
            <w:tcW w:w="2590" w:type="dxa"/>
          </w:tcPr>
          <w:p w14:paraId="4E4E1906" w14:textId="77777777" w:rsidR="00BF6F04" w:rsidRPr="00124637" w:rsidRDefault="00BF6F04" w:rsidP="00800C4D">
            <w:pPr>
              <w:pStyle w:val="TableTextLeft"/>
              <w:rPr>
                <w:rFonts w:cs="Arial"/>
                <w:sz w:val="20"/>
              </w:rPr>
            </w:pPr>
            <w:r w:rsidRPr="00124637">
              <w:rPr>
                <w:rFonts w:cs="Arial"/>
                <w:sz w:val="20"/>
              </w:rPr>
              <w:t>35 services (only seven distinct channels involved)</w:t>
            </w:r>
          </w:p>
        </w:tc>
      </w:tr>
    </w:tbl>
    <w:p w14:paraId="45DFA0A4" w14:textId="77777777" w:rsidR="00BF6F04" w:rsidRPr="00124637" w:rsidRDefault="00BF6F04" w:rsidP="00BF6F04">
      <w:pPr>
        <w:pStyle w:val="ACMANotes"/>
      </w:pPr>
      <w:r w:rsidRPr="00124637">
        <w:t xml:space="preserve">Notes: </w:t>
      </w:r>
    </w:p>
    <w:p w14:paraId="2F2293B6" w14:textId="77777777" w:rsidR="00BF6F04" w:rsidRPr="00124637" w:rsidRDefault="00BF6F04" w:rsidP="007341D9">
      <w:pPr>
        <w:pStyle w:val="ACMANotes"/>
        <w:spacing w:before="0"/>
      </w:pPr>
      <w:r w:rsidRPr="00124637">
        <w:t>Captioning obligations do not apply to exempt programs, which include foreign programs (wholly in a language other than English) and music programs that do not contain any human vocal content.</w:t>
      </w:r>
    </w:p>
    <w:p w14:paraId="5C8988AE" w14:textId="77777777" w:rsidR="00BF6F04" w:rsidRPr="00124637" w:rsidRDefault="00BF6F04" w:rsidP="00BF6F04">
      <w:pPr>
        <w:pStyle w:val="ACMANotes"/>
      </w:pPr>
      <w:r w:rsidRPr="00124637">
        <w:t>In 2013–14, three commercial broadcasters had reduced annual targets of 85 per cent as a result of target reduction orders (unjustifiable hardship).</w:t>
      </w:r>
    </w:p>
    <w:p w14:paraId="234D53B4" w14:textId="77777777" w:rsidR="00BF6F04" w:rsidRPr="00124637" w:rsidRDefault="00BF6F04" w:rsidP="00BF6F04">
      <w:pPr>
        <w:pStyle w:val="ACMANotes"/>
      </w:pPr>
      <w:r w:rsidRPr="00124637">
        <w:t>Some subscription services were exempt from the annual captioning target in 2013–14 as a result of exemption orders (unjustifiable hardship) and nominations under section 130ZX of the BSA (a transitional measure that allows exemption of certain services if the licensee has met the annual captioning target for the threshold number of services).</w:t>
      </w:r>
    </w:p>
    <w:p w14:paraId="6890E7B8" w14:textId="77777777" w:rsidR="00E615FE" w:rsidRPr="00124637" w:rsidRDefault="00E615FE" w:rsidP="00BF6F04">
      <w:pPr>
        <w:pStyle w:val="BodysubheaderH4"/>
        <w:keepLines/>
        <w:spacing w:before="240"/>
      </w:pPr>
      <w:r w:rsidRPr="00124637">
        <w:t>Exemption orders and target reduction orders</w:t>
      </w:r>
    </w:p>
    <w:p w14:paraId="1A167B0D" w14:textId="77777777" w:rsidR="00421DD0" w:rsidRPr="00124637" w:rsidRDefault="00421DD0" w:rsidP="00BF6F04">
      <w:pPr>
        <w:keepLines/>
        <w:rPr>
          <w:rFonts w:cs="Arial"/>
        </w:rPr>
      </w:pPr>
      <w:r w:rsidRPr="00124637">
        <w:rPr>
          <w:rFonts w:cs="Arial"/>
        </w:rPr>
        <w:t>In 2014</w:t>
      </w:r>
      <w:r w:rsidRPr="00124637">
        <w:t>–15</w:t>
      </w:r>
      <w:r w:rsidRPr="00124637">
        <w:rPr>
          <w:rFonts w:cs="Arial"/>
        </w:rPr>
        <w:t xml:space="preserve">, the ACMA received 72 applications for exemption orders (for 72 separate services) and 10 applications for target reduction orders (for seven services). The ACMA made 72 exemption orders for three individual subscription television licensees and four target reduction orders for one subscription television licensee. Three applications for target reduction orders were refused. The ACMA’s decision on the remaining three applications for target reduction orders, which were received in May 2015, were not finalised at 30 June 2015. The ACMA met the statutory requirement to make a decision on each application for exemption orders and target reduction orders within 90 days of receiving the applications. </w:t>
      </w:r>
    </w:p>
    <w:p w14:paraId="6B7B6934" w14:textId="77777777" w:rsidR="00E615FE" w:rsidRPr="00124637" w:rsidRDefault="00E615FE" w:rsidP="00E615FE">
      <w:pPr>
        <w:pStyle w:val="BodysubheaderH4"/>
      </w:pPr>
      <w:r w:rsidRPr="00124637">
        <w:t>Legislative amendments</w:t>
      </w:r>
    </w:p>
    <w:p w14:paraId="787FD4AB" w14:textId="77777777" w:rsidR="00421DD0" w:rsidRPr="00124637" w:rsidRDefault="00421DD0" w:rsidP="00421DD0">
      <w:pPr>
        <w:spacing w:after="80"/>
        <w:rPr>
          <w:rFonts w:cs="Arial"/>
        </w:rPr>
      </w:pPr>
      <w:r w:rsidRPr="00124637">
        <w:rPr>
          <w:rFonts w:cs="Arial"/>
        </w:rPr>
        <w:t xml:space="preserve">Amendments to captioning provisions in the BSA </w:t>
      </w:r>
      <w:r w:rsidR="008B1903" w:rsidRPr="00124637">
        <w:rPr>
          <w:rFonts w:cs="Arial"/>
        </w:rPr>
        <w:t>began</w:t>
      </w:r>
      <w:r w:rsidRPr="00124637">
        <w:rPr>
          <w:rFonts w:cs="Arial"/>
        </w:rPr>
        <w:t xml:space="preserve"> from 20 March 2015. The </w:t>
      </w:r>
      <w:r w:rsidR="008B1903" w:rsidRPr="00124637">
        <w:rPr>
          <w:rFonts w:cs="Arial"/>
        </w:rPr>
        <w:t xml:space="preserve">government introduced the </w:t>
      </w:r>
      <w:r w:rsidRPr="00124637">
        <w:rPr>
          <w:rFonts w:cs="Arial"/>
        </w:rPr>
        <w:t>amendments to improve administration arrangements and increase flexibility for television services in complying with captioning obligations. Key changes included the following:</w:t>
      </w:r>
    </w:p>
    <w:p w14:paraId="5B0E89CC" w14:textId="77777777" w:rsidR="00421DD0" w:rsidRPr="00124637" w:rsidRDefault="00421DD0" w:rsidP="00421DD0">
      <w:pPr>
        <w:pStyle w:val="ListBullet"/>
        <w:spacing w:after="60"/>
        <w:rPr>
          <w:rFonts w:cs="Arial"/>
        </w:rPr>
      </w:pPr>
      <w:r w:rsidRPr="00124637">
        <w:rPr>
          <w:rFonts w:cs="Arial"/>
        </w:rPr>
        <w:t>requiring the ACMA to review and vary as appropriate the captioning quality standard to consider the differences between the captioning services for live television programs and pre-recorded television programs by 19 March 2016</w:t>
      </w:r>
    </w:p>
    <w:p w14:paraId="57C943AE" w14:textId="77777777" w:rsidR="00421DD0" w:rsidRPr="00124637" w:rsidRDefault="00421DD0" w:rsidP="00421DD0">
      <w:pPr>
        <w:pStyle w:val="ListBullet"/>
        <w:spacing w:after="60"/>
        <w:rPr>
          <w:rFonts w:cs="Arial"/>
        </w:rPr>
      </w:pPr>
      <w:r w:rsidRPr="00124637">
        <w:rPr>
          <w:rFonts w:cs="Arial"/>
        </w:rPr>
        <w:t>exempting new subscription television services in Australia from the annual captioning targets for at least the first 12 months of operation</w:t>
      </w:r>
    </w:p>
    <w:p w14:paraId="5F364B9E" w14:textId="77777777" w:rsidR="00421DD0" w:rsidRPr="00124637" w:rsidRDefault="00421DD0" w:rsidP="00421DD0">
      <w:pPr>
        <w:pStyle w:val="ListBullet"/>
        <w:spacing w:after="60"/>
        <w:rPr>
          <w:rFonts w:cs="Arial"/>
        </w:rPr>
      </w:pPr>
      <w:r w:rsidRPr="00124637">
        <w:rPr>
          <w:rFonts w:cs="Arial"/>
        </w:rPr>
        <w:t>allowing aggregation of captioning targets across subscription television sports channels supplied by the same channel provider, subject to minimum levels being met on each individual channel of the channel provider</w:t>
      </w:r>
    </w:p>
    <w:p w14:paraId="40FFCB55" w14:textId="77777777" w:rsidR="00421DD0" w:rsidRPr="00124637" w:rsidRDefault="008B1903" w:rsidP="00421DD0">
      <w:pPr>
        <w:pStyle w:val="ListBullet"/>
        <w:spacing w:after="60"/>
        <w:rPr>
          <w:rFonts w:cs="Arial"/>
        </w:rPr>
      </w:pPr>
      <w:r w:rsidRPr="00124637">
        <w:rPr>
          <w:rFonts w:cs="Arial"/>
        </w:rPr>
        <w:t>amending record-</w:t>
      </w:r>
      <w:r w:rsidR="00421DD0" w:rsidRPr="00124637">
        <w:rPr>
          <w:rFonts w:cs="Arial"/>
        </w:rPr>
        <w:t>keeping requirements to differentiate be</w:t>
      </w:r>
      <w:r w:rsidRPr="00124637">
        <w:rPr>
          <w:rFonts w:cs="Arial"/>
        </w:rPr>
        <w:t>tween written records and audio</w:t>
      </w:r>
      <w:r w:rsidR="00421DD0" w:rsidRPr="00124637">
        <w:rPr>
          <w:rFonts w:cs="Arial"/>
        </w:rPr>
        <w:t>visual records.</w:t>
      </w:r>
    </w:p>
    <w:p w14:paraId="30285B0A" w14:textId="6F21869D" w:rsidR="000F2488" w:rsidRDefault="00212A85" w:rsidP="000F2488">
      <w:pPr>
        <w:pStyle w:val="Heading1"/>
        <w:spacing w:after="120" w:line="360" w:lineRule="atLeast"/>
        <w:rPr>
          <w:sz w:val="36"/>
          <w:szCs w:val="36"/>
        </w:rPr>
      </w:pPr>
      <w:bookmarkStart w:id="390" w:name="_Toc433703422"/>
      <w:r w:rsidRPr="00583E1B">
        <w:rPr>
          <w:i/>
          <w:noProof/>
          <w:sz w:val="36"/>
          <w:szCs w:val="36"/>
        </w:rPr>
        <w:lastRenderedPageBreak/>
        <w:drawing>
          <wp:anchor distT="0" distB="0" distL="114300" distR="114300" simplePos="0" relativeHeight="251667456" behindDoc="1" locked="0" layoutInCell="1" allowOverlap="1" wp14:anchorId="4F5A31BD" wp14:editId="62073789">
            <wp:simplePos x="0" y="0"/>
            <wp:positionH relativeFrom="column">
              <wp:posOffset>-243</wp:posOffset>
            </wp:positionH>
            <wp:positionV relativeFrom="paragraph">
              <wp:posOffset>338</wp:posOffset>
            </wp:positionV>
            <wp:extent cx="1193800" cy="1752600"/>
            <wp:effectExtent l="0" t="0" r="6350" b="0"/>
            <wp:wrapTight wrapText="bothSides">
              <wp:wrapPolygon edited="0">
                <wp:start x="0" y="0"/>
                <wp:lineTo x="0" y="21365"/>
                <wp:lineTo x="21370" y="21365"/>
                <wp:lineTo x="21370" y="0"/>
                <wp:lineTo x="0" y="0"/>
              </wp:wrapPolygon>
            </wp:wrapTight>
            <wp:docPr id="20" name="Picture 20" title="Icon of world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ld.jpg"/>
                    <pic:cNvPicPr/>
                  </pic:nvPicPr>
                  <pic:blipFill>
                    <a:blip r:embed="rId37">
                      <a:extLst>
                        <a:ext uri="{28A0092B-C50C-407E-A947-70E740481C1C}">
                          <a14:useLocalDpi xmlns:a14="http://schemas.microsoft.com/office/drawing/2010/main" val="0"/>
                        </a:ext>
                      </a:extLst>
                    </a:blip>
                    <a:stretch>
                      <a:fillRect/>
                    </a:stretch>
                  </pic:blipFill>
                  <pic:spPr>
                    <a:xfrm>
                      <a:off x="0" y="0"/>
                      <a:ext cx="1193800" cy="1752600"/>
                    </a:xfrm>
                    <a:prstGeom prst="rect">
                      <a:avLst/>
                    </a:prstGeom>
                  </pic:spPr>
                </pic:pic>
              </a:graphicData>
            </a:graphic>
            <wp14:sizeRelH relativeFrom="page">
              <wp14:pctWidth>0</wp14:pctWidth>
            </wp14:sizeRelH>
            <wp14:sizeRelV relativeFrom="page">
              <wp14:pctHeight>0</wp14:pctHeight>
            </wp14:sizeRelV>
          </wp:anchor>
        </w:drawing>
      </w:r>
      <w:r w:rsidR="00163CCB" w:rsidRPr="00583E1B">
        <w:rPr>
          <w:i/>
          <w:sz w:val="36"/>
          <w:szCs w:val="36"/>
        </w:rPr>
        <w:t>D</w:t>
      </w:r>
      <w:r w:rsidR="00583E1B" w:rsidRPr="00583E1B">
        <w:rPr>
          <w:i/>
          <w:sz w:val="36"/>
          <w:szCs w:val="36"/>
        </w:rPr>
        <w:t>eliverable</w:t>
      </w:r>
      <w:r w:rsidR="00163CCB" w:rsidRPr="000F2488">
        <w:rPr>
          <w:sz w:val="36"/>
          <w:szCs w:val="36"/>
        </w:rPr>
        <w:t>: Maintain effective online content and community standards</w:t>
      </w:r>
      <w:bookmarkEnd w:id="390"/>
    </w:p>
    <w:p w14:paraId="17395C56" w14:textId="77777777" w:rsidR="00163CCB" w:rsidRPr="000F2488" w:rsidRDefault="00163CCB" w:rsidP="000F2488">
      <w:pPr>
        <w:pStyle w:val="Heading1"/>
        <w:pageBreakBefore w:val="0"/>
        <w:spacing w:line="360" w:lineRule="atLeast"/>
        <w:rPr>
          <w:sz w:val="36"/>
          <w:szCs w:val="36"/>
        </w:rPr>
      </w:pPr>
      <w:bookmarkStart w:id="391" w:name="_Toc433703423"/>
      <w:r w:rsidRPr="00583E1B">
        <w:rPr>
          <w:i/>
          <w:sz w:val="36"/>
          <w:szCs w:val="36"/>
        </w:rPr>
        <w:t>KPI</w:t>
      </w:r>
      <w:r w:rsidRPr="000F2488">
        <w:rPr>
          <w:sz w:val="36"/>
          <w:szCs w:val="36"/>
        </w:rPr>
        <w:t>: Citizens have effective and accessible avenues of complaint for online content that breaches community standards</w:t>
      </w:r>
      <w:bookmarkEnd w:id="386"/>
      <w:bookmarkEnd w:id="391"/>
    </w:p>
    <w:p w14:paraId="0E981095" w14:textId="77777777" w:rsidR="00163CCB" w:rsidRDefault="00163CCB" w:rsidP="00163CCB">
      <w:pPr>
        <w:pStyle w:val="Heading2"/>
      </w:pPr>
      <w:bookmarkStart w:id="392" w:name="main_online"/>
      <w:bookmarkStart w:id="393" w:name="_Toc419122596"/>
      <w:bookmarkStart w:id="394" w:name="_Toc274124076"/>
      <w:bookmarkStart w:id="395" w:name="_Toc337727595"/>
      <w:bookmarkStart w:id="396" w:name="_Toc400018563"/>
      <w:bookmarkStart w:id="397" w:name="_Toc433703424"/>
      <w:bookmarkEnd w:id="392"/>
      <w:r>
        <w:t>Overview and significant outcomes</w:t>
      </w:r>
      <w:bookmarkEnd w:id="393"/>
      <w:bookmarkEnd w:id="397"/>
    </w:p>
    <w:p w14:paraId="7AC0E696" w14:textId="77777777" w:rsidR="007341D9" w:rsidRPr="00124637" w:rsidRDefault="007341D9" w:rsidP="007341D9">
      <w:pPr>
        <w:rPr>
          <w:rFonts w:cs="Arial"/>
        </w:rPr>
      </w:pPr>
      <w:bookmarkStart w:id="398" w:name="_Toc419122597"/>
      <w:r w:rsidRPr="00124637">
        <w:rPr>
          <w:rFonts w:cs="Arial"/>
        </w:rPr>
        <w:t>The role of the ACMA Hotline as the national reporting mechanism for online child sexual abuse material was enhanced this year.</w:t>
      </w:r>
    </w:p>
    <w:p w14:paraId="555B0D1D" w14:textId="77777777" w:rsidR="007341D9" w:rsidRPr="00124637" w:rsidRDefault="007341D9" w:rsidP="007341D9">
      <w:pPr>
        <w:pStyle w:val="ListBullet"/>
        <w:numPr>
          <w:ilvl w:val="0"/>
          <w:numId w:val="0"/>
        </w:numPr>
        <w:ind w:left="295" w:hanging="295"/>
        <w:rPr>
          <w:rFonts w:cs="Arial"/>
        </w:rPr>
      </w:pPr>
      <w:r w:rsidRPr="00124637">
        <w:rPr>
          <w:rFonts w:cs="Arial"/>
        </w:rPr>
        <w:t>In 2014–15, the ACMA’s major initiatives in this area included:</w:t>
      </w:r>
    </w:p>
    <w:p w14:paraId="2112FEDC" w14:textId="77777777" w:rsidR="007341D9" w:rsidRPr="00124637" w:rsidRDefault="007341D9" w:rsidP="007341D9">
      <w:pPr>
        <w:pStyle w:val="ListBullet"/>
      </w:pPr>
      <w:r w:rsidRPr="00124637">
        <w:t>finalising 8,728 investigations into online content, including 5,090 investigations into online child sexual abuse content</w:t>
      </w:r>
    </w:p>
    <w:p w14:paraId="70C7F1EB" w14:textId="77777777" w:rsidR="00945007" w:rsidRPr="00124637" w:rsidRDefault="007341D9" w:rsidP="00945007">
      <w:pPr>
        <w:pStyle w:val="ListBullet"/>
      </w:pPr>
      <w:r w:rsidRPr="00124637">
        <w:t xml:space="preserve">bringing together law enforcement, NGOs, regional hotlines and industry partners to discuss a multi-sector approach to online child exploitation at the </w:t>
      </w:r>
      <w:r w:rsidRPr="00124637">
        <w:rPr>
          <w:i/>
        </w:rPr>
        <w:t>Combating child exploitation material online</w:t>
      </w:r>
      <w:r w:rsidRPr="00124637">
        <w:t xml:space="preserve"> forum</w:t>
      </w:r>
    </w:p>
    <w:p w14:paraId="4198C6D2" w14:textId="77777777" w:rsidR="007341D9" w:rsidRPr="00124637" w:rsidRDefault="00945007" w:rsidP="007341D9">
      <w:pPr>
        <w:pStyle w:val="ListBulletLast"/>
      </w:pPr>
      <w:r w:rsidRPr="00124637">
        <w:t xml:space="preserve">managing a marked increase in complaints and general enquiries about the </w:t>
      </w:r>
      <w:r w:rsidRPr="00124637">
        <w:rPr>
          <w:i/>
          <w:iCs/>
        </w:rPr>
        <w:t xml:space="preserve">Interactive Gambling Act 2001 </w:t>
      </w:r>
      <w:r w:rsidRPr="00124637">
        <w:rPr>
          <w:iCs/>
        </w:rPr>
        <w:t>(IGA)</w:t>
      </w:r>
      <w:r w:rsidR="007341D9" w:rsidRPr="00124637">
        <w:t>.</w:t>
      </w:r>
    </w:p>
    <w:p w14:paraId="1D104946" w14:textId="77777777" w:rsidR="00163CCB" w:rsidRPr="00124637" w:rsidRDefault="00163CCB" w:rsidP="00163CCB">
      <w:pPr>
        <w:pStyle w:val="Heading2"/>
      </w:pPr>
      <w:bookmarkStart w:id="399" w:name="Online_comp"/>
      <w:bookmarkStart w:id="400" w:name="_Toc433703425"/>
      <w:bookmarkEnd w:id="399"/>
      <w:r w:rsidRPr="00124637">
        <w:t>Online content complaints</w:t>
      </w:r>
      <w:bookmarkEnd w:id="394"/>
      <w:bookmarkEnd w:id="395"/>
      <w:bookmarkEnd w:id="396"/>
      <w:bookmarkEnd w:id="398"/>
      <w:bookmarkEnd w:id="400"/>
    </w:p>
    <w:p w14:paraId="14D7B3E3" w14:textId="77777777" w:rsidR="007341D9" w:rsidRPr="00124637" w:rsidRDefault="00E615FE" w:rsidP="007341D9">
      <w:pPr>
        <w:rPr>
          <w:rFonts w:cs="Arial"/>
        </w:rPr>
      </w:pPr>
      <w:bookmarkStart w:id="401" w:name="_Toc419122607"/>
      <w:r w:rsidRPr="00124637">
        <w:rPr>
          <w:rFonts w:cs="Arial"/>
        </w:rPr>
        <w:t xml:space="preserve">The Online Content Scheme (branded as the ACMA Hotline for reporting offensive and illegal online content) is a mechanism for Australian residents and law enforcement to complain about a range of online content, and for the ACMA to take certain action where it finds prohibited or potential prohibited material. The ACMA Hotline is a longstanding member of the International Association of Internet Hotlines (INHOPE), whose member hotlines deal with complaints about illegal internet content </w:t>
      </w:r>
      <w:r w:rsidR="007341D9" w:rsidRPr="00124637">
        <w:rPr>
          <w:rFonts w:cs="Arial"/>
        </w:rPr>
        <w:t xml:space="preserve">from around the world, especially child sexual abuse material. </w:t>
      </w:r>
    </w:p>
    <w:p w14:paraId="321CBA72" w14:textId="77777777" w:rsidR="00E615FE" w:rsidRPr="00124637" w:rsidRDefault="00E615FE" w:rsidP="007341D9">
      <w:pPr>
        <w:spacing w:after="80"/>
        <w:rPr>
          <w:rFonts w:cs="Arial"/>
        </w:rPr>
      </w:pPr>
      <w:r w:rsidRPr="00124637">
        <w:rPr>
          <w:rFonts w:cs="Arial"/>
        </w:rPr>
        <w:t>The ACMA Hotline:</w:t>
      </w:r>
    </w:p>
    <w:p w14:paraId="13297CFC" w14:textId="77777777" w:rsidR="00E615FE" w:rsidRPr="00124637" w:rsidRDefault="00E615FE" w:rsidP="00E615FE">
      <w:pPr>
        <w:pStyle w:val="ListBullet"/>
        <w:rPr>
          <w:rFonts w:cs="Arial"/>
        </w:rPr>
      </w:pPr>
      <w:r w:rsidRPr="00124637">
        <w:rPr>
          <w:rFonts w:cs="Arial"/>
        </w:rPr>
        <w:t>investigates all valid complaints about potentially offensive or illegal online content</w:t>
      </w:r>
    </w:p>
    <w:p w14:paraId="39AC93A8" w14:textId="77777777" w:rsidR="00E615FE" w:rsidRPr="00124637" w:rsidRDefault="00E615FE" w:rsidP="00E615FE">
      <w:pPr>
        <w:pStyle w:val="ListBullet"/>
        <w:rPr>
          <w:rFonts w:cs="Arial"/>
        </w:rPr>
      </w:pPr>
      <w:r w:rsidRPr="00124637">
        <w:rPr>
          <w:rFonts w:cs="Arial"/>
        </w:rPr>
        <w:t>directs take-down of prohibited content if it is hosted in Australia</w:t>
      </w:r>
    </w:p>
    <w:p w14:paraId="2CA97225" w14:textId="77777777" w:rsidR="00E615FE" w:rsidRPr="00124637" w:rsidRDefault="00E615FE" w:rsidP="00E615FE">
      <w:pPr>
        <w:pStyle w:val="ListBullet"/>
        <w:rPr>
          <w:rFonts w:cs="Arial"/>
        </w:rPr>
      </w:pPr>
      <w:r w:rsidRPr="00124637">
        <w:rPr>
          <w:rFonts w:cs="Arial"/>
        </w:rPr>
        <w:t>notifies prohibited URLs to optional end user (PC-based) filters</w:t>
      </w:r>
    </w:p>
    <w:p w14:paraId="7B8CAE4F" w14:textId="77777777" w:rsidR="00E615FE" w:rsidRPr="00124637" w:rsidRDefault="00E615FE" w:rsidP="00E615FE">
      <w:pPr>
        <w:pStyle w:val="ListBullet"/>
        <w:rPr>
          <w:rFonts w:cs="Arial"/>
        </w:rPr>
      </w:pPr>
      <w:r w:rsidRPr="00124637">
        <w:rPr>
          <w:rFonts w:cs="Arial"/>
        </w:rPr>
        <w:t>notifies all potentially illegal content to law enforcement</w:t>
      </w:r>
    </w:p>
    <w:p w14:paraId="5F0807BB" w14:textId="77777777" w:rsidR="00E615FE" w:rsidRPr="00124637" w:rsidRDefault="00E615FE" w:rsidP="00E615FE">
      <w:pPr>
        <w:pStyle w:val="ListBullet"/>
        <w:spacing w:after="240"/>
        <w:rPr>
          <w:rFonts w:cs="Arial"/>
        </w:rPr>
      </w:pPr>
      <w:r w:rsidRPr="00124637">
        <w:rPr>
          <w:rFonts w:cs="Arial"/>
        </w:rPr>
        <w:t>notifies all overseas-hosted child sexual abuse material to the Australian Federal Police (AFP) or INHOPE for rapid police action and take-down in the host country.</w:t>
      </w:r>
    </w:p>
    <w:p w14:paraId="521D74AA" w14:textId="77777777" w:rsidR="007341D9" w:rsidRPr="00124637" w:rsidRDefault="007341D9" w:rsidP="007341D9">
      <w:pPr>
        <w:rPr>
          <w:rFonts w:cs="Arial"/>
        </w:rPr>
      </w:pPr>
      <w:r w:rsidRPr="00124637">
        <w:rPr>
          <w:rFonts w:cs="Arial"/>
        </w:rPr>
        <w:t xml:space="preserve">The ACMA Hotline received 4,801 complaints in the period 1 July 2014 to 30 June 2015, a 19 per cent increase on 2013–14. Of the complaints received during the year, 170 were invalid as they did not contain information required under the BSA to enable the ACMA to conduct an investigation. A single complaint may lead to the investigation of multiple items, depending on the nature of the complaint and the content involved, with an ‘item’ referring to an individual article of content such as a web page, image or file. </w:t>
      </w:r>
    </w:p>
    <w:p w14:paraId="4F116E88" w14:textId="77777777" w:rsidR="000833E2" w:rsidRPr="00124637" w:rsidRDefault="000833E2" w:rsidP="000833E2">
      <w:pPr>
        <w:rPr>
          <w:rFonts w:cs="Arial"/>
        </w:rPr>
      </w:pPr>
      <w:r w:rsidRPr="00124637">
        <w:rPr>
          <w:rFonts w:cs="Arial"/>
        </w:rPr>
        <w:lastRenderedPageBreak/>
        <w:t>The ACMA finalised investigations into 8,728 individual items of content. A total of 625 investigations were terminated because the ACMA was unable to obtain sufficient information on which to base a decision, usually because the content identified in the complaint could not be located. Of the investigations completed, 6,708 items of prohibited and potential prohibited content were identified (see Table 3</w:t>
      </w:r>
      <w:r w:rsidR="00147BA2" w:rsidRPr="00124637">
        <w:rPr>
          <w:rFonts w:cs="Arial"/>
        </w:rPr>
        <w:t>0</w:t>
      </w:r>
      <w:r w:rsidRPr="00124637">
        <w:rPr>
          <w:rFonts w:cs="Arial"/>
        </w:rPr>
        <w:t>).</w:t>
      </w:r>
    </w:p>
    <w:p w14:paraId="6ACA29E6" w14:textId="77777777" w:rsidR="000833E2" w:rsidRPr="00124637" w:rsidRDefault="000833E2" w:rsidP="000833E2">
      <w:pPr>
        <w:rPr>
          <w:rFonts w:cs="Arial"/>
        </w:rPr>
      </w:pPr>
      <w:r w:rsidRPr="00124637">
        <w:rPr>
          <w:rFonts w:cs="Arial"/>
        </w:rPr>
        <w:t>Over 99 per cent of investigations into child sexual abuse material items were completed within two business days and notified to the AFP and/or the INHOPE network for law enforcement investigation and rapid take-down in the host country.</w:t>
      </w:r>
    </w:p>
    <w:p w14:paraId="68B65C3B" w14:textId="77777777" w:rsidR="007341D9" w:rsidRPr="00124637" w:rsidRDefault="007341D9" w:rsidP="007341D9">
      <w:pPr>
        <w:rPr>
          <w:rFonts w:cs="Arial"/>
        </w:rPr>
      </w:pPr>
      <w:r w:rsidRPr="00124637">
        <w:rPr>
          <w:rFonts w:cs="Arial"/>
        </w:rPr>
        <w:t xml:space="preserve">Over 99 per cent of all investigations about online content were completed within 20 business days. </w:t>
      </w:r>
    </w:p>
    <w:p w14:paraId="36FD310E" w14:textId="77777777" w:rsidR="000833E2" w:rsidRPr="00124637" w:rsidRDefault="000833E2" w:rsidP="000833E2">
      <w:pPr>
        <w:rPr>
          <w:rFonts w:cs="Arial"/>
        </w:rPr>
      </w:pPr>
      <w:r w:rsidRPr="00124637">
        <w:rPr>
          <w:rFonts w:cs="Arial"/>
        </w:rPr>
        <w:t>A total of 6,708 overseas-hosted prohibited or potential prohibited items of internet content investigated were referred to the makers of optional end user internet software filters under Schedule 5 of the BSA and the registered internet codes of practice for dealing with such material.</w:t>
      </w:r>
    </w:p>
    <w:p w14:paraId="2A4FB5F6" w14:textId="77777777" w:rsidR="000833E2" w:rsidRPr="00124637" w:rsidRDefault="000833E2" w:rsidP="000833E2">
      <w:pPr>
        <w:rPr>
          <w:rFonts w:cs="Arial"/>
        </w:rPr>
      </w:pPr>
      <w:r w:rsidRPr="00124637">
        <w:rPr>
          <w:rFonts w:cs="Arial"/>
        </w:rPr>
        <w:t>The ACMA also referred 22 items of content to the Classification Board for formal classification under the National Classification Scheme.</w:t>
      </w:r>
    </w:p>
    <w:p w14:paraId="4F0469F8" w14:textId="77777777" w:rsidR="000833E2" w:rsidRPr="00124637" w:rsidRDefault="00147BA2" w:rsidP="000833E2">
      <w:pPr>
        <w:rPr>
          <w:rFonts w:cs="Arial"/>
        </w:rPr>
      </w:pPr>
      <w:r w:rsidRPr="00124637">
        <w:rPr>
          <w:rFonts w:cs="Arial"/>
        </w:rPr>
        <w:t>During 2014–</w:t>
      </w:r>
      <w:r w:rsidR="000833E2" w:rsidRPr="00124637">
        <w:rPr>
          <w:rFonts w:cs="Arial"/>
        </w:rPr>
        <w:t>15, no take-down notices, service-cessation notices or link-deletion notices were issued to Australian service providers. There has been 100 per cent compliance with such notices across the life of the Online Content Scheme.</w:t>
      </w:r>
    </w:p>
    <w:p w14:paraId="7762337F" w14:textId="77777777" w:rsidR="007341D9" w:rsidRPr="00124637" w:rsidRDefault="007341D9" w:rsidP="007341D9">
      <w:pPr>
        <w:rPr>
          <w:rFonts w:cs="Arial"/>
        </w:rPr>
      </w:pPr>
      <w:r w:rsidRPr="00124637">
        <w:rPr>
          <w:rFonts w:cs="Arial"/>
        </w:rPr>
        <w:t>Under the BSA, prohibited content is defined with reference to the classification categories set out in the National Classification Scheme. Approximately 79 per cent of items that were prohibited or potential prohibited were, or were likely to be, Refused Classification. Of Refused Classification items, or items likely to be Refused Classification, 96 per cent constituted an exploitative or offensive depiction or description of a child.</w:t>
      </w:r>
    </w:p>
    <w:p w14:paraId="0D5E7844" w14:textId="77777777" w:rsidR="000833E2" w:rsidRPr="00124637" w:rsidRDefault="000833E2" w:rsidP="000833E2">
      <w:pPr>
        <w:rPr>
          <w:rFonts w:cs="Arial"/>
        </w:rPr>
      </w:pPr>
      <w:r w:rsidRPr="00124637">
        <w:rPr>
          <w:rFonts w:cs="Arial"/>
        </w:rPr>
        <w:t>Table </w:t>
      </w:r>
      <w:r w:rsidR="00147BA2" w:rsidRPr="00124637">
        <w:rPr>
          <w:rFonts w:cs="Arial"/>
        </w:rPr>
        <w:t>30</w:t>
      </w:r>
      <w:r w:rsidRPr="00124637">
        <w:rPr>
          <w:rFonts w:cs="Arial"/>
        </w:rPr>
        <w:t xml:space="preserve"> shows the breakdown by content type of online content items actioned as a result of completed investigations in which prohibited or potential prohibited content was located.</w:t>
      </w:r>
    </w:p>
    <w:p w14:paraId="7C38762E" w14:textId="77777777" w:rsidR="00BF6F04" w:rsidRPr="00124637" w:rsidRDefault="00BF6F04" w:rsidP="00BF6F04">
      <w:pPr>
        <w:pStyle w:val="Caption"/>
        <w:keepNext/>
        <w:spacing w:after="120"/>
        <w:rPr>
          <w:rFonts w:cs="Arial"/>
          <w:color w:val="auto"/>
        </w:rPr>
      </w:pPr>
      <w:r w:rsidRPr="00124637">
        <w:rPr>
          <w:color w:val="auto"/>
        </w:rPr>
        <w:lastRenderedPageBreak/>
        <w:t>Prohibited/potential prohibited internet content 2014–15, items actioned</w:t>
      </w:r>
    </w:p>
    <w:tbl>
      <w:tblPr>
        <w:tblW w:w="93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30" w:type="dxa"/>
          <w:right w:w="30" w:type="dxa"/>
        </w:tblCellMar>
        <w:tblLook w:val="0000" w:firstRow="0" w:lastRow="0" w:firstColumn="0" w:lastColumn="0" w:noHBand="0" w:noVBand="0"/>
      </w:tblPr>
      <w:tblGrid>
        <w:gridCol w:w="2881"/>
        <w:gridCol w:w="3256"/>
        <w:gridCol w:w="3257"/>
      </w:tblGrid>
      <w:tr w:rsidR="00126593" w:rsidRPr="00E615FE" w14:paraId="7B71B883" w14:textId="77777777" w:rsidTr="00126593">
        <w:trPr>
          <w:trHeight w:val="277"/>
        </w:trPr>
        <w:tc>
          <w:tcPr>
            <w:tcW w:w="2881" w:type="dxa"/>
            <w:shd w:val="clear" w:color="auto" w:fill="404040" w:themeFill="text1" w:themeFillTint="BF"/>
            <w:tcMar>
              <w:top w:w="28" w:type="dxa"/>
            </w:tcMar>
          </w:tcPr>
          <w:p w14:paraId="1D1ACCBB" w14:textId="77777777" w:rsidR="00126593" w:rsidRPr="00BF6F04" w:rsidRDefault="00126593" w:rsidP="00800C4D">
            <w:pPr>
              <w:pStyle w:val="TableHeading"/>
              <w:keepNext/>
              <w:keepLines/>
              <w:rPr>
                <w:rFonts w:cs="Arial"/>
                <w:color w:val="FFFFFF" w:themeColor="background1"/>
                <w:szCs w:val="20"/>
                <w:vertAlign w:val="superscript"/>
              </w:rPr>
            </w:pPr>
            <w:r w:rsidRPr="00BF6F04">
              <w:rPr>
                <w:rFonts w:cs="Arial"/>
                <w:color w:val="FFFFFF" w:themeColor="background1"/>
                <w:szCs w:val="20"/>
              </w:rPr>
              <w:t>Actual or likely classification and description of online content</w:t>
            </w:r>
          </w:p>
        </w:tc>
        <w:tc>
          <w:tcPr>
            <w:tcW w:w="3256" w:type="dxa"/>
            <w:shd w:val="clear" w:color="auto" w:fill="404040" w:themeFill="text1" w:themeFillTint="BF"/>
            <w:tcMar>
              <w:top w:w="28" w:type="dxa"/>
            </w:tcMar>
          </w:tcPr>
          <w:p w14:paraId="282CEBE4" w14:textId="77777777" w:rsidR="00126593" w:rsidRPr="00BF6F04" w:rsidRDefault="00126593" w:rsidP="00BF6F04">
            <w:pPr>
              <w:pStyle w:val="TableHeading"/>
              <w:keepNext/>
              <w:keepLines/>
              <w:rPr>
                <w:rFonts w:cs="Arial"/>
                <w:color w:val="FFFFFF" w:themeColor="background1"/>
                <w:szCs w:val="20"/>
              </w:rPr>
            </w:pPr>
            <w:r w:rsidRPr="00BF6F04">
              <w:rPr>
                <w:rFonts w:cs="Arial"/>
                <w:color w:val="FFFFFF" w:themeColor="background1"/>
                <w:szCs w:val="20"/>
              </w:rPr>
              <w:t>Online content hosted in or provided from Australia (take-down, service-cessation or link-deletion notice issued, or removed after referral to police)</w:t>
            </w:r>
          </w:p>
        </w:tc>
        <w:tc>
          <w:tcPr>
            <w:tcW w:w="3257" w:type="dxa"/>
            <w:shd w:val="clear" w:color="auto" w:fill="404040" w:themeFill="text1" w:themeFillTint="BF"/>
            <w:tcMar>
              <w:top w:w="28" w:type="dxa"/>
            </w:tcMar>
          </w:tcPr>
          <w:p w14:paraId="5E624804" w14:textId="77777777" w:rsidR="00126593" w:rsidRPr="00BF6F04" w:rsidRDefault="00126593" w:rsidP="00BF6F04">
            <w:pPr>
              <w:pStyle w:val="TableHeading"/>
              <w:keepNext/>
              <w:keepLines/>
              <w:rPr>
                <w:rFonts w:cs="Arial"/>
                <w:color w:val="FFFFFF" w:themeColor="background1"/>
                <w:szCs w:val="20"/>
              </w:rPr>
            </w:pPr>
            <w:r w:rsidRPr="00BF6F04">
              <w:rPr>
                <w:rFonts w:cs="Arial"/>
                <w:color w:val="FFFFFF" w:themeColor="background1"/>
                <w:szCs w:val="20"/>
              </w:rPr>
              <w:t>Internet content items hosted overseas (referred to makers of filters)</w:t>
            </w:r>
          </w:p>
        </w:tc>
      </w:tr>
      <w:tr w:rsidR="00126593" w:rsidRPr="00E615FE" w14:paraId="775D7AB0" w14:textId="77777777" w:rsidTr="00126593">
        <w:trPr>
          <w:trHeight w:val="247"/>
        </w:trPr>
        <w:tc>
          <w:tcPr>
            <w:tcW w:w="2881" w:type="dxa"/>
            <w:shd w:val="clear" w:color="auto" w:fill="auto"/>
            <w:tcMar>
              <w:top w:w="28" w:type="dxa"/>
            </w:tcMar>
          </w:tcPr>
          <w:p w14:paraId="54C06B7B" w14:textId="77777777" w:rsidR="00126593" w:rsidRPr="00124637" w:rsidRDefault="00126593" w:rsidP="007341D9">
            <w:pPr>
              <w:pStyle w:val="TableTextCentred"/>
              <w:keepNext/>
              <w:keepLines/>
              <w:jc w:val="left"/>
              <w:rPr>
                <w:rFonts w:cs="Arial"/>
                <w:sz w:val="20"/>
              </w:rPr>
            </w:pPr>
            <w:r w:rsidRPr="00124637">
              <w:rPr>
                <w:rFonts w:cs="Arial"/>
                <w:sz w:val="20"/>
              </w:rPr>
              <w:t>MA 15+</w:t>
            </w:r>
          </w:p>
          <w:p w14:paraId="74E82B1E" w14:textId="77777777" w:rsidR="00126593" w:rsidRPr="00124637" w:rsidRDefault="00126593" w:rsidP="007341D9">
            <w:pPr>
              <w:pStyle w:val="TableTextCentred"/>
              <w:keepNext/>
              <w:keepLines/>
              <w:jc w:val="left"/>
              <w:rPr>
                <w:rFonts w:cs="Arial"/>
                <w:sz w:val="20"/>
              </w:rPr>
            </w:pPr>
            <w:r w:rsidRPr="00124637">
              <w:rPr>
                <w:rFonts w:cs="Arial"/>
                <w:sz w:val="20"/>
              </w:rPr>
              <w:t>(Strong-impact content)</w:t>
            </w:r>
          </w:p>
        </w:tc>
        <w:tc>
          <w:tcPr>
            <w:tcW w:w="3256" w:type="dxa"/>
            <w:shd w:val="clear" w:color="auto" w:fill="auto"/>
            <w:tcMar>
              <w:top w:w="28" w:type="dxa"/>
            </w:tcMar>
            <w:vAlign w:val="bottom"/>
          </w:tcPr>
          <w:p w14:paraId="09CB0B26"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4D775DFC" w14:textId="77777777" w:rsidR="00126593" w:rsidRPr="00124637" w:rsidRDefault="00126593" w:rsidP="007341D9">
            <w:pPr>
              <w:pStyle w:val="TableTextCentred"/>
              <w:jc w:val="left"/>
              <w:rPr>
                <w:rFonts w:cs="Arial"/>
                <w:sz w:val="20"/>
              </w:rPr>
            </w:pPr>
            <w:r w:rsidRPr="00124637">
              <w:rPr>
                <w:rFonts w:cs="Arial"/>
                <w:sz w:val="20"/>
              </w:rPr>
              <w:t>0</w:t>
            </w:r>
          </w:p>
        </w:tc>
      </w:tr>
      <w:tr w:rsidR="00126593" w:rsidRPr="00E615FE" w14:paraId="57DB9681" w14:textId="77777777" w:rsidTr="00126593">
        <w:trPr>
          <w:trHeight w:val="247"/>
        </w:trPr>
        <w:tc>
          <w:tcPr>
            <w:tcW w:w="2881" w:type="dxa"/>
            <w:shd w:val="clear" w:color="auto" w:fill="auto"/>
            <w:tcMar>
              <w:top w:w="28" w:type="dxa"/>
            </w:tcMar>
          </w:tcPr>
          <w:p w14:paraId="5838B297" w14:textId="77777777" w:rsidR="00126593" w:rsidRPr="00124637" w:rsidRDefault="00126593" w:rsidP="007341D9">
            <w:pPr>
              <w:pStyle w:val="TableTextCentred"/>
              <w:keepNext/>
              <w:keepLines/>
              <w:jc w:val="left"/>
              <w:rPr>
                <w:rFonts w:cs="Arial"/>
                <w:sz w:val="20"/>
              </w:rPr>
            </w:pPr>
            <w:r w:rsidRPr="00124637">
              <w:rPr>
                <w:rFonts w:cs="Arial"/>
                <w:sz w:val="20"/>
              </w:rPr>
              <w:t>R 18+</w:t>
            </w:r>
          </w:p>
          <w:p w14:paraId="1228200D" w14:textId="77777777" w:rsidR="00126593" w:rsidRPr="00124637" w:rsidRDefault="00126593" w:rsidP="007341D9">
            <w:pPr>
              <w:pStyle w:val="TableTextCentred"/>
              <w:keepNext/>
              <w:keepLines/>
              <w:jc w:val="left"/>
              <w:rPr>
                <w:rFonts w:cs="Arial"/>
                <w:sz w:val="20"/>
              </w:rPr>
            </w:pPr>
            <w:r w:rsidRPr="00124637">
              <w:rPr>
                <w:rFonts w:cs="Arial"/>
                <w:sz w:val="20"/>
              </w:rPr>
              <w:t>(High-impact content)</w:t>
            </w:r>
          </w:p>
        </w:tc>
        <w:tc>
          <w:tcPr>
            <w:tcW w:w="3256" w:type="dxa"/>
            <w:shd w:val="clear" w:color="auto" w:fill="auto"/>
            <w:tcMar>
              <w:top w:w="28" w:type="dxa"/>
            </w:tcMar>
            <w:vAlign w:val="bottom"/>
          </w:tcPr>
          <w:p w14:paraId="28625A5B"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60312169" w14:textId="77777777" w:rsidR="00126593" w:rsidRPr="00124637" w:rsidRDefault="00126593" w:rsidP="007341D9">
            <w:pPr>
              <w:pStyle w:val="TableTextCentred"/>
              <w:jc w:val="left"/>
              <w:rPr>
                <w:rFonts w:cs="Arial"/>
                <w:sz w:val="20"/>
              </w:rPr>
            </w:pPr>
            <w:r w:rsidRPr="00124637">
              <w:rPr>
                <w:rFonts w:cs="Arial"/>
                <w:sz w:val="20"/>
              </w:rPr>
              <w:t>229</w:t>
            </w:r>
          </w:p>
        </w:tc>
      </w:tr>
      <w:tr w:rsidR="00126593" w:rsidRPr="00E615FE" w14:paraId="21A260E8" w14:textId="77777777" w:rsidTr="00126593">
        <w:trPr>
          <w:trHeight w:val="247"/>
        </w:trPr>
        <w:tc>
          <w:tcPr>
            <w:tcW w:w="2881" w:type="dxa"/>
            <w:shd w:val="clear" w:color="auto" w:fill="auto"/>
            <w:tcMar>
              <w:top w:w="28" w:type="dxa"/>
            </w:tcMar>
          </w:tcPr>
          <w:p w14:paraId="1E29B925" w14:textId="77777777" w:rsidR="00126593" w:rsidRPr="00124637" w:rsidRDefault="00126593" w:rsidP="007341D9">
            <w:pPr>
              <w:pStyle w:val="TableTextCentred"/>
              <w:keepNext/>
              <w:keepLines/>
              <w:jc w:val="left"/>
              <w:rPr>
                <w:rFonts w:cs="Arial"/>
                <w:sz w:val="20"/>
              </w:rPr>
            </w:pPr>
            <w:r w:rsidRPr="00124637">
              <w:rPr>
                <w:rFonts w:cs="Arial"/>
                <w:sz w:val="20"/>
              </w:rPr>
              <w:t>X 18+</w:t>
            </w:r>
          </w:p>
          <w:p w14:paraId="41B07198" w14:textId="77777777" w:rsidR="00126593" w:rsidRPr="00124637" w:rsidRDefault="00126593" w:rsidP="007341D9">
            <w:pPr>
              <w:pStyle w:val="TableTextCentred"/>
              <w:keepNext/>
              <w:keepLines/>
              <w:jc w:val="left"/>
              <w:rPr>
                <w:rFonts w:cs="Arial"/>
                <w:sz w:val="20"/>
              </w:rPr>
            </w:pPr>
            <w:r w:rsidRPr="00124637">
              <w:rPr>
                <w:rFonts w:cs="Arial"/>
                <w:sz w:val="20"/>
              </w:rPr>
              <w:t>(Explicit sexual content)</w:t>
            </w:r>
          </w:p>
        </w:tc>
        <w:tc>
          <w:tcPr>
            <w:tcW w:w="3256" w:type="dxa"/>
            <w:shd w:val="clear" w:color="auto" w:fill="auto"/>
            <w:tcMar>
              <w:top w:w="28" w:type="dxa"/>
            </w:tcMar>
            <w:vAlign w:val="bottom"/>
          </w:tcPr>
          <w:p w14:paraId="2902B40E"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67C23CC6" w14:textId="77777777" w:rsidR="00126593" w:rsidRPr="00124637" w:rsidRDefault="00126593" w:rsidP="007341D9">
            <w:pPr>
              <w:pStyle w:val="TableTextCentred"/>
              <w:jc w:val="left"/>
              <w:rPr>
                <w:rFonts w:cs="Arial"/>
                <w:sz w:val="20"/>
              </w:rPr>
            </w:pPr>
            <w:r w:rsidRPr="00124637">
              <w:rPr>
                <w:rFonts w:cs="Arial"/>
                <w:sz w:val="20"/>
              </w:rPr>
              <w:t>1,082</w:t>
            </w:r>
          </w:p>
        </w:tc>
      </w:tr>
      <w:tr w:rsidR="00126593" w:rsidRPr="00E615FE" w14:paraId="5C8E693F" w14:textId="77777777" w:rsidTr="00126593">
        <w:trPr>
          <w:trHeight w:val="247"/>
        </w:trPr>
        <w:tc>
          <w:tcPr>
            <w:tcW w:w="2881" w:type="dxa"/>
            <w:shd w:val="clear" w:color="auto" w:fill="auto"/>
            <w:tcMar>
              <w:top w:w="28" w:type="dxa"/>
            </w:tcMar>
          </w:tcPr>
          <w:p w14:paraId="6D6C6A1D" w14:textId="77777777" w:rsidR="00126593" w:rsidRPr="00124637" w:rsidRDefault="00126593" w:rsidP="007341D9">
            <w:pPr>
              <w:pStyle w:val="TableTextCentred"/>
              <w:keepNext/>
              <w:keepLines/>
              <w:jc w:val="left"/>
              <w:rPr>
                <w:rFonts w:cs="Arial"/>
                <w:sz w:val="20"/>
              </w:rPr>
            </w:pPr>
            <w:r w:rsidRPr="00124637">
              <w:rPr>
                <w:rFonts w:cs="Arial"/>
                <w:sz w:val="20"/>
              </w:rPr>
              <w:t>RC 1(a)</w:t>
            </w:r>
          </w:p>
          <w:p w14:paraId="732FBF76" w14:textId="77777777" w:rsidR="00126593" w:rsidRPr="00124637" w:rsidRDefault="00126593" w:rsidP="007341D9">
            <w:pPr>
              <w:pStyle w:val="TableTextCentred"/>
              <w:keepNext/>
              <w:keepLines/>
              <w:jc w:val="left"/>
              <w:rPr>
                <w:rFonts w:cs="Arial"/>
                <w:sz w:val="20"/>
              </w:rPr>
            </w:pPr>
            <w:r w:rsidRPr="00124637">
              <w:rPr>
                <w:rFonts w:cs="Arial"/>
                <w:sz w:val="20"/>
              </w:rPr>
              <w:t>(Refused Classification content for a range of matters, including offending against standards of morality and decency and revolting and abhorrent phenomena)</w:t>
            </w:r>
          </w:p>
        </w:tc>
        <w:tc>
          <w:tcPr>
            <w:tcW w:w="3256" w:type="dxa"/>
            <w:shd w:val="clear" w:color="auto" w:fill="auto"/>
            <w:tcMar>
              <w:top w:w="28" w:type="dxa"/>
            </w:tcMar>
            <w:vAlign w:val="bottom"/>
          </w:tcPr>
          <w:p w14:paraId="09D1057C"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32CC2404" w14:textId="77777777" w:rsidR="00126593" w:rsidRPr="00124637" w:rsidRDefault="00126593" w:rsidP="007341D9">
            <w:pPr>
              <w:pStyle w:val="TableTextCentred"/>
              <w:jc w:val="left"/>
              <w:rPr>
                <w:rFonts w:cs="Arial"/>
                <w:sz w:val="20"/>
              </w:rPr>
            </w:pPr>
            <w:r w:rsidRPr="00124637">
              <w:rPr>
                <w:rFonts w:cs="Arial"/>
                <w:sz w:val="20"/>
              </w:rPr>
              <w:t>233</w:t>
            </w:r>
          </w:p>
        </w:tc>
      </w:tr>
      <w:tr w:rsidR="00126593" w:rsidRPr="00E615FE" w14:paraId="50757BF4" w14:textId="77777777" w:rsidTr="00126593">
        <w:trPr>
          <w:trHeight w:val="247"/>
        </w:trPr>
        <w:tc>
          <w:tcPr>
            <w:tcW w:w="2881" w:type="dxa"/>
            <w:shd w:val="clear" w:color="auto" w:fill="auto"/>
            <w:tcMar>
              <w:top w:w="28" w:type="dxa"/>
            </w:tcMar>
          </w:tcPr>
          <w:p w14:paraId="5E686DC7" w14:textId="77777777" w:rsidR="00126593" w:rsidRPr="00124637" w:rsidRDefault="00126593" w:rsidP="007341D9">
            <w:pPr>
              <w:pStyle w:val="TableTextCentred"/>
              <w:keepNext/>
              <w:keepLines/>
              <w:jc w:val="left"/>
              <w:rPr>
                <w:rFonts w:cs="Arial"/>
                <w:sz w:val="20"/>
              </w:rPr>
            </w:pPr>
            <w:r w:rsidRPr="00124637">
              <w:rPr>
                <w:rFonts w:cs="Arial"/>
                <w:sz w:val="20"/>
              </w:rPr>
              <w:t>RC 1(b)</w:t>
            </w:r>
          </w:p>
          <w:p w14:paraId="6748479A" w14:textId="77777777" w:rsidR="00126593" w:rsidRPr="00124637" w:rsidRDefault="00126593" w:rsidP="007341D9">
            <w:pPr>
              <w:pStyle w:val="TableTextCentred"/>
              <w:keepNext/>
              <w:keepLines/>
              <w:jc w:val="left"/>
              <w:rPr>
                <w:rFonts w:cs="Arial"/>
                <w:sz w:val="20"/>
              </w:rPr>
            </w:pPr>
            <w:r w:rsidRPr="00124637">
              <w:rPr>
                <w:rFonts w:cs="Arial"/>
                <w:sz w:val="20"/>
              </w:rPr>
              <w:t>(Refused Classification content for offensive depictions/descriptions of children)</w:t>
            </w:r>
          </w:p>
        </w:tc>
        <w:tc>
          <w:tcPr>
            <w:tcW w:w="3256" w:type="dxa"/>
            <w:shd w:val="clear" w:color="auto" w:fill="auto"/>
            <w:tcMar>
              <w:top w:w="28" w:type="dxa"/>
            </w:tcMar>
            <w:vAlign w:val="bottom"/>
          </w:tcPr>
          <w:p w14:paraId="5AEFD6C1"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3E0E94F6" w14:textId="77777777" w:rsidR="00126593" w:rsidRPr="00124637" w:rsidRDefault="00126593" w:rsidP="007341D9">
            <w:pPr>
              <w:pStyle w:val="TableTextCentred"/>
              <w:jc w:val="left"/>
              <w:rPr>
                <w:rFonts w:cs="Arial"/>
                <w:sz w:val="20"/>
              </w:rPr>
            </w:pPr>
            <w:r w:rsidRPr="00124637">
              <w:rPr>
                <w:rFonts w:cs="Arial"/>
                <w:sz w:val="20"/>
              </w:rPr>
              <w:t>5,090</w:t>
            </w:r>
          </w:p>
        </w:tc>
      </w:tr>
      <w:tr w:rsidR="00126593" w:rsidRPr="00E615FE" w14:paraId="279EA524" w14:textId="77777777" w:rsidTr="00126593">
        <w:trPr>
          <w:trHeight w:val="247"/>
        </w:trPr>
        <w:tc>
          <w:tcPr>
            <w:tcW w:w="2881" w:type="dxa"/>
            <w:shd w:val="clear" w:color="auto" w:fill="auto"/>
            <w:tcMar>
              <w:top w:w="28" w:type="dxa"/>
            </w:tcMar>
          </w:tcPr>
          <w:p w14:paraId="462130A2" w14:textId="77777777" w:rsidR="00126593" w:rsidRPr="00124637" w:rsidRDefault="00126593" w:rsidP="007341D9">
            <w:pPr>
              <w:pStyle w:val="TableTextCentred"/>
              <w:keepNext/>
              <w:keepLines/>
              <w:jc w:val="left"/>
              <w:rPr>
                <w:rFonts w:cs="Arial"/>
                <w:sz w:val="20"/>
              </w:rPr>
            </w:pPr>
            <w:r w:rsidRPr="00124637">
              <w:rPr>
                <w:rFonts w:cs="Arial"/>
                <w:sz w:val="20"/>
              </w:rPr>
              <w:t>RC 1(c)</w:t>
            </w:r>
          </w:p>
          <w:p w14:paraId="02538D66" w14:textId="77777777" w:rsidR="00126593" w:rsidRPr="00124637" w:rsidRDefault="00126593" w:rsidP="007341D9">
            <w:pPr>
              <w:pStyle w:val="TableTextCentred"/>
              <w:keepNext/>
              <w:keepLines/>
              <w:jc w:val="left"/>
              <w:rPr>
                <w:rFonts w:cs="Arial"/>
                <w:sz w:val="20"/>
              </w:rPr>
            </w:pPr>
            <w:r w:rsidRPr="00124637">
              <w:rPr>
                <w:rFonts w:cs="Arial"/>
                <w:sz w:val="20"/>
              </w:rPr>
              <w:t>(Refused Classification content for instruction, incitement or promotion of crime or violence)</w:t>
            </w:r>
          </w:p>
        </w:tc>
        <w:tc>
          <w:tcPr>
            <w:tcW w:w="3256" w:type="dxa"/>
            <w:shd w:val="clear" w:color="auto" w:fill="auto"/>
            <w:tcMar>
              <w:top w:w="28" w:type="dxa"/>
            </w:tcMar>
            <w:vAlign w:val="bottom"/>
          </w:tcPr>
          <w:p w14:paraId="5A642DA9"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5038A1A9" w14:textId="77777777" w:rsidR="00126593" w:rsidRPr="00124637" w:rsidRDefault="00126593" w:rsidP="007341D9">
            <w:pPr>
              <w:pStyle w:val="TableTextCentred"/>
              <w:jc w:val="left"/>
              <w:rPr>
                <w:rFonts w:cs="Arial"/>
                <w:sz w:val="20"/>
              </w:rPr>
            </w:pPr>
            <w:r w:rsidRPr="00124637">
              <w:rPr>
                <w:rFonts w:cs="Arial"/>
                <w:sz w:val="20"/>
              </w:rPr>
              <w:t>4</w:t>
            </w:r>
          </w:p>
        </w:tc>
      </w:tr>
      <w:tr w:rsidR="00126593" w:rsidRPr="00E615FE" w14:paraId="45E1D8EA" w14:textId="77777777" w:rsidTr="00126593">
        <w:trPr>
          <w:trHeight w:val="247"/>
        </w:trPr>
        <w:tc>
          <w:tcPr>
            <w:tcW w:w="2881" w:type="dxa"/>
            <w:shd w:val="clear" w:color="auto" w:fill="auto"/>
            <w:tcMar>
              <w:top w:w="28" w:type="dxa"/>
            </w:tcMar>
          </w:tcPr>
          <w:p w14:paraId="0C321A44" w14:textId="77777777" w:rsidR="00126593" w:rsidRPr="00124637" w:rsidRDefault="00126593" w:rsidP="007341D9">
            <w:pPr>
              <w:pStyle w:val="TableTextCentred"/>
              <w:keepNext/>
              <w:keepLines/>
              <w:jc w:val="left"/>
              <w:rPr>
                <w:rFonts w:cs="Arial"/>
                <w:sz w:val="20"/>
              </w:rPr>
            </w:pPr>
            <w:r w:rsidRPr="00124637">
              <w:rPr>
                <w:rFonts w:cs="Arial"/>
                <w:sz w:val="20"/>
              </w:rPr>
              <w:t>RC 1(d)</w:t>
            </w:r>
          </w:p>
          <w:p w14:paraId="7926616A" w14:textId="77777777" w:rsidR="00126593" w:rsidRPr="00124637" w:rsidRDefault="00126593" w:rsidP="007341D9">
            <w:pPr>
              <w:pStyle w:val="TableTextCentred"/>
              <w:keepNext/>
              <w:keepLines/>
              <w:jc w:val="left"/>
              <w:rPr>
                <w:rFonts w:cs="Arial"/>
                <w:sz w:val="20"/>
              </w:rPr>
            </w:pPr>
            <w:r w:rsidRPr="00124637">
              <w:rPr>
                <w:rFonts w:cs="Arial"/>
                <w:sz w:val="20"/>
              </w:rPr>
              <w:t>(Computer games that are unsuitable for a minor to see or play)</w:t>
            </w:r>
          </w:p>
        </w:tc>
        <w:tc>
          <w:tcPr>
            <w:tcW w:w="3256" w:type="dxa"/>
            <w:shd w:val="clear" w:color="auto" w:fill="auto"/>
            <w:tcMar>
              <w:top w:w="28" w:type="dxa"/>
            </w:tcMar>
            <w:vAlign w:val="bottom"/>
          </w:tcPr>
          <w:p w14:paraId="507420FC" w14:textId="77777777" w:rsidR="00126593" w:rsidRPr="00124637" w:rsidDel="003550C0"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12223898" w14:textId="77777777" w:rsidR="00126593" w:rsidRPr="00124637" w:rsidDel="003550C0" w:rsidRDefault="00126593" w:rsidP="007341D9">
            <w:pPr>
              <w:pStyle w:val="TableTextCentred"/>
              <w:jc w:val="left"/>
              <w:rPr>
                <w:rFonts w:cs="Arial"/>
                <w:sz w:val="20"/>
              </w:rPr>
            </w:pPr>
            <w:r w:rsidRPr="00124637">
              <w:rPr>
                <w:rFonts w:cs="Arial"/>
                <w:sz w:val="20"/>
              </w:rPr>
              <w:t>0</w:t>
            </w:r>
          </w:p>
        </w:tc>
      </w:tr>
      <w:tr w:rsidR="00126593" w:rsidRPr="00E615FE" w14:paraId="464A6D07" w14:textId="77777777" w:rsidTr="00126593">
        <w:trPr>
          <w:trHeight w:val="247"/>
        </w:trPr>
        <w:tc>
          <w:tcPr>
            <w:tcW w:w="2881" w:type="dxa"/>
            <w:shd w:val="clear" w:color="auto" w:fill="auto"/>
            <w:tcMar>
              <w:top w:w="28" w:type="dxa"/>
            </w:tcMar>
          </w:tcPr>
          <w:p w14:paraId="044B5D9B" w14:textId="77777777" w:rsidR="00126593" w:rsidRPr="00124637" w:rsidRDefault="00126593" w:rsidP="007341D9">
            <w:pPr>
              <w:pStyle w:val="TableTextCentred"/>
              <w:keepNext/>
              <w:keepLines/>
              <w:jc w:val="left"/>
              <w:rPr>
                <w:rFonts w:cs="Arial"/>
                <w:sz w:val="20"/>
              </w:rPr>
            </w:pPr>
            <w:r w:rsidRPr="00124637">
              <w:rPr>
                <w:rFonts w:cs="Arial"/>
                <w:sz w:val="20"/>
              </w:rPr>
              <w:t>Restricted Cat 1 – Publication</w:t>
            </w:r>
          </w:p>
          <w:p w14:paraId="5A52B98E" w14:textId="77777777" w:rsidR="00126593" w:rsidRPr="00124637" w:rsidRDefault="00126593" w:rsidP="007341D9">
            <w:pPr>
              <w:pStyle w:val="TableTextCentred"/>
              <w:keepNext/>
              <w:keepLines/>
              <w:jc w:val="left"/>
              <w:rPr>
                <w:rFonts w:cs="Arial"/>
                <w:sz w:val="20"/>
              </w:rPr>
            </w:pPr>
            <w:r w:rsidRPr="00124637">
              <w:rPr>
                <w:rFonts w:cs="Arial"/>
                <w:sz w:val="20"/>
              </w:rPr>
              <w:t>(Explicit nudity and high-end content)</w:t>
            </w:r>
          </w:p>
        </w:tc>
        <w:tc>
          <w:tcPr>
            <w:tcW w:w="3256" w:type="dxa"/>
            <w:shd w:val="clear" w:color="auto" w:fill="auto"/>
            <w:tcMar>
              <w:top w:w="28" w:type="dxa"/>
            </w:tcMar>
            <w:vAlign w:val="bottom"/>
          </w:tcPr>
          <w:p w14:paraId="32A569E8"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0EDCC3A6" w14:textId="77777777" w:rsidR="00126593" w:rsidRPr="00124637" w:rsidRDefault="00126593" w:rsidP="007341D9">
            <w:pPr>
              <w:pStyle w:val="TableTextCentred"/>
              <w:jc w:val="left"/>
              <w:rPr>
                <w:rFonts w:cs="Arial"/>
                <w:sz w:val="20"/>
              </w:rPr>
            </w:pPr>
            <w:r w:rsidRPr="00124637">
              <w:rPr>
                <w:rFonts w:cs="Arial"/>
                <w:sz w:val="20"/>
              </w:rPr>
              <w:t>0</w:t>
            </w:r>
          </w:p>
        </w:tc>
      </w:tr>
      <w:tr w:rsidR="00126593" w:rsidRPr="00E615FE" w14:paraId="6E9D4718" w14:textId="77777777" w:rsidTr="00126593">
        <w:trPr>
          <w:trHeight w:val="247"/>
        </w:trPr>
        <w:tc>
          <w:tcPr>
            <w:tcW w:w="2881" w:type="dxa"/>
            <w:shd w:val="clear" w:color="auto" w:fill="auto"/>
            <w:tcMar>
              <w:top w:w="28" w:type="dxa"/>
            </w:tcMar>
          </w:tcPr>
          <w:p w14:paraId="30458873" w14:textId="77777777" w:rsidR="00126593" w:rsidRPr="00124637" w:rsidRDefault="00126593" w:rsidP="007341D9">
            <w:pPr>
              <w:pStyle w:val="TableTextCentred"/>
              <w:keepNext/>
              <w:keepLines/>
              <w:jc w:val="left"/>
              <w:rPr>
                <w:rFonts w:cs="Arial"/>
                <w:sz w:val="20"/>
              </w:rPr>
            </w:pPr>
            <w:r w:rsidRPr="00124637">
              <w:rPr>
                <w:rFonts w:cs="Arial"/>
                <w:sz w:val="20"/>
              </w:rPr>
              <w:t>Restricted Cat 2 – Publication</w:t>
            </w:r>
          </w:p>
          <w:p w14:paraId="7690749F" w14:textId="77777777" w:rsidR="00126593" w:rsidRPr="00124637" w:rsidRDefault="00126593" w:rsidP="007341D9">
            <w:pPr>
              <w:pStyle w:val="TableTextCentred"/>
              <w:keepNext/>
              <w:keepLines/>
              <w:jc w:val="left"/>
              <w:rPr>
                <w:rFonts w:cs="Arial"/>
                <w:sz w:val="20"/>
              </w:rPr>
            </w:pPr>
            <w:r w:rsidRPr="00124637">
              <w:rPr>
                <w:rFonts w:cs="Arial"/>
                <w:sz w:val="20"/>
              </w:rPr>
              <w:t>(Explicit sex, fetishes and high</w:t>
            </w:r>
            <w:r w:rsidRPr="00124637">
              <w:rPr>
                <w:rFonts w:cs="Arial"/>
                <w:sz w:val="20"/>
              </w:rPr>
              <w:noBreakHyphen/>
              <w:t>end content)</w:t>
            </w:r>
          </w:p>
        </w:tc>
        <w:tc>
          <w:tcPr>
            <w:tcW w:w="3256" w:type="dxa"/>
            <w:shd w:val="clear" w:color="auto" w:fill="auto"/>
            <w:tcMar>
              <w:top w:w="28" w:type="dxa"/>
            </w:tcMar>
            <w:vAlign w:val="bottom"/>
          </w:tcPr>
          <w:p w14:paraId="1ED6F797" w14:textId="77777777" w:rsidR="00126593" w:rsidRPr="00124637" w:rsidRDefault="00126593" w:rsidP="007341D9">
            <w:pPr>
              <w:pStyle w:val="TableTextCentred"/>
              <w:jc w:val="left"/>
              <w:rPr>
                <w:rFonts w:cs="Arial"/>
                <w:sz w:val="20"/>
              </w:rPr>
            </w:pPr>
            <w:r w:rsidRPr="00124637">
              <w:rPr>
                <w:rFonts w:cs="Arial"/>
                <w:sz w:val="20"/>
              </w:rPr>
              <w:t>0</w:t>
            </w:r>
          </w:p>
        </w:tc>
        <w:tc>
          <w:tcPr>
            <w:tcW w:w="3257" w:type="dxa"/>
            <w:shd w:val="clear" w:color="auto" w:fill="auto"/>
            <w:tcMar>
              <w:top w:w="28" w:type="dxa"/>
            </w:tcMar>
            <w:vAlign w:val="bottom"/>
          </w:tcPr>
          <w:p w14:paraId="37E53133" w14:textId="77777777" w:rsidR="00126593" w:rsidRPr="00124637" w:rsidRDefault="00126593" w:rsidP="007341D9">
            <w:pPr>
              <w:pStyle w:val="TableTextCentred"/>
              <w:jc w:val="left"/>
              <w:rPr>
                <w:rFonts w:cs="Arial"/>
                <w:sz w:val="20"/>
              </w:rPr>
            </w:pPr>
            <w:r w:rsidRPr="00124637">
              <w:rPr>
                <w:rFonts w:cs="Arial"/>
                <w:sz w:val="20"/>
              </w:rPr>
              <w:t>0</w:t>
            </w:r>
          </w:p>
        </w:tc>
      </w:tr>
      <w:tr w:rsidR="00126593" w:rsidRPr="007341D9" w14:paraId="17481E4D" w14:textId="77777777" w:rsidTr="00666257">
        <w:trPr>
          <w:trHeight w:val="262"/>
        </w:trPr>
        <w:tc>
          <w:tcPr>
            <w:tcW w:w="2881" w:type="dxa"/>
            <w:shd w:val="clear" w:color="auto" w:fill="F2F2F2" w:themeFill="background1" w:themeFillShade="F2"/>
            <w:tcMar>
              <w:top w:w="28" w:type="dxa"/>
            </w:tcMar>
          </w:tcPr>
          <w:p w14:paraId="22BD4E32" w14:textId="77777777" w:rsidR="00126593" w:rsidRPr="00124637" w:rsidRDefault="00126593" w:rsidP="007341D9">
            <w:pPr>
              <w:pStyle w:val="TableTextCentred"/>
              <w:keepNext/>
              <w:keepLines/>
              <w:jc w:val="left"/>
              <w:rPr>
                <w:rFonts w:cs="Arial"/>
                <w:b/>
                <w:sz w:val="20"/>
              </w:rPr>
            </w:pPr>
            <w:r w:rsidRPr="00124637">
              <w:rPr>
                <w:rFonts w:cs="Arial"/>
                <w:b/>
                <w:sz w:val="20"/>
              </w:rPr>
              <w:t>Total</w:t>
            </w:r>
          </w:p>
        </w:tc>
        <w:tc>
          <w:tcPr>
            <w:tcW w:w="3256" w:type="dxa"/>
            <w:shd w:val="clear" w:color="auto" w:fill="F2F2F2" w:themeFill="background1" w:themeFillShade="F2"/>
            <w:tcMar>
              <w:top w:w="28" w:type="dxa"/>
            </w:tcMar>
            <w:vAlign w:val="bottom"/>
          </w:tcPr>
          <w:p w14:paraId="536D8BFC" w14:textId="77777777" w:rsidR="00126593" w:rsidRPr="00124637" w:rsidRDefault="00126593" w:rsidP="007341D9">
            <w:pPr>
              <w:pStyle w:val="TableTextCentred"/>
              <w:jc w:val="left"/>
              <w:rPr>
                <w:rFonts w:cs="Arial"/>
                <w:b/>
                <w:bCs/>
                <w:sz w:val="20"/>
              </w:rPr>
            </w:pPr>
            <w:r w:rsidRPr="00124637">
              <w:rPr>
                <w:rFonts w:cs="Arial"/>
                <w:b/>
                <w:bCs/>
                <w:sz w:val="20"/>
              </w:rPr>
              <w:t>0</w:t>
            </w:r>
          </w:p>
        </w:tc>
        <w:tc>
          <w:tcPr>
            <w:tcW w:w="3257" w:type="dxa"/>
            <w:shd w:val="clear" w:color="auto" w:fill="F2F2F2" w:themeFill="background1" w:themeFillShade="F2"/>
            <w:tcMar>
              <w:top w:w="28" w:type="dxa"/>
            </w:tcMar>
            <w:vAlign w:val="bottom"/>
          </w:tcPr>
          <w:p w14:paraId="2CA028C0" w14:textId="77777777" w:rsidR="00126593" w:rsidRPr="00124637" w:rsidRDefault="00126593" w:rsidP="007341D9">
            <w:pPr>
              <w:pStyle w:val="TableTextCentred"/>
              <w:jc w:val="left"/>
              <w:rPr>
                <w:rFonts w:cs="Arial"/>
                <w:b/>
                <w:bCs/>
                <w:sz w:val="20"/>
              </w:rPr>
            </w:pPr>
            <w:r w:rsidRPr="00124637">
              <w:rPr>
                <w:rFonts w:cs="Arial"/>
                <w:b/>
                <w:bCs/>
                <w:sz w:val="20"/>
              </w:rPr>
              <w:t>6,708</w:t>
            </w:r>
          </w:p>
        </w:tc>
      </w:tr>
    </w:tbl>
    <w:p w14:paraId="44BF2D90" w14:textId="77777777" w:rsidR="00E615FE" w:rsidRPr="00124637" w:rsidRDefault="00E615FE" w:rsidP="00DA1B46">
      <w:pPr>
        <w:spacing w:before="240"/>
        <w:rPr>
          <w:rFonts w:cs="Arial"/>
        </w:rPr>
      </w:pPr>
      <w:r w:rsidRPr="00124637">
        <w:rPr>
          <w:rFonts w:cs="Arial"/>
        </w:rPr>
        <w:t>As shown in Figure 4, the US continued to account for the majority of prohibited/potential prohibited online content provided from outside Australia.</w:t>
      </w:r>
    </w:p>
    <w:p w14:paraId="7543D2FD" w14:textId="77777777" w:rsidR="00BF6F04" w:rsidRPr="00124637" w:rsidRDefault="00BF6F04" w:rsidP="00BF6F04">
      <w:pPr>
        <w:pStyle w:val="Captionfigure"/>
        <w:spacing w:after="120"/>
        <w:rPr>
          <w:color w:val="auto"/>
        </w:rPr>
      </w:pPr>
      <w:r w:rsidRPr="00124637">
        <w:rPr>
          <w:color w:val="auto"/>
        </w:rPr>
        <w:lastRenderedPageBreak/>
        <w:t>Prohibited or potential prohibited internet content by host location, 2014–15</w:t>
      </w:r>
    </w:p>
    <w:p w14:paraId="46022068" w14:textId="0AA365B2" w:rsidR="00126593" w:rsidRPr="00E615FE" w:rsidRDefault="00F10B23" w:rsidP="00126593">
      <w:pPr>
        <w:pStyle w:val="Captionfigure"/>
        <w:numPr>
          <w:ilvl w:val="0"/>
          <w:numId w:val="0"/>
        </w:numPr>
        <w:rPr>
          <w:color w:val="0070C0"/>
        </w:rPr>
      </w:pPr>
      <w:r>
        <w:rPr>
          <w:noProof/>
        </w:rPr>
        <w:drawing>
          <wp:inline distT="0" distB="0" distL="0" distR="0" wp14:anchorId="398111E4" wp14:editId="2D5F7D72">
            <wp:extent cx="4091152" cy="2852118"/>
            <wp:effectExtent l="0" t="0" r="5080" b="5715"/>
            <wp:docPr id="23" name="Picture 23" descr="Countries depicted are US 66%, Netherlands 12%, Russia 9%, Japan 5% and other 8%." title="Pie chart of prohibited or potential prohibited internet content by host locatio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105221" cy="2861926"/>
                    </a:xfrm>
                    <a:prstGeom prst="rect">
                      <a:avLst/>
                    </a:prstGeom>
                  </pic:spPr>
                </pic:pic>
              </a:graphicData>
            </a:graphic>
          </wp:inline>
        </w:drawing>
      </w:r>
    </w:p>
    <w:p w14:paraId="5AA21038" w14:textId="77777777" w:rsidR="00C32AA7" w:rsidRPr="00124637" w:rsidRDefault="00C32AA7" w:rsidP="00147BA2">
      <w:pPr>
        <w:pStyle w:val="Heading3"/>
        <w:spacing w:before="240"/>
      </w:pPr>
      <w:bookmarkStart w:id="402" w:name="_Toc419122600"/>
      <w:bookmarkStart w:id="403" w:name="_Toc433703426"/>
      <w:r w:rsidRPr="00124637">
        <w:t>National Child Protection Week</w:t>
      </w:r>
      <w:bookmarkEnd w:id="403"/>
    </w:p>
    <w:p w14:paraId="16551767" w14:textId="77777777" w:rsidR="00C32AA7" w:rsidRPr="00124637" w:rsidRDefault="00C32AA7" w:rsidP="00C32AA7">
      <w:pPr>
        <w:rPr>
          <w:rFonts w:cs="Arial"/>
        </w:rPr>
      </w:pPr>
      <w:r w:rsidRPr="00124637">
        <w:rPr>
          <w:rFonts w:cs="Arial"/>
        </w:rPr>
        <w:t xml:space="preserve">In 2014, the ACMA Hotline marked its fourth consecutive year of involvement with National Child Protection Week (7–13 September 2014) to raise awareness of how online child sexual abuse material is combated, both in Australia and internationally. This annual national campaign is an initiative of the National Association for Prevention of Child Abuse and Neglect (NAPCAN). </w:t>
      </w:r>
    </w:p>
    <w:p w14:paraId="596F82D6" w14:textId="77777777" w:rsidR="00C32AA7" w:rsidRPr="00124637" w:rsidRDefault="00C32AA7" w:rsidP="00C32AA7">
      <w:pPr>
        <w:rPr>
          <w:rFonts w:cs="Arial"/>
        </w:rPr>
      </w:pPr>
      <w:r w:rsidRPr="00124637">
        <w:rPr>
          <w:rFonts w:cs="Arial"/>
        </w:rPr>
        <w:t xml:space="preserve">During the week, the ACMA Hotline conducted 550 investigations into child sexual abuse material based on complaints—a 30 per cent increase on the previous year’s activities. All of the content was found to be hosted overseas and notified </w:t>
      </w:r>
      <w:r w:rsidR="001C5098" w:rsidRPr="00124637">
        <w:rPr>
          <w:rFonts w:cs="Arial"/>
        </w:rPr>
        <w:t>to the AFP or an INHOPE member h</w:t>
      </w:r>
      <w:r w:rsidRPr="00124637">
        <w:rPr>
          <w:rFonts w:cs="Arial"/>
        </w:rPr>
        <w:t xml:space="preserve">otline for appropriate action in the hosting country. Of the 550 items that were investigated, 89 per cent of the content was removed within seven days. </w:t>
      </w:r>
    </w:p>
    <w:p w14:paraId="25FB4354" w14:textId="77777777" w:rsidR="00E615FE" w:rsidRPr="00124637" w:rsidRDefault="001C5098" w:rsidP="00AA654C">
      <w:pPr>
        <w:pStyle w:val="Heading3"/>
      </w:pPr>
      <w:bookmarkStart w:id="404" w:name="CCEMO"/>
      <w:bookmarkStart w:id="405" w:name="_Toc433703427"/>
      <w:bookmarkEnd w:id="404"/>
      <w:r w:rsidRPr="00124637">
        <w:t>CCEMO f</w:t>
      </w:r>
      <w:r w:rsidR="00E615FE" w:rsidRPr="00124637">
        <w:t>orum</w:t>
      </w:r>
      <w:bookmarkEnd w:id="405"/>
    </w:p>
    <w:p w14:paraId="3352C376" w14:textId="77777777" w:rsidR="00E615FE" w:rsidRPr="00124637" w:rsidRDefault="00E615FE" w:rsidP="00E615FE">
      <w:pPr>
        <w:rPr>
          <w:rFonts w:cs="Arial"/>
        </w:rPr>
      </w:pPr>
      <w:r w:rsidRPr="00124637">
        <w:rPr>
          <w:rFonts w:cs="Arial"/>
        </w:rPr>
        <w:t>In July 2014 the ACMA and the AFP co-spo</w:t>
      </w:r>
      <w:r w:rsidR="001C5098" w:rsidRPr="00124637">
        <w:rPr>
          <w:rFonts w:cs="Arial"/>
        </w:rPr>
        <w:t xml:space="preserve">nsored the inaugural </w:t>
      </w:r>
      <w:r w:rsidR="001C5098" w:rsidRPr="00124637">
        <w:rPr>
          <w:rFonts w:cs="Arial"/>
          <w:i/>
        </w:rPr>
        <w:t>Combating child exploitation m</w:t>
      </w:r>
      <w:r w:rsidRPr="00124637">
        <w:rPr>
          <w:rFonts w:cs="Arial"/>
          <w:i/>
        </w:rPr>
        <w:t xml:space="preserve">aterial </w:t>
      </w:r>
      <w:r w:rsidR="001C5098" w:rsidRPr="00124637">
        <w:rPr>
          <w:rFonts w:cs="Arial"/>
          <w:i/>
        </w:rPr>
        <w:t>o</w:t>
      </w:r>
      <w:r w:rsidRPr="00124637">
        <w:rPr>
          <w:rFonts w:cs="Arial"/>
          <w:i/>
        </w:rPr>
        <w:t>nline</w:t>
      </w:r>
      <w:r w:rsidRPr="00124637">
        <w:rPr>
          <w:rFonts w:cs="Arial"/>
        </w:rPr>
        <w:t xml:space="preserve"> (CCEMO) regional cooperation forum and training event. </w:t>
      </w:r>
    </w:p>
    <w:p w14:paraId="09214676" w14:textId="77777777" w:rsidR="00E615FE" w:rsidRPr="00124637" w:rsidRDefault="00E615FE" w:rsidP="00E615FE">
      <w:pPr>
        <w:rPr>
          <w:rFonts w:cs="Arial"/>
          <w:szCs w:val="20"/>
          <w:lang w:val="en"/>
        </w:rPr>
      </w:pPr>
      <w:r w:rsidRPr="00124637">
        <w:rPr>
          <w:rFonts w:cs="Arial"/>
        </w:rPr>
        <w:t>The forum brought together law enforcement, INHOPE</w:t>
      </w:r>
      <w:r w:rsidRPr="00124637">
        <w:rPr>
          <w:rFonts w:cs="Arial"/>
          <w:szCs w:val="20"/>
          <w:lang w:val="en"/>
        </w:rPr>
        <w:t xml:space="preserve"> and </w:t>
      </w:r>
      <w:r w:rsidRPr="00124637">
        <w:rPr>
          <w:rFonts w:cs="Arial"/>
        </w:rPr>
        <w:t>INHOPE Foundation</w:t>
      </w:r>
      <w:r w:rsidRPr="00124637">
        <w:rPr>
          <w:rFonts w:cs="Arial"/>
          <w:szCs w:val="20"/>
          <w:lang w:val="en"/>
        </w:rPr>
        <w:t xml:space="preserve"> members in the Asia–Pacific </w:t>
      </w:r>
      <w:r w:rsidR="001C5098" w:rsidRPr="00124637">
        <w:rPr>
          <w:rFonts w:cs="Arial"/>
          <w:szCs w:val="20"/>
          <w:lang w:val="en"/>
        </w:rPr>
        <w:t>r</w:t>
      </w:r>
      <w:r w:rsidRPr="00124637">
        <w:rPr>
          <w:rFonts w:cs="Arial"/>
          <w:szCs w:val="20"/>
          <w:lang w:val="en"/>
        </w:rPr>
        <w:t>egion, along with industry and non-government organisations that work to combat online child exploitation material.</w:t>
      </w:r>
    </w:p>
    <w:p w14:paraId="5C98C002" w14:textId="77777777" w:rsidR="00E615FE" w:rsidRPr="00124637" w:rsidRDefault="00E615FE" w:rsidP="00E615FE">
      <w:pPr>
        <w:rPr>
          <w:rFonts w:cs="Arial"/>
        </w:rPr>
      </w:pPr>
      <w:r w:rsidRPr="00124637">
        <w:rPr>
          <w:rFonts w:cs="Arial"/>
          <w:szCs w:val="20"/>
          <w:lang w:val="en"/>
        </w:rPr>
        <w:t>The</w:t>
      </w:r>
      <w:r w:rsidR="001C5098" w:rsidRPr="00124637">
        <w:rPr>
          <w:rFonts w:cs="Arial"/>
          <w:szCs w:val="20"/>
          <w:lang w:val="en"/>
        </w:rPr>
        <w:t xml:space="preserve"> event highlighted current best-</w:t>
      </w:r>
      <w:r w:rsidRPr="00124637">
        <w:rPr>
          <w:rFonts w:cs="Arial"/>
          <w:szCs w:val="20"/>
          <w:lang w:val="en"/>
        </w:rPr>
        <w:t>practice measures for combating online child exploitation material and explored new opportunities for cross-sector action and collaboration. The forum successfully consolidated relationships between the key regional players, and generated commitments for enhanced collaboration and information</w:t>
      </w:r>
      <w:r w:rsidR="001C5098" w:rsidRPr="00124637">
        <w:rPr>
          <w:rFonts w:cs="Arial"/>
          <w:szCs w:val="20"/>
          <w:lang w:val="en"/>
        </w:rPr>
        <w:t>-</w:t>
      </w:r>
      <w:r w:rsidRPr="00124637">
        <w:rPr>
          <w:rFonts w:cs="Arial"/>
          <w:szCs w:val="20"/>
          <w:lang w:val="en"/>
        </w:rPr>
        <w:t>sharing throu</w:t>
      </w:r>
      <w:r w:rsidR="00C831B5" w:rsidRPr="00124637">
        <w:rPr>
          <w:rFonts w:cs="Arial"/>
          <w:szCs w:val="20"/>
          <w:lang w:val="en"/>
        </w:rPr>
        <w:t>ghout the Asia</w:t>
      </w:r>
      <w:r w:rsidR="001C5098" w:rsidRPr="00124637">
        <w:rPr>
          <w:rFonts w:cs="Arial"/>
          <w:szCs w:val="20"/>
          <w:lang w:val="en"/>
        </w:rPr>
        <w:t>–Pacific r</w:t>
      </w:r>
      <w:r w:rsidR="00C831B5" w:rsidRPr="00124637">
        <w:rPr>
          <w:rFonts w:cs="Arial"/>
          <w:szCs w:val="20"/>
          <w:lang w:val="en"/>
        </w:rPr>
        <w:t>egion.</w:t>
      </w:r>
    </w:p>
    <w:p w14:paraId="6B0AEDD5" w14:textId="77777777" w:rsidR="00E615FE" w:rsidRPr="00124637" w:rsidRDefault="00E615FE" w:rsidP="00E615FE">
      <w:pPr>
        <w:pStyle w:val="Heading2"/>
      </w:pPr>
      <w:bookmarkStart w:id="406" w:name="_Toc400018564"/>
      <w:bookmarkStart w:id="407" w:name="_Toc419122601"/>
      <w:bookmarkStart w:id="408" w:name="_Toc433703428"/>
      <w:bookmarkEnd w:id="402"/>
      <w:r w:rsidRPr="00124637">
        <w:lastRenderedPageBreak/>
        <w:t>Interactive gambling</w:t>
      </w:r>
      <w:bookmarkEnd w:id="406"/>
      <w:bookmarkEnd w:id="407"/>
      <w:bookmarkEnd w:id="408"/>
    </w:p>
    <w:p w14:paraId="1D52EDCE" w14:textId="77777777" w:rsidR="00C32AA7" w:rsidRPr="00124637" w:rsidRDefault="00C32AA7" w:rsidP="00124637">
      <w:pPr>
        <w:keepNext/>
        <w:spacing w:after="120"/>
        <w:rPr>
          <w:rFonts w:cs="Arial"/>
        </w:rPr>
      </w:pPr>
      <w:r w:rsidRPr="00124637">
        <w:rPr>
          <w:rFonts w:cs="Arial"/>
        </w:rPr>
        <w:t xml:space="preserve">In 2014–15, the ACMA received 178 complaints and general enquiries about the </w:t>
      </w:r>
      <w:r w:rsidR="00945007" w:rsidRPr="00124637">
        <w:rPr>
          <w:rFonts w:cs="Arial"/>
        </w:rPr>
        <w:t>IGA</w:t>
      </w:r>
      <w:r w:rsidRPr="00124637">
        <w:rPr>
          <w:rFonts w:cs="Arial"/>
        </w:rPr>
        <w:t>. The ACMA conducted:</w:t>
      </w:r>
    </w:p>
    <w:p w14:paraId="1179C132" w14:textId="77777777" w:rsidR="00C32AA7" w:rsidRPr="00124637" w:rsidRDefault="00C32AA7" w:rsidP="00124637">
      <w:pPr>
        <w:pStyle w:val="ListBullet"/>
        <w:keepNext/>
        <w:tabs>
          <w:tab w:val="clear" w:pos="295"/>
        </w:tabs>
        <w:ind w:left="284"/>
        <w:rPr>
          <w:rFonts w:cs="Arial"/>
        </w:rPr>
      </w:pPr>
      <w:r w:rsidRPr="00124637">
        <w:rPr>
          <w:rFonts w:cs="Arial"/>
        </w:rPr>
        <w:t>1</w:t>
      </w:r>
      <w:r w:rsidR="000D6C7C" w:rsidRPr="00124637">
        <w:rPr>
          <w:rFonts w:cs="Arial"/>
        </w:rPr>
        <w:t>0</w:t>
      </w:r>
      <w:r w:rsidRPr="00124637">
        <w:rPr>
          <w:rFonts w:cs="Arial"/>
        </w:rPr>
        <w:t xml:space="preserve"> investigations into overseas-hosted URLs, of which </w:t>
      </w:r>
      <w:r w:rsidR="000D6C7C" w:rsidRPr="00124637">
        <w:rPr>
          <w:rFonts w:cs="Arial"/>
        </w:rPr>
        <w:t>six</w:t>
      </w:r>
      <w:r w:rsidRPr="00124637">
        <w:rPr>
          <w:rFonts w:cs="Arial"/>
        </w:rPr>
        <w:t xml:space="preserve"> resulted in breach findings and were notified to accredited family-friendly filter providers and the AFP</w:t>
      </w:r>
      <w:r w:rsidR="00DF73DF" w:rsidRPr="00124637">
        <w:rPr>
          <w:rFonts w:cs="Arial"/>
          <w:vertAlign w:val="superscript"/>
        </w:rPr>
        <w:footnoteReference w:id="9"/>
      </w:r>
    </w:p>
    <w:p w14:paraId="06F547FA" w14:textId="77777777" w:rsidR="00C32AA7" w:rsidRPr="00124637" w:rsidRDefault="00C32AA7" w:rsidP="00AA196F">
      <w:pPr>
        <w:pStyle w:val="ListBullet"/>
        <w:tabs>
          <w:tab w:val="clear" w:pos="295"/>
        </w:tabs>
        <w:ind w:left="284"/>
        <w:rPr>
          <w:rFonts w:cs="Arial"/>
        </w:rPr>
      </w:pPr>
      <w:r w:rsidRPr="00124637">
        <w:rPr>
          <w:rFonts w:cs="Arial"/>
        </w:rPr>
        <w:t>1</w:t>
      </w:r>
      <w:r w:rsidR="000D6C7C" w:rsidRPr="00124637">
        <w:rPr>
          <w:rFonts w:cs="Arial"/>
        </w:rPr>
        <w:t>6</w:t>
      </w:r>
      <w:r w:rsidRPr="00124637">
        <w:rPr>
          <w:rFonts w:cs="Arial"/>
        </w:rPr>
        <w:t xml:space="preserve"> preliminary assessments of Australian-hosted URLs, of which </w:t>
      </w:r>
      <w:r w:rsidR="000D6C7C" w:rsidRPr="00124637">
        <w:rPr>
          <w:rFonts w:cs="Arial"/>
        </w:rPr>
        <w:t>six</w:t>
      </w:r>
      <w:r w:rsidRPr="00124637">
        <w:rPr>
          <w:rFonts w:cs="Arial"/>
        </w:rPr>
        <w:t xml:space="preserve"> were referred to the AFP</w:t>
      </w:r>
      <w:r w:rsidRPr="00124637">
        <w:rPr>
          <w:rFonts w:cs="Arial"/>
          <w:vertAlign w:val="superscript"/>
        </w:rPr>
        <w:footnoteReference w:id="10"/>
      </w:r>
      <w:r w:rsidRPr="00124637">
        <w:rPr>
          <w:rFonts w:cs="Arial"/>
          <w:vertAlign w:val="superscript"/>
        </w:rPr>
        <w:t xml:space="preserve"> </w:t>
      </w:r>
    </w:p>
    <w:p w14:paraId="0AD6E6C3" w14:textId="77777777" w:rsidR="00C32AA7" w:rsidRPr="00124637" w:rsidRDefault="00C32AA7" w:rsidP="00C32AA7">
      <w:pPr>
        <w:pStyle w:val="ListBulletLast"/>
      </w:pPr>
      <w:r w:rsidRPr="00124637">
        <w:t xml:space="preserve">13 preliminary assessments of interactive gambling advertising, </w:t>
      </w:r>
      <w:r w:rsidR="00DF73DF" w:rsidRPr="00124637">
        <w:t xml:space="preserve">all </w:t>
      </w:r>
      <w:r w:rsidRPr="00124637">
        <w:t>of which were referred to DoC.</w:t>
      </w:r>
    </w:p>
    <w:p w14:paraId="715F8F5E" w14:textId="77777777" w:rsidR="00BF6F04" w:rsidRPr="00124637" w:rsidRDefault="00BF6F04" w:rsidP="00CD7A55">
      <w:pPr>
        <w:pStyle w:val="Captionfigure"/>
        <w:spacing w:after="120"/>
        <w:rPr>
          <w:color w:val="auto"/>
        </w:rPr>
      </w:pPr>
      <w:r w:rsidRPr="00124637">
        <w:rPr>
          <w:color w:val="auto"/>
        </w:rPr>
        <w:t xml:space="preserve">Comparison of interactive gambling assessment outcomes in </w:t>
      </w:r>
      <w:r w:rsidR="00DF73DF" w:rsidRPr="00124637">
        <w:rPr>
          <w:color w:val="auto"/>
        </w:rPr>
        <w:br/>
      </w:r>
      <w:r w:rsidRPr="00124637">
        <w:rPr>
          <w:color w:val="auto"/>
        </w:rPr>
        <w:t>2014–15 by host location—IGA</w:t>
      </w:r>
    </w:p>
    <w:p w14:paraId="7A0C02C1" w14:textId="4C2934D7" w:rsidR="00BF6F04" w:rsidRPr="00C32AA7" w:rsidRDefault="00F10B23" w:rsidP="00BF6F04">
      <w:r>
        <w:rPr>
          <w:noProof/>
        </w:rPr>
        <w:drawing>
          <wp:inline distT="0" distB="0" distL="0" distR="0" wp14:anchorId="63DD017B" wp14:editId="4840B550">
            <wp:extent cx="4983700" cy="2739224"/>
            <wp:effectExtent l="0" t="0" r="7620" b="4445"/>
            <wp:docPr id="25" name="Picture 25" descr="Potentially prohibited (Australian-hosted) 31%, prohibited (overseas-hosted) 27%, not prohibited (overseas-hosted) 11%, not prohibited (Australian-hosted) 31%." title="Pie chart showing comparison of interactive gambling assessment outcomes in 2014-15 by host location, 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003538" cy="2750128"/>
                    </a:xfrm>
                    <a:prstGeom prst="rect">
                      <a:avLst/>
                    </a:prstGeom>
                  </pic:spPr>
                </pic:pic>
              </a:graphicData>
            </a:graphic>
          </wp:inline>
        </w:drawing>
      </w:r>
    </w:p>
    <w:p w14:paraId="39D29ED3" w14:textId="21875745" w:rsidR="000F2488" w:rsidRPr="00AA654C" w:rsidRDefault="00212A85" w:rsidP="000F2488">
      <w:pPr>
        <w:pStyle w:val="Heading1"/>
        <w:spacing w:after="120" w:line="360" w:lineRule="atLeast"/>
        <w:rPr>
          <w:color w:val="auto"/>
          <w:sz w:val="36"/>
          <w:szCs w:val="36"/>
        </w:rPr>
      </w:pPr>
      <w:bookmarkStart w:id="409" w:name="_Toc433703429"/>
      <w:r w:rsidRPr="00583E1B">
        <w:rPr>
          <w:i/>
          <w:noProof/>
          <w:color w:val="auto"/>
          <w:sz w:val="36"/>
          <w:szCs w:val="36"/>
        </w:rPr>
        <w:lastRenderedPageBreak/>
        <w:drawing>
          <wp:anchor distT="0" distB="0" distL="114300" distR="114300" simplePos="0" relativeHeight="251668480" behindDoc="1" locked="0" layoutInCell="1" allowOverlap="1" wp14:anchorId="7C6B13B0" wp14:editId="7CB4BAF2">
            <wp:simplePos x="0" y="0"/>
            <wp:positionH relativeFrom="column">
              <wp:posOffset>-243</wp:posOffset>
            </wp:positionH>
            <wp:positionV relativeFrom="paragraph">
              <wp:posOffset>338</wp:posOffset>
            </wp:positionV>
            <wp:extent cx="1181100" cy="1511300"/>
            <wp:effectExtent l="0" t="0" r="0" b="0"/>
            <wp:wrapTight wrapText="bothSides">
              <wp:wrapPolygon edited="0">
                <wp:start x="0" y="0"/>
                <wp:lineTo x="0" y="21237"/>
                <wp:lineTo x="21252" y="21237"/>
                <wp:lineTo x="21252" y="0"/>
                <wp:lineTo x="0" y="0"/>
              </wp:wrapPolygon>
            </wp:wrapTight>
            <wp:docPr id="21" name="Picture 21" title="Icon of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mputer.jpg"/>
                    <pic:cNvPicPr/>
                  </pic:nvPicPr>
                  <pic:blipFill>
                    <a:blip r:embed="rId45">
                      <a:extLst>
                        <a:ext uri="{28A0092B-C50C-407E-A947-70E740481C1C}">
                          <a14:useLocalDpi xmlns:a14="http://schemas.microsoft.com/office/drawing/2010/main" val="0"/>
                        </a:ext>
                      </a:extLst>
                    </a:blip>
                    <a:stretch>
                      <a:fillRect/>
                    </a:stretch>
                  </pic:blipFill>
                  <pic:spPr>
                    <a:xfrm>
                      <a:off x="0" y="0"/>
                      <a:ext cx="1181100" cy="1511300"/>
                    </a:xfrm>
                    <a:prstGeom prst="rect">
                      <a:avLst/>
                    </a:prstGeom>
                  </pic:spPr>
                </pic:pic>
              </a:graphicData>
            </a:graphic>
            <wp14:sizeRelH relativeFrom="page">
              <wp14:pctWidth>0</wp14:pctWidth>
            </wp14:sizeRelH>
            <wp14:sizeRelV relativeFrom="page">
              <wp14:pctHeight>0</wp14:pctHeight>
            </wp14:sizeRelV>
          </wp:anchor>
        </w:drawing>
      </w:r>
      <w:r w:rsidR="00163CCB" w:rsidRPr="00583E1B">
        <w:rPr>
          <w:i/>
          <w:color w:val="auto"/>
          <w:sz w:val="36"/>
          <w:szCs w:val="36"/>
        </w:rPr>
        <w:t>D</w:t>
      </w:r>
      <w:r w:rsidR="00583E1B" w:rsidRPr="00583E1B">
        <w:rPr>
          <w:i/>
          <w:color w:val="auto"/>
          <w:sz w:val="36"/>
          <w:szCs w:val="36"/>
        </w:rPr>
        <w:t>eliverable</w:t>
      </w:r>
      <w:r w:rsidR="00163CCB" w:rsidRPr="00AA654C">
        <w:rPr>
          <w:color w:val="auto"/>
          <w:sz w:val="36"/>
          <w:szCs w:val="36"/>
        </w:rPr>
        <w:t>: Promote engagement in the information economy and evolving networked society</w:t>
      </w:r>
      <w:bookmarkEnd w:id="409"/>
    </w:p>
    <w:p w14:paraId="6023D01A" w14:textId="77777777" w:rsidR="00163CCB" w:rsidRPr="00AA654C" w:rsidRDefault="00163CCB" w:rsidP="000F2488">
      <w:pPr>
        <w:pStyle w:val="Heading1"/>
        <w:pageBreakBefore w:val="0"/>
        <w:spacing w:after="120" w:line="360" w:lineRule="atLeast"/>
        <w:rPr>
          <w:color w:val="auto"/>
          <w:sz w:val="36"/>
          <w:szCs w:val="36"/>
        </w:rPr>
      </w:pPr>
      <w:bookmarkStart w:id="410" w:name="_Toc433703430"/>
      <w:r w:rsidRPr="00583E1B">
        <w:rPr>
          <w:i/>
          <w:color w:val="auto"/>
          <w:sz w:val="36"/>
          <w:szCs w:val="36"/>
        </w:rPr>
        <w:t>KPI</w:t>
      </w:r>
      <w:r w:rsidRPr="00AA654C">
        <w:rPr>
          <w:color w:val="auto"/>
          <w:sz w:val="36"/>
          <w:szCs w:val="36"/>
        </w:rPr>
        <w:t>: Citizens engage positively, confidently and securely in the developing information economy and evolving networked society</w:t>
      </w:r>
      <w:bookmarkEnd w:id="401"/>
      <w:bookmarkEnd w:id="410"/>
    </w:p>
    <w:p w14:paraId="58F37246" w14:textId="77777777" w:rsidR="00163CCB" w:rsidRPr="00124637" w:rsidRDefault="00163CCB" w:rsidP="00163CCB">
      <w:pPr>
        <w:pStyle w:val="Heading2"/>
      </w:pPr>
      <w:bookmarkStart w:id="411" w:name="promote_Ov"/>
      <w:bookmarkStart w:id="412" w:name="_Toc419122608"/>
      <w:bookmarkStart w:id="413" w:name="_Toc337727636"/>
      <w:bookmarkStart w:id="414" w:name="_Toc400018606"/>
      <w:bookmarkStart w:id="415" w:name="_Toc433703431"/>
      <w:bookmarkEnd w:id="411"/>
      <w:r w:rsidRPr="00124637">
        <w:t>Overview and significant outcomes</w:t>
      </w:r>
      <w:bookmarkEnd w:id="412"/>
      <w:bookmarkEnd w:id="415"/>
    </w:p>
    <w:p w14:paraId="0E73D8CD" w14:textId="77777777" w:rsidR="0076295E" w:rsidRPr="00124637" w:rsidRDefault="0076295E" w:rsidP="00F46A74">
      <w:r w:rsidRPr="00124637">
        <w:t>The ACMA’s activities continue to recognise the evolving character of the information economy and networked society by understanding how citizens engage or struggle to engage, addressing new and existing obstacles</w:t>
      </w:r>
      <w:r w:rsidR="00E4367B" w:rsidRPr="00124637">
        <w:t xml:space="preserve">, </w:t>
      </w:r>
      <w:r w:rsidRPr="00124637">
        <w:t>and providing enhanced tools for private sector partners to address these barriers.</w:t>
      </w:r>
    </w:p>
    <w:p w14:paraId="0D50DD22" w14:textId="77777777" w:rsidR="0076295E" w:rsidRPr="00124637" w:rsidRDefault="0076295E" w:rsidP="0076295E">
      <w:pPr>
        <w:spacing w:after="80"/>
        <w:rPr>
          <w:rFonts w:cs="Arial"/>
          <w:bCs/>
          <w:iCs/>
        </w:rPr>
      </w:pPr>
      <w:r w:rsidRPr="00124637">
        <w:rPr>
          <w:rFonts w:cs="Arial"/>
          <w:bCs/>
          <w:iCs/>
        </w:rPr>
        <w:t>During the reporting period:</w:t>
      </w:r>
    </w:p>
    <w:p w14:paraId="72401EB7" w14:textId="77777777" w:rsidR="0076295E" w:rsidRPr="00124637" w:rsidRDefault="0076295E" w:rsidP="0076295E">
      <w:pPr>
        <w:pStyle w:val="ListBullet"/>
      </w:pPr>
      <w:r w:rsidRPr="00124637">
        <w:t xml:space="preserve">Cybersmart continued to focus on maximising its reach into more Australian communities with customised online safety content. A key outcome of the program during 2014–15 was the delivery of its latest tailored, multi-award-winning resource, #GameOn, for use by upper primary and lower secondary school students. </w:t>
      </w:r>
    </w:p>
    <w:p w14:paraId="20E7499E" w14:textId="77777777" w:rsidR="0076295E" w:rsidRPr="00124637" w:rsidRDefault="0076295E" w:rsidP="0076295E">
      <w:pPr>
        <w:pStyle w:val="ListBullet"/>
      </w:pPr>
      <w:r w:rsidRPr="00124637">
        <w:t>A series of significant changes was made to the ACMA’s Australian Internet Security Initiative (AISI), including the launch of a dedicated member portal in November 2014.</w:t>
      </w:r>
    </w:p>
    <w:p w14:paraId="6400050B" w14:textId="77777777" w:rsidR="0076295E" w:rsidRPr="00124637" w:rsidRDefault="0076295E" w:rsidP="0076295E">
      <w:pPr>
        <w:pStyle w:val="ListBullet"/>
        <w:rPr>
          <w:rFonts w:cs="Arial"/>
          <w:bCs/>
          <w:iCs/>
        </w:rPr>
      </w:pPr>
      <w:r w:rsidRPr="00124637">
        <w:rPr>
          <w:szCs w:val="20"/>
        </w:rPr>
        <w:t>As part of the research</w:t>
      </w:r>
      <w:r w:rsidRPr="00124637">
        <w:rPr>
          <w:b/>
          <w:szCs w:val="20"/>
        </w:rPr>
        <w:t>acma</w:t>
      </w:r>
      <w:r w:rsidRPr="00124637">
        <w:rPr>
          <w:szCs w:val="20"/>
        </w:rPr>
        <w:t xml:space="preserve"> program, the</w:t>
      </w:r>
      <w:r w:rsidRPr="00124637">
        <w:t xml:space="preserve"> ACMA continued its series of short, fit</w:t>
      </w:r>
      <w:r w:rsidRPr="00124637">
        <w:noBreakHyphen/>
        <w:t xml:space="preserve">for-purpose research snapshots and also released 11 individual research reports. This included the flagship </w:t>
      </w:r>
      <w:r w:rsidRPr="00124637">
        <w:rPr>
          <w:i/>
        </w:rPr>
        <w:t>Communications report 2013–14</w:t>
      </w:r>
      <w:r w:rsidRPr="00124637">
        <w:t>, which was tabled in parliament on 3 December 2014.</w:t>
      </w:r>
    </w:p>
    <w:p w14:paraId="6FCE5E3F" w14:textId="77777777" w:rsidR="00DE2327" w:rsidRPr="00124637" w:rsidRDefault="00DE2327" w:rsidP="00DE2327">
      <w:pPr>
        <w:pStyle w:val="Heading2"/>
        <w:spacing w:before="360"/>
      </w:pPr>
      <w:bookmarkStart w:id="416" w:name="Cybersafety"/>
      <w:bookmarkStart w:id="417" w:name="_Toc433703432"/>
      <w:bookmarkEnd w:id="416"/>
      <w:r w:rsidRPr="00124637">
        <w:t>Cybersafety—the Cybersmart program</w:t>
      </w:r>
      <w:bookmarkEnd w:id="417"/>
    </w:p>
    <w:p w14:paraId="5B027C43" w14:textId="77777777" w:rsidR="00DE2327" w:rsidRPr="00124637" w:rsidRDefault="00DE2327" w:rsidP="00DE2327">
      <w:pPr>
        <w:rPr>
          <w:rFonts w:cs="Arial"/>
        </w:rPr>
      </w:pPr>
      <w:r w:rsidRPr="00124637">
        <w:rPr>
          <w:rFonts w:cs="Arial"/>
        </w:rPr>
        <w:t>The ACMA manages a national cybersafety education program, a role confer</w:t>
      </w:r>
      <w:r w:rsidR="00EA438E" w:rsidRPr="00124637">
        <w:rPr>
          <w:rFonts w:cs="Arial"/>
        </w:rPr>
        <w:t>red on it under s</w:t>
      </w:r>
      <w:r w:rsidRPr="00124637">
        <w:rPr>
          <w:rFonts w:cs="Arial"/>
        </w:rPr>
        <w:t>chedule</w:t>
      </w:r>
      <w:r w:rsidR="00EA438E" w:rsidRPr="00124637">
        <w:rPr>
          <w:rFonts w:cs="Arial"/>
        </w:rPr>
        <w:t>s</w:t>
      </w:r>
      <w:r w:rsidRPr="00124637">
        <w:rPr>
          <w:rFonts w:cs="Arial"/>
        </w:rPr>
        <w:t xml:space="preserve"> 5 and 7 of the BSA. </w:t>
      </w:r>
    </w:p>
    <w:p w14:paraId="09660D68" w14:textId="77777777" w:rsidR="00EA438E" w:rsidRPr="00124637" w:rsidRDefault="00DE2327" w:rsidP="00EA438E">
      <w:pPr>
        <w:keepNext/>
        <w:spacing w:after="80"/>
        <w:rPr>
          <w:rFonts w:cs="Arial"/>
        </w:rPr>
      </w:pPr>
      <w:r w:rsidRPr="00124637">
        <w:rPr>
          <w:rFonts w:cs="Arial"/>
        </w:rPr>
        <w:t>In 2014–15, cybersafety community educa</w:t>
      </w:r>
      <w:r w:rsidR="00EA438E" w:rsidRPr="00124637">
        <w:rPr>
          <w:rFonts w:cs="Arial"/>
        </w:rPr>
        <w:t xml:space="preserve">tion activities centred on the </w:t>
      </w:r>
      <w:r w:rsidRPr="00124637">
        <w:t>deployment of online safety presentations and pre-se</w:t>
      </w:r>
      <w:r w:rsidR="00EA438E" w:rsidRPr="00124637">
        <w:t>rvice teacher training, including:</w:t>
      </w:r>
    </w:p>
    <w:p w14:paraId="2B1CF3F3" w14:textId="77777777" w:rsidR="00EA438E" w:rsidRPr="00124637" w:rsidRDefault="00EA438E" w:rsidP="00EA438E">
      <w:pPr>
        <w:pStyle w:val="ListBullet"/>
      </w:pPr>
      <w:r w:rsidRPr="00124637">
        <w:t>introducing</w:t>
      </w:r>
      <w:r w:rsidR="00DE2327" w:rsidRPr="00124637">
        <w:t xml:space="preserve"> virtual delivery methods to expand </w:t>
      </w:r>
      <w:r w:rsidRPr="00124637">
        <w:t>the potential audience</w:t>
      </w:r>
    </w:p>
    <w:p w14:paraId="10C7685A" w14:textId="77777777" w:rsidR="00DE2327" w:rsidRPr="00124637" w:rsidRDefault="00EA438E" w:rsidP="00DE2327">
      <w:pPr>
        <w:pStyle w:val="ListBulletLast"/>
      </w:pPr>
      <w:r w:rsidRPr="00124637">
        <w:t xml:space="preserve">producing </w:t>
      </w:r>
      <w:r w:rsidR="00DE2327" w:rsidRPr="00124637">
        <w:t xml:space="preserve">information material </w:t>
      </w:r>
      <w:r w:rsidRPr="00124637">
        <w:t>to help</w:t>
      </w:r>
      <w:r w:rsidR="00DE2327" w:rsidRPr="00124637">
        <w:t xml:space="preserve"> schools, pre-service teachers and parents develop </w:t>
      </w:r>
      <w:r w:rsidRPr="00124637">
        <w:t xml:space="preserve">the necessary </w:t>
      </w:r>
      <w:r w:rsidR="00DE2327" w:rsidRPr="00124637">
        <w:t xml:space="preserve">skills to use digital technologies </w:t>
      </w:r>
      <w:r w:rsidRPr="00124637">
        <w:t>confidently and safel</w:t>
      </w:r>
      <w:r w:rsidR="00DE2327" w:rsidRPr="00124637">
        <w:t>y.</w:t>
      </w:r>
    </w:p>
    <w:p w14:paraId="4CFB0B94" w14:textId="77777777" w:rsidR="00DE2327" w:rsidRPr="00124637" w:rsidRDefault="00DE2327" w:rsidP="00DE2327">
      <w:pPr>
        <w:rPr>
          <w:rFonts w:cs="Arial"/>
          <w:szCs w:val="20"/>
        </w:rPr>
      </w:pPr>
      <w:r w:rsidRPr="00124637">
        <w:rPr>
          <w:rFonts w:cs="Arial"/>
          <w:szCs w:val="20"/>
        </w:rPr>
        <w:t xml:space="preserve">The </w:t>
      </w:r>
      <w:r w:rsidRPr="00124637">
        <w:rPr>
          <w:rFonts w:cs="Arial"/>
        </w:rPr>
        <w:t>Cybersmart website</w:t>
      </w:r>
      <w:r w:rsidRPr="00124637">
        <w:rPr>
          <w:rFonts w:cs="Arial"/>
          <w:szCs w:val="20"/>
        </w:rPr>
        <w:t xml:space="preserve"> is the main portal for hosting and delivering cybersafety information and resources to students, parents and teachers. </w:t>
      </w:r>
    </w:p>
    <w:p w14:paraId="55F80029" w14:textId="77777777" w:rsidR="00DE2327" w:rsidRPr="00124637" w:rsidRDefault="00DE2327" w:rsidP="00DE2327">
      <w:pPr>
        <w:rPr>
          <w:rFonts w:cs="Arial"/>
          <w:szCs w:val="20"/>
        </w:rPr>
      </w:pPr>
      <w:r w:rsidRPr="00124637">
        <w:rPr>
          <w:rFonts w:cs="Arial"/>
          <w:szCs w:val="20"/>
        </w:rPr>
        <w:t>In 2</w:t>
      </w:r>
      <w:r w:rsidR="00C831B5" w:rsidRPr="00124637">
        <w:rPr>
          <w:rFonts w:cs="Arial"/>
          <w:szCs w:val="20"/>
        </w:rPr>
        <w:t xml:space="preserve">014–15, the site had 1,310,682 </w:t>
      </w:r>
      <w:r w:rsidRPr="00124637">
        <w:rPr>
          <w:rFonts w:cs="Arial"/>
          <w:szCs w:val="20"/>
        </w:rPr>
        <w:t xml:space="preserve">visitors and 5,850,073 page views. Since the site’s July 2009 launch, there have been over 5.26 million visitors and more than 34.4 million page views. </w:t>
      </w:r>
    </w:p>
    <w:p w14:paraId="262B051B" w14:textId="77777777" w:rsidR="00DE2327" w:rsidRPr="00124637" w:rsidRDefault="00DE2327" w:rsidP="00DE2327">
      <w:r w:rsidRPr="00124637">
        <w:t>In the reporting period, Cybersmart continued to engage directly with target audiences on social media platforms such as Facebook, Twitter and YouTube</w:t>
      </w:r>
      <w:r w:rsidR="00EA438E" w:rsidRPr="00124637">
        <w:t>. A</w:t>
      </w:r>
      <w:r w:rsidRPr="00124637">
        <w:t xml:space="preserve">udience-specific </w:t>
      </w:r>
      <w:r w:rsidRPr="00124637">
        <w:lastRenderedPageBreak/>
        <w:t>content, videos, expert interviews, and curren</w:t>
      </w:r>
      <w:r w:rsidR="00C831B5" w:rsidRPr="00124637">
        <w:t>t cybersafety news and trends</w:t>
      </w:r>
      <w:r w:rsidRPr="00124637">
        <w:t xml:space="preserve"> collectively attract</w:t>
      </w:r>
      <w:r w:rsidR="00EA438E" w:rsidRPr="00124637">
        <w:t>ed</w:t>
      </w:r>
      <w:r w:rsidRPr="00124637">
        <w:t xml:space="preserve"> thousands of readers. </w:t>
      </w:r>
    </w:p>
    <w:p w14:paraId="5B6F98FA" w14:textId="77777777" w:rsidR="00DE2327" w:rsidRPr="00124637" w:rsidRDefault="00DE2327" w:rsidP="00DE2327">
      <w:r w:rsidRPr="00124637">
        <w:t>Cybersmart continues to provide access to a Helpline service for young people that offers real-time online and telephone professional counselling and advice about issues such as cyberbullying. Delivered in partnership with Kids Helpline, the service is free and confidential. The Cybersmart program continues to be the lead referral point for</w:t>
      </w:r>
      <w:r w:rsidR="00EA438E" w:rsidRPr="00124637">
        <w:t xml:space="preserve"> young people accessing the Kid</w:t>
      </w:r>
      <w:r w:rsidRPr="00124637">
        <w:t xml:space="preserve">s Helpline service. </w:t>
      </w:r>
    </w:p>
    <w:p w14:paraId="634C8330" w14:textId="77777777" w:rsidR="00DE2327" w:rsidRPr="00124637" w:rsidRDefault="00DE2327" w:rsidP="00DE2327">
      <w:pPr>
        <w:pStyle w:val="Heading3"/>
      </w:pPr>
      <w:bookmarkStart w:id="418" w:name="_Toc433703433"/>
      <w:r w:rsidRPr="00124637">
        <w:t>New Cybersmart education resources</w:t>
      </w:r>
      <w:bookmarkEnd w:id="418"/>
      <w:r w:rsidRPr="00124637">
        <w:t xml:space="preserve"> </w:t>
      </w:r>
    </w:p>
    <w:p w14:paraId="0951B683" w14:textId="77777777" w:rsidR="00EA438E" w:rsidRPr="00124637" w:rsidRDefault="00DE2327" w:rsidP="00EA438E">
      <w:pPr>
        <w:spacing w:after="80"/>
        <w:rPr>
          <w:rFonts w:cs="Arial"/>
        </w:rPr>
      </w:pPr>
      <w:r w:rsidRPr="00124637">
        <w:rPr>
          <w:rFonts w:cs="Arial"/>
        </w:rPr>
        <w:t>On 16 October 2014, Cybersmart released its latest su</w:t>
      </w:r>
      <w:r w:rsidR="00EA438E" w:rsidRPr="00124637">
        <w:rPr>
          <w:rFonts w:cs="Arial"/>
        </w:rPr>
        <w:t>ite of online safety resources—</w:t>
      </w:r>
      <w:r w:rsidRPr="00124637">
        <w:rPr>
          <w:rFonts w:cs="Arial"/>
        </w:rPr>
        <w:t>#GameOn, a series of videos for upper primary and lower secondary school students with accompanying lesson plans for teachers. #GameOn explore</w:t>
      </w:r>
      <w:r w:rsidR="00EA438E" w:rsidRPr="00124637">
        <w:rPr>
          <w:rFonts w:cs="Arial"/>
        </w:rPr>
        <w:t>s</w:t>
      </w:r>
      <w:r w:rsidRPr="00124637">
        <w:rPr>
          <w:rFonts w:cs="Arial"/>
        </w:rPr>
        <w:t xml:space="preserve"> online safety issues of particular concern to that age group</w:t>
      </w:r>
      <w:r w:rsidR="00EA438E" w:rsidRPr="00124637">
        <w:rPr>
          <w:rFonts w:cs="Arial"/>
        </w:rPr>
        <w:t>, including</w:t>
      </w:r>
      <w:r w:rsidRPr="00124637">
        <w:rPr>
          <w:rFonts w:cs="Arial"/>
        </w:rPr>
        <w:t xml:space="preserve"> cyberbullying, excessive gaming, sharing passwords and managing online friends. </w:t>
      </w:r>
      <w:r w:rsidR="002840EF" w:rsidRPr="00124637">
        <w:rPr>
          <w:rFonts w:cs="Arial"/>
        </w:rPr>
        <w:t xml:space="preserve">During 2014–15, </w:t>
      </w:r>
      <w:r w:rsidRPr="00124637">
        <w:rPr>
          <w:rFonts w:cs="Arial"/>
        </w:rPr>
        <w:t>#GameOn won a number of international awards</w:t>
      </w:r>
      <w:r w:rsidR="002840EF" w:rsidRPr="00124637">
        <w:rPr>
          <w:rFonts w:cs="Arial"/>
        </w:rPr>
        <w:t>,</w:t>
      </w:r>
      <w:r w:rsidRPr="00124637">
        <w:rPr>
          <w:rFonts w:cs="Arial"/>
        </w:rPr>
        <w:t xml:space="preserve"> including</w:t>
      </w:r>
      <w:r w:rsidR="00EA438E" w:rsidRPr="00124637">
        <w:rPr>
          <w:rFonts w:cs="Arial"/>
        </w:rPr>
        <w:t>:</w:t>
      </w:r>
    </w:p>
    <w:p w14:paraId="1ED36C8D" w14:textId="77777777" w:rsidR="00EA438E" w:rsidRPr="00124637" w:rsidRDefault="00DE2327" w:rsidP="00EA438E">
      <w:pPr>
        <w:pStyle w:val="ListBullet"/>
        <w:rPr>
          <w:rFonts w:cs="Arial"/>
        </w:rPr>
      </w:pPr>
      <w:r w:rsidRPr="00124637">
        <w:rPr>
          <w:rFonts w:cs="Arial"/>
        </w:rPr>
        <w:t>Gold in the Education – Middle School category a</w:t>
      </w:r>
      <w:r w:rsidR="002840EF" w:rsidRPr="00124637">
        <w:rPr>
          <w:rFonts w:cs="Arial"/>
        </w:rPr>
        <w:t>t the World Media Festival—6 </w:t>
      </w:r>
      <w:r w:rsidRPr="00124637">
        <w:rPr>
          <w:rFonts w:cs="Arial"/>
        </w:rPr>
        <w:t>May 2015</w:t>
      </w:r>
      <w:r w:rsidR="002840EF" w:rsidRPr="00124637">
        <w:rPr>
          <w:rFonts w:cs="Arial"/>
        </w:rPr>
        <w:t>,</w:t>
      </w:r>
      <w:r w:rsidRPr="00124637">
        <w:rPr>
          <w:rFonts w:cs="Arial"/>
        </w:rPr>
        <w:t xml:space="preserve"> Hamburg</w:t>
      </w:r>
    </w:p>
    <w:p w14:paraId="2FF8101A" w14:textId="77777777" w:rsidR="00DE2327" w:rsidRPr="00124637" w:rsidRDefault="00DE2327" w:rsidP="00EA438E">
      <w:pPr>
        <w:pStyle w:val="ListBulletLast"/>
      </w:pPr>
      <w:r w:rsidRPr="00124637">
        <w:t>Silver in the Online Educational Program category at the New York Festivals International Television &amp; Film Awards</w:t>
      </w:r>
      <w:r w:rsidR="002840EF" w:rsidRPr="00124637">
        <w:t>—</w:t>
      </w:r>
      <w:r w:rsidRPr="00124637">
        <w:t>14 April 2015</w:t>
      </w:r>
      <w:r w:rsidR="002840EF" w:rsidRPr="00124637">
        <w:t>,</w:t>
      </w:r>
      <w:r w:rsidRPr="00124637">
        <w:t xml:space="preserve"> Las Vegas.</w:t>
      </w:r>
    </w:p>
    <w:p w14:paraId="5A8E75BC" w14:textId="77777777" w:rsidR="00DE2327" w:rsidRPr="00124637" w:rsidRDefault="00DE2327" w:rsidP="00DE2327">
      <w:pPr>
        <w:pStyle w:val="Heading3"/>
      </w:pPr>
      <w:bookmarkStart w:id="419" w:name="_Toc433703434"/>
      <w:r w:rsidRPr="00124637">
        <w:t>Cybersmart Outreach program</w:t>
      </w:r>
      <w:bookmarkEnd w:id="419"/>
    </w:p>
    <w:p w14:paraId="2647814B" w14:textId="0D0DF293" w:rsidR="00DE2327" w:rsidRPr="00124637" w:rsidRDefault="00DE2327" w:rsidP="0017212E">
      <w:r w:rsidRPr="00124637">
        <w:t xml:space="preserve">Cybersmart Outreach supports an extensive education program for school students, </w:t>
      </w:r>
      <w:r w:rsidRPr="00124637">
        <w:rPr>
          <w:rFonts w:cs="Arial"/>
        </w:rPr>
        <w:t>teachers</w:t>
      </w:r>
      <w:r w:rsidRPr="00124637">
        <w:t xml:space="preserve"> and parents. Table </w:t>
      </w:r>
      <w:r w:rsidR="002840EF" w:rsidRPr="00124637">
        <w:t>31</w:t>
      </w:r>
      <w:r w:rsidRPr="00124637">
        <w:t xml:space="preserve"> provides an overview of k</w:t>
      </w:r>
      <w:r w:rsidR="002840EF" w:rsidRPr="00124637">
        <w:t>ey performance metrics for 2014–</w:t>
      </w:r>
      <w:r w:rsidR="00F10B23">
        <w:t>15.</w:t>
      </w:r>
    </w:p>
    <w:p w14:paraId="2037E57A" w14:textId="77777777" w:rsidR="0017212E" w:rsidRPr="00124637" w:rsidRDefault="0017212E" w:rsidP="0017212E">
      <w:pPr>
        <w:pStyle w:val="Caption"/>
        <w:keepNext/>
        <w:spacing w:after="120"/>
        <w:rPr>
          <w:color w:val="auto"/>
        </w:rPr>
      </w:pPr>
      <w:r w:rsidRPr="00124637">
        <w:rPr>
          <w:color w:val="auto"/>
        </w:rPr>
        <w:lastRenderedPageBreak/>
        <w:t>ACMA cybersafety initiatives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394"/>
        <w:gridCol w:w="2268"/>
        <w:gridCol w:w="1843"/>
      </w:tblGrid>
      <w:tr w:rsidR="0017212E" w:rsidRPr="00DE2327" w14:paraId="027361C9" w14:textId="77777777" w:rsidTr="00800C4D">
        <w:trPr>
          <w:cantSplit/>
        </w:trPr>
        <w:tc>
          <w:tcPr>
            <w:tcW w:w="5354"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Mar>
              <w:top w:w="28" w:type="dxa"/>
              <w:left w:w="108" w:type="dxa"/>
              <w:bottom w:w="28" w:type="dxa"/>
              <w:right w:w="108" w:type="dxa"/>
            </w:tcMar>
            <w:hideMark/>
          </w:tcPr>
          <w:p w14:paraId="1B6B3AE3" w14:textId="77777777" w:rsidR="0017212E" w:rsidRPr="0017212E" w:rsidRDefault="0017212E" w:rsidP="007E5C66">
            <w:pPr>
              <w:pStyle w:val="TableHeading"/>
              <w:keepNext/>
              <w:keepLines/>
              <w:ind w:left="1"/>
              <w:rPr>
                <w:rFonts w:cs="Arial"/>
                <w:color w:val="FFFFFF" w:themeColor="background1"/>
              </w:rPr>
            </w:pPr>
            <w:r w:rsidRPr="0017212E">
              <w:rPr>
                <w:rFonts w:cs="Arial"/>
                <w:color w:val="FFFFFF" w:themeColor="background1"/>
              </w:rPr>
              <w:t>Type of initiative</w:t>
            </w:r>
          </w:p>
        </w:tc>
        <w:tc>
          <w:tcPr>
            <w:tcW w:w="2268"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28" w:type="dxa"/>
              <w:left w:w="108" w:type="dxa"/>
              <w:bottom w:w="28" w:type="dxa"/>
              <w:right w:w="108" w:type="dxa"/>
            </w:tcMar>
            <w:hideMark/>
          </w:tcPr>
          <w:p w14:paraId="7BBEC777" w14:textId="77777777" w:rsidR="0017212E" w:rsidRPr="0017212E" w:rsidRDefault="0017212E" w:rsidP="007E5C66">
            <w:pPr>
              <w:pStyle w:val="TableHeading"/>
              <w:keepNext/>
              <w:keepLines/>
              <w:rPr>
                <w:rFonts w:cs="Arial"/>
                <w:color w:val="FFFFFF" w:themeColor="background1"/>
              </w:rPr>
            </w:pPr>
            <w:r w:rsidRPr="0017212E">
              <w:rPr>
                <w:rFonts w:cs="Arial"/>
                <w:color w:val="FFFFFF" w:themeColor="background1"/>
              </w:rPr>
              <w:t>2014–15</w:t>
            </w:r>
          </w:p>
        </w:tc>
        <w:tc>
          <w:tcPr>
            <w:tcW w:w="1843" w:type="dxa"/>
            <w:tcBorders>
              <w:top w:val="single" w:sz="4" w:space="0" w:color="auto"/>
              <w:left w:val="single" w:sz="4" w:space="0" w:color="auto"/>
              <w:bottom w:val="single" w:sz="4" w:space="0" w:color="auto"/>
              <w:right w:val="single" w:sz="4" w:space="0" w:color="auto"/>
            </w:tcBorders>
            <w:shd w:val="clear" w:color="auto" w:fill="404040" w:themeFill="text1" w:themeFillTint="BF"/>
            <w:tcMar>
              <w:top w:w="28" w:type="dxa"/>
              <w:left w:w="108" w:type="dxa"/>
              <w:bottom w:w="28" w:type="dxa"/>
              <w:right w:w="108" w:type="dxa"/>
            </w:tcMar>
            <w:hideMark/>
          </w:tcPr>
          <w:p w14:paraId="60F7187D" w14:textId="77777777" w:rsidR="0017212E" w:rsidRPr="0017212E" w:rsidRDefault="0017212E" w:rsidP="007E5C66">
            <w:pPr>
              <w:pStyle w:val="TableHeading"/>
              <w:keepNext/>
              <w:keepLines/>
              <w:jc w:val="right"/>
              <w:rPr>
                <w:rFonts w:cs="Arial"/>
                <w:color w:val="FFFFFF" w:themeColor="background1"/>
              </w:rPr>
            </w:pPr>
            <w:r w:rsidRPr="0017212E">
              <w:rPr>
                <w:rFonts w:cs="Arial"/>
                <w:color w:val="FFFFFF" w:themeColor="background1"/>
              </w:rPr>
              <w:t>Total to date</w:t>
            </w:r>
          </w:p>
        </w:tc>
      </w:tr>
      <w:tr w:rsidR="0017212E" w:rsidRPr="00DE2327" w14:paraId="4C81CA2B" w14:textId="77777777" w:rsidTr="00800C4D">
        <w:trPr>
          <w:cantSplit/>
        </w:trPr>
        <w:tc>
          <w:tcPr>
            <w:tcW w:w="946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7AFE7D" w14:textId="77777777" w:rsidR="0017212E" w:rsidRPr="00124637" w:rsidRDefault="0017212E" w:rsidP="007E5C66">
            <w:pPr>
              <w:keepNext/>
              <w:keepLines/>
              <w:spacing w:after="80"/>
              <w:ind w:left="1"/>
              <w:rPr>
                <w:rFonts w:cs="Arial"/>
              </w:rPr>
            </w:pPr>
            <w:r w:rsidRPr="00124637">
              <w:rPr>
                <w:rFonts w:cs="Arial"/>
              </w:rPr>
              <w:t>Internet Safety Awareness presentations</w:t>
            </w:r>
            <w:r w:rsidRPr="00124637">
              <w:rPr>
                <w:rFonts w:cs="Arial"/>
              </w:rPr>
              <w:br/>
            </w:r>
            <w:r w:rsidRPr="00124637">
              <w:rPr>
                <w:rFonts w:cs="Arial"/>
                <w:sz w:val="16"/>
                <w:szCs w:val="16"/>
              </w:rPr>
              <w:t>(available since January 2009)</w:t>
            </w:r>
          </w:p>
        </w:tc>
      </w:tr>
      <w:tr w:rsidR="0017212E" w:rsidRPr="00DE2327" w14:paraId="4BE59EDE"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2A35AC6A"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8241B59" w14:textId="77777777" w:rsidR="0017212E" w:rsidRPr="007E5C66" w:rsidRDefault="0017212E" w:rsidP="007E5C66">
            <w:pPr>
              <w:keepNext/>
              <w:keepLines/>
              <w:spacing w:after="80"/>
              <w:ind w:left="33"/>
              <w:rPr>
                <w:rFonts w:cs="Arial"/>
              </w:rPr>
            </w:pPr>
            <w:r w:rsidRPr="007E5C66">
              <w:rPr>
                <w:rFonts w:cs="Arial"/>
              </w:rPr>
              <w:t>Events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3A120D" w14:textId="77777777" w:rsidR="0017212E" w:rsidRPr="00124637" w:rsidRDefault="0017212E" w:rsidP="007E5C66">
            <w:pPr>
              <w:keepNext/>
              <w:keepLines/>
              <w:spacing w:after="80"/>
              <w:ind w:left="34"/>
              <w:rPr>
                <w:rFonts w:cs="Arial"/>
              </w:rPr>
            </w:pPr>
            <w:r w:rsidRPr="00124637">
              <w:t>1,786</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D36C10" w14:textId="77777777" w:rsidR="0017212E" w:rsidRPr="00124637" w:rsidRDefault="0017212E" w:rsidP="007E5C66">
            <w:pPr>
              <w:keepNext/>
              <w:keepLines/>
              <w:spacing w:after="80"/>
              <w:ind w:left="33"/>
              <w:jc w:val="right"/>
              <w:rPr>
                <w:rFonts w:cs="Arial"/>
              </w:rPr>
            </w:pPr>
            <w:r w:rsidRPr="00124637">
              <w:t>10,845</w:t>
            </w:r>
          </w:p>
        </w:tc>
      </w:tr>
      <w:tr w:rsidR="0017212E" w:rsidRPr="00DE2327" w14:paraId="0C7FC002"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430C8AA2"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532F367A" w14:textId="77777777" w:rsidR="0017212E" w:rsidRPr="007E5C66" w:rsidRDefault="0017212E" w:rsidP="007E5C66">
            <w:pPr>
              <w:keepNext/>
              <w:keepLines/>
              <w:spacing w:after="80"/>
              <w:ind w:left="33"/>
              <w:rPr>
                <w:rFonts w:cs="Arial"/>
              </w:rPr>
            </w:pPr>
            <w:r w:rsidRPr="007E5C66">
              <w:rPr>
                <w:rFonts w:cs="Arial"/>
              </w:rPr>
              <w:t>Attendees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549C70D" w14:textId="77777777" w:rsidR="0017212E" w:rsidRPr="00124637" w:rsidRDefault="0017212E" w:rsidP="007E5C66">
            <w:pPr>
              <w:keepNext/>
              <w:keepLines/>
              <w:spacing w:after="80"/>
              <w:rPr>
                <w:rFonts w:cs="Arial"/>
              </w:rPr>
            </w:pPr>
            <w:r w:rsidRPr="00124637">
              <w:t>209,308</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662AAC" w14:textId="77777777" w:rsidR="0017212E" w:rsidRPr="00124637" w:rsidRDefault="0017212E" w:rsidP="007E5C66">
            <w:pPr>
              <w:keepNext/>
              <w:keepLines/>
              <w:spacing w:after="80"/>
              <w:jc w:val="right"/>
              <w:rPr>
                <w:rFonts w:cs="Arial"/>
              </w:rPr>
            </w:pPr>
            <w:r w:rsidRPr="00124637">
              <w:t>1,165,985</w:t>
            </w:r>
          </w:p>
        </w:tc>
      </w:tr>
      <w:tr w:rsidR="0017212E" w:rsidRPr="00DE2327" w14:paraId="4148151E" w14:textId="77777777" w:rsidTr="00800C4D">
        <w:trPr>
          <w:cantSplit/>
        </w:trPr>
        <w:tc>
          <w:tcPr>
            <w:tcW w:w="946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BF5D70F" w14:textId="77777777" w:rsidR="0017212E" w:rsidRPr="007E5C66" w:rsidRDefault="0017212E" w:rsidP="007E5C66">
            <w:pPr>
              <w:keepNext/>
              <w:keepLines/>
              <w:spacing w:after="80"/>
              <w:ind w:left="1"/>
              <w:rPr>
                <w:rFonts w:cs="Arial"/>
              </w:rPr>
            </w:pPr>
            <w:r w:rsidRPr="007E5C66">
              <w:rPr>
                <w:rFonts w:cs="Arial"/>
              </w:rPr>
              <w:t>Professional Development workshops</w:t>
            </w:r>
            <w:r w:rsidRPr="007E5C66">
              <w:rPr>
                <w:rFonts w:cs="Arial"/>
              </w:rPr>
              <w:br/>
            </w:r>
            <w:r w:rsidRPr="007E5C66">
              <w:rPr>
                <w:rFonts w:cs="Arial"/>
                <w:sz w:val="16"/>
                <w:szCs w:val="16"/>
              </w:rPr>
              <w:t>(available since January 2009)</w:t>
            </w:r>
          </w:p>
        </w:tc>
      </w:tr>
      <w:tr w:rsidR="0017212E" w:rsidRPr="00DE2327" w14:paraId="01B9FC70"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055F025C"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28EA2A76" w14:textId="77777777" w:rsidR="0017212E" w:rsidRPr="007E5C66" w:rsidRDefault="0017212E" w:rsidP="007E5C66">
            <w:pPr>
              <w:keepNext/>
              <w:keepLines/>
              <w:spacing w:after="80"/>
              <w:rPr>
                <w:rFonts w:cs="Arial"/>
              </w:rPr>
            </w:pPr>
            <w:r w:rsidRPr="007E5C66">
              <w:rPr>
                <w:rFonts w:cs="Arial"/>
              </w:rPr>
              <w:t>Events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6BBCB2" w14:textId="77777777" w:rsidR="0017212E" w:rsidRPr="00124637" w:rsidRDefault="0017212E" w:rsidP="007E5C66">
            <w:pPr>
              <w:keepNext/>
              <w:keepLines/>
              <w:spacing w:after="80"/>
              <w:rPr>
                <w:rFonts w:cs="Arial"/>
              </w:rPr>
            </w:pPr>
            <w:r w:rsidRPr="00124637">
              <w:t>22</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32CB9C" w14:textId="77777777" w:rsidR="0017212E" w:rsidRPr="00124637" w:rsidRDefault="0017212E" w:rsidP="007E5C66">
            <w:pPr>
              <w:keepNext/>
              <w:keepLines/>
              <w:spacing w:after="80"/>
              <w:jc w:val="right"/>
              <w:rPr>
                <w:rFonts w:cs="Arial"/>
              </w:rPr>
            </w:pPr>
            <w:r w:rsidRPr="00124637">
              <w:t>603</w:t>
            </w:r>
          </w:p>
        </w:tc>
      </w:tr>
      <w:tr w:rsidR="0017212E" w:rsidRPr="00DE2327" w14:paraId="29D36C12"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57160338"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02864D79" w14:textId="77777777" w:rsidR="0017212E" w:rsidRPr="007E5C66" w:rsidRDefault="0017212E" w:rsidP="007E5C66">
            <w:pPr>
              <w:keepNext/>
              <w:keepLines/>
              <w:spacing w:after="80"/>
              <w:rPr>
                <w:rFonts w:cs="Arial"/>
              </w:rPr>
            </w:pPr>
            <w:r w:rsidRPr="007E5C66">
              <w:rPr>
                <w:rFonts w:cs="Arial"/>
              </w:rPr>
              <w:t>Attendees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56C211" w14:textId="77777777" w:rsidR="0017212E" w:rsidRPr="00124637" w:rsidRDefault="0017212E" w:rsidP="007E5C66">
            <w:pPr>
              <w:keepNext/>
              <w:keepLines/>
              <w:spacing w:after="80"/>
              <w:rPr>
                <w:rFonts w:cs="Arial"/>
              </w:rPr>
            </w:pPr>
            <w:r w:rsidRPr="00124637">
              <w:t>665</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5FFF57" w14:textId="77777777" w:rsidR="0017212E" w:rsidRPr="00124637" w:rsidRDefault="0017212E" w:rsidP="007E5C66">
            <w:pPr>
              <w:keepNext/>
              <w:keepLines/>
              <w:spacing w:after="80"/>
              <w:jc w:val="right"/>
              <w:rPr>
                <w:rFonts w:cs="Arial"/>
              </w:rPr>
            </w:pPr>
            <w:r w:rsidRPr="00124637">
              <w:t>15,034</w:t>
            </w:r>
          </w:p>
        </w:tc>
      </w:tr>
      <w:tr w:rsidR="0017212E" w:rsidRPr="00DE2327" w14:paraId="3F67ACDE" w14:textId="77777777" w:rsidTr="00800C4D">
        <w:trPr>
          <w:cantSplit/>
        </w:trPr>
        <w:tc>
          <w:tcPr>
            <w:tcW w:w="946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E5C29C" w14:textId="77777777" w:rsidR="0017212E" w:rsidRPr="007E5C66" w:rsidRDefault="0017212E" w:rsidP="007E5C66">
            <w:pPr>
              <w:keepNext/>
              <w:keepLines/>
              <w:spacing w:after="80"/>
              <w:ind w:left="1"/>
              <w:rPr>
                <w:rFonts w:cs="Arial"/>
              </w:rPr>
            </w:pPr>
            <w:r w:rsidRPr="007E5C66">
              <w:rPr>
                <w:rFonts w:cs="Arial"/>
              </w:rPr>
              <w:t>Pre-Service Teacher Program</w:t>
            </w:r>
            <w:r w:rsidRPr="007E5C66">
              <w:rPr>
                <w:rFonts w:cs="Arial"/>
              </w:rPr>
              <w:br/>
            </w:r>
            <w:r w:rsidRPr="007E5C66">
              <w:rPr>
                <w:rFonts w:cs="Arial"/>
                <w:sz w:val="16"/>
                <w:szCs w:val="16"/>
              </w:rPr>
              <w:t>(available since October 2009)</w:t>
            </w:r>
            <w:r w:rsidRPr="007E5C66">
              <w:rPr>
                <w:rFonts w:cs="Arial"/>
              </w:rPr>
              <w:t xml:space="preserve"> </w:t>
            </w:r>
          </w:p>
        </w:tc>
      </w:tr>
      <w:tr w:rsidR="0017212E" w:rsidRPr="00DE2327" w14:paraId="543F5D91"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075FA475"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7B34CDE1" w14:textId="77777777" w:rsidR="0017212E" w:rsidRPr="007E5C66" w:rsidRDefault="0017212E" w:rsidP="007E5C66">
            <w:pPr>
              <w:keepNext/>
              <w:keepLines/>
              <w:spacing w:after="80"/>
              <w:ind w:left="33"/>
              <w:rPr>
                <w:rFonts w:cs="Arial"/>
              </w:rPr>
            </w:pPr>
            <w:r w:rsidRPr="007E5C66">
              <w:rPr>
                <w:rFonts w:cs="Arial"/>
              </w:rPr>
              <w:t>Events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CB257A" w14:textId="77777777" w:rsidR="0017212E" w:rsidRPr="00124637" w:rsidRDefault="0017212E" w:rsidP="007E5C66">
            <w:pPr>
              <w:keepNext/>
              <w:keepLines/>
              <w:spacing w:after="80"/>
              <w:rPr>
                <w:rFonts w:cs="Arial"/>
              </w:rPr>
            </w:pPr>
            <w:r w:rsidRPr="00124637">
              <w:t>38</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69932A" w14:textId="77777777" w:rsidR="0017212E" w:rsidRPr="00124637" w:rsidRDefault="0017212E" w:rsidP="007E5C66">
            <w:pPr>
              <w:keepNext/>
              <w:keepLines/>
              <w:spacing w:after="80"/>
              <w:jc w:val="right"/>
              <w:rPr>
                <w:rFonts w:cs="Arial"/>
              </w:rPr>
            </w:pPr>
            <w:r w:rsidRPr="00124637">
              <w:t>229</w:t>
            </w:r>
          </w:p>
        </w:tc>
      </w:tr>
      <w:tr w:rsidR="0017212E" w:rsidRPr="00DE2327" w14:paraId="7900B73F"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1DF55D11"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9002366" w14:textId="77777777" w:rsidR="0017212E" w:rsidRPr="007E5C66" w:rsidRDefault="0017212E" w:rsidP="007E5C66">
            <w:pPr>
              <w:keepNext/>
              <w:keepLines/>
              <w:spacing w:after="80"/>
              <w:ind w:left="33"/>
              <w:rPr>
                <w:rFonts w:cs="Arial"/>
              </w:rPr>
            </w:pPr>
            <w:r w:rsidRPr="007E5C66">
              <w:rPr>
                <w:rFonts w:cs="Arial"/>
              </w:rPr>
              <w:t>Attendees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55AF22C" w14:textId="77777777" w:rsidR="0017212E" w:rsidRPr="00124637" w:rsidRDefault="0017212E" w:rsidP="007E5C66">
            <w:pPr>
              <w:keepNext/>
              <w:keepLines/>
              <w:spacing w:after="80"/>
              <w:rPr>
                <w:rFonts w:cs="Arial"/>
              </w:rPr>
            </w:pPr>
            <w:r w:rsidRPr="00124637">
              <w:t>4,026</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D094DF6" w14:textId="77777777" w:rsidR="0017212E" w:rsidRPr="00124637" w:rsidRDefault="0017212E" w:rsidP="007E5C66">
            <w:pPr>
              <w:keepNext/>
              <w:keepLines/>
              <w:spacing w:after="80"/>
              <w:jc w:val="right"/>
              <w:rPr>
                <w:rFonts w:cs="Arial"/>
              </w:rPr>
            </w:pPr>
            <w:r w:rsidRPr="00124637">
              <w:t>23,862</w:t>
            </w:r>
          </w:p>
        </w:tc>
      </w:tr>
      <w:tr w:rsidR="0017212E" w:rsidRPr="00DE2327" w14:paraId="38F891A7" w14:textId="77777777" w:rsidTr="00800C4D">
        <w:trPr>
          <w:cantSplit/>
        </w:trPr>
        <w:tc>
          <w:tcPr>
            <w:tcW w:w="535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B82E6C5" w14:textId="77777777" w:rsidR="0017212E" w:rsidRPr="007E5C66" w:rsidRDefault="0017212E" w:rsidP="007E5C66">
            <w:pPr>
              <w:keepNext/>
              <w:keepLines/>
              <w:spacing w:after="80"/>
              <w:ind w:left="1"/>
              <w:rPr>
                <w:rFonts w:cs="Arial"/>
                <w:b/>
              </w:rPr>
            </w:pPr>
            <w:r w:rsidRPr="007E5C66">
              <w:rPr>
                <w:rFonts w:cs="Arial"/>
                <w:b/>
              </w:rPr>
              <w:t>Total events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DBE935" w14:textId="77777777" w:rsidR="0017212E" w:rsidRPr="00124637" w:rsidRDefault="0017212E" w:rsidP="007E5C66">
            <w:pPr>
              <w:keepNext/>
              <w:keepLines/>
              <w:spacing w:after="80"/>
              <w:rPr>
                <w:rFonts w:cs="Arial"/>
                <w:b/>
              </w:rPr>
            </w:pPr>
            <w:r w:rsidRPr="00124637">
              <w:rPr>
                <w:b/>
              </w:rPr>
              <w:t>1,846</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8E87B2" w14:textId="77777777" w:rsidR="0017212E" w:rsidRPr="00124637" w:rsidRDefault="0017212E" w:rsidP="007E5C66">
            <w:pPr>
              <w:keepNext/>
              <w:keepLines/>
              <w:spacing w:after="80"/>
              <w:jc w:val="right"/>
              <w:rPr>
                <w:rFonts w:cs="Arial"/>
                <w:b/>
              </w:rPr>
            </w:pPr>
            <w:r w:rsidRPr="00124637">
              <w:rPr>
                <w:b/>
              </w:rPr>
              <w:t>11,677</w:t>
            </w:r>
          </w:p>
        </w:tc>
      </w:tr>
      <w:tr w:rsidR="0017212E" w:rsidRPr="00DE2327" w14:paraId="3BAFAEC1" w14:textId="77777777" w:rsidTr="0017212E">
        <w:trPr>
          <w:cantSplit/>
        </w:trPr>
        <w:tc>
          <w:tcPr>
            <w:tcW w:w="535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F89347" w14:textId="77777777" w:rsidR="0017212E" w:rsidRPr="007E5C66" w:rsidRDefault="0017212E" w:rsidP="007E5C66">
            <w:pPr>
              <w:keepNext/>
              <w:keepLines/>
              <w:spacing w:after="80"/>
              <w:ind w:left="1"/>
              <w:rPr>
                <w:rFonts w:cs="Arial"/>
                <w:b/>
              </w:rPr>
            </w:pPr>
            <w:r w:rsidRPr="007E5C66">
              <w:rPr>
                <w:rFonts w:cs="Arial"/>
                <w:b/>
              </w:rPr>
              <w:t>Total attendees</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36DBF2" w14:textId="77777777" w:rsidR="0017212E" w:rsidRPr="00124637" w:rsidRDefault="0017212E" w:rsidP="007E5C66">
            <w:pPr>
              <w:keepNext/>
              <w:keepLines/>
              <w:spacing w:after="80"/>
              <w:rPr>
                <w:rFonts w:cs="Arial"/>
                <w:b/>
              </w:rPr>
            </w:pPr>
            <w:r w:rsidRPr="00124637">
              <w:rPr>
                <w:b/>
              </w:rPr>
              <w:t>213,999</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A07B87" w14:textId="77777777" w:rsidR="0017212E" w:rsidRPr="00124637" w:rsidRDefault="0017212E" w:rsidP="007E5C66">
            <w:pPr>
              <w:keepNext/>
              <w:keepLines/>
              <w:spacing w:after="80"/>
              <w:jc w:val="right"/>
              <w:rPr>
                <w:rFonts w:cs="Arial"/>
                <w:b/>
              </w:rPr>
            </w:pPr>
            <w:r w:rsidRPr="00124637">
              <w:rPr>
                <w:b/>
              </w:rPr>
              <w:t>1,204,881</w:t>
            </w:r>
          </w:p>
        </w:tc>
      </w:tr>
      <w:tr w:rsidR="0017212E" w:rsidRPr="00DE2327" w14:paraId="0C808E28" w14:textId="77777777" w:rsidTr="0017212E">
        <w:trPr>
          <w:cantSplit/>
        </w:trPr>
        <w:tc>
          <w:tcPr>
            <w:tcW w:w="9465"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CFEB3E" w14:textId="77777777" w:rsidR="0017212E" w:rsidRPr="007E5C66" w:rsidRDefault="0017212E" w:rsidP="007E5C66">
            <w:pPr>
              <w:keepNext/>
              <w:keepLines/>
              <w:spacing w:after="80"/>
              <w:ind w:left="1"/>
              <w:rPr>
                <w:rFonts w:cs="Arial"/>
              </w:rPr>
            </w:pPr>
            <w:r w:rsidRPr="007E5C66">
              <w:rPr>
                <w:rFonts w:cs="Arial"/>
              </w:rPr>
              <w:t>Connect.</w:t>
            </w:r>
            <w:r w:rsidRPr="007E5C66">
              <w:rPr>
                <w:rFonts w:cs="Arial"/>
                <w:i/>
              </w:rPr>
              <w:t>ed</w:t>
            </w:r>
            <w:r w:rsidRPr="007E5C66">
              <w:rPr>
                <w:rFonts w:cs="Arial"/>
              </w:rPr>
              <w:t xml:space="preserve"> Online PD Program</w:t>
            </w:r>
            <w:r w:rsidRPr="007E5C66">
              <w:rPr>
                <w:rFonts w:cs="Arial"/>
              </w:rPr>
              <w:br/>
            </w:r>
            <w:r w:rsidRPr="007E5C66">
              <w:rPr>
                <w:rFonts w:cs="Arial"/>
                <w:sz w:val="16"/>
                <w:szCs w:val="16"/>
              </w:rPr>
              <w:t>(available since April 2011)</w:t>
            </w:r>
            <w:r w:rsidRPr="007E5C66">
              <w:rPr>
                <w:rFonts w:cs="Arial"/>
              </w:rPr>
              <w:t xml:space="preserve"> </w:t>
            </w:r>
          </w:p>
        </w:tc>
      </w:tr>
      <w:tr w:rsidR="0017212E" w:rsidRPr="00DE2327" w14:paraId="708980B4" w14:textId="77777777" w:rsidTr="00800C4D">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3ADA45D6"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62B5EA26" w14:textId="77777777" w:rsidR="0017212E" w:rsidRPr="007E5C66" w:rsidRDefault="0017212E" w:rsidP="007E5C66">
            <w:pPr>
              <w:keepNext/>
              <w:keepLines/>
              <w:spacing w:after="80"/>
              <w:ind w:left="33"/>
              <w:rPr>
                <w:rFonts w:cs="Arial"/>
              </w:rPr>
            </w:pPr>
            <w:r w:rsidRPr="007E5C66">
              <w:rPr>
                <w:rFonts w:cs="Arial"/>
              </w:rPr>
              <w:t>Registered</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E4919D" w14:textId="77777777" w:rsidR="0017212E" w:rsidRPr="00124637" w:rsidRDefault="0017212E" w:rsidP="007E5C66">
            <w:pPr>
              <w:keepNext/>
              <w:keepLines/>
              <w:spacing w:after="80"/>
              <w:rPr>
                <w:rFonts w:cs="Arial"/>
              </w:rPr>
            </w:pPr>
            <w:r w:rsidRPr="00124637">
              <w:rPr>
                <w:rFonts w:cs="Arial"/>
              </w:rPr>
              <w:t>3,689</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B31DC3" w14:textId="77777777" w:rsidR="0017212E" w:rsidRPr="00124637" w:rsidRDefault="0017212E" w:rsidP="007E5C66">
            <w:pPr>
              <w:keepNext/>
              <w:keepLines/>
              <w:spacing w:after="80"/>
              <w:jc w:val="right"/>
              <w:rPr>
                <w:rFonts w:cs="Arial"/>
              </w:rPr>
            </w:pPr>
            <w:r w:rsidRPr="00124637">
              <w:rPr>
                <w:rFonts w:cs="Arial"/>
              </w:rPr>
              <w:t>13,317</w:t>
            </w:r>
          </w:p>
        </w:tc>
      </w:tr>
      <w:tr w:rsidR="0017212E" w:rsidRPr="00DE2327" w14:paraId="5023672D" w14:textId="77777777" w:rsidTr="0017212E">
        <w:trPr>
          <w:cantSplit/>
        </w:trPr>
        <w:tc>
          <w:tcPr>
            <w:tcW w:w="960" w:type="dxa"/>
            <w:tcBorders>
              <w:top w:val="single" w:sz="4" w:space="0" w:color="auto"/>
              <w:left w:val="single" w:sz="4" w:space="0" w:color="auto"/>
              <w:bottom w:val="single" w:sz="4" w:space="0" w:color="auto"/>
              <w:right w:val="nil"/>
            </w:tcBorders>
            <w:tcMar>
              <w:top w:w="28" w:type="dxa"/>
              <w:left w:w="108" w:type="dxa"/>
              <w:bottom w:w="28" w:type="dxa"/>
              <w:right w:w="108" w:type="dxa"/>
            </w:tcMar>
          </w:tcPr>
          <w:p w14:paraId="661B6270" w14:textId="77777777" w:rsidR="0017212E" w:rsidRPr="007E5C66" w:rsidRDefault="0017212E" w:rsidP="007E5C66">
            <w:pPr>
              <w:keepNext/>
              <w:keepLines/>
              <w:spacing w:after="80"/>
              <w:ind w:left="720"/>
              <w:rPr>
                <w:rFonts w:cs="Arial"/>
              </w:rPr>
            </w:pPr>
          </w:p>
        </w:tc>
        <w:tc>
          <w:tcPr>
            <w:tcW w:w="4394" w:type="dxa"/>
            <w:tcBorders>
              <w:top w:val="single" w:sz="4" w:space="0" w:color="auto"/>
              <w:left w:val="nil"/>
              <w:bottom w:val="single" w:sz="4" w:space="0" w:color="auto"/>
              <w:right w:val="single" w:sz="4" w:space="0" w:color="auto"/>
            </w:tcBorders>
            <w:tcMar>
              <w:top w:w="28" w:type="dxa"/>
              <w:left w:w="108" w:type="dxa"/>
              <w:bottom w:w="28" w:type="dxa"/>
              <w:right w:w="108" w:type="dxa"/>
            </w:tcMar>
            <w:hideMark/>
          </w:tcPr>
          <w:p w14:paraId="439C5601" w14:textId="77777777" w:rsidR="0017212E" w:rsidRPr="007E5C66" w:rsidRDefault="0017212E" w:rsidP="007E5C66">
            <w:pPr>
              <w:keepNext/>
              <w:keepLines/>
              <w:spacing w:after="80"/>
              <w:ind w:left="33"/>
              <w:rPr>
                <w:rFonts w:cs="Arial"/>
              </w:rPr>
            </w:pPr>
            <w:r w:rsidRPr="007E5C66">
              <w:rPr>
                <w:rFonts w:cs="Arial"/>
              </w:rPr>
              <w:t>Completed</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9C2CBE" w14:textId="77777777" w:rsidR="0017212E" w:rsidRPr="00124637" w:rsidRDefault="0017212E" w:rsidP="007E5C66">
            <w:pPr>
              <w:keepNext/>
              <w:keepLines/>
              <w:spacing w:after="80"/>
              <w:rPr>
                <w:rFonts w:cs="Arial"/>
              </w:rPr>
            </w:pPr>
            <w:r w:rsidRPr="00124637">
              <w:rPr>
                <w:rFonts w:cs="Arial"/>
              </w:rPr>
              <w:t>1,429</w:t>
            </w:r>
          </w:p>
        </w:tc>
        <w:tc>
          <w:tcPr>
            <w:tcW w:w="18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6D60B3" w14:textId="77777777" w:rsidR="0017212E" w:rsidRPr="00124637" w:rsidRDefault="0017212E" w:rsidP="007E5C66">
            <w:pPr>
              <w:keepNext/>
              <w:keepLines/>
              <w:spacing w:after="80"/>
              <w:jc w:val="right"/>
              <w:rPr>
                <w:rFonts w:cs="Arial"/>
              </w:rPr>
            </w:pPr>
            <w:r w:rsidRPr="00124637">
              <w:rPr>
                <w:rFonts w:cs="Arial"/>
              </w:rPr>
              <w:t>3,992</w:t>
            </w:r>
          </w:p>
        </w:tc>
      </w:tr>
      <w:tr w:rsidR="0017212E" w:rsidRPr="00DE2327" w14:paraId="2FC63714" w14:textId="77777777" w:rsidTr="00666257">
        <w:trPr>
          <w:cantSplit/>
        </w:trPr>
        <w:tc>
          <w:tcPr>
            <w:tcW w:w="53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hideMark/>
          </w:tcPr>
          <w:p w14:paraId="793A135E" w14:textId="77777777" w:rsidR="0017212E" w:rsidRPr="007E5C66" w:rsidRDefault="0017212E" w:rsidP="007E5C66">
            <w:pPr>
              <w:keepNext/>
              <w:keepLines/>
              <w:spacing w:after="80"/>
              <w:rPr>
                <w:rFonts w:cs="Arial"/>
                <w:b/>
              </w:rPr>
            </w:pPr>
            <w:r w:rsidRPr="007E5C66">
              <w:rPr>
                <w:rFonts w:cs="Arial"/>
                <w:b/>
              </w:rPr>
              <w:t>Total hard-copy resources delivered</w:t>
            </w:r>
            <w:r w:rsidRPr="007E5C66">
              <w:rPr>
                <w:rFonts w:cs="Arial"/>
                <w:b/>
              </w:rPr>
              <w:br/>
            </w:r>
            <w:r w:rsidRPr="007E5C66">
              <w:rPr>
                <w:rFonts w:cs="Arial"/>
                <w:sz w:val="16"/>
                <w:szCs w:val="16"/>
              </w:rPr>
              <w:t>(Cybersmart resources have been available since April 2008)</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hideMark/>
          </w:tcPr>
          <w:p w14:paraId="4405FE2D" w14:textId="77777777" w:rsidR="0017212E" w:rsidRPr="00124637" w:rsidRDefault="0017212E" w:rsidP="007E5C66">
            <w:pPr>
              <w:keepNext/>
              <w:keepLines/>
              <w:spacing w:after="80"/>
              <w:rPr>
                <w:rFonts w:cs="Arial"/>
                <w:b/>
              </w:rPr>
            </w:pPr>
            <w:r w:rsidRPr="00124637">
              <w:rPr>
                <w:rFonts w:cs="Arial"/>
                <w:b/>
                <w:szCs w:val="20"/>
              </w:rPr>
              <w:t>272,952</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hideMark/>
          </w:tcPr>
          <w:p w14:paraId="34F4D618" w14:textId="77777777" w:rsidR="0017212E" w:rsidRPr="00124637" w:rsidRDefault="0017212E" w:rsidP="007E5C66">
            <w:pPr>
              <w:keepNext/>
              <w:keepLines/>
              <w:spacing w:after="80"/>
              <w:jc w:val="right"/>
              <w:rPr>
                <w:rFonts w:cs="Arial"/>
                <w:b/>
              </w:rPr>
            </w:pPr>
            <w:r w:rsidRPr="00124637">
              <w:rPr>
                <w:rFonts w:cs="Arial"/>
                <w:b/>
              </w:rPr>
              <w:t>7,680,451</w:t>
            </w:r>
          </w:p>
        </w:tc>
      </w:tr>
    </w:tbl>
    <w:p w14:paraId="623BC45E" w14:textId="77777777" w:rsidR="00DE2327" w:rsidRPr="007E5C66" w:rsidRDefault="00DE2327" w:rsidP="00DE2327">
      <w:pPr>
        <w:pStyle w:val="Heading3"/>
        <w:keepLines/>
        <w:spacing w:before="240"/>
      </w:pPr>
      <w:bookmarkStart w:id="420" w:name="_Toc433703435"/>
      <w:r w:rsidRPr="007E5C66">
        <w:t>Key partnerships</w:t>
      </w:r>
      <w:bookmarkEnd w:id="420"/>
    </w:p>
    <w:p w14:paraId="29E93CA4" w14:textId="77777777" w:rsidR="00DE2327" w:rsidRPr="007E5C66" w:rsidRDefault="00DE2327" w:rsidP="00DE2327">
      <w:pPr>
        <w:keepNext/>
        <w:keepLines/>
        <w:rPr>
          <w:rFonts w:ascii="Calibri" w:hAnsi="Calibri"/>
        </w:rPr>
      </w:pPr>
      <w:r w:rsidRPr="007E5C66">
        <w:t>The ACMA looks to work productively with other organisations, both in Australia and overseas, to increase education and awareness about online safety. Partners include government agencies, not-for-profit organisations, corporations and community-based groups, with work ranging from distributing educational material, supporting events and community awareness-raising weeks to co-developing content.</w:t>
      </w:r>
    </w:p>
    <w:p w14:paraId="73C82808" w14:textId="77777777" w:rsidR="00DE2327" w:rsidRPr="007E5C66" w:rsidRDefault="00DE2327" w:rsidP="00DE2327">
      <w:pPr>
        <w:keepNext/>
        <w:keepLines/>
      </w:pPr>
      <w:r w:rsidRPr="007E5C66">
        <w:t xml:space="preserve">The ACMA has MoUs with The Alannah and Madeline Foundation (a national charity that protects Australian children from violence), NetSafe (New Zealand’s online safety advisory body) and Childnet International, a global children’s charity based in the UK. Key partners include agencies involved in the government’s Online Safety Working Group as well as state and federal police forces and education departments. </w:t>
      </w:r>
    </w:p>
    <w:p w14:paraId="60B4AD8B" w14:textId="77777777" w:rsidR="00DE2327" w:rsidRPr="007E5C66" w:rsidRDefault="00DE2327" w:rsidP="00DE2327">
      <w:r w:rsidRPr="007E5C66">
        <w:t>In July 2014, the ACMA launched an update to its digital citizenship resources in partnership with t</w:t>
      </w:r>
      <w:r w:rsidR="002840EF" w:rsidRPr="007E5C66">
        <w:t>he AIMIA Digital Policy Group, T</w:t>
      </w:r>
      <w:r w:rsidRPr="007E5C66">
        <w:t>he Alannah and Madeline Foundation, Commonwealth Bank, Facebook, Google, Telstra, Twitter and Yahoo</w:t>
      </w:r>
      <w:r w:rsidR="00C831B5" w:rsidRPr="007E5C66">
        <w:t xml:space="preserve">7. </w:t>
      </w:r>
      <w:r w:rsidR="002840EF" w:rsidRPr="007E5C66">
        <w:t>The focus was on comba</w:t>
      </w:r>
      <w:r w:rsidRPr="007E5C66">
        <w:t xml:space="preserve">ting cyberbullying by raising awareness of new resources from </w:t>
      </w:r>
      <w:r w:rsidR="002840EF" w:rsidRPr="007E5C66">
        <w:t xml:space="preserve">both </w:t>
      </w:r>
      <w:r w:rsidRPr="007E5C66">
        <w:t>t</w:t>
      </w:r>
      <w:r w:rsidR="002840EF" w:rsidRPr="007E5C66">
        <w:t>he ACMA and our partners. The u</w:t>
      </w:r>
      <w:r w:rsidRPr="007E5C66">
        <w:t>pdate was supported by the Parliamentary Secretary to the Minister for Communications and extensively promoted through partner blogs and social media channels.</w:t>
      </w:r>
    </w:p>
    <w:p w14:paraId="0E72AA68" w14:textId="77777777" w:rsidR="00DE2327" w:rsidRPr="007E5C66" w:rsidRDefault="00DE2327" w:rsidP="007E5C66">
      <w:pPr>
        <w:keepLines/>
      </w:pPr>
      <w:r w:rsidRPr="007E5C66">
        <w:lastRenderedPageBreak/>
        <w:t xml:space="preserve">Each year, the ACMA considers and grants a large number of requests to link to and use Cybersmart resources. Proposals to collaborate on significant initiatives are assessed under the Online Safety Partnerships Guidelines. Over the past year, the ACMA joined with other organisations in raising online safety awareness during Day for Daniel (30 October 2014), </w:t>
      </w:r>
      <w:r w:rsidR="002840EF" w:rsidRPr="007E5C66">
        <w:t xml:space="preserve">Safer Internet Day (10 February 2015), </w:t>
      </w:r>
      <w:r w:rsidRPr="007E5C66">
        <w:t>National Day of Action Against Bullying and Violence (20 March 2015</w:t>
      </w:r>
      <w:r w:rsidR="002840EF" w:rsidRPr="007E5C66">
        <w:t>) and Privacy Awareness Week (3–</w:t>
      </w:r>
      <w:r w:rsidRPr="007E5C66">
        <w:t xml:space="preserve">9 May 2015). </w:t>
      </w:r>
    </w:p>
    <w:p w14:paraId="60000363" w14:textId="77777777" w:rsidR="0078679C" w:rsidRPr="007E5C66" w:rsidRDefault="0078679C" w:rsidP="0078679C">
      <w:pPr>
        <w:pStyle w:val="Heading2"/>
      </w:pPr>
      <w:bookmarkStart w:id="421" w:name="cybersecurity"/>
      <w:bookmarkStart w:id="422" w:name="_Toc433703436"/>
      <w:bookmarkEnd w:id="421"/>
      <w:r w:rsidRPr="007E5C66">
        <w:t>Cybersecurity</w:t>
      </w:r>
      <w:bookmarkEnd w:id="422"/>
    </w:p>
    <w:p w14:paraId="7B8EE239" w14:textId="77777777" w:rsidR="00DE2327" w:rsidRPr="007E5C66" w:rsidRDefault="00DE2327" w:rsidP="00DE2327">
      <w:pPr>
        <w:rPr>
          <w:rFonts w:cs="Arial"/>
        </w:rPr>
      </w:pPr>
      <w:bookmarkStart w:id="423" w:name="_Toc419122615"/>
      <w:bookmarkEnd w:id="413"/>
      <w:bookmarkEnd w:id="414"/>
      <w:r w:rsidRPr="007E5C66">
        <w:rPr>
          <w:rFonts w:cs="Arial"/>
        </w:rPr>
        <w:t xml:space="preserve">The ACMA </w:t>
      </w:r>
      <w:r w:rsidR="00E4367B" w:rsidRPr="007E5C66">
        <w:rPr>
          <w:rFonts w:cs="Arial"/>
        </w:rPr>
        <w:t xml:space="preserve">operates </w:t>
      </w:r>
      <w:r w:rsidRPr="007E5C66">
        <w:rPr>
          <w:rFonts w:cs="Arial"/>
        </w:rPr>
        <w:t>the Australian Internet Security Initiative (AISI) to help address the problem of compromised computing devices. These devices can become compromised through the surreptitious installation of malicious software (malware) that enables the computer to be controlled remotely for illegal and harmful activities without a user's knowledge. Under the AISI program</w:t>
      </w:r>
      <w:r w:rsidR="002840EF" w:rsidRPr="007E5C66">
        <w:rPr>
          <w:rFonts w:cs="Arial"/>
        </w:rPr>
        <w:t>,</w:t>
      </w:r>
      <w:r w:rsidRPr="007E5C66">
        <w:rPr>
          <w:rFonts w:cs="Arial"/>
        </w:rPr>
        <w:t xml:space="preserve"> daily reports are provided to AISI members (principally ISPs) of malware infections occurring on their networks. Members are able to use this data to inform their affected customers of the malware compromise. </w:t>
      </w:r>
    </w:p>
    <w:p w14:paraId="3389AF2D" w14:textId="77777777" w:rsidR="00DE2327" w:rsidRPr="007E5C66" w:rsidRDefault="00DE2327" w:rsidP="00DE2327">
      <w:pPr>
        <w:spacing w:after="80"/>
        <w:rPr>
          <w:rFonts w:cs="Arial"/>
        </w:rPr>
      </w:pPr>
      <w:r w:rsidRPr="007E5C66">
        <w:rPr>
          <w:rFonts w:cs="Arial"/>
        </w:rPr>
        <w:t>During 2014–15</w:t>
      </w:r>
      <w:r w:rsidR="002840EF" w:rsidRPr="007E5C66">
        <w:rPr>
          <w:rFonts w:cs="Arial"/>
        </w:rPr>
        <w:t>,</w:t>
      </w:r>
      <w:r w:rsidRPr="007E5C66">
        <w:rPr>
          <w:rFonts w:cs="Arial"/>
        </w:rPr>
        <w:t xml:space="preserve"> a series of significant changes were made to the AISI</w:t>
      </w:r>
      <w:r w:rsidR="002840EF" w:rsidRPr="007E5C66">
        <w:rPr>
          <w:rFonts w:cs="Arial"/>
        </w:rPr>
        <w:t>. These</w:t>
      </w:r>
      <w:r w:rsidRPr="007E5C66">
        <w:rPr>
          <w:rFonts w:cs="Arial"/>
        </w:rPr>
        <w:t xml:space="preserve"> expanded the range and quality of information available, </w:t>
      </w:r>
      <w:r w:rsidR="004C6700" w:rsidRPr="007E5C66">
        <w:rPr>
          <w:rFonts w:cs="Arial"/>
        </w:rPr>
        <w:t>via</w:t>
      </w:r>
      <w:r w:rsidRPr="007E5C66">
        <w:rPr>
          <w:rFonts w:cs="Arial"/>
        </w:rPr>
        <w:t xml:space="preserve"> AISI members, to home and small business users to </w:t>
      </w:r>
      <w:r w:rsidR="004C6700" w:rsidRPr="007E5C66">
        <w:rPr>
          <w:rFonts w:cs="Arial"/>
        </w:rPr>
        <w:t>help</w:t>
      </w:r>
      <w:r w:rsidRPr="007E5C66">
        <w:rPr>
          <w:rFonts w:cs="Arial"/>
        </w:rPr>
        <w:t xml:space="preserve"> them </w:t>
      </w:r>
      <w:r w:rsidR="004C6700" w:rsidRPr="007E5C66">
        <w:rPr>
          <w:rFonts w:cs="Arial"/>
        </w:rPr>
        <w:t xml:space="preserve">safeguard </w:t>
      </w:r>
      <w:r w:rsidRPr="007E5C66">
        <w:rPr>
          <w:rFonts w:cs="Arial"/>
        </w:rPr>
        <w:t>their online personal information and secure their online interactions. The</w:t>
      </w:r>
      <w:r w:rsidR="004C6700" w:rsidRPr="007E5C66">
        <w:rPr>
          <w:rFonts w:cs="Arial"/>
        </w:rPr>
        <w:t xml:space="preserve"> changes</w:t>
      </w:r>
      <w:r w:rsidRPr="007E5C66">
        <w:rPr>
          <w:rFonts w:cs="Arial"/>
        </w:rPr>
        <w:t xml:space="preserve"> included:</w:t>
      </w:r>
    </w:p>
    <w:p w14:paraId="44121E99" w14:textId="77777777" w:rsidR="00DE2327" w:rsidRPr="007E5C66" w:rsidRDefault="004C6700" w:rsidP="00DE2327">
      <w:pPr>
        <w:pStyle w:val="ListBullet"/>
      </w:pPr>
      <w:r w:rsidRPr="007E5C66">
        <w:t>Establishing</w:t>
      </w:r>
      <w:r w:rsidR="00C30FC2" w:rsidRPr="007E5C66">
        <w:t xml:space="preserve"> an AISI portal—l</w:t>
      </w:r>
      <w:r w:rsidR="00DE2327" w:rsidRPr="007E5C66">
        <w:t>aunched in November 2014</w:t>
      </w:r>
      <w:r w:rsidRPr="007E5C66">
        <w:t>, t</w:t>
      </w:r>
      <w:r w:rsidR="00DE2327" w:rsidRPr="007E5C66">
        <w:t xml:space="preserve">he portal </w:t>
      </w:r>
      <w:r w:rsidRPr="007E5C66">
        <w:t>gives</w:t>
      </w:r>
      <w:r w:rsidR="00DE2327" w:rsidRPr="007E5C66">
        <w:t xml:space="preserve"> AISI members access to constantly updated, comprehensive and historical data about malware infections and vulnerable services relating to their networks. The portal enables granular searches of this data, </w:t>
      </w:r>
      <w:r w:rsidRPr="007E5C66">
        <w:t>allowing</w:t>
      </w:r>
      <w:r w:rsidR="00DE2327" w:rsidRPr="007E5C66">
        <w:t xml:space="preserve"> AISI members to help their customers isolate the location of specific malware infections within their home or small business networks and on their computing devices</w:t>
      </w:r>
      <w:r w:rsidRPr="007E5C66">
        <w:t>,</w:t>
      </w:r>
      <w:r w:rsidR="00DE2327" w:rsidRPr="007E5C66">
        <w:t xml:space="preserve"> and determine malware trends occurring on their network’s IP address ranges. Over 215 million discrete malware and vulnerable services observations were adde</w:t>
      </w:r>
      <w:r w:rsidRPr="007E5C66">
        <w:t>d to the portal during the year.</w:t>
      </w:r>
    </w:p>
    <w:p w14:paraId="062CB7D7" w14:textId="77777777" w:rsidR="00DE2327" w:rsidRPr="007E5C66" w:rsidRDefault="004C6700" w:rsidP="00DE2327">
      <w:pPr>
        <w:pStyle w:val="ListBullet"/>
      </w:pPr>
      <w:r w:rsidRPr="007E5C66">
        <w:t xml:space="preserve">Reporting services vulnerable to known exploits (such as websites, network-attached storage devices and home routers) that are compatible with insecure and outdated encryption standards. Since its introduction </w:t>
      </w:r>
      <w:r w:rsidR="00DE2327" w:rsidRPr="007E5C66">
        <w:t>in March 2015</w:t>
      </w:r>
      <w:r w:rsidRPr="007E5C66">
        <w:t>, a</w:t>
      </w:r>
      <w:r w:rsidR="00DE2327" w:rsidRPr="007E5C66">
        <w:t>n average of approximately 106,000 ‘vulnerable’ IP addresses was r</w:t>
      </w:r>
      <w:r w:rsidRPr="007E5C66">
        <w:t>eported per day to AISI members</w:t>
      </w:r>
      <w:r w:rsidR="00DE2327" w:rsidRPr="007E5C66">
        <w:t xml:space="preserve">. This extension to the AISI helps home and small business users </w:t>
      </w:r>
      <w:r w:rsidRPr="007E5C66">
        <w:t>by</w:t>
      </w:r>
      <w:r w:rsidR="00DE2327" w:rsidRPr="007E5C66">
        <w:t xml:space="preserve"> improving the security of the Australian web services with which they undertake tr</w:t>
      </w:r>
      <w:r w:rsidRPr="007E5C66">
        <w:t>ansactions. It also helps raise</w:t>
      </w:r>
      <w:r w:rsidR="00DE2327" w:rsidRPr="007E5C66">
        <w:t xml:space="preserve"> the security levels of home routers </w:t>
      </w:r>
      <w:r w:rsidRPr="007E5C66">
        <w:t>by</w:t>
      </w:r>
      <w:r w:rsidR="00DE2327" w:rsidRPr="007E5C66">
        <w:t xml:space="preserve"> alerting home users to vulnerabilities in </w:t>
      </w:r>
      <w:r w:rsidR="00C831B5" w:rsidRPr="007E5C66">
        <w:t>this equipment.</w:t>
      </w:r>
    </w:p>
    <w:p w14:paraId="7C9567ED" w14:textId="77777777" w:rsidR="00DE2327" w:rsidRPr="007E5C66" w:rsidRDefault="004C6700" w:rsidP="00DE2327">
      <w:pPr>
        <w:pStyle w:val="ListBulletLast"/>
      </w:pPr>
      <w:r w:rsidRPr="007E5C66">
        <w:t>E</w:t>
      </w:r>
      <w:r w:rsidR="00DE2327" w:rsidRPr="007E5C66">
        <w:t>xpanding the reporting of malware infections</w:t>
      </w:r>
      <w:r w:rsidRPr="007E5C66">
        <w:t xml:space="preserve"> and providing</w:t>
      </w:r>
      <w:r w:rsidR="00DE2327" w:rsidRPr="007E5C66">
        <w:t xml:space="preserve"> more comprehensive malware data</w:t>
      </w:r>
      <w:r w:rsidRPr="007E5C66">
        <w:t>—</w:t>
      </w:r>
      <w:r w:rsidR="00C30FC2" w:rsidRPr="007E5C66">
        <w:t>making</w:t>
      </w:r>
      <w:r w:rsidRPr="007E5C66">
        <w:t xml:space="preserve"> it easier to identify and remove</w:t>
      </w:r>
      <w:r w:rsidR="00DE2327" w:rsidRPr="007E5C66">
        <w:t xml:space="preserve"> malware infections. An average of approximately 26,645 malware observations per day was reported to AISI members during the year. Over the full year, approximately 1.394 million unique Australian IP addresses were reported.</w:t>
      </w:r>
    </w:p>
    <w:p w14:paraId="0AC0F17A" w14:textId="77777777" w:rsidR="00DE2327" w:rsidRPr="007E5C66" w:rsidRDefault="00DE2327" w:rsidP="00DE2327">
      <w:pPr>
        <w:rPr>
          <w:rFonts w:cs="Arial"/>
        </w:rPr>
      </w:pPr>
      <w:r w:rsidRPr="007E5C66">
        <w:rPr>
          <w:rFonts w:cs="Arial"/>
        </w:rPr>
        <w:t>The number of AISI participants increased from 139 at 30 June 2014 to 140 at 30 June 2015. Over 95</w:t>
      </w:r>
      <w:r w:rsidR="00C30FC2" w:rsidRPr="007E5C66">
        <w:rPr>
          <w:rFonts w:cs="Arial"/>
        </w:rPr>
        <w:t xml:space="preserve"> per cent</w:t>
      </w:r>
      <w:r w:rsidRPr="007E5C66">
        <w:rPr>
          <w:rFonts w:cs="Arial"/>
        </w:rPr>
        <w:t xml:space="preserve"> of residential </w:t>
      </w:r>
      <w:r w:rsidR="00C30FC2" w:rsidRPr="007E5C66">
        <w:rPr>
          <w:rFonts w:cs="Arial"/>
        </w:rPr>
        <w:t>i</w:t>
      </w:r>
      <w:r w:rsidRPr="007E5C66">
        <w:rPr>
          <w:rFonts w:cs="Arial"/>
        </w:rPr>
        <w:t>nternet services in Australia are estimated to be covered by these participants.</w:t>
      </w:r>
    </w:p>
    <w:p w14:paraId="26FC8AE5" w14:textId="77777777" w:rsidR="00DE2327" w:rsidRPr="007E5C66" w:rsidRDefault="00DE2327" w:rsidP="00DE2327">
      <w:pPr>
        <w:rPr>
          <w:rFonts w:cs="Arial"/>
        </w:rPr>
      </w:pPr>
      <w:r w:rsidRPr="007E5C66">
        <w:rPr>
          <w:rFonts w:cs="Arial"/>
        </w:rPr>
        <w:t xml:space="preserve">Reports of spam provided to the ACMA can indicate ‘phishing’ activities—the use of electronic messages to acquire significant personal or financial information from users. Since 2011–12, the ACMA has provided notifications of URLs appearing in phishing messages to government agencies such as the Australian Taxation Office, and critical infrastructure providers such as telecommunications carriers and financial institutions, </w:t>
      </w:r>
      <w:r w:rsidRPr="007E5C66">
        <w:rPr>
          <w:rFonts w:cs="Arial"/>
        </w:rPr>
        <w:lastRenderedPageBreak/>
        <w:t xml:space="preserve">who are commonly targeted by phishing campaigns. In 2014–15, a monthly average of 3,627 phishing notifications was sent. </w:t>
      </w:r>
    </w:p>
    <w:p w14:paraId="41694829" w14:textId="77777777" w:rsidR="00DE2327" w:rsidRPr="007E5C66" w:rsidRDefault="00DE2327" w:rsidP="00DE2327">
      <w:pPr>
        <w:keepNext/>
        <w:spacing w:after="80"/>
        <w:rPr>
          <w:rFonts w:cs="Arial"/>
        </w:rPr>
      </w:pPr>
      <w:r w:rsidRPr="007E5C66">
        <w:rPr>
          <w:rFonts w:cs="Arial"/>
        </w:rPr>
        <w:t>In support of these activities, in 2014–15 the ACMA:</w:t>
      </w:r>
    </w:p>
    <w:p w14:paraId="7F0225FB" w14:textId="77777777" w:rsidR="00DE2327" w:rsidRPr="007E5C66" w:rsidRDefault="00C30FC2" w:rsidP="00DE2327">
      <w:pPr>
        <w:pStyle w:val="ListBullet"/>
        <w:rPr>
          <w:rFonts w:cs="Arial"/>
        </w:rPr>
      </w:pPr>
      <w:r w:rsidRPr="007E5C66">
        <w:rPr>
          <w:rFonts w:cs="Arial"/>
        </w:rPr>
        <w:t>p</w:t>
      </w:r>
      <w:r w:rsidR="00DE2327" w:rsidRPr="007E5C66">
        <w:rPr>
          <w:rFonts w:cs="Arial"/>
        </w:rPr>
        <w:t xml:space="preserve">ublished on its website daily updated statistics on the number and types of malware infections and service vulnerabilities observed </w:t>
      </w:r>
      <w:r w:rsidRPr="007E5C66">
        <w:rPr>
          <w:rFonts w:cs="Arial"/>
        </w:rPr>
        <w:t>on Australian IP address ranges</w:t>
      </w:r>
    </w:p>
    <w:p w14:paraId="10780D44" w14:textId="77777777" w:rsidR="00DE2327" w:rsidRPr="007E5C66" w:rsidRDefault="00C30FC2" w:rsidP="00DE2327">
      <w:pPr>
        <w:pStyle w:val="ListBullet"/>
        <w:spacing w:after="240"/>
        <w:rPr>
          <w:rFonts w:cs="Arial"/>
        </w:rPr>
      </w:pPr>
      <w:r w:rsidRPr="007E5C66">
        <w:rPr>
          <w:rFonts w:cs="Arial"/>
        </w:rPr>
        <w:t>i</w:t>
      </w:r>
      <w:r w:rsidR="00DE2327" w:rsidRPr="007E5C66">
        <w:rPr>
          <w:rFonts w:cs="Arial"/>
        </w:rPr>
        <w:t>ncreased data on compromised computers feeding into the AISI in order to enhance the detection of compromises. Over 30 different data feeds are currently used in the AISI, with data in these feeds carefully assessed for accuracy and relevance before the feed is incorporated into the program.</w:t>
      </w:r>
    </w:p>
    <w:p w14:paraId="68A19F93" w14:textId="77777777" w:rsidR="00DE2327" w:rsidRPr="007E5C66" w:rsidRDefault="00DE2327" w:rsidP="00DE2327">
      <w:r w:rsidRPr="007E5C66">
        <w:rPr>
          <w:rFonts w:cs="Arial"/>
        </w:rPr>
        <w:t xml:space="preserve">These activities form part of the whole-of-government effort to address cybersecurity risks. In support of this effort, the ACMA also provides data to law enforcement authorities and to CERT Australia that help in identifying current and new cybersecurity threats. </w:t>
      </w:r>
    </w:p>
    <w:p w14:paraId="1B73BB3F" w14:textId="77777777" w:rsidR="00CE4D99" w:rsidRPr="007E5C66" w:rsidRDefault="00CE4D99" w:rsidP="00CE4D99">
      <w:pPr>
        <w:pStyle w:val="Heading2"/>
      </w:pPr>
      <w:bookmarkStart w:id="424" w:name="researchacma"/>
      <w:bookmarkStart w:id="425" w:name="_Toc433703437"/>
      <w:bookmarkEnd w:id="424"/>
      <w:r w:rsidRPr="007E5C66">
        <w:rPr>
          <w:b w:val="0"/>
        </w:rPr>
        <w:t>research</w:t>
      </w:r>
      <w:r w:rsidRPr="007E5C66">
        <w:t>acma</w:t>
      </w:r>
      <w:bookmarkEnd w:id="425"/>
    </w:p>
    <w:p w14:paraId="41E3287E" w14:textId="77777777" w:rsidR="00C84ED1" w:rsidRPr="007E5C66" w:rsidRDefault="00C84ED1" w:rsidP="00C84ED1">
      <w:r w:rsidRPr="007E5C66">
        <w:t>The ACMA</w:t>
      </w:r>
      <w:r w:rsidR="00352D6B" w:rsidRPr="007E5C66">
        <w:t>’s</w:t>
      </w:r>
      <w:r w:rsidRPr="007E5C66">
        <w:t xml:space="preserve"> research program helps </w:t>
      </w:r>
      <w:r w:rsidR="00352D6B" w:rsidRPr="007E5C66">
        <w:t>it</w:t>
      </w:r>
      <w:r w:rsidRPr="007E5C66">
        <w:t xml:space="preserve"> make decisions as an evidence-informed regulator and understand the implications that regulation of communication and media markets may create. It aims to inform strategic policy development, regulatory reviews and investigations, as well as help Australians to make better decisions about media and communications. </w:t>
      </w:r>
    </w:p>
    <w:p w14:paraId="429543FD" w14:textId="77777777" w:rsidR="00D857E9" w:rsidRPr="007E5C66" w:rsidRDefault="00D857E9" w:rsidP="00AA654C">
      <w:pPr>
        <w:keepNext/>
        <w:keepLines/>
        <w:spacing w:before="240" w:after="80"/>
        <w:outlineLvl w:val="0"/>
        <w:rPr>
          <w:rFonts w:cs="Arial"/>
        </w:rPr>
      </w:pPr>
      <w:r w:rsidRPr="007E5C66">
        <w:rPr>
          <w:rFonts w:cs="Arial"/>
        </w:rPr>
        <w:t>The research</w:t>
      </w:r>
      <w:r w:rsidRPr="007E5C66">
        <w:rPr>
          <w:rFonts w:cs="Arial"/>
          <w:b/>
        </w:rPr>
        <w:t>acma</w:t>
      </w:r>
      <w:r w:rsidRPr="007E5C66">
        <w:rPr>
          <w:rFonts w:cs="Arial"/>
        </w:rPr>
        <w:t xml:space="preserve"> program has five broad areas of interest: </w:t>
      </w:r>
    </w:p>
    <w:p w14:paraId="735E0F0F" w14:textId="77777777" w:rsidR="00D857E9" w:rsidRPr="007E5C66" w:rsidRDefault="00D857E9" w:rsidP="00AA654C">
      <w:pPr>
        <w:pStyle w:val="ListBullet"/>
      </w:pPr>
      <w:r w:rsidRPr="007E5C66">
        <w:t xml:space="preserve">market developments </w:t>
      </w:r>
    </w:p>
    <w:p w14:paraId="7A749D98" w14:textId="77777777" w:rsidR="00D857E9" w:rsidRPr="007E5C66" w:rsidRDefault="00D857E9" w:rsidP="00AA654C">
      <w:pPr>
        <w:pStyle w:val="ListBullet"/>
      </w:pPr>
      <w:r w:rsidRPr="007E5C66">
        <w:t xml:space="preserve">media content and culture </w:t>
      </w:r>
    </w:p>
    <w:p w14:paraId="66CEC6D4" w14:textId="77777777" w:rsidR="00D857E9" w:rsidRPr="007E5C66" w:rsidRDefault="00D857E9" w:rsidP="00AA654C">
      <w:pPr>
        <w:pStyle w:val="ListBullet"/>
      </w:pPr>
      <w:r w:rsidRPr="007E5C66">
        <w:t xml:space="preserve">digital society </w:t>
      </w:r>
    </w:p>
    <w:p w14:paraId="25AEA189" w14:textId="77777777" w:rsidR="00D857E9" w:rsidRPr="007E5C66" w:rsidRDefault="00D857E9" w:rsidP="00AA654C">
      <w:pPr>
        <w:pStyle w:val="ListBullet"/>
      </w:pPr>
      <w:r w:rsidRPr="007E5C66">
        <w:t xml:space="preserve">citizen and consumer safeguards </w:t>
      </w:r>
    </w:p>
    <w:p w14:paraId="3777DB8A" w14:textId="77777777" w:rsidR="00D857E9" w:rsidRPr="007E5C66" w:rsidRDefault="00D857E9" w:rsidP="00AA654C">
      <w:pPr>
        <w:pStyle w:val="ListBulletLast"/>
      </w:pPr>
      <w:r w:rsidRPr="007E5C66">
        <w:t xml:space="preserve">regulatory best practice and development. </w:t>
      </w:r>
    </w:p>
    <w:p w14:paraId="0C2DFDA6" w14:textId="77777777" w:rsidR="00D857E9" w:rsidRPr="007E5C66" w:rsidRDefault="00D857E9" w:rsidP="00D857E9">
      <w:r w:rsidRPr="007E5C66">
        <w:t>In each of these areas, the ACMA uses a variety of research methods to develop a body of evidence and analysis about the efficiency and effectiveness of regulatory settings and tools.</w:t>
      </w:r>
    </w:p>
    <w:p w14:paraId="5B688BD7" w14:textId="77777777" w:rsidR="00D857E9" w:rsidRPr="007E5C66" w:rsidRDefault="00C84ED1" w:rsidP="00D857E9">
      <w:r w:rsidRPr="007E5C66">
        <w:rPr>
          <w:szCs w:val="20"/>
        </w:rPr>
        <w:t>In 2014</w:t>
      </w:r>
      <w:r w:rsidR="00352D6B" w:rsidRPr="007E5C66">
        <w:rPr>
          <w:szCs w:val="20"/>
        </w:rPr>
        <w:t>–</w:t>
      </w:r>
      <w:r w:rsidRPr="007E5C66">
        <w:rPr>
          <w:szCs w:val="20"/>
        </w:rPr>
        <w:t>15, the</w:t>
      </w:r>
      <w:r w:rsidRPr="007E5C66">
        <w:t xml:space="preserve"> ACMA continued with its series of research snapshots</w:t>
      </w:r>
      <w:r w:rsidR="00352D6B" w:rsidRPr="007E5C66">
        <w:t xml:space="preserve">, releasing eight </w:t>
      </w:r>
      <w:r w:rsidRPr="007E5C66">
        <w:t>short, fit-for-purpose research pieces on topics of relevance to the ACMA and its broad stakeholder base.</w:t>
      </w:r>
      <w:r w:rsidR="00352D6B" w:rsidRPr="007E5C66">
        <w:t xml:space="preserve"> It also </w:t>
      </w:r>
      <w:r w:rsidR="00D857E9" w:rsidRPr="007E5C66">
        <w:t xml:space="preserve">released </w:t>
      </w:r>
      <w:r w:rsidR="00352D6B" w:rsidRPr="007E5C66">
        <w:t>11</w:t>
      </w:r>
      <w:r w:rsidR="00D857E9" w:rsidRPr="007E5C66">
        <w:t xml:space="preserve"> individual research reports, including the </w:t>
      </w:r>
      <w:r w:rsidR="00D857E9" w:rsidRPr="007E5C66">
        <w:rPr>
          <w:i/>
        </w:rPr>
        <w:t>Communications report 2013</w:t>
      </w:r>
      <w:r w:rsidR="00352D6B" w:rsidRPr="007E5C66">
        <w:rPr>
          <w:i/>
        </w:rPr>
        <w:t>–1</w:t>
      </w:r>
      <w:r w:rsidR="00D857E9" w:rsidRPr="007E5C66">
        <w:rPr>
          <w:i/>
        </w:rPr>
        <w:t>4</w:t>
      </w:r>
      <w:r w:rsidR="00D857E9" w:rsidRPr="007E5C66">
        <w:t xml:space="preserve">. </w:t>
      </w:r>
    </w:p>
    <w:p w14:paraId="54C99C55" w14:textId="77777777" w:rsidR="00352D6B" w:rsidRPr="007E5C66" w:rsidRDefault="00352D6B" w:rsidP="00352D6B">
      <w:pPr>
        <w:spacing w:after="80"/>
      </w:pPr>
      <w:r w:rsidRPr="007E5C66">
        <w:t>During the reporting period, t</w:t>
      </w:r>
      <w:r w:rsidR="002B501A" w:rsidRPr="007E5C66">
        <w:t xml:space="preserve">he three most popular research outputs accessed on the ACMA website were: </w:t>
      </w:r>
    </w:p>
    <w:p w14:paraId="557F51ED" w14:textId="77777777" w:rsidR="00352D6B" w:rsidRPr="007E5C66" w:rsidRDefault="002B501A" w:rsidP="00352D6B">
      <w:pPr>
        <w:pStyle w:val="ListBullet"/>
        <w:rPr>
          <w:i/>
        </w:rPr>
      </w:pPr>
      <w:r w:rsidRPr="007E5C66">
        <w:rPr>
          <w:i/>
        </w:rPr>
        <w:t>Aussie teens online</w:t>
      </w:r>
    </w:p>
    <w:p w14:paraId="1076E444" w14:textId="77777777" w:rsidR="00352D6B" w:rsidRPr="007E5C66" w:rsidRDefault="002B501A" w:rsidP="00352D6B">
      <w:pPr>
        <w:pStyle w:val="ListBullet"/>
        <w:rPr>
          <w:i/>
        </w:rPr>
      </w:pPr>
      <w:r w:rsidRPr="007E5C66">
        <w:rPr>
          <w:i/>
        </w:rPr>
        <w:t>Communications report 2013</w:t>
      </w:r>
      <w:r w:rsidR="00352D6B" w:rsidRPr="007E5C66">
        <w:rPr>
          <w:i/>
        </w:rPr>
        <w:t>–</w:t>
      </w:r>
      <w:r w:rsidRPr="007E5C66">
        <w:rPr>
          <w:i/>
        </w:rPr>
        <w:t>14</w:t>
      </w:r>
    </w:p>
    <w:p w14:paraId="3C1FBF26" w14:textId="77777777" w:rsidR="002B501A" w:rsidRPr="007E5C66" w:rsidRDefault="002B501A" w:rsidP="00352D6B">
      <w:pPr>
        <w:pStyle w:val="ListBulletLast"/>
      </w:pPr>
      <w:r w:rsidRPr="007E5C66">
        <w:rPr>
          <w:i/>
        </w:rPr>
        <w:t xml:space="preserve">Supply </w:t>
      </w:r>
      <w:r w:rsidR="00100725" w:rsidRPr="007E5C66">
        <w:rPr>
          <w:i/>
        </w:rPr>
        <w:t>and</w:t>
      </w:r>
      <w:r w:rsidRPr="007E5C66">
        <w:rPr>
          <w:i/>
        </w:rPr>
        <w:t xml:space="preserve"> demand: Catch-up TV leads A</w:t>
      </w:r>
      <w:r w:rsidR="00352D6B" w:rsidRPr="007E5C66">
        <w:rPr>
          <w:i/>
        </w:rPr>
        <w:t>ustralians’</w:t>
      </w:r>
      <w:r w:rsidRPr="007E5C66">
        <w:rPr>
          <w:i/>
        </w:rPr>
        <w:t xml:space="preserve"> online video use</w:t>
      </w:r>
      <w:r w:rsidRPr="007E5C66">
        <w:t>.</w:t>
      </w:r>
    </w:p>
    <w:p w14:paraId="28F4E25B" w14:textId="77777777" w:rsidR="00D857E9" w:rsidRPr="007E5C66" w:rsidRDefault="00D857E9" w:rsidP="00666257">
      <w:pPr>
        <w:pStyle w:val="Heading3"/>
        <w:keepLines/>
        <w:spacing w:before="240"/>
        <w:rPr>
          <w:sz w:val="21"/>
          <w:szCs w:val="21"/>
        </w:rPr>
      </w:pPr>
      <w:bookmarkStart w:id="426" w:name="_Toc433703438"/>
      <w:r w:rsidRPr="007E5C66">
        <w:rPr>
          <w:sz w:val="21"/>
          <w:szCs w:val="21"/>
        </w:rPr>
        <w:lastRenderedPageBreak/>
        <w:t>Market development</w:t>
      </w:r>
      <w:r w:rsidR="002B501A" w:rsidRPr="007E5C66">
        <w:rPr>
          <w:sz w:val="21"/>
          <w:szCs w:val="21"/>
        </w:rPr>
        <w:t>s</w:t>
      </w:r>
      <w:bookmarkEnd w:id="426"/>
    </w:p>
    <w:p w14:paraId="559C96D2" w14:textId="77777777" w:rsidR="00D857E9" w:rsidRPr="007E5C66" w:rsidRDefault="00D857E9" w:rsidP="00666257">
      <w:pPr>
        <w:keepNext/>
        <w:keepLines/>
        <w:rPr>
          <w:rFonts w:cs="Arial"/>
        </w:rPr>
      </w:pPr>
      <w:r w:rsidRPr="007E5C66">
        <w:rPr>
          <w:rFonts w:cs="Arial"/>
        </w:rPr>
        <w:t>In the reporting period, the ACMA undertook a range of research on developments in communications and media markets, which included the communications report series.</w:t>
      </w:r>
    </w:p>
    <w:p w14:paraId="7352E75A" w14:textId="77777777" w:rsidR="00D857E9" w:rsidRPr="007E5C66" w:rsidRDefault="00D857E9" w:rsidP="00666257">
      <w:pPr>
        <w:pStyle w:val="BodysubheaderH4"/>
        <w:keepLines/>
      </w:pPr>
      <w:r w:rsidRPr="007E5C66">
        <w:t>Communications report 2013</w:t>
      </w:r>
      <w:r w:rsidR="006D4153" w:rsidRPr="007E5C66">
        <w:t>–</w:t>
      </w:r>
      <w:r w:rsidRPr="007E5C66">
        <w:t xml:space="preserve">14 </w:t>
      </w:r>
      <w:r w:rsidRPr="007E5C66">
        <w:rPr>
          <w:i w:val="0"/>
        </w:rPr>
        <w:t>series</w:t>
      </w:r>
      <w:r w:rsidRPr="007E5C66">
        <w:t xml:space="preserve"> </w:t>
      </w:r>
    </w:p>
    <w:p w14:paraId="4E826B92" w14:textId="77777777" w:rsidR="006D4153" w:rsidRPr="007E5C66" w:rsidRDefault="006D4153" w:rsidP="00E56C86">
      <w:pPr>
        <w:pStyle w:val="ListBullet"/>
        <w:spacing w:after="0"/>
        <w:rPr>
          <w:b/>
        </w:rPr>
      </w:pPr>
      <w:r w:rsidRPr="007E5C66">
        <w:rPr>
          <w:b/>
          <w:i/>
        </w:rPr>
        <w:t xml:space="preserve">Communications report 2013–14 </w:t>
      </w:r>
      <w:r w:rsidRPr="007E5C66">
        <w:rPr>
          <w:b/>
        </w:rPr>
        <w:t>(December 2014)</w:t>
      </w:r>
    </w:p>
    <w:p w14:paraId="7C658DE3" w14:textId="77777777" w:rsidR="00D857E9" w:rsidRPr="007E5C66" w:rsidRDefault="006D4153" w:rsidP="00E56C86">
      <w:pPr>
        <w:pStyle w:val="ListBullet"/>
        <w:numPr>
          <w:ilvl w:val="0"/>
          <w:numId w:val="0"/>
        </w:numPr>
        <w:spacing w:after="120"/>
        <w:ind w:left="295"/>
      </w:pPr>
      <w:r w:rsidRPr="007E5C66">
        <w:t>Tabled in p</w:t>
      </w:r>
      <w:r w:rsidR="00D857E9" w:rsidRPr="007E5C66">
        <w:t>arl</w:t>
      </w:r>
      <w:r w:rsidRPr="007E5C66">
        <w:t xml:space="preserve">iament on 3 December 2014, the </w:t>
      </w:r>
      <w:r w:rsidRPr="007E5C66">
        <w:rPr>
          <w:i/>
        </w:rPr>
        <w:t>Communications report 2013–14</w:t>
      </w:r>
      <w:r w:rsidR="00D857E9" w:rsidRPr="007E5C66">
        <w:t xml:space="preserve"> fulfils the ACMA's statutory reporting requirements under section 105 of the Telecommunications Act</w:t>
      </w:r>
      <w:r w:rsidR="00D857E9" w:rsidRPr="007E5C66">
        <w:rPr>
          <w:i/>
        </w:rPr>
        <w:t xml:space="preserve"> </w:t>
      </w:r>
      <w:r w:rsidRPr="007E5C66">
        <w:t>to report to the m</w:t>
      </w:r>
      <w:r w:rsidR="00D857E9" w:rsidRPr="007E5C66">
        <w:t xml:space="preserve">inister on significant matters relating to the performance of carriers and </w:t>
      </w:r>
      <w:r w:rsidRPr="007E5C66">
        <w:t>CSPs</w:t>
      </w:r>
      <w:r w:rsidR="00D857E9" w:rsidRPr="007E5C66">
        <w:t>, including consumer satisfaction, consumer benefits and quality of service.</w:t>
      </w:r>
    </w:p>
    <w:p w14:paraId="5F01331A" w14:textId="77777777" w:rsidR="00D857E9" w:rsidRPr="007E5C66" w:rsidRDefault="00100725" w:rsidP="00E56C86">
      <w:pPr>
        <w:pStyle w:val="ListBullet"/>
        <w:spacing w:after="0"/>
        <w:rPr>
          <w:b/>
          <w:i/>
        </w:rPr>
      </w:pPr>
      <w:r w:rsidRPr="007E5C66">
        <w:rPr>
          <w:b/>
        </w:rPr>
        <w:t>Report 1—</w:t>
      </w:r>
      <w:r w:rsidR="00D857E9" w:rsidRPr="007E5C66">
        <w:rPr>
          <w:b/>
          <w:i/>
        </w:rPr>
        <w:t xml:space="preserve">Australians’ digital lives </w:t>
      </w:r>
      <w:r w:rsidR="00D857E9" w:rsidRPr="007E5C66">
        <w:rPr>
          <w:b/>
        </w:rPr>
        <w:t>(March 2015)</w:t>
      </w:r>
    </w:p>
    <w:p w14:paraId="4C124D2D" w14:textId="77777777" w:rsidR="00E56C86" w:rsidRPr="007E5C66" w:rsidRDefault="00100725" w:rsidP="00E56C86">
      <w:pPr>
        <w:spacing w:after="120"/>
        <w:ind w:left="284"/>
        <w:rPr>
          <w:rFonts w:cs="Arial"/>
        </w:rPr>
      </w:pPr>
      <w:r w:rsidRPr="007E5C66">
        <w:rPr>
          <w:rFonts w:cs="Arial"/>
        </w:rPr>
        <w:t>T</w:t>
      </w:r>
      <w:r w:rsidR="00D857E9" w:rsidRPr="007E5C66">
        <w:rPr>
          <w:rFonts w:cs="Arial"/>
        </w:rPr>
        <w:t xml:space="preserve">he first </w:t>
      </w:r>
      <w:r w:rsidRPr="007E5C66">
        <w:rPr>
          <w:rFonts w:cs="Arial"/>
        </w:rPr>
        <w:t>complementary report</w:t>
      </w:r>
      <w:r w:rsidR="00D857E9" w:rsidRPr="007E5C66">
        <w:rPr>
          <w:rFonts w:cs="Arial"/>
        </w:rPr>
        <w:t xml:space="preserve"> in the </w:t>
      </w:r>
      <w:r w:rsidR="00D857E9" w:rsidRPr="007E5C66">
        <w:rPr>
          <w:rFonts w:cs="Arial"/>
          <w:i/>
        </w:rPr>
        <w:t>Communications report 2013</w:t>
      </w:r>
      <w:r w:rsidRPr="007E5C66">
        <w:rPr>
          <w:rFonts w:cs="Arial"/>
          <w:i/>
        </w:rPr>
        <w:t>–</w:t>
      </w:r>
      <w:r w:rsidR="00D857E9" w:rsidRPr="007E5C66">
        <w:rPr>
          <w:rFonts w:cs="Arial"/>
          <w:i/>
        </w:rPr>
        <w:t xml:space="preserve">14 </w:t>
      </w:r>
      <w:r w:rsidR="00D857E9" w:rsidRPr="007E5C66">
        <w:rPr>
          <w:rFonts w:cs="Arial"/>
        </w:rPr>
        <w:t>series</w:t>
      </w:r>
      <w:r w:rsidRPr="007E5C66">
        <w:rPr>
          <w:rFonts w:cs="Arial"/>
        </w:rPr>
        <w:t>,</w:t>
      </w:r>
      <w:r w:rsidR="00D857E9" w:rsidRPr="007E5C66">
        <w:rPr>
          <w:rFonts w:cs="Arial"/>
        </w:rPr>
        <w:t xml:space="preserve"> </w:t>
      </w:r>
      <w:r w:rsidR="00D857E9" w:rsidRPr="007E5C66">
        <w:rPr>
          <w:rFonts w:cs="Arial"/>
          <w:i/>
        </w:rPr>
        <w:t>Australians’ digital lives</w:t>
      </w:r>
      <w:r w:rsidR="00D857E9" w:rsidRPr="007E5C66">
        <w:rPr>
          <w:rFonts w:cs="Arial"/>
        </w:rPr>
        <w:t xml:space="preserve"> </w:t>
      </w:r>
      <w:r w:rsidRPr="007E5C66">
        <w:rPr>
          <w:rFonts w:cs="Arial"/>
        </w:rPr>
        <w:t>examines</w:t>
      </w:r>
      <w:r w:rsidR="00D857E9" w:rsidRPr="007E5C66">
        <w:rPr>
          <w:rFonts w:cs="Arial"/>
        </w:rPr>
        <w:t xml:space="preserve"> how </w:t>
      </w:r>
      <w:r w:rsidRPr="007E5C66">
        <w:rPr>
          <w:rFonts w:cs="Arial"/>
        </w:rPr>
        <w:t>users</w:t>
      </w:r>
      <w:r w:rsidR="00D857E9" w:rsidRPr="007E5C66">
        <w:rPr>
          <w:rFonts w:cs="Arial"/>
        </w:rPr>
        <w:t xml:space="preserve"> of different ages engage with digital technologies and how communications practices are changing. </w:t>
      </w:r>
    </w:p>
    <w:p w14:paraId="7527A44A" w14:textId="77777777" w:rsidR="00C84ED1" w:rsidRPr="007E5C66" w:rsidRDefault="00100725" w:rsidP="00E56C86">
      <w:pPr>
        <w:pStyle w:val="ListBullet"/>
        <w:spacing w:after="0"/>
      </w:pPr>
      <w:r w:rsidRPr="007E5C66">
        <w:rPr>
          <w:b/>
          <w:i/>
        </w:rPr>
        <w:t>Report</w:t>
      </w:r>
      <w:r w:rsidRPr="007E5C66">
        <w:rPr>
          <w:b/>
        </w:rPr>
        <w:t xml:space="preserve"> 2—</w:t>
      </w:r>
      <w:r w:rsidR="00C84ED1" w:rsidRPr="007E5C66">
        <w:rPr>
          <w:b/>
          <w:i/>
        </w:rPr>
        <w:t>The evolution of VoIP in Australia</w:t>
      </w:r>
      <w:r w:rsidR="00C84ED1" w:rsidRPr="007E5C66">
        <w:rPr>
          <w:b/>
        </w:rPr>
        <w:t xml:space="preserve"> (June 2015</w:t>
      </w:r>
      <w:r w:rsidR="00C84ED1" w:rsidRPr="007E5C66">
        <w:t>)</w:t>
      </w:r>
    </w:p>
    <w:p w14:paraId="0CD6AF22" w14:textId="77777777" w:rsidR="00C84ED1" w:rsidRPr="007E5C66" w:rsidRDefault="00100725" w:rsidP="006D4153">
      <w:pPr>
        <w:ind w:left="284"/>
        <w:rPr>
          <w:b/>
        </w:rPr>
      </w:pPr>
      <w:r w:rsidRPr="007E5C66">
        <w:t>T</w:t>
      </w:r>
      <w:r w:rsidR="00C84ED1" w:rsidRPr="007E5C66">
        <w:t xml:space="preserve">he second complementary report in the 2013–14 series looks at the evolution of managed and over-the-top (OTT) voice over internet protocol (VoIP) services in Australia. </w:t>
      </w:r>
    </w:p>
    <w:p w14:paraId="230975C2" w14:textId="77777777" w:rsidR="00C84ED1" w:rsidRPr="007E5C66" w:rsidRDefault="00C84ED1" w:rsidP="00C84ED1">
      <w:pPr>
        <w:pStyle w:val="BodysubheaderH4"/>
      </w:pPr>
      <w:r w:rsidRPr="007E5C66">
        <w:t xml:space="preserve">Australians </w:t>
      </w:r>
      <w:r w:rsidR="00100725" w:rsidRPr="007E5C66">
        <w:t xml:space="preserve">get mobile—Using mobile devices for </w:t>
      </w:r>
      <w:r w:rsidRPr="007E5C66">
        <w:t>voice</w:t>
      </w:r>
      <w:r w:rsidR="00100725" w:rsidRPr="007E5C66">
        <w:t>, messaging</w:t>
      </w:r>
      <w:r w:rsidRPr="007E5C66">
        <w:t xml:space="preserve"> and internet access </w:t>
      </w:r>
      <w:r w:rsidRPr="007E5C66">
        <w:rPr>
          <w:i w:val="0"/>
        </w:rPr>
        <w:t>(June 2015)</w:t>
      </w:r>
    </w:p>
    <w:p w14:paraId="3CF7551D" w14:textId="77777777" w:rsidR="00C84ED1" w:rsidRPr="007E5C66" w:rsidRDefault="00C84ED1" w:rsidP="00C84ED1">
      <w:pPr>
        <w:rPr>
          <w:b/>
        </w:rPr>
      </w:pPr>
      <w:r w:rsidRPr="007E5C66">
        <w:t xml:space="preserve">This snapshot focuses on </w:t>
      </w:r>
      <w:r w:rsidRPr="007E5C66">
        <w:rPr>
          <w:rFonts w:cs="Arial"/>
          <w:szCs w:val="20"/>
        </w:rPr>
        <w:t>adult Australians who use mobi</w:t>
      </w:r>
      <w:r w:rsidR="00100725" w:rsidRPr="007E5C66">
        <w:rPr>
          <w:rFonts w:cs="Arial"/>
          <w:szCs w:val="20"/>
        </w:rPr>
        <w:t>le devices for voice, messaging</w:t>
      </w:r>
      <w:r w:rsidRPr="007E5C66">
        <w:rPr>
          <w:rFonts w:cs="Arial"/>
          <w:szCs w:val="20"/>
        </w:rPr>
        <w:t xml:space="preserve"> and internet access, and who no longer rely on a fixed-line telephone or fixed internet connection at their home. </w:t>
      </w:r>
    </w:p>
    <w:p w14:paraId="778917DE" w14:textId="77777777" w:rsidR="00C84ED1" w:rsidRPr="007E5C66" w:rsidRDefault="00100725" w:rsidP="00C84ED1">
      <w:pPr>
        <w:pStyle w:val="BodysubheaderH4"/>
      </w:pPr>
      <w:r w:rsidRPr="007E5C66">
        <w:t>Supply and demand—C</w:t>
      </w:r>
      <w:r w:rsidR="00C84ED1" w:rsidRPr="007E5C66">
        <w:t>atch-up TV leads Australi</w:t>
      </w:r>
      <w:r w:rsidRPr="007E5C66">
        <w:t xml:space="preserve">ans’ online video use </w:t>
      </w:r>
      <w:r w:rsidRPr="007E5C66">
        <w:rPr>
          <w:i w:val="0"/>
        </w:rPr>
        <w:t>(February </w:t>
      </w:r>
      <w:r w:rsidR="00C84ED1" w:rsidRPr="007E5C66">
        <w:rPr>
          <w:i w:val="0"/>
        </w:rPr>
        <w:t>2015)</w:t>
      </w:r>
    </w:p>
    <w:p w14:paraId="616593C9" w14:textId="77777777" w:rsidR="00C84ED1" w:rsidRPr="007E5C66" w:rsidRDefault="00C84ED1" w:rsidP="00C84ED1">
      <w:r w:rsidRPr="007E5C66">
        <w:t xml:space="preserve">This snapshot focuses on </w:t>
      </w:r>
      <w:r w:rsidR="00100725" w:rsidRPr="007E5C66">
        <w:t>online v</w:t>
      </w:r>
      <w:r w:rsidRPr="007E5C66">
        <w:t xml:space="preserve">ideo </w:t>
      </w:r>
      <w:r w:rsidR="00100725" w:rsidRPr="007E5C66">
        <w:t>c</w:t>
      </w:r>
      <w:r w:rsidRPr="007E5C66">
        <w:t xml:space="preserve">ontent (OVC) services, a market that has the potential to significantly change Australia’s broadcasting and entertainment landscape. </w:t>
      </w:r>
    </w:p>
    <w:p w14:paraId="10E374D7" w14:textId="77777777" w:rsidR="00C84ED1" w:rsidRPr="007E5C66" w:rsidRDefault="00C84ED1" w:rsidP="00C84ED1">
      <w:pPr>
        <w:pStyle w:val="BodysubheaderH4"/>
      </w:pPr>
      <w:r w:rsidRPr="007E5C66">
        <w:t>Tablets take off—take-up and use of tablet c</w:t>
      </w:r>
      <w:r w:rsidR="00447A66" w:rsidRPr="007E5C66">
        <w:t xml:space="preserve">omputers in Australia </w:t>
      </w:r>
      <w:r w:rsidR="00447A66" w:rsidRPr="007E5C66">
        <w:rPr>
          <w:i w:val="0"/>
        </w:rPr>
        <w:t>(December </w:t>
      </w:r>
      <w:r w:rsidRPr="007E5C66">
        <w:rPr>
          <w:i w:val="0"/>
        </w:rPr>
        <w:t>2014)</w:t>
      </w:r>
    </w:p>
    <w:p w14:paraId="01062863" w14:textId="77777777" w:rsidR="00C84ED1" w:rsidRPr="007E5C66" w:rsidRDefault="00C84ED1" w:rsidP="00C84ED1">
      <w:pPr>
        <w:rPr>
          <w:b/>
        </w:rPr>
      </w:pPr>
      <w:r w:rsidRPr="007E5C66">
        <w:t>This snapshot presents the latest data on consumer use of</w:t>
      </w:r>
      <w:r w:rsidR="00447A66" w:rsidRPr="007E5C66">
        <w:t>,</w:t>
      </w:r>
      <w:r w:rsidRPr="007E5C66">
        <w:t xml:space="preserve"> and attitudes to</w:t>
      </w:r>
      <w:r w:rsidR="00447A66" w:rsidRPr="007E5C66">
        <w:t>,</w:t>
      </w:r>
      <w:r w:rsidRPr="007E5C66">
        <w:t xml:space="preserve"> tablets and the role </w:t>
      </w:r>
      <w:r w:rsidR="00447A66" w:rsidRPr="007E5C66">
        <w:t>they</w:t>
      </w:r>
      <w:r w:rsidRPr="007E5C66">
        <w:t xml:space="preserve"> play in the adoption of </w:t>
      </w:r>
      <w:r w:rsidR="00447A66" w:rsidRPr="007E5C66">
        <w:t>OTT</w:t>
      </w:r>
      <w:r w:rsidRPr="007E5C66">
        <w:t xml:space="preserve"> communications services. </w:t>
      </w:r>
    </w:p>
    <w:p w14:paraId="64480DFE" w14:textId="77777777" w:rsidR="00C84ED1" w:rsidRPr="007E5C66" w:rsidRDefault="00C84ED1" w:rsidP="00C84ED1">
      <w:pPr>
        <w:pStyle w:val="BodysubheaderH4"/>
      </w:pPr>
      <w:r w:rsidRPr="007E5C66">
        <w:t xml:space="preserve">Strong signals—growing use of public Wi-Fi hotspots </w:t>
      </w:r>
      <w:r w:rsidR="00447A66" w:rsidRPr="007E5C66">
        <w:rPr>
          <w:i w:val="0"/>
        </w:rPr>
        <w:t>(November 2014)</w:t>
      </w:r>
    </w:p>
    <w:p w14:paraId="3B4DB3AC" w14:textId="77777777" w:rsidR="00C84ED1" w:rsidRPr="007E5C66" w:rsidRDefault="00C84ED1" w:rsidP="00C84ED1">
      <w:r w:rsidRPr="007E5C66">
        <w:t>This snapshot presents the latest data on the use of public Wi-Fi hotspots in Australia</w:t>
      </w:r>
      <w:r w:rsidR="00663D87" w:rsidRPr="007E5C66">
        <w:t xml:space="preserve">, which </w:t>
      </w:r>
      <w:r w:rsidRPr="007E5C66">
        <w:t xml:space="preserve">have become easier to access and more popular. </w:t>
      </w:r>
    </w:p>
    <w:p w14:paraId="2EF2B017" w14:textId="77777777" w:rsidR="00447A66" w:rsidRPr="007E5C66" w:rsidRDefault="00447A66" w:rsidP="00447A66">
      <w:pPr>
        <w:pStyle w:val="BodysubheaderH4"/>
      </w:pPr>
      <w:r w:rsidRPr="007E5C66">
        <w:t xml:space="preserve">Six emerging trends in media and communications </w:t>
      </w:r>
      <w:r w:rsidRPr="007E5C66">
        <w:rPr>
          <w:i w:val="0"/>
        </w:rPr>
        <w:t>(November 2014)</w:t>
      </w:r>
    </w:p>
    <w:p w14:paraId="2F5A3DB2" w14:textId="77777777" w:rsidR="00447A66" w:rsidRPr="007E5C66" w:rsidRDefault="00447A66" w:rsidP="00447A66">
      <w:pPr>
        <w:rPr>
          <w:rFonts w:cs="Arial"/>
        </w:rPr>
      </w:pPr>
      <w:r w:rsidRPr="007E5C66">
        <w:rPr>
          <w:rFonts w:cs="Arial"/>
        </w:rPr>
        <w:t>This occasional paper highlights six trends with long-term implications for the regulation of the media and communications sector—OTT communications, consumers building their own networks, wearable devices, flexible television, multi</w:t>
      </w:r>
      <w:r w:rsidRPr="007E5C66">
        <w:rPr>
          <w:rFonts w:cs="Arial"/>
          <w:szCs w:val="20"/>
          <w:lang w:val="en"/>
        </w:rPr>
        <w:t>-screening and changing consumption of news sources</w:t>
      </w:r>
      <w:r w:rsidR="00663D87" w:rsidRPr="007E5C66">
        <w:rPr>
          <w:rFonts w:cs="Arial"/>
          <w:szCs w:val="20"/>
          <w:lang w:val="en"/>
        </w:rPr>
        <w:t>.</w:t>
      </w:r>
    </w:p>
    <w:p w14:paraId="33FD9940" w14:textId="77777777" w:rsidR="00C84ED1" w:rsidRPr="007E5C66" w:rsidRDefault="00C84ED1" w:rsidP="00C84ED1">
      <w:pPr>
        <w:pStyle w:val="BodysubheaderH4"/>
        <w:rPr>
          <w:i w:val="0"/>
        </w:rPr>
      </w:pPr>
      <w:r w:rsidRPr="007E5C66">
        <w:t xml:space="preserve">Regional Australia in the digital economy </w:t>
      </w:r>
      <w:r w:rsidRPr="007E5C66">
        <w:rPr>
          <w:i w:val="0"/>
        </w:rPr>
        <w:t>(August 2014)</w:t>
      </w:r>
    </w:p>
    <w:p w14:paraId="22ECFFF2" w14:textId="77777777" w:rsidR="00C84ED1" w:rsidRPr="007E5C66" w:rsidRDefault="00C84ED1" w:rsidP="00C84ED1">
      <w:r w:rsidRPr="007E5C66">
        <w:t xml:space="preserve">This snapshot presents data on internet connectivity and internet use in major capital cities and regional areas. </w:t>
      </w:r>
    </w:p>
    <w:p w14:paraId="7923BCA1" w14:textId="77777777" w:rsidR="00C84ED1" w:rsidRPr="007E5C66" w:rsidRDefault="00C84ED1" w:rsidP="00C84ED1">
      <w:pPr>
        <w:pStyle w:val="BodysubheaderH4"/>
      </w:pPr>
      <w:r w:rsidRPr="007E5C66">
        <w:t xml:space="preserve">Older Australians resist cutting the cord </w:t>
      </w:r>
      <w:r w:rsidR="00447A66" w:rsidRPr="007E5C66">
        <w:rPr>
          <w:i w:val="0"/>
        </w:rPr>
        <w:t>(July 2014)</w:t>
      </w:r>
    </w:p>
    <w:p w14:paraId="6B0864E5" w14:textId="77777777" w:rsidR="00C84ED1" w:rsidRPr="007E5C66" w:rsidRDefault="00C84ED1" w:rsidP="00C84ED1">
      <w:r w:rsidRPr="007E5C66">
        <w:t xml:space="preserve">This snapshot focuses on older Australians—those aged 65 years and over—and their use of fixed-line telephone services connected in the home, as well as their ownership and use of mobile phones. </w:t>
      </w:r>
    </w:p>
    <w:p w14:paraId="3C13A17F" w14:textId="77777777" w:rsidR="00D857E9" w:rsidRPr="007E5C66" w:rsidRDefault="00D857E9" w:rsidP="00D857E9">
      <w:pPr>
        <w:pStyle w:val="Heading3"/>
        <w:rPr>
          <w:sz w:val="21"/>
          <w:szCs w:val="21"/>
        </w:rPr>
      </w:pPr>
      <w:bookmarkStart w:id="427" w:name="_Toc433703439"/>
      <w:r w:rsidRPr="007E5C66">
        <w:rPr>
          <w:sz w:val="21"/>
          <w:szCs w:val="21"/>
        </w:rPr>
        <w:lastRenderedPageBreak/>
        <w:t>Media content and culture</w:t>
      </w:r>
      <w:bookmarkEnd w:id="427"/>
    </w:p>
    <w:p w14:paraId="58276C29" w14:textId="77777777" w:rsidR="00D857E9" w:rsidRPr="007E5C66" w:rsidRDefault="00447A66" w:rsidP="00D857E9">
      <w:pPr>
        <w:rPr>
          <w:rFonts w:cs="Arial"/>
        </w:rPr>
      </w:pPr>
      <w:r w:rsidRPr="007E5C66">
        <w:rPr>
          <w:rFonts w:cs="Arial"/>
        </w:rPr>
        <w:t>In</w:t>
      </w:r>
      <w:r w:rsidR="00D857E9" w:rsidRPr="007E5C66">
        <w:rPr>
          <w:rFonts w:cs="Arial"/>
        </w:rPr>
        <w:t xml:space="preserve"> the reporting period, the ACMA undertook research to help inform its obligations to reflect community standards in the delivery of media and communications services.</w:t>
      </w:r>
    </w:p>
    <w:p w14:paraId="7B6D57BA" w14:textId="77777777" w:rsidR="00D857E9" w:rsidRPr="007E5C66" w:rsidRDefault="00D857E9" w:rsidP="00AA654C">
      <w:pPr>
        <w:pStyle w:val="BodysubheaderH4"/>
        <w:rPr>
          <w:i w:val="0"/>
        </w:rPr>
      </w:pPr>
      <w:r w:rsidRPr="007E5C66">
        <w:t xml:space="preserve">Children's television viewing research </w:t>
      </w:r>
      <w:r w:rsidRPr="007E5C66">
        <w:rPr>
          <w:i w:val="0"/>
        </w:rPr>
        <w:t>(March 2015)</w:t>
      </w:r>
    </w:p>
    <w:p w14:paraId="2CCB7DEC" w14:textId="77777777" w:rsidR="00D857E9" w:rsidRPr="007E5C66" w:rsidRDefault="00D857E9" w:rsidP="00447A66">
      <w:pPr>
        <w:spacing w:after="80"/>
      </w:pPr>
      <w:r w:rsidRPr="007E5C66">
        <w:t>This research</w:t>
      </w:r>
      <w:r w:rsidR="00447A66" w:rsidRPr="007E5C66">
        <w:t xml:space="preserve"> </w:t>
      </w:r>
      <w:r w:rsidRPr="007E5C66">
        <w:t>comprises two studies into children’s viewing of broadcast televis</w:t>
      </w:r>
      <w:r w:rsidR="00447A66" w:rsidRPr="007E5C66">
        <w:t>ion:</w:t>
      </w:r>
    </w:p>
    <w:p w14:paraId="15AA8A3F" w14:textId="77777777" w:rsidR="00447A66" w:rsidRPr="007E5C66" w:rsidRDefault="00447A66" w:rsidP="00447A66">
      <w:pPr>
        <w:pStyle w:val="ListBullet"/>
      </w:pPr>
      <w:r w:rsidRPr="007E5C66">
        <w:t>A</w:t>
      </w:r>
      <w:r w:rsidR="00D857E9" w:rsidRPr="007E5C66">
        <w:t xml:space="preserve"> commissioned community survey of parents and carers of children under 15</w:t>
      </w:r>
      <w:r w:rsidRPr="007E5C66">
        <w:t xml:space="preserve"> that</w:t>
      </w:r>
      <w:r w:rsidR="00D857E9" w:rsidRPr="007E5C66">
        <w:t xml:space="preserve"> offers a contemporary view of parental attitudes to children’s v</w:t>
      </w:r>
      <w:r w:rsidRPr="007E5C66">
        <w:t>iewing patterns and behaviours.</w:t>
      </w:r>
    </w:p>
    <w:p w14:paraId="4A865F9D" w14:textId="77777777" w:rsidR="00D857E9" w:rsidRPr="007E5C66" w:rsidRDefault="00447A66" w:rsidP="00447A66">
      <w:pPr>
        <w:pStyle w:val="ListBulletLast"/>
      </w:pPr>
      <w:r w:rsidRPr="007E5C66">
        <w:t>A</w:t>
      </w:r>
      <w:r w:rsidR="00D857E9" w:rsidRPr="007E5C66">
        <w:t>n analysis of children’s television audiences and program ratings between 2001 and 2013</w:t>
      </w:r>
      <w:r w:rsidRPr="007E5C66">
        <w:t xml:space="preserve">. </w:t>
      </w:r>
    </w:p>
    <w:p w14:paraId="200EE3E0" w14:textId="77777777" w:rsidR="00D857E9" w:rsidRPr="007E5C66" w:rsidRDefault="00D857E9" w:rsidP="00AD106D">
      <w:pPr>
        <w:pStyle w:val="Heading3"/>
        <w:rPr>
          <w:sz w:val="21"/>
          <w:szCs w:val="21"/>
        </w:rPr>
      </w:pPr>
      <w:bookmarkStart w:id="428" w:name="_Toc433703440"/>
      <w:r w:rsidRPr="007E5C66">
        <w:rPr>
          <w:sz w:val="21"/>
          <w:szCs w:val="21"/>
        </w:rPr>
        <w:t>Social and economic participation</w:t>
      </w:r>
      <w:bookmarkEnd w:id="428"/>
    </w:p>
    <w:p w14:paraId="7648DA0B" w14:textId="77777777" w:rsidR="00D857E9" w:rsidRPr="007E5C66" w:rsidRDefault="00D857E9" w:rsidP="00D857E9">
      <w:pPr>
        <w:rPr>
          <w:rFonts w:cs="Arial"/>
        </w:rPr>
      </w:pPr>
      <w:r w:rsidRPr="007E5C66">
        <w:rPr>
          <w:rFonts w:cs="Arial"/>
        </w:rPr>
        <w:t>The ACMA also undert</w:t>
      </w:r>
      <w:r w:rsidR="00BC3215" w:rsidRPr="007E5C66">
        <w:rPr>
          <w:rFonts w:cs="Arial"/>
        </w:rPr>
        <w:t>ook</w:t>
      </w:r>
      <w:r w:rsidRPr="007E5C66">
        <w:rPr>
          <w:rFonts w:cs="Arial"/>
        </w:rPr>
        <w:t xml:space="preserve"> research to identify regulatory settings and interventions </w:t>
      </w:r>
      <w:r w:rsidR="00BC3215" w:rsidRPr="007E5C66">
        <w:rPr>
          <w:rFonts w:cs="Arial"/>
        </w:rPr>
        <w:t>that</w:t>
      </w:r>
      <w:r w:rsidRPr="007E5C66">
        <w:rPr>
          <w:rFonts w:cs="Arial"/>
        </w:rPr>
        <w:t xml:space="preserve"> help Australians participate in the offline and online environment.</w:t>
      </w:r>
    </w:p>
    <w:p w14:paraId="63E1D7BF" w14:textId="77777777" w:rsidR="00BC3215" w:rsidRPr="007E5C66" w:rsidRDefault="00BC3215" w:rsidP="00BC3215">
      <w:pPr>
        <w:pStyle w:val="BodysubheaderH4"/>
      </w:pPr>
      <w:r w:rsidRPr="007E5C66">
        <w:t>SMEs and digital communication technologies (</w:t>
      </w:r>
      <w:r w:rsidRPr="007E5C66">
        <w:rPr>
          <w:i w:val="0"/>
        </w:rPr>
        <w:t>September 2014)</w:t>
      </w:r>
    </w:p>
    <w:p w14:paraId="6A1EAF0C" w14:textId="77777777" w:rsidR="00BC3215" w:rsidRPr="007E5C66" w:rsidRDefault="00BC3215" w:rsidP="00BC3215">
      <w:r w:rsidRPr="007E5C66">
        <w:t xml:space="preserve">This qualitative research report examines the adoption of new technology by small and medium enterprises (SMEs), including the drivers and barriers to take-up. </w:t>
      </w:r>
    </w:p>
    <w:p w14:paraId="362E5872" w14:textId="77777777" w:rsidR="00C84ED1" w:rsidRPr="007E5C66" w:rsidRDefault="00C84ED1" w:rsidP="00C84ED1">
      <w:pPr>
        <w:pStyle w:val="BodysubheaderH4"/>
      </w:pPr>
      <w:r w:rsidRPr="007E5C66">
        <w:t>Utilities, transport and finance lead mo</w:t>
      </w:r>
      <w:r w:rsidR="00BC3215" w:rsidRPr="007E5C66">
        <w:t xml:space="preserve">bile productivity </w:t>
      </w:r>
      <w:r w:rsidR="00BC3215" w:rsidRPr="007E5C66">
        <w:rPr>
          <w:i w:val="0"/>
        </w:rPr>
        <w:t>(August 2014)</w:t>
      </w:r>
    </w:p>
    <w:p w14:paraId="2B03D546" w14:textId="77777777" w:rsidR="00C84ED1" w:rsidRPr="007E5C66" w:rsidRDefault="00C84ED1" w:rsidP="00C84ED1">
      <w:r w:rsidRPr="007E5C66">
        <w:t xml:space="preserve">This snapshot illustrates how mobile broadband technologies are driving productivity in small, medium and large businesses, allowing access to new suppliers, improving product and service delivery, increasing sales and saving businesses time and money. </w:t>
      </w:r>
    </w:p>
    <w:p w14:paraId="4D199953" w14:textId="77777777" w:rsidR="00BC3215" w:rsidRPr="007E5C66" w:rsidRDefault="00BC3215" w:rsidP="00BC3215">
      <w:pPr>
        <w:pStyle w:val="BodysubheaderH4"/>
        <w:rPr>
          <w:i w:val="0"/>
        </w:rPr>
      </w:pPr>
      <w:r w:rsidRPr="007E5C66">
        <w:t xml:space="preserve">Aussie teens online </w:t>
      </w:r>
      <w:r w:rsidRPr="007E5C66">
        <w:rPr>
          <w:i w:val="0"/>
        </w:rPr>
        <w:t xml:space="preserve">(July 2014) </w:t>
      </w:r>
    </w:p>
    <w:p w14:paraId="6A1BD626" w14:textId="77777777" w:rsidR="00BC3215" w:rsidRPr="007E5C66" w:rsidRDefault="00BC3215" w:rsidP="00BC3215">
      <w:r w:rsidRPr="007E5C66">
        <w:t>This snapshot presents the latest research on the digital life of Australian teenagers, including data on their key online behaviours and how these compare to adult Australians.</w:t>
      </w:r>
    </w:p>
    <w:p w14:paraId="48F35735" w14:textId="77777777" w:rsidR="00D857E9" w:rsidRPr="007E5C66" w:rsidRDefault="00D857E9" w:rsidP="00AD106D">
      <w:pPr>
        <w:pStyle w:val="Heading3"/>
        <w:rPr>
          <w:sz w:val="21"/>
          <w:szCs w:val="21"/>
        </w:rPr>
      </w:pPr>
      <w:bookmarkStart w:id="429" w:name="_Toc433703441"/>
      <w:r w:rsidRPr="007E5C66">
        <w:rPr>
          <w:sz w:val="21"/>
          <w:szCs w:val="21"/>
        </w:rPr>
        <w:t>Citizen and consumer safeguards</w:t>
      </w:r>
      <w:bookmarkEnd w:id="429"/>
    </w:p>
    <w:p w14:paraId="3A655935" w14:textId="77777777" w:rsidR="00D857E9" w:rsidRPr="007E5C66" w:rsidRDefault="00D857E9" w:rsidP="00D857E9">
      <w:r w:rsidRPr="007E5C66">
        <w:t>This research focus area continues the ACMA’s evidence-informed approach to understanding safeguards relevant to business, citizens and consumers in an information economy and networked society.</w:t>
      </w:r>
    </w:p>
    <w:p w14:paraId="5D1C0EA2" w14:textId="77777777" w:rsidR="00D857E9" w:rsidRPr="007E5C66" w:rsidRDefault="00D857E9" w:rsidP="00AD106D">
      <w:pPr>
        <w:pStyle w:val="BodysubheaderH4"/>
      </w:pPr>
      <w:r w:rsidRPr="007E5C66">
        <w:t xml:space="preserve">Mobile calls to 13 numbers </w:t>
      </w:r>
      <w:r w:rsidRPr="007E5C66">
        <w:rPr>
          <w:i w:val="0"/>
        </w:rPr>
        <w:t>(July 2014)</w:t>
      </w:r>
    </w:p>
    <w:p w14:paraId="186A4887" w14:textId="77777777" w:rsidR="00D857E9" w:rsidRPr="007E5C66" w:rsidRDefault="00BC3215" w:rsidP="00D857E9">
      <w:r w:rsidRPr="007E5C66">
        <w:t>This</w:t>
      </w:r>
      <w:r w:rsidR="00D857E9" w:rsidRPr="007E5C66">
        <w:t xml:space="preserve"> research report </w:t>
      </w:r>
      <w:r w:rsidRPr="007E5C66">
        <w:t>examines</w:t>
      </w:r>
      <w:r w:rsidR="00D857E9" w:rsidRPr="007E5C66">
        <w:t xml:space="preserve"> Australian mobile users’ calls to 13 numbers</w:t>
      </w:r>
      <w:r w:rsidR="00663D87" w:rsidRPr="007E5C66">
        <w:t xml:space="preserve"> and the take-up of</w:t>
      </w:r>
      <w:r w:rsidR="00D857E9" w:rsidRPr="007E5C66">
        <w:t xml:space="preserve"> 13-friendly plan</w:t>
      </w:r>
      <w:r w:rsidR="00663D87" w:rsidRPr="007E5C66">
        <w:t>s</w:t>
      </w:r>
      <w:r w:rsidR="00D857E9" w:rsidRPr="007E5C66">
        <w:t xml:space="preserve">. </w:t>
      </w:r>
    </w:p>
    <w:p w14:paraId="406D1732" w14:textId="77777777" w:rsidR="00D857E9" w:rsidRPr="007E5C66" w:rsidRDefault="00D857E9" w:rsidP="00AD106D">
      <w:pPr>
        <w:pStyle w:val="Heading3"/>
        <w:rPr>
          <w:sz w:val="21"/>
          <w:szCs w:val="21"/>
        </w:rPr>
      </w:pPr>
      <w:bookmarkStart w:id="430" w:name="_Toc433703442"/>
      <w:r w:rsidRPr="007E5C66">
        <w:rPr>
          <w:sz w:val="21"/>
          <w:szCs w:val="21"/>
        </w:rPr>
        <w:t>Regulatory best practice and development</w:t>
      </w:r>
      <w:bookmarkEnd w:id="430"/>
    </w:p>
    <w:p w14:paraId="341F9CD3" w14:textId="77777777" w:rsidR="00C53D44" w:rsidRPr="007E5C66" w:rsidRDefault="00C53D44" w:rsidP="00C53D44">
      <w:r w:rsidRPr="007E5C66">
        <w:t xml:space="preserve">See the deliverable </w:t>
      </w:r>
      <w:r w:rsidRPr="007E5C66">
        <w:rPr>
          <w:i/>
        </w:rPr>
        <w:t>Develop and maintain appropriate regulatory settings for an information economy and network society</w:t>
      </w:r>
      <w:r w:rsidRPr="007E5C66">
        <w:t xml:space="preserve"> for information about this research focus area.</w:t>
      </w:r>
    </w:p>
    <w:p w14:paraId="3BD02551" w14:textId="0E3D2965" w:rsidR="000F2488" w:rsidRDefault="008263B6" w:rsidP="000F2488">
      <w:pPr>
        <w:pStyle w:val="Heading1"/>
        <w:spacing w:after="120" w:line="360" w:lineRule="atLeast"/>
        <w:rPr>
          <w:sz w:val="36"/>
          <w:szCs w:val="36"/>
        </w:rPr>
      </w:pPr>
      <w:bookmarkStart w:id="431" w:name="_Toc433703443"/>
      <w:r w:rsidRPr="00666257">
        <w:rPr>
          <w:i/>
          <w:noProof/>
          <w:sz w:val="36"/>
          <w:szCs w:val="36"/>
        </w:rPr>
        <w:lastRenderedPageBreak/>
        <w:drawing>
          <wp:anchor distT="0" distB="0" distL="114300" distR="114300" simplePos="0" relativeHeight="251669504" behindDoc="1" locked="0" layoutInCell="1" allowOverlap="1" wp14:anchorId="38BC38CB" wp14:editId="0E68EB7C">
            <wp:simplePos x="0" y="0"/>
            <wp:positionH relativeFrom="column">
              <wp:posOffset>-243</wp:posOffset>
            </wp:positionH>
            <wp:positionV relativeFrom="paragraph">
              <wp:posOffset>338</wp:posOffset>
            </wp:positionV>
            <wp:extent cx="1308100" cy="2349500"/>
            <wp:effectExtent l="0" t="0" r="6350" b="0"/>
            <wp:wrapTight wrapText="bothSides">
              <wp:wrapPolygon edited="0">
                <wp:start x="0" y="0"/>
                <wp:lineTo x="0" y="21366"/>
                <wp:lineTo x="21390" y="21366"/>
                <wp:lineTo x="21390" y="0"/>
                <wp:lineTo x="0" y="0"/>
              </wp:wrapPolygon>
            </wp:wrapTight>
            <wp:docPr id="22" name="Picture 22" title="Icon of 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issors.jpg"/>
                    <pic:cNvPicPr/>
                  </pic:nvPicPr>
                  <pic:blipFill>
                    <a:blip r:embed="rId46">
                      <a:extLst>
                        <a:ext uri="{28A0092B-C50C-407E-A947-70E740481C1C}">
                          <a14:useLocalDpi xmlns:a14="http://schemas.microsoft.com/office/drawing/2010/main" val="0"/>
                        </a:ext>
                      </a:extLst>
                    </a:blip>
                    <a:stretch>
                      <a:fillRect/>
                    </a:stretch>
                  </pic:blipFill>
                  <pic:spPr>
                    <a:xfrm>
                      <a:off x="0" y="0"/>
                      <a:ext cx="1308100" cy="2349500"/>
                    </a:xfrm>
                    <a:prstGeom prst="rect">
                      <a:avLst/>
                    </a:prstGeom>
                  </pic:spPr>
                </pic:pic>
              </a:graphicData>
            </a:graphic>
            <wp14:sizeRelH relativeFrom="page">
              <wp14:pctWidth>0</wp14:pctWidth>
            </wp14:sizeRelH>
            <wp14:sizeRelV relativeFrom="page">
              <wp14:pctHeight>0</wp14:pctHeight>
            </wp14:sizeRelV>
          </wp:anchor>
        </w:drawing>
      </w:r>
      <w:r w:rsidR="00163CCB" w:rsidRPr="00666257">
        <w:rPr>
          <w:i/>
          <w:sz w:val="36"/>
          <w:szCs w:val="36"/>
        </w:rPr>
        <w:t>D</w:t>
      </w:r>
      <w:r w:rsidR="00666257" w:rsidRPr="00666257">
        <w:rPr>
          <w:i/>
          <w:sz w:val="36"/>
          <w:szCs w:val="36"/>
        </w:rPr>
        <w:t>eliverable</w:t>
      </w:r>
      <w:r w:rsidR="00163CCB" w:rsidRPr="000F2488">
        <w:rPr>
          <w:sz w:val="36"/>
          <w:szCs w:val="36"/>
        </w:rPr>
        <w:t>: Develop and maintain appropriate regulatory settings for an information economy and network society</w:t>
      </w:r>
      <w:bookmarkEnd w:id="431"/>
    </w:p>
    <w:p w14:paraId="3B346606" w14:textId="77777777" w:rsidR="00163CCB" w:rsidRPr="000F2488" w:rsidRDefault="00163CCB" w:rsidP="000F2488">
      <w:pPr>
        <w:pStyle w:val="Heading1"/>
        <w:pageBreakBefore w:val="0"/>
        <w:spacing w:after="480" w:line="360" w:lineRule="atLeast"/>
        <w:rPr>
          <w:sz w:val="36"/>
          <w:szCs w:val="36"/>
        </w:rPr>
      </w:pPr>
      <w:bookmarkStart w:id="432" w:name="_Toc433703444"/>
      <w:r w:rsidRPr="00666257">
        <w:rPr>
          <w:i/>
          <w:sz w:val="36"/>
          <w:szCs w:val="36"/>
        </w:rPr>
        <w:t>KPI</w:t>
      </w:r>
      <w:r w:rsidRPr="000F2488">
        <w:rPr>
          <w:sz w:val="36"/>
          <w:szCs w:val="36"/>
        </w:rPr>
        <w:t>: Industry and business have sufficient confidence in regulatory settings to continue development of innovative communications and media services</w:t>
      </w:r>
      <w:bookmarkEnd w:id="423"/>
      <w:bookmarkEnd w:id="432"/>
    </w:p>
    <w:p w14:paraId="643AC699" w14:textId="77777777" w:rsidR="00163CCB" w:rsidRDefault="00163CCB" w:rsidP="00163CCB">
      <w:pPr>
        <w:pStyle w:val="Heading2"/>
      </w:pPr>
      <w:bookmarkStart w:id="433" w:name="_Toc419122616"/>
      <w:bookmarkStart w:id="434" w:name="_Toc400018495"/>
      <w:bookmarkStart w:id="435" w:name="_Toc433703445"/>
      <w:r>
        <w:t>Overview and significant outcomes</w:t>
      </w:r>
      <w:bookmarkEnd w:id="433"/>
      <w:bookmarkEnd w:id="435"/>
    </w:p>
    <w:p w14:paraId="3DE1D44B" w14:textId="77777777" w:rsidR="008F6EB5" w:rsidRDefault="008F6EB5" w:rsidP="008F6EB5">
      <w:r>
        <w:t>The ACMA promotes engagement in the information economy and networked society by reviewing regulation to remove barriers to innovation and competition, reduce costs and update prot</w:t>
      </w:r>
      <w:r w:rsidR="00F52ED4">
        <w:t>ections to be ‘fit-for-</w:t>
      </w:r>
      <w:r w:rsidR="00B333E8">
        <w:t>purpose’</w:t>
      </w:r>
      <w:r>
        <w:t xml:space="preserve"> but no more. It also conducts research into emerging communications and media issues facing industry, business and citizens, and facilitates industry responses that address any concerns.</w:t>
      </w:r>
    </w:p>
    <w:p w14:paraId="1B9A0CA0" w14:textId="77777777" w:rsidR="008F6EB5" w:rsidRDefault="008F6EB5" w:rsidP="008F6EB5">
      <w:r>
        <w:t>The ACMA continues to communicate, facilitate and regulate to maintain appropriate regulatory settings, including deregulat</w:t>
      </w:r>
      <w:r w:rsidR="004924CA">
        <w:t xml:space="preserve">ing based on consideration of </w:t>
      </w:r>
      <w:r>
        <w:t>the</w:t>
      </w:r>
      <w:r w:rsidR="004924CA">
        <w:t>se</w:t>
      </w:r>
      <w:r>
        <w:t xml:space="preserve"> settings and the communications and media environment. The whole-of-government deregulation agenda provided a further emphasis on ensuring that current and new regulations continue to be better targeted</w:t>
      </w:r>
      <w:r w:rsidR="00F52ED4">
        <w:t>, while t</w:t>
      </w:r>
      <w:r>
        <w:t xml:space="preserve">he sunsetting regime provided a timely vehicle </w:t>
      </w:r>
      <w:r w:rsidR="00F52ED4">
        <w:t>to</w:t>
      </w:r>
      <w:r>
        <w:t xml:space="preserve"> </w:t>
      </w:r>
      <w:r w:rsidR="00F52ED4">
        <w:t>reconsider</w:t>
      </w:r>
      <w:r>
        <w:t xml:space="preserve"> a number of regulations.</w:t>
      </w:r>
    </w:p>
    <w:p w14:paraId="7FE3259F" w14:textId="77777777" w:rsidR="008F6EB5" w:rsidRDefault="008F6EB5" w:rsidP="008F6EB5">
      <w:r>
        <w:t>The research</w:t>
      </w:r>
      <w:r w:rsidRPr="008F6EB5">
        <w:rPr>
          <w:b/>
        </w:rPr>
        <w:t>acma</w:t>
      </w:r>
      <w:r>
        <w:t xml:space="preserve"> program of work continues to provide a solid foundation for assessing the regulatory setting and ensuring that the ACMA</w:t>
      </w:r>
      <w:r w:rsidR="00F52ED4">
        <w:t>’</w:t>
      </w:r>
      <w:r>
        <w:t>s regulatory settings promote confidence.</w:t>
      </w:r>
    </w:p>
    <w:p w14:paraId="48273A40" w14:textId="77777777" w:rsidR="008F6EB5" w:rsidRDefault="00F52ED4" w:rsidP="008F6EB5">
      <w:pPr>
        <w:spacing w:after="80"/>
      </w:pPr>
      <w:r>
        <w:t>In 2014–</w:t>
      </w:r>
      <w:r w:rsidR="008F6EB5">
        <w:t>15, the ACMA’s significant outcomes included:</w:t>
      </w:r>
    </w:p>
    <w:p w14:paraId="23F27BE6" w14:textId="77777777" w:rsidR="008F6EB5" w:rsidRDefault="008F6EB5" w:rsidP="008F6EB5">
      <w:pPr>
        <w:pStyle w:val="ListBullet"/>
      </w:pPr>
      <w:r>
        <w:t>releas</w:t>
      </w:r>
      <w:r w:rsidR="00F52ED4">
        <w:t>ing</w:t>
      </w:r>
      <w:r>
        <w:t xml:space="preserve"> an occasional paper reflecting on the role the ACMA</w:t>
      </w:r>
      <w:r w:rsidR="00F52ED4">
        <w:t>’</w:t>
      </w:r>
      <w:r>
        <w:t>s research has played in informing decision-making and regulation over the last 10 years</w:t>
      </w:r>
    </w:p>
    <w:p w14:paraId="2887E772" w14:textId="77777777" w:rsidR="00163CCB" w:rsidRDefault="00F52ED4" w:rsidP="00F52ED4">
      <w:pPr>
        <w:pStyle w:val="ListBulletLast"/>
      </w:pPr>
      <w:r>
        <w:t xml:space="preserve">making a </w:t>
      </w:r>
      <w:r w:rsidR="008F6EB5">
        <w:t>significant contribution to the portfolio deregulation target whil</w:t>
      </w:r>
      <w:r>
        <w:t>e</w:t>
      </w:r>
      <w:r w:rsidR="008F6EB5">
        <w:t xml:space="preserve"> ensuring key consumer protections remain in place.</w:t>
      </w:r>
    </w:p>
    <w:p w14:paraId="00C6BF6F" w14:textId="77777777" w:rsidR="00163CCB" w:rsidRPr="00B2674A" w:rsidRDefault="00163CCB" w:rsidP="00163CCB">
      <w:pPr>
        <w:pStyle w:val="Heading2"/>
      </w:pPr>
      <w:bookmarkStart w:id="436" w:name="Better_reg"/>
      <w:bookmarkStart w:id="437" w:name="_Toc419122617"/>
      <w:bookmarkStart w:id="438" w:name="_Toc433703446"/>
      <w:bookmarkEnd w:id="436"/>
      <w:r w:rsidRPr="00B2674A">
        <w:t>Better targeted regulation</w:t>
      </w:r>
      <w:bookmarkEnd w:id="434"/>
      <w:bookmarkEnd w:id="437"/>
      <w:bookmarkEnd w:id="438"/>
    </w:p>
    <w:p w14:paraId="63AAAF95" w14:textId="77777777" w:rsidR="005E2AC4" w:rsidRPr="00B2674A" w:rsidRDefault="005E2AC4" w:rsidP="005E2AC4">
      <w:pPr>
        <w:spacing w:after="80"/>
        <w:rPr>
          <w:rFonts w:cs="Arial"/>
        </w:rPr>
      </w:pPr>
      <w:bookmarkStart w:id="439" w:name="_Toc400018496"/>
      <w:bookmarkStart w:id="440" w:name="_Toc419122618"/>
      <w:r w:rsidRPr="00B2674A">
        <w:rPr>
          <w:rFonts w:cs="Arial"/>
        </w:rPr>
        <w:t xml:space="preserve">The ACMA has a legislative mandate and an ongoing commitment to regulate better and reduce unnecessary and unjustifiable regulatory imposts on industry. This has been given extra impetus as part of the whole-of-government deregulation agenda. A particular highlight </w:t>
      </w:r>
      <w:r w:rsidR="00E37D7F" w:rsidRPr="00B2674A">
        <w:rPr>
          <w:rFonts w:cs="Arial"/>
        </w:rPr>
        <w:t xml:space="preserve">during the reporting period </w:t>
      </w:r>
      <w:r w:rsidRPr="00B2674A">
        <w:rPr>
          <w:rFonts w:cs="Arial"/>
        </w:rPr>
        <w:t>was the portfolio contribution to the government’s deregulation target for 2014. Many of these initiatives eliminated redundant regulation and provided additional regulatory flexibility</w:t>
      </w:r>
      <w:r w:rsidR="005E0F83" w:rsidRPr="00B2674A">
        <w:rPr>
          <w:rFonts w:cs="Arial"/>
        </w:rPr>
        <w:t>. These included:</w:t>
      </w:r>
    </w:p>
    <w:p w14:paraId="261ED20E" w14:textId="77777777" w:rsidR="005E2AC4" w:rsidRPr="00B2674A" w:rsidRDefault="005E0F83" w:rsidP="005E2AC4">
      <w:pPr>
        <w:pStyle w:val="ListBullet"/>
        <w:rPr>
          <w:rFonts w:cs="Arial"/>
        </w:rPr>
      </w:pPr>
      <w:r w:rsidRPr="00B2674A">
        <w:rPr>
          <w:rFonts w:cs="Arial"/>
        </w:rPr>
        <w:t>changing</w:t>
      </w:r>
      <w:r w:rsidR="005E2AC4" w:rsidRPr="00B2674A">
        <w:rPr>
          <w:rFonts w:cs="Arial"/>
        </w:rPr>
        <w:t xml:space="preserve"> the Telecommunications (Service Provider – Identity checks for Prepaid Mobile Carriage Services) Determination 2013 to introduce additional methods for industry to verify the identity of pre-paid customers</w:t>
      </w:r>
      <w:r w:rsidRPr="00B2674A">
        <w:rPr>
          <w:rFonts w:cs="Arial"/>
        </w:rPr>
        <w:t>, making this process quicker, easier, cheaper and more convenient for consumers</w:t>
      </w:r>
    </w:p>
    <w:p w14:paraId="076D29BF" w14:textId="77777777" w:rsidR="005E2AC4" w:rsidRPr="00B2674A" w:rsidRDefault="005E0F83" w:rsidP="005E2AC4">
      <w:pPr>
        <w:pStyle w:val="ListBullet"/>
        <w:spacing w:after="240"/>
        <w:rPr>
          <w:rFonts w:cs="Arial"/>
        </w:rPr>
      </w:pPr>
      <w:r w:rsidRPr="00B2674A">
        <w:rPr>
          <w:rFonts w:cs="Arial"/>
        </w:rPr>
        <w:lastRenderedPageBreak/>
        <w:t xml:space="preserve">simplifying </w:t>
      </w:r>
      <w:r w:rsidR="005E2AC4" w:rsidRPr="00B2674A">
        <w:rPr>
          <w:rFonts w:cs="Arial"/>
        </w:rPr>
        <w:t xml:space="preserve">age verification requirements in the Restricted Access System Declaration to address changes to </w:t>
      </w:r>
      <w:r w:rsidRPr="00B2674A">
        <w:rPr>
          <w:rFonts w:cs="Arial"/>
        </w:rPr>
        <w:t>how</w:t>
      </w:r>
      <w:r w:rsidR="005E2AC4" w:rsidRPr="00B2674A">
        <w:rPr>
          <w:rFonts w:cs="Arial"/>
        </w:rPr>
        <w:t xml:space="preserve"> consumer</w:t>
      </w:r>
      <w:r w:rsidRPr="00B2674A">
        <w:rPr>
          <w:rFonts w:cs="Arial"/>
        </w:rPr>
        <w:t>s</w:t>
      </w:r>
      <w:r w:rsidR="005E2AC4" w:rsidRPr="00B2674A">
        <w:rPr>
          <w:rFonts w:cs="Arial"/>
        </w:rPr>
        <w:t xml:space="preserve"> access online content.</w:t>
      </w:r>
    </w:p>
    <w:p w14:paraId="01E742E2" w14:textId="77777777" w:rsidR="005E2AC4" w:rsidRPr="00B2674A" w:rsidRDefault="005E2AC4" w:rsidP="005E2AC4">
      <w:pPr>
        <w:pStyle w:val="ListBullet"/>
        <w:numPr>
          <w:ilvl w:val="0"/>
          <w:numId w:val="0"/>
        </w:numPr>
        <w:spacing w:after="240"/>
        <w:rPr>
          <w:rFonts w:cs="Arial"/>
        </w:rPr>
      </w:pPr>
      <w:r w:rsidRPr="00B2674A">
        <w:rPr>
          <w:rFonts w:cs="Arial"/>
        </w:rPr>
        <w:t>These initiatives were implemented following extensive consultation with industry to</w:t>
      </w:r>
      <w:r w:rsidR="005E0F83" w:rsidRPr="00B2674A">
        <w:rPr>
          <w:rFonts w:cs="Arial"/>
        </w:rPr>
        <w:t xml:space="preserve"> develop the new arrangements. </w:t>
      </w:r>
      <w:r w:rsidRPr="00B2674A">
        <w:rPr>
          <w:rFonts w:cs="Arial"/>
        </w:rPr>
        <w:t xml:space="preserve">In implementing these deregulatory measures, the ACMA’s decision-making was undertaken in the context of </w:t>
      </w:r>
      <w:r w:rsidR="005E0F83" w:rsidRPr="00B2674A">
        <w:rPr>
          <w:rFonts w:cs="Arial"/>
        </w:rPr>
        <w:t>its</w:t>
      </w:r>
      <w:r w:rsidRPr="00B2674A">
        <w:rPr>
          <w:rFonts w:cs="Arial"/>
        </w:rPr>
        <w:t xml:space="preserve"> statutory obligations, and on the basis of a comprehensive risk assessment examining the impact of any proposed changes.   </w:t>
      </w:r>
    </w:p>
    <w:p w14:paraId="1FFD77F3" w14:textId="3B1E79B8" w:rsidR="005E2AC4" w:rsidRPr="00B2674A" w:rsidRDefault="005E2AC4" w:rsidP="005E2AC4">
      <w:pPr>
        <w:pStyle w:val="ListBullet"/>
        <w:numPr>
          <w:ilvl w:val="0"/>
          <w:numId w:val="0"/>
        </w:numPr>
        <w:rPr>
          <w:rFonts w:cs="Arial"/>
        </w:rPr>
      </w:pPr>
      <w:r w:rsidRPr="00B2674A">
        <w:rPr>
          <w:rFonts w:cs="Arial"/>
        </w:rPr>
        <w:t>In recognition of the current structure and operation of the markets and industry</w:t>
      </w:r>
      <w:r w:rsidR="005E0F83" w:rsidRPr="00B2674A">
        <w:rPr>
          <w:rFonts w:cs="Arial"/>
        </w:rPr>
        <w:t>,</w:t>
      </w:r>
      <w:r w:rsidR="00F10B23">
        <w:rPr>
          <w:rFonts w:cs="Arial"/>
        </w:rPr>
        <w:t xml:space="preserve"> and </w:t>
      </w:r>
      <w:r w:rsidRPr="00B2674A">
        <w:rPr>
          <w:rFonts w:cs="Arial"/>
        </w:rPr>
        <w:t>existing safeguards for the community that remain in place</w:t>
      </w:r>
      <w:r w:rsidR="005E0F83" w:rsidRPr="00B2674A">
        <w:rPr>
          <w:rFonts w:cs="Arial"/>
        </w:rPr>
        <w:t>,</w:t>
      </w:r>
      <w:r w:rsidRPr="00B2674A">
        <w:rPr>
          <w:rFonts w:cs="Arial"/>
        </w:rPr>
        <w:t xml:space="preserve"> the ACMA:</w:t>
      </w:r>
    </w:p>
    <w:p w14:paraId="59EF6052" w14:textId="77777777" w:rsidR="005E2AC4" w:rsidRPr="00B2674A" w:rsidRDefault="005E0F83" w:rsidP="005E2AC4">
      <w:pPr>
        <w:pStyle w:val="ListBullet"/>
        <w:rPr>
          <w:rFonts w:cs="Arial"/>
        </w:rPr>
      </w:pPr>
      <w:r w:rsidRPr="00B2674A">
        <w:rPr>
          <w:rFonts w:cs="Arial"/>
        </w:rPr>
        <w:t>d</w:t>
      </w:r>
      <w:r w:rsidR="005E2AC4" w:rsidRPr="00B2674A">
        <w:rPr>
          <w:rFonts w:cs="Arial"/>
        </w:rPr>
        <w:t>eregistered the Australian eMarketing Code of Practice</w:t>
      </w:r>
    </w:p>
    <w:p w14:paraId="4F4F1FBA" w14:textId="77777777" w:rsidR="005E2AC4" w:rsidRPr="00B2674A" w:rsidRDefault="005E0F83" w:rsidP="005E2AC4">
      <w:pPr>
        <w:pStyle w:val="ListBullet"/>
        <w:rPr>
          <w:rFonts w:cs="Arial"/>
        </w:rPr>
      </w:pPr>
      <w:r w:rsidRPr="00B2674A">
        <w:rPr>
          <w:rFonts w:cs="Arial"/>
        </w:rPr>
        <w:t>d</w:t>
      </w:r>
      <w:r w:rsidR="005E2AC4" w:rsidRPr="00B2674A">
        <w:rPr>
          <w:rFonts w:cs="Arial"/>
        </w:rPr>
        <w:t>eregistered the Australian Internet Industry Spam Code of Practice</w:t>
      </w:r>
    </w:p>
    <w:p w14:paraId="2980F8AA" w14:textId="77777777" w:rsidR="005E2AC4" w:rsidRPr="00B2674A" w:rsidRDefault="005E0F83" w:rsidP="005E2AC4">
      <w:pPr>
        <w:pStyle w:val="ListBulletLast"/>
      </w:pPr>
      <w:r w:rsidRPr="00B2674A">
        <w:t>r</w:t>
      </w:r>
      <w:r w:rsidR="005E2AC4" w:rsidRPr="00B2674A">
        <w:t>epealed subsections of the Mobile Premium Service Determination and approved variations to the Mobil</w:t>
      </w:r>
      <w:r w:rsidRPr="00B2674A">
        <w:t>e Premium Service Industry Code.</w:t>
      </w:r>
    </w:p>
    <w:p w14:paraId="53D06048" w14:textId="77777777" w:rsidR="005E2AC4" w:rsidRPr="00B2674A" w:rsidRDefault="005E2AC4" w:rsidP="005E2AC4">
      <w:pPr>
        <w:pStyle w:val="ListBullet"/>
        <w:numPr>
          <w:ilvl w:val="0"/>
          <w:numId w:val="0"/>
        </w:numPr>
        <w:rPr>
          <w:rFonts w:cs="Arial"/>
        </w:rPr>
      </w:pPr>
      <w:r w:rsidRPr="00B2674A">
        <w:rPr>
          <w:rFonts w:cs="Arial"/>
        </w:rPr>
        <w:t xml:space="preserve">The ACMA </w:t>
      </w:r>
      <w:r w:rsidR="005E0F83" w:rsidRPr="00B2674A">
        <w:rPr>
          <w:rFonts w:cs="Arial"/>
        </w:rPr>
        <w:t xml:space="preserve">also </w:t>
      </w:r>
      <w:r w:rsidRPr="00B2674A">
        <w:rPr>
          <w:rFonts w:cs="Arial"/>
        </w:rPr>
        <w:t xml:space="preserve">implemented a number of business process improvements that reduced </w:t>
      </w:r>
      <w:r w:rsidR="005E0F83" w:rsidRPr="00B2674A">
        <w:rPr>
          <w:rFonts w:cs="Arial"/>
        </w:rPr>
        <w:t xml:space="preserve">the </w:t>
      </w:r>
      <w:r w:rsidRPr="00B2674A">
        <w:rPr>
          <w:rFonts w:cs="Arial"/>
        </w:rPr>
        <w:t>regulatory burden on industry and consumers</w:t>
      </w:r>
      <w:r w:rsidR="005E0F83" w:rsidRPr="00B2674A">
        <w:rPr>
          <w:rFonts w:cs="Arial"/>
        </w:rPr>
        <w:t>. These included</w:t>
      </w:r>
      <w:r w:rsidRPr="00B2674A">
        <w:rPr>
          <w:rFonts w:cs="Arial"/>
        </w:rPr>
        <w:t>:</w:t>
      </w:r>
    </w:p>
    <w:p w14:paraId="7C0A91C7" w14:textId="77777777" w:rsidR="005E2AC4" w:rsidRPr="00B2674A" w:rsidRDefault="005E0F83" w:rsidP="005E0F83">
      <w:pPr>
        <w:pStyle w:val="ListBullet"/>
        <w:rPr>
          <w:rFonts w:cs="Arial"/>
        </w:rPr>
      </w:pPr>
      <w:r w:rsidRPr="00B2674A">
        <w:rPr>
          <w:rFonts w:cs="Arial"/>
        </w:rPr>
        <w:t>m</w:t>
      </w:r>
      <w:r w:rsidR="005E2AC4" w:rsidRPr="00B2674A">
        <w:rPr>
          <w:rFonts w:cs="Arial"/>
        </w:rPr>
        <w:t>odif</w:t>
      </w:r>
      <w:r w:rsidRPr="00B2674A">
        <w:rPr>
          <w:rFonts w:cs="Arial"/>
        </w:rPr>
        <w:t>ying</w:t>
      </w:r>
      <w:r w:rsidR="005E2AC4" w:rsidRPr="00B2674A">
        <w:rPr>
          <w:rFonts w:cs="Arial"/>
        </w:rPr>
        <w:t xml:space="preserve"> </w:t>
      </w:r>
      <w:r w:rsidRPr="00B2674A">
        <w:rPr>
          <w:rFonts w:cs="Arial"/>
        </w:rPr>
        <w:t xml:space="preserve">the </w:t>
      </w:r>
      <w:r w:rsidR="005E2AC4" w:rsidRPr="00B2674A">
        <w:rPr>
          <w:rFonts w:cs="Arial"/>
        </w:rPr>
        <w:t>complaint and enquiry form</w:t>
      </w:r>
      <w:r w:rsidRPr="00B2674A">
        <w:rPr>
          <w:rFonts w:cs="Arial"/>
        </w:rPr>
        <w:t>s</w:t>
      </w:r>
      <w:r w:rsidR="005E2AC4" w:rsidRPr="00B2674A">
        <w:rPr>
          <w:rFonts w:cs="Arial"/>
        </w:rPr>
        <w:t xml:space="preserve"> used for the </w:t>
      </w:r>
      <w:r w:rsidRPr="00B2674A">
        <w:rPr>
          <w:rFonts w:cs="Arial"/>
        </w:rPr>
        <w:t>ACMA Hotline, online gambling, spam</w:t>
      </w:r>
      <w:r w:rsidR="005E2AC4" w:rsidRPr="00B2674A">
        <w:rPr>
          <w:rFonts w:cs="Arial"/>
        </w:rPr>
        <w:t xml:space="preserve"> and genera</w:t>
      </w:r>
      <w:r w:rsidRPr="00B2674A">
        <w:rPr>
          <w:rFonts w:cs="Arial"/>
        </w:rPr>
        <w:t>l enquiries to make them mobile-</w:t>
      </w:r>
      <w:r w:rsidR="005E2AC4" w:rsidRPr="00B2674A">
        <w:rPr>
          <w:rFonts w:cs="Arial"/>
        </w:rPr>
        <w:t>accessible</w:t>
      </w:r>
    </w:p>
    <w:p w14:paraId="3C878783" w14:textId="77777777" w:rsidR="005E2AC4" w:rsidRPr="00B2674A" w:rsidRDefault="005E0F83" w:rsidP="005E0F83">
      <w:pPr>
        <w:pStyle w:val="ListBullet"/>
      </w:pPr>
      <w:r w:rsidRPr="00B2674A">
        <w:t>creating</w:t>
      </w:r>
      <w:r w:rsidR="005E2AC4" w:rsidRPr="00B2674A">
        <w:t xml:space="preserve"> a </w:t>
      </w:r>
      <w:r w:rsidR="005E2AC4" w:rsidRPr="00B2674A">
        <w:rPr>
          <w:rFonts w:cs="Arial"/>
        </w:rPr>
        <w:t>centralised</w:t>
      </w:r>
      <w:r w:rsidR="005E2AC4" w:rsidRPr="00B2674A">
        <w:t xml:space="preserve"> single point of contact for industry and consumers to deal with the ACMA</w:t>
      </w:r>
    </w:p>
    <w:p w14:paraId="36668F1F" w14:textId="77777777" w:rsidR="005E2AC4" w:rsidRPr="00B2674A" w:rsidRDefault="008F4F10" w:rsidP="005E2AC4">
      <w:pPr>
        <w:pStyle w:val="ListBulletLast"/>
      </w:pPr>
      <w:r w:rsidRPr="00B2674A">
        <w:t>developing n</w:t>
      </w:r>
      <w:r w:rsidR="005E2AC4" w:rsidRPr="00B2674A">
        <w:t>ew online platforms to streamline the industry information submission process for eligible revenue and industry levy reporting</w:t>
      </w:r>
      <w:r w:rsidRPr="00B2674A">
        <w:t>,</w:t>
      </w:r>
      <w:r w:rsidR="005E2AC4" w:rsidRPr="00B2674A">
        <w:t xml:space="preserve"> as well as </w:t>
      </w:r>
      <w:r w:rsidRPr="00B2674A">
        <w:t>moving f</w:t>
      </w:r>
      <w:r w:rsidR="005E2AC4" w:rsidRPr="00B2674A">
        <w:t xml:space="preserve">rom annual to self-reporting arrangements. </w:t>
      </w:r>
    </w:p>
    <w:p w14:paraId="178D6CA2" w14:textId="77777777" w:rsidR="005E2AC4" w:rsidRPr="00B2674A" w:rsidRDefault="008F4F10" w:rsidP="005E2AC4">
      <w:pPr>
        <w:rPr>
          <w:rFonts w:cs="Arial"/>
        </w:rPr>
      </w:pPr>
      <w:r w:rsidRPr="00B2674A">
        <w:rPr>
          <w:rFonts w:cs="Arial"/>
        </w:rPr>
        <w:t>To</w:t>
      </w:r>
      <w:r w:rsidR="005E2AC4" w:rsidRPr="00B2674A">
        <w:rPr>
          <w:rFonts w:cs="Arial"/>
        </w:rPr>
        <w:t xml:space="preserve"> support better target</w:t>
      </w:r>
      <w:r w:rsidRPr="00B2674A">
        <w:rPr>
          <w:rFonts w:cs="Arial"/>
        </w:rPr>
        <w:t>ed</w:t>
      </w:r>
      <w:r w:rsidR="005E2AC4" w:rsidRPr="00B2674A">
        <w:rPr>
          <w:rFonts w:cs="Arial"/>
        </w:rPr>
        <w:t xml:space="preserve"> regulation</w:t>
      </w:r>
      <w:r w:rsidRPr="00B2674A">
        <w:rPr>
          <w:rFonts w:cs="Arial"/>
        </w:rPr>
        <w:t>,</w:t>
      </w:r>
      <w:r w:rsidR="005E2AC4" w:rsidRPr="00B2674A">
        <w:rPr>
          <w:rFonts w:cs="Arial"/>
        </w:rPr>
        <w:t xml:space="preserve"> the ACMA also provided advice on legislative reforms, removed redundant regulation, reformed outdated regulation and reporting requirements</w:t>
      </w:r>
      <w:r w:rsidRPr="00B2674A">
        <w:rPr>
          <w:rFonts w:cs="Arial"/>
        </w:rPr>
        <w:t>,</w:t>
      </w:r>
      <w:r w:rsidR="005E2AC4" w:rsidRPr="00B2674A">
        <w:rPr>
          <w:rFonts w:cs="Arial"/>
        </w:rPr>
        <w:t xml:space="preserve"> and worked with industry to revise a range of industry codes. The</w:t>
      </w:r>
      <w:r w:rsidRPr="00B2674A">
        <w:rPr>
          <w:rFonts w:cs="Arial"/>
        </w:rPr>
        <w:t>se</w:t>
      </w:r>
      <w:r w:rsidR="005E2AC4" w:rsidRPr="00B2674A">
        <w:rPr>
          <w:rFonts w:cs="Arial"/>
        </w:rPr>
        <w:t xml:space="preserve"> initiatives have delivered substantial savings in regulatory costs whil</w:t>
      </w:r>
      <w:r w:rsidRPr="00B2674A">
        <w:rPr>
          <w:rFonts w:cs="Arial"/>
        </w:rPr>
        <w:t>e</w:t>
      </w:r>
      <w:r w:rsidR="005E2AC4" w:rsidRPr="00B2674A">
        <w:rPr>
          <w:rFonts w:cs="Arial"/>
        </w:rPr>
        <w:t xml:space="preserve"> maintaining key consumer safeguards.   </w:t>
      </w:r>
    </w:p>
    <w:p w14:paraId="278D4A8F" w14:textId="77777777" w:rsidR="00C53D44" w:rsidRPr="00B2674A" w:rsidRDefault="004767D2" w:rsidP="00C53D44">
      <w:pPr>
        <w:pStyle w:val="Heading2"/>
      </w:pPr>
      <w:bookmarkStart w:id="441" w:name="Reg_research"/>
      <w:bookmarkStart w:id="442" w:name="_Toc433703447"/>
      <w:bookmarkEnd w:id="441"/>
      <w:r w:rsidRPr="00B2674A">
        <w:t>Regulatory best-</w:t>
      </w:r>
      <w:r w:rsidR="00C53D44" w:rsidRPr="00B2674A">
        <w:t>practice and development research</w:t>
      </w:r>
      <w:bookmarkEnd w:id="442"/>
    </w:p>
    <w:p w14:paraId="72722344" w14:textId="77777777" w:rsidR="00950064" w:rsidRPr="00B2674A" w:rsidRDefault="00950064" w:rsidP="00950064">
      <w:r w:rsidRPr="00B2674A">
        <w:t>As part of the research</w:t>
      </w:r>
      <w:r w:rsidRPr="00B2674A">
        <w:rPr>
          <w:b/>
        </w:rPr>
        <w:t>acma</w:t>
      </w:r>
      <w:r w:rsidRPr="00B2674A">
        <w:t xml:space="preserve"> program, the ACMA continued its analysis of the effectiveness and costs and benefits of current regulation, and identified emerging issues and problems that may require regulatory or non-regulatory solutions.</w:t>
      </w:r>
    </w:p>
    <w:p w14:paraId="1FBFE74F" w14:textId="77777777" w:rsidR="00C53D44" w:rsidRPr="00B2674A" w:rsidRDefault="00C53D44" w:rsidP="00D1349C">
      <w:pPr>
        <w:pStyle w:val="BodysubheaderH4"/>
      </w:pPr>
      <w:r w:rsidRPr="00B2674A">
        <w:t>Optimal conditions for effective self- and co-regulatory arrangements</w:t>
      </w:r>
      <w:r w:rsidR="008F4F10" w:rsidRPr="00B2674A">
        <w:t xml:space="preserve"> </w:t>
      </w:r>
      <w:r w:rsidR="008F4F10" w:rsidRPr="00B2674A">
        <w:rPr>
          <w:i w:val="0"/>
        </w:rPr>
        <w:t>(June </w:t>
      </w:r>
      <w:r w:rsidRPr="00B2674A">
        <w:rPr>
          <w:i w:val="0"/>
        </w:rPr>
        <w:t>2015)</w:t>
      </w:r>
    </w:p>
    <w:p w14:paraId="20198211" w14:textId="77777777" w:rsidR="00C53D44" w:rsidRPr="00B2674A" w:rsidRDefault="008F4F10" w:rsidP="00C53D44">
      <w:r w:rsidRPr="00B2674A">
        <w:t>In this</w:t>
      </w:r>
      <w:r w:rsidR="00C53D44" w:rsidRPr="00B2674A">
        <w:t xml:space="preserve"> update to the </w:t>
      </w:r>
      <w:r w:rsidRPr="00B2674A">
        <w:t xml:space="preserve">September 2011 occasional paper, </w:t>
      </w:r>
      <w:r w:rsidR="00C53D44" w:rsidRPr="00B2674A">
        <w:t xml:space="preserve">the ACMA has broadened the discussion to include a greater exploration of non-regulatory approaches that complement the use of traditional regulatory tools. </w:t>
      </w:r>
    </w:p>
    <w:p w14:paraId="0D9F7AC7" w14:textId="77777777" w:rsidR="00C53D44" w:rsidRPr="00B2674A" w:rsidRDefault="008F4F10" w:rsidP="00D1349C">
      <w:pPr>
        <w:pStyle w:val="BodysubheaderH4"/>
      </w:pPr>
      <w:r w:rsidRPr="00B2674A">
        <w:t xml:space="preserve">The </w:t>
      </w:r>
      <w:r w:rsidR="00C53D44" w:rsidRPr="00B2674A">
        <w:t>ACMA</w:t>
      </w:r>
      <w:r w:rsidRPr="00B2674A">
        <w:t>’s i</w:t>
      </w:r>
      <w:r w:rsidR="00C53D44" w:rsidRPr="00B2674A">
        <w:t xml:space="preserve">nternational </w:t>
      </w:r>
      <w:r w:rsidRPr="00B2674A">
        <w:t>e</w:t>
      </w:r>
      <w:r w:rsidR="00C53D44" w:rsidRPr="00B2674A">
        <w:t>ngagement</w:t>
      </w:r>
      <w:r w:rsidRPr="00B2674A">
        <w:t>—r</w:t>
      </w:r>
      <w:r w:rsidR="00C53D44" w:rsidRPr="00B2674A">
        <w:t xml:space="preserve">egulating in a globalised communications and media environment </w:t>
      </w:r>
      <w:r w:rsidR="00C53D44" w:rsidRPr="00B2674A">
        <w:rPr>
          <w:i w:val="0"/>
        </w:rPr>
        <w:t>(June 2015)</w:t>
      </w:r>
    </w:p>
    <w:p w14:paraId="3A35EB67" w14:textId="77777777" w:rsidR="00C53D44" w:rsidRPr="00B2674A" w:rsidRDefault="008F4F10" w:rsidP="00C53D44">
      <w:r w:rsidRPr="00B2674A">
        <w:t>T</w:t>
      </w:r>
      <w:r w:rsidR="00C53D44" w:rsidRPr="00B2674A">
        <w:t xml:space="preserve">his </w:t>
      </w:r>
      <w:r w:rsidRPr="00B2674A">
        <w:t xml:space="preserve">occasional </w:t>
      </w:r>
      <w:r w:rsidR="00C53D44" w:rsidRPr="00B2674A">
        <w:t>paper discusses why the ACMA undertakes international engagement in terms of the global communications and media environment</w:t>
      </w:r>
      <w:r w:rsidRPr="00B2674A">
        <w:t>,</w:t>
      </w:r>
      <w:r w:rsidR="00C53D44" w:rsidRPr="00B2674A">
        <w:t xml:space="preserve"> and the public interest benefits it aims to achieve. </w:t>
      </w:r>
    </w:p>
    <w:p w14:paraId="4194905B" w14:textId="77777777" w:rsidR="00C53D44" w:rsidRPr="00B2674A" w:rsidRDefault="00F724E2" w:rsidP="00D1349C">
      <w:pPr>
        <w:pStyle w:val="BodysubheaderH4"/>
      </w:pPr>
      <w:r w:rsidRPr="00B2674A">
        <w:t>Mobile n</w:t>
      </w:r>
      <w:r w:rsidR="00C53D44" w:rsidRPr="00B2674A">
        <w:t xml:space="preserve">etwork </w:t>
      </w:r>
      <w:r w:rsidRPr="00B2674A">
        <w:t>i</w:t>
      </w:r>
      <w:r w:rsidR="00C53D44" w:rsidRPr="00B2674A">
        <w:t xml:space="preserve">nfrastructure </w:t>
      </w:r>
      <w:r w:rsidRPr="00B2674A">
        <w:t>f</w:t>
      </w:r>
      <w:r w:rsidR="00C53D44" w:rsidRPr="00B2674A">
        <w:t xml:space="preserve">orecasting model </w:t>
      </w:r>
      <w:r w:rsidR="00C53D44" w:rsidRPr="00B2674A">
        <w:rPr>
          <w:i w:val="0"/>
        </w:rPr>
        <w:t>(June 2015)</w:t>
      </w:r>
    </w:p>
    <w:p w14:paraId="7B72C6E6" w14:textId="77777777" w:rsidR="00C53D44" w:rsidRPr="00B2674A" w:rsidRDefault="00C53D44" w:rsidP="00C53D44">
      <w:r w:rsidRPr="00B2674A">
        <w:t>The ACMA commissioned Analysys Mason to develop, with input from mobile network operators, a mobile network infrastructure forecasting model</w:t>
      </w:r>
      <w:r w:rsidR="00663D87" w:rsidRPr="00B2674A">
        <w:t xml:space="preserve"> that</w:t>
      </w:r>
      <w:r w:rsidRPr="00B2674A">
        <w:t xml:space="preserve"> makes projections about the number of mobile sites required to meet future traffic demand. The ACMA will use this work to understand the mobile network infrastructure requirements of </w:t>
      </w:r>
      <w:r w:rsidRPr="00B2674A">
        <w:lastRenderedPageBreak/>
        <w:t>mobile broadband operators, and the role of spectrum, including potential future additional spectrum allocations, within this network.</w:t>
      </w:r>
    </w:p>
    <w:p w14:paraId="7D456F92" w14:textId="77777777" w:rsidR="00C53D44" w:rsidRPr="00B2674A" w:rsidRDefault="00C53D44" w:rsidP="00D1349C">
      <w:pPr>
        <w:pStyle w:val="BodysubheaderH4"/>
      </w:pPr>
      <w:r w:rsidRPr="00B2674A">
        <w:t>Evidenc</w:t>
      </w:r>
      <w:r w:rsidR="00F724E2" w:rsidRPr="00B2674A">
        <w:t>e-informed regulatory practice—an adaptive response, 2005–</w:t>
      </w:r>
      <w:r w:rsidRPr="00B2674A">
        <w:t xml:space="preserve">15 </w:t>
      </w:r>
      <w:r w:rsidRPr="00B2674A">
        <w:rPr>
          <w:i w:val="0"/>
        </w:rPr>
        <w:t>(April</w:t>
      </w:r>
      <w:r w:rsidR="00F724E2" w:rsidRPr="00B2674A">
        <w:rPr>
          <w:i w:val="0"/>
        </w:rPr>
        <w:t> </w:t>
      </w:r>
      <w:r w:rsidRPr="00B2674A">
        <w:rPr>
          <w:i w:val="0"/>
        </w:rPr>
        <w:t>2015)</w:t>
      </w:r>
    </w:p>
    <w:p w14:paraId="6BD6245B" w14:textId="77777777" w:rsidR="00C53D44" w:rsidRPr="00B2674A" w:rsidRDefault="00C53D44" w:rsidP="00C53D44">
      <w:r w:rsidRPr="00B2674A">
        <w:t>In this occasional paper</w:t>
      </w:r>
      <w:r w:rsidR="00F724E2" w:rsidRPr="00B2674A">
        <w:t>,</w:t>
      </w:r>
      <w:r w:rsidRPr="00B2674A">
        <w:t xml:space="preserve"> the ACMA reflects on its regulatory practice over the past 10 years; specifically, the role of research in evidence-informed decision-making and regulation. It looks at how the ACMA has used research in an environment of ongoing change to document and build evidence, inform public debate about regulation, and build capability among our stakeholders to make communications and media work in Australia’s national interest.</w:t>
      </w:r>
    </w:p>
    <w:p w14:paraId="113D9BB1" w14:textId="77777777" w:rsidR="00C53D44" w:rsidRPr="00B2674A" w:rsidRDefault="00C53D44" w:rsidP="00C53D44">
      <w:r w:rsidRPr="00B2674A">
        <w:t xml:space="preserve">See the deliverable </w:t>
      </w:r>
      <w:r w:rsidRPr="00B2674A">
        <w:rPr>
          <w:i/>
        </w:rPr>
        <w:t>Promote engagement in the information economy and evolving networked society</w:t>
      </w:r>
      <w:r w:rsidRPr="00B2674A">
        <w:t xml:space="preserve"> for details of the full research</w:t>
      </w:r>
      <w:r w:rsidRPr="00B2674A">
        <w:rPr>
          <w:b/>
        </w:rPr>
        <w:t>acma</w:t>
      </w:r>
      <w:r w:rsidRPr="00B2674A">
        <w:t xml:space="preserve"> program.</w:t>
      </w:r>
    </w:p>
    <w:p w14:paraId="038A86AF" w14:textId="77777777" w:rsidR="00163CCB" w:rsidRPr="00B2674A" w:rsidRDefault="00163CCB" w:rsidP="00163CCB">
      <w:pPr>
        <w:pStyle w:val="Heading2"/>
      </w:pPr>
      <w:bookmarkStart w:id="443" w:name="_Toc433703448"/>
      <w:r w:rsidRPr="00B2674A">
        <w:t>Sunsetting</w:t>
      </w:r>
      <w:bookmarkEnd w:id="439"/>
      <w:bookmarkEnd w:id="440"/>
      <w:bookmarkEnd w:id="443"/>
    </w:p>
    <w:p w14:paraId="745D8F95" w14:textId="77777777" w:rsidR="001E0CD2" w:rsidRPr="00B2674A" w:rsidRDefault="00F724E2" w:rsidP="00F724E2">
      <w:pPr>
        <w:keepLines/>
        <w:rPr>
          <w:rFonts w:cs="Arial"/>
        </w:rPr>
      </w:pPr>
      <w:r w:rsidRPr="00B2674A">
        <w:rPr>
          <w:rFonts w:cs="Arial"/>
        </w:rPr>
        <w:t>The</w:t>
      </w:r>
      <w:r w:rsidR="001E0CD2" w:rsidRPr="00B2674A">
        <w:rPr>
          <w:rFonts w:cs="Arial"/>
        </w:rPr>
        <w:t xml:space="preserve"> ACMA continued the extensive and detailed work that flows from the new ‘sunsetting’ regime that commenced under the LIA during the year. Under the sunsetting provisions of the LIA, most of the legislative instruments made by Commonwealth agencies such as the ACMA ‘sunset’ (that is, are automatically repealed) 10 years after they are first registered as law. The first round of such sunsetting occurred on 1 April 2015, with the secon</w:t>
      </w:r>
      <w:r w:rsidR="00C831B5" w:rsidRPr="00B2674A">
        <w:rPr>
          <w:rFonts w:cs="Arial"/>
        </w:rPr>
        <w:t xml:space="preserve">d round due on 1 October 2015. </w:t>
      </w:r>
      <w:r w:rsidR="001E0CD2" w:rsidRPr="00B2674A">
        <w:rPr>
          <w:rFonts w:cs="Arial"/>
        </w:rPr>
        <w:t>Further rounds of sunsetting will occur at six-monthly intervals thereafter.</w:t>
      </w:r>
    </w:p>
    <w:p w14:paraId="445A472E" w14:textId="77777777" w:rsidR="001E0CD2" w:rsidRPr="00B2674A" w:rsidRDefault="001E0CD2" w:rsidP="001E0CD2">
      <w:pPr>
        <w:rPr>
          <w:rFonts w:cs="Arial"/>
        </w:rPr>
      </w:pPr>
      <w:r w:rsidRPr="00B2674A">
        <w:rPr>
          <w:rFonts w:cs="Arial"/>
        </w:rPr>
        <w:t>The sunsetting regime requires th</w:t>
      </w:r>
      <w:r w:rsidR="00F724E2" w:rsidRPr="00B2674A">
        <w:rPr>
          <w:rFonts w:cs="Arial"/>
        </w:rPr>
        <w:t>e ACMA to review, update and re</w:t>
      </w:r>
      <w:r w:rsidRPr="00B2674A">
        <w:rPr>
          <w:rFonts w:cs="Arial"/>
        </w:rPr>
        <w:t xml:space="preserve">make, or repeal, as the case requires, over 100 legislative instruments during the first two rounds. That exercise will help to ensure that the legislative instruments made by the ACMA are kept up to date and are in force only for so long as they are needed. </w:t>
      </w:r>
    </w:p>
    <w:p w14:paraId="566999E2" w14:textId="77777777" w:rsidR="008B3B0B" w:rsidRDefault="00280D75" w:rsidP="008B3B0B">
      <w:pPr>
        <w:pStyle w:val="ACMAExecSummaryHeading"/>
        <w:pageBreakBefore/>
      </w:pPr>
      <w:bookmarkStart w:id="444" w:name="_Toc433703449"/>
      <w:r>
        <w:lastRenderedPageBreak/>
        <w:t>Part 4—Management and </w:t>
      </w:r>
      <w:r w:rsidR="008B3B0B">
        <w:t>accounta</w:t>
      </w:r>
      <w:r w:rsidR="00F03686">
        <w:t>bility</w:t>
      </w:r>
      <w:bookmarkEnd w:id="444"/>
    </w:p>
    <w:p w14:paraId="2C415BB4" w14:textId="77777777" w:rsidR="008B3B0B" w:rsidRPr="00602B35" w:rsidRDefault="008B3B0B" w:rsidP="008B3B0B">
      <w:pPr>
        <w:pStyle w:val="Heading1"/>
        <w:rPr>
          <w:color w:val="auto"/>
        </w:rPr>
      </w:pPr>
      <w:bookmarkStart w:id="445" w:name="_Toc433703450"/>
      <w:r w:rsidRPr="00602B35">
        <w:rPr>
          <w:color w:val="auto"/>
        </w:rPr>
        <w:lastRenderedPageBreak/>
        <w:t>Chapter 5: Managing and developing our resources</w:t>
      </w:r>
      <w:bookmarkEnd w:id="445"/>
    </w:p>
    <w:p w14:paraId="6267D1BE" w14:textId="77777777" w:rsidR="00D857E9" w:rsidRPr="00B2674A" w:rsidRDefault="00D857E9" w:rsidP="00D857E9">
      <w:pPr>
        <w:rPr>
          <w:rFonts w:cs="Arial"/>
        </w:rPr>
      </w:pPr>
      <w:r w:rsidRPr="00B2674A">
        <w:rPr>
          <w:rFonts w:cs="Arial"/>
        </w:rPr>
        <w:t xml:space="preserve">Chapter 5 details the ACMA’s staffing arrangements, governance, information management, communications and engagement, and financial and property management. </w:t>
      </w:r>
    </w:p>
    <w:p w14:paraId="43E65F8F" w14:textId="77777777" w:rsidR="00D857E9" w:rsidRPr="00B2674A" w:rsidRDefault="00D857E9" w:rsidP="00D857E9">
      <w:pPr>
        <w:rPr>
          <w:rFonts w:cs="Arial"/>
        </w:rPr>
      </w:pPr>
      <w:r w:rsidRPr="00B2674A">
        <w:rPr>
          <w:rFonts w:cs="Arial"/>
        </w:rPr>
        <w:t>The ACMA continues to focus on strengthening its planning and resource management frameworks.</w:t>
      </w:r>
    </w:p>
    <w:p w14:paraId="77ECBC40" w14:textId="77777777" w:rsidR="00D857E9" w:rsidRPr="00B2674A" w:rsidRDefault="00D857E9" w:rsidP="00D857E9">
      <w:pPr>
        <w:pStyle w:val="Heading2"/>
      </w:pPr>
      <w:bookmarkStart w:id="446" w:name="_Toc400018613"/>
      <w:bookmarkStart w:id="447" w:name="_Toc433703451"/>
      <w:r w:rsidRPr="00B2674A">
        <w:t>Governance</w:t>
      </w:r>
      <w:bookmarkEnd w:id="446"/>
      <w:bookmarkEnd w:id="447"/>
    </w:p>
    <w:p w14:paraId="4FFED225" w14:textId="65E36AAC" w:rsidR="00D857E9" w:rsidRPr="00B2674A" w:rsidRDefault="00D857E9" w:rsidP="00D857E9">
      <w:pPr>
        <w:rPr>
          <w:rFonts w:cs="Arial"/>
        </w:rPr>
      </w:pPr>
      <w:r w:rsidRPr="00B2674A">
        <w:rPr>
          <w:rFonts w:cs="Arial"/>
        </w:rPr>
        <w:t xml:space="preserve">The ACMA operates under the </w:t>
      </w:r>
      <w:r w:rsidRPr="00B2674A">
        <w:rPr>
          <w:rFonts w:cs="Arial"/>
          <w:i/>
        </w:rPr>
        <w:t>Public Governance</w:t>
      </w:r>
      <w:r w:rsidR="00280D75" w:rsidRPr="00B2674A">
        <w:rPr>
          <w:rFonts w:cs="Arial"/>
          <w:i/>
        </w:rPr>
        <w:t>,</w:t>
      </w:r>
      <w:r w:rsidRPr="00B2674A">
        <w:rPr>
          <w:rFonts w:cs="Arial"/>
          <w:i/>
        </w:rPr>
        <w:t xml:space="preserve"> Performance and Accountability Act 2013</w:t>
      </w:r>
      <w:r w:rsidRPr="00B2674A">
        <w:rPr>
          <w:rFonts w:cs="Arial"/>
        </w:rPr>
        <w:t xml:space="preserve"> (PGPA Act), where responsibility for governance and management of the ACMA re</w:t>
      </w:r>
      <w:r w:rsidR="00AB13BC">
        <w:rPr>
          <w:rFonts w:cs="Arial"/>
        </w:rPr>
        <w:t>sides with the Chairman as the accountable a</w:t>
      </w:r>
      <w:r w:rsidRPr="00B2674A">
        <w:rPr>
          <w:rFonts w:cs="Arial"/>
        </w:rPr>
        <w:t xml:space="preserve">uthority. The ACMA Chairman is also the head of the ACMA for the purposes of the </w:t>
      </w:r>
      <w:r w:rsidRPr="00B2674A">
        <w:rPr>
          <w:rFonts w:cs="Arial"/>
          <w:i/>
        </w:rPr>
        <w:t>Public Service Act 1999</w:t>
      </w:r>
      <w:r w:rsidRPr="00B2674A">
        <w:rPr>
          <w:rFonts w:cs="Arial"/>
        </w:rPr>
        <w:t xml:space="preserve"> and has the rights, duties and powers of an employer for Australian Public Service employees in the ACMA.</w:t>
      </w:r>
    </w:p>
    <w:p w14:paraId="7DD0A8AF" w14:textId="1F9915B5" w:rsidR="00D857E9" w:rsidRPr="00B2674A" w:rsidRDefault="00D857E9" w:rsidP="00D857E9">
      <w:pPr>
        <w:rPr>
          <w:rFonts w:cs="Arial"/>
        </w:rPr>
      </w:pPr>
      <w:r w:rsidRPr="00B2674A">
        <w:rPr>
          <w:rFonts w:cs="Arial"/>
        </w:rPr>
        <w:t xml:space="preserve">Throughout 2014–15, the ACMA’s Executive Group assisted the Chairman in his role as the </w:t>
      </w:r>
      <w:r w:rsidR="00AB13BC">
        <w:rPr>
          <w:rFonts w:cs="Arial"/>
        </w:rPr>
        <w:t>accountable authority</w:t>
      </w:r>
      <w:r w:rsidRPr="00B2674A">
        <w:rPr>
          <w:rFonts w:cs="Arial"/>
        </w:rPr>
        <w:t xml:space="preserve"> of the ACMA by advising on issues of high-level corporate or strategic significance. The Executive Group comprises the Chairman, Deputy Chair</w:t>
      </w:r>
      <w:r w:rsidR="00280D75" w:rsidRPr="00B2674A">
        <w:rPr>
          <w:rFonts w:cs="Arial"/>
        </w:rPr>
        <w:t>, F</w:t>
      </w:r>
      <w:r w:rsidRPr="00B2674A">
        <w:rPr>
          <w:rFonts w:cs="Arial"/>
        </w:rPr>
        <w:t xml:space="preserve">ull-time Member and the four Senior Executive Service (SES) Band 2 General Managers. The ACMA also has a number of other high-level committees overseeing finance and resource management, compliance and enforcement, and information technology. </w:t>
      </w:r>
    </w:p>
    <w:p w14:paraId="48E43A35" w14:textId="77777777" w:rsidR="00D857E9" w:rsidRPr="00B2674A" w:rsidRDefault="00D857E9" w:rsidP="00D857E9">
      <w:pPr>
        <w:pStyle w:val="Heading3"/>
      </w:pPr>
      <w:bookmarkStart w:id="448" w:name="_Toc400018614"/>
      <w:bookmarkStart w:id="449" w:name="_Toc433703452"/>
      <w:r w:rsidRPr="00B2674A">
        <w:t>Corporate planning</w:t>
      </w:r>
      <w:bookmarkEnd w:id="448"/>
      <w:bookmarkEnd w:id="449"/>
      <w:r w:rsidRPr="00B2674A">
        <w:t xml:space="preserve"> </w:t>
      </w:r>
    </w:p>
    <w:p w14:paraId="7699EE2C" w14:textId="77777777" w:rsidR="00D857E9" w:rsidRPr="00B2674A" w:rsidRDefault="00D857E9" w:rsidP="0017212E">
      <w:r w:rsidRPr="00B2674A">
        <w:t xml:space="preserve">The ACMA </w:t>
      </w:r>
      <w:r w:rsidR="00280D75" w:rsidRPr="00B2674A">
        <w:rPr>
          <w:i/>
        </w:rPr>
        <w:t>Corporate p</w:t>
      </w:r>
      <w:r w:rsidRPr="00B2674A">
        <w:rPr>
          <w:i/>
        </w:rPr>
        <w:t xml:space="preserve">lan </w:t>
      </w:r>
      <w:r w:rsidR="00280D75" w:rsidRPr="00B2674A">
        <w:rPr>
          <w:i/>
        </w:rPr>
        <w:t>2013–16</w:t>
      </w:r>
      <w:r w:rsidR="00280D75" w:rsidRPr="00B2674A">
        <w:t xml:space="preserve"> </w:t>
      </w:r>
      <w:r w:rsidRPr="00B2674A">
        <w:t>covers a three-year period and identifies the ACMA’s objectives and priorities, as well as the necessary strategies to achieve them. It is also reflected at an individual level in performance management plans agreed between staff members and supervisors. The 2013</w:t>
      </w:r>
      <w:r w:rsidR="00280D75" w:rsidRPr="00B2674A">
        <w:t>–</w:t>
      </w:r>
      <w:r w:rsidRPr="00B2674A">
        <w:t xml:space="preserve">16 plan is available on the ACMA website. </w:t>
      </w:r>
    </w:p>
    <w:p w14:paraId="0A5315E8" w14:textId="77777777" w:rsidR="00D857E9" w:rsidRPr="00B2674A" w:rsidRDefault="00280D75" w:rsidP="0017212E">
      <w:pPr>
        <w:spacing w:after="80"/>
      </w:pPr>
      <w:r w:rsidRPr="00B2674A">
        <w:t>In 2014–</w:t>
      </w:r>
      <w:r w:rsidR="00D857E9" w:rsidRPr="00B2674A">
        <w:t xml:space="preserve">15, the ACMA undertook a major review of its strategic priorities and began implementing an integrated planning and reporting framework to meet the requirements for corporate planning and performance reporting under the PGPA Act. A key element of this framework is the ACMA’s outcomes-focused corporate plan, which seeks to: </w:t>
      </w:r>
    </w:p>
    <w:p w14:paraId="307C2BF1" w14:textId="77777777" w:rsidR="00D857E9" w:rsidRPr="00B2674A" w:rsidRDefault="00D857E9" w:rsidP="00D857E9">
      <w:pPr>
        <w:pStyle w:val="ListBullet"/>
        <w:rPr>
          <w:rFonts w:cs="Arial"/>
        </w:rPr>
      </w:pPr>
      <w:r w:rsidRPr="00B2674A">
        <w:rPr>
          <w:rFonts w:cs="Arial"/>
        </w:rPr>
        <w:t xml:space="preserve">drive effectiveness by focusing on and measuring the outcomes that are important to the ACMA and its stakeholders </w:t>
      </w:r>
    </w:p>
    <w:p w14:paraId="26AE7B0B" w14:textId="77777777" w:rsidR="00D857E9" w:rsidRPr="00B2674A" w:rsidRDefault="00D857E9" w:rsidP="00D857E9">
      <w:pPr>
        <w:pStyle w:val="ListBullet"/>
        <w:rPr>
          <w:rFonts w:cs="Arial"/>
        </w:rPr>
      </w:pPr>
      <w:r w:rsidRPr="00B2674A">
        <w:rPr>
          <w:rFonts w:cs="Arial"/>
        </w:rPr>
        <w:t xml:space="preserve">communicate the value the ACMA delivers to the community by defining KPIs for each outcome and reporting these to the public </w:t>
      </w:r>
    </w:p>
    <w:p w14:paraId="0EB31B35" w14:textId="77777777" w:rsidR="00D857E9" w:rsidRPr="00B2674A" w:rsidRDefault="00D857E9" w:rsidP="0017212E">
      <w:pPr>
        <w:pStyle w:val="ListBulletLast"/>
      </w:pPr>
      <w:r w:rsidRPr="00B2674A">
        <w:t>drive internal alignment, performance and accountability by appropriately reflecting outcomes and KPIs defined in the corporate plan in the internal business plans and staff performance agreements.</w:t>
      </w:r>
    </w:p>
    <w:p w14:paraId="08277B4D" w14:textId="3F06F75D" w:rsidR="00D857E9" w:rsidRPr="00B2674A" w:rsidRDefault="00D857E9" w:rsidP="00D857E9">
      <w:pPr>
        <w:rPr>
          <w:rFonts w:cs="Arial"/>
        </w:rPr>
      </w:pPr>
      <w:r w:rsidRPr="00B2674A">
        <w:rPr>
          <w:rFonts w:cs="Arial"/>
        </w:rPr>
        <w:t xml:space="preserve">Implementation of this integrated </w:t>
      </w:r>
      <w:r w:rsidR="00280D75" w:rsidRPr="00B2674A">
        <w:rPr>
          <w:rFonts w:cs="Arial"/>
        </w:rPr>
        <w:t>framework will continue i</w:t>
      </w:r>
      <w:r w:rsidR="00666257">
        <w:rPr>
          <w:rFonts w:cs="Arial"/>
        </w:rPr>
        <w:t>n 2015–</w:t>
      </w:r>
      <w:r w:rsidRPr="00B2674A">
        <w:rPr>
          <w:rFonts w:cs="Arial"/>
        </w:rPr>
        <w:t xml:space="preserve">16. </w:t>
      </w:r>
    </w:p>
    <w:p w14:paraId="6DB1F18B" w14:textId="6F3B3DF2" w:rsidR="00D857E9" w:rsidRPr="00F10B23" w:rsidRDefault="00D857E9" w:rsidP="00D857E9">
      <w:pPr>
        <w:pStyle w:val="Heading3"/>
      </w:pPr>
      <w:bookmarkStart w:id="450" w:name="_Toc400018615"/>
      <w:bookmarkStart w:id="451" w:name="_Toc433703453"/>
      <w:r w:rsidRPr="00F10B23">
        <w:lastRenderedPageBreak/>
        <w:t>Risk management</w:t>
      </w:r>
      <w:bookmarkEnd w:id="450"/>
      <w:r w:rsidR="0026727D" w:rsidRPr="00F10B23">
        <w:t xml:space="preserve"> and fraud control</w:t>
      </w:r>
      <w:bookmarkEnd w:id="451"/>
    </w:p>
    <w:p w14:paraId="5E8C40A7" w14:textId="77777777" w:rsidR="00D857E9" w:rsidRPr="00F10B23" w:rsidRDefault="00D857E9" w:rsidP="0017212E">
      <w:pPr>
        <w:keepLines/>
      </w:pPr>
      <w:r w:rsidRPr="00F10B23">
        <w:t>The ACMA strives to have a robustly structured risk management culture throughout its organisation</w:t>
      </w:r>
      <w:r w:rsidR="00280D75" w:rsidRPr="00F10B23">
        <w:t>,</w:t>
      </w:r>
      <w:r w:rsidRPr="00F10B23">
        <w:t xml:space="preserve"> and is committed to </w:t>
      </w:r>
      <w:r w:rsidR="00280D75" w:rsidRPr="00F10B23">
        <w:t>approaching</w:t>
      </w:r>
      <w:r w:rsidRPr="00F10B23">
        <w:t xml:space="preserve"> all risk activities in a consistent,</w:t>
      </w:r>
      <w:r w:rsidR="00280D75" w:rsidRPr="00F10B23">
        <w:t xml:space="preserve"> structured and informed manner, </w:t>
      </w:r>
      <w:r w:rsidRPr="00F10B23">
        <w:t>with decisions appropriately consu</w:t>
      </w:r>
      <w:r w:rsidR="00280D75" w:rsidRPr="00F10B23">
        <w:t>lted on and documented. In 2014–</w:t>
      </w:r>
      <w:r w:rsidRPr="00F10B23">
        <w:t>15, the ACMA undertook an extensive review of its business continuity risks and continued to refine its business interruption response arrangements. These arrangements include the regular testing of ACMA’s Business Continuity Plan and Pandemic Action Plan.</w:t>
      </w:r>
    </w:p>
    <w:p w14:paraId="5DCBAA6A" w14:textId="10D422E3" w:rsidR="0026727D" w:rsidRPr="00F10B23" w:rsidRDefault="0026727D" w:rsidP="0026727D">
      <w:pPr>
        <w:rPr>
          <w:rFonts w:cs="Arial"/>
        </w:rPr>
      </w:pPr>
      <w:r w:rsidRPr="00F10B23">
        <w:rPr>
          <w:rFonts w:cs="Arial"/>
        </w:rPr>
        <w:t xml:space="preserve">The Executive Group regularly reviews the ACMA’s strategic risk profile, and continues to monitor and manage the ACMA’s key business risks. </w:t>
      </w:r>
    </w:p>
    <w:p w14:paraId="21763199" w14:textId="77777777" w:rsidR="0026727D" w:rsidRPr="00F10B23" w:rsidRDefault="005E2AC4" w:rsidP="005E2AC4">
      <w:pPr>
        <w:rPr>
          <w:rFonts w:cs="Arial"/>
        </w:rPr>
      </w:pPr>
      <w:bookmarkStart w:id="452" w:name="_Toc400018616"/>
      <w:r w:rsidRPr="00F10B23">
        <w:rPr>
          <w:rFonts w:cs="Arial"/>
        </w:rPr>
        <w:t xml:space="preserve">The ACMA’s fraud control arrangements form part of its Risk Management Framework and are an important component of maintaining a risk management culture. The ACMA has appropriate fraud prevention, detection, investigation, reporting, and data collection procedures and processes in place. </w:t>
      </w:r>
    </w:p>
    <w:p w14:paraId="5BFC17C9" w14:textId="25BEAFE6" w:rsidR="0026727D" w:rsidRPr="00B2674A" w:rsidRDefault="0026727D" w:rsidP="0026727D">
      <w:pPr>
        <w:rPr>
          <w:rFonts w:cs="Arial"/>
        </w:rPr>
      </w:pPr>
      <w:r w:rsidRPr="00F10B23">
        <w:rPr>
          <w:rFonts w:cs="Arial"/>
        </w:rPr>
        <w:t>During 2014–15, the fraud initiatives undertaken were a review of the ACMA’s fraud control policy, and fraud risks. Fraud risks are documented in the ACMA’s 2014–16 Fraud Control Plan. There were no incidents of fraud during the reporting period. In the next reporting period, the ACMA plans to update its Fraud Control Plan.</w:t>
      </w:r>
    </w:p>
    <w:p w14:paraId="73DEA674" w14:textId="77777777" w:rsidR="00D857E9" w:rsidRPr="00B2674A" w:rsidRDefault="00D857E9" w:rsidP="00D857E9">
      <w:pPr>
        <w:pStyle w:val="Heading3"/>
      </w:pPr>
      <w:bookmarkStart w:id="453" w:name="_Toc433703454"/>
      <w:r w:rsidRPr="00B2674A">
        <w:t>Audit</w:t>
      </w:r>
      <w:bookmarkEnd w:id="452"/>
      <w:bookmarkEnd w:id="453"/>
    </w:p>
    <w:p w14:paraId="3FA4B583" w14:textId="77777777" w:rsidR="00D857E9" w:rsidRPr="00B2674A" w:rsidRDefault="00D857E9" w:rsidP="00D857E9">
      <w:pPr>
        <w:spacing w:line="240" w:lineRule="auto"/>
        <w:rPr>
          <w:rFonts w:cs="Arial"/>
          <w:szCs w:val="20"/>
        </w:rPr>
      </w:pPr>
      <w:r w:rsidRPr="00B2674A">
        <w:rPr>
          <w:rFonts w:cs="Arial"/>
          <w:szCs w:val="20"/>
        </w:rPr>
        <w:t>The ACMA Audit Committee provides independent advice to the Chairman on the ACMA’s risk, control and compliance framework, as well as its external accountability responsibilities. During 2014–15, the Audit Committee met four times, continued to look at key corporate and regulatory processes, reviewed all internal and relevant external audit activity and reported on its performance against its Charter.</w:t>
      </w:r>
    </w:p>
    <w:p w14:paraId="2CD448B8" w14:textId="77777777" w:rsidR="00D857E9" w:rsidRPr="00B2674A" w:rsidRDefault="00D857E9" w:rsidP="00D857E9">
      <w:pPr>
        <w:spacing w:line="240" w:lineRule="auto"/>
        <w:rPr>
          <w:rFonts w:cs="Arial"/>
          <w:szCs w:val="20"/>
        </w:rPr>
      </w:pPr>
      <w:r w:rsidRPr="00B2674A">
        <w:rPr>
          <w:rFonts w:cs="Arial"/>
          <w:szCs w:val="20"/>
        </w:rPr>
        <w:t>The ACMA’s internal audit services are provided by Protiviti and overseen by the Audit Committee. There were 11 internal audits completed during 2014</w:t>
      </w:r>
      <w:r w:rsidR="00091F46" w:rsidRPr="00B2674A">
        <w:rPr>
          <w:rFonts w:cs="Arial"/>
          <w:szCs w:val="20"/>
        </w:rPr>
        <w:t>–</w:t>
      </w:r>
      <w:r w:rsidRPr="00B2674A">
        <w:rPr>
          <w:rFonts w:cs="Arial"/>
          <w:szCs w:val="20"/>
        </w:rPr>
        <w:t xml:space="preserve">15. The implementation of all audit recommendations is tracked and closely monitored by the Audit Committee. </w:t>
      </w:r>
    </w:p>
    <w:p w14:paraId="66F6846C" w14:textId="77777777" w:rsidR="00D857E9" w:rsidRPr="00B2674A" w:rsidRDefault="00091F46" w:rsidP="00D857E9">
      <w:pPr>
        <w:spacing w:line="240" w:lineRule="auto"/>
        <w:rPr>
          <w:rFonts w:cs="Arial"/>
          <w:szCs w:val="20"/>
        </w:rPr>
      </w:pPr>
      <w:r w:rsidRPr="00B2674A">
        <w:rPr>
          <w:rFonts w:cs="Arial"/>
          <w:szCs w:val="20"/>
        </w:rPr>
        <w:t>In 2014–</w:t>
      </w:r>
      <w:r w:rsidR="00D857E9" w:rsidRPr="00B2674A">
        <w:rPr>
          <w:rFonts w:cs="Arial"/>
          <w:szCs w:val="20"/>
        </w:rPr>
        <w:t>15, the ACMA was the subject of an external audit on the Regulation of Unsolicited Communications. The audit was conducted by the Australian National Audit Office (ANAO)</w:t>
      </w:r>
      <w:r w:rsidRPr="00B2674A">
        <w:rPr>
          <w:rFonts w:cs="Arial"/>
          <w:szCs w:val="20"/>
        </w:rPr>
        <w:t>,</w:t>
      </w:r>
      <w:r w:rsidR="00D857E9" w:rsidRPr="00B2674A">
        <w:rPr>
          <w:rFonts w:cs="Arial"/>
          <w:szCs w:val="20"/>
        </w:rPr>
        <w:t xml:space="preserve"> which has made two business improvement recommendations. This</w:t>
      </w:r>
      <w:r w:rsidR="00B92973" w:rsidRPr="00B2674A">
        <w:rPr>
          <w:rFonts w:cs="Arial"/>
          <w:szCs w:val="20"/>
        </w:rPr>
        <w:t xml:space="preserve"> report wa</w:t>
      </w:r>
      <w:r w:rsidRPr="00B2674A">
        <w:rPr>
          <w:rFonts w:cs="Arial"/>
          <w:szCs w:val="20"/>
        </w:rPr>
        <w:t xml:space="preserve">s due to be tabled in </w:t>
      </w:r>
      <w:r w:rsidR="00950064" w:rsidRPr="00B2674A">
        <w:rPr>
          <w:rFonts w:cs="Arial"/>
          <w:szCs w:val="20"/>
        </w:rPr>
        <w:t>the next reporting period.</w:t>
      </w:r>
    </w:p>
    <w:p w14:paraId="1A430B50" w14:textId="77777777" w:rsidR="00D857E9" w:rsidRPr="00B2674A" w:rsidRDefault="00D857E9" w:rsidP="00D857E9">
      <w:pPr>
        <w:pStyle w:val="Heading3"/>
      </w:pPr>
      <w:bookmarkStart w:id="454" w:name="_Toc400018617"/>
      <w:bookmarkStart w:id="455" w:name="_Toc433703455"/>
      <w:r w:rsidRPr="00B2674A">
        <w:t>Security</w:t>
      </w:r>
      <w:bookmarkEnd w:id="454"/>
      <w:bookmarkEnd w:id="455"/>
    </w:p>
    <w:p w14:paraId="1915BB01" w14:textId="77777777" w:rsidR="00D857E9" w:rsidRPr="00B2674A" w:rsidRDefault="00D857E9" w:rsidP="00D857E9">
      <w:pPr>
        <w:rPr>
          <w:rFonts w:cs="Arial"/>
        </w:rPr>
      </w:pPr>
      <w:r w:rsidRPr="00B2674A">
        <w:rPr>
          <w:rFonts w:cs="Arial"/>
        </w:rPr>
        <w:t xml:space="preserve">The ACMA continued strengthening its protective security functions in line with the requirements of the Protective Security Policy Framework and Information Security Manual. </w:t>
      </w:r>
    </w:p>
    <w:p w14:paraId="71B3DF04" w14:textId="77777777" w:rsidR="00D857E9" w:rsidRPr="00B2674A" w:rsidRDefault="00D857E9" w:rsidP="00D857E9">
      <w:pPr>
        <w:rPr>
          <w:rFonts w:cs="Arial"/>
        </w:rPr>
      </w:pPr>
      <w:r w:rsidRPr="00B2674A">
        <w:rPr>
          <w:rFonts w:cs="Arial"/>
        </w:rPr>
        <w:t xml:space="preserve">The ACMA has updated its internal risk management framework based on AS/NZS ISO 31000:2009 </w:t>
      </w:r>
      <w:r w:rsidRPr="00B2674A">
        <w:rPr>
          <w:rFonts w:cs="Arial"/>
          <w:i/>
        </w:rPr>
        <w:t>Risk Management: Principles and Guidelines</w:t>
      </w:r>
      <w:r w:rsidRPr="00B2674A">
        <w:rPr>
          <w:rFonts w:cs="Arial"/>
        </w:rPr>
        <w:t xml:space="preserve">, including the protective security risk documentation. </w:t>
      </w:r>
    </w:p>
    <w:p w14:paraId="1C7F8B80" w14:textId="77777777" w:rsidR="00D857E9" w:rsidRPr="00B2674A" w:rsidRDefault="00D857E9" w:rsidP="00D857E9">
      <w:pPr>
        <w:rPr>
          <w:rFonts w:cs="Arial"/>
        </w:rPr>
      </w:pPr>
      <w:r w:rsidRPr="00B2674A">
        <w:rPr>
          <w:rFonts w:cs="Arial"/>
        </w:rPr>
        <w:t>All statutory reporting requirements were met in 2014–15, including participation in the Protective Security Policy Framework compliance reporting conducted by the Attorney-General’s Department.</w:t>
      </w:r>
    </w:p>
    <w:p w14:paraId="64176877" w14:textId="77777777" w:rsidR="00D857E9" w:rsidRPr="00B2674A" w:rsidRDefault="00D857E9" w:rsidP="00D857E9">
      <w:pPr>
        <w:pStyle w:val="Heading2"/>
      </w:pPr>
      <w:bookmarkStart w:id="456" w:name="_Toc264884807"/>
      <w:bookmarkStart w:id="457" w:name="_Toc297623577"/>
      <w:bookmarkStart w:id="458" w:name="_Toc337727646"/>
      <w:bookmarkStart w:id="459" w:name="_Toc400018618"/>
      <w:bookmarkStart w:id="460" w:name="_Toc433703456"/>
      <w:r w:rsidRPr="00B2674A">
        <w:lastRenderedPageBreak/>
        <w:t>Our people</w:t>
      </w:r>
      <w:bookmarkEnd w:id="456"/>
      <w:bookmarkEnd w:id="457"/>
      <w:bookmarkEnd w:id="458"/>
      <w:bookmarkEnd w:id="459"/>
      <w:bookmarkEnd w:id="460"/>
    </w:p>
    <w:p w14:paraId="710F9B8F" w14:textId="77777777" w:rsidR="005E2AC4" w:rsidRPr="00B2674A" w:rsidRDefault="005E2AC4" w:rsidP="005E2AC4">
      <w:pPr>
        <w:keepNext/>
        <w:rPr>
          <w:rFonts w:cs="Arial"/>
        </w:rPr>
      </w:pPr>
      <w:r w:rsidRPr="00B2674A">
        <w:rPr>
          <w:rFonts w:cs="Arial"/>
        </w:rPr>
        <w:t>The ACMA employed 470 staff at 30 June 2015, compared with 517 at 30 June 2014. Comparative staffing details are given in Appendix 3.</w:t>
      </w:r>
    </w:p>
    <w:p w14:paraId="7ECFA03A" w14:textId="77777777" w:rsidR="00D857E9" w:rsidRPr="00B2674A" w:rsidRDefault="00D857E9" w:rsidP="00D857E9">
      <w:pPr>
        <w:rPr>
          <w:rFonts w:cs="Arial"/>
        </w:rPr>
      </w:pPr>
      <w:r w:rsidRPr="00B2674A">
        <w:rPr>
          <w:rFonts w:cs="Arial"/>
        </w:rPr>
        <w:t xml:space="preserve">Employment arrangements and conditions of work for all non-SES employees of the ACMA are determined by the </w:t>
      </w:r>
      <w:r w:rsidRPr="00B2674A">
        <w:rPr>
          <w:rFonts w:cs="Arial"/>
          <w:i/>
        </w:rPr>
        <w:t>ACMA Enterprise Agreement</w:t>
      </w:r>
      <w:r w:rsidRPr="00B2674A">
        <w:rPr>
          <w:rFonts w:cs="Arial"/>
        </w:rPr>
        <w:t xml:space="preserve"> </w:t>
      </w:r>
      <w:r w:rsidRPr="00B2674A">
        <w:rPr>
          <w:rFonts w:cs="Arial"/>
          <w:i/>
        </w:rPr>
        <w:t>2011–2014</w:t>
      </w:r>
      <w:r w:rsidRPr="00B2674A">
        <w:rPr>
          <w:rFonts w:cs="Arial"/>
        </w:rPr>
        <w:t xml:space="preserve"> (the ACMA Agreement). Salary ranges available under the ACMA Agreement are in Appendix 3.</w:t>
      </w:r>
    </w:p>
    <w:p w14:paraId="7E42C4D5" w14:textId="77777777" w:rsidR="005E2AC4" w:rsidRPr="00B2674A" w:rsidRDefault="005E2AC4" w:rsidP="005E2AC4">
      <w:pPr>
        <w:rPr>
          <w:rFonts w:cs="Arial"/>
        </w:rPr>
      </w:pPr>
      <w:r w:rsidRPr="00B2674A">
        <w:rPr>
          <w:rFonts w:cs="Arial"/>
        </w:rPr>
        <w:t>Terms and conditions for the ACMA’s 16 substantive SES employees are contained in common law contracts.</w:t>
      </w:r>
    </w:p>
    <w:p w14:paraId="628611A5" w14:textId="77777777" w:rsidR="00D857E9" w:rsidRPr="00B2674A" w:rsidRDefault="00D857E9" w:rsidP="00D857E9">
      <w:pPr>
        <w:spacing w:after="80"/>
        <w:rPr>
          <w:rFonts w:cs="Arial"/>
        </w:rPr>
      </w:pPr>
      <w:r w:rsidRPr="00B2674A">
        <w:rPr>
          <w:rFonts w:cs="Arial"/>
        </w:rPr>
        <w:t>At 30 June 2015, the salary ranges for employees on common law contracts were:</w:t>
      </w:r>
    </w:p>
    <w:p w14:paraId="4C5FC0EE" w14:textId="77777777" w:rsidR="00D857E9" w:rsidRPr="00B2674A" w:rsidRDefault="0017212E" w:rsidP="00D857E9">
      <w:pPr>
        <w:pStyle w:val="ListBullet"/>
        <w:ind w:left="284"/>
        <w:rPr>
          <w:rFonts w:cs="Arial"/>
        </w:rPr>
      </w:pPr>
      <w:r w:rsidRPr="00B2674A">
        <w:rPr>
          <w:rFonts w:cs="Arial"/>
        </w:rPr>
        <w:t>SES1—$</w:t>
      </w:r>
      <w:r w:rsidR="00D857E9" w:rsidRPr="00B2674A">
        <w:rPr>
          <w:rFonts w:cs="Arial"/>
        </w:rPr>
        <w:t>172,628 to $181,259</w:t>
      </w:r>
    </w:p>
    <w:p w14:paraId="10794A13" w14:textId="77777777" w:rsidR="00D857E9" w:rsidRPr="00B2674A" w:rsidRDefault="00D857E9" w:rsidP="00D857E9">
      <w:pPr>
        <w:pStyle w:val="ListBullet"/>
        <w:spacing w:after="240"/>
        <w:ind w:left="284"/>
        <w:rPr>
          <w:rFonts w:cs="Arial"/>
        </w:rPr>
      </w:pPr>
      <w:r w:rsidRPr="00B2674A">
        <w:rPr>
          <w:rFonts w:cs="Arial"/>
        </w:rPr>
        <w:t>SES2—$214,162 to $291,354.</w:t>
      </w:r>
    </w:p>
    <w:p w14:paraId="181B65B0" w14:textId="77777777" w:rsidR="00D857E9" w:rsidRPr="00B2674A" w:rsidRDefault="00D857E9" w:rsidP="006663F0">
      <w:pPr>
        <w:rPr>
          <w:rFonts w:cs="Arial"/>
        </w:rPr>
      </w:pPr>
      <w:r w:rsidRPr="00B2674A">
        <w:rPr>
          <w:rFonts w:cs="Arial"/>
        </w:rPr>
        <w:t>Non-salary benefits provided to employees on comm</w:t>
      </w:r>
      <w:r w:rsidR="006663F0" w:rsidRPr="00B2674A">
        <w:rPr>
          <w:rFonts w:cs="Arial"/>
        </w:rPr>
        <w:t xml:space="preserve">on law arrangements may include a </w:t>
      </w:r>
      <w:r w:rsidRPr="00B2674A">
        <w:rPr>
          <w:rFonts w:cs="Arial"/>
        </w:rPr>
        <w:t>performance bonus</w:t>
      </w:r>
      <w:r w:rsidR="006663F0" w:rsidRPr="00B2674A">
        <w:rPr>
          <w:rFonts w:cs="Arial"/>
        </w:rPr>
        <w:t xml:space="preserve">, a mobile </w:t>
      </w:r>
      <w:r w:rsidRPr="00B2674A">
        <w:rPr>
          <w:rFonts w:cs="Arial"/>
        </w:rPr>
        <w:t>phone</w:t>
      </w:r>
      <w:r w:rsidR="006663F0" w:rsidRPr="00B2674A">
        <w:rPr>
          <w:rFonts w:cs="Arial"/>
        </w:rPr>
        <w:t xml:space="preserve">, a </w:t>
      </w:r>
      <w:r w:rsidRPr="00B2674A">
        <w:rPr>
          <w:rFonts w:cs="Arial"/>
        </w:rPr>
        <w:t>car allowance</w:t>
      </w:r>
      <w:r w:rsidR="006663F0" w:rsidRPr="00B2674A">
        <w:rPr>
          <w:rFonts w:cs="Arial"/>
        </w:rPr>
        <w:t xml:space="preserve"> and </w:t>
      </w:r>
      <w:r w:rsidRPr="00B2674A">
        <w:rPr>
          <w:rFonts w:cs="Arial"/>
        </w:rPr>
        <w:t>parking</w:t>
      </w:r>
      <w:r w:rsidR="006663F0" w:rsidRPr="00B2674A">
        <w:rPr>
          <w:rFonts w:cs="Arial"/>
        </w:rPr>
        <w:t>.</w:t>
      </w:r>
    </w:p>
    <w:p w14:paraId="6E18DFE9" w14:textId="77777777" w:rsidR="005E2AC4" w:rsidRPr="00B2674A" w:rsidRDefault="005E2AC4" w:rsidP="006663F0">
      <w:pPr>
        <w:spacing w:line="276" w:lineRule="auto"/>
        <w:rPr>
          <w:rFonts w:cs="Arial"/>
        </w:rPr>
      </w:pPr>
      <w:bookmarkStart w:id="461" w:name="_Toc329600267"/>
      <w:bookmarkStart w:id="462" w:name="_Toc400018619"/>
      <w:r w:rsidRPr="00B2674A">
        <w:rPr>
          <w:rFonts w:cs="Arial"/>
        </w:rPr>
        <w:t>At 30 June 2015, 23 employees at ACMA Level 4, ACMA Level 6, Executive Level 1 (EL1) or Executive Level 2 (EL2) had individual flexibility arrangements (IFAs) for additional salary or retention bonuses. The highest additional salary increases the EL2 maximum to $160,000 per annum and the EL1 maximum to $133,747 per annum. The maximum retention bonus was $15,000 per annum.</w:t>
      </w:r>
    </w:p>
    <w:p w14:paraId="4B52D8B7" w14:textId="77777777" w:rsidR="00D857E9" w:rsidRPr="00B2674A" w:rsidRDefault="00D857E9" w:rsidP="00D857E9">
      <w:pPr>
        <w:pStyle w:val="Heading3"/>
        <w:spacing w:line="276" w:lineRule="auto"/>
      </w:pPr>
      <w:bookmarkStart w:id="463" w:name="_Toc433703457"/>
      <w:r w:rsidRPr="00B2674A">
        <w:t>Performance payments</w:t>
      </w:r>
      <w:bookmarkEnd w:id="461"/>
      <w:bookmarkEnd w:id="462"/>
      <w:bookmarkEnd w:id="463"/>
    </w:p>
    <w:p w14:paraId="4450D40C" w14:textId="357B2370" w:rsidR="00D857E9" w:rsidRPr="00F10B23" w:rsidRDefault="00D857E9" w:rsidP="00D857E9">
      <w:pPr>
        <w:spacing w:line="276" w:lineRule="auto"/>
        <w:rPr>
          <w:rFonts w:cs="Arial"/>
        </w:rPr>
      </w:pPr>
      <w:r w:rsidRPr="00B2674A">
        <w:rPr>
          <w:rFonts w:cs="Arial"/>
        </w:rPr>
        <w:t>Performance pay is available to employees at E</w:t>
      </w:r>
      <w:r w:rsidRPr="00F10B23">
        <w:rPr>
          <w:rFonts w:cs="Arial"/>
        </w:rPr>
        <w:t xml:space="preserve">L2 </w:t>
      </w:r>
      <w:r w:rsidR="00DB03BA" w:rsidRPr="00F10B23">
        <w:t xml:space="preserve">(and equivalent) </w:t>
      </w:r>
      <w:r w:rsidRPr="00F10B23">
        <w:rPr>
          <w:rFonts w:cs="Arial"/>
        </w:rPr>
        <w:t>level under the ACMA Agreement and to SES employees under common law contracts. Total performance pay paid for 2014–15 is set out in Table 3</w:t>
      </w:r>
      <w:r w:rsidR="00091F46" w:rsidRPr="00F10B23">
        <w:rPr>
          <w:rFonts w:cs="Arial"/>
        </w:rPr>
        <w:t>2</w:t>
      </w:r>
      <w:r w:rsidR="0017212E" w:rsidRPr="00F10B23">
        <w:rPr>
          <w:rFonts w:cs="Arial"/>
        </w:rPr>
        <w:t>.</w:t>
      </w:r>
    </w:p>
    <w:p w14:paraId="6BE3BBF4" w14:textId="77777777" w:rsidR="0017212E" w:rsidRPr="00F10B23" w:rsidRDefault="0017212E" w:rsidP="0017212E">
      <w:pPr>
        <w:pStyle w:val="Caption"/>
        <w:spacing w:after="120"/>
        <w:rPr>
          <w:color w:val="auto"/>
        </w:rPr>
      </w:pPr>
      <w:r w:rsidRPr="00F10B23">
        <w:rPr>
          <w:color w:val="auto"/>
        </w:rPr>
        <w:t>Performance payments 2014–15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559"/>
        <w:gridCol w:w="1560"/>
        <w:gridCol w:w="1630"/>
        <w:gridCol w:w="1665"/>
        <w:gridCol w:w="1666"/>
      </w:tblGrid>
      <w:tr w:rsidR="006D2BDF" w:rsidRPr="00F10B23" w14:paraId="7F8C3A45" w14:textId="77777777" w:rsidTr="006D2BDF">
        <w:trPr>
          <w:trHeight w:val="490"/>
        </w:trPr>
        <w:tc>
          <w:tcPr>
            <w:tcW w:w="1385" w:type="dxa"/>
            <w:shd w:val="clear" w:color="auto" w:fill="404040" w:themeFill="text1" w:themeFillTint="BF"/>
            <w:tcMar>
              <w:top w:w="57" w:type="dxa"/>
              <w:left w:w="57" w:type="dxa"/>
              <w:bottom w:w="57" w:type="dxa"/>
              <w:right w:w="57" w:type="dxa"/>
            </w:tcMar>
          </w:tcPr>
          <w:p w14:paraId="1AAE798D" w14:textId="77777777" w:rsidR="006D2BDF" w:rsidRPr="00F10B23" w:rsidRDefault="006D2BDF" w:rsidP="006D2BDF">
            <w:pPr>
              <w:pStyle w:val="TableHeading"/>
              <w:ind w:left="1"/>
              <w:rPr>
                <w:rFonts w:cs="Arial"/>
                <w:color w:val="FFFFFF" w:themeColor="background1"/>
              </w:rPr>
            </w:pPr>
            <w:r w:rsidRPr="00F10B23">
              <w:rPr>
                <w:rFonts w:cs="Arial"/>
                <w:color w:val="FFFFFF" w:themeColor="background1"/>
              </w:rPr>
              <w:t xml:space="preserve">Employee level </w:t>
            </w:r>
          </w:p>
        </w:tc>
        <w:tc>
          <w:tcPr>
            <w:tcW w:w="1559" w:type="dxa"/>
            <w:shd w:val="clear" w:color="auto" w:fill="404040" w:themeFill="text1" w:themeFillTint="BF"/>
            <w:tcMar>
              <w:top w:w="57" w:type="dxa"/>
              <w:left w:w="57" w:type="dxa"/>
              <w:bottom w:w="57" w:type="dxa"/>
              <w:right w:w="57" w:type="dxa"/>
            </w:tcMar>
          </w:tcPr>
          <w:p w14:paraId="3279DE14" w14:textId="77777777" w:rsidR="006D2BDF" w:rsidRPr="00F10B23" w:rsidRDefault="006D2BDF" w:rsidP="006D2BDF">
            <w:pPr>
              <w:pStyle w:val="TableHeading"/>
              <w:ind w:left="33"/>
              <w:rPr>
                <w:rFonts w:cs="Arial"/>
                <w:color w:val="FFFFFF" w:themeColor="background1"/>
              </w:rPr>
            </w:pPr>
            <w:r w:rsidRPr="00F10B23">
              <w:rPr>
                <w:rFonts w:cs="Arial"/>
                <w:color w:val="FFFFFF" w:themeColor="background1"/>
              </w:rPr>
              <w:t>Employees paid</w:t>
            </w:r>
          </w:p>
        </w:tc>
        <w:tc>
          <w:tcPr>
            <w:tcW w:w="1560" w:type="dxa"/>
            <w:shd w:val="clear" w:color="auto" w:fill="404040" w:themeFill="text1" w:themeFillTint="BF"/>
            <w:tcMar>
              <w:top w:w="57" w:type="dxa"/>
              <w:left w:w="57" w:type="dxa"/>
              <w:bottom w:w="57" w:type="dxa"/>
              <w:right w:w="57" w:type="dxa"/>
            </w:tcMar>
          </w:tcPr>
          <w:p w14:paraId="08498687" w14:textId="77777777" w:rsidR="006D2BDF" w:rsidRPr="00F10B23" w:rsidRDefault="006D2BDF" w:rsidP="006D2BDF">
            <w:pPr>
              <w:pStyle w:val="TableHeading"/>
              <w:ind w:left="34"/>
              <w:rPr>
                <w:rFonts w:cs="Arial"/>
                <w:color w:val="FFFFFF" w:themeColor="background1"/>
              </w:rPr>
            </w:pPr>
            <w:r w:rsidRPr="00F10B23">
              <w:rPr>
                <w:rFonts w:cs="Arial"/>
                <w:color w:val="FFFFFF" w:themeColor="background1"/>
              </w:rPr>
              <w:t>Total performance pay ($)</w:t>
            </w:r>
          </w:p>
        </w:tc>
        <w:tc>
          <w:tcPr>
            <w:tcW w:w="1630" w:type="dxa"/>
            <w:shd w:val="clear" w:color="auto" w:fill="404040" w:themeFill="text1" w:themeFillTint="BF"/>
            <w:tcMar>
              <w:top w:w="57" w:type="dxa"/>
              <w:left w:w="57" w:type="dxa"/>
              <w:bottom w:w="57" w:type="dxa"/>
              <w:right w:w="57" w:type="dxa"/>
            </w:tcMar>
          </w:tcPr>
          <w:p w14:paraId="07BA93AE" w14:textId="77777777" w:rsidR="006D2BDF" w:rsidRPr="00F10B23" w:rsidRDefault="006D2BDF" w:rsidP="006D2BDF">
            <w:pPr>
              <w:pStyle w:val="TableHeading"/>
              <w:ind w:left="34"/>
              <w:rPr>
                <w:rFonts w:cs="Arial"/>
                <w:color w:val="FFFFFF" w:themeColor="background1"/>
              </w:rPr>
            </w:pPr>
            <w:r w:rsidRPr="00F10B23">
              <w:rPr>
                <w:rFonts w:cs="Arial"/>
                <w:color w:val="FFFFFF" w:themeColor="background1"/>
              </w:rPr>
              <w:t>Minimum bonus ($)</w:t>
            </w:r>
          </w:p>
        </w:tc>
        <w:tc>
          <w:tcPr>
            <w:tcW w:w="1665" w:type="dxa"/>
            <w:shd w:val="clear" w:color="auto" w:fill="404040" w:themeFill="text1" w:themeFillTint="BF"/>
            <w:tcMar>
              <w:top w:w="57" w:type="dxa"/>
              <w:left w:w="57" w:type="dxa"/>
              <w:bottom w:w="57" w:type="dxa"/>
              <w:right w:w="57" w:type="dxa"/>
            </w:tcMar>
          </w:tcPr>
          <w:p w14:paraId="1BC03B40" w14:textId="77777777" w:rsidR="006D2BDF" w:rsidRPr="00F10B23" w:rsidRDefault="006D2BDF" w:rsidP="006D2BDF">
            <w:pPr>
              <w:pStyle w:val="TableHeading"/>
              <w:ind w:left="34"/>
              <w:rPr>
                <w:rFonts w:cs="Arial"/>
                <w:color w:val="FFFFFF" w:themeColor="background1"/>
              </w:rPr>
            </w:pPr>
            <w:r w:rsidRPr="00F10B23">
              <w:rPr>
                <w:rFonts w:cs="Arial"/>
                <w:color w:val="FFFFFF" w:themeColor="background1"/>
              </w:rPr>
              <w:t>Maximum bonus ($)</w:t>
            </w:r>
          </w:p>
        </w:tc>
        <w:tc>
          <w:tcPr>
            <w:tcW w:w="1666" w:type="dxa"/>
            <w:shd w:val="clear" w:color="auto" w:fill="404040" w:themeFill="text1" w:themeFillTint="BF"/>
            <w:tcMar>
              <w:top w:w="57" w:type="dxa"/>
              <w:left w:w="57" w:type="dxa"/>
              <w:bottom w:w="57" w:type="dxa"/>
              <w:right w:w="57" w:type="dxa"/>
            </w:tcMar>
          </w:tcPr>
          <w:p w14:paraId="38ADD334" w14:textId="77777777" w:rsidR="006D2BDF" w:rsidRPr="00F10B23" w:rsidRDefault="006D2BDF" w:rsidP="006D2BDF">
            <w:pPr>
              <w:pStyle w:val="TableHeading"/>
              <w:ind w:left="34"/>
              <w:jc w:val="right"/>
              <w:rPr>
                <w:rFonts w:cs="Arial"/>
                <w:color w:val="FFFFFF" w:themeColor="background1"/>
              </w:rPr>
            </w:pPr>
            <w:r w:rsidRPr="00F10B23">
              <w:rPr>
                <w:rFonts w:cs="Arial"/>
                <w:color w:val="FFFFFF" w:themeColor="background1"/>
              </w:rPr>
              <w:t xml:space="preserve">Average </w:t>
            </w:r>
            <w:r w:rsidRPr="00F10B23">
              <w:rPr>
                <w:rFonts w:cs="Arial"/>
                <w:color w:val="FFFFFF" w:themeColor="background1"/>
              </w:rPr>
              <w:br/>
              <w:t>bonus ($)</w:t>
            </w:r>
          </w:p>
        </w:tc>
      </w:tr>
      <w:tr w:rsidR="006D2BDF" w:rsidRPr="00F10B23" w14:paraId="6378B84F" w14:textId="77777777" w:rsidTr="006D2BDF">
        <w:trPr>
          <w:trHeight w:val="241"/>
        </w:trPr>
        <w:tc>
          <w:tcPr>
            <w:tcW w:w="1385" w:type="dxa"/>
            <w:tcMar>
              <w:top w:w="57" w:type="dxa"/>
              <w:left w:w="57" w:type="dxa"/>
              <w:bottom w:w="57" w:type="dxa"/>
              <w:right w:w="57" w:type="dxa"/>
            </w:tcMar>
          </w:tcPr>
          <w:p w14:paraId="41A454BD" w14:textId="4212C139" w:rsidR="006D2BDF" w:rsidRPr="00F10B23" w:rsidRDefault="006D2BDF" w:rsidP="00DC7BD5">
            <w:pPr>
              <w:pStyle w:val="TableBody"/>
            </w:pPr>
            <w:r w:rsidRPr="00F10B23">
              <w:t>EL2</w:t>
            </w:r>
            <w:r w:rsidR="008F7B78" w:rsidRPr="00F10B23">
              <w:t xml:space="preserve"> (and equivalent)</w:t>
            </w:r>
          </w:p>
        </w:tc>
        <w:tc>
          <w:tcPr>
            <w:tcW w:w="1559" w:type="dxa"/>
            <w:tcMar>
              <w:top w:w="57" w:type="dxa"/>
              <w:left w:w="57" w:type="dxa"/>
              <w:bottom w:w="57" w:type="dxa"/>
              <w:right w:w="57" w:type="dxa"/>
            </w:tcMar>
          </w:tcPr>
          <w:p w14:paraId="5853B13F" w14:textId="77777777" w:rsidR="006D2BDF" w:rsidRPr="00F10B23" w:rsidRDefault="006D7FBA" w:rsidP="006D2BDF">
            <w:pPr>
              <w:pStyle w:val="TableBody"/>
            </w:pPr>
            <w:r w:rsidRPr="00F10B23">
              <w:t>60</w:t>
            </w:r>
          </w:p>
        </w:tc>
        <w:tc>
          <w:tcPr>
            <w:tcW w:w="1560" w:type="dxa"/>
            <w:tcMar>
              <w:top w:w="57" w:type="dxa"/>
              <w:left w:w="57" w:type="dxa"/>
              <w:bottom w:w="57" w:type="dxa"/>
              <w:right w:w="57" w:type="dxa"/>
            </w:tcMar>
          </w:tcPr>
          <w:p w14:paraId="1DC3AEE2" w14:textId="77777777" w:rsidR="006D2BDF" w:rsidRPr="00F10B23" w:rsidRDefault="006D2BDF" w:rsidP="006D2BDF">
            <w:pPr>
              <w:pStyle w:val="TableBody"/>
            </w:pPr>
            <w:r w:rsidRPr="00F10B23">
              <w:t xml:space="preserve">513,730.28 </w:t>
            </w:r>
          </w:p>
        </w:tc>
        <w:tc>
          <w:tcPr>
            <w:tcW w:w="1630" w:type="dxa"/>
            <w:tcMar>
              <w:top w:w="57" w:type="dxa"/>
              <w:left w:w="57" w:type="dxa"/>
              <w:bottom w:w="57" w:type="dxa"/>
              <w:right w:w="57" w:type="dxa"/>
            </w:tcMar>
          </w:tcPr>
          <w:p w14:paraId="7718C447" w14:textId="77777777" w:rsidR="006D2BDF" w:rsidRPr="00F10B23" w:rsidRDefault="006D2BDF" w:rsidP="006D2BDF">
            <w:pPr>
              <w:pStyle w:val="TableBody"/>
            </w:pPr>
            <w:r w:rsidRPr="00F10B23">
              <w:t>1,666.99</w:t>
            </w:r>
          </w:p>
        </w:tc>
        <w:tc>
          <w:tcPr>
            <w:tcW w:w="1665" w:type="dxa"/>
            <w:tcMar>
              <w:top w:w="57" w:type="dxa"/>
              <w:left w:w="57" w:type="dxa"/>
              <w:bottom w:w="57" w:type="dxa"/>
              <w:right w:w="57" w:type="dxa"/>
            </w:tcMar>
          </w:tcPr>
          <w:p w14:paraId="0C2ED022" w14:textId="77777777" w:rsidR="006D2BDF" w:rsidRPr="00F10B23" w:rsidRDefault="006D2BDF" w:rsidP="006D2BDF">
            <w:pPr>
              <w:pStyle w:val="TableBody"/>
            </w:pPr>
            <w:r w:rsidRPr="00F10B23">
              <w:t>13,374.70</w:t>
            </w:r>
          </w:p>
        </w:tc>
        <w:tc>
          <w:tcPr>
            <w:tcW w:w="1666" w:type="dxa"/>
            <w:tcMar>
              <w:top w:w="57" w:type="dxa"/>
              <w:left w:w="57" w:type="dxa"/>
              <w:bottom w:w="57" w:type="dxa"/>
              <w:right w:w="57" w:type="dxa"/>
            </w:tcMar>
          </w:tcPr>
          <w:p w14:paraId="7AF35109" w14:textId="77777777" w:rsidR="006D2BDF" w:rsidRPr="00F10B23" w:rsidRDefault="006D2BDF" w:rsidP="006D2BDF">
            <w:pPr>
              <w:pStyle w:val="TableBody"/>
              <w:jc w:val="right"/>
            </w:pPr>
            <w:r w:rsidRPr="00F10B23">
              <w:t>8,562.17</w:t>
            </w:r>
          </w:p>
        </w:tc>
      </w:tr>
      <w:tr w:rsidR="006D2BDF" w:rsidRPr="00F10B23" w14:paraId="7131820B" w14:textId="77777777" w:rsidTr="006D2BDF">
        <w:trPr>
          <w:trHeight w:val="241"/>
        </w:trPr>
        <w:tc>
          <w:tcPr>
            <w:tcW w:w="1385" w:type="dxa"/>
            <w:tcMar>
              <w:top w:w="57" w:type="dxa"/>
              <w:left w:w="57" w:type="dxa"/>
              <w:bottom w:w="57" w:type="dxa"/>
              <w:right w:w="57" w:type="dxa"/>
            </w:tcMar>
          </w:tcPr>
          <w:p w14:paraId="29439A39" w14:textId="77777777" w:rsidR="006D2BDF" w:rsidRPr="00F10B23" w:rsidRDefault="006D2BDF" w:rsidP="006D2BDF">
            <w:pPr>
              <w:pStyle w:val="TableBody"/>
            </w:pPr>
            <w:r w:rsidRPr="00F10B23">
              <w:t>SES Band 1</w:t>
            </w:r>
          </w:p>
        </w:tc>
        <w:tc>
          <w:tcPr>
            <w:tcW w:w="1559" w:type="dxa"/>
            <w:tcMar>
              <w:top w:w="57" w:type="dxa"/>
              <w:left w:w="57" w:type="dxa"/>
              <w:bottom w:w="57" w:type="dxa"/>
              <w:right w:w="57" w:type="dxa"/>
            </w:tcMar>
          </w:tcPr>
          <w:p w14:paraId="21804949" w14:textId="77777777" w:rsidR="006D2BDF" w:rsidRPr="00F10B23" w:rsidRDefault="006D2BDF" w:rsidP="006D2BDF">
            <w:pPr>
              <w:pStyle w:val="TableBody"/>
            </w:pPr>
            <w:r w:rsidRPr="00F10B23">
              <w:t>14</w:t>
            </w:r>
          </w:p>
        </w:tc>
        <w:tc>
          <w:tcPr>
            <w:tcW w:w="1560" w:type="dxa"/>
            <w:tcMar>
              <w:top w:w="57" w:type="dxa"/>
              <w:left w:w="57" w:type="dxa"/>
              <w:bottom w:w="57" w:type="dxa"/>
              <w:right w:w="57" w:type="dxa"/>
            </w:tcMar>
          </w:tcPr>
          <w:p w14:paraId="5188416C" w14:textId="77777777" w:rsidR="006D2BDF" w:rsidRPr="00F10B23" w:rsidRDefault="006D2BDF" w:rsidP="006D2BDF">
            <w:pPr>
              <w:pStyle w:val="TableBody"/>
            </w:pPr>
            <w:r w:rsidRPr="00F10B23">
              <w:t xml:space="preserve">178,864.49 </w:t>
            </w:r>
          </w:p>
        </w:tc>
        <w:tc>
          <w:tcPr>
            <w:tcW w:w="1630" w:type="dxa"/>
            <w:tcMar>
              <w:top w:w="57" w:type="dxa"/>
              <w:left w:w="57" w:type="dxa"/>
              <w:bottom w:w="57" w:type="dxa"/>
              <w:right w:w="57" w:type="dxa"/>
            </w:tcMar>
          </w:tcPr>
          <w:p w14:paraId="7342A625" w14:textId="77777777" w:rsidR="006D2BDF" w:rsidRPr="00F10B23" w:rsidRDefault="006D2BDF" w:rsidP="006D2BDF">
            <w:pPr>
              <w:pStyle w:val="TableBody"/>
            </w:pPr>
            <w:r w:rsidRPr="00F10B23">
              <w:t>6,614.10</w:t>
            </w:r>
          </w:p>
        </w:tc>
        <w:tc>
          <w:tcPr>
            <w:tcW w:w="1665" w:type="dxa"/>
            <w:tcMar>
              <w:top w:w="57" w:type="dxa"/>
              <w:left w:w="57" w:type="dxa"/>
              <w:bottom w:w="57" w:type="dxa"/>
              <w:right w:w="57" w:type="dxa"/>
            </w:tcMar>
          </w:tcPr>
          <w:p w14:paraId="5EECD871" w14:textId="77777777" w:rsidR="006D2BDF" w:rsidRPr="00F10B23" w:rsidRDefault="006D2BDF" w:rsidP="006D2BDF">
            <w:pPr>
              <w:pStyle w:val="TableBody"/>
            </w:pPr>
            <w:r w:rsidRPr="00F10B23">
              <w:t>17,262.80</w:t>
            </w:r>
          </w:p>
        </w:tc>
        <w:tc>
          <w:tcPr>
            <w:tcW w:w="1666" w:type="dxa"/>
            <w:tcMar>
              <w:top w:w="57" w:type="dxa"/>
              <w:left w:w="57" w:type="dxa"/>
              <w:bottom w:w="57" w:type="dxa"/>
              <w:right w:w="57" w:type="dxa"/>
            </w:tcMar>
          </w:tcPr>
          <w:p w14:paraId="3F3862C2" w14:textId="77777777" w:rsidR="006D2BDF" w:rsidRPr="00F10B23" w:rsidRDefault="006D2BDF" w:rsidP="006D2BDF">
            <w:pPr>
              <w:pStyle w:val="TableBody"/>
              <w:jc w:val="right"/>
            </w:pPr>
            <w:r w:rsidRPr="00F10B23">
              <w:t>12,776.03</w:t>
            </w:r>
          </w:p>
        </w:tc>
      </w:tr>
      <w:tr w:rsidR="006D2BDF" w:rsidRPr="00F10B23" w14:paraId="22514B82" w14:textId="77777777" w:rsidTr="006D2BDF">
        <w:trPr>
          <w:trHeight w:val="241"/>
        </w:trPr>
        <w:tc>
          <w:tcPr>
            <w:tcW w:w="1385" w:type="dxa"/>
            <w:tcMar>
              <w:top w:w="57" w:type="dxa"/>
              <w:left w:w="57" w:type="dxa"/>
              <w:bottom w:w="57" w:type="dxa"/>
              <w:right w:w="57" w:type="dxa"/>
            </w:tcMar>
          </w:tcPr>
          <w:p w14:paraId="1356CA79" w14:textId="77777777" w:rsidR="006D2BDF" w:rsidRPr="00F10B23" w:rsidRDefault="006D2BDF" w:rsidP="006D2BDF">
            <w:pPr>
              <w:pStyle w:val="TableBody"/>
            </w:pPr>
            <w:r w:rsidRPr="00F10B23">
              <w:t>SES Band 2</w:t>
            </w:r>
          </w:p>
        </w:tc>
        <w:tc>
          <w:tcPr>
            <w:tcW w:w="1559" w:type="dxa"/>
            <w:tcMar>
              <w:top w:w="57" w:type="dxa"/>
              <w:left w:w="57" w:type="dxa"/>
              <w:bottom w:w="57" w:type="dxa"/>
              <w:right w:w="57" w:type="dxa"/>
            </w:tcMar>
          </w:tcPr>
          <w:p w14:paraId="03A23BC8" w14:textId="77777777" w:rsidR="006D2BDF" w:rsidRPr="00F10B23" w:rsidRDefault="006D2BDF" w:rsidP="006D2BDF">
            <w:pPr>
              <w:pStyle w:val="TableBody"/>
            </w:pPr>
            <w:r w:rsidRPr="00F10B23">
              <w:t>4</w:t>
            </w:r>
          </w:p>
        </w:tc>
        <w:tc>
          <w:tcPr>
            <w:tcW w:w="1560" w:type="dxa"/>
            <w:tcMar>
              <w:top w:w="57" w:type="dxa"/>
              <w:left w:w="57" w:type="dxa"/>
              <w:bottom w:w="57" w:type="dxa"/>
              <w:right w:w="57" w:type="dxa"/>
            </w:tcMar>
          </w:tcPr>
          <w:p w14:paraId="01DC2780" w14:textId="77777777" w:rsidR="006D2BDF" w:rsidRPr="00F10B23" w:rsidRDefault="006D2BDF" w:rsidP="006D2BDF">
            <w:pPr>
              <w:pStyle w:val="TableBody"/>
            </w:pPr>
            <w:r w:rsidRPr="00F10B23">
              <w:t>79,239.94</w:t>
            </w:r>
          </w:p>
        </w:tc>
        <w:tc>
          <w:tcPr>
            <w:tcW w:w="1630" w:type="dxa"/>
            <w:tcMar>
              <w:top w:w="57" w:type="dxa"/>
              <w:left w:w="57" w:type="dxa"/>
              <w:bottom w:w="57" w:type="dxa"/>
              <w:right w:w="57" w:type="dxa"/>
            </w:tcMar>
          </w:tcPr>
          <w:p w14:paraId="75E403AF" w14:textId="77777777" w:rsidR="006D2BDF" w:rsidRPr="00F10B23" w:rsidRDefault="006D2BDF" w:rsidP="006D2BDF">
            <w:pPr>
              <w:pStyle w:val="TableBody"/>
            </w:pPr>
            <w:r w:rsidRPr="00F10B23">
              <w:t>17,132.96</w:t>
            </w:r>
          </w:p>
        </w:tc>
        <w:tc>
          <w:tcPr>
            <w:tcW w:w="1665" w:type="dxa"/>
            <w:tcMar>
              <w:top w:w="57" w:type="dxa"/>
              <w:left w:w="57" w:type="dxa"/>
              <w:bottom w:w="57" w:type="dxa"/>
              <w:right w:w="57" w:type="dxa"/>
            </w:tcMar>
          </w:tcPr>
          <w:p w14:paraId="476E3488" w14:textId="77777777" w:rsidR="006D2BDF" w:rsidRPr="00F10B23" w:rsidRDefault="006D2BDF" w:rsidP="006D2BDF">
            <w:pPr>
              <w:pStyle w:val="TableBody"/>
            </w:pPr>
            <w:r w:rsidRPr="00F10B23">
              <w:t>21,416.20</w:t>
            </w:r>
          </w:p>
        </w:tc>
        <w:tc>
          <w:tcPr>
            <w:tcW w:w="1666" w:type="dxa"/>
            <w:tcMar>
              <w:top w:w="57" w:type="dxa"/>
              <w:left w:w="57" w:type="dxa"/>
              <w:bottom w:w="57" w:type="dxa"/>
              <w:right w:w="57" w:type="dxa"/>
            </w:tcMar>
          </w:tcPr>
          <w:p w14:paraId="69E21BCC" w14:textId="77777777" w:rsidR="006D2BDF" w:rsidRPr="00F10B23" w:rsidRDefault="006D2BDF" w:rsidP="006D2BDF">
            <w:pPr>
              <w:pStyle w:val="TableBody"/>
              <w:jc w:val="right"/>
            </w:pPr>
            <w:r w:rsidRPr="00F10B23">
              <w:t>19,809.99</w:t>
            </w:r>
          </w:p>
        </w:tc>
      </w:tr>
      <w:tr w:rsidR="006D2BDF" w:rsidRPr="00F10B23" w14:paraId="0E4BBE4C" w14:textId="77777777" w:rsidTr="00666257">
        <w:trPr>
          <w:trHeight w:val="241"/>
        </w:trPr>
        <w:tc>
          <w:tcPr>
            <w:tcW w:w="1385" w:type="dxa"/>
            <w:shd w:val="clear" w:color="auto" w:fill="F2F2F2" w:themeFill="background1" w:themeFillShade="F2"/>
            <w:tcMar>
              <w:top w:w="57" w:type="dxa"/>
              <w:left w:w="57" w:type="dxa"/>
              <w:bottom w:w="57" w:type="dxa"/>
              <w:right w:w="57" w:type="dxa"/>
            </w:tcMar>
          </w:tcPr>
          <w:p w14:paraId="23CA915F" w14:textId="77777777" w:rsidR="006D2BDF" w:rsidRPr="00F10B23" w:rsidRDefault="006D2BDF" w:rsidP="006D2BDF">
            <w:pPr>
              <w:pStyle w:val="TableBody"/>
              <w:rPr>
                <w:b/>
              </w:rPr>
            </w:pPr>
            <w:r w:rsidRPr="00F10B23">
              <w:rPr>
                <w:b/>
              </w:rPr>
              <w:t>Total</w:t>
            </w:r>
          </w:p>
        </w:tc>
        <w:tc>
          <w:tcPr>
            <w:tcW w:w="1559" w:type="dxa"/>
            <w:shd w:val="clear" w:color="auto" w:fill="F2F2F2" w:themeFill="background1" w:themeFillShade="F2"/>
            <w:tcMar>
              <w:top w:w="57" w:type="dxa"/>
              <w:left w:w="57" w:type="dxa"/>
              <w:bottom w:w="57" w:type="dxa"/>
              <w:right w:w="57" w:type="dxa"/>
            </w:tcMar>
            <w:vAlign w:val="bottom"/>
          </w:tcPr>
          <w:p w14:paraId="2D37A681" w14:textId="77777777" w:rsidR="006D2BDF" w:rsidRPr="00F10B23" w:rsidRDefault="006D7FBA" w:rsidP="006D2BDF">
            <w:pPr>
              <w:pStyle w:val="TableBody"/>
              <w:rPr>
                <w:b/>
              </w:rPr>
            </w:pPr>
            <w:r w:rsidRPr="00F10B23">
              <w:rPr>
                <w:b/>
              </w:rPr>
              <w:t>78</w:t>
            </w:r>
          </w:p>
        </w:tc>
        <w:tc>
          <w:tcPr>
            <w:tcW w:w="1560" w:type="dxa"/>
            <w:shd w:val="clear" w:color="auto" w:fill="F2F2F2" w:themeFill="background1" w:themeFillShade="F2"/>
            <w:tcMar>
              <w:top w:w="57" w:type="dxa"/>
              <w:left w:w="57" w:type="dxa"/>
              <w:bottom w:w="57" w:type="dxa"/>
              <w:right w:w="57" w:type="dxa"/>
            </w:tcMar>
            <w:vAlign w:val="bottom"/>
          </w:tcPr>
          <w:p w14:paraId="4AFB7728" w14:textId="77777777" w:rsidR="006D2BDF" w:rsidRPr="00F10B23" w:rsidRDefault="006D2BDF" w:rsidP="006D2BDF">
            <w:pPr>
              <w:pStyle w:val="TableBody"/>
              <w:rPr>
                <w:b/>
              </w:rPr>
            </w:pPr>
            <w:r w:rsidRPr="00F10B23">
              <w:rPr>
                <w:b/>
              </w:rPr>
              <w:t>771,834.71</w:t>
            </w:r>
          </w:p>
        </w:tc>
        <w:tc>
          <w:tcPr>
            <w:tcW w:w="4961" w:type="dxa"/>
            <w:gridSpan w:val="3"/>
            <w:shd w:val="clear" w:color="auto" w:fill="F2F2F2" w:themeFill="background1" w:themeFillShade="F2"/>
          </w:tcPr>
          <w:p w14:paraId="2C1720A2" w14:textId="77777777" w:rsidR="006D2BDF" w:rsidRPr="00F10B23" w:rsidRDefault="006D2BDF" w:rsidP="006D2BDF">
            <w:pPr>
              <w:pStyle w:val="TableBody"/>
              <w:rPr>
                <w:b/>
              </w:rPr>
            </w:pPr>
          </w:p>
        </w:tc>
      </w:tr>
    </w:tbl>
    <w:p w14:paraId="0AD01C1D" w14:textId="0F548B4B" w:rsidR="006D2BDF" w:rsidRPr="00B2674A" w:rsidRDefault="006D2BDF" w:rsidP="006D2BDF">
      <w:pPr>
        <w:pStyle w:val="ACMANotes"/>
      </w:pPr>
      <w:bookmarkStart w:id="464" w:name="_Toc400018620"/>
      <w:r w:rsidRPr="00F10B23">
        <w:t xml:space="preserve">Note: Of the 82 eligible </w:t>
      </w:r>
      <w:r w:rsidR="008F7B78" w:rsidRPr="00F10B23">
        <w:t xml:space="preserve">EL2 (and equivalent) level </w:t>
      </w:r>
      <w:r w:rsidRPr="00F10B23">
        <w:t>staff,</w:t>
      </w:r>
      <w:r w:rsidRPr="00B2674A">
        <w:t xml:space="preserve"> </w:t>
      </w:r>
      <w:r w:rsidR="006D7FBA" w:rsidRPr="00B2674A">
        <w:t>60</w:t>
      </w:r>
      <w:r w:rsidRPr="00B2674A">
        <w:t xml:space="preserve"> were paid a bonus.</w:t>
      </w:r>
    </w:p>
    <w:p w14:paraId="6CD34858" w14:textId="77777777" w:rsidR="00D857E9" w:rsidRPr="00B2674A" w:rsidRDefault="00091F46" w:rsidP="00DA1B46">
      <w:pPr>
        <w:pStyle w:val="Heading3"/>
        <w:spacing w:before="360"/>
      </w:pPr>
      <w:bookmarkStart w:id="465" w:name="_Toc433703458"/>
      <w:r w:rsidRPr="00B2674A">
        <w:t>Enterprise agreement n</w:t>
      </w:r>
      <w:r w:rsidR="00D857E9" w:rsidRPr="00B2674A">
        <w:t>egotiations</w:t>
      </w:r>
      <w:bookmarkEnd w:id="465"/>
    </w:p>
    <w:p w14:paraId="008B4093" w14:textId="77777777" w:rsidR="00D857E9" w:rsidRPr="00B2674A" w:rsidRDefault="00D857E9" w:rsidP="00BE5D22">
      <w:r w:rsidRPr="00B2674A">
        <w:t xml:space="preserve">The </w:t>
      </w:r>
      <w:r w:rsidR="00BE5D22" w:rsidRPr="00B2674A">
        <w:t xml:space="preserve">ACMA </w:t>
      </w:r>
      <w:r w:rsidR="00091F46" w:rsidRPr="00B2674A">
        <w:t>Agreement</w:t>
      </w:r>
      <w:r w:rsidRPr="00B2674A">
        <w:t xml:space="preserve"> </w:t>
      </w:r>
      <w:r w:rsidRPr="00B2674A">
        <w:rPr>
          <w:lang w:val="en"/>
        </w:rPr>
        <w:t>sets out the terms and conditions of employment for emplo</w:t>
      </w:r>
      <w:r w:rsidR="00091F46" w:rsidRPr="00B2674A">
        <w:rPr>
          <w:lang w:val="en"/>
        </w:rPr>
        <w:t>yees below the SES level. That a</w:t>
      </w:r>
      <w:r w:rsidRPr="00B2674A">
        <w:rPr>
          <w:lang w:val="en"/>
        </w:rPr>
        <w:t xml:space="preserve">greement </w:t>
      </w:r>
      <w:r w:rsidRPr="00B2674A">
        <w:t>nominally expired in June 2014, but continues in force until such time as it is replaced by a new ACMA Agreement. Bargaining for a new ACMA Agreement is underway.</w:t>
      </w:r>
    </w:p>
    <w:p w14:paraId="7938EA64" w14:textId="77777777" w:rsidR="00D857E9" w:rsidRPr="00B2674A" w:rsidRDefault="00AA69EB" w:rsidP="00D857E9">
      <w:pPr>
        <w:pStyle w:val="Heading3"/>
        <w:spacing w:before="240" w:line="276" w:lineRule="auto"/>
      </w:pPr>
      <w:bookmarkStart w:id="466" w:name="_Toc433703459"/>
      <w:r w:rsidRPr="00B2674A">
        <w:t>Workplace d</w:t>
      </w:r>
      <w:r w:rsidR="00D857E9" w:rsidRPr="00B2674A">
        <w:t xml:space="preserve">iversity </w:t>
      </w:r>
      <w:bookmarkEnd w:id="464"/>
      <w:r w:rsidRPr="00B2674A">
        <w:t>p</w:t>
      </w:r>
      <w:r w:rsidR="00D857E9" w:rsidRPr="00B2674A">
        <w:t>lan</w:t>
      </w:r>
      <w:bookmarkEnd w:id="466"/>
    </w:p>
    <w:p w14:paraId="1784F7DE" w14:textId="77777777" w:rsidR="00D857E9" w:rsidRPr="00B2674A" w:rsidRDefault="00D857E9" w:rsidP="00D857E9">
      <w:pPr>
        <w:rPr>
          <w:szCs w:val="20"/>
        </w:rPr>
      </w:pPr>
      <w:r w:rsidRPr="00B2674A">
        <w:rPr>
          <w:szCs w:val="20"/>
        </w:rPr>
        <w:t>The ACMA is committed to providing a supportive and respectful work environment that recognises, values and accommodates the diversity of its employees and is representative of the Australian community it serves</w:t>
      </w:r>
      <w:r w:rsidR="00091F46" w:rsidRPr="00B2674A">
        <w:rPr>
          <w:szCs w:val="20"/>
        </w:rPr>
        <w:t xml:space="preserve">. </w:t>
      </w:r>
      <w:r w:rsidRPr="00B2674A">
        <w:rPr>
          <w:szCs w:val="20"/>
        </w:rPr>
        <w:t xml:space="preserve"> </w:t>
      </w:r>
    </w:p>
    <w:p w14:paraId="6325B020" w14:textId="77777777" w:rsidR="00D857E9" w:rsidRPr="00B2674A" w:rsidRDefault="00AA69EB" w:rsidP="00D857E9">
      <w:pPr>
        <w:rPr>
          <w:rFonts w:cs="Arial"/>
        </w:rPr>
      </w:pPr>
      <w:r w:rsidRPr="00B2674A">
        <w:rPr>
          <w:szCs w:val="20"/>
        </w:rPr>
        <w:t xml:space="preserve">The </w:t>
      </w:r>
      <w:r w:rsidRPr="00B2674A">
        <w:rPr>
          <w:i/>
          <w:szCs w:val="20"/>
        </w:rPr>
        <w:t xml:space="preserve">ACMA Workplace Diversity Plan 2014–18 </w:t>
      </w:r>
      <w:r w:rsidRPr="00B2674A">
        <w:rPr>
          <w:szCs w:val="20"/>
        </w:rPr>
        <w:t>aims to</w:t>
      </w:r>
      <w:r w:rsidRPr="00B2674A">
        <w:rPr>
          <w:i/>
          <w:szCs w:val="20"/>
        </w:rPr>
        <w:t xml:space="preserve"> </w:t>
      </w:r>
      <w:r w:rsidR="00D857E9" w:rsidRPr="00B2674A">
        <w:rPr>
          <w:szCs w:val="20"/>
        </w:rPr>
        <w:t>promote awareness of workplace diversity principles, enable these principles to be reflected in everyday management and workplace practices, develop a supportive workplace culture</w:t>
      </w:r>
      <w:r w:rsidRPr="00B2674A">
        <w:rPr>
          <w:szCs w:val="20"/>
        </w:rPr>
        <w:t>,</w:t>
      </w:r>
      <w:r w:rsidR="00D857E9" w:rsidRPr="00B2674A">
        <w:rPr>
          <w:szCs w:val="20"/>
        </w:rPr>
        <w:t xml:space="preserve"> and provide a discrimination</w:t>
      </w:r>
      <w:r w:rsidRPr="00B2674A">
        <w:rPr>
          <w:szCs w:val="20"/>
        </w:rPr>
        <w:t>-</w:t>
      </w:r>
      <w:r w:rsidR="00D857E9" w:rsidRPr="00B2674A">
        <w:rPr>
          <w:szCs w:val="20"/>
        </w:rPr>
        <w:t xml:space="preserve"> and harassment-free workplace</w:t>
      </w:r>
      <w:r w:rsidR="00D857E9" w:rsidRPr="00B2674A">
        <w:rPr>
          <w:rFonts w:cs="Arial"/>
        </w:rPr>
        <w:t>.</w:t>
      </w:r>
    </w:p>
    <w:p w14:paraId="37E2A978" w14:textId="77777777" w:rsidR="00D857E9" w:rsidRPr="00B2674A" w:rsidRDefault="00D857E9" w:rsidP="00B2674A">
      <w:pPr>
        <w:keepNext/>
        <w:spacing w:after="80"/>
        <w:rPr>
          <w:rFonts w:cs="Arial"/>
        </w:rPr>
      </w:pPr>
      <w:r w:rsidRPr="00B2674A">
        <w:rPr>
          <w:rFonts w:cs="Arial"/>
        </w:rPr>
        <w:t>The ACMA recognises and values individual differences and aims to raise awareness of the importance of workplace diversity by:</w:t>
      </w:r>
    </w:p>
    <w:p w14:paraId="0D8C4560" w14:textId="77777777" w:rsidR="00D857E9" w:rsidRPr="00B2674A" w:rsidRDefault="00D857E9" w:rsidP="00D857E9">
      <w:pPr>
        <w:pStyle w:val="ListBullet"/>
        <w:ind w:left="284"/>
        <w:rPr>
          <w:rFonts w:cs="Arial"/>
        </w:rPr>
      </w:pPr>
      <w:r w:rsidRPr="00B2674A">
        <w:rPr>
          <w:rFonts w:cs="Arial"/>
        </w:rPr>
        <w:t>including the acknowledgment and acceptance/encouragement of diversity in organisational and individual performance plans</w:t>
      </w:r>
    </w:p>
    <w:p w14:paraId="594E331D" w14:textId="77777777" w:rsidR="00D857E9" w:rsidRPr="00B2674A" w:rsidRDefault="00D857E9" w:rsidP="00D857E9">
      <w:pPr>
        <w:pStyle w:val="ListBullet"/>
        <w:ind w:left="284"/>
        <w:rPr>
          <w:rFonts w:cs="Arial"/>
        </w:rPr>
      </w:pPr>
      <w:r w:rsidRPr="00B2674A">
        <w:rPr>
          <w:rFonts w:cs="Arial"/>
        </w:rPr>
        <w:t>making the ability to integrate workplace diversity principles into everyday management practice a key selection criteria for management positions</w:t>
      </w:r>
    </w:p>
    <w:p w14:paraId="280BC511" w14:textId="77777777" w:rsidR="00D857E9" w:rsidRPr="00B2674A" w:rsidRDefault="00D857E9" w:rsidP="00D857E9">
      <w:pPr>
        <w:pStyle w:val="ListBullet"/>
        <w:ind w:left="284"/>
        <w:rPr>
          <w:rFonts w:cs="Arial"/>
        </w:rPr>
      </w:pPr>
      <w:r w:rsidRPr="00B2674A">
        <w:rPr>
          <w:rFonts w:cs="Arial"/>
        </w:rPr>
        <w:t>making information available to new employees in induction material</w:t>
      </w:r>
    </w:p>
    <w:p w14:paraId="6693D55F" w14:textId="77777777" w:rsidR="00D857E9" w:rsidRPr="00B2674A" w:rsidRDefault="00D857E9" w:rsidP="0017212E">
      <w:pPr>
        <w:pStyle w:val="ListBulletLast"/>
      </w:pPr>
      <w:r w:rsidRPr="00B2674A">
        <w:t>providing information to all staff through the agency’s intranet.</w:t>
      </w:r>
    </w:p>
    <w:p w14:paraId="506D8031" w14:textId="77777777" w:rsidR="00D857E9" w:rsidRPr="00B2674A" w:rsidRDefault="00D857E9" w:rsidP="0017212E">
      <w:r w:rsidRPr="00B2674A">
        <w:t xml:space="preserve">Further information on the </w:t>
      </w:r>
      <w:r w:rsidR="00AA69EB" w:rsidRPr="00B2674A">
        <w:t>workplace diversity plan</w:t>
      </w:r>
      <w:r w:rsidRPr="00B2674A">
        <w:t xml:space="preserve"> is available on the ACMA website.</w:t>
      </w:r>
    </w:p>
    <w:p w14:paraId="13DBBA1C" w14:textId="77777777" w:rsidR="00D857E9" w:rsidRPr="00B2674A" w:rsidRDefault="00D857E9" w:rsidP="00D857E9">
      <w:pPr>
        <w:spacing w:after="80"/>
        <w:rPr>
          <w:rFonts w:cs="Arial"/>
        </w:rPr>
      </w:pPr>
      <w:r w:rsidRPr="00B2674A">
        <w:rPr>
          <w:rFonts w:cs="Arial"/>
        </w:rPr>
        <w:t>On 30 June 2015, the ACMA’s employee profile was:</w:t>
      </w:r>
    </w:p>
    <w:p w14:paraId="6F7F83A2" w14:textId="77777777" w:rsidR="005E2AC4" w:rsidRPr="00B2674A" w:rsidRDefault="005E2AC4" w:rsidP="005E2AC4">
      <w:pPr>
        <w:pStyle w:val="ListBullet"/>
        <w:ind w:left="284"/>
        <w:rPr>
          <w:rFonts w:cs="Arial"/>
        </w:rPr>
      </w:pPr>
      <w:bookmarkStart w:id="467" w:name="_Toc400018622"/>
      <w:r w:rsidRPr="00B2674A">
        <w:rPr>
          <w:rFonts w:cs="Arial"/>
        </w:rPr>
        <w:t>total employees—470</w:t>
      </w:r>
    </w:p>
    <w:p w14:paraId="09E9D84A" w14:textId="77777777" w:rsidR="005E2AC4" w:rsidRPr="00B2674A" w:rsidRDefault="005E2AC4" w:rsidP="005E2AC4">
      <w:pPr>
        <w:pStyle w:val="ListBullet"/>
        <w:ind w:left="284"/>
        <w:rPr>
          <w:rFonts w:cs="Arial"/>
        </w:rPr>
      </w:pPr>
      <w:r w:rsidRPr="00B2674A">
        <w:rPr>
          <w:rFonts w:cs="Arial"/>
        </w:rPr>
        <w:t>number of women—252</w:t>
      </w:r>
    </w:p>
    <w:p w14:paraId="6B1B3ADD" w14:textId="77777777" w:rsidR="005E2AC4" w:rsidRPr="00B2674A" w:rsidRDefault="005E2AC4" w:rsidP="005E2AC4">
      <w:pPr>
        <w:pStyle w:val="ListBullet"/>
        <w:ind w:left="284"/>
        <w:rPr>
          <w:rFonts w:cs="Arial"/>
        </w:rPr>
      </w:pPr>
      <w:r w:rsidRPr="00B2674A">
        <w:rPr>
          <w:rFonts w:cs="Arial"/>
        </w:rPr>
        <w:t>number of staff from a non-English-speaking background—98</w:t>
      </w:r>
    </w:p>
    <w:p w14:paraId="0EAE2208" w14:textId="77777777" w:rsidR="005E2AC4" w:rsidRPr="00B2674A" w:rsidRDefault="005E2AC4" w:rsidP="005E2AC4">
      <w:pPr>
        <w:pStyle w:val="ListBullet"/>
        <w:ind w:left="284"/>
        <w:rPr>
          <w:rFonts w:cs="Arial"/>
        </w:rPr>
      </w:pPr>
      <w:r w:rsidRPr="00B2674A">
        <w:rPr>
          <w:rFonts w:cs="Arial"/>
        </w:rPr>
        <w:t>number of staff with a disability—3</w:t>
      </w:r>
    </w:p>
    <w:p w14:paraId="495C3631" w14:textId="77777777" w:rsidR="005E2AC4" w:rsidRDefault="005E2AC4" w:rsidP="005E2AC4">
      <w:pPr>
        <w:pStyle w:val="ListBullet"/>
        <w:spacing w:after="240"/>
        <w:ind w:left="284"/>
        <w:rPr>
          <w:rFonts w:cs="Arial"/>
        </w:rPr>
      </w:pPr>
      <w:r w:rsidRPr="00B2674A">
        <w:rPr>
          <w:rFonts w:cs="Arial"/>
        </w:rPr>
        <w:t xml:space="preserve">number of Indigenous staff—2 (both ongoing employees). </w:t>
      </w:r>
    </w:p>
    <w:p w14:paraId="7197D2DC" w14:textId="77777777" w:rsidR="00CC57BB" w:rsidRDefault="00CC57BB" w:rsidP="00CC57BB">
      <w:pPr>
        <w:pStyle w:val="Heading3"/>
      </w:pPr>
      <w:bookmarkStart w:id="468" w:name="_Toc433703460"/>
      <w:r>
        <w:t>Changes to disability reporting in annual reports</w:t>
      </w:r>
      <w:bookmarkEnd w:id="468"/>
    </w:p>
    <w:p w14:paraId="688132B0" w14:textId="77777777" w:rsidR="00CC57BB" w:rsidRDefault="00CC57BB" w:rsidP="00CC57BB">
      <w:r>
        <w:t xml:space="preserve">Since 1994, Commonwealth departments and agencies have reported on their performance as policy adviser, purchaser, employer, regulator and provider under the Commonwealth Disability Strategy. In 2007–08, reporting on the employer role was transferred to the Australian Public Service Commission’s </w:t>
      </w:r>
      <w:r>
        <w:rPr>
          <w:i/>
        </w:rPr>
        <w:t>State of the Service Report</w:t>
      </w:r>
      <w:r>
        <w:t xml:space="preserve"> and the </w:t>
      </w:r>
      <w:r>
        <w:rPr>
          <w:i/>
        </w:rPr>
        <w:t>APS Statistical Bulletin</w:t>
      </w:r>
      <w:r>
        <w:t xml:space="preserve">. These reports are available at </w:t>
      </w:r>
      <w:hyperlink r:id="rId47" w:tooltip="a.p.s.c. dot gov dot a.u." w:history="1">
        <w:r w:rsidRPr="006C2B46">
          <w:rPr>
            <w:rStyle w:val="Hyperlink"/>
          </w:rPr>
          <w:t>www.apsc.gov.au</w:t>
        </w:r>
      </w:hyperlink>
      <w:r>
        <w:t>. From 2010–11, departments and agencies have no longer been required to report on these functions.</w:t>
      </w:r>
    </w:p>
    <w:p w14:paraId="3F827203" w14:textId="77777777" w:rsidR="00CC57BB" w:rsidRPr="00CC57BB" w:rsidRDefault="00CC57BB" w:rsidP="00CC57BB">
      <w:r>
        <w:t xml:space="preserve">The Commonwealth Disability </w:t>
      </w:r>
      <w:r w:rsidRPr="00CC57BB">
        <w:rPr>
          <w:rFonts w:cs="Arial"/>
        </w:rPr>
        <w:t>Strategy</w:t>
      </w:r>
      <w:r>
        <w:t xml:space="preserve"> has been overtaken by the National Disability Strategy 2010–2020, which sets out a 10-year national policy framework to improve the lives of people with a disability, promote participation and create a more inclusive society. A high-level two-yearly report will track progress against each of the six outcome areas of the strategy and present a picture of how people with disabilities are faring. Reports can be found at </w:t>
      </w:r>
      <w:hyperlink r:id="rId48" w:history="1">
        <w:r w:rsidRPr="000E41F9">
          <w:rPr>
            <w:rStyle w:val="Hyperlink"/>
          </w:rPr>
          <w:t>www.dss.gov.au</w:t>
        </w:r>
      </w:hyperlink>
      <w:r>
        <w:t>.</w:t>
      </w:r>
    </w:p>
    <w:p w14:paraId="0A5CC266" w14:textId="77777777" w:rsidR="00D857E9" w:rsidRPr="00B2674A" w:rsidRDefault="00AA69EB" w:rsidP="00D857E9">
      <w:pPr>
        <w:pStyle w:val="Heading3"/>
      </w:pPr>
      <w:bookmarkStart w:id="469" w:name="_Toc433703461"/>
      <w:r w:rsidRPr="00B2674A">
        <w:t>Agency m</w:t>
      </w:r>
      <w:r w:rsidR="00D857E9" w:rsidRPr="00B2674A">
        <w:t xml:space="preserve">ulticultural </w:t>
      </w:r>
      <w:r w:rsidRPr="00B2674A">
        <w:t>p</w:t>
      </w:r>
      <w:r w:rsidR="00D857E9" w:rsidRPr="00B2674A">
        <w:t>lan</w:t>
      </w:r>
      <w:bookmarkEnd w:id="469"/>
      <w:r w:rsidR="00D857E9" w:rsidRPr="00B2674A">
        <w:t xml:space="preserve"> </w:t>
      </w:r>
      <w:bookmarkEnd w:id="467"/>
    </w:p>
    <w:p w14:paraId="239A6659" w14:textId="77777777" w:rsidR="00D857E9" w:rsidRPr="00B2674A" w:rsidRDefault="00D857E9" w:rsidP="00D857E9">
      <w:pPr>
        <w:spacing w:after="80"/>
        <w:rPr>
          <w:rFonts w:cs="Arial"/>
        </w:rPr>
      </w:pPr>
      <w:r w:rsidRPr="00B2674A">
        <w:rPr>
          <w:rFonts w:cs="Arial"/>
        </w:rPr>
        <w:t xml:space="preserve">The </w:t>
      </w:r>
      <w:r w:rsidR="00AA69EB" w:rsidRPr="00B2674A">
        <w:rPr>
          <w:rFonts w:cs="Arial"/>
          <w:i/>
        </w:rPr>
        <w:t>Agency Multicultural Plan</w:t>
      </w:r>
      <w:r w:rsidRPr="00B2674A">
        <w:rPr>
          <w:rFonts w:cs="Arial"/>
        </w:rPr>
        <w:t xml:space="preserve"> </w:t>
      </w:r>
      <w:r w:rsidR="00AA69EB" w:rsidRPr="00B2674A">
        <w:rPr>
          <w:rFonts w:cs="Arial"/>
          <w:i/>
        </w:rPr>
        <w:t>2013–15</w:t>
      </w:r>
      <w:r w:rsidR="00AA69EB" w:rsidRPr="00B2674A">
        <w:rPr>
          <w:rFonts w:cs="Arial"/>
        </w:rPr>
        <w:t xml:space="preserve"> </w:t>
      </w:r>
      <w:r w:rsidRPr="00B2674A">
        <w:rPr>
          <w:rFonts w:cs="Arial"/>
        </w:rPr>
        <w:t xml:space="preserve">identifies a range of actions to help </w:t>
      </w:r>
      <w:r w:rsidR="00AA69EB" w:rsidRPr="00B2674A">
        <w:rPr>
          <w:rFonts w:cs="Arial"/>
        </w:rPr>
        <w:t>the ACMA</w:t>
      </w:r>
      <w:r w:rsidRPr="00B2674A">
        <w:rPr>
          <w:rFonts w:cs="Arial"/>
        </w:rPr>
        <w:t xml:space="preserve"> make communications and media work for all Australians by:</w:t>
      </w:r>
    </w:p>
    <w:p w14:paraId="75552D02" w14:textId="77777777" w:rsidR="00D857E9" w:rsidRPr="00B2674A" w:rsidRDefault="00D857E9" w:rsidP="00D857E9">
      <w:pPr>
        <w:pStyle w:val="ListBullet"/>
        <w:rPr>
          <w:rFonts w:cs="Arial"/>
        </w:rPr>
      </w:pPr>
      <w:r w:rsidRPr="00B2674A">
        <w:rPr>
          <w:rFonts w:cs="Arial"/>
        </w:rPr>
        <w:t>delivering on its mandated outcomes</w:t>
      </w:r>
    </w:p>
    <w:p w14:paraId="5FACAD45" w14:textId="77777777" w:rsidR="00D857E9" w:rsidRPr="00B2674A" w:rsidRDefault="00D857E9" w:rsidP="00D857E9">
      <w:pPr>
        <w:pStyle w:val="ListBullet"/>
        <w:rPr>
          <w:rFonts w:cs="Arial"/>
        </w:rPr>
      </w:pPr>
      <w:r w:rsidRPr="00B2674A">
        <w:rPr>
          <w:rFonts w:cs="Arial"/>
        </w:rPr>
        <w:t>discharging its statutory obligations</w:t>
      </w:r>
    </w:p>
    <w:p w14:paraId="7E802088" w14:textId="77777777" w:rsidR="00D857E9" w:rsidRPr="00B2674A" w:rsidRDefault="00D857E9" w:rsidP="00D857E9">
      <w:pPr>
        <w:pStyle w:val="ListBullet"/>
        <w:spacing w:after="240"/>
        <w:rPr>
          <w:rFonts w:cs="Arial"/>
        </w:rPr>
      </w:pPr>
      <w:r w:rsidRPr="00B2674A">
        <w:rPr>
          <w:rFonts w:cs="Arial"/>
        </w:rPr>
        <w:t>transforming itself into a resilient, learning organisation that is responsive to the numerous pressures for change.</w:t>
      </w:r>
    </w:p>
    <w:p w14:paraId="146CF3E6" w14:textId="77777777" w:rsidR="00D857E9" w:rsidRPr="00B2674A" w:rsidRDefault="00D857E9" w:rsidP="00D857E9">
      <w:pPr>
        <w:rPr>
          <w:rFonts w:cs="Arial"/>
        </w:rPr>
      </w:pPr>
      <w:r w:rsidRPr="00B2674A">
        <w:rPr>
          <w:rFonts w:cs="Arial"/>
        </w:rPr>
        <w:t>In 2014–15, the ACMA addressed each of the six core dimensions of the Multicultural Access and Equity Policy for leadership, engagements, performance, capability, responsiveness and openness.</w:t>
      </w:r>
    </w:p>
    <w:p w14:paraId="32D58703" w14:textId="77777777" w:rsidR="00D857E9" w:rsidRPr="00B2674A" w:rsidRDefault="00D857E9" w:rsidP="00D857E9">
      <w:pPr>
        <w:rPr>
          <w:rFonts w:cs="Arial"/>
        </w:rPr>
      </w:pPr>
      <w:r w:rsidRPr="00B2674A">
        <w:rPr>
          <w:rFonts w:cs="Arial"/>
        </w:rPr>
        <w:t xml:space="preserve">Further information on the </w:t>
      </w:r>
      <w:r w:rsidR="00AA69EB" w:rsidRPr="00B2674A">
        <w:rPr>
          <w:rFonts w:cs="Arial"/>
        </w:rPr>
        <w:t>agency multicultural plan</w:t>
      </w:r>
      <w:r w:rsidRPr="00B2674A">
        <w:rPr>
          <w:rFonts w:cs="Arial"/>
        </w:rPr>
        <w:t xml:space="preserve"> is on the ACMA website.</w:t>
      </w:r>
    </w:p>
    <w:p w14:paraId="44A94A5E" w14:textId="77777777" w:rsidR="00D857E9" w:rsidRPr="00B2674A" w:rsidRDefault="00D857E9" w:rsidP="00D857E9">
      <w:pPr>
        <w:pStyle w:val="Heading3"/>
        <w:spacing w:line="276" w:lineRule="auto"/>
      </w:pPr>
      <w:bookmarkStart w:id="470" w:name="_Toc329600270"/>
      <w:bookmarkStart w:id="471" w:name="_Toc400018623"/>
      <w:bookmarkStart w:id="472" w:name="_Toc433703462"/>
      <w:r w:rsidRPr="00B2674A">
        <w:t>Ethical standards</w:t>
      </w:r>
      <w:bookmarkEnd w:id="470"/>
      <w:bookmarkEnd w:id="471"/>
      <w:bookmarkEnd w:id="472"/>
      <w:r w:rsidRPr="00B2674A">
        <w:t xml:space="preserve"> </w:t>
      </w:r>
    </w:p>
    <w:p w14:paraId="2D96CE8B" w14:textId="77777777" w:rsidR="0025254F" w:rsidRPr="00B2674A" w:rsidRDefault="009E3761" w:rsidP="009E3761">
      <w:pPr>
        <w:keepLines/>
        <w:rPr>
          <w:rFonts w:cs="Arial"/>
        </w:rPr>
      </w:pPr>
      <w:bookmarkStart w:id="473" w:name="_Toc329600271"/>
      <w:bookmarkStart w:id="474" w:name="_Toc400018624"/>
      <w:r w:rsidRPr="00B2674A">
        <w:rPr>
          <w:rFonts w:cs="Arial"/>
        </w:rPr>
        <w:t>During the reporting period, t</w:t>
      </w:r>
      <w:r w:rsidR="0025254F" w:rsidRPr="00B2674A">
        <w:rPr>
          <w:rFonts w:cs="Arial"/>
        </w:rPr>
        <w:t>he ACMA continued to promote the importance of ethical standards through its Management Instructions (MIs), People Management Instructions (PMIs) and training programs. In particular, the ACMA promotes ethical standards and makes staff aware of their obligations through its MI on gifts, benefits and hospitality, and its PMIs on Public Interests Disclosure</w:t>
      </w:r>
      <w:r w:rsidRPr="00B2674A">
        <w:rPr>
          <w:rFonts w:cs="Arial"/>
        </w:rPr>
        <w:t>,</w:t>
      </w:r>
      <w:r w:rsidR="0025254F" w:rsidRPr="00B2674A">
        <w:rPr>
          <w:rFonts w:cs="Arial"/>
        </w:rPr>
        <w:t xml:space="preserve"> and Identifying and Managing Conflicts of Interest.</w:t>
      </w:r>
    </w:p>
    <w:p w14:paraId="0D7E6E89" w14:textId="77777777" w:rsidR="0025254F" w:rsidRPr="00B2674A" w:rsidRDefault="0025254F" w:rsidP="0025254F">
      <w:pPr>
        <w:rPr>
          <w:rFonts w:cs="Arial"/>
        </w:rPr>
      </w:pPr>
      <w:r w:rsidRPr="00B2674A">
        <w:rPr>
          <w:rFonts w:cs="Arial"/>
        </w:rPr>
        <w:t xml:space="preserve">Staff continued to be advised and reminded of their individual obligations under the APS Values and Code of Conduct through an online induction training program, an online managers’ handbook and selection criteria for all ACMA position descriptions. Adherence to the ACMA and APS Values and APS Code of Conduct is a mandatory expectation in all performance agreements. </w:t>
      </w:r>
    </w:p>
    <w:p w14:paraId="46632E8C" w14:textId="77777777" w:rsidR="00D857E9" w:rsidRPr="00B2674A" w:rsidRDefault="00D857E9" w:rsidP="0025254F">
      <w:pPr>
        <w:pStyle w:val="Heading3"/>
        <w:spacing w:line="276" w:lineRule="auto"/>
      </w:pPr>
      <w:bookmarkStart w:id="475" w:name="_Toc433703463"/>
      <w:r w:rsidRPr="00B2674A">
        <w:t>Health and safety</w:t>
      </w:r>
      <w:bookmarkEnd w:id="473"/>
      <w:bookmarkEnd w:id="474"/>
      <w:bookmarkEnd w:id="475"/>
    </w:p>
    <w:p w14:paraId="65FD9436" w14:textId="77777777" w:rsidR="00D857E9" w:rsidRPr="00B2674A" w:rsidRDefault="00D857E9" w:rsidP="00D857E9">
      <w:pPr>
        <w:rPr>
          <w:rFonts w:cs="Arial"/>
          <w:szCs w:val="20"/>
        </w:rPr>
      </w:pPr>
      <w:r w:rsidRPr="00B2674A">
        <w:rPr>
          <w:rFonts w:cs="Arial"/>
          <w:szCs w:val="20"/>
        </w:rPr>
        <w:t>The ACMA is committed to providing its workers with a healthy and safe w</w:t>
      </w:r>
      <w:r w:rsidR="009E3761" w:rsidRPr="00B2674A">
        <w:rPr>
          <w:rFonts w:cs="Arial"/>
          <w:szCs w:val="20"/>
        </w:rPr>
        <w:t>orking environment. During 2014–</w:t>
      </w:r>
      <w:r w:rsidRPr="00B2674A">
        <w:rPr>
          <w:rFonts w:cs="Arial"/>
          <w:szCs w:val="20"/>
        </w:rPr>
        <w:t>15, the ACMA continued to review and update policies and practices to reflect governing legislation and applicable codes of practice, and to make this information more accessible to its workers.</w:t>
      </w:r>
    </w:p>
    <w:p w14:paraId="4C2BD646" w14:textId="77777777" w:rsidR="00D857E9" w:rsidRPr="00B2674A" w:rsidRDefault="00D857E9" w:rsidP="00D857E9">
      <w:pPr>
        <w:rPr>
          <w:rFonts w:cs="Arial"/>
          <w:szCs w:val="20"/>
        </w:rPr>
      </w:pPr>
      <w:r w:rsidRPr="00B2674A">
        <w:rPr>
          <w:rFonts w:cs="Arial"/>
          <w:szCs w:val="20"/>
        </w:rPr>
        <w:t xml:space="preserve">The ACMA actively supports the safe and timely return to work of injured or ill employees, whether or not the injury or illness is work-related. This includes implementing early intervention strategies and engaging rehabilitation providers to facilitate the return-to-work process. </w:t>
      </w:r>
    </w:p>
    <w:p w14:paraId="48C82288" w14:textId="77777777" w:rsidR="00D857E9" w:rsidRPr="00B2674A" w:rsidRDefault="00D857E9" w:rsidP="00D857E9">
      <w:pPr>
        <w:rPr>
          <w:rFonts w:cs="Arial"/>
          <w:szCs w:val="20"/>
        </w:rPr>
      </w:pPr>
      <w:r w:rsidRPr="00B2674A">
        <w:rPr>
          <w:rFonts w:cs="Arial"/>
          <w:szCs w:val="20"/>
        </w:rPr>
        <w:t xml:space="preserve">In September 2014, after full consultation across the organisation, a new instruction was implemented covering </w:t>
      </w:r>
      <w:r w:rsidRPr="00B2674A">
        <w:rPr>
          <w:rFonts w:cs="Arial"/>
          <w:i/>
          <w:szCs w:val="20"/>
        </w:rPr>
        <w:t>Rehabilitation: managing workplace injury and illness</w:t>
      </w:r>
      <w:r w:rsidRPr="00B2674A">
        <w:rPr>
          <w:rFonts w:cs="Arial"/>
          <w:szCs w:val="20"/>
        </w:rPr>
        <w:t>. This instruction articulates the ACMA</w:t>
      </w:r>
      <w:r w:rsidR="009E3761" w:rsidRPr="00B2674A">
        <w:rPr>
          <w:rFonts w:cs="Arial"/>
          <w:szCs w:val="20"/>
        </w:rPr>
        <w:t>’s</w:t>
      </w:r>
      <w:r w:rsidRPr="00B2674A">
        <w:rPr>
          <w:rFonts w:cs="Arial"/>
          <w:szCs w:val="20"/>
        </w:rPr>
        <w:t xml:space="preserve"> commitment to preventing illness/injury by providing and maintaining a safe working environment, fostering a supportive workplace </w:t>
      </w:r>
      <w:r w:rsidR="009E3761" w:rsidRPr="00B2674A">
        <w:rPr>
          <w:rFonts w:cs="Arial"/>
          <w:szCs w:val="20"/>
        </w:rPr>
        <w:t>that</w:t>
      </w:r>
      <w:r w:rsidRPr="00B2674A">
        <w:rPr>
          <w:rFonts w:cs="Arial"/>
          <w:szCs w:val="20"/>
        </w:rPr>
        <w:t xml:space="preserve"> encourages early reporting of illness/injuries, and </w:t>
      </w:r>
      <w:r w:rsidR="009E3761" w:rsidRPr="00B2674A">
        <w:rPr>
          <w:rFonts w:cs="Arial"/>
          <w:szCs w:val="20"/>
        </w:rPr>
        <w:t>offering</w:t>
      </w:r>
      <w:r w:rsidRPr="00B2674A">
        <w:rPr>
          <w:rFonts w:cs="Arial"/>
          <w:szCs w:val="20"/>
        </w:rPr>
        <w:t xml:space="preserve"> workplace rehabilitation. </w:t>
      </w:r>
    </w:p>
    <w:p w14:paraId="40E192D9" w14:textId="77777777" w:rsidR="00D857E9" w:rsidRPr="00B2674A" w:rsidRDefault="00D857E9" w:rsidP="00D857E9">
      <w:pPr>
        <w:rPr>
          <w:rFonts w:cs="Arial"/>
          <w:szCs w:val="20"/>
        </w:rPr>
      </w:pPr>
      <w:r w:rsidRPr="00B2674A">
        <w:rPr>
          <w:rFonts w:cs="Arial"/>
          <w:szCs w:val="20"/>
        </w:rPr>
        <w:t>A Health and S</w:t>
      </w:r>
      <w:r w:rsidR="009E3761" w:rsidRPr="00B2674A">
        <w:rPr>
          <w:rFonts w:cs="Arial"/>
          <w:szCs w:val="20"/>
        </w:rPr>
        <w:t>afety Representative Forum and</w:t>
      </w:r>
      <w:r w:rsidRPr="00B2674A">
        <w:rPr>
          <w:rFonts w:cs="Arial"/>
          <w:szCs w:val="20"/>
        </w:rPr>
        <w:t xml:space="preserve"> Harassment Contact Officer Network continue to operate within the ACMA and provide effective avenues to consult and consider new ideas about work health and safety. A number of EL2 employees are Work Health and Safety Champions, and actively promote health and wellbeing initiatives. The National Work Health and Safety Committee met on four occasions during the reporting period.</w:t>
      </w:r>
    </w:p>
    <w:p w14:paraId="28CB67B3" w14:textId="77777777" w:rsidR="00D857E9" w:rsidRPr="00B2674A" w:rsidRDefault="00D857E9" w:rsidP="00D857E9">
      <w:pPr>
        <w:rPr>
          <w:rFonts w:cs="Arial"/>
          <w:szCs w:val="20"/>
        </w:rPr>
      </w:pPr>
      <w:r w:rsidRPr="00B2674A">
        <w:rPr>
          <w:rFonts w:cs="Arial"/>
          <w:szCs w:val="20"/>
        </w:rPr>
        <w:t xml:space="preserve">Regular workplace inspections were undertaken in all ACMA workplaces to identify hazards and potential hazards, and to review current hazard control measures. These inspections were undertaken by Health and Safety Representatives, and Work Health and Safety Champions. </w:t>
      </w:r>
    </w:p>
    <w:p w14:paraId="1E5601D7" w14:textId="77777777" w:rsidR="00D857E9" w:rsidRPr="00B2674A" w:rsidRDefault="00D857E9" w:rsidP="00D857E9">
      <w:pPr>
        <w:rPr>
          <w:rFonts w:ascii="Calibri" w:hAnsi="Calibri"/>
          <w:szCs w:val="22"/>
        </w:rPr>
      </w:pPr>
      <w:r w:rsidRPr="00B2674A">
        <w:t>The ACMA commenced a Mental Health Awareness Program in May 2015. Th</w:t>
      </w:r>
      <w:r w:rsidR="009E3761" w:rsidRPr="00B2674A">
        <w:t>is included</w:t>
      </w:r>
      <w:r w:rsidRPr="00B2674A">
        <w:t xml:space="preserve"> presentations to senior managers and all staff, development of a mental health strategy for the agency and a review of mental health policy and guidance.</w:t>
      </w:r>
    </w:p>
    <w:p w14:paraId="64915757" w14:textId="77777777" w:rsidR="00D857E9" w:rsidRPr="00B2674A" w:rsidRDefault="00D857E9" w:rsidP="00D857E9">
      <w:pPr>
        <w:spacing w:after="80"/>
        <w:rPr>
          <w:rFonts w:cs="Arial"/>
          <w:szCs w:val="20"/>
        </w:rPr>
      </w:pPr>
      <w:r w:rsidRPr="00B2674A">
        <w:rPr>
          <w:rFonts w:cs="Arial"/>
          <w:szCs w:val="20"/>
        </w:rPr>
        <w:t xml:space="preserve">Health and safety information is provided to all new employees through the ACMA’s induction program. In addition, the ACMA provided the following initiatives during the reporting period: </w:t>
      </w:r>
    </w:p>
    <w:p w14:paraId="36D09453" w14:textId="77777777" w:rsidR="00D857E9" w:rsidRPr="00B2674A" w:rsidRDefault="00D857E9" w:rsidP="00D857E9">
      <w:pPr>
        <w:pStyle w:val="ListBullet"/>
        <w:rPr>
          <w:rFonts w:cs="Arial"/>
        </w:rPr>
      </w:pPr>
      <w:r w:rsidRPr="00B2674A">
        <w:rPr>
          <w:rFonts w:cs="Arial"/>
        </w:rPr>
        <w:t>Health Week</w:t>
      </w:r>
      <w:r w:rsidR="009E3761" w:rsidRPr="00B2674A">
        <w:rPr>
          <w:rFonts w:cs="Arial"/>
        </w:rPr>
        <w:t>—focu</w:t>
      </w:r>
      <w:r w:rsidRPr="00B2674A">
        <w:rPr>
          <w:rFonts w:cs="Arial"/>
        </w:rPr>
        <w:t>sed on ergonomics and mental health, incorporating seminars, health assessments and work-based activities</w:t>
      </w:r>
    </w:p>
    <w:p w14:paraId="7AD70752" w14:textId="77777777" w:rsidR="00D857E9" w:rsidRPr="00B2674A" w:rsidRDefault="00D857E9" w:rsidP="00D857E9">
      <w:pPr>
        <w:pStyle w:val="ListBullet"/>
        <w:rPr>
          <w:rFonts w:cs="Arial"/>
        </w:rPr>
      </w:pPr>
      <w:r w:rsidRPr="00B2674A">
        <w:rPr>
          <w:rFonts w:cs="Arial"/>
        </w:rPr>
        <w:t>flu vaccinations</w:t>
      </w:r>
    </w:p>
    <w:p w14:paraId="2640C675" w14:textId="77777777" w:rsidR="00D857E9" w:rsidRPr="00B2674A" w:rsidRDefault="00D857E9" w:rsidP="00D857E9">
      <w:pPr>
        <w:pStyle w:val="ListBullet"/>
        <w:rPr>
          <w:rFonts w:cs="Arial"/>
        </w:rPr>
      </w:pPr>
      <w:r w:rsidRPr="00B2674A">
        <w:rPr>
          <w:rFonts w:cs="Arial"/>
        </w:rPr>
        <w:t xml:space="preserve">assistance with costs </w:t>
      </w:r>
      <w:r w:rsidR="009E3761" w:rsidRPr="00B2674A">
        <w:rPr>
          <w:rFonts w:cs="Arial"/>
        </w:rPr>
        <w:t>of</w:t>
      </w:r>
      <w:r w:rsidRPr="00B2674A">
        <w:rPr>
          <w:rFonts w:cs="Arial"/>
        </w:rPr>
        <w:t xml:space="preserve"> eye-testing and </w:t>
      </w:r>
      <w:r w:rsidR="009E3761" w:rsidRPr="00B2674A">
        <w:rPr>
          <w:rFonts w:cs="Arial"/>
        </w:rPr>
        <w:t xml:space="preserve">buying </w:t>
      </w:r>
      <w:r w:rsidRPr="00B2674A">
        <w:rPr>
          <w:rFonts w:cs="Arial"/>
        </w:rPr>
        <w:t>glasses for screen-based use</w:t>
      </w:r>
    </w:p>
    <w:p w14:paraId="1E0A3F1D" w14:textId="77777777" w:rsidR="00D857E9" w:rsidRPr="00B2674A" w:rsidRDefault="00D857E9" w:rsidP="00D857E9">
      <w:pPr>
        <w:pStyle w:val="ListBullet"/>
        <w:rPr>
          <w:rFonts w:cs="Arial"/>
        </w:rPr>
      </w:pPr>
      <w:r w:rsidRPr="00B2674A">
        <w:rPr>
          <w:rFonts w:cs="Arial"/>
        </w:rPr>
        <w:t>Employee Assistance Program</w:t>
      </w:r>
    </w:p>
    <w:p w14:paraId="0A23EF64" w14:textId="77777777" w:rsidR="00D857E9" w:rsidRPr="00B2674A" w:rsidRDefault="00D857E9" w:rsidP="00D857E9">
      <w:pPr>
        <w:pStyle w:val="ListBullet"/>
        <w:rPr>
          <w:rFonts w:cs="Arial"/>
        </w:rPr>
      </w:pPr>
      <w:r w:rsidRPr="00B2674A">
        <w:rPr>
          <w:rFonts w:cs="Arial"/>
        </w:rPr>
        <w:t>e-learning health and safety modules as induction tools and ongoing resources</w:t>
      </w:r>
    </w:p>
    <w:p w14:paraId="1FA3771E" w14:textId="77777777" w:rsidR="00D857E9" w:rsidRPr="00B2674A" w:rsidRDefault="00D857E9" w:rsidP="00D857E9">
      <w:pPr>
        <w:pStyle w:val="ListBullet"/>
        <w:spacing w:after="240"/>
        <w:rPr>
          <w:rFonts w:cs="Arial"/>
        </w:rPr>
      </w:pPr>
      <w:r w:rsidRPr="00B2674A">
        <w:rPr>
          <w:rFonts w:cs="Arial"/>
        </w:rPr>
        <w:t>a monthly newsletter.</w:t>
      </w:r>
    </w:p>
    <w:p w14:paraId="5D1D7EAE" w14:textId="77777777" w:rsidR="0017212E" w:rsidRPr="00B2674A" w:rsidRDefault="0017212E" w:rsidP="00B92973">
      <w:pPr>
        <w:pStyle w:val="Caption"/>
        <w:keepNext/>
        <w:spacing w:after="120"/>
        <w:rPr>
          <w:color w:val="auto"/>
        </w:rPr>
      </w:pPr>
      <w:r w:rsidRPr="00B2674A">
        <w:rPr>
          <w:color w:val="auto"/>
        </w:rPr>
        <w:t>Health and wellbeing initiatives, 2</w:t>
      </w:r>
      <w:r w:rsidR="009E3761" w:rsidRPr="00B2674A">
        <w:rPr>
          <w:color w:val="auto"/>
        </w:rPr>
        <w:t>014–</w:t>
      </w:r>
      <w:r w:rsidRPr="00B2674A">
        <w:rPr>
          <w:color w:val="auto"/>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2623"/>
      </w:tblGrid>
      <w:tr w:rsidR="0017212E" w:rsidRPr="00D857E9" w14:paraId="452FBD50" w14:textId="77777777" w:rsidTr="00800C4D">
        <w:tc>
          <w:tcPr>
            <w:tcW w:w="2622" w:type="dxa"/>
            <w:shd w:val="clear" w:color="auto" w:fill="404040" w:themeFill="text1" w:themeFillTint="BF"/>
            <w:tcMar>
              <w:top w:w="57" w:type="dxa"/>
              <w:left w:w="57" w:type="dxa"/>
              <w:bottom w:w="57" w:type="dxa"/>
              <w:right w:w="57" w:type="dxa"/>
            </w:tcMar>
          </w:tcPr>
          <w:p w14:paraId="4F91CFAC" w14:textId="77777777" w:rsidR="0017212E" w:rsidRPr="0017212E" w:rsidRDefault="0017212E" w:rsidP="00B92973">
            <w:pPr>
              <w:pStyle w:val="TableHeading"/>
              <w:keepNext/>
              <w:keepLines/>
              <w:rPr>
                <w:rFonts w:cs="Arial"/>
                <w:color w:val="FFFFFF" w:themeColor="background1"/>
              </w:rPr>
            </w:pPr>
            <w:r w:rsidRPr="0017212E">
              <w:rPr>
                <w:rFonts w:cs="Arial"/>
                <w:color w:val="FFFFFF" w:themeColor="background1"/>
              </w:rPr>
              <w:t>Initiative</w:t>
            </w:r>
          </w:p>
        </w:tc>
        <w:tc>
          <w:tcPr>
            <w:tcW w:w="2623" w:type="dxa"/>
            <w:shd w:val="clear" w:color="auto" w:fill="404040" w:themeFill="text1" w:themeFillTint="BF"/>
            <w:tcMar>
              <w:top w:w="57" w:type="dxa"/>
              <w:left w:w="57" w:type="dxa"/>
              <w:bottom w:w="57" w:type="dxa"/>
              <w:right w:w="57" w:type="dxa"/>
            </w:tcMar>
          </w:tcPr>
          <w:p w14:paraId="27D8D9FE" w14:textId="77777777" w:rsidR="0017212E" w:rsidRPr="0017212E" w:rsidRDefault="0017212E" w:rsidP="00B92973">
            <w:pPr>
              <w:pStyle w:val="TableHeading"/>
              <w:keepNext/>
              <w:keepLines/>
              <w:jc w:val="right"/>
              <w:rPr>
                <w:rFonts w:cs="Arial"/>
                <w:color w:val="FFFFFF" w:themeColor="background1"/>
              </w:rPr>
            </w:pPr>
            <w:r w:rsidRPr="0017212E">
              <w:rPr>
                <w:rFonts w:cs="Arial"/>
                <w:color w:val="FFFFFF" w:themeColor="background1"/>
              </w:rPr>
              <w:t>Utilisation rate</w:t>
            </w:r>
            <w:r w:rsidR="009E3761">
              <w:rPr>
                <w:rFonts w:cs="Arial"/>
                <w:color w:val="FFFFFF" w:themeColor="background1"/>
              </w:rPr>
              <w:t xml:space="preserve"> (%)</w:t>
            </w:r>
          </w:p>
        </w:tc>
      </w:tr>
      <w:tr w:rsidR="0017212E" w:rsidRPr="00D857E9" w14:paraId="0F2A1A4E" w14:textId="77777777" w:rsidTr="00800C4D">
        <w:tc>
          <w:tcPr>
            <w:tcW w:w="2622" w:type="dxa"/>
            <w:tcMar>
              <w:top w:w="57" w:type="dxa"/>
              <w:left w:w="57" w:type="dxa"/>
              <w:bottom w:w="57" w:type="dxa"/>
              <w:right w:w="57" w:type="dxa"/>
            </w:tcMar>
          </w:tcPr>
          <w:p w14:paraId="537E904F" w14:textId="77777777" w:rsidR="0017212E" w:rsidRPr="00B2674A" w:rsidRDefault="0017212E" w:rsidP="00B92973">
            <w:pPr>
              <w:pStyle w:val="TableBody"/>
              <w:keepNext/>
              <w:keepLines/>
            </w:pPr>
            <w:r w:rsidRPr="00B2674A">
              <w:t xml:space="preserve">Influenza vaccination </w:t>
            </w:r>
          </w:p>
        </w:tc>
        <w:tc>
          <w:tcPr>
            <w:tcW w:w="2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731645" w14:textId="77777777" w:rsidR="0017212E" w:rsidRPr="00B2674A" w:rsidRDefault="009E3761" w:rsidP="00B92973">
            <w:pPr>
              <w:pStyle w:val="TableBody"/>
              <w:keepNext/>
              <w:keepLines/>
              <w:jc w:val="right"/>
            </w:pPr>
            <w:r w:rsidRPr="00B2674A">
              <w:t>40</w:t>
            </w:r>
          </w:p>
        </w:tc>
      </w:tr>
      <w:tr w:rsidR="0017212E" w:rsidRPr="00D857E9" w14:paraId="14E33E60" w14:textId="77777777" w:rsidTr="00800C4D">
        <w:tc>
          <w:tcPr>
            <w:tcW w:w="2622" w:type="dxa"/>
            <w:tcMar>
              <w:top w:w="57" w:type="dxa"/>
              <w:left w:w="57" w:type="dxa"/>
              <w:bottom w:w="57" w:type="dxa"/>
              <w:right w:w="57" w:type="dxa"/>
            </w:tcMar>
          </w:tcPr>
          <w:p w14:paraId="5D3FCF84" w14:textId="77777777" w:rsidR="0017212E" w:rsidRPr="00B2674A" w:rsidRDefault="0017212E" w:rsidP="00B92973">
            <w:pPr>
              <w:pStyle w:val="TableBody"/>
              <w:keepNext/>
              <w:keepLines/>
            </w:pPr>
            <w:r w:rsidRPr="00B2674A">
              <w:t>Health check</w:t>
            </w:r>
          </w:p>
        </w:tc>
        <w:tc>
          <w:tcPr>
            <w:tcW w:w="2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08E918" w14:textId="77777777" w:rsidR="0017212E" w:rsidRPr="00B2674A" w:rsidRDefault="009E3761" w:rsidP="00B92973">
            <w:pPr>
              <w:pStyle w:val="TableBody"/>
              <w:keepNext/>
              <w:keepLines/>
              <w:jc w:val="right"/>
            </w:pPr>
            <w:r w:rsidRPr="00B2674A">
              <w:t>27</w:t>
            </w:r>
          </w:p>
        </w:tc>
      </w:tr>
      <w:tr w:rsidR="0017212E" w:rsidRPr="00D857E9" w14:paraId="62921C51" w14:textId="77777777" w:rsidTr="00800C4D">
        <w:tc>
          <w:tcPr>
            <w:tcW w:w="2622" w:type="dxa"/>
            <w:tcMar>
              <w:top w:w="57" w:type="dxa"/>
              <w:left w:w="57" w:type="dxa"/>
              <w:bottom w:w="57" w:type="dxa"/>
              <w:right w:w="57" w:type="dxa"/>
            </w:tcMar>
          </w:tcPr>
          <w:p w14:paraId="6CDC97B4" w14:textId="77777777" w:rsidR="0017212E" w:rsidRPr="00B2674A" w:rsidRDefault="0017212E" w:rsidP="00B92973">
            <w:pPr>
              <w:pStyle w:val="TableBody"/>
              <w:keepNext/>
              <w:keepLines/>
            </w:pPr>
            <w:r w:rsidRPr="00B2674A">
              <w:t xml:space="preserve">Employee assistance </w:t>
            </w:r>
          </w:p>
        </w:tc>
        <w:tc>
          <w:tcPr>
            <w:tcW w:w="2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B4C262" w14:textId="77777777" w:rsidR="0017212E" w:rsidRPr="00B2674A" w:rsidRDefault="009E3761" w:rsidP="00B92973">
            <w:pPr>
              <w:pStyle w:val="TableBody"/>
              <w:keepNext/>
              <w:keepLines/>
              <w:jc w:val="right"/>
            </w:pPr>
            <w:r w:rsidRPr="00B2674A">
              <w:t>7.67</w:t>
            </w:r>
          </w:p>
        </w:tc>
      </w:tr>
    </w:tbl>
    <w:p w14:paraId="1A552CCA" w14:textId="77777777" w:rsidR="0025254F" w:rsidRPr="00B2674A" w:rsidRDefault="0025254F" w:rsidP="0025254F">
      <w:pPr>
        <w:spacing w:before="360"/>
        <w:rPr>
          <w:rFonts w:cs="Arial"/>
        </w:rPr>
      </w:pPr>
      <w:r w:rsidRPr="00B2674A">
        <w:rPr>
          <w:rFonts w:cs="Arial"/>
        </w:rPr>
        <w:t>The ACMA strongly encourages the reporting of workplace incidents and identified workplace hazards. During the reporting period, there were 60 incident reports submitted by employees, which was an increase on the previous reporting period.</w:t>
      </w:r>
    </w:p>
    <w:p w14:paraId="50A4014C" w14:textId="77777777" w:rsidR="00D857E9" w:rsidRPr="00B2674A" w:rsidRDefault="00D857E9" w:rsidP="00D857E9">
      <w:pPr>
        <w:rPr>
          <w:rFonts w:cs="Arial"/>
        </w:rPr>
      </w:pPr>
      <w:r w:rsidRPr="00B2674A">
        <w:rPr>
          <w:rFonts w:cs="Arial"/>
        </w:rPr>
        <w:t xml:space="preserve">No notifiable incidents were reported to Comcare, no work health and safety investigations were conducted, and no notices were given to the ACMA under Part 10 of the </w:t>
      </w:r>
      <w:r w:rsidRPr="00B2674A">
        <w:rPr>
          <w:rFonts w:cs="Arial"/>
          <w:i/>
        </w:rPr>
        <w:t>Work Health and Safety Act 2011</w:t>
      </w:r>
      <w:r w:rsidRPr="00B2674A">
        <w:rPr>
          <w:rFonts w:cs="Arial"/>
        </w:rPr>
        <w:t>.</w:t>
      </w:r>
    </w:p>
    <w:p w14:paraId="3ED29820" w14:textId="77777777" w:rsidR="00D857E9" w:rsidRPr="00B2674A" w:rsidRDefault="00D857E9" w:rsidP="00D857E9">
      <w:pPr>
        <w:pStyle w:val="Heading3"/>
      </w:pPr>
      <w:bookmarkStart w:id="476" w:name="_Toc329600272"/>
      <w:bookmarkStart w:id="477" w:name="_Toc400018625"/>
      <w:bookmarkStart w:id="478" w:name="_Toc433703464"/>
      <w:r w:rsidRPr="00B2674A">
        <w:t>Consultation and workplace relations</w:t>
      </w:r>
      <w:bookmarkEnd w:id="476"/>
      <w:bookmarkEnd w:id="477"/>
      <w:bookmarkEnd w:id="478"/>
    </w:p>
    <w:p w14:paraId="3022E376" w14:textId="77777777" w:rsidR="00D857E9" w:rsidRPr="00B2674A" w:rsidRDefault="00D857E9" w:rsidP="00D857E9">
      <w:r w:rsidRPr="00B2674A">
        <w:t>Staff consultative bodies are established under the ACMA Agreement.</w:t>
      </w:r>
    </w:p>
    <w:p w14:paraId="457CE58E" w14:textId="77777777" w:rsidR="00D857E9" w:rsidRPr="00B2674A" w:rsidRDefault="00D857E9" w:rsidP="00D857E9">
      <w:pPr>
        <w:rPr>
          <w:rFonts w:cs="Arial"/>
        </w:rPr>
      </w:pPr>
      <w:r w:rsidRPr="00B2674A">
        <w:rPr>
          <w:rFonts w:cs="Arial"/>
        </w:rPr>
        <w:t>The National Consultative Forum deals primarily with the key strategic and change issues that affect the ACMA. Convened by the ACMA Deputy Chairman, it comprises management, union and employee representatives. The National Consultation Forum met twice in the reporting period to discuss a number of important issues, including strategic and workforce planning, accommoda</w:t>
      </w:r>
      <w:r w:rsidR="009E3761" w:rsidRPr="00B2674A">
        <w:rPr>
          <w:rFonts w:cs="Arial"/>
        </w:rPr>
        <w:t>tion changes</w:t>
      </w:r>
      <w:r w:rsidRPr="00B2674A">
        <w:rPr>
          <w:rFonts w:cs="Arial"/>
        </w:rPr>
        <w:t xml:space="preserve"> and the A</w:t>
      </w:r>
      <w:r w:rsidR="0017212E" w:rsidRPr="00B2674A">
        <w:rPr>
          <w:rFonts w:cs="Arial"/>
        </w:rPr>
        <w:t>CMA organisational restructure.</w:t>
      </w:r>
    </w:p>
    <w:p w14:paraId="637F618F" w14:textId="77777777" w:rsidR="00D857E9" w:rsidRPr="00B2674A" w:rsidRDefault="00D857E9" w:rsidP="00D857E9">
      <w:pPr>
        <w:rPr>
          <w:rFonts w:cs="Arial"/>
        </w:rPr>
      </w:pPr>
      <w:r w:rsidRPr="00B2674A">
        <w:rPr>
          <w:rFonts w:cs="Arial"/>
        </w:rPr>
        <w:t>Local consultative forums, comprising management, union and employee representatives, and chaired by a senior manager, are established in each of the three principal offices—Canberra, Melbourne and Syd</w:t>
      </w:r>
      <w:r w:rsidR="009E3761" w:rsidRPr="00B2674A">
        <w:rPr>
          <w:rFonts w:cs="Arial"/>
        </w:rPr>
        <w:t>ney—</w:t>
      </w:r>
      <w:r w:rsidRPr="00B2674A">
        <w:rPr>
          <w:rFonts w:cs="Arial"/>
        </w:rPr>
        <w:t xml:space="preserve">as well as for the agency’s Operations function. </w:t>
      </w:r>
      <w:r w:rsidR="009E3761" w:rsidRPr="00B2674A">
        <w:rPr>
          <w:rFonts w:cs="Arial"/>
        </w:rPr>
        <w:t>During the reporting period, tw</w:t>
      </w:r>
      <w:r w:rsidRPr="00B2674A">
        <w:rPr>
          <w:rFonts w:cs="Arial"/>
        </w:rPr>
        <w:t>o of the forums met at least once, with the frequency of meetings determined by the number of issues being considered. Local consultative forums can refer matters with organisation-wide implications to the National Consultative Forum.</w:t>
      </w:r>
    </w:p>
    <w:p w14:paraId="28CE9726" w14:textId="77777777" w:rsidR="00D857E9" w:rsidRPr="00B2674A" w:rsidRDefault="00D857E9" w:rsidP="00D857E9">
      <w:pPr>
        <w:rPr>
          <w:rFonts w:cs="Arial"/>
        </w:rPr>
      </w:pPr>
      <w:r w:rsidRPr="00B2674A">
        <w:rPr>
          <w:rFonts w:cs="Arial"/>
        </w:rPr>
        <w:t>Approaches used to involve employees in decision-making and information-sharing include all-staff meetings, planning sessions, branch and section meetings, focus groups and the use of the ACMA intranet to disseminate information.</w:t>
      </w:r>
    </w:p>
    <w:p w14:paraId="18894B5F" w14:textId="77777777" w:rsidR="00D857E9" w:rsidRPr="00B2674A" w:rsidRDefault="00D857E9" w:rsidP="00D857E9">
      <w:pPr>
        <w:rPr>
          <w:rFonts w:cs="Arial"/>
          <w:b/>
          <w:i/>
          <w:szCs w:val="20"/>
        </w:rPr>
      </w:pPr>
      <w:r w:rsidRPr="00B2674A">
        <w:rPr>
          <w:rFonts w:cs="Arial"/>
        </w:rPr>
        <w:t>The ACMA participates in the Australian Public Service Commission’s (APSC) State of the Service employee census, which enables the ACMA to collect employee feedback to help develop strategies to address specific workforce issues. About 70 per cent of ACMA staff participated in the 2014 census.</w:t>
      </w:r>
      <w:bookmarkStart w:id="479" w:name="_Toc329600273"/>
    </w:p>
    <w:p w14:paraId="661D48B0" w14:textId="77777777" w:rsidR="00D857E9" w:rsidRPr="00B2674A" w:rsidRDefault="00D857E9" w:rsidP="00D857E9">
      <w:pPr>
        <w:pStyle w:val="Heading3"/>
        <w:spacing w:line="276" w:lineRule="auto"/>
      </w:pPr>
      <w:bookmarkStart w:id="480" w:name="_Toc400018627"/>
      <w:bookmarkStart w:id="481" w:name="_Toc433703465"/>
      <w:r w:rsidRPr="00B2674A">
        <w:t>People and capability development</w:t>
      </w:r>
      <w:bookmarkEnd w:id="479"/>
      <w:bookmarkEnd w:id="480"/>
      <w:bookmarkEnd w:id="481"/>
      <w:r w:rsidRPr="00B2674A">
        <w:t xml:space="preserve"> </w:t>
      </w:r>
    </w:p>
    <w:p w14:paraId="0C7A653A" w14:textId="77777777" w:rsidR="00D857E9" w:rsidRPr="00B2674A" w:rsidRDefault="00D857E9" w:rsidP="00D857E9">
      <w:pPr>
        <w:spacing w:after="80"/>
        <w:rPr>
          <w:rFonts w:cs="Arial"/>
          <w:szCs w:val="20"/>
        </w:rPr>
      </w:pPr>
      <w:r w:rsidRPr="00B2674A">
        <w:rPr>
          <w:rFonts w:cs="Arial"/>
          <w:szCs w:val="20"/>
        </w:rPr>
        <w:t>The ACMA is committed to maintaining access to the capabilities it needs to deliver on its outcomes. It does this by:</w:t>
      </w:r>
    </w:p>
    <w:p w14:paraId="4E8A1B04" w14:textId="77777777" w:rsidR="00D857E9" w:rsidRPr="00B2674A" w:rsidRDefault="00D857E9" w:rsidP="00D857E9">
      <w:pPr>
        <w:pStyle w:val="ListBullet"/>
        <w:rPr>
          <w:rFonts w:cs="Arial"/>
        </w:rPr>
      </w:pPr>
      <w:r w:rsidRPr="00B2674A">
        <w:rPr>
          <w:rFonts w:cs="Arial"/>
        </w:rPr>
        <w:t>identifying its critical people and agency capabilities</w:t>
      </w:r>
    </w:p>
    <w:p w14:paraId="233B4418" w14:textId="77777777" w:rsidR="00D857E9" w:rsidRPr="00B2674A" w:rsidRDefault="00D857E9" w:rsidP="00D857E9">
      <w:pPr>
        <w:pStyle w:val="ListBullet"/>
        <w:rPr>
          <w:rFonts w:cs="Arial"/>
        </w:rPr>
      </w:pPr>
      <w:r w:rsidRPr="00B2674A">
        <w:rPr>
          <w:rFonts w:cs="Arial"/>
        </w:rPr>
        <w:t>developing individual staff</w:t>
      </w:r>
    </w:p>
    <w:p w14:paraId="33B005D1" w14:textId="77777777" w:rsidR="00D857E9" w:rsidRPr="00B2674A" w:rsidRDefault="00D857E9" w:rsidP="00D857E9">
      <w:pPr>
        <w:pStyle w:val="ListBullet"/>
        <w:spacing w:after="240"/>
        <w:rPr>
          <w:rFonts w:cs="Arial"/>
        </w:rPr>
      </w:pPr>
      <w:r w:rsidRPr="00B2674A">
        <w:rPr>
          <w:rFonts w:cs="Arial"/>
        </w:rPr>
        <w:t xml:space="preserve">making sure that individual and agency skills and knowledge transfer is understood and supported, along with individual staff professional and career development interests. </w:t>
      </w:r>
    </w:p>
    <w:p w14:paraId="02DBE624" w14:textId="77777777" w:rsidR="00D857E9" w:rsidRPr="00B2674A" w:rsidRDefault="00D857E9" w:rsidP="00D857E9">
      <w:pPr>
        <w:rPr>
          <w:rFonts w:cs="Arial"/>
        </w:rPr>
      </w:pPr>
      <w:r w:rsidRPr="00B2674A">
        <w:rPr>
          <w:rFonts w:cs="Arial"/>
        </w:rPr>
        <w:t>This commitment is further supported through the goals and strategies outlined in the agency’s workforce plan.</w:t>
      </w:r>
    </w:p>
    <w:p w14:paraId="4918A3EE" w14:textId="77777777" w:rsidR="00D857E9" w:rsidRPr="00B2674A" w:rsidRDefault="00D857E9" w:rsidP="00D857E9">
      <w:pPr>
        <w:rPr>
          <w:rFonts w:cs="Arial"/>
          <w:szCs w:val="20"/>
        </w:rPr>
      </w:pPr>
      <w:r w:rsidRPr="00B2674A">
        <w:rPr>
          <w:rFonts w:cs="Arial"/>
          <w:szCs w:val="20"/>
        </w:rPr>
        <w:t>The</w:t>
      </w:r>
      <w:r w:rsidR="009E3761" w:rsidRPr="00B2674A">
        <w:rPr>
          <w:rFonts w:cs="Arial"/>
          <w:szCs w:val="20"/>
        </w:rPr>
        <w:t xml:space="preserve"> ACMA’s net expenditure in 2014–</w:t>
      </w:r>
      <w:r w:rsidRPr="00B2674A">
        <w:rPr>
          <w:rFonts w:cs="Arial"/>
          <w:szCs w:val="20"/>
        </w:rPr>
        <w:t>15 for employee learning and development was $</w:t>
      </w:r>
      <w:r w:rsidR="0025254F" w:rsidRPr="00B2674A">
        <w:rPr>
          <w:rFonts w:cs="Arial"/>
          <w:szCs w:val="20"/>
        </w:rPr>
        <w:t xml:space="preserve">371,803. </w:t>
      </w:r>
      <w:r w:rsidRPr="00B2674A">
        <w:rPr>
          <w:rFonts w:cs="Arial"/>
          <w:szCs w:val="20"/>
        </w:rPr>
        <w:t>This figure includes staff attendance at general training, conferences and seminars, and studies assistance. Staff attended a range of learning and development activities, from public service writing courses to industry-related conferences.</w:t>
      </w:r>
    </w:p>
    <w:p w14:paraId="5155CBC9" w14:textId="77777777" w:rsidR="0025254F" w:rsidRPr="00B2674A" w:rsidRDefault="0025254F" w:rsidP="0025254F">
      <w:pPr>
        <w:rPr>
          <w:rFonts w:cs="Arial"/>
          <w:szCs w:val="20"/>
        </w:rPr>
      </w:pPr>
      <w:bookmarkStart w:id="482" w:name="_Toc400018629"/>
      <w:r w:rsidRPr="00B2674A">
        <w:rPr>
          <w:rFonts w:cs="Arial"/>
          <w:szCs w:val="20"/>
        </w:rPr>
        <w:t>During the year, 22 employees were supported under the ACMA’s Studies Assistance Guidelines. Employees undertook tertiary qualifications in specialised fields such as law, business, social work and information technology.</w:t>
      </w:r>
    </w:p>
    <w:p w14:paraId="6377C532" w14:textId="77777777" w:rsidR="00D857E9" w:rsidRPr="00B2674A" w:rsidRDefault="00D857E9" w:rsidP="00D857E9">
      <w:pPr>
        <w:pStyle w:val="Heading3"/>
      </w:pPr>
      <w:bookmarkStart w:id="483" w:name="_Toc433703466"/>
      <w:r w:rsidRPr="00B2674A">
        <w:t>Performance management</w:t>
      </w:r>
      <w:bookmarkEnd w:id="482"/>
      <w:bookmarkEnd w:id="483"/>
    </w:p>
    <w:p w14:paraId="04D4ED94" w14:textId="77777777" w:rsidR="00D857E9" w:rsidRPr="00B2674A" w:rsidRDefault="00D857E9" w:rsidP="00D857E9">
      <w:pPr>
        <w:rPr>
          <w:rFonts w:cs="Arial"/>
        </w:rPr>
      </w:pPr>
      <w:r w:rsidRPr="00B2674A">
        <w:rPr>
          <w:rFonts w:cs="Arial"/>
        </w:rPr>
        <w:t>The ACMA’s performance management framework is designed to help it achieve organisational outcomes and outputs by managing employee performance, supporting employees in the workplace, and maintaining healthy and sustainable work practices. The framework specifically benefits employees by clarifying expectations, enabling improved individual work performance, increasing skills and knowledge, and enhancing career opportunities.</w:t>
      </w:r>
    </w:p>
    <w:p w14:paraId="77AAF525" w14:textId="77777777" w:rsidR="00D857E9" w:rsidRPr="00B2674A" w:rsidRDefault="00D857E9" w:rsidP="00D857E9">
      <w:pPr>
        <w:rPr>
          <w:rFonts w:cs="Arial"/>
        </w:rPr>
      </w:pPr>
      <w:r w:rsidRPr="00B2674A">
        <w:rPr>
          <w:rFonts w:cs="Arial"/>
        </w:rPr>
        <w:t>Individual performance and development plans identify the key targets and performance expectations needed to achieve the objectives of both area business plans and the ACMA corporate plan. Time frames within the framework align with the ACMA’s annual planning cycle and allow for effective communication and formal feedback at regular intervals.</w:t>
      </w:r>
    </w:p>
    <w:p w14:paraId="748B76FD" w14:textId="77777777" w:rsidR="00D857E9" w:rsidRPr="00B2674A" w:rsidRDefault="00D857E9" w:rsidP="00D857E9">
      <w:pPr>
        <w:pStyle w:val="Heading3"/>
        <w:spacing w:line="276" w:lineRule="auto"/>
      </w:pPr>
      <w:bookmarkStart w:id="484" w:name="_Toc329600279"/>
      <w:bookmarkStart w:id="485" w:name="_Toc400018631"/>
      <w:bookmarkStart w:id="486" w:name="_Toc433703467"/>
      <w:r w:rsidRPr="00B2674A">
        <w:t>Client Service Charter</w:t>
      </w:r>
      <w:bookmarkEnd w:id="484"/>
      <w:bookmarkEnd w:id="485"/>
      <w:bookmarkEnd w:id="486"/>
    </w:p>
    <w:p w14:paraId="2560AD24" w14:textId="77777777" w:rsidR="00D857E9" w:rsidRPr="00B2674A" w:rsidRDefault="00D857E9" w:rsidP="00D857E9">
      <w:pPr>
        <w:rPr>
          <w:rFonts w:cs="Arial"/>
          <w:szCs w:val="20"/>
        </w:rPr>
      </w:pPr>
      <w:r w:rsidRPr="00B2674A">
        <w:rPr>
          <w:rFonts w:cs="Arial"/>
          <w:szCs w:val="20"/>
        </w:rPr>
        <w:t>The Client Service Charter outlines the ACMA’s goals and the broad range of services it provides. The charter provides advice on how clients can contact the ACMA, service standards and complaints procedures. It also reflects the ACMA’s commitment to providing efficient, effective and relevant services delivered in an environment</w:t>
      </w:r>
      <w:r w:rsidR="009E3761" w:rsidRPr="00B2674A">
        <w:rPr>
          <w:rFonts w:cs="Arial"/>
          <w:szCs w:val="20"/>
        </w:rPr>
        <w:t xml:space="preserve"> of mutual respect. See Table 34</w:t>
      </w:r>
      <w:r w:rsidRPr="00B2674A">
        <w:rPr>
          <w:rFonts w:cs="Arial"/>
          <w:szCs w:val="20"/>
        </w:rPr>
        <w:t xml:space="preserve"> for a summary of client service complaints and compliments </w:t>
      </w:r>
      <w:r w:rsidR="009E3761" w:rsidRPr="00B2674A">
        <w:rPr>
          <w:rFonts w:cs="Arial"/>
          <w:szCs w:val="20"/>
        </w:rPr>
        <w:t>during the reporting period.</w:t>
      </w:r>
    </w:p>
    <w:p w14:paraId="08DF00D8" w14:textId="77777777" w:rsidR="0017212E" w:rsidRPr="00B2674A" w:rsidRDefault="0017212E" w:rsidP="0017212E">
      <w:pPr>
        <w:pStyle w:val="Caption"/>
        <w:spacing w:after="120"/>
        <w:rPr>
          <w:rFonts w:cs="Arial"/>
          <w:color w:val="auto"/>
        </w:rPr>
      </w:pPr>
      <w:r w:rsidRPr="00B2674A">
        <w:rPr>
          <w:color w:val="auto"/>
        </w:rPr>
        <w:t>Summary of client service complaints and compliments, 2014–15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2622"/>
        <w:gridCol w:w="2623"/>
      </w:tblGrid>
      <w:tr w:rsidR="0025254F" w:rsidRPr="00D857E9" w14:paraId="227624C7" w14:textId="77777777" w:rsidTr="00AA25B3">
        <w:tc>
          <w:tcPr>
            <w:tcW w:w="4220" w:type="dxa"/>
            <w:shd w:val="clear" w:color="auto" w:fill="404040" w:themeFill="text1" w:themeFillTint="BF"/>
            <w:tcMar>
              <w:top w:w="57" w:type="dxa"/>
              <w:left w:w="57" w:type="dxa"/>
              <w:bottom w:w="57" w:type="dxa"/>
              <w:right w:w="57" w:type="dxa"/>
            </w:tcMar>
          </w:tcPr>
          <w:p w14:paraId="6E300BDF" w14:textId="77777777" w:rsidR="0025254F" w:rsidRPr="0025254F" w:rsidRDefault="0025254F" w:rsidP="00AA25B3">
            <w:pPr>
              <w:pStyle w:val="TableHeading"/>
              <w:keepNext/>
              <w:keepLines/>
              <w:rPr>
                <w:rFonts w:cs="Arial"/>
                <w:color w:val="FFFFFF" w:themeColor="background1"/>
              </w:rPr>
            </w:pPr>
            <w:r w:rsidRPr="0025254F">
              <w:rPr>
                <w:rFonts w:cs="Arial"/>
                <w:color w:val="FFFFFF" w:themeColor="background1"/>
              </w:rPr>
              <w:t>Description</w:t>
            </w:r>
          </w:p>
        </w:tc>
        <w:tc>
          <w:tcPr>
            <w:tcW w:w="2622" w:type="dxa"/>
            <w:shd w:val="clear" w:color="auto" w:fill="404040" w:themeFill="text1" w:themeFillTint="BF"/>
            <w:tcMar>
              <w:top w:w="57" w:type="dxa"/>
              <w:left w:w="57" w:type="dxa"/>
              <w:bottom w:w="57" w:type="dxa"/>
              <w:right w:w="57" w:type="dxa"/>
            </w:tcMar>
          </w:tcPr>
          <w:p w14:paraId="44446D10" w14:textId="77777777" w:rsidR="0025254F" w:rsidRPr="0025254F" w:rsidRDefault="0025254F" w:rsidP="00AA25B3">
            <w:pPr>
              <w:pStyle w:val="TableHeading"/>
              <w:keepNext/>
              <w:keepLines/>
              <w:rPr>
                <w:rFonts w:cs="Arial"/>
                <w:color w:val="FFFFFF" w:themeColor="background1"/>
              </w:rPr>
            </w:pPr>
            <w:r w:rsidRPr="0025254F">
              <w:rPr>
                <w:rFonts w:cs="Arial"/>
                <w:color w:val="FFFFFF" w:themeColor="background1"/>
              </w:rPr>
              <w:t>Total no. of complaints*</w:t>
            </w:r>
          </w:p>
        </w:tc>
        <w:tc>
          <w:tcPr>
            <w:tcW w:w="2623" w:type="dxa"/>
            <w:shd w:val="clear" w:color="auto" w:fill="404040" w:themeFill="text1" w:themeFillTint="BF"/>
            <w:tcMar>
              <w:top w:w="57" w:type="dxa"/>
              <w:left w:w="57" w:type="dxa"/>
              <w:bottom w:w="57" w:type="dxa"/>
              <w:right w:w="57" w:type="dxa"/>
            </w:tcMar>
          </w:tcPr>
          <w:p w14:paraId="1018CCD1" w14:textId="77777777" w:rsidR="0025254F" w:rsidRPr="0025254F" w:rsidRDefault="0025254F" w:rsidP="00AA25B3">
            <w:pPr>
              <w:pStyle w:val="TableHeading"/>
              <w:keepNext/>
              <w:keepLines/>
              <w:rPr>
                <w:rFonts w:cs="Arial"/>
                <w:color w:val="FFFFFF" w:themeColor="background1"/>
              </w:rPr>
            </w:pPr>
            <w:r w:rsidRPr="0025254F">
              <w:rPr>
                <w:rFonts w:cs="Arial"/>
                <w:color w:val="FFFFFF" w:themeColor="background1"/>
              </w:rPr>
              <w:t>Total no. of compliments</w:t>
            </w:r>
          </w:p>
        </w:tc>
      </w:tr>
      <w:tr w:rsidR="0025254F" w:rsidRPr="00B2674A" w14:paraId="7CDBE077" w14:textId="77777777" w:rsidTr="00AA25B3">
        <w:tc>
          <w:tcPr>
            <w:tcW w:w="4220" w:type="dxa"/>
            <w:tcMar>
              <w:top w:w="57" w:type="dxa"/>
              <w:left w:w="57" w:type="dxa"/>
              <w:bottom w:w="57" w:type="dxa"/>
              <w:right w:w="57" w:type="dxa"/>
            </w:tcMar>
          </w:tcPr>
          <w:p w14:paraId="296D9846" w14:textId="77777777" w:rsidR="0025254F" w:rsidRPr="00B2674A" w:rsidRDefault="0025254F" w:rsidP="00AA25B3">
            <w:pPr>
              <w:pStyle w:val="TableBody"/>
            </w:pPr>
            <w:r w:rsidRPr="00B2674A">
              <w:t>Courtesy and respect</w:t>
            </w:r>
          </w:p>
        </w:tc>
        <w:tc>
          <w:tcPr>
            <w:tcW w:w="2622" w:type="dxa"/>
            <w:tcMar>
              <w:top w:w="57" w:type="dxa"/>
              <w:left w:w="57" w:type="dxa"/>
              <w:bottom w:w="57" w:type="dxa"/>
              <w:right w:w="57" w:type="dxa"/>
            </w:tcMar>
          </w:tcPr>
          <w:p w14:paraId="6C776ED3" w14:textId="77777777" w:rsidR="0025254F" w:rsidRPr="00B2674A" w:rsidRDefault="0025254F" w:rsidP="00AA25B3">
            <w:pPr>
              <w:pStyle w:val="TableBody"/>
            </w:pPr>
            <w:r w:rsidRPr="00B2674A">
              <w:t>0</w:t>
            </w:r>
          </w:p>
        </w:tc>
        <w:tc>
          <w:tcPr>
            <w:tcW w:w="2623" w:type="dxa"/>
            <w:tcMar>
              <w:top w:w="57" w:type="dxa"/>
              <w:left w:w="57" w:type="dxa"/>
              <w:bottom w:w="57" w:type="dxa"/>
              <w:right w:w="57" w:type="dxa"/>
            </w:tcMar>
          </w:tcPr>
          <w:p w14:paraId="3CE373BD" w14:textId="77777777" w:rsidR="0025254F" w:rsidRPr="00B2674A" w:rsidRDefault="0025254F" w:rsidP="00AA25B3">
            <w:pPr>
              <w:pStyle w:val="TableBody"/>
            </w:pPr>
            <w:r w:rsidRPr="00B2674A">
              <w:t>0</w:t>
            </w:r>
          </w:p>
        </w:tc>
      </w:tr>
      <w:tr w:rsidR="0025254F" w:rsidRPr="00B2674A" w14:paraId="2B48EA79" w14:textId="77777777" w:rsidTr="00AA25B3">
        <w:tc>
          <w:tcPr>
            <w:tcW w:w="4220" w:type="dxa"/>
            <w:tcMar>
              <w:top w:w="57" w:type="dxa"/>
              <w:left w:w="57" w:type="dxa"/>
              <w:bottom w:w="57" w:type="dxa"/>
              <w:right w:w="57" w:type="dxa"/>
            </w:tcMar>
          </w:tcPr>
          <w:p w14:paraId="1A3F2806" w14:textId="77777777" w:rsidR="0025254F" w:rsidRPr="00B2674A" w:rsidRDefault="0025254F" w:rsidP="00AA25B3">
            <w:pPr>
              <w:pStyle w:val="TableBody"/>
            </w:pPr>
            <w:r w:rsidRPr="00B2674A">
              <w:t>Service delivery of individual staff members</w:t>
            </w:r>
          </w:p>
        </w:tc>
        <w:tc>
          <w:tcPr>
            <w:tcW w:w="2622" w:type="dxa"/>
            <w:tcMar>
              <w:top w:w="57" w:type="dxa"/>
              <w:left w:w="57" w:type="dxa"/>
              <w:bottom w:w="57" w:type="dxa"/>
              <w:right w:w="57" w:type="dxa"/>
            </w:tcMar>
          </w:tcPr>
          <w:p w14:paraId="03EF2C26" w14:textId="77777777" w:rsidR="0025254F" w:rsidRPr="00B2674A" w:rsidRDefault="0025254F" w:rsidP="00AA25B3">
            <w:pPr>
              <w:pStyle w:val="TableBody"/>
            </w:pPr>
            <w:r w:rsidRPr="00B2674A">
              <w:t>8</w:t>
            </w:r>
          </w:p>
        </w:tc>
        <w:tc>
          <w:tcPr>
            <w:tcW w:w="2623" w:type="dxa"/>
            <w:tcMar>
              <w:top w:w="57" w:type="dxa"/>
              <w:left w:w="57" w:type="dxa"/>
              <w:bottom w:w="57" w:type="dxa"/>
              <w:right w:w="57" w:type="dxa"/>
            </w:tcMar>
          </w:tcPr>
          <w:p w14:paraId="097D699A" w14:textId="77777777" w:rsidR="0025254F" w:rsidRPr="00B2674A" w:rsidRDefault="0025254F" w:rsidP="00AA25B3">
            <w:pPr>
              <w:pStyle w:val="TableBody"/>
            </w:pPr>
            <w:r w:rsidRPr="00B2674A">
              <w:t>38</w:t>
            </w:r>
          </w:p>
        </w:tc>
      </w:tr>
      <w:tr w:rsidR="0025254F" w:rsidRPr="00B2674A" w14:paraId="0526E76E" w14:textId="77777777" w:rsidTr="00AA25B3">
        <w:tc>
          <w:tcPr>
            <w:tcW w:w="4220" w:type="dxa"/>
            <w:tcMar>
              <w:top w:w="57" w:type="dxa"/>
              <w:left w:w="57" w:type="dxa"/>
              <w:bottom w:w="57" w:type="dxa"/>
              <w:right w:w="57" w:type="dxa"/>
            </w:tcMar>
          </w:tcPr>
          <w:p w14:paraId="27580045" w14:textId="77777777" w:rsidR="0025254F" w:rsidRPr="00B2674A" w:rsidRDefault="0025254F" w:rsidP="00AA25B3">
            <w:pPr>
              <w:pStyle w:val="TableBody"/>
            </w:pPr>
            <w:r w:rsidRPr="00B2674A">
              <w:t>Response time to complaint</w:t>
            </w:r>
          </w:p>
        </w:tc>
        <w:tc>
          <w:tcPr>
            <w:tcW w:w="2622" w:type="dxa"/>
            <w:tcMar>
              <w:top w:w="57" w:type="dxa"/>
              <w:left w:w="57" w:type="dxa"/>
              <w:bottom w:w="57" w:type="dxa"/>
              <w:right w:w="57" w:type="dxa"/>
            </w:tcMar>
          </w:tcPr>
          <w:p w14:paraId="760F2883" w14:textId="77777777" w:rsidR="0025254F" w:rsidRPr="00B2674A" w:rsidRDefault="0025254F" w:rsidP="00AA25B3">
            <w:pPr>
              <w:pStyle w:val="TableBody"/>
            </w:pPr>
            <w:r w:rsidRPr="00B2674A">
              <w:t>4</w:t>
            </w:r>
          </w:p>
        </w:tc>
        <w:tc>
          <w:tcPr>
            <w:tcW w:w="2623" w:type="dxa"/>
            <w:tcMar>
              <w:top w:w="57" w:type="dxa"/>
              <w:left w:w="57" w:type="dxa"/>
              <w:bottom w:w="57" w:type="dxa"/>
              <w:right w:w="57" w:type="dxa"/>
            </w:tcMar>
          </w:tcPr>
          <w:p w14:paraId="3E921470" w14:textId="77777777" w:rsidR="0025254F" w:rsidRPr="00B2674A" w:rsidRDefault="0025254F" w:rsidP="00AA25B3">
            <w:pPr>
              <w:pStyle w:val="TableBody"/>
            </w:pPr>
            <w:r w:rsidRPr="00B2674A">
              <w:t>0</w:t>
            </w:r>
          </w:p>
        </w:tc>
      </w:tr>
      <w:tr w:rsidR="0025254F" w:rsidRPr="00B2674A" w14:paraId="07C0EC58" w14:textId="77777777" w:rsidTr="00AA25B3">
        <w:tc>
          <w:tcPr>
            <w:tcW w:w="4220" w:type="dxa"/>
            <w:tcMar>
              <w:top w:w="57" w:type="dxa"/>
              <w:left w:w="57" w:type="dxa"/>
              <w:bottom w:w="57" w:type="dxa"/>
              <w:right w:w="57" w:type="dxa"/>
            </w:tcMar>
          </w:tcPr>
          <w:p w14:paraId="4089192A" w14:textId="77777777" w:rsidR="0025254F" w:rsidRPr="00B2674A" w:rsidRDefault="0025254F" w:rsidP="00AA25B3">
            <w:pPr>
              <w:pStyle w:val="TableBody"/>
            </w:pPr>
            <w:r w:rsidRPr="00B2674A">
              <w:t>Accessible information</w:t>
            </w:r>
          </w:p>
        </w:tc>
        <w:tc>
          <w:tcPr>
            <w:tcW w:w="2622" w:type="dxa"/>
            <w:tcMar>
              <w:top w:w="57" w:type="dxa"/>
              <w:left w:w="57" w:type="dxa"/>
              <w:bottom w:w="57" w:type="dxa"/>
              <w:right w:w="57" w:type="dxa"/>
            </w:tcMar>
          </w:tcPr>
          <w:p w14:paraId="66972E8E" w14:textId="77777777" w:rsidR="0025254F" w:rsidRPr="00B2674A" w:rsidRDefault="0025254F" w:rsidP="00AA25B3">
            <w:pPr>
              <w:pStyle w:val="TableBody"/>
            </w:pPr>
            <w:r w:rsidRPr="00B2674A">
              <w:t>5</w:t>
            </w:r>
          </w:p>
        </w:tc>
        <w:tc>
          <w:tcPr>
            <w:tcW w:w="2623" w:type="dxa"/>
            <w:tcMar>
              <w:top w:w="57" w:type="dxa"/>
              <w:left w:w="57" w:type="dxa"/>
              <w:bottom w:w="57" w:type="dxa"/>
              <w:right w:w="57" w:type="dxa"/>
            </w:tcMar>
          </w:tcPr>
          <w:p w14:paraId="50E1F6AB" w14:textId="77777777" w:rsidR="0025254F" w:rsidRPr="00B2674A" w:rsidRDefault="0025254F" w:rsidP="00AA25B3">
            <w:pPr>
              <w:pStyle w:val="TableBody"/>
            </w:pPr>
            <w:r w:rsidRPr="00B2674A">
              <w:t>1</w:t>
            </w:r>
          </w:p>
        </w:tc>
      </w:tr>
    </w:tbl>
    <w:p w14:paraId="0F37A6DE" w14:textId="77777777" w:rsidR="0017212E" w:rsidRPr="00B2674A" w:rsidRDefault="0017212E" w:rsidP="0017212E">
      <w:pPr>
        <w:pStyle w:val="ACMANotes"/>
        <w:rPr>
          <w:szCs w:val="20"/>
        </w:rPr>
      </w:pPr>
      <w:r w:rsidRPr="00B2674A">
        <w:t>*Indicates total number of complaints received (not assessed against service commitments or standards in the Client Service Charter).</w:t>
      </w:r>
    </w:p>
    <w:p w14:paraId="65093D48" w14:textId="77777777" w:rsidR="00D857E9" w:rsidRPr="00B2674A" w:rsidRDefault="009E3761" w:rsidP="00DA1B46">
      <w:pPr>
        <w:spacing w:before="360" w:after="80"/>
        <w:rPr>
          <w:rFonts w:cs="Arial"/>
        </w:rPr>
      </w:pPr>
      <w:bookmarkStart w:id="487" w:name="_Toc264884816"/>
      <w:bookmarkStart w:id="488" w:name="_Toc297623587"/>
      <w:bookmarkStart w:id="489" w:name="_Toc337727658"/>
      <w:bookmarkStart w:id="490" w:name="_Toc400018632"/>
      <w:r w:rsidRPr="00B2674A">
        <w:rPr>
          <w:rFonts w:cs="Arial"/>
        </w:rPr>
        <w:t>T</w:t>
      </w:r>
      <w:r w:rsidR="00D857E9" w:rsidRPr="00B2674A">
        <w:rPr>
          <w:rFonts w:cs="Arial"/>
        </w:rPr>
        <w:t>he ACMA is undertaking a review of its Client Service Charter</w:t>
      </w:r>
      <w:r w:rsidRPr="00B2674A">
        <w:rPr>
          <w:rFonts w:cs="Arial"/>
        </w:rPr>
        <w:t>, with t</w:t>
      </w:r>
      <w:r w:rsidR="00D857E9" w:rsidRPr="00B2674A">
        <w:rPr>
          <w:rFonts w:cs="Arial"/>
        </w:rPr>
        <w:t>his work scheduled to be completed in the next reporting period.</w:t>
      </w:r>
    </w:p>
    <w:p w14:paraId="2E80DA8F" w14:textId="77777777" w:rsidR="00D857E9" w:rsidRPr="00B2674A" w:rsidRDefault="00D857E9" w:rsidP="00DA1B46">
      <w:pPr>
        <w:pStyle w:val="Heading2"/>
        <w:keepLines/>
      </w:pPr>
      <w:bookmarkStart w:id="491" w:name="_Toc433703468"/>
      <w:r w:rsidRPr="00B2674A">
        <w:t>Information management</w:t>
      </w:r>
      <w:bookmarkEnd w:id="487"/>
      <w:bookmarkEnd w:id="488"/>
      <w:bookmarkEnd w:id="489"/>
      <w:bookmarkEnd w:id="490"/>
      <w:bookmarkEnd w:id="491"/>
      <w:r w:rsidRPr="00B2674A">
        <w:t xml:space="preserve"> </w:t>
      </w:r>
    </w:p>
    <w:p w14:paraId="204D6CE7" w14:textId="77777777" w:rsidR="00D857E9" w:rsidRPr="00B2674A" w:rsidRDefault="00D857E9" w:rsidP="003E612F">
      <w:pPr>
        <w:keepNext/>
        <w:keepLines/>
        <w:spacing w:after="80"/>
        <w:rPr>
          <w:rFonts w:cs="Arial"/>
          <w:szCs w:val="20"/>
        </w:rPr>
      </w:pPr>
      <w:r w:rsidRPr="00B2674A">
        <w:rPr>
          <w:rFonts w:cs="Arial"/>
          <w:szCs w:val="20"/>
        </w:rPr>
        <w:t>The reporting period saw the continued rollout of major transfor</w:t>
      </w:r>
      <w:r w:rsidR="00C831B5" w:rsidRPr="00B2674A">
        <w:rPr>
          <w:rFonts w:cs="Arial"/>
          <w:szCs w:val="20"/>
        </w:rPr>
        <w:t xml:space="preserve">mation projects. </w:t>
      </w:r>
      <w:r w:rsidR="007B570A" w:rsidRPr="00B2674A">
        <w:rPr>
          <w:rFonts w:cs="Arial"/>
          <w:szCs w:val="20"/>
        </w:rPr>
        <w:t>These included:</w:t>
      </w:r>
      <w:r w:rsidRPr="00B2674A">
        <w:rPr>
          <w:rFonts w:cs="Arial"/>
          <w:szCs w:val="20"/>
        </w:rPr>
        <w:t xml:space="preserve"> </w:t>
      </w:r>
    </w:p>
    <w:p w14:paraId="5557A24C" w14:textId="77777777" w:rsidR="0025254F" w:rsidRPr="00B2674A" w:rsidRDefault="00D857E9" w:rsidP="003E612F">
      <w:pPr>
        <w:pStyle w:val="ListBullet"/>
        <w:rPr>
          <w:rFonts w:cs="Arial"/>
          <w:szCs w:val="20"/>
        </w:rPr>
      </w:pPr>
      <w:r w:rsidRPr="00B2674A">
        <w:rPr>
          <w:b/>
        </w:rPr>
        <w:t>Project HELM (Holistic Engineering and License Management)</w:t>
      </w:r>
      <w:r w:rsidR="007B570A" w:rsidRPr="00B2674A">
        <w:t>—</w:t>
      </w:r>
      <w:r w:rsidR="007B570A" w:rsidRPr="00B2674A">
        <w:rPr>
          <w:rFonts w:cs="Arial"/>
          <w:szCs w:val="20"/>
        </w:rPr>
        <w:t>f</w:t>
      </w:r>
      <w:r w:rsidRPr="00B2674A">
        <w:rPr>
          <w:rFonts w:cs="Arial"/>
          <w:szCs w:val="20"/>
        </w:rPr>
        <w:t xml:space="preserve">urther work </w:t>
      </w:r>
      <w:r w:rsidR="007B570A" w:rsidRPr="00B2674A">
        <w:rPr>
          <w:rFonts w:cs="Arial"/>
          <w:szCs w:val="20"/>
        </w:rPr>
        <w:t>was completed</w:t>
      </w:r>
      <w:r w:rsidRPr="00B2674A">
        <w:rPr>
          <w:rFonts w:cs="Arial"/>
          <w:szCs w:val="20"/>
        </w:rPr>
        <w:t xml:space="preserve"> in business systems integration</w:t>
      </w:r>
      <w:r w:rsidR="007B570A" w:rsidRPr="00B2674A">
        <w:rPr>
          <w:rFonts w:cs="Arial"/>
          <w:szCs w:val="20"/>
        </w:rPr>
        <w:t>,</w:t>
      </w:r>
      <w:r w:rsidRPr="00B2674A">
        <w:rPr>
          <w:rFonts w:cs="Arial"/>
          <w:szCs w:val="20"/>
        </w:rPr>
        <w:t xml:space="preserve"> including the imminent </w:t>
      </w:r>
      <w:r w:rsidRPr="00B2674A">
        <w:rPr>
          <w:rFonts w:cs="Arial"/>
        </w:rPr>
        <w:t xml:space="preserve">migration of </w:t>
      </w:r>
      <w:r w:rsidR="007B570A" w:rsidRPr="00B2674A">
        <w:rPr>
          <w:rFonts w:cs="Arial"/>
        </w:rPr>
        <w:t>a</w:t>
      </w:r>
      <w:r w:rsidRPr="00B2674A">
        <w:rPr>
          <w:rFonts w:cs="Arial"/>
        </w:rPr>
        <w:t xml:space="preserve">pparatus licences into the SPECTRA </w:t>
      </w:r>
      <w:r w:rsidR="007B570A" w:rsidRPr="00B2674A">
        <w:rPr>
          <w:rFonts w:cs="Arial"/>
        </w:rPr>
        <w:t>s</w:t>
      </w:r>
      <w:r w:rsidRPr="00B2674A">
        <w:rPr>
          <w:rFonts w:cs="Arial"/>
        </w:rPr>
        <w:t xml:space="preserve">pectrum licensing component of HELM later in 2015. </w:t>
      </w:r>
      <w:r w:rsidR="0025254F" w:rsidRPr="00B2674A">
        <w:rPr>
          <w:rFonts w:cs="Arial"/>
          <w:szCs w:val="20"/>
        </w:rPr>
        <w:t>This will introduce additional external online forms and machine</w:t>
      </w:r>
      <w:r w:rsidR="007B570A" w:rsidRPr="00B2674A">
        <w:rPr>
          <w:rFonts w:cs="Arial"/>
          <w:szCs w:val="20"/>
        </w:rPr>
        <w:t>-</w:t>
      </w:r>
      <w:r w:rsidR="0025254F" w:rsidRPr="00B2674A">
        <w:rPr>
          <w:rFonts w:cs="Arial"/>
          <w:szCs w:val="20"/>
        </w:rPr>
        <w:t>to</w:t>
      </w:r>
      <w:r w:rsidR="007B570A" w:rsidRPr="00B2674A">
        <w:rPr>
          <w:rFonts w:cs="Arial"/>
          <w:szCs w:val="20"/>
        </w:rPr>
        <w:t>-</w:t>
      </w:r>
      <w:r w:rsidR="0025254F" w:rsidRPr="00B2674A">
        <w:rPr>
          <w:rFonts w:cs="Arial"/>
          <w:szCs w:val="20"/>
        </w:rPr>
        <w:t xml:space="preserve">machine interfaces to allow licensees to engage online with the ACMA when </w:t>
      </w:r>
      <w:r w:rsidR="0025254F" w:rsidRPr="00B2674A">
        <w:t>lodging</w:t>
      </w:r>
      <w:r w:rsidR="0025254F" w:rsidRPr="00B2674A">
        <w:rPr>
          <w:rFonts w:cs="Arial"/>
          <w:szCs w:val="20"/>
        </w:rPr>
        <w:t xml:space="preserve"> information.</w:t>
      </w:r>
    </w:p>
    <w:p w14:paraId="1DFA2949" w14:textId="75296664" w:rsidR="0025254F" w:rsidRPr="00B2674A" w:rsidRDefault="007B570A" w:rsidP="003E612F">
      <w:pPr>
        <w:pStyle w:val="ListBullet"/>
        <w:rPr>
          <w:rFonts w:cs="Arial"/>
          <w:szCs w:val="20"/>
        </w:rPr>
      </w:pPr>
      <w:r w:rsidRPr="00B2674A">
        <w:rPr>
          <w:b/>
        </w:rPr>
        <w:t>ACMA-wide Customer Relationship</w:t>
      </w:r>
      <w:r w:rsidRPr="00B2674A">
        <w:rPr>
          <w:rFonts w:cs="Arial"/>
          <w:b/>
          <w:szCs w:val="20"/>
        </w:rPr>
        <w:t xml:space="preserve"> Management (CRM) system</w:t>
      </w:r>
      <w:r w:rsidRPr="00B2674A">
        <w:rPr>
          <w:rFonts w:cs="Arial"/>
          <w:szCs w:val="20"/>
        </w:rPr>
        <w:t>—</w:t>
      </w:r>
      <w:r w:rsidRPr="00B2674A">
        <w:t>a</w:t>
      </w:r>
      <w:r w:rsidR="00955825">
        <w:t>dditional work</w:t>
      </w:r>
      <w:r w:rsidR="0025254F" w:rsidRPr="00B2674A">
        <w:t xml:space="preserve"> </w:t>
      </w:r>
      <w:r w:rsidRPr="00B2674A">
        <w:t xml:space="preserve">was undertaken </w:t>
      </w:r>
      <w:r w:rsidRPr="00B2674A">
        <w:rPr>
          <w:rFonts w:cs="Arial"/>
          <w:szCs w:val="20"/>
        </w:rPr>
        <w:t>to</w:t>
      </w:r>
      <w:r w:rsidR="0025254F" w:rsidRPr="00B2674A">
        <w:rPr>
          <w:rFonts w:cs="Arial"/>
          <w:szCs w:val="20"/>
        </w:rPr>
        <w:t xml:space="preserve"> enhance the CRM platform and communications technology for the Customer Service Centre.</w:t>
      </w:r>
    </w:p>
    <w:p w14:paraId="210E89AC" w14:textId="77777777" w:rsidR="007B570A" w:rsidRPr="00B2674A" w:rsidRDefault="007B570A" w:rsidP="003E612F">
      <w:pPr>
        <w:pStyle w:val="ListBullet"/>
        <w:rPr>
          <w:rFonts w:cs="Arial"/>
          <w:szCs w:val="20"/>
        </w:rPr>
      </w:pPr>
      <w:r w:rsidRPr="00B2674A">
        <w:rPr>
          <w:rFonts w:cs="Arial"/>
          <w:b/>
          <w:szCs w:val="20"/>
        </w:rPr>
        <w:t>Review of cloud computing for non-unique ICT services</w:t>
      </w:r>
      <w:r w:rsidRPr="00B2674A">
        <w:rPr>
          <w:rFonts w:cs="Arial"/>
          <w:szCs w:val="20"/>
        </w:rPr>
        <w:t>—</w:t>
      </w:r>
      <w:r w:rsidR="008B7106" w:rsidRPr="00B2674A">
        <w:rPr>
          <w:rFonts w:cs="Arial"/>
          <w:szCs w:val="20"/>
        </w:rPr>
        <w:t xml:space="preserve">in line with the recommendations set out in the Australian Government Cloud Computing Policy v3.0, </w:t>
      </w:r>
      <w:r w:rsidRPr="00B2674A">
        <w:rPr>
          <w:rFonts w:cs="Arial"/>
          <w:szCs w:val="20"/>
        </w:rPr>
        <w:t>this include</w:t>
      </w:r>
      <w:r w:rsidR="008B7106" w:rsidRPr="00B2674A">
        <w:rPr>
          <w:rFonts w:cs="Arial"/>
          <w:szCs w:val="20"/>
        </w:rPr>
        <w:t>d</w:t>
      </w:r>
      <w:r w:rsidRPr="00B2674A">
        <w:rPr>
          <w:rFonts w:cs="Arial"/>
          <w:szCs w:val="20"/>
        </w:rPr>
        <w:t>:</w:t>
      </w:r>
    </w:p>
    <w:p w14:paraId="45C44F25" w14:textId="77777777" w:rsidR="007B570A" w:rsidRPr="00B2674A" w:rsidRDefault="007B570A" w:rsidP="003E612F">
      <w:pPr>
        <w:pStyle w:val="ListBullet2"/>
      </w:pPr>
      <w:r w:rsidRPr="00B2674A">
        <w:t>re-evaluatin</w:t>
      </w:r>
      <w:r w:rsidR="008B7106" w:rsidRPr="00B2674A">
        <w:t>g</w:t>
      </w:r>
      <w:r w:rsidRPr="00B2674A">
        <w:t xml:space="preserve"> the ICT Strategic Direction to enable a mixed-solution model incorporating cloud-based services provisioning</w:t>
      </w:r>
    </w:p>
    <w:p w14:paraId="171D191C" w14:textId="77777777" w:rsidR="007B570A" w:rsidRPr="00B2674A" w:rsidRDefault="007B570A" w:rsidP="003E612F">
      <w:pPr>
        <w:pStyle w:val="ListBullet2"/>
      </w:pPr>
      <w:r w:rsidRPr="00B2674A">
        <w:t>establishing processes to ensure that cloud computing is evaluated as a delivery platform in new project business cases</w:t>
      </w:r>
    </w:p>
    <w:p w14:paraId="5258F268" w14:textId="65269857" w:rsidR="007B570A" w:rsidRPr="00B2674A" w:rsidRDefault="007B570A" w:rsidP="003E612F">
      <w:pPr>
        <w:pStyle w:val="ListBullet2"/>
      </w:pPr>
      <w:r w:rsidRPr="00B2674A">
        <w:t>identifying existing applications that lend themselves to being transitioned to a clou</w:t>
      </w:r>
      <w:r w:rsidR="00AB13BC">
        <w:t>d provider</w:t>
      </w:r>
    </w:p>
    <w:p w14:paraId="39585234" w14:textId="77777777" w:rsidR="007B570A" w:rsidRPr="00B2674A" w:rsidRDefault="008B7106" w:rsidP="003E612F">
      <w:pPr>
        <w:pStyle w:val="ListBullet2"/>
        <w:spacing w:after="120"/>
      </w:pPr>
      <w:r w:rsidRPr="00B2674A">
        <w:t>updating</w:t>
      </w:r>
      <w:r w:rsidR="007B570A" w:rsidRPr="00B2674A">
        <w:t xml:space="preserve"> the ACMA’s Business Continuity and </w:t>
      </w:r>
      <w:r w:rsidR="007B570A" w:rsidRPr="00B2674A">
        <w:rPr>
          <w:rFonts w:cs="Arial"/>
        </w:rPr>
        <w:t>Disaster</w:t>
      </w:r>
      <w:r w:rsidR="007B570A" w:rsidRPr="00B2674A">
        <w:t xml:space="preserve"> Recovery Plans </w:t>
      </w:r>
      <w:r w:rsidRPr="00B2674A">
        <w:t xml:space="preserve">so they </w:t>
      </w:r>
      <w:r w:rsidR="007B570A" w:rsidRPr="00B2674A">
        <w:t xml:space="preserve">align with the opportunities available </w:t>
      </w:r>
      <w:r w:rsidRPr="00B2674A">
        <w:t>from c</w:t>
      </w:r>
      <w:r w:rsidR="007B570A" w:rsidRPr="00B2674A">
        <w:t xml:space="preserve">loud </w:t>
      </w:r>
      <w:r w:rsidRPr="00B2674A">
        <w:t>c</w:t>
      </w:r>
      <w:r w:rsidR="007B570A" w:rsidRPr="00B2674A">
        <w:t>omputing.</w:t>
      </w:r>
    </w:p>
    <w:p w14:paraId="0C56673E" w14:textId="77777777" w:rsidR="008B7106" w:rsidRPr="00B2674A" w:rsidRDefault="00602B35" w:rsidP="003E612F">
      <w:pPr>
        <w:pStyle w:val="ListBullet"/>
        <w:rPr>
          <w:rFonts w:cs="Arial"/>
        </w:rPr>
      </w:pPr>
      <w:r w:rsidRPr="00B2674A">
        <w:rPr>
          <w:b/>
        </w:rPr>
        <w:t xml:space="preserve">Office of the </w:t>
      </w:r>
      <w:r w:rsidR="00D857E9" w:rsidRPr="00B2674A">
        <w:rPr>
          <w:b/>
        </w:rPr>
        <w:t>Children’s eSafety Commissioner</w:t>
      </w:r>
      <w:r w:rsidR="007B570A" w:rsidRPr="00B2674A">
        <w:t>—</w:t>
      </w:r>
      <w:r w:rsidR="0025254F" w:rsidRPr="00B2674A">
        <w:rPr>
          <w:rFonts w:cs="Arial"/>
        </w:rPr>
        <w:t>establish</w:t>
      </w:r>
      <w:r w:rsidR="008B7106" w:rsidRPr="00B2674A">
        <w:rPr>
          <w:rFonts w:cs="Arial"/>
        </w:rPr>
        <w:t>ing</w:t>
      </w:r>
      <w:r w:rsidR="0025254F" w:rsidRPr="00B2674A">
        <w:rPr>
          <w:rFonts w:cs="Arial"/>
        </w:rPr>
        <w:t xml:space="preserve"> an online presence for th</w:t>
      </w:r>
      <w:r w:rsidR="008B7106" w:rsidRPr="00B2674A">
        <w:rPr>
          <w:rFonts w:cs="Arial"/>
        </w:rPr>
        <w:t xml:space="preserve">is new agency </w:t>
      </w:r>
      <w:r w:rsidR="0025254F" w:rsidRPr="00B2674A">
        <w:rPr>
          <w:rFonts w:cs="Arial"/>
        </w:rPr>
        <w:t xml:space="preserve">included extensive work </w:t>
      </w:r>
      <w:r w:rsidR="008B7106" w:rsidRPr="00B2674A">
        <w:rPr>
          <w:rFonts w:cs="Arial"/>
        </w:rPr>
        <w:t>to:</w:t>
      </w:r>
    </w:p>
    <w:p w14:paraId="69C35A89" w14:textId="77777777" w:rsidR="008B7106" w:rsidRPr="00F10B23" w:rsidRDefault="0025254F" w:rsidP="003E612F">
      <w:pPr>
        <w:pStyle w:val="ListBullet2"/>
        <w:rPr>
          <w:rFonts w:cs="Arial"/>
        </w:rPr>
      </w:pPr>
      <w:r w:rsidRPr="00F10B23">
        <w:t>develop</w:t>
      </w:r>
      <w:r w:rsidRPr="00F10B23">
        <w:rPr>
          <w:rFonts w:cs="Arial"/>
        </w:rPr>
        <w:t xml:space="preserve"> online services </w:t>
      </w:r>
      <w:r w:rsidR="008B7106" w:rsidRPr="00F10B23">
        <w:rPr>
          <w:rFonts w:cs="Arial"/>
        </w:rPr>
        <w:t xml:space="preserve">that </w:t>
      </w:r>
      <w:r w:rsidRPr="00F10B23">
        <w:rPr>
          <w:rFonts w:cs="Arial"/>
        </w:rPr>
        <w:t>allow for easy access to information</w:t>
      </w:r>
    </w:p>
    <w:p w14:paraId="06752FA3" w14:textId="648B7747" w:rsidR="0025254F" w:rsidRPr="00F10B23" w:rsidRDefault="008C49E6" w:rsidP="003E612F">
      <w:pPr>
        <w:pStyle w:val="ListBullet2"/>
        <w:rPr>
          <w:rFonts w:cs="Arial"/>
        </w:rPr>
      </w:pPr>
      <w:r w:rsidRPr="00F10B23">
        <w:rPr>
          <w:rFonts w:cs="Arial"/>
        </w:rPr>
        <w:t>manage</w:t>
      </w:r>
      <w:r w:rsidR="0025254F" w:rsidRPr="00F10B23">
        <w:rPr>
          <w:rFonts w:cs="Arial"/>
        </w:rPr>
        <w:t xml:space="preserve"> a complaints system for addressing harmful material targeting Australian children on social media.</w:t>
      </w:r>
    </w:p>
    <w:p w14:paraId="58B128FA" w14:textId="77777777" w:rsidR="000941B6" w:rsidRPr="00B2674A" w:rsidRDefault="00D857E9" w:rsidP="003E612F">
      <w:pPr>
        <w:pStyle w:val="ListBullet"/>
        <w:rPr>
          <w:szCs w:val="20"/>
        </w:rPr>
      </w:pPr>
      <w:r w:rsidRPr="00B2674A">
        <w:rPr>
          <w:b/>
        </w:rPr>
        <w:t>HFDF Network/Project Nullarbor</w:t>
      </w:r>
      <w:r w:rsidR="008B7106" w:rsidRPr="00B2674A">
        <w:t>—</w:t>
      </w:r>
      <w:r w:rsidR="008B7106" w:rsidRPr="00B2674A">
        <w:rPr>
          <w:szCs w:val="20"/>
        </w:rPr>
        <w:t>in conjunction with the Department of Defence and the Defence Materiel Organisation, w</w:t>
      </w:r>
      <w:r w:rsidR="000941B6" w:rsidRPr="00B2674A">
        <w:rPr>
          <w:rFonts w:cs="Arial"/>
        </w:rPr>
        <w:t>ork</w:t>
      </w:r>
      <w:r w:rsidR="000941B6" w:rsidRPr="00B2674A">
        <w:rPr>
          <w:szCs w:val="20"/>
        </w:rPr>
        <w:t xml:space="preserve"> commenced on a project to allow the ACMA access to the Defence High Frequency Communications System. </w:t>
      </w:r>
    </w:p>
    <w:p w14:paraId="1F7DD178" w14:textId="77777777" w:rsidR="00D857E9" w:rsidRPr="00B2674A" w:rsidRDefault="00D857E9" w:rsidP="00CD3D00">
      <w:pPr>
        <w:pStyle w:val="ListBullet"/>
      </w:pPr>
      <w:r w:rsidRPr="00B2674A">
        <w:rPr>
          <w:b/>
        </w:rPr>
        <w:t xml:space="preserve">ICT </w:t>
      </w:r>
      <w:r w:rsidR="008B7106" w:rsidRPr="00B2674A">
        <w:rPr>
          <w:b/>
        </w:rPr>
        <w:t>s</w:t>
      </w:r>
      <w:r w:rsidRPr="00B2674A">
        <w:rPr>
          <w:b/>
        </w:rPr>
        <w:t xml:space="preserve">ervice </w:t>
      </w:r>
      <w:r w:rsidR="008B7106" w:rsidRPr="00B2674A">
        <w:rPr>
          <w:b/>
        </w:rPr>
        <w:t>d</w:t>
      </w:r>
      <w:r w:rsidRPr="00B2674A">
        <w:rPr>
          <w:b/>
        </w:rPr>
        <w:t xml:space="preserve">elivery </w:t>
      </w:r>
      <w:r w:rsidR="008B7106" w:rsidRPr="00B2674A">
        <w:rPr>
          <w:b/>
        </w:rPr>
        <w:t>r</w:t>
      </w:r>
      <w:r w:rsidRPr="00B2674A">
        <w:rPr>
          <w:b/>
        </w:rPr>
        <w:t>eview</w:t>
      </w:r>
      <w:r w:rsidR="008B7106" w:rsidRPr="00B2674A">
        <w:t>—a</w:t>
      </w:r>
      <w:r w:rsidRPr="00B2674A">
        <w:t>chievements included the ongoing development of infrastructure and architecture to improve the cost, reliability and agility of ACMA systems. For example:</w:t>
      </w:r>
    </w:p>
    <w:p w14:paraId="38D9A97B" w14:textId="77777777" w:rsidR="00D857E9" w:rsidRPr="00B2674A" w:rsidRDefault="00D857E9" w:rsidP="003E612F">
      <w:pPr>
        <w:pStyle w:val="ListBullet2"/>
        <w:rPr>
          <w:rFonts w:cs="Arial"/>
          <w:szCs w:val="20"/>
        </w:rPr>
      </w:pPr>
      <w:r w:rsidRPr="00B2674A">
        <w:rPr>
          <w:rFonts w:cs="Arial"/>
          <w:szCs w:val="20"/>
        </w:rPr>
        <w:t xml:space="preserve">a new, more comprehensive IT monitoring and alerting system for </w:t>
      </w:r>
      <w:r w:rsidRPr="00B2674A">
        <w:t>fault</w:t>
      </w:r>
      <w:r w:rsidRPr="00B2674A">
        <w:rPr>
          <w:rFonts w:cs="Arial"/>
          <w:szCs w:val="20"/>
        </w:rPr>
        <w:t xml:space="preserve"> identification and resolution, including interoperability with the building management system</w:t>
      </w:r>
      <w:r w:rsidR="008B7106" w:rsidRPr="00B2674A">
        <w:rPr>
          <w:rFonts w:cs="Arial"/>
          <w:szCs w:val="20"/>
        </w:rPr>
        <w:t>’</w:t>
      </w:r>
      <w:r w:rsidRPr="00B2674A">
        <w:rPr>
          <w:rFonts w:cs="Arial"/>
          <w:szCs w:val="20"/>
        </w:rPr>
        <w:t>s monitoring environment</w:t>
      </w:r>
    </w:p>
    <w:p w14:paraId="1147B911" w14:textId="70F3714E" w:rsidR="00D857E9" w:rsidRPr="00B2674A" w:rsidRDefault="008B7106" w:rsidP="003E612F">
      <w:pPr>
        <w:pStyle w:val="ListBullet2"/>
        <w:rPr>
          <w:szCs w:val="20"/>
        </w:rPr>
      </w:pPr>
      <w:r w:rsidRPr="00B2674A">
        <w:rPr>
          <w:szCs w:val="20"/>
        </w:rPr>
        <w:t xml:space="preserve">incorporating the ACMA’s many remote monitoring sites into the agency’s core network, including taking advantage of </w:t>
      </w:r>
      <w:r w:rsidR="00F10B23">
        <w:rPr>
          <w:szCs w:val="20"/>
        </w:rPr>
        <w:t>nbn</w:t>
      </w:r>
      <w:r w:rsidRPr="00B2674A">
        <w:rPr>
          <w:szCs w:val="20"/>
        </w:rPr>
        <w:t xml:space="preserve"> </w:t>
      </w:r>
      <w:r w:rsidR="00F66B34">
        <w:rPr>
          <w:szCs w:val="20"/>
        </w:rPr>
        <w:t xml:space="preserve">network </w:t>
      </w:r>
      <w:r w:rsidRPr="00B2674A">
        <w:rPr>
          <w:szCs w:val="20"/>
        </w:rPr>
        <w:t>connections, where available.</w:t>
      </w:r>
    </w:p>
    <w:p w14:paraId="07936B70" w14:textId="77777777" w:rsidR="00D857E9" w:rsidRPr="00B2674A" w:rsidRDefault="00D857E9" w:rsidP="00D857E9">
      <w:pPr>
        <w:pStyle w:val="Heading2"/>
      </w:pPr>
      <w:bookmarkStart w:id="492" w:name="_Toc264884826"/>
      <w:bookmarkStart w:id="493" w:name="_Toc297623595"/>
      <w:bookmarkStart w:id="494" w:name="_Toc337727667"/>
      <w:bookmarkStart w:id="495" w:name="_Toc400018635"/>
      <w:bookmarkStart w:id="496" w:name="_Toc433703469"/>
      <w:r w:rsidRPr="00B2674A">
        <w:t>Communications</w:t>
      </w:r>
      <w:bookmarkEnd w:id="492"/>
      <w:r w:rsidRPr="00B2674A">
        <w:t xml:space="preserve"> and engagement</w:t>
      </w:r>
      <w:bookmarkEnd w:id="493"/>
      <w:bookmarkEnd w:id="494"/>
      <w:bookmarkEnd w:id="495"/>
      <w:bookmarkEnd w:id="496"/>
    </w:p>
    <w:p w14:paraId="3D8D6C3F" w14:textId="77777777" w:rsidR="0025254F" w:rsidRPr="00B2674A" w:rsidRDefault="0025254F" w:rsidP="00852976">
      <w:pPr>
        <w:pStyle w:val="Heading3"/>
      </w:pPr>
      <w:bookmarkStart w:id="497" w:name="_Toc433703470"/>
      <w:r w:rsidRPr="00B2674A">
        <w:t>Customer Service Centre</w:t>
      </w:r>
      <w:bookmarkEnd w:id="497"/>
    </w:p>
    <w:p w14:paraId="757E8E71" w14:textId="77777777" w:rsidR="00791356" w:rsidRPr="00B2674A" w:rsidRDefault="0025254F" w:rsidP="00791356">
      <w:pPr>
        <w:keepNext/>
        <w:rPr>
          <w:rFonts w:cs="Arial"/>
          <w:lang w:val="en-US"/>
        </w:rPr>
      </w:pPr>
      <w:r w:rsidRPr="00B2674A">
        <w:rPr>
          <w:rFonts w:cs="Arial"/>
          <w:lang w:val="en-US"/>
        </w:rPr>
        <w:t>The Customer Service Centre (CSC) provides a single point of contact (centralised customer contact model) for ACMA customers</w:t>
      </w:r>
      <w:r w:rsidR="00791356" w:rsidRPr="00B2674A">
        <w:rPr>
          <w:rFonts w:cs="Arial"/>
          <w:lang w:val="en-US"/>
        </w:rPr>
        <w:t xml:space="preserve">, and its </w:t>
      </w:r>
      <w:r w:rsidRPr="00B2674A">
        <w:rPr>
          <w:rFonts w:cs="Arial"/>
          <w:lang w:val="en-US"/>
        </w:rPr>
        <w:t xml:space="preserve">staff have an online library of resources to </w:t>
      </w:r>
      <w:r w:rsidR="00791356" w:rsidRPr="00B2674A">
        <w:rPr>
          <w:rFonts w:cs="Arial"/>
          <w:lang w:val="en-US"/>
        </w:rPr>
        <w:t>respond to</w:t>
      </w:r>
      <w:r w:rsidRPr="00B2674A">
        <w:rPr>
          <w:rFonts w:cs="Arial"/>
          <w:lang w:val="en-US"/>
        </w:rPr>
        <w:t xml:space="preserve"> </w:t>
      </w:r>
      <w:r w:rsidR="00791356" w:rsidRPr="00B2674A">
        <w:rPr>
          <w:rFonts w:cs="Arial"/>
          <w:lang w:val="en-US"/>
        </w:rPr>
        <w:t xml:space="preserve">queries and </w:t>
      </w:r>
      <w:r w:rsidRPr="00B2674A">
        <w:rPr>
          <w:rFonts w:cs="Arial"/>
          <w:lang w:val="en-US"/>
        </w:rPr>
        <w:t xml:space="preserve">meet </w:t>
      </w:r>
      <w:r w:rsidR="00791356" w:rsidRPr="00B2674A">
        <w:rPr>
          <w:rFonts w:cs="Arial"/>
          <w:lang w:val="en-US"/>
        </w:rPr>
        <w:t xml:space="preserve">customer </w:t>
      </w:r>
      <w:r w:rsidRPr="00B2674A">
        <w:rPr>
          <w:rFonts w:cs="Arial"/>
          <w:lang w:val="en-US"/>
        </w:rPr>
        <w:t>needs.</w:t>
      </w:r>
      <w:r w:rsidR="00791356" w:rsidRPr="00B2674A">
        <w:rPr>
          <w:rFonts w:cs="Arial"/>
          <w:lang w:val="en-US"/>
        </w:rPr>
        <w:t xml:space="preserve"> The CSC handles an average of </w:t>
      </w:r>
      <w:r w:rsidR="00886D62" w:rsidRPr="00B2674A">
        <w:rPr>
          <w:rFonts w:cs="Arial"/>
          <w:lang w:val="en-US"/>
        </w:rPr>
        <w:t xml:space="preserve">3,089 </w:t>
      </w:r>
      <w:r w:rsidR="00791356" w:rsidRPr="00B2674A">
        <w:rPr>
          <w:rFonts w:cs="Arial"/>
          <w:lang w:val="en-US"/>
        </w:rPr>
        <w:t>interactions each month. Of these, an average of 96 per cent are resolved within three</w:t>
      </w:r>
      <w:r w:rsidR="00B92973" w:rsidRPr="00B2674A">
        <w:rPr>
          <w:rFonts w:cs="Arial"/>
          <w:lang w:val="en-US"/>
        </w:rPr>
        <w:t xml:space="preserve"> working days.</w:t>
      </w:r>
    </w:p>
    <w:p w14:paraId="132B71ED" w14:textId="77777777" w:rsidR="0025254F" w:rsidRPr="00B2674A" w:rsidRDefault="00EC60CD" w:rsidP="0025254F">
      <w:pPr>
        <w:keepNext/>
        <w:rPr>
          <w:rFonts w:cs="Arial"/>
          <w:lang w:val="en-US"/>
        </w:rPr>
      </w:pPr>
      <w:r w:rsidRPr="00B2674A">
        <w:rPr>
          <w:rFonts w:cs="Arial"/>
          <w:lang w:val="en-US"/>
        </w:rPr>
        <w:t>During 2014–15, the CSC began expanding its operations to provide services to customers on behalf of the Content, Consumer and Citizen Division. When the expansion is complete, the CSC will handle customer enquiries about network safeguards, consumer interests, broadcasting and spam</w:t>
      </w:r>
      <w:r w:rsidR="0025254F" w:rsidRPr="00B2674A">
        <w:rPr>
          <w:rFonts w:cs="Arial"/>
          <w:lang w:val="en-US"/>
        </w:rPr>
        <w:t>.</w:t>
      </w:r>
    </w:p>
    <w:p w14:paraId="04BE41BB" w14:textId="77777777" w:rsidR="00852976" w:rsidRPr="00B2674A" w:rsidRDefault="00852976" w:rsidP="00852976">
      <w:pPr>
        <w:pStyle w:val="Heading3"/>
      </w:pPr>
      <w:bookmarkStart w:id="498" w:name="_Toc433703471"/>
      <w:r w:rsidRPr="00B2674A">
        <w:t>External stakeholder engagement</w:t>
      </w:r>
      <w:bookmarkEnd w:id="498"/>
    </w:p>
    <w:p w14:paraId="11EC51FE" w14:textId="77777777" w:rsidR="001E6F78" w:rsidRPr="00B2674A" w:rsidRDefault="001E6F78" w:rsidP="001E6F78">
      <w:pPr>
        <w:pStyle w:val="ListBullet"/>
        <w:numPr>
          <w:ilvl w:val="0"/>
          <w:numId w:val="0"/>
        </w:numPr>
        <w:spacing w:after="240"/>
        <w:rPr>
          <w:rFonts w:cs="Arial"/>
          <w:lang w:val="en-US"/>
        </w:rPr>
      </w:pPr>
      <w:bookmarkStart w:id="499" w:name="_Toc264884829"/>
      <w:bookmarkStart w:id="500" w:name="_Toc297623596"/>
      <w:bookmarkStart w:id="501" w:name="_Toc337727668"/>
      <w:bookmarkStart w:id="502" w:name="_Toc400018640"/>
      <w:r w:rsidRPr="00B2674A">
        <w:rPr>
          <w:rFonts w:cs="Arial"/>
          <w:lang w:val="en-US"/>
        </w:rPr>
        <w:t xml:space="preserve">To help industry and consumers engage positively, confidently and securely in the developing information economy and evolving </w:t>
      </w:r>
      <w:r w:rsidR="00A9683B" w:rsidRPr="00B2674A">
        <w:rPr>
          <w:rFonts w:cs="Arial"/>
          <w:lang w:val="en-US"/>
        </w:rPr>
        <w:t>connected</w:t>
      </w:r>
      <w:r w:rsidRPr="00B2674A">
        <w:rPr>
          <w:rFonts w:cs="Arial"/>
          <w:lang w:val="en-US"/>
        </w:rPr>
        <w:t xml:space="preserve"> society, the ACMA employs a range of communications and engagement activities relevant to stakeholder needs.</w:t>
      </w:r>
    </w:p>
    <w:p w14:paraId="32123373" w14:textId="77777777" w:rsidR="001E6F78" w:rsidRPr="00B2674A" w:rsidRDefault="001E6F78" w:rsidP="001E6F78">
      <w:pPr>
        <w:pStyle w:val="ListBullet"/>
        <w:numPr>
          <w:ilvl w:val="0"/>
          <w:numId w:val="0"/>
        </w:numPr>
        <w:spacing w:after="240"/>
        <w:rPr>
          <w:rFonts w:cs="Arial"/>
        </w:rPr>
      </w:pPr>
      <w:r w:rsidRPr="00B2674A">
        <w:rPr>
          <w:rFonts w:cs="Arial"/>
        </w:rPr>
        <w:t>The ACMA’s approach to media and communications continues to evolve as the agency embraces the opportunities afforded by changing technologies and more creative approaches to stakeholder management.</w:t>
      </w:r>
    </w:p>
    <w:p w14:paraId="7F4C82C3" w14:textId="77777777" w:rsidR="001E6F78" w:rsidRPr="00B2674A" w:rsidRDefault="001E6F78" w:rsidP="001E6F78">
      <w:pPr>
        <w:spacing w:after="80"/>
      </w:pPr>
      <w:r w:rsidRPr="00B2674A">
        <w:t>During the reporting period, major communications channels and activities included:</w:t>
      </w:r>
    </w:p>
    <w:p w14:paraId="354177B0" w14:textId="77777777" w:rsidR="001E6F78" w:rsidRPr="00B2674A" w:rsidRDefault="001E6F78" w:rsidP="001E6F78">
      <w:pPr>
        <w:pStyle w:val="ListBullet"/>
      </w:pPr>
      <w:r w:rsidRPr="00B2674A">
        <w:rPr>
          <w:b/>
        </w:rPr>
        <w:t>The ACMA website</w:t>
      </w:r>
      <w:r w:rsidRPr="00B2674A">
        <w:t>—significant usability and accessibility work was done to improve the user experience, along with the creation of several consumer information ‘hubs’ on current hot topics and regular dedicated blogs on timely issues.</w:t>
      </w:r>
    </w:p>
    <w:p w14:paraId="2B9976BA" w14:textId="77777777" w:rsidR="001E6F78" w:rsidRPr="00B2674A" w:rsidRDefault="001E6F78" w:rsidP="001E6F78">
      <w:pPr>
        <w:pStyle w:val="ListBullet"/>
      </w:pPr>
      <w:r w:rsidRPr="00B2674A">
        <w:rPr>
          <w:b/>
        </w:rPr>
        <w:t>Rich media content including infographics and videos</w:t>
      </w:r>
      <w:r w:rsidRPr="00B2674A">
        <w:t>—rich media continued to be an effective way to expand the reach of ACMA research and consumer information. Dozens of infographics were published, on topics ranging from SMEs and new technologies to the take</w:t>
      </w:r>
      <w:r w:rsidRPr="00B2674A">
        <w:noBreakHyphen/>
        <w:t xml:space="preserve">up and use of tablets. A </w:t>
      </w:r>
      <w:r w:rsidRPr="00B2674A">
        <w:rPr>
          <w:lang w:val="en-US"/>
        </w:rPr>
        <w:t>Triple Zero infographic was particularly successful and was seen by more than 376,000 unique Facebook users. Videos highlighting research, the AISI portal and other consumer topics also proved popular.</w:t>
      </w:r>
    </w:p>
    <w:p w14:paraId="396C849A" w14:textId="77777777" w:rsidR="001E6F78" w:rsidRPr="00B2674A" w:rsidRDefault="001E6F78" w:rsidP="001E6F78">
      <w:pPr>
        <w:pStyle w:val="ListBullet"/>
        <w:rPr>
          <w:strike/>
        </w:rPr>
      </w:pPr>
      <w:r w:rsidRPr="00B2674A">
        <w:rPr>
          <w:b/>
        </w:rPr>
        <w:t>Social media</w:t>
      </w:r>
      <w:r w:rsidRPr="00B2674A">
        <w:t>—continued to play a crucial role in engaging industry and consumer stakeholders. In particular, the ACMA’s Facebook and Twitter communities drove traffic to the ACMA website, growing their online communities without the help of advertising. Triple Zero, scam, spam and Do Not Call Register alerts were a highlight on the ACMA’s social media channels, with each post reaching over 300,000 Facebook users.</w:t>
      </w:r>
    </w:p>
    <w:p w14:paraId="1327E948" w14:textId="77777777" w:rsidR="001E6F78" w:rsidRPr="00B2674A" w:rsidRDefault="001E6F78" w:rsidP="001E6F78">
      <w:pPr>
        <w:pStyle w:val="ListBullet"/>
      </w:pPr>
      <w:r w:rsidRPr="00B2674A">
        <w:rPr>
          <w:b/>
        </w:rPr>
        <w:t>Targeted e-bulletins and alerts</w:t>
      </w:r>
      <w:r w:rsidRPr="00B2674A">
        <w:t xml:space="preserve">—the ACMA’s email outreach portfolio continued to grow, with total subscribers exceeding 15,000. Adding to the existing suite of 13 tailored products, new digital offerings included the </w:t>
      </w:r>
      <w:r w:rsidRPr="00B2674A">
        <w:rPr>
          <w:i/>
        </w:rPr>
        <w:t>research</w:t>
      </w:r>
      <w:r w:rsidRPr="00B2674A">
        <w:rPr>
          <w:b/>
          <w:i/>
        </w:rPr>
        <w:t>acma</w:t>
      </w:r>
      <w:r w:rsidRPr="00B2674A">
        <w:rPr>
          <w:i/>
        </w:rPr>
        <w:t xml:space="preserve"> alert</w:t>
      </w:r>
      <w:r w:rsidRPr="00B2674A">
        <w:t xml:space="preserve"> and </w:t>
      </w:r>
      <w:r w:rsidRPr="00B2674A">
        <w:rPr>
          <w:i/>
        </w:rPr>
        <w:t>Cybersecurity news</w:t>
      </w:r>
      <w:r w:rsidRPr="00B2674A">
        <w:t>.</w:t>
      </w:r>
    </w:p>
    <w:p w14:paraId="7D2D20C1" w14:textId="77777777" w:rsidR="001E6F78" w:rsidRPr="00B2674A" w:rsidRDefault="001E6F78" w:rsidP="001E6F78">
      <w:pPr>
        <w:pStyle w:val="ListBullet"/>
      </w:pPr>
      <w:r w:rsidRPr="00B2674A">
        <w:rPr>
          <w:b/>
        </w:rPr>
        <w:t>Media engagement</w:t>
      </w:r>
      <w:r w:rsidRPr="00B2674A">
        <w:t>—mainstream media continued to be an essential information dissemination channel for the ACMA, with 82 media releases on high-profile issues published and regular journalist briefings held.</w:t>
      </w:r>
    </w:p>
    <w:p w14:paraId="474E95C2" w14:textId="77777777" w:rsidR="001E6F78" w:rsidRPr="00B2674A" w:rsidRDefault="001E6F78" w:rsidP="001E6F78">
      <w:pPr>
        <w:pStyle w:val="ListBulletLast"/>
        <w:rPr>
          <w:rStyle w:val="Emphasis"/>
          <w:i w:val="0"/>
          <w:iCs w:val="0"/>
        </w:rPr>
      </w:pPr>
      <w:r w:rsidRPr="00B2674A">
        <w:rPr>
          <w:b/>
        </w:rPr>
        <w:t>Events and tune-ups</w:t>
      </w:r>
      <w:r w:rsidRPr="00B2674A">
        <w:t xml:space="preserve">—direct engagement with industry was a regular initiative. As well as our annual flagship event, </w:t>
      </w:r>
      <w:r w:rsidRPr="00B2674A">
        <w:rPr>
          <w:i/>
        </w:rPr>
        <w:t>RadComms</w:t>
      </w:r>
      <w:r w:rsidRPr="00B2674A">
        <w:t>, the ACMA hosted the regional CCEMO forum, the Asia–Pacific Regulators’ Roundtable and several industry tune</w:t>
      </w:r>
      <w:r w:rsidRPr="00B2674A">
        <w:noBreakHyphen/>
        <w:t>ups on areas including the 400 MHz transition and Project HELM.</w:t>
      </w:r>
    </w:p>
    <w:p w14:paraId="2CD400E1" w14:textId="77777777" w:rsidR="00852976" w:rsidRPr="00B2674A" w:rsidRDefault="00852976" w:rsidP="00852976">
      <w:pPr>
        <w:pStyle w:val="Heading3"/>
      </w:pPr>
      <w:bookmarkStart w:id="503" w:name="_Toc433703472"/>
      <w:r w:rsidRPr="00B2674A">
        <w:t>International agenda and engagement</w:t>
      </w:r>
      <w:bookmarkEnd w:id="503"/>
    </w:p>
    <w:p w14:paraId="5C328390" w14:textId="77777777" w:rsidR="00852976" w:rsidRPr="00B2674A" w:rsidRDefault="00852976" w:rsidP="00852976">
      <w:r w:rsidRPr="00B2674A">
        <w:t xml:space="preserve">The ACMA’s overriding purpose is to make communications and media work in the public interest, and its international engagement is central to achieving this. The role of international engagement in both protecting and promoting Australia’s communications and media interests is reflected in the legislation the ACMA administers—particularly for spectrum management, telecommunications and radiocommunications standards-setting, unsolicited communications and cybersecurity, and online content. </w:t>
      </w:r>
    </w:p>
    <w:p w14:paraId="18EE24A0" w14:textId="77777777" w:rsidR="00852976" w:rsidRPr="00B2674A" w:rsidRDefault="00852976" w:rsidP="00852976">
      <w:r w:rsidRPr="00B2674A">
        <w:t xml:space="preserve">The ACMA advances its international agenda through facilitating collaboration, coordinating various viewpoints and representing Australia’s positions in international fora. </w:t>
      </w:r>
    </w:p>
    <w:p w14:paraId="02FFC487" w14:textId="77777777" w:rsidR="00852976" w:rsidRPr="00B2674A" w:rsidRDefault="00852976" w:rsidP="00852976">
      <w:r w:rsidRPr="00B2674A">
        <w:rPr>
          <w:rFonts w:cs="Arial"/>
        </w:rPr>
        <w:t>On 21</w:t>
      </w:r>
      <w:r w:rsidR="006D3E21" w:rsidRPr="00B2674A">
        <w:rPr>
          <w:rFonts w:cs="Arial"/>
        </w:rPr>
        <w:t>–</w:t>
      </w:r>
      <w:r w:rsidRPr="00B2674A">
        <w:rPr>
          <w:rFonts w:cs="Arial"/>
        </w:rPr>
        <w:t>22 July</w:t>
      </w:r>
      <w:r w:rsidR="006D3E21" w:rsidRPr="00B2674A">
        <w:rPr>
          <w:rFonts w:cs="Arial"/>
        </w:rPr>
        <w:t xml:space="preserve"> 2014, the ACMA hosted the Asia–</w:t>
      </w:r>
      <w:r w:rsidRPr="00B2674A">
        <w:rPr>
          <w:rFonts w:cs="Arial"/>
        </w:rPr>
        <w:t>Pacific Regulators’ Roundtable in Sydney</w:t>
      </w:r>
      <w:r w:rsidR="006D3E21" w:rsidRPr="00B2674A">
        <w:rPr>
          <w:rFonts w:cs="Arial"/>
        </w:rPr>
        <w:t>,</w:t>
      </w:r>
      <w:r w:rsidRPr="00B2674A">
        <w:rPr>
          <w:rFonts w:cs="Arial"/>
        </w:rPr>
        <w:t xml:space="preserve"> with 55 participants representing 24 countries. </w:t>
      </w:r>
      <w:r w:rsidRPr="00B2674A">
        <w:t xml:space="preserve">This </w:t>
      </w:r>
      <w:r w:rsidR="006D3E21" w:rsidRPr="00B2674A">
        <w:t xml:space="preserve">was an </w:t>
      </w:r>
      <w:r w:rsidRPr="00B2674A">
        <w:t>opportunity for strategic discussions on emerging regulatory issues and challenges faced in the rapidly evolving and converging ICT sector.</w:t>
      </w:r>
    </w:p>
    <w:p w14:paraId="29231D93" w14:textId="77777777" w:rsidR="00852976" w:rsidRPr="00B2674A" w:rsidRDefault="00852976" w:rsidP="00852976">
      <w:r w:rsidRPr="00B2674A">
        <w:t>Follo</w:t>
      </w:r>
      <w:r w:rsidR="006D3E21" w:rsidRPr="00B2674A">
        <w:t>wing the roundtable was a three-</w:t>
      </w:r>
      <w:r w:rsidRPr="00B2674A">
        <w:t>day ITU/ACMA International Trai</w:t>
      </w:r>
      <w:r w:rsidR="006D3E21" w:rsidRPr="00B2674A">
        <w:t>ning Program. A</w:t>
      </w:r>
      <w:r w:rsidR="006D3E21" w:rsidRPr="00B2674A">
        <w:rPr>
          <w:rFonts w:cs="Arial"/>
          <w:bCs/>
        </w:rPr>
        <w:t>ttended by 56 participants from 26 countries, t</w:t>
      </w:r>
      <w:r w:rsidR="006D3E21" w:rsidRPr="00B2674A">
        <w:t>he ITP 2014 focu</w:t>
      </w:r>
      <w:r w:rsidRPr="00B2674A">
        <w:t xml:space="preserve">sed on building skills to address the policy and regulatory issues </w:t>
      </w:r>
      <w:r w:rsidR="006D3E21" w:rsidRPr="00B2674A">
        <w:t xml:space="preserve">of telecommunications, information technology and broadcasting </w:t>
      </w:r>
      <w:r w:rsidRPr="00B2674A">
        <w:t>in the era beyond convergence.</w:t>
      </w:r>
      <w:r w:rsidR="006D3E21" w:rsidRPr="00B2674A">
        <w:t xml:space="preserve"> </w:t>
      </w:r>
    </w:p>
    <w:p w14:paraId="43326287" w14:textId="77777777" w:rsidR="00852976" w:rsidRPr="00B2674A" w:rsidRDefault="00852976" w:rsidP="00852976">
      <w:pPr>
        <w:rPr>
          <w:rFonts w:cs="Arial"/>
          <w:lang w:val="en-US"/>
        </w:rPr>
      </w:pPr>
      <w:r w:rsidRPr="00B2674A">
        <w:rPr>
          <w:rFonts w:cs="Arial"/>
        </w:rPr>
        <w:t xml:space="preserve">The ACMA also hosted a number of visitors from overseas communications and regulatory agencies. These visits facilitate collaboration and information exchange on international communications policy and regulation issues. This included delegations from </w:t>
      </w:r>
      <w:r w:rsidR="006D3E21" w:rsidRPr="00B2674A">
        <w:rPr>
          <w:rFonts w:cs="Arial"/>
        </w:rPr>
        <w:t xml:space="preserve">the </w:t>
      </w:r>
      <w:r w:rsidRPr="00B2674A">
        <w:rPr>
          <w:rFonts w:cs="Arial"/>
        </w:rPr>
        <w:t>People’s Republic of China, Bhutan, Indonesia, Japan, the Republic of Korea, Kenya, Singapore, Thailand and the USA.</w:t>
      </w:r>
    </w:p>
    <w:p w14:paraId="7EFAA284" w14:textId="77777777" w:rsidR="00D857E9" w:rsidRPr="00B2674A" w:rsidRDefault="00D857E9" w:rsidP="00D857E9">
      <w:pPr>
        <w:pStyle w:val="Heading2"/>
      </w:pPr>
      <w:bookmarkStart w:id="504" w:name="_Toc433703473"/>
      <w:r w:rsidRPr="00B2674A">
        <w:t>Financial management</w:t>
      </w:r>
      <w:bookmarkEnd w:id="499"/>
      <w:bookmarkEnd w:id="500"/>
      <w:bookmarkEnd w:id="501"/>
      <w:bookmarkEnd w:id="502"/>
      <w:bookmarkEnd w:id="504"/>
    </w:p>
    <w:p w14:paraId="70399B1C" w14:textId="77777777" w:rsidR="00D857E9" w:rsidRPr="00B2674A" w:rsidRDefault="00D857E9" w:rsidP="00D857E9">
      <w:pPr>
        <w:keepNext/>
        <w:rPr>
          <w:rFonts w:cs="Arial"/>
          <w:szCs w:val="20"/>
        </w:rPr>
      </w:pPr>
      <w:r w:rsidRPr="00B2674A">
        <w:rPr>
          <w:rFonts w:cs="Arial"/>
          <w:szCs w:val="20"/>
        </w:rPr>
        <w:t>The ACMA continues to enhance its fi</w:t>
      </w:r>
      <w:r w:rsidR="006D3E21" w:rsidRPr="00B2674A">
        <w:rPr>
          <w:rFonts w:cs="Arial"/>
          <w:szCs w:val="20"/>
        </w:rPr>
        <w:t>nancial management. During 2014–</w:t>
      </w:r>
      <w:r w:rsidRPr="00B2674A">
        <w:rPr>
          <w:rFonts w:cs="Arial"/>
          <w:szCs w:val="20"/>
        </w:rPr>
        <w:t>15, further adjustments to reporting frameworks improved access to, and provision of, quality financial information for internal and external stakeholders. The ACMA continues to review key areas within the financial management remit so that all ACMA processes align with legislative changes and best practice.</w:t>
      </w:r>
    </w:p>
    <w:p w14:paraId="6D00766F" w14:textId="1F6EDC9A" w:rsidR="00D857E9" w:rsidRPr="00B2674A" w:rsidRDefault="00D857E9" w:rsidP="00D857E9">
      <w:pPr>
        <w:rPr>
          <w:rFonts w:cs="Arial"/>
          <w:szCs w:val="20"/>
        </w:rPr>
      </w:pPr>
      <w:r w:rsidRPr="00F10B23">
        <w:rPr>
          <w:rFonts w:cs="Arial"/>
          <w:szCs w:val="20"/>
        </w:rPr>
        <w:t xml:space="preserve">The ACMA met all of its statutory budgeting and reporting requirements and deadlines as set down by the Department of Finance and the </w:t>
      </w:r>
      <w:r w:rsidR="006D3E21" w:rsidRPr="00F10B23">
        <w:rPr>
          <w:rFonts w:cs="Arial"/>
          <w:szCs w:val="20"/>
        </w:rPr>
        <w:t>ANAO</w:t>
      </w:r>
      <w:r w:rsidRPr="00F10B23">
        <w:rPr>
          <w:rFonts w:cs="Arial"/>
          <w:szCs w:val="20"/>
        </w:rPr>
        <w:t>.</w:t>
      </w:r>
      <w:r w:rsidRPr="00B2674A">
        <w:rPr>
          <w:rFonts w:cs="Arial"/>
          <w:szCs w:val="20"/>
        </w:rPr>
        <w:t xml:space="preserve"> </w:t>
      </w:r>
    </w:p>
    <w:p w14:paraId="45CC6481" w14:textId="77777777" w:rsidR="00D857E9" w:rsidRPr="00B2674A" w:rsidRDefault="00D857E9" w:rsidP="00D857E9">
      <w:pPr>
        <w:spacing w:after="80"/>
        <w:rPr>
          <w:rFonts w:cs="Arial"/>
          <w:szCs w:val="20"/>
        </w:rPr>
      </w:pPr>
      <w:r w:rsidRPr="00B2674A">
        <w:rPr>
          <w:rFonts w:cs="Arial"/>
          <w:szCs w:val="20"/>
        </w:rPr>
        <w:t>Key achievements during the year included:</w:t>
      </w:r>
    </w:p>
    <w:p w14:paraId="4D387D28" w14:textId="77777777" w:rsidR="00D857E9" w:rsidRPr="00B2674A" w:rsidRDefault="00D857E9" w:rsidP="00D857E9">
      <w:pPr>
        <w:pStyle w:val="ListBullet"/>
        <w:ind w:left="284"/>
        <w:rPr>
          <w:rFonts w:cs="Arial"/>
          <w:szCs w:val="20"/>
        </w:rPr>
      </w:pPr>
      <w:r w:rsidRPr="00B2674A">
        <w:rPr>
          <w:rFonts w:cs="Arial"/>
          <w:szCs w:val="20"/>
        </w:rPr>
        <w:t>further enhancing the forward-year budget allocation process</w:t>
      </w:r>
    </w:p>
    <w:p w14:paraId="0B264EA3" w14:textId="77777777" w:rsidR="00D857E9" w:rsidRPr="00B2674A" w:rsidRDefault="00D857E9" w:rsidP="0017212E">
      <w:pPr>
        <w:pStyle w:val="ListBulletLast"/>
      </w:pPr>
      <w:r w:rsidRPr="00B2674A">
        <w:t>improving accessibility to the Financial Management Information System.</w:t>
      </w:r>
    </w:p>
    <w:p w14:paraId="57A3744B" w14:textId="77777777" w:rsidR="00D857E9" w:rsidRPr="00B2674A" w:rsidRDefault="00D857E9" w:rsidP="00D857E9">
      <w:pPr>
        <w:rPr>
          <w:rStyle w:val="ACMHighlightMissingText"/>
          <w:rFonts w:cs="Arial"/>
          <w:color w:val="auto"/>
        </w:rPr>
      </w:pPr>
      <w:r w:rsidRPr="00B2674A">
        <w:rPr>
          <w:rStyle w:val="ACMHighlightMissingText"/>
          <w:rFonts w:cs="Arial"/>
          <w:color w:val="auto"/>
        </w:rPr>
        <w:t>The ACMA achieved an operating surplus in 2014</w:t>
      </w:r>
      <w:r w:rsidR="006D3E21" w:rsidRPr="00B2674A">
        <w:rPr>
          <w:rStyle w:val="ACMHighlightMissingText"/>
          <w:rFonts w:cs="Arial"/>
          <w:color w:val="auto"/>
        </w:rPr>
        <w:t>–</w:t>
      </w:r>
      <w:r w:rsidRPr="00B2674A">
        <w:rPr>
          <w:rStyle w:val="ACMHighlightMissingText"/>
          <w:rFonts w:cs="Arial"/>
          <w:color w:val="auto"/>
        </w:rPr>
        <w:t xml:space="preserve">15 as a result of supplier and employment cost savings, and other revenue increases. </w:t>
      </w:r>
    </w:p>
    <w:p w14:paraId="34B13A1D" w14:textId="0B650DE7" w:rsidR="00D857E9" w:rsidRPr="00B2674A" w:rsidRDefault="00D857E9" w:rsidP="00D857E9">
      <w:pPr>
        <w:rPr>
          <w:rFonts w:cs="Arial"/>
        </w:rPr>
      </w:pPr>
      <w:r w:rsidRPr="00B2674A">
        <w:rPr>
          <w:rFonts w:cs="Arial"/>
        </w:rPr>
        <w:t>The ACMA’</w:t>
      </w:r>
      <w:r w:rsidR="006D3E21" w:rsidRPr="00B2674A">
        <w:rPr>
          <w:rFonts w:cs="Arial"/>
        </w:rPr>
        <w:t>s financial statements for 2014–</w:t>
      </w:r>
      <w:r w:rsidRPr="00B2674A">
        <w:rPr>
          <w:rFonts w:cs="Arial"/>
        </w:rPr>
        <w:t>15 were prepared in accordance with section 42 of the PGPA</w:t>
      </w:r>
      <w:r w:rsidR="00F10B23">
        <w:rPr>
          <w:rFonts w:cs="Arial"/>
        </w:rPr>
        <w:t xml:space="preserve"> Act</w:t>
      </w:r>
      <w:r w:rsidRPr="00B2674A">
        <w:rPr>
          <w:rFonts w:cs="Arial"/>
        </w:rPr>
        <w:t xml:space="preserve">. </w:t>
      </w:r>
      <w:r w:rsidRPr="00B2674A">
        <w:rPr>
          <w:rStyle w:val="ACMHighlightMissingText"/>
          <w:rFonts w:cs="Arial"/>
          <w:color w:val="auto"/>
        </w:rPr>
        <w:t xml:space="preserve">The ANAO issued an unmodified audit opinion on the statements and notes (see Appendix </w:t>
      </w:r>
      <w:r w:rsidR="004E733F" w:rsidRPr="00B2674A">
        <w:rPr>
          <w:rStyle w:val="ACMHighlightMissingText"/>
          <w:rFonts w:cs="Arial"/>
          <w:color w:val="auto"/>
        </w:rPr>
        <w:t>19</w:t>
      </w:r>
      <w:r w:rsidRPr="00B2674A">
        <w:rPr>
          <w:rStyle w:val="ACMHighlightMissingText"/>
          <w:rFonts w:cs="Arial"/>
          <w:color w:val="auto"/>
        </w:rPr>
        <w:t>)</w:t>
      </w:r>
      <w:r w:rsidRPr="00B2674A">
        <w:rPr>
          <w:rFonts w:cs="Arial"/>
        </w:rPr>
        <w:t>.</w:t>
      </w:r>
    </w:p>
    <w:p w14:paraId="0E0F2E59" w14:textId="77777777" w:rsidR="00D857E9" w:rsidRPr="00B2674A" w:rsidRDefault="00D857E9" w:rsidP="00D857E9">
      <w:pPr>
        <w:pStyle w:val="Heading3"/>
      </w:pPr>
      <w:bookmarkStart w:id="505" w:name="_Toc297623597"/>
      <w:bookmarkStart w:id="506" w:name="_Toc337727669"/>
      <w:bookmarkStart w:id="507" w:name="_Toc400018641"/>
      <w:bookmarkStart w:id="508" w:name="_Toc433703474"/>
      <w:r w:rsidRPr="00B2674A">
        <w:t>Procurement and contract management</w:t>
      </w:r>
      <w:bookmarkEnd w:id="505"/>
      <w:bookmarkEnd w:id="506"/>
      <w:bookmarkEnd w:id="507"/>
      <w:bookmarkEnd w:id="508"/>
    </w:p>
    <w:p w14:paraId="7771CE91" w14:textId="77777777" w:rsidR="00D857E9" w:rsidRPr="00B2674A" w:rsidRDefault="00D857E9" w:rsidP="00D857E9">
      <w:pPr>
        <w:rPr>
          <w:rFonts w:cs="Arial"/>
          <w:szCs w:val="20"/>
        </w:rPr>
      </w:pPr>
      <w:r w:rsidRPr="00B2674A">
        <w:rPr>
          <w:rFonts w:cs="Arial"/>
          <w:szCs w:val="20"/>
        </w:rPr>
        <w:t xml:space="preserve">During 2014–15, the ACMA continued to strengthen its procurement and contract management capabilities, putting appropriate controls in place to comply with the </w:t>
      </w:r>
      <w:r w:rsidRPr="00B2674A">
        <w:rPr>
          <w:rFonts w:cs="Arial"/>
          <w:iCs/>
          <w:szCs w:val="20"/>
        </w:rPr>
        <w:t>PGPA Act</w:t>
      </w:r>
      <w:r w:rsidRPr="00B2674A">
        <w:rPr>
          <w:rFonts w:cs="Arial"/>
          <w:szCs w:val="20"/>
        </w:rPr>
        <w:t xml:space="preserve"> and the </w:t>
      </w:r>
      <w:r w:rsidRPr="00B2674A">
        <w:rPr>
          <w:rFonts w:cs="Arial"/>
          <w:i/>
          <w:iCs/>
          <w:szCs w:val="20"/>
        </w:rPr>
        <w:t>Commonwealth Procurement Rules</w:t>
      </w:r>
      <w:r w:rsidRPr="00B2674A">
        <w:rPr>
          <w:rFonts w:cs="Arial"/>
          <w:szCs w:val="20"/>
        </w:rPr>
        <w:t>. The ACMA used a range of template documents to procure goods and services that, in alignment with internal policies, means it obtained value-for-money procurement.</w:t>
      </w:r>
    </w:p>
    <w:p w14:paraId="640E8064" w14:textId="77777777" w:rsidR="00D857E9" w:rsidRPr="00B2674A" w:rsidRDefault="00D857E9" w:rsidP="00D857E9">
      <w:pPr>
        <w:rPr>
          <w:rFonts w:cs="Arial"/>
          <w:szCs w:val="20"/>
        </w:rPr>
      </w:pPr>
      <w:r w:rsidRPr="00B2674A">
        <w:rPr>
          <w:rFonts w:cs="Arial"/>
          <w:szCs w:val="20"/>
        </w:rPr>
        <w:t>The ACMA implemented a contracts module in the financial management information system to better facilitate an automated procurement process.</w:t>
      </w:r>
    </w:p>
    <w:p w14:paraId="1B6075F0" w14:textId="77777777" w:rsidR="00BB4818" w:rsidRPr="00B2674A" w:rsidRDefault="00BB4818" w:rsidP="00BB4818">
      <w:pPr>
        <w:pStyle w:val="BodysubheaderH4"/>
      </w:pPr>
      <w:r w:rsidRPr="00B2674A">
        <w:t>Procurement initiatives to support small business</w:t>
      </w:r>
    </w:p>
    <w:p w14:paraId="5E994A75" w14:textId="61E680F0" w:rsidR="00BB4818" w:rsidRPr="006844AC" w:rsidRDefault="00BB4818" w:rsidP="00BB4818">
      <w:pPr>
        <w:rPr>
          <w:rStyle w:val="Hyperlink"/>
          <w:color w:val="auto"/>
        </w:rPr>
      </w:pPr>
      <w:r w:rsidRPr="00B2674A">
        <w:t xml:space="preserve">The ACMA supports small business participation in the Commonwealth Government procurement market. Small and medium enterprises (SME) and small enterprise participation statistics are available on the Department of Finance’s website at </w:t>
      </w:r>
      <w:hyperlink r:id="rId49" w:history="1">
        <w:r w:rsidR="00F10B23">
          <w:rPr>
            <w:rStyle w:val="Hyperlink"/>
            <w:iCs/>
            <w:szCs w:val="20"/>
          </w:rPr>
          <w:t>www.finance.gov.au/procurement/statistics-on-commonwealth-purchasing-contracts</w:t>
        </w:r>
      </w:hyperlink>
      <w:r w:rsidRPr="00B2674A">
        <w:t>.</w:t>
      </w:r>
    </w:p>
    <w:p w14:paraId="39CA5547" w14:textId="2FAC988C" w:rsidR="00BB4818" w:rsidRPr="00B2674A" w:rsidRDefault="00BB4818" w:rsidP="00BB4818">
      <w:pPr>
        <w:rPr>
          <w:rFonts w:cs="Arial"/>
          <w:szCs w:val="20"/>
          <w:u w:val="single"/>
        </w:rPr>
      </w:pPr>
      <w:r w:rsidRPr="00B2674A">
        <w:rPr>
          <w:rFonts w:cs="Arial"/>
          <w:iCs/>
          <w:szCs w:val="20"/>
        </w:rPr>
        <w:t xml:space="preserve">The ACMA recognises the importance of ensuring that small businesses are paid on </w:t>
      </w:r>
      <w:r w:rsidRPr="00B2674A">
        <w:rPr>
          <w:rFonts w:cs="Arial"/>
          <w:szCs w:val="20"/>
        </w:rPr>
        <w:t>time</w:t>
      </w:r>
      <w:r w:rsidRPr="00B2674A">
        <w:rPr>
          <w:rFonts w:cs="Arial"/>
          <w:iCs/>
          <w:szCs w:val="20"/>
        </w:rPr>
        <w:t xml:space="preserve">. The results of the Survey of Australian Government Payments to Small Business are available on the Treasury’s website at </w:t>
      </w:r>
      <w:hyperlink r:id="rId50" w:history="1">
        <w:r w:rsidR="00F10B23">
          <w:rPr>
            <w:rStyle w:val="Hyperlink"/>
            <w:iCs/>
            <w:szCs w:val="20"/>
          </w:rPr>
          <w:t>www.treasury.gov.au</w:t>
        </w:r>
      </w:hyperlink>
      <w:r w:rsidRPr="00B2674A">
        <w:t>.</w:t>
      </w:r>
    </w:p>
    <w:p w14:paraId="2236586A" w14:textId="77777777" w:rsidR="00BB4818" w:rsidRPr="00B2674A" w:rsidRDefault="00BB4818" w:rsidP="00BB4818">
      <w:pPr>
        <w:spacing w:after="80"/>
      </w:pPr>
      <w:r w:rsidRPr="00B2674A">
        <w:t xml:space="preserve">The ACMA’s procurement practices support SMEs, consistent with paragraph 5.4 of the </w:t>
      </w:r>
      <w:r w:rsidRPr="00B2674A">
        <w:rPr>
          <w:i/>
        </w:rPr>
        <w:t>Commonwealth Procurement Rules</w:t>
      </w:r>
      <w:r w:rsidRPr="00B2674A">
        <w:t>, by adopting initiatives or practices including:</w:t>
      </w:r>
    </w:p>
    <w:p w14:paraId="19EAA943" w14:textId="77777777" w:rsidR="00BB4818" w:rsidRPr="00B2674A" w:rsidRDefault="00BB4818" w:rsidP="00BB4818">
      <w:pPr>
        <w:pStyle w:val="ListBullet"/>
      </w:pPr>
      <w:r w:rsidRPr="00B2674A">
        <w:t>use of the Commonwealth Contracting Suite for low-risk procurements valued under $200,000</w:t>
      </w:r>
    </w:p>
    <w:p w14:paraId="5A6C1F25" w14:textId="77777777" w:rsidR="00BB4818" w:rsidRPr="00B2674A" w:rsidRDefault="00BB4818" w:rsidP="00BB4818">
      <w:pPr>
        <w:pStyle w:val="ListBullet"/>
      </w:pPr>
      <w:r w:rsidRPr="00B2674A">
        <w:t>Australian Industry Participation Plans in whole-of-government procurement where applicable</w:t>
      </w:r>
    </w:p>
    <w:p w14:paraId="00F3A3F0" w14:textId="77777777" w:rsidR="00BB4818" w:rsidRPr="00B2674A" w:rsidRDefault="00BB4818" w:rsidP="00BB4818">
      <w:pPr>
        <w:pStyle w:val="ListBullet"/>
      </w:pPr>
      <w:r w:rsidRPr="00B2674A">
        <w:t>the Small Business Engagement Principles (outlined in the government’s Industry Innovation and Competitiveness Agenda), such as communicating in clear, simple language and presenting information in an accessible format</w:t>
      </w:r>
    </w:p>
    <w:p w14:paraId="1DE4EB55" w14:textId="77777777" w:rsidR="00BB4818" w:rsidRPr="00B2674A" w:rsidRDefault="00BB4818" w:rsidP="00BB4818">
      <w:pPr>
        <w:pStyle w:val="ListBulletLast"/>
      </w:pPr>
      <w:r w:rsidRPr="00B2674A">
        <w:t>electronic systems or other processes used to facilitate on-time payment performance, including the use of payment cards.</w:t>
      </w:r>
    </w:p>
    <w:p w14:paraId="7224D7BF" w14:textId="77777777" w:rsidR="00D857E9" w:rsidRPr="00B2674A" w:rsidRDefault="00D857E9" w:rsidP="00D857E9">
      <w:pPr>
        <w:pStyle w:val="Heading3"/>
      </w:pPr>
      <w:bookmarkStart w:id="509" w:name="_Toc264884831"/>
      <w:bookmarkStart w:id="510" w:name="_Toc297623598"/>
      <w:bookmarkStart w:id="511" w:name="_Toc337727670"/>
      <w:bookmarkStart w:id="512" w:name="_Toc400018642"/>
      <w:bookmarkStart w:id="513" w:name="_Toc433703475"/>
      <w:r w:rsidRPr="00B2674A">
        <w:t>Grant programs</w:t>
      </w:r>
      <w:bookmarkEnd w:id="509"/>
      <w:bookmarkEnd w:id="510"/>
      <w:bookmarkEnd w:id="511"/>
      <w:bookmarkEnd w:id="512"/>
      <w:bookmarkEnd w:id="513"/>
    </w:p>
    <w:p w14:paraId="0A75A4C0" w14:textId="77777777" w:rsidR="00D857E9" w:rsidRPr="00B2674A" w:rsidRDefault="00D857E9" w:rsidP="00D857E9">
      <w:pPr>
        <w:rPr>
          <w:rFonts w:cs="Arial"/>
        </w:rPr>
      </w:pPr>
      <w:r w:rsidRPr="00B2674A">
        <w:rPr>
          <w:rFonts w:cs="Arial"/>
        </w:rPr>
        <w:t>The ACMA does not administer any grant programs.</w:t>
      </w:r>
    </w:p>
    <w:p w14:paraId="5E3E1A43" w14:textId="77777777" w:rsidR="00D857E9" w:rsidRPr="00B2674A" w:rsidRDefault="00D857E9" w:rsidP="00D857E9">
      <w:pPr>
        <w:pStyle w:val="Heading3"/>
      </w:pPr>
      <w:bookmarkStart w:id="514" w:name="_Toc264884832"/>
      <w:bookmarkStart w:id="515" w:name="_Toc297623599"/>
      <w:bookmarkStart w:id="516" w:name="_Toc337727671"/>
      <w:bookmarkStart w:id="517" w:name="_Toc400018643"/>
      <w:bookmarkStart w:id="518" w:name="_Toc433703476"/>
      <w:r w:rsidRPr="00B2674A">
        <w:t>Asset management</w:t>
      </w:r>
      <w:bookmarkEnd w:id="514"/>
      <w:bookmarkEnd w:id="515"/>
      <w:bookmarkEnd w:id="516"/>
      <w:bookmarkEnd w:id="517"/>
      <w:bookmarkEnd w:id="518"/>
    </w:p>
    <w:p w14:paraId="0F82653E" w14:textId="77777777" w:rsidR="00D857E9" w:rsidRPr="00B2674A" w:rsidRDefault="00D857E9" w:rsidP="00D857E9">
      <w:pPr>
        <w:rPr>
          <w:rFonts w:cs="Arial"/>
        </w:rPr>
      </w:pPr>
      <w:r w:rsidRPr="00B2674A">
        <w:rPr>
          <w:rFonts w:cs="Arial"/>
        </w:rPr>
        <w:t>The ACMA’s asset management procedures and policies reflect relevant legislation and best practice. Major asset categories include land, buildings, leasehold improvements, plant, equipment and intangibles such as software that is either developed in-house or purchased from third-party vendors. Assets are valued at fair value with their carrying values and useful lives being reviewed annually.</w:t>
      </w:r>
    </w:p>
    <w:p w14:paraId="1872BA64" w14:textId="77777777" w:rsidR="00D857E9" w:rsidRPr="00B2674A" w:rsidRDefault="006A1267" w:rsidP="00D857E9">
      <w:pPr>
        <w:rPr>
          <w:rFonts w:cs="Arial"/>
        </w:rPr>
      </w:pPr>
      <w:r w:rsidRPr="00B2674A">
        <w:rPr>
          <w:rFonts w:cs="Arial"/>
        </w:rPr>
        <w:t>At the end of 2014–</w:t>
      </w:r>
      <w:r w:rsidR="00D857E9" w:rsidRPr="00B2674A">
        <w:rPr>
          <w:rFonts w:cs="Arial"/>
        </w:rPr>
        <w:t>15, the ACMA had a total value of $</w:t>
      </w:r>
      <w:r w:rsidR="00886D62" w:rsidRPr="00B2674A">
        <w:rPr>
          <w:rFonts w:cs="Arial"/>
        </w:rPr>
        <w:t xml:space="preserve">55.92 million </w:t>
      </w:r>
      <w:r w:rsidR="00D857E9" w:rsidRPr="00B2674A">
        <w:rPr>
          <w:rFonts w:cs="Arial"/>
        </w:rPr>
        <w:t>in net assets. During the year, the capital management plan was further developed to help the ACMA with its capital planning requirements.</w:t>
      </w:r>
    </w:p>
    <w:p w14:paraId="04655105" w14:textId="77777777" w:rsidR="00D857E9" w:rsidRPr="00B2674A" w:rsidRDefault="00D857E9" w:rsidP="00D857E9">
      <w:pPr>
        <w:pStyle w:val="Heading2"/>
      </w:pPr>
      <w:bookmarkStart w:id="519" w:name="_Toc264884833"/>
      <w:bookmarkStart w:id="520" w:name="_Toc297623600"/>
      <w:bookmarkStart w:id="521" w:name="_Toc337727672"/>
      <w:bookmarkStart w:id="522" w:name="_Toc400018644"/>
      <w:bookmarkStart w:id="523" w:name="_Toc433703477"/>
      <w:r w:rsidRPr="00B2674A">
        <w:t>Property management</w:t>
      </w:r>
      <w:bookmarkEnd w:id="519"/>
      <w:bookmarkEnd w:id="520"/>
      <w:bookmarkEnd w:id="521"/>
      <w:bookmarkEnd w:id="522"/>
      <w:bookmarkEnd w:id="523"/>
    </w:p>
    <w:p w14:paraId="3DE1D341" w14:textId="77777777" w:rsidR="00D857E9" w:rsidRPr="00B2674A" w:rsidRDefault="00D857E9" w:rsidP="00B92973">
      <w:pPr>
        <w:keepLines/>
        <w:rPr>
          <w:rFonts w:cs="Arial"/>
          <w:szCs w:val="20"/>
        </w:rPr>
      </w:pPr>
      <w:r w:rsidRPr="00B2674A">
        <w:rPr>
          <w:rFonts w:cs="Arial"/>
          <w:szCs w:val="20"/>
        </w:rPr>
        <w:t xml:space="preserve">The ACMA property portfolio includes leased, licensed and Commonwealth-owned premises, ranging from office accommodation in the major capital cities to small radio monitoring sites at remote locations. The ACMA continues to review its office accommodation in accordance with the </w:t>
      </w:r>
      <w:r w:rsidRPr="00B2674A">
        <w:rPr>
          <w:rFonts w:cs="Arial"/>
          <w:i/>
          <w:szCs w:val="20"/>
        </w:rPr>
        <w:t>Commonwealth Property Management Guidelines</w:t>
      </w:r>
      <w:r w:rsidRPr="00B2674A">
        <w:rPr>
          <w:rFonts w:cs="Arial"/>
          <w:szCs w:val="20"/>
        </w:rPr>
        <w:t xml:space="preserve"> and operational requirements.</w:t>
      </w:r>
    </w:p>
    <w:p w14:paraId="1B72456C" w14:textId="77777777" w:rsidR="00D857E9" w:rsidRPr="00B2674A" w:rsidRDefault="00D857E9" w:rsidP="00D857E9">
      <w:pPr>
        <w:pStyle w:val="Heading3"/>
      </w:pPr>
      <w:bookmarkStart w:id="524" w:name="_Toc264884834"/>
      <w:bookmarkStart w:id="525" w:name="_Toc295919863"/>
      <w:bookmarkStart w:id="526" w:name="_Toc337727673"/>
      <w:bookmarkStart w:id="527" w:name="_Toc400018645"/>
      <w:bookmarkStart w:id="528" w:name="_Toc433703478"/>
      <w:r w:rsidRPr="00B2674A">
        <w:t>Ecologically sustainable development and environmental performance</w:t>
      </w:r>
      <w:bookmarkEnd w:id="524"/>
      <w:bookmarkEnd w:id="525"/>
      <w:bookmarkEnd w:id="526"/>
      <w:bookmarkEnd w:id="527"/>
      <w:bookmarkEnd w:id="528"/>
    </w:p>
    <w:p w14:paraId="09DE0DCA" w14:textId="77777777" w:rsidR="00D857E9" w:rsidRPr="00B2674A" w:rsidRDefault="00D857E9" w:rsidP="00D857E9">
      <w:pPr>
        <w:spacing w:after="80"/>
        <w:rPr>
          <w:rFonts w:cs="Arial"/>
          <w:szCs w:val="20"/>
        </w:rPr>
      </w:pPr>
      <w:r w:rsidRPr="00B2674A">
        <w:rPr>
          <w:rFonts w:cs="Arial"/>
          <w:szCs w:val="20"/>
        </w:rPr>
        <w:t xml:space="preserve">The ACMA has an ongoing commitment to reduce the organisation’s impact on the environment </w:t>
      </w:r>
      <w:r w:rsidR="006A1267" w:rsidRPr="00B2674A">
        <w:rPr>
          <w:rFonts w:cs="Arial"/>
          <w:szCs w:val="20"/>
        </w:rPr>
        <w:t>via</w:t>
      </w:r>
      <w:r w:rsidRPr="00B2674A">
        <w:rPr>
          <w:rFonts w:cs="Arial"/>
          <w:szCs w:val="20"/>
        </w:rPr>
        <w:t xml:space="preserve"> various measures, including procuring green power and reducing energy consumption through energy-efficient office fit-outs. Further measures include, but are not limited to:</w:t>
      </w:r>
    </w:p>
    <w:p w14:paraId="26C3B1C9" w14:textId="77777777" w:rsidR="00D857E9" w:rsidRPr="00B2674A" w:rsidRDefault="00D857E9" w:rsidP="00D857E9">
      <w:pPr>
        <w:pStyle w:val="ListBullet"/>
        <w:ind w:left="284"/>
        <w:rPr>
          <w:rFonts w:cs="Arial"/>
          <w:szCs w:val="20"/>
        </w:rPr>
      </w:pPr>
      <w:r w:rsidRPr="00B2674A">
        <w:rPr>
          <w:rFonts w:cs="Arial"/>
          <w:szCs w:val="20"/>
        </w:rPr>
        <w:t>extensively using videoconferencing facilities to reduce air travel</w:t>
      </w:r>
    </w:p>
    <w:p w14:paraId="3C8836B9" w14:textId="77777777" w:rsidR="00D857E9" w:rsidRPr="00B2674A" w:rsidRDefault="00D857E9" w:rsidP="00D857E9">
      <w:pPr>
        <w:pStyle w:val="ListBullet"/>
        <w:ind w:left="284"/>
        <w:rPr>
          <w:rFonts w:cs="Arial"/>
          <w:szCs w:val="20"/>
        </w:rPr>
      </w:pPr>
      <w:r w:rsidRPr="00B2674A">
        <w:rPr>
          <w:rFonts w:cs="Arial"/>
          <w:szCs w:val="20"/>
        </w:rPr>
        <w:t>implementing forced ‘out-of-hours’ computer terminal shutdown</w:t>
      </w:r>
    </w:p>
    <w:p w14:paraId="50A834B8" w14:textId="77777777" w:rsidR="00D857E9" w:rsidRPr="00B2674A" w:rsidRDefault="00D857E9" w:rsidP="00D857E9">
      <w:pPr>
        <w:pStyle w:val="ListBullet"/>
        <w:ind w:left="284"/>
        <w:rPr>
          <w:rFonts w:cs="Arial"/>
          <w:szCs w:val="20"/>
        </w:rPr>
      </w:pPr>
      <w:r w:rsidRPr="00B2674A">
        <w:rPr>
          <w:rFonts w:cs="Arial"/>
          <w:szCs w:val="20"/>
        </w:rPr>
        <w:t>using environmentally friendly cleaning products</w:t>
      </w:r>
    </w:p>
    <w:p w14:paraId="5FFB44B1" w14:textId="77777777" w:rsidR="008B3B0B" w:rsidRPr="00B2674A" w:rsidRDefault="00D857E9" w:rsidP="007A5901">
      <w:pPr>
        <w:pStyle w:val="ListBullet"/>
        <w:spacing w:after="240"/>
        <w:ind w:left="284"/>
        <w:rPr>
          <w:rFonts w:cs="Arial"/>
          <w:szCs w:val="20"/>
        </w:rPr>
      </w:pPr>
      <w:r w:rsidRPr="00B2674A">
        <w:rPr>
          <w:rFonts w:cs="Arial"/>
          <w:szCs w:val="20"/>
        </w:rPr>
        <w:t>separating office waste into recyclable and non-recyclable components.</w:t>
      </w:r>
    </w:p>
    <w:sectPr w:rsidR="008B3B0B" w:rsidRPr="00B2674A" w:rsidSect="00C77380">
      <w:headerReference w:type="even" r:id="rId51"/>
      <w:headerReference w:type="default" r:id="rId52"/>
      <w:footerReference w:type="even" r:id="rId53"/>
      <w:footerReference w:type="default" r:id="rId5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24BC" w14:textId="77777777" w:rsidR="003732C1" w:rsidRDefault="003732C1">
      <w:r>
        <w:separator/>
      </w:r>
    </w:p>
  </w:endnote>
  <w:endnote w:type="continuationSeparator" w:id="0">
    <w:p w14:paraId="6E75F133" w14:textId="77777777" w:rsidR="003732C1" w:rsidRDefault="0037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Std Med">
    <w:panose1 w:val="020B0604020202020204"/>
    <w:charset w:val="00"/>
    <w:family w:val="swiss"/>
    <w:notTrueType/>
    <w:pitch w:val="variable"/>
    <w:sig w:usb0="800000AF" w:usb1="4000204A" w:usb2="00000000" w:usb3="00000000" w:csb0="00000001" w:csb1="00000000"/>
  </w:font>
  <w:font w:name="Geogrotesque Lg">
    <w:charset w:val="00"/>
    <w:family w:val="auto"/>
    <w:pitch w:val="default"/>
  </w:font>
  <w:font w:name="HelveticaNeueLT Std">
    <w:altName w:val="Arial"/>
    <w:panose1 w:val="020B0604020202020204"/>
    <w:charset w:val="00"/>
    <w:family w:val="swiss"/>
    <w:notTrueType/>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3656" w14:textId="77777777" w:rsidR="003732C1" w:rsidRDefault="003732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C1B" w14:textId="77777777" w:rsidR="003732C1" w:rsidRPr="00622A3B" w:rsidRDefault="003732C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42A15">
      <w:rPr>
        <w:noProof/>
        <w:color w:val="505050"/>
      </w:rPr>
      <w:t>89</w:t>
    </w:r>
    <w:r w:rsidRPr="00575AC5">
      <w:rPr>
        <w:color w:val="505050"/>
      </w:rPr>
      <w:fldChar w:fldCharType="end"/>
    </w:r>
  </w:p>
  <w:p w14:paraId="5FBDFE48" w14:textId="77777777" w:rsidR="003732C1" w:rsidRPr="00A5474E" w:rsidRDefault="003732C1"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AA92A" w14:textId="77777777" w:rsidR="003732C1" w:rsidRPr="00A5474E" w:rsidRDefault="003732C1" w:rsidP="00A5474E">
    <w:pPr>
      <w:pStyle w:val="Footer"/>
    </w:pPr>
    <w:r>
      <w:rPr>
        <w:noProof/>
      </w:rPr>
      <w:drawing>
        <wp:inline distT="0" distB="0" distL="0" distR="0" wp14:anchorId="1DE3D619" wp14:editId="48992ED6">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A7B84" w14:textId="77777777" w:rsidR="003732C1" w:rsidRDefault="003732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3915" w14:textId="77777777" w:rsidR="003732C1" w:rsidRDefault="003732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244DF" w14:textId="77777777" w:rsidR="003732C1" w:rsidRDefault="003732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CBA7" w14:textId="77777777" w:rsidR="003732C1" w:rsidRPr="00622A3B" w:rsidRDefault="003732C1" w:rsidP="00C24882">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E4890">
      <w:rPr>
        <w:noProof/>
        <w:color w:val="505050"/>
      </w:rPr>
      <w:t>x</w:t>
    </w:r>
    <w:r w:rsidRPr="002E4DDC">
      <w:rPr>
        <w:color w:val="505050"/>
      </w:rPr>
      <w:fldChar w:fldCharType="end"/>
    </w:r>
  </w:p>
  <w:p w14:paraId="18EE7925" w14:textId="77777777" w:rsidR="003732C1" w:rsidRPr="00A5474E" w:rsidRDefault="003732C1"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FBED" w14:textId="77777777" w:rsidR="003732C1" w:rsidRPr="00622A3B" w:rsidRDefault="003732C1" w:rsidP="00C24882">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E4890">
      <w:rPr>
        <w:noProof/>
        <w:color w:val="505050"/>
      </w:rPr>
      <w:t>xi</w:t>
    </w:r>
    <w:r w:rsidRPr="002E4DDC">
      <w:rPr>
        <w:color w:val="505050"/>
      </w:rPr>
      <w:fldChar w:fldCharType="end"/>
    </w:r>
  </w:p>
  <w:p w14:paraId="36F98153" w14:textId="77777777" w:rsidR="003732C1" w:rsidRPr="00A5474E" w:rsidRDefault="003732C1"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4842" w14:textId="77777777" w:rsidR="003732C1" w:rsidRPr="00622A3B" w:rsidRDefault="003732C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8E4890">
      <w:rPr>
        <w:noProof/>
        <w:color w:val="505050"/>
      </w:rPr>
      <w:t>xii</w:t>
    </w:r>
    <w:r w:rsidRPr="002E4DDC">
      <w:rPr>
        <w:color w:val="505050"/>
      </w:rPr>
      <w:fldChar w:fldCharType="end"/>
    </w:r>
  </w:p>
  <w:p w14:paraId="49C3ECDC" w14:textId="77777777" w:rsidR="003732C1" w:rsidRPr="00A5474E" w:rsidRDefault="003732C1"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2024" w14:textId="77777777" w:rsidR="003732C1" w:rsidRPr="00622A3B" w:rsidRDefault="003732C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442A15">
      <w:rPr>
        <w:noProof/>
      </w:rPr>
      <w:t>90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724BB7A" w14:textId="77777777" w:rsidR="003732C1" w:rsidRPr="00A5474E" w:rsidRDefault="003732C1"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F2B28" w14:textId="77777777" w:rsidR="003732C1" w:rsidRDefault="003732C1">
      <w:r>
        <w:separator/>
      </w:r>
    </w:p>
  </w:footnote>
  <w:footnote w:type="continuationSeparator" w:id="0">
    <w:p w14:paraId="4A1B3461" w14:textId="77777777" w:rsidR="003732C1" w:rsidRDefault="003732C1">
      <w:r>
        <w:continuationSeparator/>
      </w:r>
    </w:p>
  </w:footnote>
  <w:footnote w:id="1">
    <w:p w14:paraId="37A69299" w14:textId="77777777" w:rsidR="003732C1" w:rsidRPr="00124637" w:rsidRDefault="003732C1" w:rsidP="00050B30">
      <w:pPr>
        <w:pStyle w:val="FootnoteText"/>
        <w:spacing w:after="0"/>
      </w:pPr>
      <w:r w:rsidRPr="00124637">
        <w:rPr>
          <w:rStyle w:val="FootnoteReference"/>
        </w:rPr>
        <w:footnoteRef/>
      </w:r>
      <w:r w:rsidRPr="00124637">
        <w:t xml:space="preserve"> </w:t>
      </w:r>
      <w:r w:rsidRPr="00124637">
        <w:rPr>
          <w:rFonts w:cs="Arial"/>
        </w:rPr>
        <w:t>ZOAK will deliver allocation and administration services as a delegate of the ACMA for all number types specified in the Numbering Plan, except for international signalling point codes, mobile network codes and some special types of numbers (such as emergency service numbers)</w:t>
      </w:r>
      <w:r w:rsidRPr="00124637">
        <w:rPr>
          <w:rFonts w:cs="Arial"/>
          <w:lang w:val="en-US"/>
        </w:rPr>
        <w:t>.</w:t>
      </w:r>
    </w:p>
  </w:footnote>
  <w:footnote w:id="2">
    <w:p w14:paraId="5D1CB1BA" w14:textId="77777777" w:rsidR="003732C1" w:rsidRDefault="003732C1" w:rsidP="007A7214">
      <w:pPr>
        <w:pStyle w:val="FootnoteText"/>
        <w:spacing w:after="0"/>
      </w:pPr>
      <w:r w:rsidRPr="00DE1F14">
        <w:rPr>
          <w:rStyle w:val="FootnoteReference"/>
        </w:rPr>
        <w:footnoteRef/>
      </w:r>
      <w:r w:rsidRPr="00DE1F14">
        <w:t xml:space="preserve"> The ACMA is required under paragraph 57(d) of the </w:t>
      </w:r>
      <w:r w:rsidRPr="00DE1F14">
        <w:rPr>
          <w:i/>
        </w:rPr>
        <w:t xml:space="preserve">ACMA Act 2005 </w:t>
      </w:r>
      <w:r w:rsidRPr="00DE1F14">
        <w:t xml:space="preserve">to include in its annual report information on complaints and investigations under Part 26 of the </w:t>
      </w:r>
      <w:r w:rsidRPr="00DE1F14">
        <w:rPr>
          <w:i/>
        </w:rPr>
        <w:t>Telecommunications Act 1997</w:t>
      </w:r>
      <w:r w:rsidRPr="00DE1F14">
        <w:t xml:space="preserve">. The number and type of investigations conducted into </w:t>
      </w:r>
      <w:r w:rsidRPr="00DE1F14">
        <w:rPr>
          <w:rFonts w:cs="Arial"/>
          <w:i/>
        </w:rPr>
        <w:t>Telecommunications (Consumer Protection and Service Standards) Act 1999,</w:t>
      </w:r>
      <w:r w:rsidRPr="00DE1F14">
        <w:rPr>
          <w:rFonts w:cs="Arial"/>
        </w:rPr>
        <w:t xml:space="preserve"> </w:t>
      </w:r>
      <w:r w:rsidRPr="00DE1F14">
        <w:rPr>
          <w:i/>
        </w:rPr>
        <w:t>Telecommunications Act</w:t>
      </w:r>
      <w:r w:rsidRPr="00DE1F14">
        <w:t xml:space="preserve"> 1997 and telecommunications code compliance 2014–15 are provided in this section.</w:t>
      </w:r>
      <w:r>
        <w:t xml:space="preserve"> </w:t>
      </w:r>
    </w:p>
  </w:footnote>
  <w:footnote w:id="3">
    <w:p w14:paraId="30DB22F5" w14:textId="77777777" w:rsidR="003732C1" w:rsidRDefault="003732C1">
      <w:pPr>
        <w:pStyle w:val="FootnoteText"/>
      </w:pPr>
      <w:r w:rsidRPr="00DE1F14">
        <w:rPr>
          <w:rStyle w:val="FootnoteReference"/>
        </w:rPr>
        <w:footnoteRef/>
      </w:r>
      <w:r w:rsidRPr="00DE1F14">
        <w:t xml:space="preserve"> The ACMA is required under paragraph 57(e) of the </w:t>
      </w:r>
      <w:r w:rsidRPr="00DE1F14">
        <w:rPr>
          <w:i/>
        </w:rPr>
        <w:t>ACMA Act 2005</w:t>
      </w:r>
      <w:r w:rsidRPr="00DE1F14">
        <w:t xml:space="preserve"> to include in its annual report a report on the operation of Part 6 of the </w:t>
      </w:r>
      <w:r w:rsidRPr="00DE1F14">
        <w:rPr>
          <w:i/>
        </w:rPr>
        <w:t>Telecommunications Act 1997</w:t>
      </w:r>
      <w:r w:rsidRPr="00DE1F14">
        <w:t>. In 2014-15, the MPS Code was the only code to be reviewed and amended under Part 6.</w:t>
      </w:r>
    </w:p>
  </w:footnote>
  <w:footnote w:id="4">
    <w:p w14:paraId="61D8EA8B" w14:textId="77777777" w:rsidR="003732C1" w:rsidRDefault="003732C1" w:rsidP="007A7214">
      <w:pPr>
        <w:pStyle w:val="FootnoteText"/>
        <w:spacing w:after="0"/>
      </w:pPr>
      <w:r w:rsidRPr="00DE1F14">
        <w:rPr>
          <w:rStyle w:val="FootnoteReference"/>
        </w:rPr>
        <w:footnoteRef/>
      </w:r>
      <w:r w:rsidRPr="00DE1F14">
        <w:t xml:space="preserve"> The ACMA is required under paragraph 57(d) of the </w:t>
      </w:r>
      <w:r w:rsidRPr="00DE1F14">
        <w:rPr>
          <w:i/>
        </w:rPr>
        <w:t>ACMA Act 2005</w:t>
      </w:r>
      <w:r w:rsidRPr="00DE1F14">
        <w:t xml:space="preserve"> to include in its annual report information on complaints and investigations under Part 26 of the </w:t>
      </w:r>
      <w:r w:rsidRPr="00DE1F14">
        <w:rPr>
          <w:i/>
        </w:rPr>
        <w:t>Telecommunications Act 1997</w:t>
      </w:r>
      <w:r w:rsidRPr="00DE1F14">
        <w:t>. The number and type of investigations conducted into unsolicited communications compliance during 2014–15 are provided in this section.</w:t>
      </w:r>
      <w:r>
        <w:t xml:space="preserve"> </w:t>
      </w:r>
    </w:p>
  </w:footnote>
  <w:footnote w:id="5">
    <w:p w14:paraId="59AAB2A8" w14:textId="77777777" w:rsidR="003732C1" w:rsidRPr="00124637" w:rsidRDefault="003732C1" w:rsidP="001C4D21">
      <w:pPr>
        <w:pStyle w:val="FootnoteText"/>
        <w:spacing w:after="0"/>
      </w:pPr>
      <w:r w:rsidRPr="00124637">
        <w:rPr>
          <w:rStyle w:val="FootnoteReference"/>
        </w:rPr>
        <w:footnoteRef/>
      </w:r>
      <w:r w:rsidRPr="00124637">
        <w:t xml:space="preserve"> Commercial radio broadcasting services licensed for racing services, in remote licence areas or under section 40 of the BSA are exempt from the local content obligation.</w:t>
      </w:r>
    </w:p>
  </w:footnote>
  <w:footnote w:id="6">
    <w:p w14:paraId="0494C0E9" w14:textId="77777777" w:rsidR="003732C1" w:rsidRPr="00124637" w:rsidRDefault="003732C1" w:rsidP="00D8068E">
      <w:pPr>
        <w:pStyle w:val="FootnoteText"/>
        <w:spacing w:after="0"/>
      </w:pPr>
      <w:r w:rsidRPr="00124637">
        <w:rPr>
          <w:rStyle w:val="FootnoteReference"/>
        </w:rPr>
        <w:footnoteRef/>
      </w:r>
      <w:r w:rsidRPr="00124637">
        <w:t xml:space="preserve"> Subject to certain exceptions, a ‘trigger event’ is defined as: (a) a change in control of a regional commercial radio licence, (b) the formation of a new registrable media group where a regional commercial radio broadcasting licence is in the group or (c) a change in controller of a registrable media group where a regional commercial radio broadcasting licence is in the group. </w:t>
      </w:r>
    </w:p>
  </w:footnote>
  <w:footnote w:id="7">
    <w:p w14:paraId="59B95102" w14:textId="77777777" w:rsidR="003732C1" w:rsidRPr="003C3D50" w:rsidRDefault="003732C1" w:rsidP="00D8068E">
      <w:pPr>
        <w:pStyle w:val="FootnoteText"/>
        <w:spacing w:after="0"/>
      </w:pPr>
      <w:r w:rsidRPr="00124637">
        <w:rPr>
          <w:rStyle w:val="FootnoteReference"/>
        </w:rPr>
        <w:footnoteRef/>
      </w:r>
      <w:r w:rsidRPr="00124637">
        <w:t xml:space="preserve"> Commercial radio broadcasting services licensed for racing services, in remote licence areas or under section 40 of the BSA are exempt from the minimum service standards and local presence obligations that apply following a trigger event.</w:t>
      </w:r>
    </w:p>
  </w:footnote>
  <w:footnote w:id="8">
    <w:p w14:paraId="35659391" w14:textId="77777777" w:rsidR="003732C1" w:rsidRPr="003C3D50" w:rsidRDefault="003732C1" w:rsidP="00E615FE">
      <w:pPr>
        <w:pStyle w:val="FootnoteText"/>
        <w:spacing w:after="0"/>
        <w:rPr>
          <w:lang w:val="en-US"/>
        </w:rPr>
      </w:pPr>
      <w:r w:rsidRPr="00124637">
        <w:rPr>
          <w:rStyle w:val="FootnoteReference"/>
        </w:rPr>
        <w:footnoteRef/>
      </w:r>
      <w:r w:rsidRPr="00124637">
        <w:t xml:space="preserve"> </w:t>
      </w:r>
      <w:r w:rsidRPr="00124637">
        <w:rPr>
          <w:rFonts w:cs="Arial"/>
        </w:rPr>
        <w:t>Breaches resulting from unforeseen technical difficulties were disregarded as provided by the captioning legislation.</w:t>
      </w:r>
    </w:p>
  </w:footnote>
  <w:footnote w:id="9">
    <w:p w14:paraId="14DAF35A" w14:textId="77777777" w:rsidR="003732C1" w:rsidRPr="00124637" w:rsidRDefault="003732C1" w:rsidP="00DF73DF">
      <w:pPr>
        <w:pStyle w:val="FootnoteText"/>
        <w:spacing w:after="0"/>
      </w:pPr>
      <w:r w:rsidRPr="00124637">
        <w:rPr>
          <w:rStyle w:val="FootnoteReference"/>
        </w:rPr>
        <w:footnoteRef/>
      </w:r>
      <w:r w:rsidRPr="00124637">
        <w:t xml:space="preserve"> </w:t>
      </w:r>
      <w:r w:rsidRPr="00124637">
        <w:rPr>
          <w:rFonts w:cs="Arial"/>
        </w:rPr>
        <w:t>In accordance with the code of practice registered under the IGA.</w:t>
      </w:r>
    </w:p>
  </w:footnote>
  <w:footnote w:id="10">
    <w:p w14:paraId="2EB676B9" w14:textId="77777777" w:rsidR="003732C1" w:rsidRPr="003C3D50" w:rsidRDefault="003732C1" w:rsidP="00C32AA7">
      <w:pPr>
        <w:pStyle w:val="FootnoteText"/>
        <w:spacing w:after="0"/>
        <w:rPr>
          <w:rFonts w:cs="Arial"/>
        </w:rPr>
      </w:pPr>
      <w:r w:rsidRPr="000B00A2">
        <w:rPr>
          <w:rStyle w:val="FootnoteReference"/>
          <w:rFonts w:cs="Arial"/>
        </w:rPr>
        <w:footnoteRef/>
      </w:r>
      <w:r w:rsidRPr="000B00A2">
        <w:rPr>
          <w:rFonts w:cs="Arial"/>
        </w:rPr>
        <w:t xml:space="preserve"> Under </w:t>
      </w:r>
      <w:r w:rsidRPr="000B00A2">
        <w:rPr>
          <w:rFonts w:cs="Arial"/>
          <w:szCs w:val="20"/>
        </w:rPr>
        <w:t xml:space="preserve">section 20(3)(a) of the IGA, the ACMA must not investigate a complaint about </w:t>
      </w:r>
      <w:r w:rsidRPr="000B00A2">
        <w:rPr>
          <w:rFonts w:cs="Arial"/>
        </w:rPr>
        <w:t xml:space="preserve">Australian-hosted </w:t>
      </w:r>
      <w:r w:rsidRPr="00124637">
        <w:rPr>
          <w:rFonts w:cs="Arial"/>
        </w:rPr>
        <w:t xml:space="preserve">content. However, </w:t>
      </w:r>
      <w:r w:rsidRPr="00124637">
        <w:rPr>
          <w:rFonts w:cs="Arial"/>
          <w:szCs w:val="20"/>
        </w:rPr>
        <w:t>it may, if it considers it warranted, refer the complaint to an Australian police force.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229" w14:textId="77777777" w:rsidR="003732C1" w:rsidRDefault="003732C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49245" w14:textId="77777777" w:rsidR="003732C1" w:rsidRDefault="00373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ACF6" w14:textId="77777777" w:rsidR="003732C1" w:rsidRPr="00A5474E" w:rsidRDefault="003732C1" w:rsidP="00A5474E">
    <w:pPr>
      <w:pStyle w:val="Header"/>
    </w:pPr>
    <w:r>
      <w:rPr>
        <w:noProof/>
      </w:rPr>
      <w:drawing>
        <wp:inline distT="0" distB="0" distL="0" distR="0" wp14:anchorId="31BE2C6F" wp14:editId="67BB777D">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0707B" w14:textId="77777777" w:rsidR="003732C1" w:rsidRPr="00A5474E" w:rsidRDefault="003732C1"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7BD2" w14:textId="77777777" w:rsidR="003732C1" w:rsidRDefault="003732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6C5B" w14:textId="77777777" w:rsidR="003732C1" w:rsidRDefault="003732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3732C1" w14:paraId="4B7D4070" w14:textId="77777777" w:rsidTr="00DC3727">
      <w:trPr>
        <w:trHeight w:hRule="exact" w:val="988"/>
      </w:trPr>
      <w:tc>
        <w:tcPr>
          <w:tcW w:w="7678" w:type="dxa"/>
          <w:shd w:val="clear" w:color="auto" w:fill="auto"/>
        </w:tcPr>
        <w:p w14:paraId="4BE2810A" w14:textId="77777777" w:rsidR="003732C1" w:rsidRDefault="003732C1" w:rsidP="00C24882">
          <w:pPr>
            <w:pStyle w:val="Header"/>
          </w:pPr>
        </w:p>
      </w:tc>
    </w:tr>
    <w:tr w:rsidR="003732C1" w14:paraId="5837AA56" w14:textId="77777777" w:rsidTr="00DC3727">
      <w:tc>
        <w:tcPr>
          <w:tcW w:w="7678" w:type="dxa"/>
          <w:shd w:val="clear" w:color="auto" w:fill="auto"/>
        </w:tcPr>
        <w:p w14:paraId="1F1DE06E" w14:textId="77777777" w:rsidR="003732C1" w:rsidRDefault="003732C1" w:rsidP="00C24882">
          <w:pPr>
            <w:pStyle w:val="GridTable31"/>
          </w:pPr>
          <w:r>
            <w:t xml:space="preserve">Contents </w:t>
          </w:r>
          <w:r w:rsidRPr="00915B1C">
            <w:rPr>
              <w:b w:val="0"/>
              <w:spacing w:val="0"/>
              <w:sz w:val="28"/>
              <w:szCs w:val="28"/>
            </w:rPr>
            <w:t>(Continued)</w:t>
          </w:r>
        </w:p>
      </w:tc>
    </w:tr>
    <w:tr w:rsidR="003732C1" w14:paraId="77A85A8E" w14:textId="77777777" w:rsidTr="00DC3727">
      <w:trPr>
        <w:trHeight w:val="1220"/>
      </w:trPr>
      <w:tc>
        <w:tcPr>
          <w:tcW w:w="7678" w:type="dxa"/>
          <w:shd w:val="clear" w:color="auto" w:fill="auto"/>
        </w:tcPr>
        <w:p w14:paraId="6A8E7EEE" w14:textId="77777777" w:rsidR="003732C1" w:rsidRDefault="003732C1" w:rsidP="00C24882"/>
      </w:tc>
    </w:tr>
  </w:tbl>
  <w:p w14:paraId="10A70196" w14:textId="77777777" w:rsidR="003732C1" w:rsidRPr="00A5474E" w:rsidRDefault="003732C1"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3732C1" w14:paraId="3B5AEBAD" w14:textId="77777777" w:rsidTr="00DC3727">
      <w:trPr>
        <w:trHeight w:hRule="exact" w:val="988"/>
      </w:trPr>
      <w:tc>
        <w:tcPr>
          <w:tcW w:w="7678" w:type="dxa"/>
          <w:shd w:val="clear" w:color="auto" w:fill="auto"/>
        </w:tcPr>
        <w:p w14:paraId="4BACB2FA" w14:textId="77777777" w:rsidR="003732C1" w:rsidRDefault="003732C1" w:rsidP="00C24882">
          <w:pPr>
            <w:pStyle w:val="Header"/>
          </w:pPr>
        </w:p>
      </w:tc>
    </w:tr>
    <w:tr w:rsidR="003732C1" w14:paraId="4566666F" w14:textId="77777777" w:rsidTr="00DC3727">
      <w:tc>
        <w:tcPr>
          <w:tcW w:w="7678" w:type="dxa"/>
          <w:shd w:val="clear" w:color="auto" w:fill="auto"/>
        </w:tcPr>
        <w:p w14:paraId="2A1010EF" w14:textId="77777777" w:rsidR="003732C1" w:rsidRDefault="003732C1" w:rsidP="00C24882">
          <w:pPr>
            <w:pStyle w:val="GridTable31"/>
          </w:pPr>
          <w:r>
            <w:t xml:space="preserve">Contents </w:t>
          </w:r>
          <w:r w:rsidRPr="00915B1C">
            <w:rPr>
              <w:b w:val="0"/>
              <w:spacing w:val="0"/>
              <w:sz w:val="28"/>
              <w:szCs w:val="28"/>
            </w:rPr>
            <w:t>(Continued)</w:t>
          </w:r>
        </w:p>
      </w:tc>
    </w:tr>
    <w:tr w:rsidR="003732C1" w14:paraId="046CAFE0" w14:textId="77777777" w:rsidTr="00DC3727">
      <w:trPr>
        <w:trHeight w:val="1220"/>
      </w:trPr>
      <w:tc>
        <w:tcPr>
          <w:tcW w:w="7678" w:type="dxa"/>
          <w:shd w:val="clear" w:color="auto" w:fill="auto"/>
        </w:tcPr>
        <w:p w14:paraId="0474805A" w14:textId="77777777" w:rsidR="003732C1" w:rsidRDefault="003732C1" w:rsidP="00C24882"/>
      </w:tc>
    </w:tr>
  </w:tbl>
  <w:p w14:paraId="58A3DA2C" w14:textId="77777777" w:rsidR="003732C1" w:rsidRPr="00A5474E" w:rsidRDefault="003732C1"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2CB1" w14:textId="77777777" w:rsidR="003732C1" w:rsidRPr="00A5474E" w:rsidRDefault="003732C1" w:rsidP="00EB6B0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BF9F5" w14:textId="77777777" w:rsidR="003732C1" w:rsidRDefault="00373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B380BDD2"/>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585AC834"/>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5">
    <w:nsid w:val="150A51D3"/>
    <w:multiLevelType w:val="multilevel"/>
    <w:tmpl w:val="1340DC9C"/>
    <w:lvl w:ilvl="0">
      <w:start w:val="1"/>
      <w:numFmt w:val="bullet"/>
      <w:pStyle w:val="BulletBookAntiquaAMCA"/>
      <w:lvlText w:val=""/>
      <w:lvlJc w:val="left"/>
      <w:pPr>
        <w:ind w:left="360" w:hanging="360"/>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2F5A5080"/>
    <w:multiLevelType w:val="hybridMultilevel"/>
    <w:tmpl w:val="B9CA336E"/>
    <w:lvl w:ilvl="0" w:tplc="0D90C6DA">
      <w:start w:val="1"/>
      <w:numFmt w:val="bullet"/>
      <w:pStyle w:val="ACMABulletLevel1"/>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55AA21F0"/>
    <w:multiLevelType w:val="hybridMultilevel"/>
    <w:tmpl w:val="C7463B20"/>
    <w:lvl w:ilvl="0" w:tplc="87FE9F9A">
      <w:start w:val="1"/>
      <w:numFmt w:val="decimal"/>
      <w:pStyle w:val="ACMATableHeader"/>
      <w:lvlText w:val="Table %1:"/>
      <w:lvlJc w:val="left"/>
      <w:pPr>
        <w:tabs>
          <w:tab w:val="num" w:pos="964"/>
        </w:tabs>
        <w:ind w:left="964" w:hanging="96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71478"/>
    <w:multiLevelType w:val="hybridMultilevel"/>
    <w:tmpl w:val="1016763A"/>
    <w:lvl w:ilvl="0" w:tplc="25F0B7CE">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7"/>
  </w:num>
  <w:num w:numId="6">
    <w:abstractNumId w:val="11"/>
  </w:num>
  <w:num w:numId="7">
    <w:abstractNumId w:val="9"/>
  </w:num>
  <w:num w:numId="8">
    <w:abstractNumId w:val="10"/>
  </w:num>
  <w:num w:numId="9">
    <w:abstractNumId w:val="12"/>
  </w:num>
  <w:num w:numId="10">
    <w:abstractNumId w:val="5"/>
  </w:num>
  <w:num w:numId="11">
    <w:abstractNumId w:val="6"/>
  </w:num>
  <w:num w:numId="12">
    <w:abstractNumId w:val="8"/>
  </w:num>
  <w:num w:numId="13">
    <w:abstractNumId w:val="1"/>
  </w:num>
  <w:num w:numId="14">
    <w:abstractNumId w:val="4"/>
  </w:num>
  <w:num w:numId="15">
    <w:abstractNumId w:val="4"/>
  </w:num>
  <w:num w:numId="16">
    <w:abstractNumId w:val="4"/>
  </w:num>
  <w:num w:numId="17">
    <w:abstractNumId w:val="4"/>
  </w:num>
  <w:num w:numId="18">
    <w:abstractNumId w:val="4"/>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evenAndOddHeaders/>
  <w:drawingGridHorizontalSpacing w:val="100"/>
  <w:displayHorizontalDrawingGridEvery w:val="2"/>
  <w:characterSpacingControl w:val="doNotCompress"/>
  <w:hdrShapeDefaults>
    <o:shapedefaults v:ext="edit" spidmax="3072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A5"/>
    <w:rsid w:val="00010667"/>
    <w:rsid w:val="000129D5"/>
    <w:rsid w:val="00015AE7"/>
    <w:rsid w:val="00016E21"/>
    <w:rsid w:val="0001719C"/>
    <w:rsid w:val="0001746B"/>
    <w:rsid w:val="000204F7"/>
    <w:rsid w:val="00023DF4"/>
    <w:rsid w:val="000246B5"/>
    <w:rsid w:val="00024A99"/>
    <w:rsid w:val="00026F91"/>
    <w:rsid w:val="0002732F"/>
    <w:rsid w:val="0003220E"/>
    <w:rsid w:val="000408C2"/>
    <w:rsid w:val="0004775C"/>
    <w:rsid w:val="0005011A"/>
    <w:rsid w:val="0005016D"/>
    <w:rsid w:val="0005045A"/>
    <w:rsid w:val="00050B30"/>
    <w:rsid w:val="00051C1E"/>
    <w:rsid w:val="000539F9"/>
    <w:rsid w:val="00054C27"/>
    <w:rsid w:val="00055904"/>
    <w:rsid w:val="00055EC3"/>
    <w:rsid w:val="000563CE"/>
    <w:rsid w:val="00063CD2"/>
    <w:rsid w:val="0006542B"/>
    <w:rsid w:val="000659B6"/>
    <w:rsid w:val="0006722A"/>
    <w:rsid w:val="000732CF"/>
    <w:rsid w:val="00075B96"/>
    <w:rsid w:val="0008196A"/>
    <w:rsid w:val="000833E2"/>
    <w:rsid w:val="000915ED"/>
    <w:rsid w:val="00091A7D"/>
    <w:rsid w:val="00091F46"/>
    <w:rsid w:val="0009209D"/>
    <w:rsid w:val="00092BF6"/>
    <w:rsid w:val="000941B6"/>
    <w:rsid w:val="00094918"/>
    <w:rsid w:val="000969BD"/>
    <w:rsid w:val="000969BF"/>
    <w:rsid w:val="000A03FA"/>
    <w:rsid w:val="000A0855"/>
    <w:rsid w:val="000A0C22"/>
    <w:rsid w:val="000A3C43"/>
    <w:rsid w:val="000A4A51"/>
    <w:rsid w:val="000A5D2B"/>
    <w:rsid w:val="000B00A2"/>
    <w:rsid w:val="000B5DE3"/>
    <w:rsid w:val="000C0A57"/>
    <w:rsid w:val="000C230C"/>
    <w:rsid w:val="000C2709"/>
    <w:rsid w:val="000C4D7D"/>
    <w:rsid w:val="000D6C7C"/>
    <w:rsid w:val="000D71D9"/>
    <w:rsid w:val="000D76E0"/>
    <w:rsid w:val="000D7E8B"/>
    <w:rsid w:val="000E1936"/>
    <w:rsid w:val="000E4449"/>
    <w:rsid w:val="000E5213"/>
    <w:rsid w:val="000E6097"/>
    <w:rsid w:val="000E6A3B"/>
    <w:rsid w:val="000F2488"/>
    <w:rsid w:val="00100725"/>
    <w:rsid w:val="00103829"/>
    <w:rsid w:val="00111FCE"/>
    <w:rsid w:val="00112324"/>
    <w:rsid w:val="0011252F"/>
    <w:rsid w:val="001229A5"/>
    <w:rsid w:val="00124637"/>
    <w:rsid w:val="0012489B"/>
    <w:rsid w:val="00125BB6"/>
    <w:rsid w:val="00126593"/>
    <w:rsid w:val="00130017"/>
    <w:rsid w:val="00130093"/>
    <w:rsid w:val="00130F91"/>
    <w:rsid w:val="00131DDF"/>
    <w:rsid w:val="00133FBD"/>
    <w:rsid w:val="00137424"/>
    <w:rsid w:val="0013762A"/>
    <w:rsid w:val="00140318"/>
    <w:rsid w:val="00141AD9"/>
    <w:rsid w:val="00141F5D"/>
    <w:rsid w:val="00144605"/>
    <w:rsid w:val="00145218"/>
    <w:rsid w:val="00146CE6"/>
    <w:rsid w:val="00147BA2"/>
    <w:rsid w:val="00150E2F"/>
    <w:rsid w:val="001513B7"/>
    <w:rsid w:val="00151556"/>
    <w:rsid w:val="001524EE"/>
    <w:rsid w:val="00152903"/>
    <w:rsid w:val="0015614F"/>
    <w:rsid w:val="001577C2"/>
    <w:rsid w:val="001633C4"/>
    <w:rsid w:val="00163CCB"/>
    <w:rsid w:val="00171591"/>
    <w:rsid w:val="0017212E"/>
    <w:rsid w:val="00173981"/>
    <w:rsid w:val="00176545"/>
    <w:rsid w:val="0017719D"/>
    <w:rsid w:val="001815A7"/>
    <w:rsid w:val="00185CAB"/>
    <w:rsid w:val="001875B7"/>
    <w:rsid w:val="00187CB3"/>
    <w:rsid w:val="0019050A"/>
    <w:rsid w:val="00190C0E"/>
    <w:rsid w:val="001910D4"/>
    <w:rsid w:val="00193DC6"/>
    <w:rsid w:val="001976E3"/>
    <w:rsid w:val="001A1409"/>
    <w:rsid w:val="001A263B"/>
    <w:rsid w:val="001A2929"/>
    <w:rsid w:val="001A30DB"/>
    <w:rsid w:val="001A44EC"/>
    <w:rsid w:val="001A7612"/>
    <w:rsid w:val="001B10DF"/>
    <w:rsid w:val="001B58AA"/>
    <w:rsid w:val="001B60B2"/>
    <w:rsid w:val="001B7E48"/>
    <w:rsid w:val="001C17CE"/>
    <w:rsid w:val="001C2157"/>
    <w:rsid w:val="001C36CA"/>
    <w:rsid w:val="001C44D1"/>
    <w:rsid w:val="001C4D21"/>
    <w:rsid w:val="001C5098"/>
    <w:rsid w:val="001C6AEE"/>
    <w:rsid w:val="001C7630"/>
    <w:rsid w:val="001D3513"/>
    <w:rsid w:val="001D3E22"/>
    <w:rsid w:val="001D6D15"/>
    <w:rsid w:val="001E0CD2"/>
    <w:rsid w:val="001E0FE9"/>
    <w:rsid w:val="001E1D65"/>
    <w:rsid w:val="001E276C"/>
    <w:rsid w:val="001E2869"/>
    <w:rsid w:val="001E6F78"/>
    <w:rsid w:val="001F1844"/>
    <w:rsid w:val="001F2F39"/>
    <w:rsid w:val="001F7558"/>
    <w:rsid w:val="00205B57"/>
    <w:rsid w:val="002111A8"/>
    <w:rsid w:val="0021248A"/>
    <w:rsid w:val="00212A85"/>
    <w:rsid w:val="00212CD1"/>
    <w:rsid w:val="00213A06"/>
    <w:rsid w:val="00214FC4"/>
    <w:rsid w:val="002157E0"/>
    <w:rsid w:val="00216A57"/>
    <w:rsid w:val="0022095A"/>
    <w:rsid w:val="00222E9F"/>
    <w:rsid w:val="0022334F"/>
    <w:rsid w:val="00226819"/>
    <w:rsid w:val="00227F08"/>
    <w:rsid w:val="00233101"/>
    <w:rsid w:val="00233817"/>
    <w:rsid w:val="002367FF"/>
    <w:rsid w:val="00237717"/>
    <w:rsid w:val="002403F4"/>
    <w:rsid w:val="00240CE9"/>
    <w:rsid w:val="002434BA"/>
    <w:rsid w:val="00246089"/>
    <w:rsid w:val="00246093"/>
    <w:rsid w:val="00246702"/>
    <w:rsid w:val="00247C59"/>
    <w:rsid w:val="00247F2E"/>
    <w:rsid w:val="00250ADC"/>
    <w:rsid w:val="00250B07"/>
    <w:rsid w:val="0025254F"/>
    <w:rsid w:val="0025355B"/>
    <w:rsid w:val="002554CB"/>
    <w:rsid w:val="00257553"/>
    <w:rsid w:val="00260FB2"/>
    <w:rsid w:val="00262128"/>
    <w:rsid w:val="002633C1"/>
    <w:rsid w:val="0026727D"/>
    <w:rsid w:val="0027165D"/>
    <w:rsid w:val="00273CEB"/>
    <w:rsid w:val="00276C0B"/>
    <w:rsid w:val="00280D75"/>
    <w:rsid w:val="00281C89"/>
    <w:rsid w:val="0028282F"/>
    <w:rsid w:val="00283967"/>
    <w:rsid w:val="002840EF"/>
    <w:rsid w:val="0029593B"/>
    <w:rsid w:val="00295B5C"/>
    <w:rsid w:val="00297448"/>
    <w:rsid w:val="00297FC5"/>
    <w:rsid w:val="002A0417"/>
    <w:rsid w:val="002A16D8"/>
    <w:rsid w:val="002A1BC8"/>
    <w:rsid w:val="002A2EB8"/>
    <w:rsid w:val="002A3EF2"/>
    <w:rsid w:val="002A5FA8"/>
    <w:rsid w:val="002B0DED"/>
    <w:rsid w:val="002B19A2"/>
    <w:rsid w:val="002B381A"/>
    <w:rsid w:val="002B4FCC"/>
    <w:rsid w:val="002B501A"/>
    <w:rsid w:val="002B7408"/>
    <w:rsid w:val="002B7CFD"/>
    <w:rsid w:val="002C210F"/>
    <w:rsid w:val="002D0BB0"/>
    <w:rsid w:val="002D3600"/>
    <w:rsid w:val="002E0B1B"/>
    <w:rsid w:val="002E36E4"/>
    <w:rsid w:val="002E4DDC"/>
    <w:rsid w:val="002F0433"/>
    <w:rsid w:val="00302480"/>
    <w:rsid w:val="00303542"/>
    <w:rsid w:val="003118EF"/>
    <w:rsid w:val="00314B9F"/>
    <w:rsid w:val="003165E6"/>
    <w:rsid w:val="0031700A"/>
    <w:rsid w:val="003221CF"/>
    <w:rsid w:val="003233ED"/>
    <w:rsid w:val="00324D9F"/>
    <w:rsid w:val="00326E3E"/>
    <w:rsid w:val="00327948"/>
    <w:rsid w:val="0033000F"/>
    <w:rsid w:val="00332011"/>
    <w:rsid w:val="00332518"/>
    <w:rsid w:val="00332925"/>
    <w:rsid w:val="00332C13"/>
    <w:rsid w:val="003332ED"/>
    <w:rsid w:val="003368DC"/>
    <w:rsid w:val="003437C1"/>
    <w:rsid w:val="00345927"/>
    <w:rsid w:val="00350584"/>
    <w:rsid w:val="003509D2"/>
    <w:rsid w:val="00351857"/>
    <w:rsid w:val="0035247D"/>
    <w:rsid w:val="00352D6B"/>
    <w:rsid w:val="00356C79"/>
    <w:rsid w:val="00356F15"/>
    <w:rsid w:val="003610E1"/>
    <w:rsid w:val="00363455"/>
    <w:rsid w:val="003671BE"/>
    <w:rsid w:val="00370ECA"/>
    <w:rsid w:val="00372485"/>
    <w:rsid w:val="00373200"/>
    <w:rsid w:val="003732C1"/>
    <w:rsid w:val="00375EF5"/>
    <w:rsid w:val="003767A5"/>
    <w:rsid w:val="003774D8"/>
    <w:rsid w:val="00382E8F"/>
    <w:rsid w:val="00385254"/>
    <w:rsid w:val="00390FA6"/>
    <w:rsid w:val="003A3898"/>
    <w:rsid w:val="003A5393"/>
    <w:rsid w:val="003A5F5B"/>
    <w:rsid w:val="003A6515"/>
    <w:rsid w:val="003A789A"/>
    <w:rsid w:val="003B12EC"/>
    <w:rsid w:val="003C1FFD"/>
    <w:rsid w:val="003C3B9C"/>
    <w:rsid w:val="003C63FD"/>
    <w:rsid w:val="003C77E0"/>
    <w:rsid w:val="003D17D7"/>
    <w:rsid w:val="003D2678"/>
    <w:rsid w:val="003D3FB8"/>
    <w:rsid w:val="003D71A3"/>
    <w:rsid w:val="003E2B8A"/>
    <w:rsid w:val="003E612F"/>
    <w:rsid w:val="003F018C"/>
    <w:rsid w:val="003F10EE"/>
    <w:rsid w:val="003F16F6"/>
    <w:rsid w:val="003F4DC7"/>
    <w:rsid w:val="003F5235"/>
    <w:rsid w:val="003F557E"/>
    <w:rsid w:val="00401169"/>
    <w:rsid w:val="00401568"/>
    <w:rsid w:val="004027E4"/>
    <w:rsid w:val="0041071D"/>
    <w:rsid w:val="00414AFC"/>
    <w:rsid w:val="004151A7"/>
    <w:rsid w:val="00415310"/>
    <w:rsid w:val="00421709"/>
    <w:rsid w:val="00421DD0"/>
    <w:rsid w:val="00423763"/>
    <w:rsid w:val="0042762F"/>
    <w:rsid w:val="00427CB4"/>
    <w:rsid w:val="00427DC7"/>
    <w:rsid w:val="00431613"/>
    <w:rsid w:val="00431792"/>
    <w:rsid w:val="004328FB"/>
    <w:rsid w:val="0043297A"/>
    <w:rsid w:val="00432EB2"/>
    <w:rsid w:val="0043714F"/>
    <w:rsid w:val="00442A15"/>
    <w:rsid w:val="00442B81"/>
    <w:rsid w:val="004438B5"/>
    <w:rsid w:val="00444226"/>
    <w:rsid w:val="00447037"/>
    <w:rsid w:val="00447A66"/>
    <w:rsid w:val="0045124D"/>
    <w:rsid w:val="00454596"/>
    <w:rsid w:val="0045605D"/>
    <w:rsid w:val="004564AD"/>
    <w:rsid w:val="00460E56"/>
    <w:rsid w:val="0046135B"/>
    <w:rsid w:val="004718CC"/>
    <w:rsid w:val="004767D2"/>
    <w:rsid w:val="00476D23"/>
    <w:rsid w:val="00481695"/>
    <w:rsid w:val="004860CE"/>
    <w:rsid w:val="004917D4"/>
    <w:rsid w:val="004922F3"/>
    <w:rsid w:val="004924CA"/>
    <w:rsid w:val="00495A96"/>
    <w:rsid w:val="00495BB3"/>
    <w:rsid w:val="004A56BB"/>
    <w:rsid w:val="004B1751"/>
    <w:rsid w:val="004B33A8"/>
    <w:rsid w:val="004B45CF"/>
    <w:rsid w:val="004B4DEE"/>
    <w:rsid w:val="004C0253"/>
    <w:rsid w:val="004C37B8"/>
    <w:rsid w:val="004C6700"/>
    <w:rsid w:val="004D389B"/>
    <w:rsid w:val="004D4B57"/>
    <w:rsid w:val="004D5065"/>
    <w:rsid w:val="004D56FF"/>
    <w:rsid w:val="004E2E48"/>
    <w:rsid w:val="004E39D3"/>
    <w:rsid w:val="004E508A"/>
    <w:rsid w:val="004E616D"/>
    <w:rsid w:val="004E733F"/>
    <w:rsid w:val="004F1BDE"/>
    <w:rsid w:val="004F2CEE"/>
    <w:rsid w:val="004F556E"/>
    <w:rsid w:val="004F6B5B"/>
    <w:rsid w:val="004F7F44"/>
    <w:rsid w:val="00502B8A"/>
    <w:rsid w:val="005037B4"/>
    <w:rsid w:val="00506B0A"/>
    <w:rsid w:val="005079BF"/>
    <w:rsid w:val="00515EB3"/>
    <w:rsid w:val="005219E7"/>
    <w:rsid w:val="00531B9A"/>
    <w:rsid w:val="00531D15"/>
    <w:rsid w:val="00535185"/>
    <w:rsid w:val="00535570"/>
    <w:rsid w:val="00537604"/>
    <w:rsid w:val="00540070"/>
    <w:rsid w:val="00541FFA"/>
    <w:rsid w:val="00542377"/>
    <w:rsid w:val="0054243B"/>
    <w:rsid w:val="005476EB"/>
    <w:rsid w:val="00551782"/>
    <w:rsid w:val="00561039"/>
    <w:rsid w:val="005634BC"/>
    <w:rsid w:val="00563837"/>
    <w:rsid w:val="00563EF1"/>
    <w:rsid w:val="00566AB4"/>
    <w:rsid w:val="00575AC5"/>
    <w:rsid w:val="0057605D"/>
    <w:rsid w:val="00581347"/>
    <w:rsid w:val="00581AC9"/>
    <w:rsid w:val="00583E1B"/>
    <w:rsid w:val="005849F8"/>
    <w:rsid w:val="005917D1"/>
    <w:rsid w:val="005938DF"/>
    <w:rsid w:val="00594E9C"/>
    <w:rsid w:val="005A099B"/>
    <w:rsid w:val="005A2D9C"/>
    <w:rsid w:val="005A55FE"/>
    <w:rsid w:val="005A6A11"/>
    <w:rsid w:val="005B5627"/>
    <w:rsid w:val="005C0B51"/>
    <w:rsid w:val="005C0FA6"/>
    <w:rsid w:val="005C5D14"/>
    <w:rsid w:val="005C6D18"/>
    <w:rsid w:val="005D2502"/>
    <w:rsid w:val="005D47F3"/>
    <w:rsid w:val="005D49BF"/>
    <w:rsid w:val="005D6F4E"/>
    <w:rsid w:val="005E0F83"/>
    <w:rsid w:val="005E2AC4"/>
    <w:rsid w:val="005E3ACD"/>
    <w:rsid w:val="005E7226"/>
    <w:rsid w:val="005E7A57"/>
    <w:rsid w:val="005F24B0"/>
    <w:rsid w:val="00601436"/>
    <w:rsid w:val="00602B35"/>
    <w:rsid w:val="006037DC"/>
    <w:rsid w:val="00604315"/>
    <w:rsid w:val="00604E26"/>
    <w:rsid w:val="006052CF"/>
    <w:rsid w:val="00607B8D"/>
    <w:rsid w:val="00611F5C"/>
    <w:rsid w:val="0061675A"/>
    <w:rsid w:val="00616E09"/>
    <w:rsid w:val="00622A3B"/>
    <w:rsid w:val="00622EEA"/>
    <w:rsid w:val="0062396C"/>
    <w:rsid w:val="00623FF9"/>
    <w:rsid w:val="006270A1"/>
    <w:rsid w:val="006277AF"/>
    <w:rsid w:val="00627D4E"/>
    <w:rsid w:val="00630216"/>
    <w:rsid w:val="00634478"/>
    <w:rsid w:val="00640B6F"/>
    <w:rsid w:val="00641FEA"/>
    <w:rsid w:val="00644373"/>
    <w:rsid w:val="006449F4"/>
    <w:rsid w:val="00645915"/>
    <w:rsid w:val="006519C3"/>
    <w:rsid w:val="006523C6"/>
    <w:rsid w:val="00652B30"/>
    <w:rsid w:val="00656345"/>
    <w:rsid w:val="00656DC6"/>
    <w:rsid w:val="00661442"/>
    <w:rsid w:val="00662539"/>
    <w:rsid w:val="006627F2"/>
    <w:rsid w:val="00663D87"/>
    <w:rsid w:val="00664110"/>
    <w:rsid w:val="00664D17"/>
    <w:rsid w:val="00666257"/>
    <w:rsid w:val="006663F0"/>
    <w:rsid w:val="00666520"/>
    <w:rsid w:val="00667C5B"/>
    <w:rsid w:val="006744F6"/>
    <w:rsid w:val="00682018"/>
    <w:rsid w:val="00692CDE"/>
    <w:rsid w:val="00693073"/>
    <w:rsid w:val="00694382"/>
    <w:rsid w:val="006977FF"/>
    <w:rsid w:val="006A01FA"/>
    <w:rsid w:val="006A0E9E"/>
    <w:rsid w:val="006A1267"/>
    <w:rsid w:val="006A25C7"/>
    <w:rsid w:val="006A4AAD"/>
    <w:rsid w:val="006A4DAE"/>
    <w:rsid w:val="006A4F84"/>
    <w:rsid w:val="006A6DA2"/>
    <w:rsid w:val="006A6FEF"/>
    <w:rsid w:val="006A7AB2"/>
    <w:rsid w:val="006B36D8"/>
    <w:rsid w:val="006B36E4"/>
    <w:rsid w:val="006B5717"/>
    <w:rsid w:val="006B582F"/>
    <w:rsid w:val="006B5F4B"/>
    <w:rsid w:val="006C0CEB"/>
    <w:rsid w:val="006C322F"/>
    <w:rsid w:val="006C3B1E"/>
    <w:rsid w:val="006C47FD"/>
    <w:rsid w:val="006C70A0"/>
    <w:rsid w:val="006D27CB"/>
    <w:rsid w:val="006D2BDF"/>
    <w:rsid w:val="006D2F08"/>
    <w:rsid w:val="006D3E21"/>
    <w:rsid w:val="006D4153"/>
    <w:rsid w:val="006D576C"/>
    <w:rsid w:val="006D5865"/>
    <w:rsid w:val="006D7FBA"/>
    <w:rsid w:val="006E4B1B"/>
    <w:rsid w:val="006E5445"/>
    <w:rsid w:val="006E7D93"/>
    <w:rsid w:val="006F4B9E"/>
    <w:rsid w:val="00701A67"/>
    <w:rsid w:val="007029A3"/>
    <w:rsid w:val="00702E51"/>
    <w:rsid w:val="00706E4E"/>
    <w:rsid w:val="007078D1"/>
    <w:rsid w:val="0070791C"/>
    <w:rsid w:val="00713545"/>
    <w:rsid w:val="0071383C"/>
    <w:rsid w:val="007141A7"/>
    <w:rsid w:val="00714A57"/>
    <w:rsid w:val="00721032"/>
    <w:rsid w:val="00721B55"/>
    <w:rsid w:val="00725902"/>
    <w:rsid w:val="00726CE4"/>
    <w:rsid w:val="00734143"/>
    <w:rsid w:val="007341D9"/>
    <w:rsid w:val="00737E47"/>
    <w:rsid w:val="00740EAC"/>
    <w:rsid w:val="00744956"/>
    <w:rsid w:val="00745A5C"/>
    <w:rsid w:val="0074605F"/>
    <w:rsid w:val="00747E94"/>
    <w:rsid w:val="0075052F"/>
    <w:rsid w:val="00754F9B"/>
    <w:rsid w:val="0075608F"/>
    <w:rsid w:val="0076295E"/>
    <w:rsid w:val="00766749"/>
    <w:rsid w:val="00767038"/>
    <w:rsid w:val="00767C1B"/>
    <w:rsid w:val="007714A9"/>
    <w:rsid w:val="00773452"/>
    <w:rsid w:val="00774D63"/>
    <w:rsid w:val="00774DBB"/>
    <w:rsid w:val="00774F88"/>
    <w:rsid w:val="00774FDB"/>
    <w:rsid w:val="00776CD7"/>
    <w:rsid w:val="00777BA2"/>
    <w:rsid w:val="00780593"/>
    <w:rsid w:val="00781408"/>
    <w:rsid w:val="00784F7F"/>
    <w:rsid w:val="007856CD"/>
    <w:rsid w:val="0078679C"/>
    <w:rsid w:val="00791356"/>
    <w:rsid w:val="00796F25"/>
    <w:rsid w:val="007A2E98"/>
    <w:rsid w:val="007A3BA3"/>
    <w:rsid w:val="007A5901"/>
    <w:rsid w:val="007A5D83"/>
    <w:rsid w:val="007A6CC0"/>
    <w:rsid w:val="007A7214"/>
    <w:rsid w:val="007A7FEC"/>
    <w:rsid w:val="007B1499"/>
    <w:rsid w:val="007B1BBF"/>
    <w:rsid w:val="007B238C"/>
    <w:rsid w:val="007B2960"/>
    <w:rsid w:val="007B2978"/>
    <w:rsid w:val="007B355D"/>
    <w:rsid w:val="007B3818"/>
    <w:rsid w:val="007B570A"/>
    <w:rsid w:val="007B66BE"/>
    <w:rsid w:val="007B6918"/>
    <w:rsid w:val="007B7980"/>
    <w:rsid w:val="007C5D5A"/>
    <w:rsid w:val="007C607F"/>
    <w:rsid w:val="007C6673"/>
    <w:rsid w:val="007C79DD"/>
    <w:rsid w:val="007D1A97"/>
    <w:rsid w:val="007D2452"/>
    <w:rsid w:val="007D2CD6"/>
    <w:rsid w:val="007D3063"/>
    <w:rsid w:val="007D3CEB"/>
    <w:rsid w:val="007D4C6D"/>
    <w:rsid w:val="007E5C66"/>
    <w:rsid w:val="007E7683"/>
    <w:rsid w:val="007F0412"/>
    <w:rsid w:val="007F49FA"/>
    <w:rsid w:val="007F54C4"/>
    <w:rsid w:val="007F6E9A"/>
    <w:rsid w:val="00800C4D"/>
    <w:rsid w:val="00802051"/>
    <w:rsid w:val="008044D4"/>
    <w:rsid w:val="00805AF9"/>
    <w:rsid w:val="00810AB4"/>
    <w:rsid w:val="00817B56"/>
    <w:rsid w:val="00821A88"/>
    <w:rsid w:val="0082495D"/>
    <w:rsid w:val="008263B6"/>
    <w:rsid w:val="00827ABD"/>
    <w:rsid w:val="00830D0F"/>
    <w:rsid w:val="00831AC3"/>
    <w:rsid w:val="0083427F"/>
    <w:rsid w:val="008370EF"/>
    <w:rsid w:val="008408FF"/>
    <w:rsid w:val="00841C2D"/>
    <w:rsid w:val="0084620A"/>
    <w:rsid w:val="00851F3F"/>
    <w:rsid w:val="00852976"/>
    <w:rsid w:val="00852AEA"/>
    <w:rsid w:val="00855B3D"/>
    <w:rsid w:val="00856EDC"/>
    <w:rsid w:val="00860741"/>
    <w:rsid w:val="00861911"/>
    <w:rsid w:val="008623B5"/>
    <w:rsid w:val="00864A99"/>
    <w:rsid w:val="00866105"/>
    <w:rsid w:val="00867A03"/>
    <w:rsid w:val="00870ABA"/>
    <w:rsid w:val="008710E1"/>
    <w:rsid w:val="008716E5"/>
    <w:rsid w:val="00881CA9"/>
    <w:rsid w:val="00883628"/>
    <w:rsid w:val="00885544"/>
    <w:rsid w:val="0088634E"/>
    <w:rsid w:val="00886C3E"/>
    <w:rsid w:val="00886D62"/>
    <w:rsid w:val="00893AB8"/>
    <w:rsid w:val="008970E9"/>
    <w:rsid w:val="008A04C8"/>
    <w:rsid w:val="008A484A"/>
    <w:rsid w:val="008A6913"/>
    <w:rsid w:val="008B1903"/>
    <w:rsid w:val="008B3B0B"/>
    <w:rsid w:val="008B4F11"/>
    <w:rsid w:val="008B5BEC"/>
    <w:rsid w:val="008B70F3"/>
    <w:rsid w:val="008B7106"/>
    <w:rsid w:val="008B76DF"/>
    <w:rsid w:val="008C10F4"/>
    <w:rsid w:val="008C466F"/>
    <w:rsid w:val="008C49E6"/>
    <w:rsid w:val="008C65F7"/>
    <w:rsid w:val="008D0378"/>
    <w:rsid w:val="008E28DA"/>
    <w:rsid w:val="008E4767"/>
    <w:rsid w:val="008E4890"/>
    <w:rsid w:val="008E7A8C"/>
    <w:rsid w:val="008F4F10"/>
    <w:rsid w:val="008F6EB5"/>
    <w:rsid w:val="008F7B78"/>
    <w:rsid w:val="00903285"/>
    <w:rsid w:val="00906F40"/>
    <w:rsid w:val="0090731E"/>
    <w:rsid w:val="00915B1C"/>
    <w:rsid w:val="009174F3"/>
    <w:rsid w:val="0091797D"/>
    <w:rsid w:val="00921A4B"/>
    <w:rsid w:val="00923CBA"/>
    <w:rsid w:val="00924245"/>
    <w:rsid w:val="009262BC"/>
    <w:rsid w:val="00926703"/>
    <w:rsid w:val="00927691"/>
    <w:rsid w:val="00927A5F"/>
    <w:rsid w:val="00932A1E"/>
    <w:rsid w:val="00933477"/>
    <w:rsid w:val="0093399F"/>
    <w:rsid w:val="00935B63"/>
    <w:rsid w:val="0094078F"/>
    <w:rsid w:val="00940FA3"/>
    <w:rsid w:val="00941FB0"/>
    <w:rsid w:val="009426D4"/>
    <w:rsid w:val="00945007"/>
    <w:rsid w:val="00945045"/>
    <w:rsid w:val="009459C8"/>
    <w:rsid w:val="00947F25"/>
    <w:rsid w:val="00950064"/>
    <w:rsid w:val="00950159"/>
    <w:rsid w:val="00953823"/>
    <w:rsid w:val="00953EED"/>
    <w:rsid w:val="0095490B"/>
    <w:rsid w:val="00955825"/>
    <w:rsid w:val="00965A8B"/>
    <w:rsid w:val="00970CEF"/>
    <w:rsid w:val="00974363"/>
    <w:rsid w:val="00977459"/>
    <w:rsid w:val="00977CA3"/>
    <w:rsid w:val="00981898"/>
    <w:rsid w:val="00984005"/>
    <w:rsid w:val="009908FC"/>
    <w:rsid w:val="00991221"/>
    <w:rsid w:val="0099577C"/>
    <w:rsid w:val="00996667"/>
    <w:rsid w:val="009A0B1E"/>
    <w:rsid w:val="009A69C6"/>
    <w:rsid w:val="009B4E9E"/>
    <w:rsid w:val="009B667B"/>
    <w:rsid w:val="009C1690"/>
    <w:rsid w:val="009C30CA"/>
    <w:rsid w:val="009C4E58"/>
    <w:rsid w:val="009C6881"/>
    <w:rsid w:val="009C7759"/>
    <w:rsid w:val="009D01E4"/>
    <w:rsid w:val="009D043D"/>
    <w:rsid w:val="009D128B"/>
    <w:rsid w:val="009D6C71"/>
    <w:rsid w:val="009E0631"/>
    <w:rsid w:val="009E0F41"/>
    <w:rsid w:val="009E16D0"/>
    <w:rsid w:val="009E361F"/>
    <w:rsid w:val="009E3761"/>
    <w:rsid w:val="009E38FD"/>
    <w:rsid w:val="009E3F95"/>
    <w:rsid w:val="009E71DC"/>
    <w:rsid w:val="009F13D6"/>
    <w:rsid w:val="009F1CF1"/>
    <w:rsid w:val="009F4C6B"/>
    <w:rsid w:val="009F68B0"/>
    <w:rsid w:val="009F78A8"/>
    <w:rsid w:val="00A02AD6"/>
    <w:rsid w:val="00A07096"/>
    <w:rsid w:val="00A07318"/>
    <w:rsid w:val="00A11370"/>
    <w:rsid w:val="00A11555"/>
    <w:rsid w:val="00A11AA9"/>
    <w:rsid w:val="00A224CE"/>
    <w:rsid w:val="00A22522"/>
    <w:rsid w:val="00A24157"/>
    <w:rsid w:val="00A24AFD"/>
    <w:rsid w:val="00A24F5C"/>
    <w:rsid w:val="00A253B1"/>
    <w:rsid w:val="00A3150C"/>
    <w:rsid w:val="00A32F96"/>
    <w:rsid w:val="00A34FBB"/>
    <w:rsid w:val="00A40871"/>
    <w:rsid w:val="00A412AB"/>
    <w:rsid w:val="00A4193E"/>
    <w:rsid w:val="00A440E0"/>
    <w:rsid w:val="00A442EF"/>
    <w:rsid w:val="00A46DB2"/>
    <w:rsid w:val="00A51D1A"/>
    <w:rsid w:val="00A524B6"/>
    <w:rsid w:val="00A5418D"/>
    <w:rsid w:val="00A5474E"/>
    <w:rsid w:val="00A70ADF"/>
    <w:rsid w:val="00A71034"/>
    <w:rsid w:val="00A71466"/>
    <w:rsid w:val="00A71953"/>
    <w:rsid w:val="00A74B5E"/>
    <w:rsid w:val="00A81B72"/>
    <w:rsid w:val="00A81BED"/>
    <w:rsid w:val="00A81EC4"/>
    <w:rsid w:val="00A83B67"/>
    <w:rsid w:val="00A852F6"/>
    <w:rsid w:val="00A868BE"/>
    <w:rsid w:val="00A967FD"/>
    <w:rsid w:val="00A9683B"/>
    <w:rsid w:val="00AA196F"/>
    <w:rsid w:val="00AA25B3"/>
    <w:rsid w:val="00AA3AC0"/>
    <w:rsid w:val="00AA654C"/>
    <w:rsid w:val="00AA69EB"/>
    <w:rsid w:val="00AB073E"/>
    <w:rsid w:val="00AB13BC"/>
    <w:rsid w:val="00AB13F8"/>
    <w:rsid w:val="00AB156C"/>
    <w:rsid w:val="00AB6814"/>
    <w:rsid w:val="00AC04BA"/>
    <w:rsid w:val="00AC0E39"/>
    <w:rsid w:val="00AC51E7"/>
    <w:rsid w:val="00AD0F92"/>
    <w:rsid w:val="00AD106D"/>
    <w:rsid w:val="00AD3082"/>
    <w:rsid w:val="00AD4AD0"/>
    <w:rsid w:val="00AD5436"/>
    <w:rsid w:val="00AD60CD"/>
    <w:rsid w:val="00AD6C8C"/>
    <w:rsid w:val="00AE08CF"/>
    <w:rsid w:val="00AE091D"/>
    <w:rsid w:val="00AE0F0B"/>
    <w:rsid w:val="00AE1666"/>
    <w:rsid w:val="00AE3B60"/>
    <w:rsid w:val="00AE53A1"/>
    <w:rsid w:val="00AE789F"/>
    <w:rsid w:val="00AF2484"/>
    <w:rsid w:val="00AF63E7"/>
    <w:rsid w:val="00B00C12"/>
    <w:rsid w:val="00B0165D"/>
    <w:rsid w:val="00B031F3"/>
    <w:rsid w:val="00B04916"/>
    <w:rsid w:val="00B052A4"/>
    <w:rsid w:val="00B06EDA"/>
    <w:rsid w:val="00B1185A"/>
    <w:rsid w:val="00B125DE"/>
    <w:rsid w:val="00B13FDD"/>
    <w:rsid w:val="00B22108"/>
    <w:rsid w:val="00B22EB2"/>
    <w:rsid w:val="00B2598B"/>
    <w:rsid w:val="00B2674A"/>
    <w:rsid w:val="00B27442"/>
    <w:rsid w:val="00B31167"/>
    <w:rsid w:val="00B329D8"/>
    <w:rsid w:val="00B32BB9"/>
    <w:rsid w:val="00B333E8"/>
    <w:rsid w:val="00B33AE1"/>
    <w:rsid w:val="00B37C38"/>
    <w:rsid w:val="00B4288C"/>
    <w:rsid w:val="00B43262"/>
    <w:rsid w:val="00B44100"/>
    <w:rsid w:val="00B46CBA"/>
    <w:rsid w:val="00B46F94"/>
    <w:rsid w:val="00B55869"/>
    <w:rsid w:val="00B61F03"/>
    <w:rsid w:val="00B626E4"/>
    <w:rsid w:val="00B632FB"/>
    <w:rsid w:val="00B64764"/>
    <w:rsid w:val="00B66FFC"/>
    <w:rsid w:val="00B72F4A"/>
    <w:rsid w:val="00B7730D"/>
    <w:rsid w:val="00B83C27"/>
    <w:rsid w:val="00B84BC3"/>
    <w:rsid w:val="00B84BDD"/>
    <w:rsid w:val="00B86A4C"/>
    <w:rsid w:val="00B92812"/>
    <w:rsid w:val="00B92973"/>
    <w:rsid w:val="00B94A9D"/>
    <w:rsid w:val="00BA2DFF"/>
    <w:rsid w:val="00BA66A0"/>
    <w:rsid w:val="00BB0A8D"/>
    <w:rsid w:val="00BB2115"/>
    <w:rsid w:val="00BB3CD6"/>
    <w:rsid w:val="00BB45A1"/>
    <w:rsid w:val="00BB4818"/>
    <w:rsid w:val="00BB6349"/>
    <w:rsid w:val="00BB639E"/>
    <w:rsid w:val="00BB7686"/>
    <w:rsid w:val="00BC23F9"/>
    <w:rsid w:val="00BC3215"/>
    <w:rsid w:val="00BC3421"/>
    <w:rsid w:val="00BC732C"/>
    <w:rsid w:val="00BD2804"/>
    <w:rsid w:val="00BD417D"/>
    <w:rsid w:val="00BD54C3"/>
    <w:rsid w:val="00BD79AA"/>
    <w:rsid w:val="00BE020B"/>
    <w:rsid w:val="00BE189D"/>
    <w:rsid w:val="00BE2580"/>
    <w:rsid w:val="00BE266D"/>
    <w:rsid w:val="00BE3117"/>
    <w:rsid w:val="00BE3938"/>
    <w:rsid w:val="00BE4C11"/>
    <w:rsid w:val="00BE4C6C"/>
    <w:rsid w:val="00BE5D22"/>
    <w:rsid w:val="00BE71C0"/>
    <w:rsid w:val="00BF03E8"/>
    <w:rsid w:val="00BF330A"/>
    <w:rsid w:val="00BF3F64"/>
    <w:rsid w:val="00BF610C"/>
    <w:rsid w:val="00BF670A"/>
    <w:rsid w:val="00BF6F04"/>
    <w:rsid w:val="00C0048F"/>
    <w:rsid w:val="00C0060B"/>
    <w:rsid w:val="00C0185D"/>
    <w:rsid w:val="00C0277D"/>
    <w:rsid w:val="00C053A1"/>
    <w:rsid w:val="00C05F02"/>
    <w:rsid w:val="00C14941"/>
    <w:rsid w:val="00C16198"/>
    <w:rsid w:val="00C2083D"/>
    <w:rsid w:val="00C23970"/>
    <w:rsid w:val="00C24882"/>
    <w:rsid w:val="00C24A53"/>
    <w:rsid w:val="00C27E50"/>
    <w:rsid w:val="00C30FC2"/>
    <w:rsid w:val="00C325A7"/>
    <w:rsid w:val="00C32AA7"/>
    <w:rsid w:val="00C4032F"/>
    <w:rsid w:val="00C41A2D"/>
    <w:rsid w:val="00C44047"/>
    <w:rsid w:val="00C45155"/>
    <w:rsid w:val="00C47361"/>
    <w:rsid w:val="00C53D44"/>
    <w:rsid w:val="00C546E6"/>
    <w:rsid w:val="00C5498F"/>
    <w:rsid w:val="00C55235"/>
    <w:rsid w:val="00C573B3"/>
    <w:rsid w:val="00C6222D"/>
    <w:rsid w:val="00C64CD0"/>
    <w:rsid w:val="00C6684F"/>
    <w:rsid w:val="00C70E70"/>
    <w:rsid w:val="00C7234E"/>
    <w:rsid w:val="00C744F2"/>
    <w:rsid w:val="00C74ED3"/>
    <w:rsid w:val="00C75F8D"/>
    <w:rsid w:val="00C77380"/>
    <w:rsid w:val="00C8005E"/>
    <w:rsid w:val="00C831B5"/>
    <w:rsid w:val="00C84ED1"/>
    <w:rsid w:val="00C87802"/>
    <w:rsid w:val="00C97736"/>
    <w:rsid w:val="00CA345A"/>
    <w:rsid w:val="00CB1E82"/>
    <w:rsid w:val="00CB4BA8"/>
    <w:rsid w:val="00CB52D7"/>
    <w:rsid w:val="00CC040A"/>
    <w:rsid w:val="00CC13A8"/>
    <w:rsid w:val="00CC2E6C"/>
    <w:rsid w:val="00CC3A92"/>
    <w:rsid w:val="00CC57BB"/>
    <w:rsid w:val="00CC5E3F"/>
    <w:rsid w:val="00CC66F4"/>
    <w:rsid w:val="00CC6732"/>
    <w:rsid w:val="00CD3C19"/>
    <w:rsid w:val="00CD3D00"/>
    <w:rsid w:val="00CD7A55"/>
    <w:rsid w:val="00CE233A"/>
    <w:rsid w:val="00CE276A"/>
    <w:rsid w:val="00CE3C96"/>
    <w:rsid w:val="00CE4D99"/>
    <w:rsid w:val="00CE4DF1"/>
    <w:rsid w:val="00CE51A8"/>
    <w:rsid w:val="00CF369B"/>
    <w:rsid w:val="00CF5892"/>
    <w:rsid w:val="00D00E28"/>
    <w:rsid w:val="00D0269E"/>
    <w:rsid w:val="00D02E85"/>
    <w:rsid w:val="00D04BE3"/>
    <w:rsid w:val="00D04DF2"/>
    <w:rsid w:val="00D1349C"/>
    <w:rsid w:val="00D15810"/>
    <w:rsid w:val="00D16D4E"/>
    <w:rsid w:val="00D16FE3"/>
    <w:rsid w:val="00D25C16"/>
    <w:rsid w:val="00D27680"/>
    <w:rsid w:val="00D27F41"/>
    <w:rsid w:val="00D36441"/>
    <w:rsid w:val="00D4064E"/>
    <w:rsid w:val="00D42789"/>
    <w:rsid w:val="00D43603"/>
    <w:rsid w:val="00D44E9B"/>
    <w:rsid w:val="00D4593F"/>
    <w:rsid w:val="00D47AEB"/>
    <w:rsid w:val="00D50DB9"/>
    <w:rsid w:val="00D51AF5"/>
    <w:rsid w:val="00D52C43"/>
    <w:rsid w:val="00D5718C"/>
    <w:rsid w:val="00D6507F"/>
    <w:rsid w:val="00D73002"/>
    <w:rsid w:val="00D730BC"/>
    <w:rsid w:val="00D73912"/>
    <w:rsid w:val="00D8068E"/>
    <w:rsid w:val="00D81732"/>
    <w:rsid w:val="00D85226"/>
    <w:rsid w:val="00D857E9"/>
    <w:rsid w:val="00D87B94"/>
    <w:rsid w:val="00D92D49"/>
    <w:rsid w:val="00D92EC1"/>
    <w:rsid w:val="00D92FF8"/>
    <w:rsid w:val="00D945D4"/>
    <w:rsid w:val="00D96DEA"/>
    <w:rsid w:val="00DA1B46"/>
    <w:rsid w:val="00DA36C1"/>
    <w:rsid w:val="00DA3891"/>
    <w:rsid w:val="00DA4E41"/>
    <w:rsid w:val="00DB03BA"/>
    <w:rsid w:val="00DB117A"/>
    <w:rsid w:val="00DB2955"/>
    <w:rsid w:val="00DB5173"/>
    <w:rsid w:val="00DB6554"/>
    <w:rsid w:val="00DB7873"/>
    <w:rsid w:val="00DC187B"/>
    <w:rsid w:val="00DC3727"/>
    <w:rsid w:val="00DC679D"/>
    <w:rsid w:val="00DC7BD5"/>
    <w:rsid w:val="00DD04B5"/>
    <w:rsid w:val="00DD0AC5"/>
    <w:rsid w:val="00DD62C3"/>
    <w:rsid w:val="00DD73C2"/>
    <w:rsid w:val="00DE1F14"/>
    <w:rsid w:val="00DE1F7F"/>
    <w:rsid w:val="00DE2327"/>
    <w:rsid w:val="00DE2AB0"/>
    <w:rsid w:val="00DE319B"/>
    <w:rsid w:val="00DE4300"/>
    <w:rsid w:val="00DE7E88"/>
    <w:rsid w:val="00DF219E"/>
    <w:rsid w:val="00DF290F"/>
    <w:rsid w:val="00DF34FE"/>
    <w:rsid w:val="00DF56AA"/>
    <w:rsid w:val="00DF73DF"/>
    <w:rsid w:val="00DF78E7"/>
    <w:rsid w:val="00E02EF9"/>
    <w:rsid w:val="00E110E0"/>
    <w:rsid w:val="00E14158"/>
    <w:rsid w:val="00E15371"/>
    <w:rsid w:val="00E2320F"/>
    <w:rsid w:val="00E23ED8"/>
    <w:rsid w:val="00E24104"/>
    <w:rsid w:val="00E242CE"/>
    <w:rsid w:val="00E302D0"/>
    <w:rsid w:val="00E35707"/>
    <w:rsid w:val="00E36AA1"/>
    <w:rsid w:val="00E36F68"/>
    <w:rsid w:val="00E37D7F"/>
    <w:rsid w:val="00E41ECB"/>
    <w:rsid w:val="00E4367B"/>
    <w:rsid w:val="00E46697"/>
    <w:rsid w:val="00E54FDB"/>
    <w:rsid w:val="00E5617D"/>
    <w:rsid w:val="00E563D7"/>
    <w:rsid w:val="00E56C86"/>
    <w:rsid w:val="00E605C0"/>
    <w:rsid w:val="00E60ED9"/>
    <w:rsid w:val="00E615FE"/>
    <w:rsid w:val="00E628C6"/>
    <w:rsid w:val="00E63649"/>
    <w:rsid w:val="00E663F4"/>
    <w:rsid w:val="00E666F2"/>
    <w:rsid w:val="00E66DD4"/>
    <w:rsid w:val="00E67FEB"/>
    <w:rsid w:val="00E748CC"/>
    <w:rsid w:val="00E75415"/>
    <w:rsid w:val="00E775B1"/>
    <w:rsid w:val="00E813FE"/>
    <w:rsid w:val="00E8152A"/>
    <w:rsid w:val="00E82DB8"/>
    <w:rsid w:val="00E90896"/>
    <w:rsid w:val="00E91E68"/>
    <w:rsid w:val="00E93629"/>
    <w:rsid w:val="00E93B5C"/>
    <w:rsid w:val="00E94CEC"/>
    <w:rsid w:val="00E95B86"/>
    <w:rsid w:val="00E975D6"/>
    <w:rsid w:val="00EA04EF"/>
    <w:rsid w:val="00EA16E4"/>
    <w:rsid w:val="00EA438E"/>
    <w:rsid w:val="00EA6A6B"/>
    <w:rsid w:val="00EA6F19"/>
    <w:rsid w:val="00EB4854"/>
    <w:rsid w:val="00EB6B0D"/>
    <w:rsid w:val="00EB7090"/>
    <w:rsid w:val="00EC0CCA"/>
    <w:rsid w:val="00EC1698"/>
    <w:rsid w:val="00EC1BBE"/>
    <w:rsid w:val="00EC2A1D"/>
    <w:rsid w:val="00EC4BCE"/>
    <w:rsid w:val="00EC5CD7"/>
    <w:rsid w:val="00EC60CD"/>
    <w:rsid w:val="00ED3303"/>
    <w:rsid w:val="00ED479E"/>
    <w:rsid w:val="00ED71F4"/>
    <w:rsid w:val="00EE5FB3"/>
    <w:rsid w:val="00EE6547"/>
    <w:rsid w:val="00EE7C93"/>
    <w:rsid w:val="00EE7F79"/>
    <w:rsid w:val="00EF0183"/>
    <w:rsid w:val="00EF69D3"/>
    <w:rsid w:val="00EF715A"/>
    <w:rsid w:val="00F00538"/>
    <w:rsid w:val="00F03686"/>
    <w:rsid w:val="00F06E14"/>
    <w:rsid w:val="00F10B23"/>
    <w:rsid w:val="00F179D4"/>
    <w:rsid w:val="00F23DF7"/>
    <w:rsid w:val="00F27254"/>
    <w:rsid w:val="00F31620"/>
    <w:rsid w:val="00F33C56"/>
    <w:rsid w:val="00F347C7"/>
    <w:rsid w:val="00F34848"/>
    <w:rsid w:val="00F42D46"/>
    <w:rsid w:val="00F4496C"/>
    <w:rsid w:val="00F44F3A"/>
    <w:rsid w:val="00F46A74"/>
    <w:rsid w:val="00F50A9D"/>
    <w:rsid w:val="00F51F10"/>
    <w:rsid w:val="00F529A5"/>
    <w:rsid w:val="00F52ED4"/>
    <w:rsid w:val="00F57A1A"/>
    <w:rsid w:val="00F60F00"/>
    <w:rsid w:val="00F614C0"/>
    <w:rsid w:val="00F658B2"/>
    <w:rsid w:val="00F66B34"/>
    <w:rsid w:val="00F724E2"/>
    <w:rsid w:val="00F736DF"/>
    <w:rsid w:val="00F76F0B"/>
    <w:rsid w:val="00F814F6"/>
    <w:rsid w:val="00F83848"/>
    <w:rsid w:val="00F84973"/>
    <w:rsid w:val="00F873A5"/>
    <w:rsid w:val="00F975E9"/>
    <w:rsid w:val="00FA1B7D"/>
    <w:rsid w:val="00FA2B8D"/>
    <w:rsid w:val="00FA3C38"/>
    <w:rsid w:val="00FA486F"/>
    <w:rsid w:val="00FB09C9"/>
    <w:rsid w:val="00FB39D3"/>
    <w:rsid w:val="00FC07B9"/>
    <w:rsid w:val="00FC1B57"/>
    <w:rsid w:val="00FC4E21"/>
    <w:rsid w:val="00FC4F35"/>
    <w:rsid w:val="00FC5F6D"/>
    <w:rsid w:val="00FC7971"/>
    <w:rsid w:val="00FD0107"/>
    <w:rsid w:val="00FD1891"/>
    <w:rsid w:val="00FD2C2F"/>
    <w:rsid w:val="00FD3B31"/>
    <w:rsid w:val="00FE1823"/>
    <w:rsid w:val="00FE487A"/>
    <w:rsid w:val="00FF00DD"/>
    <w:rsid w:val="00FF0569"/>
    <w:rsid w:val="00FF206E"/>
    <w:rsid w:val="00FF3C69"/>
    <w:rsid w:val="00FF6D01"/>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ru v:ext="edit" colors="red,#4d4d4f"/>
    </o:shapedefaults>
    <o:shapelayout v:ext="edit">
      <o:idmap v:ext="edit" data="1"/>
    </o:shapelayout>
  </w:shapeDefaults>
  <w:decimalSymbol w:val="."/>
  <w:listSeparator w:val=","/>
  <w14:docId w14:val="7DCD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6F"/>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5"/>
      </w:numPr>
      <w:spacing w:before="240" w:after="60"/>
      <w:outlineLvl w:val="4"/>
    </w:pPr>
    <w:rPr>
      <w:b/>
      <w:bCs/>
      <w:i/>
      <w:iCs/>
      <w:sz w:val="26"/>
      <w:szCs w:val="26"/>
    </w:rPr>
  </w:style>
  <w:style w:type="paragraph" w:styleId="Heading6">
    <w:name w:val="heading 6"/>
    <w:basedOn w:val="Normal"/>
    <w:next w:val="Normal"/>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CCB"/>
    <w:rPr>
      <w:rFonts w:ascii="Arial" w:hAnsi="Arial" w:cs="Arial"/>
      <w:bCs/>
      <w:color w:val="323232"/>
      <w:kern w:val="32"/>
      <w:sz w:val="53"/>
      <w:szCs w:val="32"/>
    </w:rPr>
  </w:style>
  <w:style w:type="character" w:customStyle="1" w:styleId="Heading2Char">
    <w:name w:val="Heading 2 Char"/>
    <w:basedOn w:val="DefaultParagraphFont"/>
    <w:link w:val="Heading2"/>
    <w:rsid w:val="00163CCB"/>
    <w:rPr>
      <w:rFonts w:ascii="Arial" w:hAnsi="Arial" w:cs="Arial"/>
      <w:b/>
      <w:bCs/>
      <w:iCs/>
      <w:sz w:val="28"/>
      <w:szCs w:val="28"/>
    </w:rPr>
  </w:style>
  <w:style w:type="character" w:customStyle="1" w:styleId="Heading3Char">
    <w:name w:val="Heading 3 Char"/>
    <w:basedOn w:val="DefaultParagraphFont"/>
    <w:link w:val="Heading3"/>
    <w:rsid w:val="006744F6"/>
    <w:rPr>
      <w:rFonts w:ascii="Arial" w:hAnsi="Arial" w:cs="Arial"/>
      <w:b/>
      <w:bCs/>
      <w:sz w:val="20"/>
      <w:szCs w:val="26"/>
    </w:rPr>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link w:val="TableHeadingChar"/>
    <w:qFormat/>
    <w:rsid w:val="00774FDB"/>
    <w:pPr>
      <w:spacing w:after="0"/>
    </w:pPr>
    <w:rPr>
      <w:b/>
    </w:rPr>
  </w:style>
  <w:style w:type="character" w:customStyle="1" w:styleId="TableHeadingChar">
    <w:name w:val="Table Heading Char"/>
    <w:link w:val="TableHeading"/>
    <w:rsid w:val="006744F6"/>
    <w:rPr>
      <w:rFonts w:ascii="Arial" w:hAnsi="Arial"/>
      <w:b/>
      <w:sz w:val="20"/>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ABA Footnote Text,footnote text,Footnote Text Char1,Footnote Text Char Char,Footnote Text Char1 Char Char,Footnote Text Char Char Char Char,Footnote Text Char1 Char Char Char Char,f,ALTS FOOTNOTE"/>
    <w:basedOn w:val="Normal"/>
    <w:link w:val="FootnoteTextChar"/>
    <w:uiPriority w:val="99"/>
    <w:rsid w:val="00566AB4"/>
    <w:rPr>
      <w:sz w:val="16"/>
      <w:szCs w:val="16"/>
    </w:rPr>
  </w:style>
  <w:style w:type="character" w:customStyle="1" w:styleId="FootnoteTextChar">
    <w:name w:val="Footnote Text Char"/>
    <w:aliases w:val="ACMA Footnote Text Char,ABA Footnote Text Char,footnote text Char,Footnote Text Char1 Char,Footnote Text Char Char Char,Footnote Text Char1 Char Char Char,Footnote Text Char Char Char Char Char,f Char,ALTS FOOTNOTE Char"/>
    <w:basedOn w:val="DefaultParagraphFont"/>
    <w:link w:val="FootnoteText"/>
    <w:uiPriority w:val="99"/>
    <w:rsid w:val="006744F6"/>
    <w:rPr>
      <w:rFonts w:ascii="Arial" w:hAnsi="Arial"/>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22"/>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BodysubheaderH4">
    <w:name w:val="Body sub header (H4)"/>
    <w:basedOn w:val="Normal"/>
    <w:next w:val="Normal"/>
    <w:rsid w:val="006744F6"/>
    <w:pPr>
      <w:keepNext/>
      <w:spacing w:after="0"/>
    </w:pPr>
    <w:rPr>
      <w:b/>
      <w:i/>
    </w:rPr>
  </w:style>
  <w:style w:type="paragraph" w:customStyle="1" w:styleId="ACMATableText">
    <w:name w:val="ACMA Table Text"/>
    <w:rsid w:val="006744F6"/>
    <w:pPr>
      <w:spacing w:before="40" w:after="40"/>
    </w:pPr>
    <w:rPr>
      <w:rFonts w:ascii="Arial" w:hAnsi="Arial"/>
      <w:sz w:val="20"/>
      <w:szCs w:val="20"/>
      <w:lang w:eastAsia="en-US"/>
    </w:rPr>
  </w:style>
  <w:style w:type="paragraph" w:customStyle="1" w:styleId="TableTextLeft">
    <w:name w:val="Table Text Left"/>
    <w:basedOn w:val="Normal"/>
    <w:link w:val="TableTextLeftChar"/>
    <w:rsid w:val="006744F6"/>
    <w:pPr>
      <w:spacing w:before="60" w:after="60" w:line="240" w:lineRule="auto"/>
    </w:pPr>
    <w:rPr>
      <w:sz w:val="18"/>
      <w:szCs w:val="20"/>
    </w:rPr>
  </w:style>
  <w:style w:type="character" w:customStyle="1" w:styleId="TableTextLeftChar">
    <w:name w:val="Table Text Left Char"/>
    <w:basedOn w:val="DefaultParagraphFont"/>
    <w:link w:val="TableTextLeft"/>
    <w:rsid w:val="006744F6"/>
    <w:rPr>
      <w:rFonts w:ascii="Arial" w:hAnsi="Arial"/>
      <w:sz w:val="18"/>
      <w:szCs w:val="20"/>
    </w:rPr>
  </w:style>
  <w:style w:type="paragraph" w:styleId="PlainText">
    <w:name w:val="Plain Text"/>
    <w:basedOn w:val="Normal"/>
    <w:link w:val="PlainTextChar"/>
    <w:uiPriority w:val="99"/>
    <w:unhideWhenUsed/>
    <w:rsid w:val="006744F6"/>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744F6"/>
    <w:rPr>
      <w:rFonts w:ascii="Consolas" w:eastAsiaTheme="minorHAnsi" w:hAnsi="Consolas" w:cs="Consolas"/>
      <w:sz w:val="21"/>
      <w:szCs w:val="21"/>
    </w:rPr>
  </w:style>
  <w:style w:type="paragraph" w:customStyle="1" w:styleId="bodySUBSUBheaderh5">
    <w:name w:val="body SUB SUB header (h5)"/>
    <w:basedOn w:val="BodysubheaderH4"/>
    <w:qFormat/>
    <w:rsid w:val="006744F6"/>
    <w:rPr>
      <w:b w:val="0"/>
    </w:rPr>
  </w:style>
  <w:style w:type="character" w:customStyle="1" w:styleId="st">
    <w:name w:val="st"/>
    <w:basedOn w:val="DefaultParagraphFont"/>
    <w:rsid w:val="006744F6"/>
  </w:style>
  <w:style w:type="paragraph" w:customStyle="1" w:styleId="TableHeading0">
    <w:name w:val="Table Heading_"/>
    <w:basedOn w:val="Normal"/>
    <w:qFormat/>
    <w:rsid w:val="006744F6"/>
    <w:pPr>
      <w:spacing w:before="120" w:after="20" w:line="240" w:lineRule="auto"/>
    </w:pPr>
    <w:rPr>
      <w:b/>
      <w:szCs w:val="20"/>
    </w:rPr>
  </w:style>
  <w:style w:type="paragraph" w:customStyle="1" w:styleId="BulletBookAntiquaAMCA">
    <w:name w:val="Bullet Book Antiqua AMCA"/>
    <w:basedOn w:val="Normal"/>
    <w:rsid w:val="006744F6"/>
    <w:pPr>
      <w:numPr>
        <w:numId w:val="10"/>
      </w:numPr>
      <w:spacing w:before="60" w:after="60" w:line="240" w:lineRule="auto"/>
      <w:jc w:val="both"/>
    </w:pPr>
    <w:rPr>
      <w:rFonts w:ascii="Book Antiqua" w:hAnsi="Book Antiqua"/>
      <w:color w:val="000000"/>
      <w:szCs w:val="20"/>
    </w:rPr>
  </w:style>
  <w:style w:type="paragraph" w:customStyle="1" w:styleId="ReportTitle">
    <w:name w:val="Report Title"/>
    <w:basedOn w:val="Normal"/>
    <w:rsid w:val="00163CCB"/>
    <w:pPr>
      <w:spacing w:after="0"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163CCB"/>
    <w:pPr>
      <w:spacing w:after="0" w:line="560" w:lineRule="exact"/>
    </w:pPr>
    <w:rPr>
      <w:color w:val="808285"/>
      <w:spacing w:val="-28"/>
      <w:sz w:val="53"/>
    </w:rPr>
  </w:style>
  <w:style w:type="paragraph" w:customStyle="1" w:styleId="ReportDate">
    <w:name w:val="Report Date"/>
    <w:basedOn w:val="ReportSubtitle"/>
    <w:rsid w:val="00163CCB"/>
    <w:pPr>
      <w:spacing w:line="240" w:lineRule="auto"/>
    </w:pPr>
    <w:rPr>
      <w:caps/>
      <w:spacing w:val="-10"/>
      <w:sz w:val="20"/>
    </w:rPr>
  </w:style>
  <w:style w:type="paragraph" w:customStyle="1" w:styleId="ExecSummaryHeading">
    <w:name w:val="Exec Summary Heading"/>
    <w:basedOn w:val="Normal"/>
    <w:rsid w:val="00163CCB"/>
    <w:pPr>
      <w:spacing w:after="1440" w:line="550" w:lineRule="exact"/>
    </w:pPr>
    <w:rPr>
      <w:rFonts w:ascii="HelveticaNeueLT Std Med" w:hAnsi="HelveticaNeueLT Std Med"/>
      <w:b/>
      <w:color w:val="4D4D4F"/>
      <w:spacing w:val="-18"/>
      <w:sz w:val="53"/>
    </w:rPr>
  </w:style>
  <w:style w:type="paragraph" w:styleId="TOC9">
    <w:name w:val="toc 9"/>
    <w:basedOn w:val="Normal"/>
    <w:next w:val="Normal"/>
    <w:uiPriority w:val="39"/>
    <w:rsid w:val="00163CCB"/>
    <w:pPr>
      <w:tabs>
        <w:tab w:val="right" w:pos="7660"/>
      </w:tabs>
      <w:spacing w:before="280" w:after="0" w:line="320" w:lineRule="exact"/>
    </w:pPr>
    <w:rPr>
      <w:rFonts w:ascii="HelveticaNeueLT Std Med" w:hAnsi="HelveticaNeueLT Std Med"/>
      <w:b/>
      <w:noProof/>
      <w:color w:val="808285"/>
      <w:sz w:val="28"/>
      <w:szCs w:val="28"/>
    </w:rPr>
  </w:style>
  <w:style w:type="paragraph" w:customStyle="1" w:styleId="ChapterHeading">
    <w:name w:val="Chapter Heading"/>
    <w:basedOn w:val="Normal"/>
    <w:rsid w:val="00163CCB"/>
    <w:pPr>
      <w:spacing w:after="0" w:line="560" w:lineRule="exact"/>
    </w:pPr>
    <w:rPr>
      <w:color w:val="808285"/>
      <w:spacing w:val="-28"/>
      <w:sz w:val="53"/>
    </w:rPr>
  </w:style>
  <w:style w:type="paragraph" w:customStyle="1" w:styleId="ACMABodyText">
    <w:name w:val="ACMA Body Text"/>
    <w:link w:val="ACMABodyTextChar"/>
    <w:rsid w:val="00163CCB"/>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163CCB"/>
    <w:rPr>
      <w:snapToGrid w:val="0"/>
      <w:szCs w:val="20"/>
      <w:lang w:eastAsia="en-US"/>
    </w:rPr>
  </w:style>
  <w:style w:type="paragraph" w:styleId="ListParagraph">
    <w:name w:val="List Paragraph"/>
    <w:basedOn w:val="Normal"/>
    <w:link w:val="ListParagraphChar"/>
    <w:uiPriority w:val="34"/>
    <w:qFormat/>
    <w:rsid w:val="00163CCB"/>
    <w:pPr>
      <w:spacing w:after="0"/>
      <w:ind w:left="720"/>
      <w:contextualSpacing/>
    </w:pPr>
  </w:style>
  <w:style w:type="character" w:customStyle="1" w:styleId="ListParagraphChar">
    <w:name w:val="List Paragraph Char"/>
    <w:basedOn w:val="DefaultParagraphFont"/>
    <w:link w:val="ListParagraph"/>
    <w:uiPriority w:val="34"/>
    <w:locked/>
    <w:rsid w:val="00163CCB"/>
    <w:rPr>
      <w:rFonts w:ascii="Arial" w:hAnsi="Arial"/>
      <w:sz w:val="20"/>
    </w:rPr>
  </w:style>
  <w:style w:type="paragraph" w:customStyle="1" w:styleId="TableTextCentred">
    <w:name w:val="Table Text Centred"/>
    <w:basedOn w:val="Normal"/>
    <w:rsid w:val="00163CCB"/>
    <w:pPr>
      <w:spacing w:before="60" w:after="60" w:line="240" w:lineRule="auto"/>
      <w:jc w:val="center"/>
    </w:pPr>
    <w:rPr>
      <w:sz w:val="18"/>
      <w:szCs w:val="20"/>
    </w:rPr>
  </w:style>
  <w:style w:type="paragraph" w:customStyle="1" w:styleId="Style1">
    <w:name w:val="Style1"/>
    <w:basedOn w:val="Normal"/>
    <w:link w:val="Style1Char"/>
    <w:qFormat/>
    <w:rsid w:val="00163CCB"/>
    <w:pPr>
      <w:spacing w:after="0" w:line="240" w:lineRule="auto"/>
    </w:pPr>
    <w:rPr>
      <w:rFonts w:ascii="Times New Roman" w:eastAsia="Calibri" w:hAnsi="Times New Roman"/>
      <w:sz w:val="24"/>
    </w:rPr>
  </w:style>
  <w:style w:type="character" w:customStyle="1" w:styleId="Style1Char">
    <w:name w:val="Style1 Char"/>
    <w:basedOn w:val="DefaultParagraphFont"/>
    <w:link w:val="Style1"/>
    <w:rsid w:val="00163CCB"/>
    <w:rPr>
      <w:rFonts w:eastAsia="Calibri"/>
    </w:rPr>
  </w:style>
  <w:style w:type="paragraph" w:styleId="NormalWeb">
    <w:name w:val="Normal (Web)"/>
    <w:basedOn w:val="Normal"/>
    <w:uiPriority w:val="99"/>
    <w:unhideWhenUsed/>
    <w:rsid w:val="00163CCB"/>
    <w:pPr>
      <w:spacing w:before="100" w:beforeAutospacing="1" w:after="100" w:afterAutospacing="1" w:line="240" w:lineRule="auto"/>
    </w:pPr>
    <w:rPr>
      <w:rFonts w:ascii="Times New Roman" w:hAnsi="Times New Roman"/>
      <w:sz w:val="24"/>
    </w:rPr>
  </w:style>
  <w:style w:type="paragraph" w:styleId="TOC4">
    <w:name w:val="toc 4"/>
    <w:basedOn w:val="Normal"/>
    <w:next w:val="Normal"/>
    <w:autoRedefine/>
    <w:uiPriority w:val="39"/>
    <w:unhideWhenUsed/>
    <w:rsid w:val="00163CC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63CC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63CC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63CC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63CCB"/>
    <w:pPr>
      <w:spacing w:after="100" w:line="276" w:lineRule="auto"/>
      <w:ind w:left="1540"/>
    </w:pPr>
    <w:rPr>
      <w:rFonts w:ascii="Calibri" w:hAnsi="Calibri"/>
      <w:sz w:val="22"/>
      <w:szCs w:val="22"/>
    </w:rPr>
  </w:style>
  <w:style w:type="paragraph" w:customStyle="1" w:styleId="RecipientLetter">
    <w:name w:val="Recipient Letter"/>
    <w:basedOn w:val="Normal"/>
    <w:rsid w:val="00163CCB"/>
    <w:pPr>
      <w:spacing w:after="0" w:line="260" w:lineRule="atLeast"/>
    </w:pPr>
    <w:rPr>
      <w:color w:val="4D4D4F"/>
      <w:sz w:val="19"/>
    </w:rPr>
  </w:style>
  <w:style w:type="paragraph" w:customStyle="1" w:styleId="paragraph">
    <w:name w:val="paragraph"/>
    <w:aliases w:val="a"/>
    <w:rsid w:val="00163CCB"/>
    <w:pPr>
      <w:tabs>
        <w:tab w:val="right" w:pos="1531"/>
      </w:tabs>
      <w:spacing w:before="40"/>
      <w:ind w:left="1644" w:hanging="1644"/>
    </w:pPr>
    <w:rPr>
      <w:sz w:val="22"/>
    </w:rPr>
  </w:style>
  <w:style w:type="paragraph" w:customStyle="1" w:styleId="ACMANumberedList">
    <w:name w:val="ACMA Numbered List"/>
    <w:rsid w:val="00163CCB"/>
    <w:pPr>
      <w:numPr>
        <w:numId w:val="11"/>
      </w:numPr>
      <w:spacing w:before="20" w:after="20"/>
    </w:pPr>
    <w:rPr>
      <w:szCs w:val="20"/>
      <w:lang w:eastAsia="en-US"/>
    </w:rPr>
  </w:style>
  <w:style w:type="paragraph" w:customStyle="1" w:styleId="Pa21">
    <w:name w:val="Pa21"/>
    <w:basedOn w:val="Normal"/>
    <w:uiPriority w:val="99"/>
    <w:rsid w:val="00163CCB"/>
    <w:pPr>
      <w:autoSpaceDE w:val="0"/>
      <w:autoSpaceDN w:val="0"/>
      <w:spacing w:after="0" w:line="201" w:lineRule="atLeast"/>
    </w:pPr>
    <w:rPr>
      <w:rFonts w:ascii="Geogrotesque Lg" w:eastAsiaTheme="minorHAnsi" w:hAnsi="Geogrotesque Lg"/>
      <w:sz w:val="24"/>
    </w:rPr>
  </w:style>
  <w:style w:type="paragraph" w:customStyle="1" w:styleId="Pa3">
    <w:name w:val="Pa3"/>
    <w:basedOn w:val="Normal"/>
    <w:uiPriority w:val="99"/>
    <w:rsid w:val="00163CCB"/>
    <w:pPr>
      <w:autoSpaceDE w:val="0"/>
      <w:autoSpaceDN w:val="0"/>
      <w:spacing w:after="0" w:line="181" w:lineRule="atLeast"/>
    </w:pPr>
    <w:rPr>
      <w:rFonts w:ascii="Geogrotesque Lg" w:eastAsiaTheme="minorHAnsi" w:hAnsi="Geogrotesque Lg"/>
      <w:sz w:val="24"/>
    </w:rPr>
  </w:style>
  <w:style w:type="paragraph" w:customStyle="1" w:styleId="Default">
    <w:name w:val="Default"/>
    <w:basedOn w:val="Normal"/>
    <w:uiPriority w:val="99"/>
    <w:rsid w:val="00163CCB"/>
    <w:pPr>
      <w:autoSpaceDE w:val="0"/>
      <w:autoSpaceDN w:val="0"/>
      <w:spacing w:after="0" w:line="240" w:lineRule="auto"/>
    </w:pPr>
    <w:rPr>
      <w:rFonts w:ascii="Times New Roman" w:eastAsiaTheme="minorHAnsi" w:hAnsi="Times New Roman"/>
      <w:color w:val="000000"/>
      <w:sz w:val="24"/>
    </w:rPr>
  </w:style>
  <w:style w:type="paragraph" w:styleId="BodyText">
    <w:name w:val="Body Text"/>
    <w:basedOn w:val="Normal"/>
    <w:link w:val="BodyTextChar"/>
    <w:unhideWhenUsed/>
    <w:rsid w:val="00163CCB"/>
    <w:pPr>
      <w:spacing w:before="80" w:after="120" w:line="280" w:lineRule="atLeast"/>
    </w:pPr>
    <w:rPr>
      <w:rFonts w:ascii="Times New Roman" w:hAnsi="Times New Roman"/>
      <w:sz w:val="24"/>
      <w:lang w:eastAsia="en-US"/>
    </w:rPr>
  </w:style>
  <w:style w:type="character" w:customStyle="1" w:styleId="BodyTextChar">
    <w:name w:val="Body Text Char"/>
    <w:basedOn w:val="DefaultParagraphFont"/>
    <w:link w:val="BodyText"/>
    <w:rsid w:val="00163CCB"/>
    <w:rPr>
      <w:lang w:eastAsia="en-US"/>
    </w:rPr>
  </w:style>
  <w:style w:type="paragraph" w:customStyle="1" w:styleId="ACMABulletLevel1">
    <w:name w:val="ACMA Bullet Level 1"/>
    <w:rsid w:val="00163CCB"/>
    <w:pPr>
      <w:numPr>
        <w:numId w:val="12"/>
      </w:numPr>
    </w:pPr>
    <w:rPr>
      <w:szCs w:val="20"/>
      <w:lang w:eastAsia="en-US"/>
    </w:rPr>
  </w:style>
  <w:style w:type="paragraph" w:customStyle="1" w:styleId="ACMAHeading2">
    <w:name w:val="ACMA Heading 2"/>
    <w:next w:val="ACMABodyText"/>
    <w:rsid w:val="00163CCB"/>
    <w:pPr>
      <w:keepNext/>
      <w:suppressAutoHyphens/>
      <w:spacing w:before="240"/>
      <w:outlineLvl w:val="2"/>
    </w:pPr>
    <w:rPr>
      <w:rFonts w:ascii="Arial" w:hAnsi="Arial"/>
      <w:b/>
      <w:caps/>
      <w:sz w:val="26"/>
      <w:szCs w:val="26"/>
      <w:lang w:val="en-US" w:eastAsia="en-US"/>
    </w:rPr>
  </w:style>
  <w:style w:type="paragraph" w:customStyle="1" w:styleId="ms-rtethemefontface-2">
    <w:name w:val="ms-rtethemefontface-2"/>
    <w:basedOn w:val="Normal"/>
    <w:rsid w:val="00163CCB"/>
    <w:pPr>
      <w:spacing w:line="360" w:lineRule="atLeast"/>
    </w:pPr>
    <w:rPr>
      <w:rFonts w:ascii="Times New Roman" w:hAnsi="Times New Roman"/>
      <w:sz w:val="24"/>
    </w:rPr>
  </w:style>
  <w:style w:type="paragraph" w:customStyle="1" w:styleId="Bodysubheader0">
    <w:name w:val="Body sub header"/>
    <w:basedOn w:val="Normal"/>
    <w:next w:val="Normal"/>
    <w:rsid w:val="00163CCB"/>
    <w:pPr>
      <w:spacing w:after="0"/>
    </w:pPr>
    <w:rPr>
      <w:rFonts w:ascii="HelveticaNeueLT Std" w:hAnsi="HelveticaNeueLT Std"/>
      <w:b/>
      <w:i/>
    </w:rPr>
  </w:style>
  <w:style w:type="paragraph" w:styleId="NoSpacing">
    <w:name w:val="No Spacing"/>
    <w:uiPriority w:val="1"/>
    <w:qFormat/>
    <w:rsid w:val="00163CCB"/>
    <w:rPr>
      <w:rFonts w:asciiTheme="minorHAnsi" w:eastAsiaTheme="minorHAnsi" w:hAnsiTheme="minorHAnsi" w:cstheme="minorBidi"/>
      <w:sz w:val="22"/>
      <w:szCs w:val="22"/>
      <w:lang w:eastAsia="en-US"/>
    </w:rPr>
  </w:style>
  <w:style w:type="paragraph" w:customStyle="1" w:styleId="ACMAHeading4">
    <w:name w:val="ACMA Heading 4"/>
    <w:next w:val="Normal"/>
    <w:rsid w:val="00163CCB"/>
    <w:pPr>
      <w:keepNext/>
      <w:suppressAutoHyphens/>
      <w:spacing w:before="80"/>
      <w:outlineLvl w:val="4"/>
    </w:pPr>
    <w:rPr>
      <w:rFonts w:ascii="Arial" w:hAnsi="Arial" w:cs="Arial"/>
      <w:b/>
      <w:i/>
      <w:sz w:val="20"/>
      <w:lang w:eastAsia="en-US"/>
    </w:rPr>
  </w:style>
  <w:style w:type="paragraph" w:customStyle="1" w:styleId="ABATableText">
    <w:name w:val="ABA Table Text"/>
    <w:autoRedefine/>
    <w:rsid w:val="00163CCB"/>
    <w:pPr>
      <w:spacing w:before="40" w:after="40" w:line="280" w:lineRule="atLeast"/>
      <w:jc w:val="center"/>
    </w:pPr>
    <w:rPr>
      <w:rFonts w:ascii="Arial" w:hAnsi="Arial"/>
      <w:sz w:val="18"/>
      <w:szCs w:val="20"/>
      <w:lang w:eastAsia="en-US"/>
    </w:rPr>
  </w:style>
  <w:style w:type="paragraph" w:customStyle="1" w:styleId="Imagecaption">
    <w:name w:val="Image caption"/>
    <w:basedOn w:val="PlainText"/>
    <w:qFormat/>
    <w:rsid w:val="00163CCB"/>
    <w:pPr>
      <w:spacing w:before="120"/>
    </w:pPr>
    <w:rPr>
      <w:rFonts w:ascii="Arial" w:hAnsi="Arial" w:cs="Arial"/>
      <w:i/>
      <w:iCs/>
      <w:sz w:val="16"/>
      <w:szCs w:val="16"/>
    </w:rPr>
  </w:style>
  <w:style w:type="paragraph" w:customStyle="1" w:styleId="ACMTableFigureFootnoteACMTables">
    <w:name w:val="ACM_Table/Figure_Footnote (ACM_Tables)"/>
    <w:basedOn w:val="Normal"/>
    <w:uiPriority w:val="99"/>
    <w:rsid w:val="00163CCB"/>
    <w:pPr>
      <w:tabs>
        <w:tab w:val="left" w:pos="283"/>
        <w:tab w:val="left" w:pos="425"/>
      </w:tabs>
      <w:suppressAutoHyphens/>
      <w:autoSpaceDE w:val="0"/>
      <w:autoSpaceDN w:val="0"/>
      <w:adjustRightInd w:val="0"/>
      <w:spacing w:after="0" w:line="288" w:lineRule="auto"/>
      <w:textAlignment w:val="center"/>
    </w:pPr>
    <w:rPr>
      <w:rFonts w:ascii="HelveticaNeueLT Std Lt" w:hAnsi="HelveticaNeueLT Std Lt" w:cs="HelveticaNeueLT Std Lt"/>
      <w:i/>
      <w:iCs/>
      <w:color w:val="656565"/>
      <w:sz w:val="14"/>
      <w:szCs w:val="14"/>
      <w:lang w:val="en-GB"/>
    </w:rPr>
  </w:style>
  <w:style w:type="paragraph" w:customStyle="1" w:styleId="ACMBodyText">
    <w:name w:val="ACM_BodyText"/>
    <w:basedOn w:val="Normal"/>
    <w:uiPriority w:val="99"/>
    <w:rsid w:val="00163CCB"/>
    <w:pPr>
      <w:tabs>
        <w:tab w:val="left" w:pos="142"/>
        <w:tab w:val="left" w:pos="425"/>
      </w:tabs>
      <w:suppressAutoHyphens/>
      <w:autoSpaceDE w:val="0"/>
      <w:autoSpaceDN w:val="0"/>
      <w:adjustRightInd w:val="0"/>
      <w:spacing w:after="142" w:line="204" w:lineRule="atLeast"/>
      <w:textAlignment w:val="center"/>
    </w:pPr>
    <w:rPr>
      <w:rFonts w:ascii="HelveticaNeueLT Std Lt" w:hAnsi="HelveticaNeueLT Std Lt" w:cs="HelveticaNeueLT Std Lt"/>
      <w:color w:val="262626"/>
      <w:sz w:val="17"/>
      <w:szCs w:val="17"/>
      <w:lang w:val="en-GB"/>
    </w:rPr>
  </w:style>
  <w:style w:type="character" w:customStyle="1" w:styleId="ACMHighlightMissingText">
    <w:name w:val="ACM_HighlightMissingText"/>
    <w:uiPriority w:val="99"/>
    <w:rsid w:val="00163CCB"/>
    <w:rPr>
      <w:color w:val="FF00FF"/>
    </w:rPr>
  </w:style>
  <w:style w:type="paragraph" w:customStyle="1" w:styleId="ACMBodyTextHighlightsACMHighlights">
    <w:name w:val="ACM_BodyText_Highlights (ACM_Highlights)"/>
    <w:basedOn w:val="Normal"/>
    <w:uiPriority w:val="99"/>
    <w:rsid w:val="00163CCB"/>
    <w:pPr>
      <w:tabs>
        <w:tab w:val="left" w:pos="142"/>
        <w:tab w:val="left" w:pos="425"/>
      </w:tabs>
      <w:suppressAutoHyphens/>
      <w:autoSpaceDE w:val="0"/>
      <w:autoSpaceDN w:val="0"/>
      <w:adjustRightInd w:val="0"/>
      <w:spacing w:after="142"/>
      <w:textAlignment w:val="center"/>
    </w:pPr>
    <w:rPr>
      <w:rFonts w:ascii="HelveticaNeueLT Std Lt" w:hAnsi="HelveticaNeueLT Std Lt" w:cs="HelveticaNeueLT Std Lt"/>
      <w:color w:val="4C4C4E"/>
      <w:szCs w:val="20"/>
      <w:lang w:val="en-GB"/>
    </w:rPr>
  </w:style>
  <w:style w:type="paragraph" w:customStyle="1" w:styleId="ACMTableBodyACMTables">
    <w:name w:val="ACM_TableBody (ACM_Tables)"/>
    <w:basedOn w:val="Normal"/>
    <w:uiPriority w:val="99"/>
    <w:rsid w:val="00163CCB"/>
    <w:pPr>
      <w:tabs>
        <w:tab w:val="left" w:pos="142"/>
        <w:tab w:val="left" w:pos="425"/>
      </w:tabs>
      <w:suppressAutoHyphens/>
      <w:autoSpaceDE w:val="0"/>
      <w:autoSpaceDN w:val="0"/>
      <w:adjustRightInd w:val="0"/>
      <w:spacing w:after="142" w:line="288" w:lineRule="auto"/>
      <w:textAlignment w:val="center"/>
    </w:pPr>
    <w:rPr>
      <w:rFonts w:ascii="HelveticaNeueLT Std Lt" w:hAnsi="HelveticaNeueLT Std Lt" w:cs="HelveticaNeueLT Std Lt"/>
      <w:color w:val="4C4C4E"/>
      <w:sz w:val="14"/>
      <w:szCs w:val="14"/>
      <w:lang w:val="en-GB"/>
    </w:rPr>
  </w:style>
  <w:style w:type="character" w:customStyle="1" w:styleId="TableText10ptJustifiedChar">
    <w:name w:val="Table Text 10pt Justified Char"/>
    <w:link w:val="TableText10ptJustified"/>
    <w:locked/>
    <w:rsid w:val="00163CCB"/>
    <w:rPr>
      <w:rFonts w:ascii="Book Antiqua" w:hAnsi="Book Antiqua"/>
      <w:lang w:val="en-US" w:bidi="en-US"/>
    </w:rPr>
  </w:style>
  <w:style w:type="paragraph" w:customStyle="1" w:styleId="TableText10ptJustified">
    <w:name w:val="Table Text 10pt Justified"/>
    <w:basedOn w:val="Normal"/>
    <w:link w:val="TableText10ptJustifiedChar"/>
    <w:rsid w:val="00163CCB"/>
    <w:pPr>
      <w:tabs>
        <w:tab w:val="left" w:pos="567"/>
      </w:tabs>
      <w:spacing w:before="60" w:after="60" w:line="240" w:lineRule="auto"/>
      <w:jc w:val="both"/>
    </w:pPr>
    <w:rPr>
      <w:rFonts w:ascii="Book Antiqua" w:hAnsi="Book Antiqua"/>
      <w:sz w:val="24"/>
      <w:lang w:val="en-US" w:bidi="en-US"/>
    </w:rPr>
  </w:style>
  <w:style w:type="paragraph" w:styleId="Revision">
    <w:name w:val="Revision"/>
    <w:hidden/>
    <w:uiPriority w:val="99"/>
    <w:semiHidden/>
    <w:rsid w:val="00953823"/>
    <w:rPr>
      <w:rFonts w:ascii="Arial" w:hAnsi="Arial"/>
      <w:sz w:val="20"/>
    </w:rPr>
  </w:style>
  <w:style w:type="character" w:styleId="HTMLCite">
    <w:name w:val="HTML Cite"/>
    <w:basedOn w:val="DefaultParagraphFont"/>
    <w:uiPriority w:val="99"/>
    <w:semiHidden/>
    <w:unhideWhenUsed/>
    <w:rsid w:val="009E0F41"/>
    <w:rPr>
      <w:i/>
      <w:iCs/>
    </w:rPr>
  </w:style>
  <w:style w:type="paragraph" w:customStyle="1" w:styleId="BasicParagraph">
    <w:name w:val="[Basic Paragraph]"/>
    <w:basedOn w:val="Normal"/>
    <w:uiPriority w:val="99"/>
    <w:rsid w:val="004B33A8"/>
    <w:pPr>
      <w:suppressAutoHyphens/>
      <w:autoSpaceDE w:val="0"/>
      <w:autoSpaceDN w:val="0"/>
      <w:adjustRightInd w:val="0"/>
      <w:spacing w:after="0" w:line="288" w:lineRule="auto"/>
      <w:textAlignment w:val="center"/>
    </w:pPr>
    <w:rPr>
      <w:rFonts w:ascii="MinionPro-Regular" w:hAnsi="MinionPro-Regular" w:cs="MinionPro-Regular"/>
      <w:color w:val="000000"/>
      <w:sz w:val="24"/>
      <w:lang w:val="en-US"/>
    </w:rPr>
  </w:style>
  <w:style w:type="paragraph" w:customStyle="1" w:styleId="italsbulletsfinal">
    <w:name w:val="itals bullets final"/>
    <w:basedOn w:val="Normal"/>
    <w:uiPriority w:val="99"/>
    <w:rsid w:val="004B33A8"/>
    <w:pPr>
      <w:tabs>
        <w:tab w:val="left" w:pos="0"/>
        <w:tab w:val="left" w:pos="220"/>
      </w:tabs>
      <w:suppressAutoHyphens/>
      <w:autoSpaceDE w:val="0"/>
      <w:autoSpaceDN w:val="0"/>
      <w:adjustRightInd w:val="0"/>
      <w:spacing w:after="40" w:line="288" w:lineRule="auto"/>
      <w:ind w:left="220" w:hanging="220"/>
      <w:textAlignment w:val="center"/>
    </w:pPr>
    <w:rPr>
      <w:rFonts w:ascii="HelveticaNeueLT Std" w:hAnsi="HelveticaNeueLT Std" w:cs="HelveticaNeueLT Std"/>
      <w:i/>
      <w:iCs/>
      <w:color w:val="000000"/>
      <w:sz w:val="24"/>
      <w:lang w:val="en-US"/>
    </w:rPr>
  </w:style>
  <w:style w:type="paragraph" w:customStyle="1" w:styleId="darktext">
    <w:name w:val="dark text"/>
    <w:basedOn w:val="Normal"/>
    <w:uiPriority w:val="99"/>
    <w:rsid w:val="004B33A8"/>
    <w:pPr>
      <w:suppressAutoHyphens/>
      <w:autoSpaceDE w:val="0"/>
      <w:autoSpaceDN w:val="0"/>
      <w:adjustRightInd w:val="0"/>
      <w:spacing w:after="160" w:line="288" w:lineRule="auto"/>
      <w:textAlignment w:val="center"/>
    </w:pPr>
    <w:rPr>
      <w:rFonts w:ascii="HelveticaNeueLT Std Med" w:hAnsi="HelveticaNeueLT Std Med" w:cs="HelveticaNeueLT Std Med"/>
      <w:color w:val="000000"/>
      <w:sz w:val="24"/>
      <w:lang w:val="en-US"/>
    </w:rPr>
  </w:style>
  <w:style w:type="character" w:customStyle="1" w:styleId="bodylight">
    <w:name w:val="body light"/>
    <w:uiPriority w:val="99"/>
    <w:rsid w:val="004B33A8"/>
    <w:rPr>
      <w:rFonts w:ascii="HelveticaNeueLT Std Lt" w:hAnsi="HelveticaNeueLT Std Lt" w:cs="HelveticaNeueLT Std Lt"/>
    </w:rPr>
  </w:style>
  <w:style w:type="character" w:customStyle="1" w:styleId="bodydark">
    <w:name w:val="body dark"/>
    <w:uiPriority w:val="99"/>
    <w:rsid w:val="004B33A8"/>
    <w:rPr>
      <w:rFonts w:ascii="HelveticaNeueLT Std Med" w:hAnsi="HelveticaNeueLT Std Med" w:cs="HelveticaNeueLT Std Med"/>
    </w:rPr>
  </w:style>
  <w:style w:type="paragraph" w:customStyle="1" w:styleId="GridTable31">
    <w:name w:val="Grid Table 31"/>
    <w:basedOn w:val="Normal"/>
    <w:qFormat/>
    <w:rsid w:val="00C24882"/>
    <w:pPr>
      <w:spacing w:after="0" w:line="240" w:lineRule="auto"/>
    </w:pPr>
    <w:rPr>
      <w:b/>
      <w:color w:val="4D4D4F"/>
      <w:spacing w:val="-28"/>
      <w:sz w:val="53"/>
    </w:rPr>
  </w:style>
  <w:style w:type="character" w:customStyle="1" w:styleId="HeaderChar">
    <w:name w:val="Header Char"/>
    <w:link w:val="Header"/>
    <w:semiHidden/>
    <w:rsid w:val="00C2488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5852">
      <w:bodyDiv w:val="1"/>
      <w:marLeft w:val="0"/>
      <w:marRight w:val="0"/>
      <w:marTop w:val="0"/>
      <w:marBottom w:val="0"/>
      <w:divBdr>
        <w:top w:val="none" w:sz="0" w:space="0" w:color="auto"/>
        <w:left w:val="none" w:sz="0" w:space="0" w:color="auto"/>
        <w:bottom w:val="none" w:sz="0" w:space="0" w:color="auto"/>
        <w:right w:val="none" w:sz="0" w:space="0" w:color="auto"/>
      </w:divBdr>
    </w:div>
    <w:div w:id="704596373">
      <w:bodyDiv w:val="1"/>
      <w:marLeft w:val="0"/>
      <w:marRight w:val="0"/>
      <w:marTop w:val="0"/>
      <w:marBottom w:val="0"/>
      <w:divBdr>
        <w:top w:val="none" w:sz="0" w:space="0" w:color="auto"/>
        <w:left w:val="none" w:sz="0" w:space="0" w:color="auto"/>
        <w:bottom w:val="none" w:sz="0" w:space="0" w:color="auto"/>
        <w:right w:val="none" w:sz="0" w:space="0" w:color="auto"/>
      </w:divBdr>
    </w:div>
    <w:div w:id="1072123895">
      <w:bodyDiv w:val="1"/>
      <w:marLeft w:val="0"/>
      <w:marRight w:val="0"/>
      <w:marTop w:val="0"/>
      <w:marBottom w:val="0"/>
      <w:divBdr>
        <w:top w:val="none" w:sz="0" w:space="0" w:color="auto"/>
        <w:left w:val="none" w:sz="0" w:space="0" w:color="auto"/>
        <w:bottom w:val="none" w:sz="0" w:space="0" w:color="auto"/>
        <w:right w:val="none" w:sz="0" w:space="0" w:color="auto"/>
      </w:divBdr>
    </w:div>
    <w:div w:id="14968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ACVIC01SRVP1\CAI$\Publications\Annual%20reports\Annual%20report%202011-12\First%20request\www.acma.gov.au\annualreport" TargetMode="External"/><Relationship Id="rId26" Type="http://schemas.openxmlformats.org/officeDocument/2006/relationships/footer" Target="footer7.xml"/><Relationship Id="rId39" Type="http://schemas.openxmlformats.org/officeDocument/2006/relationships/image" Target="media/image13.jpeg"/><Relationship Id="rId21" Type="http://schemas.openxmlformats.org/officeDocument/2006/relationships/footer" Target="footer4.xml"/><Relationship Id="rId34" Type="http://schemas.openxmlformats.org/officeDocument/2006/relationships/image" Target="media/image9.jpg"/><Relationship Id="rId42" Type="http://schemas.openxmlformats.org/officeDocument/2006/relationships/image" Target="media/image15.jpg"/><Relationship Id="rId47" Type="http://schemas.openxmlformats.org/officeDocument/2006/relationships/hyperlink" Target="http://www.apsc.gov.au/" TargetMode="External"/><Relationship Id="rId50" Type="http://schemas.openxmlformats.org/officeDocument/2006/relationships/hyperlink" Target="http://www.treasury.gov.au/PublicationsAndMedia/Publications/2014/sml-bus-performance-repor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6.xml"/><Relationship Id="rId33" Type="http://schemas.openxmlformats.org/officeDocument/2006/relationships/image" Target="media/image8.jpg"/><Relationship Id="rId38" Type="http://schemas.openxmlformats.org/officeDocument/2006/relationships/image" Target="media/image12.jpeg"/><Relationship Id="rId46"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image" Target="media/image14.png"/><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7.jpg"/><Relationship Id="rId37" Type="http://schemas.openxmlformats.org/officeDocument/2006/relationships/image" Target="media/image11.jpg"/><Relationship Id="rId40" Type="http://schemas.openxmlformats.org/officeDocument/2006/relationships/hyperlink" Target="mailto:report@submit.spam.acma.gov.au" TargetMode="External"/><Relationship Id="rId45" Type="http://schemas.openxmlformats.org/officeDocument/2006/relationships/image" Target="media/image18.jpg"/><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yperlink" Target="http://www.acma.gov.au/Industry/Telco/Carriers-and-service-providers/Prepaid-mobiles/new-rules-streamline-identity-checking" TargetMode="External"/><Relationship Id="rId49" Type="http://schemas.openxmlformats.org/officeDocument/2006/relationships/hyperlink" Target="http://www.finance.gov.au/procurement/statistics-on-commonwealth-purchasing-contracts/"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6.png"/><Relationship Id="rId44" Type="http://schemas.openxmlformats.org/officeDocument/2006/relationships/image" Target="media/image17.png"/><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image" Target="media/image5.png"/><Relationship Id="rId35" Type="http://schemas.openxmlformats.org/officeDocument/2006/relationships/image" Target="media/image10.jpg"/><Relationship Id="rId43" Type="http://schemas.openxmlformats.org/officeDocument/2006/relationships/image" Target="media/image16.png"/><Relationship Id="rId48" Type="http://schemas.openxmlformats.org/officeDocument/2006/relationships/hyperlink" Target="http://www.dss.gov.au"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9BD5-0BCD-4A2A-BA6F-2D59CDC7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41497</Words>
  <Characters>236536</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Annual report 2014-15</vt:lpstr>
    </vt:vector>
  </TitlesOfParts>
  <Manager/>
  <Company/>
  <LinksUpToDate>false</LinksUpToDate>
  <CharactersWithSpaces>277479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2014-15</dc:title>
  <dc:subject/>
  <dc:creator/>
  <cp:keywords/>
  <dc:description/>
  <cp:lastModifiedBy/>
  <cp:revision>1</cp:revision>
  <dcterms:created xsi:type="dcterms:W3CDTF">2015-10-26T22:56:00Z</dcterms:created>
  <dcterms:modified xsi:type="dcterms:W3CDTF">2015-10-26T23:25:00Z</dcterms:modified>
  <cp:category/>
</cp:coreProperties>
</file>