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3" w:type="dxa"/>
        <w:tblLayout w:type="fixed"/>
        <w:tblCellMar>
          <w:left w:w="0" w:type="dxa"/>
          <w:right w:w="0" w:type="dxa"/>
        </w:tblCellMar>
        <w:tblLook w:val="01E0" w:firstRow="1" w:lastRow="1" w:firstColumn="1" w:lastColumn="1" w:noHBand="0" w:noVBand="0"/>
      </w:tblPr>
      <w:tblGrid>
        <w:gridCol w:w="8973"/>
      </w:tblGrid>
      <w:tr w:rsidR="000969BF" w:rsidRPr="000D76E0" w:rsidTr="00915B1C">
        <w:tc>
          <w:tcPr>
            <w:tcW w:w="8973" w:type="dxa"/>
            <w:shd w:val="clear" w:color="auto" w:fill="auto"/>
          </w:tcPr>
          <w:p w:rsidR="000969BF" w:rsidRPr="000D76E0" w:rsidRDefault="00D71FD2" w:rsidP="000915ED">
            <w:pPr>
              <w:pStyle w:val="ReportTitle"/>
              <w:rPr>
                <w:rFonts w:cs="Arial"/>
              </w:rPr>
            </w:pPr>
            <w:bookmarkStart w:id="0" w:name="_Hlk387309687"/>
            <w:r w:rsidRPr="00D71FD2">
              <w:rPr>
                <w:rFonts w:cs="Arial"/>
              </w:rPr>
              <w:t>Cost Recovery Impact Statement</w:t>
            </w:r>
          </w:p>
        </w:tc>
      </w:tr>
      <w:tr w:rsidR="000969BF" w:rsidRPr="000D76E0" w:rsidTr="00915B1C">
        <w:tc>
          <w:tcPr>
            <w:tcW w:w="8973" w:type="dxa"/>
            <w:shd w:val="clear" w:color="auto" w:fill="auto"/>
            <w:tcMar>
              <w:bottom w:w="232" w:type="dxa"/>
            </w:tcMar>
          </w:tcPr>
          <w:p w:rsidR="00D71FD2" w:rsidRPr="00D71FD2" w:rsidRDefault="00D71FD2" w:rsidP="00D71FD2">
            <w:pPr>
              <w:spacing w:line="240" w:lineRule="auto"/>
              <w:rPr>
                <w:rFonts w:cs="Arial"/>
                <w:color w:val="808285"/>
                <w:spacing w:val="-28"/>
                <w:sz w:val="53"/>
              </w:rPr>
            </w:pPr>
            <w:r w:rsidRPr="00D71FD2">
              <w:rPr>
                <w:rFonts w:cs="Arial"/>
                <w:color w:val="808285"/>
                <w:spacing w:val="-28"/>
                <w:sz w:val="53"/>
              </w:rPr>
              <w:t xml:space="preserve">Annual Carrier Licence Charge for the charging period 1 July 2013 </w:t>
            </w:r>
          </w:p>
          <w:p w:rsidR="000969BF" w:rsidRPr="000D76E0" w:rsidRDefault="00D71FD2" w:rsidP="00D71FD2">
            <w:pPr>
              <w:pStyle w:val="ReportSubtitle"/>
              <w:rPr>
                <w:rFonts w:cs="Arial"/>
              </w:rPr>
            </w:pPr>
            <w:r w:rsidRPr="00D71FD2">
              <w:rPr>
                <w:rFonts w:cs="Arial"/>
              </w:rPr>
              <w:t>to 30 June 2014</w:t>
            </w:r>
          </w:p>
        </w:tc>
      </w:tr>
      <w:bookmarkEnd w:id="0"/>
      <w:tr w:rsidR="000969BF" w:rsidRPr="000D76E0" w:rsidTr="00915B1C">
        <w:tc>
          <w:tcPr>
            <w:tcW w:w="8973" w:type="dxa"/>
            <w:shd w:val="clear" w:color="auto" w:fill="auto"/>
          </w:tcPr>
          <w:p w:rsidR="000969BF" w:rsidRPr="000D76E0" w:rsidRDefault="00D71FD2" w:rsidP="005D2502">
            <w:pPr>
              <w:pStyle w:val="ReportDate"/>
              <w:rPr>
                <w:rFonts w:cs="Arial"/>
              </w:rPr>
            </w:pPr>
            <w:r>
              <w:rPr>
                <w:rFonts w:cs="Arial"/>
              </w:rPr>
              <w:t>MAY 2014</w:t>
            </w:r>
          </w:p>
        </w:tc>
      </w:tr>
    </w:tbl>
    <w:p w:rsidR="000969BF" w:rsidRPr="000D76E0" w:rsidRDefault="000969BF" w:rsidP="000969BF">
      <w:pPr>
        <w:rPr>
          <w:rFonts w:cs="Arial"/>
        </w:rPr>
      </w:pPr>
    </w:p>
    <w:p w:rsidR="004E39D3" w:rsidRPr="000D76E0" w:rsidRDefault="004E39D3" w:rsidP="0041071D">
      <w:pPr>
        <w:rPr>
          <w:rFonts w:cs="Arial"/>
        </w:rPr>
      </w:pPr>
    </w:p>
    <w:p w:rsidR="00C97736" w:rsidRPr="000D76E0" w:rsidRDefault="00C97736" w:rsidP="0041071D">
      <w:pPr>
        <w:rPr>
          <w:rFonts w:cs="Arial"/>
        </w:rPr>
      </w:pPr>
    </w:p>
    <w:p w:rsidR="00C97736" w:rsidRPr="000D76E0" w:rsidRDefault="00C97736" w:rsidP="0041071D">
      <w:pPr>
        <w:rPr>
          <w:rFonts w:cs="Arial"/>
        </w:rPr>
        <w:sectPr w:rsidR="00C97736" w:rsidRPr="000D76E0" w:rsidSect="00A74B5E">
          <w:headerReference w:type="default" r:id="rId8"/>
          <w:footerReference w:type="default" r:id="rId9"/>
          <w:headerReference w:type="first" r:id="rId10"/>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C64CD0" w:rsidRPr="000D76E0" w:rsidTr="006E4B1B">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4151A7" w:rsidRPr="000D76E0" w:rsidTr="00915B1C">
              <w:tc>
                <w:tcPr>
                  <w:tcW w:w="1491" w:type="dxa"/>
                  <w:shd w:val="clear" w:color="auto" w:fill="auto"/>
                  <w:tcMar>
                    <w:top w:w="28" w:type="dxa"/>
                  </w:tcMar>
                </w:tcPr>
                <w:p w:rsidR="004151A7" w:rsidRPr="000D76E0" w:rsidRDefault="004151A7" w:rsidP="004151A7">
                  <w:pPr>
                    <w:pStyle w:val="CorporateAddresses"/>
                    <w:rPr>
                      <w:rFonts w:cs="Arial"/>
                      <w:b/>
                    </w:rPr>
                  </w:pPr>
                  <w:r w:rsidRPr="000D76E0">
                    <w:rPr>
                      <w:rFonts w:cs="Arial"/>
                      <w:b/>
                    </w:rPr>
                    <w:lastRenderedPageBreak/>
                    <w:t>Canberra</w:t>
                  </w:r>
                </w:p>
                <w:p w:rsidR="004151A7" w:rsidRPr="000D76E0" w:rsidRDefault="00FF3C69" w:rsidP="004151A7">
                  <w:pPr>
                    <w:pStyle w:val="CorporateAddresses"/>
                    <w:rPr>
                      <w:rFonts w:cs="Arial"/>
                    </w:rPr>
                  </w:pPr>
                  <w:r>
                    <w:rPr>
                      <w:rFonts w:cs="Arial"/>
                    </w:rPr>
                    <w:t>Red</w:t>
                  </w:r>
                  <w:r w:rsidR="004151A7" w:rsidRPr="000D76E0">
                    <w:rPr>
                      <w:rFonts w:cs="Arial"/>
                    </w:rPr>
                    <w:t xml:space="preserve"> Building</w:t>
                  </w:r>
                  <w:r w:rsidR="0027165D" w:rsidRPr="000D76E0">
                    <w:rPr>
                      <w:rFonts w:cs="Arial"/>
                    </w:rPr>
                    <w:t xml:space="preserve"> </w:t>
                  </w:r>
                </w:p>
                <w:p w:rsidR="004151A7" w:rsidRPr="000D76E0" w:rsidRDefault="004151A7" w:rsidP="004151A7">
                  <w:pPr>
                    <w:pStyle w:val="CorporateAddresses"/>
                    <w:rPr>
                      <w:rFonts w:cs="Arial"/>
                    </w:rPr>
                  </w:pPr>
                  <w:r w:rsidRPr="000D76E0">
                    <w:rPr>
                      <w:rFonts w:cs="Arial"/>
                    </w:rPr>
                    <w:t>Benjamin Offices</w:t>
                  </w:r>
                </w:p>
                <w:p w:rsidR="004151A7" w:rsidRPr="000D76E0" w:rsidRDefault="004151A7" w:rsidP="004151A7">
                  <w:pPr>
                    <w:pStyle w:val="CorporateAddresses"/>
                    <w:rPr>
                      <w:rFonts w:cs="Arial"/>
                    </w:rPr>
                  </w:pPr>
                  <w:r w:rsidRPr="000D76E0">
                    <w:rPr>
                      <w:rFonts w:cs="Arial"/>
                    </w:rPr>
                    <w:t xml:space="preserve">Chan Street </w:t>
                  </w:r>
                </w:p>
                <w:p w:rsidR="004151A7" w:rsidRPr="000D76E0" w:rsidRDefault="004151A7" w:rsidP="004151A7">
                  <w:pPr>
                    <w:pStyle w:val="CorporateAddresses"/>
                    <w:rPr>
                      <w:rFonts w:cs="Arial"/>
                    </w:rPr>
                  </w:pPr>
                  <w:r w:rsidRPr="000D76E0">
                    <w:rPr>
                      <w:rFonts w:cs="Arial"/>
                    </w:rPr>
                    <w:t>Belconnen ACT</w:t>
                  </w:r>
                </w:p>
                <w:p w:rsidR="004151A7" w:rsidRPr="000D76E0" w:rsidRDefault="004151A7" w:rsidP="004151A7">
                  <w:pPr>
                    <w:pStyle w:val="CorporateAddresses"/>
                    <w:rPr>
                      <w:rFonts w:cs="Arial"/>
                    </w:rPr>
                  </w:pPr>
                </w:p>
                <w:p w:rsidR="004151A7" w:rsidRPr="000D76E0" w:rsidRDefault="004151A7" w:rsidP="004151A7">
                  <w:pPr>
                    <w:pStyle w:val="CorporateAddresses"/>
                    <w:rPr>
                      <w:rFonts w:cs="Arial"/>
                    </w:rPr>
                  </w:pPr>
                  <w:r w:rsidRPr="000D76E0">
                    <w:rPr>
                      <w:rFonts w:cs="Arial"/>
                    </w:rPr>
                    <w:t>PO Box 78</w:t>
                  </w:r>
                </w:p>
                <w:p w:rsidR="004151A7" w:rsidRPr="000D76E0" w:rsidRDefault="004151A7" w:rsidP="004151A7">
                  <w:pPr>
                    <w:pStyle w:val="CorporateAddresses"/>
                    <w:rPr>
                      <w:rFonts w:cs="Arial"/>
                    </w:rPr>
                  </w:pPr>
                  <w:r w:rsidRPr="000D76E0">
                    <w:rPr>
                      <w:rFonts w:cs="Arial"/>
                    </w:rPr>
                    <w:t>Belconnen ACT 2616</w:t>
                  </w:r>
                </w:p>
                <w:p w:rsidR="004151A7" w:rsidRPr="000D76E0" w:rsidRDefault="004151A7" w:rsidP="004151A7">
                  <w:pPr>
                    <w:pStyle w:val="CorporateAddresses"/>
                    <w:rPr>
                      <w:rFonts w:cs="Arial"/>
                    </w:rPr>
                  </w:pPr>
                </w:p>
                <w:p w:rsidR="002B381A" w:rsidRPr="000D76E0" w:rsidRDefault="002B381A" w:rsidP="004151A7">
                  <w:pPr>
                    <w:pStyle w:val="CorporateAddresses"/>
                    <w:rPr>
                      <w:rFonts w:cs="Arial"/>
                    </w:rPr>
                  </w:pPr>
                </w:p>
                <w:p w:rsidR="004151A7" w:rsidRPr="000D76E0" w:rsidRDefault="004151A7" w:rsidP="004151A7">
                  <w:pPr>
                    <w:pStyle w:val="CorporateAddresses"/>
                    <w:rPr>
                      <w:rFonts w:cs="Arial"/>
                    </w:rPr>
                  </w:pPr>
                  <w:r w:rsidRPr="000D76E0">
                    <w:rPr>
                      <w:rFonts w:cs="Arial"/>
                    </w:rPr>
                    <w:t xml:space="preserve">T </w:t>
                  </w:r>
                  <w:r w:rsidR="00111FCE" w:rsidRPr="000D76E0">
                    <w:rPr>
                      <w:rFonts w:cs="Arial"/>
                    </w:rPr>
                    <w:t xml:space="preserve"> </w:t>
                  </w:r>
                  <w:r w:rsidRPr="000D76E0">
                    <w:rPr>
                      <w:rFonts w:cs="Arial"/>
                    </w:rPr>
                    <w:t>+61 2 6219 5555</w:t>
                  </w:r>
                </w:p>
                <w:p w:rsidR="004151A7" w:rsidRPr="000D76E0" w:rsidRDefault="004151A7" w:rsidP="004151A7">
                  <w:pPr>
                    <w:pStyle w:val="CorporateAddresses"/>
                    <w:rPr>
                      <w:rFonts w:cs="Arial"/>
                    </w:rPr>
                  </w:pPr>
                  <w:r w:rsidRPr="000D76E0">
                    <w:rPr>
                      <w:rFonts w:cs="Arial"/>
                    </w:rPr>
                    <w:t xml:space="preserve">F </w:t>
                  </w:r>
                  <w:r w:rsidR="00111FCE" w:rsidRPr="000D76E0">
                    <w:rPr>
                      <w:rFonts w:cs="Arial"/>
                    </w:rPr>
                    <w:t xml:space="preserve"> </w:t>
                  </w:r>
                  <w:r w:rsidRPr="000D76E0">
                    <w:rPr>
                      <w:rFonts w:cs="Arial"/>
                    </w:rPr>
                    <w:t>+61 2 6219 5353</w:t>
                  </w:r>
                </w:p>
              </w:tc>
              <w:tc>
                <w:tcPr>
                  <w:tcW w:w="1694" w:type="dxa"/>
                  <w:shd w:val="clear" w:color="auto" w:fill="auto"/>
                </w:tcPr>
                <w:p w:rsidR="004151A7" w:rsidRPr="000D76E0" w:rsidRDefault="004151A7" w:rsidP="004151A7">
                  <w:pPr>
                    <w:pStyle w:val="CorporateAddresses"/>
                    <w:rPr>
                      <w:rFonts w:cs="Arial"/>
                      <w:b/>
                    </w:rPr>
                  </w:pPr>
                  <w:r w:rsidRPr="000D76E0">
                    <w:rPr>
                      <w:rFonts w:cs="Arial"/>
                      <w:b/>
                    </w:rPr>
                    <w:t>Melbourne</w:t>
                  </w:r>
                </w:p>
                <w:p w:rsidR="004151A7" w:rsidRPr="000D76E0" w:rsidRDefault="00870ABA" w:rsidP="004151A7">
                  <w:pPr>
                    <w:pStyle w:val="CorporateAddresses"/>
                    <w:rPr>
                      <w:rFonts w:cs="Arial"/>
                    </w:rPr>
                  </w:pPr>
                  <w:r>
                    <w:rPr>
                      <w:rFonts w:cs="Arial"/>
                    </w:rPr>
                    <w:t>Level 32</w:t>
                  </w:r>
                  <w:r w:rsidR="0027165D" w:rsidRPr="000D76E0">
                    <w:rPr>
                      <w:rFonts w:cs="Arial"/>
                    </w:rPr>
                    <w:t xml:space="preserve"> </w:t>
                  </w:r>
                </w:p>
                <w:p w:rsidR="004151A7" w:rsidRPr="000D76E0" w:rsidRDefault="004151A7" w:rsidP="004151A7">
                  <w:pPr>
                    <w:pStyle w:val="CorporateAddresses"/>
                    <w:rPr>
                      <w:rFonts w:cs="Arial"/>
                    </w:rPr>
                  </w:pPr>
                  <w:r w:rsidRPr="000D76E0">
                    <w:rPr>
                      <w:rFonts w:cs="Arial"/>
                    </w:rPr>
                    <w:t>Melbourne Central Tower</w:t>
                  </w:r>
                </w:p>
                <w:p w:rsidR="004151A7" w:rsidRPr="000D76E0" w:rsidRDefault="00E110E0" w:rsidP="004151A7">
                  <w:pPr>
                    <w:pStyle w:val="CorporateAddresses"/>
                    <w:rPr>
                      <w:rFonts w:cs="Arial"/>
                    </w:rPr>
                  </w:pPr>
                  <w:r w:rsidRPr="000D76E0">
                    <w:rPr>
                      <w:rFonts w:cs="Arial"/>
                    </w:rPr>
                    <w:t xml:space="preserve">360 Elizabeth Street </w:t>
                  </w:r>
                  <w:r w:rsidR="004151A7" w:rsidRPr="000D76E0">
                    <w:rPr>
                      <w:rFonts w:cs="Arial"/>
                    </w:rPr>
                    <w:t>Melbourne VIC</w:t>
                  </w:r>
                </w:p>
                <w:p w:rsidR="004151A7" w:rsidRPr="000D76E0" w:rsidRDefault="004151A7" w:rsidP="004151A7">
                  <w:pPr>
                    <w:pStyle w:val="CorporateAddresses"/>
                    <w:rPr>
                      <w:rFonts w:cs="Arial"/>
                    </w:rPr>
                  </w:pPr>
                </w:p>
                <w:p w:rsidR="004151A7" w:rsidRPr="000D76E0" w:rsidRDefault="004151A7" w:rsidP="004151A7">
                  <w:pPr>
                    <w:pStyle w:val="CorporateAddresses"/>
                    <w:rPr>
                      <w:rFonts w:cs="Arial"/>
                    </w:rPr>
                  </w:pPr>
                  <w:r w:rsidRPr="000D76E0">
                    <w:rPr>
                      <w:rFonts w:cs="Arial"/>
                    </w:rPr>
                    <w:t>PO Box 13112</w:t>
                  </w:r>
                </w:p>
                <w:p w:rsidR="004151A7" w:rsidRPr="000D76E0" w:rsidRDefault="004151A7" w:rsidP="004151A7">
                  <w:pPr>
                    <w:pStyle w:val="CorporateAddresses"/>
                    <w:rPr>
                      <w:rFonts w:cs="Arial"/>
                    </w:rPr>
                  </w:pPr>
                  <w:r w:rsidRPr="000D76E0">
                    <w:rPr>
                      <w:rFonts w:cs="Arial"/>
                    </w:rPr>
                    <w:t>Law Courts</w:t>
                  </w:r>
                  <w:r w:rsidR="0027165D" w:rsidRPr="000D76E0">
                    <w:rPr>
                      <w:rFonts w:cs="Arial"/>
                    </w:rPr>
                    <w:t xml:space="preserve"> </w:t>
                  </w:r>
                </w:p>
                <w:p w:rsidR="004151A7" w:rsidRPr="000D76E0" w:rsidRDefault="004151A7" w:rsidP="004151A7">
                  <w:pPr>
                    <w:pStyle w:val="CorporateAddresses"/>
                    <w:rPr>
                      <w:rFonts w:cs="Arial"/>
                    </w:rPr>
                  </w:pPr>
                  <w:r w:rsidRPr="000D76E0">
                    <w:rPr>
                      <w:rFonts w:cs="Arial"/>
                    </w:rPr>
                    <w:t>Melbourne VIC 8010</w:t>
                  </w:r>
                </w:p>
                <w:p w:rsidR="004151A7" w:rsidRPr="000D76E0" w:rsidRDefault="004151A7" w:rsidP="004151A7">
                  <w:pPr>
                    <w:pStyle w:val="CorporateAddresses"/>
                    <w:rPr>
                      <w:rFonts w:cs="Arial"/>
                    </w:rPr>
                  </w:pPr>
                </w:p>
                <w:p w:rsidR="004151A7" w:rsidRPr="000D76E0" w:rsidRDefault="004151A7" w:rsidP="004151A7">
                  <w:pPr>
                    <w:pStyle w:val="CorporateAddresses"/>
                    <w:rPr>
                      <w:rFonts w:cs="Arial"/>
                    </w:rPr>
                  </w:pPr>
                  <w:r w:rsidRPr="000D76E0">
                    <w:rPr>
                      <w:rFonts w:cs="Arial"/>
                    </w:rPr>
                    <w:t xml:space="preserve">T </w:t>
                  </w:r>
                  <w:r w:rsidR="00111FCE" w:rsidRPr="000D76E0">
                    <w:rPr>
                      <w:rFonts w:cs="Arial"/>
                    </w:rPr>
                    <w:t xml:space="preserve"> </w:t>
                  </w:r>
                  <w:r w:rsidRPr="000D76E0">
                    <w:rPr>
                      <w:rFonts w:cs="Arial"/>
                    </w:rPr>
                    <w:t>+61 3 9963 6800</w:t>
                  </w:r>
                </w:p>
                <w:p w:rsidR="004151A7" w:rsidRPr="000D76E0" w:rsidRDefault="004151A7" w:rsidP="004151A7">
                  <w:pPr>
                    <w:pStyle w:val="CorporateAddresses"/>
                    <w:rPr>
                      <w:rFonts w:cs="Arial"/>
                    </w:rPr>
                  </w:pPr>
                  <w:r w:rsidRPr="000D76E0">
                    <w:rPr>
                      <w:rFonts w:cs="Arial"/>
                    </w:rPr>
                    <w:t xml:space="preserve">F </w:t>
                  </w:r>
                  <w:r w:rsidR="00111FCE" w:rsidRPr="000D76E0">
                    <w:rPr>
                      <w:rFonts w:cs="Arial"/>
                    </w:rPr>
                    <w:t xml:space="preserve"> </w:t>
                  </w:r>
                  <w:r w:rsidRPr="000D76E0">
                    <w:rPr>
                      <w:rFonts w:cs="Arial"/>
                    </w:rPr>
                    <w:t>+61 3 9963 6899</w:t>
                  </w:r>
                </w:p>
              </w:tc>
              <w:tc>
                <w:tcPr>
                  <w:tcW w:w="1764" w:type="dxa"/>
                  <w:shd w:val="clear" w:color="auto" w:fill="auto"/>
                </w:tcPr>
                <w:p w:rsidR="004151A7" w:rsidRPr="000D76E0" w:rsidRDefault="004151A7" w:rsidP="004151A7">
                  <w:pPr>
                    <w:pStyle w:val="CorporateAddresses"/>
                    <w:rPr>
                      <w:rFonts w:cs="Arial"/>
                      <w:b/>
                    </w:rPr>
                  </w:pPr>
                  <w:r w:rsidRPr="000D76E0">
                    <w:rPr>
                      <w:rFonts w:cs="Arial"/>
                      <w:b/>
                    </w:rPr>
                    <w:t>Sydney</w:t>
                  </w:r>
                </w:p>
                <w:p w:rsidR="004151A7" w:rsidRPr="000D76E0" w:rsidRDefault="00AF63E7" w:rsidP="004151A7">
                  <w:pPr>
                    <w:pStyle w:val="CorporateAddresses"/>
                    <w:rPr>
                      <w:rFonts w:cs="Arial"/>
                    </w:rPr>
                  </w:pPr>
                  <w:r w:rsidRPr="000D76E0">
                    <w:rPr>
                      <w:rFonts w:cs="Arial"/>
                    </w:rPr>
                    <w:t>Level 5</w:t>
                  </w:r>
                  <w:r w:rsidR="00E110E0" w:rsidRPr="000D76E0">
                    <w:rPr>
                      <w:rFonts w:cs="Arial"/>
                    </w:rPr>
                    <w:t xml:space="preserve"> </w:t>
                  </w:r>
                </w:p>
                <w:p w:rsidR="004151A7" w:rsidRPr="000D76E0" w:rsidRDefault="00AF63E7" w:rsidP="004151A7">
                  <w:pPr>
                    <w:pStyle w:val="CorporateAddresses"/>
                    <w:rPr>
                      <w:rFonts w:cs="Arial"/>
                    </w:rPr>
                  </w:pPr>
                  <w:r w:rsidRPr="000D76E0">
                    <w:rPr>
                      <w:rFonts w:cs="Arial"/>
                    </w:rPr>
                    <w:t>The Bay Centre</w:t>
                  </w:r>
                </w:p>
                <w:p w:rsidR="004151A7" w:rsidRPr="000D76E0" w:rsidRDefault="00AF63E7" w:rsidP="004151A7">
                  <w:pPr>
                    <w:pStyle w:val="CorporateAddresses"/>
                    <w:rPr>
                      <w:rFonts w:cs="Arial"/>
                    </w:rPr>
                  </w:pPr>
                  <w:r w:rsidRPr="000D76E0">
                    <w:rPr>
                      <w:rFonts w:cs="Arial"/>
                    </w:rPr>
                    <w:t xml:space="preserve">65 </w:t>
                  </w:r>
                  <w:proofErr w:type="spellStart"/>
                  <w:r w:rsidRPr="000D76E0">
                    <w:rPr>
                      <w:rFonts w:cs="Arial"/>
                    </w:rPr>
                    <w:t>Pirrama</w:t>
                  </w:r>
                  <w:proofErr w:type="spellEnd"/>
                  <w:r w:rsidRPr="000D76E0">
                    <w:rPr>
                      <w:rFonts w:cs="Arial"/>
                    </w:rPr>
                    <w:t xml:space="preserve"> Road</w:t>
                  </w:r>
                  <w:r w:rsidR="00E110E0" w:rsidRPr="000D76E0">
                    <w:rPr>
                      <w:rFonts w:cs="Arial"/>
                    </w:rPr>
                    <w:t xml:space="preserve"> </w:t>
                  </w:r>
                </w:p>
                <w:p w:rsidR="004151A7" w:rsidRPr="000D76E0" w:rsidRDefault="00AF63E7" w:rsidP="004151A7">
                  <w:pPr>
                    <w:pStyle w:val="CorporateAddresses"/>
                    <w:rPr>
                      <w:rFonts w:cs="Arial"/>
                    </w:rPr>
                  </w:pPr>
                  <w:r w:rsidRPr="000D76E0">
                    <w:rPr>
                      <w:rFonts w:cs="Arial"/>
                    </w:rPr>
                    <w:t>Pyrmont</w:t>
                  </w:r>
                  <w:r w:rsidR="004151A7" w:rsidRPr="000D76E0">
                    <w:rPr>
                      <w:rFonts w:cs="Arial"/>
                    </w:rPr>
                    <w:t xml:space="preserve"> NSW</w:t>
                  </w:r>
                </w:p>
                <w:p w:rsidR="004151A7" w:rsidRPr="000D76E0" w:rsidRDefault="004151A7" w:rsidP="004151A7">
                  <w:pPr>
                    <w:pStyle w:val="CorporateAddresses"/>
                    <w:rPr>
                      <w:rFonts w:cs="Arial"/>
                    </w:rPr>
                  </w:pPr>
                </w:p>
                <w:p w:rsidR="004151A7" w:rsidRPr="000D76E0" w:rsidRDefault="004151A7" w:rsidP="004151A7">
                  <w:pPr>
                    <w:pStyle w:val="CorporateAddresses"/>
                    <w:rPr>
                      <w:rFonts w:cs="Arial"/>
                    </w:rPr>
                  </w:pPr>
                  <w:r w:rsidRPr="000D76E0">
                    <w:rPr>
                      <w:rFonts w:cs="Arial"/>
                    </w:rPr>
                    <w:t>PO Box Q500</w:t>
                  </w:r>
                </w:p>
                <w:p w:rsidR="004151A7" w:rsidRPr="000D76E0" w:rsidRDefault="00E110E0" w:rsidP="004151A7">
                  <w:pPr>
                    <w:pStyle w:val="CorporateAddresses"/>
                    <w:rPr>
                      <w:rFonts w:cs="Arial"/>
                    </w:rPr>
                  </w:pPr>
                  <w:r w:rsidRPr="000D76E0">
                    <w:rPr>
                      <w:rFonts w:cs="Arial"/>
                    </w:rPr>
                    <w:t xml:space="preserve">Queen Victoria Building </w:t>
                  </w:r>
                </w:p>
                <w:p w:rsidR="004151A7" w:rsidRPr="000D76E0" w:rsidRDefault="004151A7" w:rsidP="004151A7">
                  <w:pPr>
                    <w:pStyle w:val="CorporateAddresses"/>
                    <w:rPr>
                      <w:rFonts w:cs="Arial"/>
                    </w:rPr>
                  </w:pPr>
                  <w:r w:rsidRPr="000D76E0">
                    <w:rPr>
                      <w:rFonts w:cs="Arial"/>
                    </w:rPr>
                    <w:t>NSW 1230</w:t>
                  </w:r>
                </w:p>
                <w:p w:rsidR="004151A7" w:rsidRPr="000D76E0" w:rsidRDefault="004151A7" w:rsidP="004151A7">
                  <w:pPr>
                    <w:pStyle w:val="CorporateAddresses"/>
                    <w:rPr>
                      <w:rFonts w:cs="Arial"/>
                    </w:rPr>
                  </w:pPr>
                </w:p>
                <w:p w:rsidR="004151A7" w:rsidRPr="000D76E0" w:rsidRDefault="004151A7" w:rsidP="004151A7">
                  <w:pPr>
                    <w:pStyle w:val="CorporateAddresses"/>
                    <w:rPr>
                      <w:rFonts w:cs="Arial"/>
                    </w:rPr>
                  </w:pPr>
                  <w:r w:rsidRPr="000D76E0">
                    <w:rPr>
                      <w:rFonts w:cs="Arial"/>
                    </w:rPr>
                    <w:t xml:space="preserve">T </w:t>
                  </w:r>
                  <w:r w:rsidR="00111FCE" w:rsidRPr="000D76E0">
                    <w:rPr>
                      <w:rFonts w:cs="Arial"/>
                    </w:rPr>
                    <w:t xml:space="preserve"> </w:t>
                  </w:r>
                  <w:r w:rsidR="00E110E0" w:rsidRPr="000D76E0">
                    <w:rPr>
                      <w:rFonts w:cs="Arial"/>
                    </w:rPr>
                    <w:t xml:space="preserve">+61 2 9334 7700 </w:t>
                  </w:r>
                </w:p>
                <w:p w:rsidR="004151A7" w:rsidRPr="000D76E0" w:rsidRDefault="00111FCE" w:rsidP="00915B1C">
                  <w:pPr>
                    <w:pStyle w:val="CorporateAddresses"/>
                    <w:spacing w:after="28"/>
                    <w:rPr>
                      <w:rFonts w:cs="Arial"/>
                    </w:rPr>
                  </w:pPr>
                  <w:r w:rsidRPr="000D76E0">
                    <w:rPr>
                      <w:rFonts w:cs="Arial"/>
                    </w:rPr>
                    <w:t xml:space="preserve">    </w:t>
                  </w:r>
                  <w:r w:rsidR="004151A7" w:rsidRPr="000D76E0">
                    <w:rPr>
                      <w:rFonts w:cs="Arial"/>
                    </w:rPr>
                    <w:t>1800 226 667</w:t>
                  </w:r>
                </w:p>
                <w:p w:rsidR="004151A7" w:rsidRPr="000D76E0" w:rsidRDefault="004151A7" w:rsidP="004151A7">
                  <w:pPr>
                    <w:pStyle w:val="CorporateAddresses"/>
                    <w:rPr>
                      <w:rFonts w:cs="Arial"/>
                    </w:rPr>
                  </w:pPr>
                  <w:r w:rsidRPr="000D76E0">
                    <w:rPr>
                      <w:rFonts w:cs="Arial"/>
                    </w:rPr>
                    <w:t xml:space="preserve">F </w:t>
                  </w:r>
                  <w:r w:rsidR="00111FCE" w:rsidRPr="000D76E0">
                    <w:rPr>
                      <w:rFonts w:cs="Arial"/>
                    </w:rPr>
                    <w:t xml:space="preserve"> </w:t>
                  </w:r>
                  <w:r w:rsidRPr="000D76E0">
                    <w:rPr>
                      <w:rFonts w:cs="Arial"/>
                    </w:rPr>
                    <w:t>+61 2 9334 7799</w:t>
                  </w:r>
                </w:p>
              </w:tc>
              <w:tc>
                <w:tcPr>
                  <w:tcW w:w="2011" w:type="dxa"/>
                  <w:shd w:val="clear" w:color="auto" w:fill="auto"/>
                </w:tcPr>
                <w:p w:rsidR="004151A7" w:rsidRPr="000D76E0" w:rsidRDefault="004151A7" w:rsidP="004151A7">
                  <w:pPr>
                    <w:pStyle w:val="CorporateAddresses"/>
                    <w:rPr>
                      <w:rFonts w:cs="Arial"/>
                    </w:rPr>
                  </w:pPr>
                </w:p>
              </w:tc>
              <w:tc>
                <w:tcPr>
                  <w:tcW w:w="2012" w:type="dxa"/>
                  <w:shd w:val="clear" w:color="auto" w:fill="auto"/>
                </w:tcPr>
                <w:p w:rsidR="004151A7" w:rsidRPr="000D76E0" w:rsidRDefault="004151A7" w:rsidP="004151A7">
                  <w:pPr>
                    <w:pStyle w:val="CorporateAddresses"/>
                    <w:rPr>
                      <w:rFonts w:cs="Arial"/>
                    </w:rPr>
                  </w:pPr>
                </w:p>
              </w:tc>
            </w:tr>
          </w:tbl>
          <w:p w:rsidR="00C64CD0" w:rsidRPr="000D76E0" w:rsidRDefault="00C64CD0" w:rsidP="004151A7">
            <w:pPr>
              <w:pStyle w:val="CorporateAddresses"/>
              <w:rPr>
                <w:rFonts w:cs="Arial"/>
              </w:rPr>
            </w:pPr>
          </w:p>
        </w:tc>
      </w:tr>
      <w:tr w:rsidR="00745A5C" w:rsidRPr="000D76E0" w:rsidTr="006E4B1B">
        <w:trPr>
          <w:trHeight w:hRule="exact" w:val="6080"/>
        </w:trPr>
        <w:tc>
          <w:tcPr>
            <w:tcW w:w="8987" w:type="dxa"/>
            <w:shd w:val="clear" w:color="auto" w:fill="auto"/>
            <w:vAlign w:val="bottom"/>
          </w:tcPr>
          <w:p w:rsidR="00FF3C69" w:rsidRPr="006D46E5" w:rsidRDefault="00FF3C69" w:rsidP="00FF3C69">
            <w:pPr>
              <w:pStyle w:val="Copyright"/>
              <w:rPr>
                <w:rFonts w:cs="Arial"/>
                <w:b/>
                <w:color w:val="auto"/>
                <w:sz w:val="16"/>
                <w:szCs w:val="16"/>
              </w:rPr>
            </w:pPr>
            <w:r w:rsidRPr="006D46E5">
              <w:rPr>
                <w:rFonts w:cs="Arial"/>
                <w:b/>
                <w:color w:val="auto"/>
                <w:sz w:val="16"/>
                <w:szCs w:val="16"/>
              </w:rPr>
              <w:t>Copyright notice</w:t>
            </w:r>
          </w:p>
          <w:p w:rsidR="00FF3C69" w:rsidRPr="006D46E5" w:rsidRDefault="00FF3C69" w:rsidP="00FF3C69">
            <w:pPr>
              <w:pStyle w:val="Copyright"/>
              <w:rPr>
                <w:rFonts w:cs="Arial"/>
                <w:b/>
                <w:color w:val="auto"/>
                <w:sz w:val="16"/>
                <w:szCs w:val="16"/>
              </w:rPr>
            </w:pPr>
          </w:p>
          <w:p w:rsidR="00FF3C69" w:rsidRPr="006D46E5" w:rsidRDefault="00FF3C69" w:rsidP="00FF3C69">
            <w:pPr>
              <w:pStyle w:val="Copyright"/>
              <w:rPr>
                <w:rFonts w:cs="Arial"/>
                <w:b/>
                <w:color w:val="auto"/>
                <w:sz w:val="16"/>
                <w:szCs w:val="16"/>
              </w:rPr>
            </w:pPr>
          </w:p>
          <w:p w:rsidR="00FF3C69" w:rsidRPr="006D46E5" w:rsidRDefault="00FF3C69" w:rsidP="00FF3C69">
            <w:pPr>
              <w:pStyle w:val="Copyright"/>
              <w:rPr>
                <w:rFonts w:cs="Arial"/>
                <w:b/>
                <w:color w:val="auto"/>
                <w:sz w:val="16"/>
                <w:szCs w:val="16"/>
              </w:rPr>
            </w:pPr>
          </w:p>
          <w:p w:rsidR="00FF3C69" w:rsidRPr="006D46E5" w:rsidRDefault="00FF3C69" w:rsidP="00FF3C69">
            <w:pPr>
              <w:pStyle w:val="Copyright"/>
              <w:rPr>
                <w:rFonts w:cs="Arial"/>
                <w:b/>
                <w:color w:val="auto"/>
                <w:sz w:val="16"/>
                <w:szCs w:val="16"/>
              </w:rPr>
            </w:pPr>
            <w:r w:rsidRPr="006D46E5">
              <w:rPr>
                <w:rFonts w:cs="Arial"/>
                <w:noProof/>
              </w:rPr>
              <w:drawing>
                <wp:anchor distT="0" distB="0" distL="114300" distR="114300" simplePos="0" relativeHeight="251660288" behindDoc="0" locked="0" layoutInCell="1" allowOverlap="1">
                  <wp:simplePos x="0" y="0"/>
                  <wp:positionH relativeFrom="column">
                    <wp:posOffset>3175</wp:posOffset>
                  </wp:positionH>
                  <wp:positionV relativeFrom="paragraph">
                    <wp:posOffset>-217805</wp:posOffset>
                  </wp:positionV>
                  <wp:extent cx="838200" cy="295275"/>
                  <wp:effectExtent l="19050" t="0" r="0" b="0"/>
                  <wp:wrapNone/>
                  <wp:docPr id="1" name="Picture 4" descr="b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anchor>
              </w:drawing>
            </w:r>
          </w:p>
          <w:p w:rsidR="00FF3C69" w:rsidRPr="006D46E5" w:rsidRDefault="00FF3C69" w:rsidP="00FF3C69">
            <w:pPr>
              <w:pStyle w:val="Copyright"/>
              <w:rPr>
                <w:rFonts w:cs="Arial"/>
                <w:color w:val="auto"/>
              </w:rPr>
            </w:pPr>
          </w:p>
          <w:p w:rsidR="00FF3C69" w:rsidRPr="006D46E5" w:rsidRDefault="007F0933" w:rsidP="00FF3C69">
            <w:pPr>
              <w:pStyle w:val="Copyright"/>
              <w:rPr>
                <w:rFonts w:cs="Arial"/>
                <w:color w:val="auto"/>
              </w:rPr>
            </w:pPr>
            <w:hyperlink r:id="rId13" w:history="1">
              <w:r w:rsidR="00FF3C69" w:rsidRPr="006D46E5">
                <w:rPr>
                  <w:rStyle w:val="Hyperlink"/>
                  <w:rFonts w:cs="Arial"/>
                </w:rPr>
                <w:t>http://creativecommons.org/licenses/by/3.0/au/</w:t>
              </w:r>
            </w:hyperlink>
          </w:p>
          <w:p w:rsidR="00FF3C69" w:rsidRPr="006D46E5" w:rsidRDefault="00FF3C69" w:rsidP="00FF3C69">
            <w:pPr>
              <w:pStyle w:val="Copyright"/>
              <w:rPr>
                <w:rFonts w:cs="Arial"/>
                <w:color w:val="auto"/>
              </w:rPr>
            </w:pPr>
          </w:p>
          <w:p w:rsidR="00FF3C69" w:rsidRPr="006D46E5" w:rsidRDefault="00FF3C69" w:rsidP="00FF3C69">
            <w:pPr>
              <w:pStyle w:val="Copyright"/>
              <w:ind w:right="1519"/>
              <w:rPr>
                <w:rFonts w:cs="Arial"/>
                <w:color w:val="auto"/>
              </w:rPr>
            </w:pPr>
            <w:r w:rsidRPr="006D46E5">
              <w:rPr>
                <w:rFonts w:cs="Arial"/>
                <w:color w:val="auto"/>
              </w:rPr>
              <w:t xml:space="preserve">With the exception of coats of arms, logos, emblems, images, other third-party material or devices protected by a trademark, this content is licensed under the Creative Commons Australia Attribution 3.0 Licence. </w:t>
            </w:r>
          </w:p>
          <w:p w:rsidR="00FF3C69" w:rsidRPr="006D46E5" w:rsidRDefault="00FF3C69" w:rsidP="00FF3C69">
            <w:pPr>
              <w:pStyle w:val="Copyright"/>
              <w:rPr>
                <w:rFonts w:cs="Arial"/>
                <w:color w:val="auto"/>
              </w:rPr>
            </w:pPr>
          </w:p>
          <w:p w:rsidR="00FF3C69" w:rsidRPr="006D46E5" w:rsidRDefault="00FF3C69" w:rsidP="00FF3C69">
            <w:pPr>
              <w:pStyle w:val="Copyright"/>
              <w:rPr>
                <w:rFonts w:cs="Arial"/>
                <w:color w:val="auto"/>
              </w:rPr>
            </w:pPr>
            <w:r w:rsidRPr="006D46E5">
              <w:rPr>
                <w:rFonts w:cs="Arial"/>
                <w:color w:val="auto"/>
              </w:rPr>
              <w:t>We request attribution as: © Commonwealth of Australia (Australian Communications and Media Authority) 201</w:t>
            </w:r>
            <w:r w:rsidR="005D0BC8">
              <w:rPr>
                <w:rFonts w:cs="Arial"/>
                <w:color w:val="auto"/>
              </w:rPr>
              <w:t>4</w:t>
            </w:r>
            <w:r w:rsidRPr="006D46E5">
              <w:rPr>
                <w:rFonts w:cs="Arial"/>
                <w:color w:val="auto"/>
              </w:rPr>
              <w:t>.</w:t>
            </w:r>
          </w:p>
          <w:p w:rsidR="00FF3C69" w:rsidRPr="006D46E5" w:rsidRDefault="00FF3C69" w:rsidP="00FF3C69">
            <w:pPr>
              <w:pStyle w:val="Copyright"/>
              <w:rPr>
                <w:rFonts w:cs="Arial"/>
                <w:color w:val="auto"/>
              </w:rPr>
            </w:pPr>
          </w:p>
          <w:p w:rsidR="00FF3C69" w:rsidRPr="006D46E5" w:rsidRDefault="00FF3C69" w:rsidP="00FF3C69">
            <w:pPr>
              <w:pStyle w:val="Copyright"/>
              <w:rPr>
                <w:rFonts w:cs="Arial"/>
                <w:color w:val="auto"/>
              </w:rPr>
            </w:pPr>
            <w:r w:rsidRPr="006D46E5">
              <w:rPr>
                <w:rFonts w:cs="Arial"/>
                <w:color w:val="auto"/>
              </w:rPr>
              <w:t xml:space="preserve">All other rights are reserved.  </w:t>
            </w:r>
          </w:p>
          <w:p w:rsidR="00FF3C69" w:rsidRPr="006D46E5" w:rsidRDefault="00FF3C69" w:rsidP="00FF3C69">
            <w:pPr>
              <w:pStyle w:val="Copyright"/>
              <w:ind w:right="2511"/>
              <w:rPr>
                <w:rFonts w:cs="Arial"/>
                <w:color w:val="auto"/>
              </w:rPr>
            </w:pPr>
          </w:p>
          <w:p w:rsidR="00FF3C69" w:rsidRPr="006D46E5" w:rsidRDefault="00FF3C69" w:rsidP="00FF3C69">
            <w:pPr>
              <w:pStyle w:val="Copyright"/>
              <w:rPr>
                <w:rFonts w:cs="Arial"/>
                <w:color w:val="auto"/>
              </w:rPr>
            </w:pPr>
            <w:r w:rsidRPr="006D46E5">
              <w:rPr>
                <w:rFonts w:cs="Arial"/>
                <w:color w:val="auto"/>
              </w:rP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rsidR="00FF3C69" w:rsidRPr="006D46E5" w:rsidRDefault="00FF3C69" w:rsidP="00FF3C69">
            <w:pPr>
              <w:pStyle w:val="Copyright"/>
              <w:rPr>
                <w:rFonts w:cs="Arial"/>
                <w:color w:val="auto"/>
              </w:rPr>
            </w:pPr>
          </w:p>
          <w:p w:rsidR="00FF3C69" w:rsidRPr="006D46E5" w:rsidRDefault="00FF3C69" w:rsidP="00FF3C69">
            <w:pPr>
              <w:pStyle w:val="Copyright"/>
              <w:spacing w:after="80"/>
              <w:rPr>
                <w:rFonts w:cs="Arial"/>
                <w:color w:val="auto"/>
              </w:rPr>
            </w:pPr>
            <w:r w:rsidRPr="006D46E5">
              <w:rPr>
                <w:rFonts w:cs="Arial"/>
                <w:color w:val="auto"/>
              </w:rPr>
              <w:t>Written enquiries may be sent to:</w:t>
            </w:r>
          </w:p>
          <w:p w:rsidR="00FF3C69" w:rsidRPr="006D46E5" w:rsidRDefault="00FF3C69" w:rsidP="00FF3C69">
            <w:pPr>
              <w:pStyle w:val="Copyright"/>
              <w:rPr>
                <w:rFonts w:cs="Arial"/>
                <w:color w:val="auto"/>
              </w:rPr>
            </w:pPr>
            <w:r w:rsidRPr="006D46E5">
              <w:rPr>
                <w:rFonts w:cs="Arial"/>
                <w:color w:val="auto"/>
              </w:rPr>
              <w:t>Manager, Editorial and Design</w:t>
            </w:r>
          </w:p>
          <w:p w:rsidR="00FF3C69" w:rsidRPr="006D46E5" w:rsidRDefault="00FF3C69" w:rsidP="00FF3C69">
            <w:pPr>
              <w:pStyle w:val="Copyright"/>
              <w:rPr>
                <w:rFonts w:cs="Arial"/>
                <w:color w:val="auto"/>
              </w:rPr>
            </w:pPr>
            <w:r w:rsidRPr="006D46E5">
              <w:rPr>
                <w:rFonts w:cs="Arial"/>
                <w:color w:val="auto"/>
              </w:rPr>
              <w:t>PO Box 13112</w:t>
            </w:r>
          </w:p>
          <w:p w:rsidR="00FF3C69" w:rsidRPr="006D46E5" w:rsidRDefault="00FF3C69" w:rsidP="00FF3C69">
            <w:pPr>
              <w:pStyle w:val="Copyright"/>
              <w:rPr>
                <w:rFonts w:cs="Arial"/>
                <w:color w:val="auto"/>
              </w:rPr>
            </w:pPr>
            <w:r w:rsidRPr="006D46E5">
              <w:rPr>
                <w:rFonts w:cs="Arial"/>
                <w:color w:val="auto"/>
              </w:rPr>
              <w:t>Law Courts</w:t>
            </w:r>
          </w:p>
          <w:p w:rsidR="00FF3C69" w:rsidRPr="006D46E5" w:rsidRDefault="00FF3C69" w:rsidP="00FF3C69">
            <w:pPr>
              <w:pStyle w:val="Copyright"/>
              <w:rPr>
                <w:rFonts w:cs="Arial"/>
                <w:color w:val="auto"/>
              </w:rPr>
            </w:pPr>
            <w:r w:rsidRPr="006D46E5">
              <w:rPr>
                <w:rFonts w:cs="Arial"/>
                <w:color w:val="auto"/>
              </w:rPr>
              <w:t>Melbourne VIC 8010</w:t>
            </w:r>
          </w:p>
          <w:p w:rsidR="00FF3C69" w:rsidRPr="006D46E5" w:rsidRDefault="00FF3C69" w:rsidP="00FF3C69">
            <w:pPr>
              <w:pStyle w:val="Copyright"/>
              <w:rPr>
                <w:rFonts w:cs="Arial"/>
                <w:color w:val="auto"/>
              </w:rPr>
            </w:pPr>
            <w:r w:rsidRPr="006D46E5">
              <w:rPr>
                <w:rFonts w:cs="Arial"/>
                <w:color w:val="auto"/>
              </w:rPr>
              <w:t>Tel: 03 9963 6968</w:t>
            </w:r>
          </w:p>
          <w:p w:rsidR="00745A5C" w:rsidRPr="00FF3C69" w:rsidRDefault="00FF3C69" w:rsidP="004151A7">
            <w:pPr>
              <w:pStyle w:val="Copyright"/>
              <w:rPr>
                <w:rFonts w:cs="Arial"/>
                <w:color w:val="auto"/>
              </w:rPr>
            </w:pPr>
            <w:r w:rsidRPr="006D46E5">
              <w:rPr>
                <w:rFonts w:cs="Arial"/>
                <w:color w:val="auto"/>
              </w:rPr>
              <w:t xml:space="preserve">Email: </w:t>
            </w:r>
            <w:hyperlink r:id="rId14" w:history="1">
              <w:r w:rsidRPr="006D46E5">
                <w:rPr>
                  <w:rStyle w:val="Hyperlink"/>
                  <w:rFonts w:cs="Arial"/>
                </w:rPr>
                <w:t>candinfo@acma.gov.au</w:t>
              </w:r>
            </w:hyperlink>
          </w:p>
        </w:tc>
      </w:tr>
    </w:tbl>
    <w:p w:rsidR="00745A5C" w:rsidRPr="000D76E0" w:rsidRDefault="00745A5C" w:rsidP="0041071D">
      <w:pPr>
        <w:spacing w:line="240" w:lineRule="auto"/>
        <w:rPr>
          <w:rFonts w:cs="Arial"/>
          <w:sz w:val="10"/>
          <w:szCs w:val="10"/>
        </w:rPr>
      </w:pPr>
    </w:p>
    <w:p w:rsidR="00FE1823" w:rsidRPr="000D76E0" w:rsidRDefault="00FE1823" w:rsidP="0041071D">
      <w:pPr>
        <w:rPr>
          <w:rFonts w:cs="Arial"/>
        </w:rPr>
        <w:sectPr w:rsidR="00FE1823" w:rsidRPr="000D76E0" w:rsidSect="00A74B5E">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rsidR="004D27C2" w:rsidRDefault="0009419D">
      <w:pPr>
        <w:pStyle w:val="TOC1"/>
        <w:tabs>
          <w:tab w:val="left" w:pos="885"/>
        </w:tabs>
        <w:rPr>
          <w:rFonts w:asciiTheme="minorHAnsi" w:eastAsiaTheme="minorEastAsia" w:hAnsiTheme="minorHAnsi" w:cstheme="minorBidi"/>
          <w:b w:val="0"/>
          <w:color w:val="auto"/>
          <w:spacing w:val="0"/>
          <w:sz w:val="22"/>
          <w:szCs w:val="22"/>
        </w:rPr>
      </w:pPr>
      <w:r>
        <w:rPr>
          <w:rFonts w:cs="Arial"/>
          <w:b w:val="0"/>
        </w:rPr>
        <w:lastRenderedPageBreak/>
        <w:fldChar w:fldCharType="begin"/>
      </w:r>
      <w:r w:rsidR="00C75E81">
        <w:rPr>
          <w:rFonts w:cs="Arial"/>
          <w:b w:val="0"/>
        </w:rPr>
        <w:instrText xml:space="preserve"> TOC \o "1-3" \h \z \t "Exec Summary Heading,9" </w:instrText>
      </w:r>
      <w:r>
        <w:rPr>
          <w:rFonts w:cs="Arial"/>
          <w:b w:val="0"/>
        </w:rPr>
        <w:fldChar w:fldCharType="separate"/>
      </w:r>
      <w:hyperlink w:anchor="_Toc387308815" w:history="1">
        <w:r w:rsidR="004D27C2" w:rsidRPr="001C3AD8">
          <w:rPr>
            <w:rStyle w:val="Hyperlink"/>
          </w:rPr>
          <w:t xml:space="preserve">1. </w:t>
        </w:r>
        <w:r w:rsidR="004D27C2">
          <w:rPr>
            <w:rFonts w:asciiTheme="minorHAnsi" w:eastAsiaTheme="minorEastAsia" w:hAnsiTheme="minorHAnsi" w:cstheme="minorBidi"/>
            <w:b w:val="0"/>
            <w:color w:val="auto"/>
            <w:spacing w:val="0"/>
            <w:sz w:val="22"/>
            <w:szCs w:val="22"/>
          </w:rPr>
          <w:tab/>
        </w:r>
        <w:r w:rsidR="004D27C2" w:rsidRPr="001C3AD8">
          <w:rPr>
            <w:rStyle w:val="Hyperlink"/>
          </w:rPr>
          <w:t>Introduction</w:t>
        </w:r>
        <w:r w:rsidR="004D27C2">
          <w:rPr>
            <w:webHidden/>
          </w:rPr>
          <w:tab/>
        </w:r>
        <w:r>
          <w:rPr>
            <w:webHidden/>
          </w:rPr>
          <w:fldChar w:fldCharType="begin"/>
        </w:r>
        <w:r w:rsidR="004D27C2">
          <w:rPr>
            <w:webHidden/>
          </w:rPr>
          <w:instrText xml:space="preserve"> PAGEREF _Toc387308815 \h </w:instrText>
        </w:r>
        <w:r>
          <w:rPr>
            <w:webHidden/>
          </w:rPr>
        </w:r>
        <w:r>
          <w:rPr>
            <w:webHidden/>
          </w:rPr>
          <w:fldChar w:fldCharType="separate"/>
        </w:r>
        <w:r w:rsidR="004D27C2">
          <w:rPr>
            <w:webHidden/>
          </w:rPr>
          <w:t>1</w:t>
        </w:r>
        <w:r>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16" w:history="1">
        <w:r w:rsidR="004D27C2" w:rsidRPr="001C3AD8">
          <w:rPr>
            <w:rStyle w:val="Hyperlink"/>
          </w:rPr>
          <w:t xml:space="preserve">1.1 </w:t>
        </w:r>
        <w:r w:rsidR="004D27C2">
          <w:rPr>
            <w:rFonts w:asciiTheme="minorHAnsi" w:eastAsiaTheme="minorEastAsia" w:hAnsiTheme="minorHAnsi" w:cstheme="minorBidi"/>
            <w:color w:val="auto"/>
            <w:spacing w:val="0"/>
            <w:sz w:val="22"/>
            <w:szCs w:val="22"/>
          </w:rPr>
          <w:tab/>
        </w:r>
        <w:r w:rsidR="004D27C2" w:rsidRPr="001C3AD8">
          <w:rPr>
            <w:rStyle w:val="Hyperlink"/>
          </w:rPr>
          <w:t>Purpose</w:t>
        </w:r>
        <w:r w:rsidR="004D27C2">
          <w:rPr>
            <w:webHidden/>
          </w:rPr>
          <w:tab/>
        </w:r>
        <w:r w:rsidR="0009419D">
          <w:rPr>
            <w:webHidden/>
          </w:rPr>
          <w:fldChar w:fldCharType="begin"/>
        </w:r>
        <w:r w:rsidR="004D27C2">
          <w:rPr>
            <w:webHidden/>
          </w:rPr>
          <w:instrText xml:space="preserve"> PAGEREF _Toc387308816 \h </w:instrText>
        </w:r>
        <w:r w:rsidR="0009419D">
          <w:rPr>
            <w:webHidden/>
          </w:rPr>
        </w:r>
        <w:r w:rsidR="0009419D">
          <w:rPr>
            <w:webHidden/>
          </w:rPr>
          <w:fldChar w:fldCharType="separate"/>
        </w:r>
        <w:r w:rsidR="004D27C2">
          <w:rPr>
            <w:webHidden/>
          </w:rPr>
          <w:t>1</w:t>
        </w:r>
        <w:r w:rsidR="0009419D">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17" w:history="1">
        <w:r w:rsidR="004D27C2" w:rsidRPr="001C3AD8">
          <w:rPr>
            <w:rStyle w:val="Hyperlink"/>
          </w:rPr>
          <w:t>1.2</w:t>
        </w:r>
        <w:r w:rsidR="004D27C2">
          <w:rPr>
            <w:rFonts w:asciiTheme="minorHAnsi" w:eastAsiaTheme="minorEastAsia" w:hAnsiTheme="minorHAnsi" w:cstheme="minorBidi"/>
            <w:color w:val="auto"/>
            <w:spacing w:val="0"/>
            <w:sz w:val="22"/>
            <w:szCs w:val="22"/>
          </w:rPr>
          <w:tab/>
        </w:r>
        <w:r w:rsidR="004D27C2" w:rsidRPr="001C3AD8">
          <w:rPr>
            <w:rStyle w:val="Hyperlink"/>
          </w:rPr>
          <w:t>Background and description of activity</w:t>
        </w:r>
        <w:r w:rsidR="004D27C2">
          <w:rPr>
            <w:webHidden/>
          </w:rPr>
          <w:tab/>
        </w:r>
        <w:r w:rsidR="0009419D">
          <w:rPr>
            <w:webHidden/>
          </w:rPr>
          <w:fldChar w:fldCharType="begin"/>
        </w:r>
        <w:r w:rsidR="004D27C2">
          <w:rPr>
            <w:webHidden/>
          </w:rPr>
          <w:instrText xml:space="preserve"> PAGEREF _Toc387308817 \h </w:instrText>
        </w:r>
        <w:r w:rsidR="0009419D">
          <w:rPr>
            <w:webHidden/>
          </w:rPr>
        </w:r>
        <w:r w:rsidR="0009419D">
          <w:rPr>
            <w:webHidden/>
          </w:rPr>
          <w:fldChar w:fldCharType="separate"/>
        </w:r>
        <w:r w:rsidR="004D27C2">
          <w:rPr>
            <w:webHidden/>
          </w:rPr>
          <w:t>1</w:t>
        </w:r>
        <w:r w:rsidR="0009419D">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18" w:history="1">
        <w:r w:rsidR="004D27C2" w:rsidRPr="001C3AD8">
          <w:rPr>
            <w:rStyle w:val="Hyperlink"/>
          </w:rPr>
          <w:t>1.3</w:t>
        </w:r>
        <w:r w:rsidR="004D27C2">
          <w:rPr>
            <w:rFonts w:asciiTheme="minorHAnsi" w:eastAsiaTheme="minorEastAsia" w:hAnsiTheme="minorHAnsi" w:cstheme="minorBidi"/>
            <w:color w:val="auto"/>
            <w:spacing w:val="0"/>
            <w:sz w:val="22"/>
            <w:szCs w:val="22"/>
          </w:rPr>
          <w:tab/>
        </w:r>
        <w:r w:rsidR="004D27C2" w:rsidRPr="001C3AD8">
          <w:rPr>
            <w:rStyle w:val="Hyperlink"/>
          </w:rPr>
          <w:t>Australian Government cost recovery policy</w:t>
        </w:r>
        <w:r w:rsidR="004D27C2">
          <w:rPr>
            <w:webHidden/>
          </w:rPr>
          <w:tab/>
        </w:r>
        <w:r w:rsidR="0009419D">
          <w:rPr>
            <w:webHidden/>
          </w:rPr>
          <w:fldChar w:fldCharType="begin"/>
        </w:r>
        <w:r w:rsidR="004D27C2">
          <w:rPr>
            <w:webHidden/>
          </w:rPr>
          <w:instrText xml:space="preserve"> PAGEREF _Toc387308818 \h </w:instrText>
        </w:r>
        <w:r w:rsidR="0009419D">
          <w:rPr>
            <w:webHidden/>
          </w:rPr>
        </w:r>
        <w:r w:rsidR="0009419D">
          <w:rPr>
            <w:webHidden/>
          </w:rPr>
          <w:fldChar w:fldCharType="separate"/>
        </w:r>
        <w:r w:rsidR="004D27C2">
          <w:rPr>
            <w:webHidden/>
          </w:rPr>
          <w:t>1</w:t>
        </w:r>
        <w:r w:rsidR="0009419D">
          <w:rPr>
            <w:webHidden/>
          </w:rPr>
          <w:fldChar w:fldCharType="end"/>
        </w:r>
      </w:hyperlink>
    </w:p>
    <w:p w:rsidR="004D27C2" w:rsidRDefault="007F0933">
      <w:pPr>
        <w:pStyle w:val="TOC1"/>
        <w:tabs>
          <w:tab w:val="left" w:pos="885"/>
        </w:tabs>
        <w:rPr>
          <w:rFonts w:asciiTheme="minorHAnsi" w:eastAsiaTheme="minorEastAsia" w:hAnsiTheme="minorHAnsi" w:cstheme="minorBidi"/>
          <w:b w:val="0"/>
          <w:color w:val="auto"/>
          <w:spacing w:val="0"/>
          <w:sz w:val="22"/>
          <w:szCs w:val="22"/>
        </w:rPr>
      </w:pPr>
      <w:hyperlink w:anchor="_Toc387308819" w:history="1">
        <w:r w:rsidR="004D27C2" w:rsidRPr="001C3AD8">
          <w:rPr>
            <w:rStyle w:val="Hyperlink"/>
          </w:rPr>
          <w:t xml:space="preserve">2. </w:t>
        </w:r>
        <w:r w:rsidR="004D27C2">
          <w:rPr>
            <w:rFonts w:asciiTheme="minorHAnsi" w:eastAsiaTheme="minorEastAsia" w:hAnsiTheme="minorHAnsi" w:cstheme="minorBidi"/>
            <w:b w:val="0"/>
            <w:color w:val="auto"/>
            <w:spacing w:val="0"/>
            <w:sz w:val="22"/>
            <w:szCs w:val="22"/>
          </w:rPr>
          <w:tab/>
        </w:r>
        <w:r w:rsidR="004D27C2" w:rsidRPr="001C3AD8">
          <w:rPr>
            <w:rStyle w:val="Hyperlink"/>
          </w:rPr>
          <w:t>Policy and statutory authority to cost recover</w:t>
        </w:r>
        <w:r w:rsidR="004D27C2">
          <w:rPr>
            <w:webHidden/>
          </w:rPr>
          <w:tab/>
        </w:r>
        <w:r w:rsidR="0009419D">
          <w:rPr>
            <w:webHidden/>
          </w:rPr>
          <w:fldChar w:fldCharType="begin"/>
        </w:r>
        <w:r w:rsidR="004D27C2">
          <w:rPr>
            <w:webHidden/>
          </w:rPr>
          <w:instrText xml:space="preserve"> PAGEREF _Toc387308819 \h </w:instrText>
        </w:r>
        <w:r w:rsidR="0009419D">
          <w:rPr>
            <w:webHidden/>
          </w:rPr>
        </w:r>
        <w:r w:rsidR="0009419D">
          <w:rPr>
            <w:webHidden/>
          </w:rPr>
          <w:fldChar w:fldCharType="separate"/>
        </w:r>
        <w:r w:rsidR="004D27C2">
          <w:rPr>
            <w:webHidden/>
          </w:rPr>
          <w:t>3</w:t>
        </w:r>
        <w:r w:rsidR="0009419D">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20" w:history="1">
        <w:r w:rsidR="004D27C2" w:rsidRPr="001C3AD8">
          <w:rPr>
            <w:rStyle w:val="Hyperlink"/>
          </w:rPr>
          <w:t>2.1</w:t>
        </w:r>
        <w:r w:rsidR="004D27C2">
          <w:rPr>
            <w:rFonts w:asciiTheme="minorHAnsi" w:eastAsiaTheme="minorEastAsia" w:hAnsiTheme="minorHAnsi" w:cstheme="minorBidi"/>
            <w:color w:val="auto"/>
            <w:spacing w:val="0"/>
            <w:sz w:val="22"/>
            <w:szCs w:val="22"/>
          </w:rPr>
          <w:tab/>
        </w:r>
        <w:r w:rsidR="004D27C2" w:rsidRPr="001C3AD8">
          <w:rPr>
            <w:rStyle w:val="Hyperlink"/>
          </w:rPr>
          <w:t>Government policy authority to cost recover</w:t>
        </w:r>
        <w:r w:rsidR="004D27C2">
          <w:rPr>
            <w:webHidden/>
          </w:rPr>
          <w:tab/>
        </w:r>
        <w:r w:rsidR="0009419D">
          <w:rPr>
            <w:webHidden/>
          </w:rPr>
          <w:fldChar w:fldCharType="begin"/>
        </w:r>
        <w:r w:rsidR="004D27C2">
          <w:rPr>
            <w:webHidden/>
          </w:rPr>
          <w:instrText xml:space="preserve"> PAGEREF _Toc387308820 \h </w:instrText>
        </w:r>
        <w:r w:rsidR="0009419D">
          <w:rPr>
            <w:webHidden/>
          </w:rPr>
        </w:r>
        <w:r w:rsidR="0009419D">
          <w:rPr>
            <w:webHidden/>
          </w:rPr>
          <w:fldChar w:fldCharType="separate"/>
        </w:r>
        <w:r w:rsidR="004D27C2">
          <w:rPr>
            <w:webHidden/>
          </w:rPr>
          <w:t>3</w:t>
        </w:r>
        <w:r w:rsidR="0009419D">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21" w:history="1">
        <w:r w:rsidR="004D27C2" w:rsidRPr="001C3AD8">
          <w:rPr>
            <w:rStyle w:val="Hyperlink"/>
          </w:rPr>
          <w:t>2.2</w:t>
        </w:r>
        <w:r w:rsidR="004D27C2">
          <w:rPr>
            <w:rFonts w:asciiTheme="minorHAnsi" w:eastAsiaTheme="minorEastAsia" w:hAnsiTheme="minorHAnsi" w:cstheme="minorBidi"/>
            <w:color w:val="auto"/>
            <w:spacing w:val="0"/>
            <w:sz w:val="22"/>
            <w:szCs w:val="22"/>
          </w:rPr>
          <w:tab/>
        </w:r>
        <w:r w:rsidR="004D27C2" w:rsidRPr="001C3AD8">
          <w:rPr>
            <w:rStyle w:val="Hyperlink"/>
          </w:rPr>
          <w:t>Statutory authority to impose cost recovery charges</w:t>
        </w:r>
        <w:r w:rsidR="004D27C2">
          <w:rPr>
            <w:webHidden/>
          </w:rPr>
          <w:tab/>
        </w:r>
        <w:r w:rsidR="0009419D">
          <w:rPr>
            <w:webHidden/>
          </w:rPr>
          <w:fldChar w:fldCharType="begin"/>
        </w:r>
        <w:r w:rsidR="004D27C2">
          <w:rPr>
            <w:webHidden/>
          </w:rPr>
          <w:instrText xml:space="preserve"> PAGEREF _Toc387308821 \h </w:instrText>
        </w:r>
        <w:r w:rsidR="0009419D">
          <w:rPr>
            <w:webHidden/>
          </w:rPr>
        </w:r>
        <w:r w:rsidR="0009419D">
          <w:rPr>
            <w:webHidden/>
          </w:rPr>
          <w:fldChar w:fldCharType="separate"/>
        </w:r>
        <w:r w:rsidR="004D27C2">
          <w:rPr>
            <w:webHidden/>
          </w:rPr>
          <w:t>5</w:t>
        </w:r>
        <w:r w:rsidR="0009419D">
          <w:rPr>
            <w:webHidden/>
          </w:rPr>
          <w:fldChar w:fldCharType="end"/>
        </w:r>
      </w:hyperlink>
    </w:p>
    <w:p w:rsidR="004D27C2" w:rsidRDefault="007F0933">
      <w:pPr>
        <w:pStyle w:val="TOC1"/>
        <w:tabs>
          <w:tab w:val="left" w:pos="885"/>
        </w:tabs>
        <w:rPr>
          <w:rFonts w:asciiTheme="minorHAnsi" w:eastAsiaTheme="minorEastAsia" w:hAnsiTheme="minorHAnsi" w:cstheme="minorBidi"/>
          <w:b w:val="0"/>
          <w:color w:val="auto"/>
          <w:spacing w:val="0"/>
          <w:sz w:val="22"/>
          <w:szCs w:val="22"/>
        </w:rPr>
      </w:pPr>
      <w:hyperlink w:anchor="_Toc387308822" w:history="1">
        <w:r w:rsidR="004D27C2" w:rsidRPr="001C3AD8">
          <w:rPr>
            <w:rStyle w:val="Hyperlink"/>
          </w:rPr>
          <w:t>3.</w:t>
        </w:r>
        <w:r w:rsidR="004D27C2">
          <w:rPr>
            <w:rFonts w:asciiTheme="minorHAnsi" w:eastAsiaTheme="minorEastAsia" w:hAnsiTheme="minorHAnsi" w:cstheme="minorBidi"/>
            <w:b w:val="0"/>
            <w:color w:val="auto"/>
            <w:spacing w:val="0"/>
            <w:sz w:val="22"/>
            <w:szCs w:val="22"/>
          </w:rPr>
          <w:tab/>
        </w:r>
        <w:r w:rsidR="004D27C2" w:rsidRPr="001C3AD8">
          <w:rPr>
            <w:rStyle w:val="Hyperlink"/>
          </w:rPr>
          <w:t>Cost recovery model</w:t>
        </w:r>
        <w:r w:rsidR="004D27C2">
          <w:rPr>
            <w:webHidden/>
          </w:rPr>
          <w:tab/>
        </w:r>
        <w:r w:rsidR="0009419D">
          <w:rPr>
            <w:webHidden/>
          </w:rPr>
          <w:fldChar w:fldCharType="begin"/>
        </w:r>
        <w:r w:rsidR="004D27C2">
          <w:rPr>
            <w:webHidden/>
          </w:rPr>
          <w:instrText xml:space="preserve"> PAGEREF _Toc387308822 \h </w:instrText>
        </w:r>
        <w:r w:rsidR="0009419D">
          <w:rPr>
            <w:webHidden/>
          </w:rPr>
        </w:r>
        <w:r w:rsidR="0009419D">
          <w:rPr>
            <w:webHidden/>
          </w:rPr>
          <w:fldChar w:fldCharType="separate"/>
        </w:r>
        <w:r w:rsidR="004D27C2">
          <w:rPr>
            <w:webHidden/>
          </w:rPr>
          <w:t>7</w:t>
        </w:r>
        <w:r w:rsidR="0009419D">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23" w:history="1">
        <w:r w:rsidR="004D27C2" w:rsidRPr="001C3AD8">
          <w:rPr>
            <w:rStyle w:val="Hyperlink"/>
          </w:rPr>
          <w:t>3.1</w:t>
        </w:r>
        <w:r w:rsidR="004D27C2">
          <w:rPr>
            <w:rFonts w:asciiTheme="minorHAnsi" w:eastAsiaTheme="minorEastAsia" w:hAnsiTheme="minorHAnsi" w:cstheme="minorBidi"/>
            <w:color w:val="auto"/>
            <w:spacing w:val="0"/>
            <w:sz w:val="22"/>
            <w:szCs w:val="22"/>
          </w:rPr>
          <w:tab/>
        </w:r>
        <w:r w:rsidR="004D27C2" w:rsidRPr="001C3AD8">
          <w:rPr>
            <w:rStyle w:val="Hyperlink"/>
          </w:rPr>
          <w:t>Costs to be included in the ACLC</w:t>
        </w:r>
        <w:r w:rsidR="004D27C2">
          <w:rPr>
            <w:webHidden/>
          </w:rPr>
          <w:tab/>
        </w:r>
        <w:r w:rsidR="0009419D">
          <w:rPr>
            <w:webHidden/>
          </w:rPr>
          <w:fldChar w:fldCharType="begin"/>
        </w:r>
        <w:r w:rsidR="004D27C2">
          <w:rPr>
            <w:webHidden/>
          </w:rPr>
          <w:instrText xml:space="preserve"> PAGEREF _Toc387308823 \h </w:instrText>
        </w:r>
        <w:r w:rsidR="0009419D">
          <w:rPr>
            <w:webHidden/>
          </w:rPr>
        </w:r>
        <w:r w:rsidR="0009419D">
          <w:rPr>
            <w:webHidden/>
          </w:rPr>
          <w:fldChar w:fldCharType="separate"/>
        </w:r>
        <w:r w:rsidR="004D27C2">
          <w:rPr>
            <w:webHidden/>
          </w:rPr>
          <w:t>7</w:t>
        </w:r>
        <w:r w:rsidR="0009419D">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24" w:history="1">
        <w:r w:rsidR="004D27C2" w:rsidRPr="001C3AD8">
          <w:rPr>
            <w:rStyle w:val="Hyperlink"/>
          </w:rPr>
          <w:t>3.2</w:t>
        </w:r>
        <w:r w:rsidR="004D27C2">
          <w:rPr>
            <w:rFonts w:asciiTheme="minorHAnsi" w:eastAsiaTheme="minorEastAsia" w:hAnsiTheme="minorHAnsi" w:cstheme="minorBidi"/>
            <w:color w:val="auto"/>
            <w:spacing w:val="0"/>
            <w:sz w:val="22"/>
            <w:szCs w:val="22"/>
          </w:rPr>
          <w:tab/>
        </w:r>
        <w:r w:rsidR="004D27C2" w:rsidRPr="001C3AD8">
          <w:rPr>
            <w:rStyle w:val="Hyperlink"/>
          </w:rPr>
          <w:t>Structure of the ACLC</w:t>
        </w:r>
        <w:r w:rsidR="004D27C2">
          <w:rPr>
            <w:webHidden/>
          </w:rPr>
          <w:tab/>
        </w:r>
        <w:r w:rsidR="0009419D">
          <w:rPr>
            <w:webHidden/>
          </w:rPr>
          <w:fldChar w:fldCharType="begin"/>
        </w:r>
        <w:r w:rsidR="004D27C2">
          <w:rPr>
            <w:webHidden/>
          </w:rPr>
          <w:instrText xml:space="preserve"> PAGEREF _Toc387308824 \h </w:instrText>
        </w:r>
        <w:r w:rsidR="0009419D">
          <w:rPr>
            <w:webHidden/>
          </w:rPr>
        </w:r>
        <w:r w:rsidR="0009419D">
          <w:rPr>
            <w:webHidden/>
          </w:rPr>
          <w:fldChar w:fldCharType="separate"/>
        </w:r>
        <w:r w:rsidR="004D27C2">
          <w:rPr>
            <w:webHidden/>
          </w:rPr>
          <w:t>14</w:t>
        </w:r>
        <w:r w:rsidR="0009419D">
          <w:rPr>
            <w:webHidden/>
          </w:rPr>
          <w:fldChar w:fldCharType="end"/>
        </w:r>
      </w:hyperlink>
    </w:p>
    <w:p w:rsidR="004D27C2" w:rsidRDefault="007F0933">
      <w:pPr>
        <w:pStyle w:val="TOC1"/>
        <w:tabs>
          <w:tab w:val="left" w:pos="885"/>
        </w:tabs>
        <w:rPr>
          <w:rFonts w:asciiTheme="minorHAnsi" w:eastAsiaTheme="minorEastAsia" w:hAnsiTheme="minorHAnsi" w:cstheme="minorBidi"/>
          <w:b w:val="0"/>
          <w:color w:val="auto"/>
          <w:spacing w:val="0"/>
          <w:sz w:val="22"/>
          <w:szCs w:val="22"/>
        </w:rPr>
      </w:pPr>
      <w:hyperlink w:anchor="_Toc387308825" w:history="1">
        <w:r w:rsidR="004D27C2" w:rsidRPr="001C3AD8">
          <w:rPr>
            <w:rStyle w:val="Hyperlink"/>
          </w:rPr>
          <w:t xml:space="preserve">4. </w:t>
        </w:r>
        <w:r w:rsidR="004D27C2">
          <w:rPr>
            <w:rFonts w:asciiTheme="minorHAnsi" w:eastAsiaTheme="minorEastAsia" w:hAnsiTheme="minorHAnsi" w:cstheme="minorBidi"/>
            <w:b w:val="0"/>
            <w:color w:val="auto"/>
            <w:spacing w:val="0"/>
            <w:sz w:val="22"/>
            <w:szCs w:val="22"/>
          </w:rPr>
          <w:tab/>
        </w:r>
        <w:r w:rsidR="004D27C2" w:rsidRPr="001C3AD8">
          <w:rPr>
            <w:rStyle w:val="Hyperlink"/>
          </w:rPr>
          <w:t>Stakeholder engagement</w:t>
        </w:r>
        <w:r w:rsidR="004D27C2">
          <w:rPr>
            <w:webHidden/>
          </w:rPr>
          <w:tab/>
        </w:r>
        <w:r w:rsidR="0009419D">
          <w:rPr>
            <w:webHidden/>
          </w:rPr>
          <w:fldChar w:fldCharType="begin"/>
        </w:r>
        <w:r w:rsidR="004D27C2">
          <w:rPr>
            <w:webHidden/>
          </w:rPr>
          <w:instrText xml:space="preserve"> PAGEREF _Toc387308825 \h </w:instrText>
        </w:r>
        <w:r w:rsidR="0009419D">
          <w:rPr>
            <w:webHidden/>
          </w:rPr>
        </w:r>
        <w:r w:rsidR="0009419D">
          <w:rPr>
            <w:webHidden/>
          </w:rPr>
          <w:fldChar w:fldCharType="separate"/>
        </w:r>
        <w:r w:rsidR="004D27C2">
          <w:rPr>
            <w:webHidden/>
          </w:rPr>
          <w:t>16</w:t>
        </w:r>
        <w:r w:rsidR="0009419D">
          <w:rPr>
            <w:webHidden/>
          </w:rPr>
          <w:fldChar w:fldCharType="end"/>
        </w:r>
      </w:hyperlink>
    </w:p>
    <w:p w:rsidR="004D27C2" w:rsidRDefault="007F0933">
      <w:pPr>
        <w:pStyle w:val="TOC1"/>
        <w:tabs>
          <w:tab w:val="left" w:pos="885"/>
        </w:tabs>
        <w:rPr>
          <w:rFonts w:asciiTheme="minorHAnsi" w:eastAsiaTheme="minorEastAsia" w:hAnsiTheme="minorHAnsi" w:cstheme="minorBidi"/>
          <w:b w:val="0"/>
          <w:color w:val="auto"/>
          <w:spacing w:val="0"/>
          <w:sz w:val="22"/>
          <w:szCs w:val="22"/>
        </w:rPr>
      </w:pPr>
      <w:hyperlink w:anchor="_Toc387308826" w:history="1">
        <w:r w:rsidR="004D27C2" w:rsidRPr="001C3AD8">
          <w:rPr>
            <w:rStyle w:val="Hyperlink"/>
          </w:rPr>
          <w:t xml:space="preserve">5. </w:t>
        </w:r>
        <w:r w:rsidR="004D27C2">
          <w:rPr>
            <w:rFonts w:asciiTheme="minorHAnsi" w:eastAsiaTheme="minorEastAsia" w:hAnsiTheme="minorHAnsi" w:cstheme="minorBidi"/>
            <w:b w:val="0"/>
            <w:color w:val="auto"/>
            <w:spacing w:val="0"/>
            <w:sz w:val="22"/>
            <w:szCs w:val="22"/>
          </w:rPr>
          <w:tab/>
        </w:r>
        <w:r w:rsidR="004D27C2" w:rsidRPr="001C3AD8">
          <w:rPr>
            <w:rStyle w:val="Hyperlink"/>
          </w:rPr>
          <w:t>Financial information</w:t>
        </w:r>
        <w:r w:rsidR="004D27C2">
          <w:rPr>
            <w:webHidden/>
          </w:rPr>
          <w:tab/>
        </w:r>
        <w:r w:rsidR="0009419D">
          <w:rPr>
            <w:webHidden/>
          </w:rPr>
          <w:fldChar w:fldCharType="begin"/>
        </w:r>
        <w:r w:rsidR="004D27C2">
          <w:rPr>
            <w:webHidden/>
          </w:rPr>
          <w:instrText xml:space="preserve"> PAGEREF _Toc387308826 \h </w:instrText>
        </w:r>
        <w:r w:rsidR="0009419D">
          <w:rPr>
            <w:webHidden/>
          </w:rPr>
        </w:r>
        <w:r w:rsidR="0009419D">
          <w:rPr>
            <w:webHidden/>
          </w:rPr>
          <w:fldChar w:fldCharType="separate"/>
        </w:r>
        <w:r w:rsidR="004D27C2">
          <w:rPr>
            <w:webHidden/>
          </w:rPr>
          <w:t>17</w:t>
        </w:r>
        <w:r w:rsidR="0009419D">
          <w:rPr>
            <w:webHidden/>
          </w:rPr>
          <w:fldChar w:fldCharType="end"/>
        </w:r>
      </w:hyperlink>
    </w:p>
    <w:p w:rsidR="004D27C2" w:rsidRDefault="007F0933">
      <w:pPr>
        <w:pStyle w:val="TOC1"/>
        <w:tabs>
          <w:tab w:val="left" w:pos="885"/>
        </w:tabs>
        <w:rPr>
          <w:rFonts w:asciiTheme="minorHAnsi" w:eastAsiaTheme="minorEastAsia" w:hAnsiTheme="minorHAnsi" w:cstheme="minorBidi"/>
          <w:b w:val="0"/>
          <w:color w:val="auto"/>
          <w:spacing w:val="0"/>
          <w:sz w:val="22"/>
          <w:szCs w:val="22"/>
        </w:rPr>
      </w:pPr>
      <w:hyperlink w:anchor="_Toc387308827" w:history="1">
        <w:r w:rsidR="004D27C2" w:rsidRPr="001C3AD8">
          <w:rPr>
            <w:rStyle w:val="Hyperlink"/>
          </w:rPr>
          <w:t>6.</w:t>
        </w:r>
        <w:r w:rsidR="004D27C2">
          <w:rPr>
            <w:rFonts w:asciiTheme="minorHAnsi" w:eastAsiaTheme="minorEastAsia" w:hAnsiTheme="minorHAnsi" w:cstheme="minorBidi"/>
            <w:b w:val="0"/>
            <w:color w:val="auto"/>
            <w:spacing w:val="0"/>
            <w:sz w:val="22"/>
            <w:szCs w:val="22"/>
          </w:rPr>
          <w:tab/>
        </w:r>
        <w:r w:rsidR="004D27C2" w:rsidRPr="001C3AD8">
          <w:rPr>
            <w:rStyle w:val="Hyperlink"/>
          </w:rPr>
          <w:t>Key forward dates and events</w:t>
        </w:r>
        <w:r w:rsidR="004D27C2">
          <w:rPr>
            <w:webHidden/>
          </w:rPr>
          <w:tab/>
        </w:r>
        <w:r w:rsidR="0009419D">
          <w:rPr>
            <w:webHidden/>
          </w:rPr>
          <w:fldChar w:fldCharType="begin"/>
        </w:r>
        <w:r w:rsidR="004D27C2">
          <w:rPr>
            <w:webHidden/>
          </w:rPr>
          <w:instrText xml:space="preserve"> PAGEREF _Toc387308827 \h </w:instrText>
        </w:r>
        <w:r w:rsidR="0009419D">
          <w:rPr>
            <w:webHidden/>
          </w:rPr>
        </w:r>
        <w:r w:rsidR="0009419D">
          <w:rPr>
            <w:webHidden/>
          </w:rPr>
          <w:fldChar w:fldCharType="separate"/>
        </w:r>
        <w:r w:rsidR="004D27C2">
          <w:rPr>
            <w:webHidden/>
          </w:rPr>
          <w:t>18</w:t>
        </w:r>
        <w:r w:rsidR="0009419D">
          <w:rPr>
            <w:webHidden/>
          </w:rPr>
          <w:fldChar w:fldCharType="end"/>
        </w:r>
      </w:hyperlink>
    </w:p>
    <w:p w:rsidR="004D27C2" w:rsidRDefault="007F0933">
      <w:pPr>
        <w:pStyle w:val="TOC1"/>
        <w:tabs>
          <w:tab w:val="left" w:pos="885"/>
        </w:tabs>
        <w:rPr>
          <w:rFonts w:asciiTheme="minorHAnsi" w:eastAsiaTheme="minorEastAsia" w:hAnsiTheme="minorHAnsi" w:cstheme="minorBidi"/>
          <w:b w:val="0"/>
          <w:color w:val="auto"/>
          <w:spacing w:val="0"/>
          <w:sz w:val="22"/>
          <w:szCs w:val="22"/>
        </w:rPr>
      </w:pPr>
      <w:hyperlink w:anchor="_Toc387308828" w:history="1">
        <w:r w:rsidR="004D27C2" w:rsidRPr="001C3AD8">
          <w:rPr>
            <w:rStyle w:val="Hyperlink"/>
          </w:rPr>
          <w:t xml:space="preserve">7. </w:t>
        </w:r>
        <w:r w:rsidR="004D27C2">
          <w:rPr>
            <w:rFonts w:asciiTheme="minorHAnsi" w:eastAsiaTheme="minorEastAsia" w:hAnsiTheme="minorHAnsi" w:cstheme="minorBidi"/>
            <w:b w:val="0"/>
            <w:color w:val="auto"/>
            <w:spacing w:val="0"/>
            <w:sz w:val="22"/>
            <w:szCs w:val="22"/>
          </w:rPr>
          <w:tab/>
        </w:r>
        <w:r w:rsidR="004D27C2" w:rsidRPr="001C3AD8">
          <w:rPr>
            <w:rStyle w:val="Hyperlink"/>
          </w:rPr>
          <w:t>CRIS approval and change register</w:t>
        </w:r>
        <w:r w:rsidR="004D27C2">
          <w:rPr>
            <w:webHidden/>
          </w:rPr>
          <w:tab/>
        </w:r>
        <w:r w:rsidR="0009419D">
          <w:rPr>
            <w:webHidden/>
          </w:rPr>
          <w:fldChar w:fldCharType="begin"/>
        </w:r>
        <w:r w:rsidR="004D27C2">
          <w:rPr>
            <w:webHidden/>
          </w:rPr>
          <w:instrText xml:space="preserve"> PAGEREF _Toc387308828 \h </w:instrText>
        </w:r>
        <w:r w:rsidR="0009419D">
          <w:rPr>
            <w:webHidden/>
          </w:rPr>
        </w:r>
        <w:r w:rsidR="0009419D">
          <w:rPr>
            <w:webHidden/>
          </w:rPr>
          <w:fldChar w:fldCharType="separate"/>
        </w:r>
        <w:r w:rsidR="004D27C2">
          <w:rPr>
            <w:webHidden/>
          </w:rPr>
          <w:t>19</w:t>
        </w:r>
        <w:r w:rsidR="0009419D">
          <w:rPr>
            <w:webHidden/>
          </w:rPr>
          <w:fldChar w:fldCharType="end"/>
        </w:r>
      </w:hyperlink>
    </w:p>
    <w:p w:rsidR="004D27C2" w:rsidRDefault="007F0933">
      <w:pPr>
        <w:pStyle w:val="TOC1"/>
        <w:rPr>
          <w:rFonts w:asciiTheme="minorHAnsi" w:eastAsiaTheme="minorEastAsia" w:hAnsiTheme="minorHAnsi" w:cstheme="minorBidi"/>
          <w:b w:val="0"/>
          <w:color w:val="auto"/>
          <w:spacing w:val="0"/>
          <w:sz w:val="22"/>
          <w:szCs w:val="22"/>
        </w:rPr>
      </w:pPr>
      <w:hyperlink w:anchor="_Toc387308829" w:history="1">
        <w:r w:rsidR="004D27C2" w:rsidRPr="001C3AD8">
          <w:rPr>
            <w:rStyle w:val="Hyperlink"/>
          </w:rPr>
          <w:t>Glossary</w:t>
        </w:r>
        <w:r w:rsidR="004D27C2">
          <w:rPr>
            <w:webHidden/>
          </w:rPr>
          <w:tab/>
        </w:r>
        <w:r w:rsidR="0009419D">
          <w:rPr>
            <w:webHidden/>
          </w:rPr>
          <w:fldChar w:fldCharType="begin"/>
        </w:r>
        <w:r w:rsidR="004D27C2">
          <w:rPr>
            <w:webHidden/>
          </w:rPr>
          <w:instrText xml:space="preserve"> PAGEREF _Toc387308829 \h </w:instrText>
        </w:r>
        <w:r w:rsidR="0009419D">
          <w:rPr>
            <w:webHidden/>
          </w:rPr>
        </w:r>
        <w:r w:rsidR="0009419D">
          <w:rPr>
            <w:webHidden/>
          </w:rPr>
          <w:fldChar w:fldCharType="separate"/>
        </w:r>
        <w:r w:rsidR="004D27C2">
          <w:rPr>
            <w:webHidden/>
          </w:rPr>
          <w:t>20</w:t>
        </w:r>
        <w:r w:rsidR="0009419D">
          <w:rPr>
            <w:webHidden/>
          </w:rPr>
          <w:fldChar w:fldCharType="end"/>
        </w:r>
      </w:hyperlink>
    </w:p>
    <w:p w:rsidR="004D27C2" w:rsidRDefault="007F0933">
      <w:pPr>
        <w:pStyle w:val="TOC1"/>
        <w:rPr>
          <w:rFonts w:asciiTheme="minorHAnsi" w:eastAsiaTheme="minorEastAsia" w:hAnsiTheme="minorHAnsi" w:cstheme="minorBidi"/>
          <w:b w:val="0"/>
          <w:color w:val="auto"/>
          <w:spacing w:val="0"/>
          <w:sz w:val="22"/>
          <w:szCs w:val="22"/>
        </w:rPr>
      </w:pPr>
      <w:hyperlink w:anchor="_Toc387308830" w:history="1">
        <w:r w:rsidR="004D27C2" w:rsidRPr="001C3AD8">
          <w:rPr>
            <w:rStyle w:val="Hyperlink"/>
          </w:rPr>
          <w:t>Attachment A</w:t>
        </w:r>
        <w:r w:rsidR="004D27C2">
          <w:rPr>
            <w:webHidden/>
          </w:rPr>
          <w:tab/>
        </w:r>
        <w:r w:rsidR="0009419D">
          <w:rPr>
            <w:webHidden/>
          </w:rPr>
          <w:fldChar w:fldCharType="begin"/>
        </w:r>
        <w:r w:rsidR="004D27C2">
          <w:rPr>
            <w:webHidden/>
          </w:rPr>
          <w:instrText xml:space="preserve"> PAGEREF _Toc387308830 \h </w:instrText>
        </w:r>
        <w:r w:rsidR="0009419D">
          <w:rPr>
            <w:webHidden/>
          </w:rPr>
        </w:r>
        <w:r w:rsidR="0009419D">
          <w:rPr>
            <w:webHidden/>
          </w:rPr>
          <w:fldChar w:fldCharType="separate"/>
        </w:r>
        <w:r w:rsidR="004D27C2">
          <w:rPr>
            <w:webHidden/>
          </w:rPr>
          <w:t>21</w:t>
        </w:r>
        <w:r w:rsidR="0009419D">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31" w:history="1">
        <w:r w:rsidR="004D27C2" w:rsidRPr="001C3AD8">
          <w:rPr>
            <w:rStyle w:val="Hyperlink"/>
          </w:rPr>
          <w:t>ACLC for 2013–14</w:t>
        </w:r>
        <w:r w:rsidR="004D27C2">
          <w:rPr>
            <w:webHidden/>
          </w:rPr>
          <w:tab/>
        </w:r>
        <w:r w:rsidR="0009419D">
          <w:rPr>
            <w:webHidden/>
          </w:rPr>
          <w:fldChar w:fldCharType="begin"/>
        </w:r>
        <w:r w:rsidR="004D27C2">
          <w:rPr>
            <w:webHidden/>
          </w:rPr>
          <w:instrText xml:space="preserve"> PAGEREF _Toc387308831 \h </w:instrText>
        </w:r>
        <w:r w:rsidR="0009419D">
          <w:rPr>
            <w:webHidden/>
          </w:rPr>
        </w:r>
        <w:r w:rsidR="0009419D">
          <w:rPr>
            <w:webHidden/>
          </w:rPr>
          <w:fldChar w:fldCharType="separate"/>
        </w:r>
        <w:r w:rsidR="004D27C2">
          <w:rPr>
            <w:webHidden/>
          </w:rPr>
          <w:t>21</w:t>
        </w:r>
        <w:r w:rsidR="0009419D">
          <w:rPr>
            <w:webHidden/>
          </w:rPr>
          <w:fldChar w:fldCharType="end"/>
        </w:r>
      </w:hyperlink>
    </w:p>
    <w:p w:rsidR="004D27C2" w:rsidRDefault="007F0933">
      <w:pPr>
        <w:pStyle w:val="TOC1"/>
        <w:rPr>
          <w:rFonts w:asciiTheme="minorHAnsi" w:eastAsiaTheme="minorEastAsia" w:hAnsiTheme="minorHAnsi" w:cstheme="minorBidi"/>
          <w:b w:val="0"/>
          <w:color w:val="auto"/>
          <w:spacing w:val="0"/>
          <w:sz w:val="22"/>
          <w:szCs w:val="22"/>
        </w:rPr>
      </w:pPr>
      <w:hyperlink w:anchor="_Toc387308832" w:history="1">
        <w:r w:rsidR="004D27C2" w:rsidRPr="001C3AD8">
          <w:rPr>
            <w:rStyle w:val="Hyperlink"/>
          </w:rPr>
          <w:t>Attachment B</w:t>
        </w:r>
        <w:r w:rsidR="004D27C2">
          <w:rPr>
            <w:webHidden/>
          </w:rPr>
          <w:tab/>
        </w:r>
        <w:r w:rsidR="0009419D">
          <w:rPr>
            <w:webHidden/>
          </w:rPr>
          <w:fldChar w:fldCharType="begin"/>
        </w:r>
        <w:r w:rsidR="004D27C2">
          <w:rPr>
            <w:webHidden/>
          </w:rPr>
          <w:instrText xml:space="preserve"> PAGEREF _Toc387308832 \h </w:instrText>
        </w:r>
        <w:r w:rsidR="0009419D">
          <w:rPr>
            <w:webHidden/>
          </w:rPr>
        </w:r>
        <w:r w:rsidR="0009419D">
          <w:rPr>
            <w:webHidden/>
          </w:rPr>
          <w:fldChar w:fldCharType="separate"/>
        </w:r>
        <w:r w:rsidR="004D27C2">
          <w:rPr>
            <w:webHidden/>
          </w:rPr>
          <w:t>22</w:t>
        </w:r>
        <w:r w:rsidR="0009419D">
          <w:rPr>
            <w:webHidden/>
          </w:rPr>
          <w:fldChar w:fldCharType="end"/>
        </w:r>
      </w:hyperlink>
    </w:p>
    <w:p w:rsidR="004D27C2" w:rsidRDefault="007F0933">
      <w:pPr>
        <w:pStyle w:val="TOC2"/>
        <w:rPr>
          <w:rFonts w:asciiTheme="minorHAnsi" w:eastAsiaTheme="minorEastAsia" w:hAnsiTheme="minorHAnsi" w:cstheme="minorBidi"/>
          <w:color w:val="auto"/>
          <w:spacing w:val="0"/>
          <w:sz w:val="22"/>
          <w:szCs w:val="22"/>
        </w:rPr>
      </w:pPr>
      <w:hyperlink w:anchor="_Toc387308833" w:history="1">
        <w:r w:rsidR="004D27C2" w:rsidRPr="001C3AD8">
          <w:rPr>
            <w:rStyle w:val="Hyperlink"/>
          </w:rPr>
          <w:t>Telecommunications activities not included in the ACLC</w:t>
        </w:r>
        <w:r w:rsidR="004D27C2">
          <w:rPr>
            <w:webHidden/>
          </w:rPr>
          <w:tab/>
        </w:r>
        <w:r w:rsidR="0009419D">
          <w:rPr>
            <w:webHidden/>
          </w:rPr>
          <w:fldChar w:fldCharType="begin"/>
        </w:r>
        <w:r w:rsidR="004D27C2">
          <w:rPr>
            <w:webHidden/>
          </w:rPr>
          <w:instrText xml:space="preserve"> PAGEREF _Toc387308833 \h </w:instrText>
        </w:r>
        <w:r w:rsidR="0009419D">
          <w:rPr>
            <w:webHidden/>
          </w:rPr>
        </w:r>
        <w:r w:rsidR="0009419D">
          <w:rPr>
            <w:webHidden/>
          </w:rPr>
          <w:fldChar w:fldCharType="separate"/>
        </w:r>
        <w:r w:rsidR="004D27C2">
          <w:rPr>
            <w:webHidden/>
          </w:rPr>
          <w:t>22</w:t>
        </w:r>
        <w:r w:rsidR="0009419D">
          <w:rPr>
            <w:webHidden/>
          </w:rPr>
          <w:fldChar w:fldCharType="end"/>
        </w:r>
      </w:hyperlink>
    </w:p>
    <w:p w:rsidR="00152903" w:rsidRPr="000D76E0" w:rsidRDefault="0009419D" w:rsidP="00332011">
      <w:pPr>
        <w:rPr>
          <w:rFonts w:cs="Arial"/>
        </w:rPr>
      </w:pPr>
      <w:r>
        <w:rPr>
          <w:rFonts w:cs="Arial"/>
          <w:b/>
          <w:noProof/>
          <w:color w:val="808285"/>
          <w:spacing w:val="-14"/>
          <w:sz w:val="28"/>
        </w:rPr>
        <w:fldChar w:fldCharType="end"/>
      </w:r>
    </w:p>
    <w:p w:rsidR="000A4A51" w:rsidRPr="000D76E0" w:rsidRDefault="000A4A51">
      <w:pPr>
        <w:rPr>
          <w:rFonts w:cs="Arial"/>
        </w:rPr>
      </w:pPr>
    </w:p>
    <w:p w:rsidR="004D56FF" w:rsidRPr="000D76E0" w:rsidRDefault="004D56FF">
      <w:pPr>
        <w:rPr>
          <w:rFonts w:cs="Arial"/>
        </w:rPr>
        <w:sectPr w:rsidR="004D56FF" w:rsidRPr="000D76E0" w:rsidSect="00BE4C11">
          <w:headerReference w:type="even" r:id="rId19"/>
          <w:headerReference w:type="default" r:id="rId20"/>
          <w:footerReference w:type="even" r:id="rId21"/>
          <w:footerReference w:type="default" r:id="rId22"/>
          <w:footerReference w:type="first" r:id="rId23"/>
          <w:pgSz w:w="11906" w:h="16838" w:code="9"/>
          <w:pgMar w:top="3646" w:right="3102" w:bottom="868" w:left="1134" w:header="709" w:footer="119" w:gutter="0"/>
          <w:cols w:space="708"/>
          <w:titlePg/>
          <w:docGrid w:linePitch="360"/>
        </w:sectPr>
      </w:pPr>
    </w:p>
    <w:p w:rsidR="00D71FD2" w:rsidRPr="00CC3F4B" w:rsidRDefault="00D71FD2" w:rsidP="00CC3F4B">
      <w:pPr>
        <w:pStyle w:val="Heading1"/>
      </w:pPr>
      <w:bookmarkStart w:id="1" w:name="_Toc355953981"/>
      <w:bookmarkStart w:id="2" w:name="_Toc385256311"/>
      <w:bookmarkStart w:id="3" w:name="_Toc387308815"/>
      <w:r w:rsidRPr="00CC3F4B">
        <w:lastRenderedPageBreak/>
        <w:t xml:space="preserve">1. </w:t>
      </w:r>
      <w:r w:rsidRPr="00CC3F4B">
        <w:tab/>
      </w:r>
      <w:bookmarkEnd w:id="1"/>
      <w:r w:rsidR="00CC3F4B" w:rsidRPr="00CC3F4B">
        <w:t>Introduction</w:t>
      </w:r>
      <w:bookmarkEnd w:id="2"/>
      <w:bookmarkEnd w:id="3"/>
    </w:p>
    <w:p w:rsidR="00D71FD2" w:rsidRPr="00C320F6" w:rsidRDefault="00D71FD2" w:rsidP="00D71FD2">
      <w:pPr>
        <w:pStyle w:val="Heading2"/>
        <w:rPr>
          <w:sz w:val="24"/>
        </w:rPr>
      </w:pPr>
      <w:bookmarkStart w:id="4" w:name="_Toc355953982"/>
      <w:bookmarkStart w:id="5" w:name="_Toc385256312"/>
      <w:bookmarkStart w:id="6" w:name="_Toc387308816"/>
      <w:bookmarkStart w:id="7" w:name="purpose"/>
      <w:r w:rsidRPr="00C320F6">
        <w:rPr>
          <w:sz w:val="24"/>
        </w:rPr>
        <w:t xml:space="preserve">1.1 </w:t>
      </w:r>
      <w:r w:rsidRPr="00C320F6">
        <w:rPr>
          <w:sz w:val="24"/>
        </w:rPr>
        <w:tab/>
        <w:t>Purpose</w:t>
      </w:r>
      <w:bookmarkEnd w:id="4"/>
      <w:bookmarkEnd w:id="5"/>
      <w:bookmarkEnd w:id="6"/>
    </w:p>
    <w:bookmarkEnd w:id="7"/>
    <w:p w:rsidR="00D71FD2" w:rsidRPr="005D0BC8" w:rsidRDefault="00A84CBD" w:rsidP="00094042">
      <w:r w:rsidRPr="00A84CBD">
        <w:t xml:space="preserve">The purpose of this Cost Recovery Impact Statement (CRIS) is to demonstrate compliance of the Annual Carrier Licence Charge (ACLC) with the Australian Government Cost Recovery Guidelines 2005 (the Guidelines). It also provides a summary of the cost recovery model used by the Australian Communications and Media Authority (the ACMA) and other participating organisations. </w:t>
      </w:r>
    </w:p>
    <w:p w:rsidR="00D71FD2" w:rsidRPr="005D0BC8" w:rsidRDefault="00D71FD2" w:rsidP="00094042"/>
    <w:p w:rsidR="00D71FD2" w:rsidRPr="005D0BC8" w:rsidRDefault="00A84CBD" w:rsidP="00094042">
      <w:r w:rsidRPr="00A84CBD">
        <w:t xml:space="preserve">The ACLC amounts payable by carrier licensees for the period 1 July 2013 to 30 June 2014 are outlined in Attachment A.   </w:t>
      </w:r>
    </w:p>
    <w:p w:rsidR="00D71FD2" w:rsidRPr="00C320F6" w:rsidRDefault="00D71FD2" w:rsidP="00D71FD2">
      <w:pPr>
        <w:rPr>
          <w:rFonts w:cs="Arial"/>
          <w:lang w:val="en-US"/>
        </w:rPr>
      </w:pPr>
    </w:p>
    <w:p w:rsidR="00D71FD2" w:rsidRPr="00C320F6" w:rsidRDefault="00D71FD2" w:rsidP="00D71FD2">
      <w:pPr>
        <w:pStyle w:val="Heading2"/>
        <w:rPr>
          <w:sz w:val="24"/>
        </w:rPr>
      </w:pPr>
      <w:bookmarkStart w:id="8" w:name="_Toc355953983"/>
      <w:bookmarkStart w:id="9" w:name="_Toc385256313"/>
      <w:bookmarkStart w:id="10" w:name="_Toc387308817"/>
      <w:bookmarkStart w:id="11" w:name="background"/>
      <w:r w:rsidRPr="00C320F6">
        <w:rPr>
          <w:sz w:val="24"/>
        </w:rPr>
        <w:t>1.2</w:t>
      </w:r>
      <w:r>
        <w:rPr>
          <w:sz w:val="24"/>
        </w:rPr>
        <w:tab/>
      </w:r>
      <w:r w:rsidRPr="00C320F6">
        <w:rPr>
          <w:sz w:val="24"/>
        </w:rPr>
        <w:t>Background</w:t>
      </w:r>
      <w:bookmarkEnd w:id="8"/>
      <w:r>
        <w:rPr>
          <w:sz w:val="24"/>
        </w:rPr>
        <w:t xml:space="preserve"> and description of activity</w:t>
      </w:r>
      <w:bookmarkEnd w:id="9"/>
      <w:bookmarkEnd w:id="10"/>
    </w:p>
    <w:bookmarkEnd w:id="11"/>
    <w:p w:rsidR="00D71FD2" w:rsidRPr="005D0BC8" w:rsidRDefault="00A84CBD" w:rsidP="00094042">
      <w:r w:rsidRPr="00A84CBD">
        <w:t xml:space="preserve">The ACMA is a statutory authority within the Commonwealth Government Portfolio of Communications. It is responsible for administering the telecommunications regulatory regime which is established through the </w:t>
      </w:r>
      <w:r w:rsidRPr="006B3422">
        <w:rPr>
          <w:i/>
        </w:rPr>
        <w:t>Australian Communications and Media Authority Act 2005</w:t>
      </w:r>
      <w:r w:rsidRPr="00A84CBD">
        <w:t xml:space="preserve">, the </w:t>
      </w:r>
      <w:r w:rsidRPr="006B3422">
        <w:rPr>
          <w:i/>
        </w:rPr>
        <w:t>Telecommunications Act 1997</w:t>
      </w:r>
      <w:r w:rsidRPr="00A84CBD">
        <w:t xml:space="preserve"> and the </w:t>
      </w:r>
      <w:r w:rsidRPr="00094042">
        <w:rPr>
          <w:i/>
        </w:rPr>
        <w:t>Telecommunications Universal Service Management Agency Act 2012</w:t>
      </w:r>
      <w:r w:rsidRPr="00A84CBD">
        <w:t xml:space="preserve"> (TUSMA Act).</w:t>
      </w:r>
    </w:p>
    <w:p w:rsidR="00D71FD2" w:rsidRPr="005D0BC8" w:rsidRDefault="00D71FD2" w:rsidP="00094042"/>
    <w:p w:rsidR="00D71FD2" w:rsidRPr="005D0BC8" w:rsidRDefault="00A84CBD" w:rsidP="00094042">
      <w:r w:rsidRPr="00A84CBD">
        <w:t>The purpose of the ACLC is to fund activities of the ACMA, the Australian Competition and Consumer Commission (the ACCC) and the De</w:t>
      </w:r>
      <w:r w:rsidR="00F7198B">
        <w:t>partment of Communications (</w:t>
      </w:r>
      <w:proofErr w:type="spellStart"/>
      <w:r w:rsidR="00F7198B">
        <w:t>DoC</w:t>
      </w:r>
      <w:proofErr w:type="spellEnd"/>
      <w:r w:rsidRPr="00A84CBD">
        <w:t xml:space="preserve">) in regulating telecommunications services provided by the licensed carriers. </w:t>
      </w:r>
    </w:p>
    <w:p w:rsidR="00D71FD2" w:rsidRPr="005D0BC8" w:rsidRDefault="00D71FD2" w:rsidP="00094042"/>
    <w:p w:rsidR="00D71FD2" w:rsidRPr="005D0BC8" w:rsidRDefault="00A84CBD" w:rsidP="00094042">
      <w:r w:rsidRPr="00A84CBD">
        <w:t xml:space="preserve">The costs of the ACMA’s other regulatory activities, such as those related to </w:t>
      </w:r>
      <w:proofErr w:type="spellStart"/>
      <w:r w:rsidRPr="00A84CBD">
        <w:t>radiocommunications</w:t>
      </w:r>
      <w:proofErr w:type="spellEnd"/>
      <w:r w:rsidRPr="00A84CBD">
        <w:t xml:space="preserve">, internet content and broadcasting services, are not included in the ACLC. Further information about the full range of the ACMA’s telecommunications activities can be found at </w:t>
      </w:r>
      <w:hyperlink r:id="rId24" w:history="1">
        <w:r w:rsidRPr="006B3422">
          <w:rPr>
            <w:rStyle w:val="Hyperlink"/>
            <w:rFonts w:cs="Arial"/>
            <w:szCs w:val="20"/>
          </w:rPr>
          <w:t>www.acma.gov.au</w:t>
        </w:r>
      </w:hyperlink>
      <w:r w:rsidRPr="006B3422">
        <w:t>.</w:t>
      </w:r>
      <w:r w:rsidRPr="00A84CBD">
        <w:t xml:space="preserve"> </w:t>
      </w:r>
    </w:p>
    <w:p w:rsidR="00D71FD2" w:rsidRPr="005D0BC8" w:rsidRDefault="00D71FD2" w:rsidP="00094042"/>
    <w:p w:rsidR="00094042" w:rsidRDefault="00A84CBD" w:rsidP="00094042">
      <w:r w:rsidRPr="00A84CBD">
        <w:t>The ACLC for the 2013–14 financial year is allocated to licensed telecommunications carriers based on their eligible revenue within the meaning of the TUSMA Act for the 2012–13 financial year, as assessed by the ACMA. Carriers that were ‘non-participating persons’ within the meaning of the Telecommunications (Participating Persons) Determination 2013 (No. 2) for the eligible revenue period that began on 1 July 2012 and ended 30 June 2013 are, in effect, exempted from paying the ACLC. Generally, non-participating persons are carriers with initial sales revenue, gross telecommunications sales revenue or eligible revenue of less than $25 million who lodge the required statutory declaration with the ACMA within the specified time frame</w:t>
      </w:r>
      <w:r w:rsidRPr="00A84CBD">
        <w:rPr>
          <w:rStyle w:val="FootnoteReference"/>
          <w:rFonts w:cs="Arial"/>
          <w:i/>
          <w:szCs w:val="20"/>
        </w:rPr>
        <w:footnoteReference w:id="1"/>
      </w:r>
      <w:r w:rsidRPr="00A84CBD">
        <w:t xml:space="preserve"> for the eligible revenue period (</w:t>
      </w:r>
      <w:r w:rsidR="005D0BC8">
        <w:t>that is,</w:t>
      </w:r>
      <w:r w:rsidRPr="00A84CBD">
        <w:t xml:space="preserve"> the smaller carriers). Any carrier, who holds a licence on 1</w:t>
      </w:r>
      <w:r w:rsidR="005D0BC8">
        <w:t> </w:t>
      </w:r>
      <w:r w:rsidRPr="00A84CBD">
        <w:t xml:space="preserve">July 2013 and is not a non-participating person, is required to pay the ACLC for the 2013–14 financial year, irrespective of whether they have surrendered or cancelled their licence subsequent to this date, and will be held liable for payment of the charge when it becomes due. </w:t>
      </w:r>
    </w:p>
    <w:p w:rsidR="006B3422" w:rsidRDefault="006B3422" w:rsidP="00094042"/>
    <w:p w:rsidR="00D71FD2" w:rsidRPr="00C320F6" w:rsidRDefault="00D71FD2" w:rsidP="00D71FD2">
      <w:pPr>
        <w:pStyle w:val="Heading2"/>
        <w:rPr>
          <w:sz w:val="24"/>
        </w:rPr>
      </w:pPr>
      <w:bookmarkStart w:id="12" w:name="_Toc355953984"/>
      <w:bookmarkStart w:id="13" w:name="_Toc385256314"/>
      <w:bookmarkStart w:id="14" w:name="_Toc387308818"/>
      <w:r w:rsidRPr="00C320F6">
        <w:rPr>
          <w:sz w:val="24"/>
        </w:rPr>
        <w:t>1.3</w:t>
      </w:r>
      <w:r>
        <w:rPr>
          <w:sz w:val="24"/>
        </w:rPr>
        <w:tab/>
        <w:t>Australian</w:t>
      </w:r>
      <w:r w:rsidRPr="00C320F6">
        <w:rPr>
          <w:sz w:val="24"/>
        </w:rPr>
        <w:t xml:space="preserve"> Government cost recovery policy</w:t>
      </w:r>
      <w:bookmarkEnd w:id="12"/>
      <w:bookmarkEnd w:id="13"/>
      <w:bookmarkEnd w:id="14"/>
    </w:p>
    <w:p w:rsidR="00D71FD2" w:rsidRPr="005D0BC8" w:rsidRDefault="00A84CBD" w:rsidP="00094042">
      <w:r w:rsidRPr="00A84CBD">
        <w:t xml:space="preserve">In December 2002, the Australian Government adopted a formal cost recovery policy to improve the consistency, transparency and accountability of its cost recovery arrangements and promote the efficient allocation of resources. The underlying principle of the policy is that entities should set charges to recover all the costs of products or services where it is efficient to do so, where the beneficiaries are a narrow and identifiable group and where charging is consistent with Australian Government </w:t>
      </w:r>
      <w:r w:rsidRPr="00A84CBD">
        <w:lastRenderedPageBreak/>
        <w:t xml:space="preserve">policy objectives. Cost recovery policy is administered by the Department of Finance and outlined in the Guidelines, which can be found at </w:t>
      </w:r>
      <w:hyperlink r:id="rId25" w:history="1">
        <w:r w:rsidRPr="006B3422">
          <w:rPr>
            <w:rStyle w:val="Hyperlink"/>
            <w:rFonts w:cs="Arial"/>
            <w:szCs w:val="20"/>
          </w:rPr>
          <w:t>www.finance.gov.au</w:t>
        </w:r>
      </w:hyperlink>
      <w:r w:rsidRPr="006B3422">
        <w:t>.</w:t>
      </w:r>
    </w:p>
    <w:p w:rsidR="00D71FD2" w:rsidRPr="005D0BC8" w:rsidRDefault="00D71FD2" w:rsidP="00094042"/>
    <w:p w:rsidR="005D0BC8" w:rsidRDefault="00A84CBD" w:rsidP="00094042">
      <w:r w:rsidRPr="00A84CBD">
        <w:t>In line with the policy, individual portfolio ministers are ultimately responsible for ensuring entities’ implementation and compliance with the Guidelines.</w:t>
      </w:r>
    </w:p>
    <w:p w:rsidR="004D27C2" w:rsidRDefault="004D27C2" w:rsidP="00094042"/>
    <w:p w:rsidR="00094042" w:rsidRPr="00CC3F4B" w:rsidRDefault="00CC3F4B" w:rsidP="00CC3F4B">
      <w:pPr>
        <w:pStyle w:val="Heading1"/>
      </w:pPr>
      <w:bookmarkStart w:id="15" w:name="_Toc355953985"/>
      <w:bookmarkStart w:id="16" w:name="_Toc385256315"/>
      <w:bookmarkStart w:id="17" w:name="_Toc387308819"/>
      <w:r w:rsidRPr="00CC3F4B">
        <w:lastRenderedPageBreak/>
        <w:t xml:space="preserve">2. </w:t>
      </w:r>
      <w:r w:rsidRPr="00CC3F4B">
        <w:tab/>
        <w:t>Policy and statutory authority to cost recover</w:t>
      </w:r>
      <w:bookmarkEnd w:id="15"/>
      <w:bookmarkEnd w:id="16"/>
      <w:bookmarkEnd w:id="17"/>
    </w:p>
    <w:p w:rsidR="00D71FD2" w:rsidRPr="00C320F6" w:rsidRDefault="00D71FD2" w:rsidP="00D71FD2">
      <w:pPr>
        <w:pStyle w:val="Heading2"/>
        <w:rPr>
          <w:sz w:val="24"/>
        </w:rPr>
      </w:pPr>
      <w:bookmarkStart w:id="18" w:name="_Toc355953986"/>
      <w:bookmarkStart w:id="19" w:name="_Toc385256316"/>
      <w:bookmarkStart w:id="20" w:name="_Toc387308820"/>
      <w:r w:rsidRPr="00C320F6">
        <w:rPr>
          <w:sz w:val="24"/>
        </w:rPr>
        <w:t>2.1</w:t>
      </w:r>
      <w:r w:rsidRPr="00C320F6">
        <w:rPr>
          <w:sz w:val="24"/>
        </w:rPr>
        <w:tab/>
      </w:r>
      <w:r>
        <w:rPr>
          <w:sz w:val="24"/>
        </w:rPr>
        <w:t>Government p</w:t>
      </w:r>
      <w:r w:rsidRPr="00C320F6">
        <w:rPr>
          <w:sz w:val="24"/>
        </w:rPr>
        <w:t>olicy authority to cost recover</w:t>
      </w:r>
      <w:bookmarkEnd w:id="18"/>
      <w:bookmarkEnd w:id="19"/>
      <w:bookmarkEnd w:id="20"/>
    </w:p>
    <w:p w:rsidR="00D71FD2" w:rsidRPr="005D0BC8" w:rsidRDefault="00A84CBD" w:rsidP="00094042">
      <w:r w:rsidRPr="00A84CBD">
        <w:t xml:space="preserve">Over the past years, there have been a number of government decisions in relation to the activities funded through the ACLC revenue. </w:t>
      </w:r>
    </w:p>
    <w:p w:rsidR="00D71FD2" w:rsidRPr="005D0BC8" w:rsidRDefault="00D71FD2" w:rsidP="00094042"/>
    <w:p w:rsidR="00D71FD2" w:rsidRPr="005D0BC8" w:rsidRDefault="00A84CBD" w:rsidP="00094042">
      <w:pPr>
        <w:rPr>
          <w:u w:val="single"/>
        </w:rPr>
      </w:pPr>
      <w:r w:rsidRPr="00A84CBD">
        <w:rPr>
          <w:u w:val="single"/>
        </w:rPr>
        <w:t>Explanatory Memorandum for the Telecommunications (Carrier Licence Charges) Bill 1996</w:t>
      </w:r>
    </w:p>
    <w:p w:rsidR="00D71FD2" w:rsidRPr="005D0BC8" w:rsidRDefault="00A84CBD" w:rsidP="00094042">
      <w:r w:rsidRPr="00A84CBD">
        <w:t xml:space="preserve">The regulatory framework for the telecommunications industry was implemented through the introduction of a package of Bills, including the Telecommunications (Carrier Licence Charges) Bill 1996 to impose a fee on applications for carrier licences and an annual charge on carrier licences. </w:t>
      </w:r>
    </w:p>
    <w:p w:rsidR="00D71FD2" w:rsidRPr="005D0BC8" w:rsidRDefault="00D71FD2" w:rsidP="00094042"/>
    <w:p w:rsidR="00D71FD2" w:rsidRPr="005D0BC8" w:rsidRDefault="00A84CBD" w:rsidP="00094042">
      <w:r w:rsidRPr="00A84CBD">
        <w:t>The Explanatory Memorandum for the Telecommunications (Carrier Licence Charges) Bill 1996, circulated by authority of the then Minister for Communications and the Arts, refers to the total amount of the charge on carriers having regard to the amounts attributable to the Australian Communications Authority (predecessor of the ACMA) and ACCC’s telecommunications functions and powers for the immediately preceding financial year and the proportion of the Commonwealth’s contribution to the budget of the International Telecommunication Union (ITU) for the calendar year</w:t>
      </w:r>
      <w:r w:rsidR="005D0BC8">
        <w:t>.</w:t>
      </w:r>
      <w:r w:rsidRPr="00A84CBD">
        <w:rPr>
          <w:vertAlign w:val="superscript"/>
        </w:rPr>
        <w:footnoteReference w:id="2"/>
      </w:r>
    </w:p>
    <w:p w:rsidR="00D71FD2" w:rsidRPr="005D0BC8" w:rsidRDefault="00D71FD2" w:rsidP="006B3422"/>
    <w:p w:rsidR="00D71FD2" w:rsidRPr="00094042" w:rsidRDefault="00A84CBD" w:rsidP="00094042">
      <w:pPr>
        <w:rPr>
          <w:u w:val="single"/>
        </w:rPr>
      </w:pPr>
      <w:r w:rsidRPr="00094042">
        <w:rPr>
          <w:u w:val="single"/>
        </w:rPr>
        <w:t>Explanatory Memorandum for the Telecommunications (Carrier Licence Charges) Amendment (Industry Plans and Consumer Codes) Bill 2005</w:t>
      </w:r>
    </w:p>
    <w:p w:rsidR="00D71FD2" w:rsidRPr="005D0BC8" w:rsidRDefault="00A84CBD" w:rsidP="00094042">
      <w:r w:rsidRPr="00A84CBD">
        <w:t xml:space="preserve">The Explanatory Memorandum for the Telecommunications (Carrier Licence Charges) Amendment (Industry Plans and Consumer Codes) Bill 2005, circulated by authority of the then Minister for Communications, Information Technology and the Arts, </w:t>
      </w:r>
      <w:bookmarkStart w:id="21" w:name="OLE_LINK26"/>
      <w:r w:rsidRPr="00A84CBD">
        <w:t>articulated the government’s intent to allow the total amount of annual charges that are imposed on carrier licences to include an additional amount, which would provide for industry bodies and associations that develop consumer-related industry codes to be reimbursed by the ACMA for their costs in developing those codes. The Explanatory Memorandum further referred to the amount of additional revenue raised in a financial year being directly referrable to the total amount of costs reimbursed to industry bodies and associations by the ACMA during the previous financial year.</w:t>
      </w:r>
      <w:r w:rsidRPr="00A84CBD">
        <w:rPr>
          <w:vertAlign w:val="superscript"/>
        </w:rPr>
        <w:footnoteReference w:id="3"/>
      </w:r>
      <w:r w:rsidRPr="00A84CBD">
        <w:t xml:space="preserve"> </w:t>
      </w:r>
      <w:bookmarkEnd w:id="21"/>
    </w:p>
    <w:p w:rsidR="00D71FD2" w:rsidRPr="005D0BC8" w:rsidRDefault="00D71FD2" w:rsidP="00094042"/>
    <w:p w:rsidR="00D71FD2" w:rsidRPr="00094042" w:rsidRDefault="00A84CBD" w:rsidP="00094042">
      <w:pPr>
        <w:rPr>
          <w:u w:val="single"/>
        </w:rPr>
      </w:pPr>
      <w:r w:rsidRPr="00094042">
        <w:rPr>
          <w:u w:val="single"/>
        </w:rPr>
        <w:t>2009–10 Budget</w:t>
      </w:r>
    </w:p>
    <w:p w:rsidR="00D71FD2" w:rsidRPr="005D0BC8" w:rsidRDefault="00A84CBD" w:rsidP="00094042">
      <w:r w:rsidRPr="00A84CBD">
        <w:t>In the 2009–10 Budget</w:t>
      </w:r>
      <w:r w:rsidR="003A1B6D">
        <w:rPr>
          <w:rStyle w:val="FootnoteReference"/>
          <w:rFonts w:cs="Arial"/>
          <w:szCs w:val="20"/>
        </w:rPr>
        <w:footnoteReference w:id="4"/>
      </w:r>
      <w:r w:rsidRPr="00A84CBD">
        <w:t xml:space="preserve">, the government provided $7.5 million over four years </w:t>
      </w:r>
      <w:r w:rsidR="00F9021A">
        <w:t xml:space="preserve">(and ongoing </w:t>
      </w:r>
      <w:r w:rsidR="0074007F">
        <w:t>for forward years</w:t>
      </w:r>
      <w:r w:rsidR="00F9021A">
        <w:t xml:space="preserve">) </w:t>
      </w:r>
      <w:r w:rsidRPr="00A84CBD">
        <w:t xml:space="preserve">to the then Department of Broadband, Communications and the Digital Economy (DBCDE) to support the activities of the Australian Communications Consumer Action Network (ACCAN), which represents consumer interests in telecommunications, disseminates information to consumers through the internet and publications, engages and trains volunteer consumer advocates, coordinates responses to government initiated processes, and conducts conferences and workshops. The costs of this measure were to be included in the ACLC collected by the ACMA under the </w:t>
      </w:r>
      <w:bookmarkStart w:id="22" w:name="OLE_LINK5"/>
      <w:bookmarkStart w:id="23" w:name="OLE_LINK6"/>
      <w:r w:rsidRPr="00094042">
        <w:rPr>
          <w:i/>
        </w:rPr>
        <w:t>Telecommunications (Carrier Licence Charges) Act 1997</w:t>
      </w:r>
      <w:bookmarkEnd w:id="22"/>
      <w:bookmarkEnd w:id="23"/>
      <w:r w:rsidRPr="00094042">
        <w:rPr>
          <w:i/>
        </w:rPr>
        <w:t xml:space="preserve"> </w:t>
      </w:r>
      <w:r w:rsidRPr="00A84CBD">
        <w:t xml:space="preserve">(the Act). </w:t>
      </w:r>
    </w:p>
    <w:p w:rsidR="00D71FD2" w:rsidRPr="005D0BC8" w:rsidRDefault="00D71FD2" w:rsidP="00D71FD2">
      <w:pPr>
        <w:pStyle w:val="BodyText"/>
        <w:spacing w:line="240" w:lineRule="atLeast"/>
        <w:ind w:left="720" w:right="-142"/>
        <w:rPr>
          <w:rFonts w:cs="Arial"/>
          <w:i w:val="0"/>
          <w:color w:val="auto"/>
          <w:szCs w:val="20"/>
        </w:rPr>
      </w:pPr>
    </w:p>
    <w:p w:rsidR="00094042" w:rsidRPr="00094042" w:rsidRDefault="00A84CBD" w:rsidP="00CD22C9">
      <w:pPr>
        <w:keepNext/>
        <w:rPr>
          <w:u w:val="single"/>
        </w:rPr>
      </w:pPr>
      <w:r w:rsidRPr="00094042">
        <w:rPr>
          <w:u w:val="single"/>
        </w:rPr>
        <w:lastRenderedPageBreak/>
        <w:t>2009–10 Mid-Year Economic and Fiscal Outlook</w:t>
      </w:r>
    </w:p>
    <w:p w:rsidR="00D71FD2" w:rsidRPr="005D0BC8" w:rsidRDefault="00A84CBD" w:rsidP="00094042">
      <w:r w:rsidRPr="00A84CBD">
        <w:t>In the 2009–10 Mid-Year Economic and Fiscal Outlook</w:t>
      </w:r>
      <w:r w:rsidRPr="00A84CBD">
        <w:rPr>
          <w:rStyle w:val="FootnoteReference"/>
          <w:rFonts w:cs="Arial"/>
          <w:i/>
          <w:szCs w:val="20"/>
        </w:rPr>
        <w:footnoteReference w:id="5"/>
      </w:r>
      <w:r w:rsidRPr="00A84CBD">
        <w:t>, the government provided $3.4 million over two years (terminated in 2011–12 financial year) to the ACCC to implement reforms to telecommunications competition regulation, and $1.2 million a year ongoing to the ACMA to manage the legislated consumer safeguards regime. The costs of this measure were to be included in the ACLC collected by the ACMA under the Act.</w:t>
      </w:r>
    </w:p>
    <w:p w:rsidR="00D71FD2" w:rsidRPr="005D0BC8" w:rsidRDefault="00D71FD2" w:rsidP="00094042"/>
    <w:p w:rsidR="00D71FD2" w:rsidRPr="005D0BC8" w:rsidRDefault="00A84CBD" w:rsidP="00094042">
      <w:pPr>
        <w:spacing w:after="80"/>
      </w:pPr>
      <w:r w:rsidRPr="00A84CBD">
        <w:t>The measure underpinned the government’s reforms to existing telecommunications regulation to:</w:t>
      </w:r>
    </w:p>
    <w:p w:rsidR="00094042" w:rsidRDefault="00A84CBD" w:rsidP="00094042">
      <w:pPr>
        <w:pStyle w:val="ListBullet"/>
      </w:pPr>
      <w:r w:rsidRPr="00A84CBD">
        <w:t>address the high level of industry concentration to promote greater competition and consumer benefits</w:t>
      </w:r>
    </w:p>
    <w:p w:rsidR="00094042" w:rsidRDefault="00A84CBD" w:rsidP="00094042">
      <w:pPr>
        <w:pStyle w:val="ListBullet"/>
      </w:pPr>
      <w:r w:rsidRPr="00A84CBD">
        <w:t>streamline and simplify the competition regime to provide more certain and quicker outcomes for telecommunications companies</w:t>
      </w:r>
    </w:p>
    <w:p w:rsidR="00094042" w:rsidRDefault="00A84CBD" w:rsidP="00094042">
      <w:pPr>
        <w:pStyle w:val="ListBullet"/>
      </w:pPr>
      <w:r w:rsidRPr="00A84CBD">
        <w:t>strengthen consumer safeguards to ensure service standards are maintained at a high level</w:t>
      </w:r>
    </w:p>
    <w:p w:rsidR="00094042" w:rsidRDefault="00A84CBD" w:rsidP="00094042">
      <w:pPr>
        <w:pStyle w:val="ListBullet"/>
        <w:spacing w:after="240"/>
      </w:pPr>
      <w:proofErr w:type="gramStart"/>
      <w:r w:rsidRPr="00A84CBD">
        <w:t>remove</w:t>
      </w:r>
      <w:proofErr w:type="gramEnd"/>
      <w:r w:rsidRPr="00A84CBD">
        <w:t xml:space="preserve"> redundant and inefficient regulatory red tape.</w:t>
      </w:r>
    </w:p>
    <w:p w:rsidR="00D71FD2" w:rsidRPr="00094042" w:rsidRDefault="00A84CBD" w:rsidP="00094042">
      <w:pPr>
        <w:rPr>
          <w:u w:val="single"/>
        </w:rPr>
      </w:pPr>
      <w:r w:rsidRPr="00094042">
        <w:rPr>
          <w:u w:val="single"/>
        </w:rPr>
        <w:t>2010–11 Budget</w:t>
      </w:r>
    </w:p>
    <w:p w:rsidR="00D71FD2" w:rsidRPr="005D0BC8" w:rsidRDefault="00A84CBD" w:rsidP="00094042">
      <w:pPr>
        <w:spacing w:after="80"/>
      </w:pPr>
      <w:r w:rsidRPr="00A84CBD">
        <w:t>As part of the 2010–11 Budget</w:t>
      </w:r>
      <w:r w:rsidRPr="00A84CBD">
        <w:rPr>
          <w:rStyle w:val="FootnoteReference"/>
          <w:rFonts w:cs="Arial"/>
          <w:i/>
          <w:szCs w:val="20"/>
        </w:rPr>
        <w:footnoteReference w:id="6"/>
      </w:r>
      <w:r w:rsidRPr="00A84CBD">
        <w:t>, the government provided $24.0 million over five years (</w:t>
      </w:r>
      <w:r w:rsidR="00F9021A">
        <w:t xml:space="preserve">and ongoing </w:t>
      </w:r>
      <w:r w:rsidR="0074007F">
        <w:t>for forward years</w:t>
      </w:r>
      <w:r w:rsidRPr="00A84CBD">
        <w:t>) to the ACCC to establish and deliver the proposed regulatory arrangements for the National Broadband Network (NBN), including:</w:t>
      </w:r>
    </w:p>
    <w:p w:rsidR="00094042" w:rsidRDefault="00A84CBD" w:rsidP="00094042">
      <w:pPr>
        <w:pStyle w:val="ListBullet"/>
      </w:pPr>
      <w:r w:rsidRPr="00A84CBD">
        <w:t>implementing specific access arrangements for the NBN, as well as initial preparatory work and industry consultation</w:t>
      </w:r>
    </w:p>
    <w:p w:rsidR="00094042" w:rsidRDefault="00A84CBD" w:rsidP="00094042">
      <w:pPr>
        <w:pStyle w:val="ListBullet"/>
      </w:pPr>
      <w:r w:rsidRPr="00A84CBD">
        <w:t>undertaking regulatory reporting requirements</w:t>
      </w:r>
    </w:p>
    <w:p w:rsidR="00094042" w:rsidRDefault="00A84CBD" w:rsidP="00094042">
      <w:pPr>
        <w:pStyle w:val="ListBullet"/>
        <w:spacing w:after="240"/>
      </w:pPr>
      <w:proofErr w:type="gramStart"/>
      <w:r w:rsidRPr="00A84CBD">
        <w:t>providing</w:t>
      </w:r>
      <w:proofErr w:type="gramEnd"/>
      <w:r w:rsidRPr="00A84CBD">
        <w:t xml:space="preserve"> advice on pricing and quality of service.</w:t>
      </w:r>
    </w:p>
    <w:p w:rsidR="00D71FD2" w:rsidRPr="005D0BC8" w:rsidRDefault="00A84CBD" w:rsidP="00094042">
      <w:r w:rsidRPr="00A84CBD">
        <w:t>The costs of this measure were to be included in the ACLC collected by the ACMA under the Act.</w:t>
      </w:r>
    </w:p>
    <w:p w:rsidR="00D71FD2" w:rsidRPr="005D0BC8" w:rsidRDefault="00D71FD2" w:rsidP="006B3422"/>
    <w:p w:rsidR="00D71FD2" w:rsidRPr="00094042" w:rsidRDefault="00A84CBD" w:rsidP="00094042">
      <w:pPr>
        <w:rPr>
          <w:u w:val="single"/>
        </w:rPr>
      </w:pPr>
      <w:r w:rsidRPr="00094042">
        <w:rPr>
          <w:u w:val="single"/>
        </w:rPr>
        <w:t>2011–12 Budget</w:t>
      </w:r>
    </w:p>
    <w:p w:rsidR="00094042" w:rsidRDefault="00A84CBD" w:rsidP="006B3422">
      <w:pPr>
        <w:spacing w:after="80"/>
      </w:pPr>
      <w:r w:rsidRPr="00A84CBD">
        <w:t>As part of the 2011–12 Budget</w:t>
      </w:r>
      <w:r w:rsidRPr="00A84CBD">
        <w:rPr>
          <w:rStyle w:val="FootnoteReference"/>
          <w:rFonts w:cs="Arial"/>
          <w:i/>
          <w:szCs w:val="20"/>
        </w:rPr>
        <w:footnoteReference w:id="7"/>
      </w:r>
      <w:r w:rsidRPr="00A84CBD">
        <w:t>, the government provided $12.8 million over four years to the ACMA ($7.2 million</w:t>
      </w:r>
      <w:r w:rsidR="00CD22C9">
        <w:t>—</w:t>
      </w:r>
      <w:r w:rsidR="00F9021A">
        <w:t>terminating in 2015</w:t>
      </w:r>
      <w:r w:rsidR="00CD22C9">
        <w:t>–</w:t>
      </w:r>
      <w:r w:rsidR="00F9021A">
        <w:t>16 financial year</w:t>
      </w:r>
      <w:r w:rsidRPr="00A84CBD">
        <w:t>) and the ACCC ($5.6 million</w:t>
      </w:r>
      <w:r w:rsidR="00F9021A">
        <w:t xml:space="preserve"> and ongoing </w:t>
      </w:r>
      <w:r w:rsidR="0074007F">
        <w:t>for forward years</w:t>
      </w:r>
      <w:r w:rsidRPr="00A84CBD">
        <w:t>) to establish and deliver the regulatory arrangements for the National Broadband Network (NBN) set out in NBN Co Limited’s (NBN Co) Statement of Expectations. The ACMA received this funding to develop and monitor the implementation of appropriate network standards and codes, including implementing compliance, auditing and monitoring program. The funding to the ACCC is essentially for:</w:t>
      </w:r>
    </w:p>
    <w:p w:rsidR="00094042" w:rsidRDefault="00A84CBD" w:rsidP="00094042">
      <w:pPr>
        <w:pStyle w:val="ListBullet"/>
      </w:pPr>
      <w:r w:rsidRPr="00A84CBD">
        <w:t>competition analysis and monitoring</w:t>
      </w:r>
    </w:p>
    <w:p w:rsidR="00094042" w:rsidRDefault="00A84CBD" w:rsidP="00094042">
      <w:pPr>
        <w:pStyle w:val="ListBullet"/>
      </w:pPr>
      <w:r w:rsidRPr="00A84CBD">
        <w:t>regularly monitoring the level of transmission services provided by other wholesale providers to NBN Co points of interconnect</w:t>
      </w:r>
    </w:p>
    <w:p w:rsidR="00094042" w:rsidRDefault="00A84CBD" w:rsidP="006B3422">
      <w:pPr>
        <w:pStyle w:val="ListBullet"/>
        <w:spacing w:after="240"/>
      </w:pPr>
      <w:proofErr w:type="gramStart"/>
      <w:r w:rsidRPr="00A84CBD">
        <w:t>setting</w:t>
      </w:r>
      <w:proofErr w:type="gramEnd"/>
      <w:r w:rsidRPr="00A84CBD">
        <w:t xml:space="preserve"> appropriate benchmarks for transmission services to facilitate retail service providers' access to uniform national wholesale prices. </w:t>
      </w:r>
    </w:p>
    <w:p w:rsidR="00D71FD2" w:rsidRPr="005D0BC8" w:rsidRDefault="00A84CBD" w:rsidP="00094042">
      <w:r w:rsidRPr="00A84CBD">
        <w:t xml:space="preserve">The costs of this measure were to be included in the ACLC collected by the ACMA under the Act. </w:t>
      </w:r>
    </w:p>
    <w:p w:rsidR="00D71FD2" w:rsidRPr="005D0BC8" w:rsidRDefault="00D71FD2" w:rsidP="00D71FD2">
      <w:pPr>
        <w:pStyle w:val="BodyText"/>
        <w:spacing w:line="240" w:lineRule="atLeast"/>
        <w:ind w:left="720" w:right="-142"/>
        <w:rPr>
          <w:rFonts w:cs="Arial"/>
          <w:i w:val="0"/>
          <w:color w:val="auto"/>
          <w:szCs w:val="20"/>
          <w:u w:val="single"/>
        </w:rPr>
      </w:pPr>
    </w:p>
    <w:p w:rsidR="00094042" w:rsidRPr="00094042" w:rsidRDefault="00A84CBD" w:rsidP="00CD22C9">
      <w:pPr>
        <w:keepNext/>
        <w:rPr>
          <w:u w:val="single"/>
        </w:rPr>
      </w:pPr>
      <w:r w:rsidRPr="00094042">
        <w:rPr>
          <w:u w:val="single"/>
        </w:rPr>
        <w:lastRenderedPageBreak/>
        <w:t>2013–14 Budget</w:t>
      </w:r>
    </w:p>
    <w:p w:rsidR="00D71FD2" w:rsidRPr="005D0BC8" w:rsidRDefault="00A84CBD" w:rsidP="00094042">
      <w:r w:rsidRPr="00A84CBD">
        <w:t>In the 2013–14 Budget</w:t>
      </w:r>
      <w:r w:rsidRPr="00A84CBD">
        <w:rPr>
          <w:rStyle w:val="FootnoteReference"/>
          <w:rFonts w:cs="Arial"/>
          <w:i/>
          <w:szCs w:val="20"/>
        </w:rPr>
        <w:footnoteReference w:id="8"/>
      </w:r>
      <w:r w:rsidRPr="00A84CBD">
        <w:t>, the government provided $1.3 million over four years (</w:t>
      </w:r>
      <w:r w:rsidR="00F9021A">
        <w:t xml:space="preserve">and ongoing </w:t>
      </w:r>
      <w:r w:rsidR="0074007F">
        <w:t>for forward years</w:t>
      </w:r>
      <w:r w:rsidRPr="00A84CBD">
        <w:t xml:space="preserve">) to the ACCC to investigate wholesale and retail mobile roaming charges between Australia and New Zealand. The ACCC will publish an annual roaming pricing report to increase price and margins transparency for trans-Tasman roaming. </w:t>
      </w:r>
    </w:p>
    <w:p w:rsidR="00094042" w:rsidRDefault="00094042" w:rsidP="00094042"/>
    <w:p w:rsidR="00D71FD2" w:rsidRPr="005D0BC8" w:rsidRDefault="00A84CBD" w:rsidP="00094042">
      <w:pPr>
        <w:rPr>
          <w:iCs/>
          <w:color w:val="808080"/>
        </w:rPr>
      </w:pPr>
      <w:r w:rsidRPr="00A84CBD">
        <w:t>The ACMA will include the costs of this measure as part of the ACLC from 2014–15 financial year over a period of four years.</w:t>
      </w:r>
    </w:p>
    <w:p w:rsidR="00D71FD2" w:rsidRPr="00C320F6" w:rsidRDefault="00D71FD2" w:rsidP="00D71FD2">
      <w:pPr>
        <w:rPr>
          <w:rFonts w:cs="Arial"/>
          <w:lang w:eastAsia="en-US"/>
        </w:rPr>
      </w:pPr>
    </w:p>
    <w:p w:rsidR="00D71FD2" w:rsidRPr="00C320F6" w:rsidRDefault="00D71FD2" w:rsidP="00D71FD2">
      <w:pPr>
        <w:pStyle w:val="Heading2"/>
        <w:rPr>
          <w:sz w:val="24"/>
        </w:rPr>
      </w:pPr>
      <w:bookmarkStart w:id="24" w:name="_Toc355953988"/>
      <w:bookmarkStart w:id="25" w:name="_Toc385256317"/>
      <w:bookmarkStart w:id="26" w:name="_Toc387308821"/>
      <w:r>
        <w:rPr>
          <w:sz w:val="24"/>
        </w:rPr>
        <w:t>2.2</w:t>
      </w:r>
      <w:r w:rsidRPr="00C320F6">
        <w:rPr>
          <w:sz w:val="24"/>
        </w:rPr>
        <w:tab/>
      </w:r>
      <w:r>
        <w:rPr>
          <w:sz w:val="24"/>
        </w:rPr>
        <w:t>Statutory</w:t>
      </w:r>
      <w:r w:rsidRPr="00C320F6">
        <w:rPr>
          <w:sz w:val="24"/>
        </w:rPr>
        <w:t xml:space="preserve"> authority to impose </w:t>
      </w:r>
      <w:bookmarkEnd w:id="24"/>
      <w:r>
        <w:rPr>
          <w:sz w:val="24"/>
        </w:rPr>
        <w:t>cost recovery charges</w:t>
      </w:r>
      <w:bookmarkEnd w:id="25"/>
      <w:bookmarkEnd w:id="26"/>
    </w:p>
    <w:p w:rsidR="00D71FD2" w:rsidRPr="005D0BC8" w:rsidRDefault="00A84CBD" w:rsidP="00094042">
      <w:r w:rsidRPr="00A84CBD">
        <w:t>Section 12 of the Act imposes the ACLC on carrier licences that are in force at the beginning of a financial year (</w:t>
      </w:r>
      <w:r w:rsidR="005D0BC8">
        <w:t>that is,</w:t>
      </w:r>
      <w:r w:rsidRPr="00A84CBD">
        <w:t xml:space="preserve"> 1 July 2013 for the purposes of this CRIS). </w:t>
      </w:r>
    </w:p>
    <w:p w:rsidR="00D71FD2" w:rsidRPr="005D0BC8" w:rsidRDefault="00D71FD2" w:rsidP="00094042"/>
    <w:p w:rsidR="00D71FD2" w:rsidRPr="005D0BC8" w:rsidRDefault="00A84CBD" w:rsidP="00094042">
      <w:r w:rsidRPr="00A84CBD">
        <w:t xml:space="preserve">Subsection 14(1) of the Act specifies that the amount of the charge to be imposed on a carrier licence is the amount ascertained in accordance with a written determination made by the ACMA. </w:t>
      </w:r>
    </w:p>
    <w:p w:rsidR="00D71FD2" w:rsidRPr="005D0BC8" w:rsidRDefault="00D71FD2" w:rsidP="00094042"/>
    <w:p w:rsidR="00094042" w:rsidRDefault="00A84CBD" w:rsidP="00094042">
      <w:pPr>
        <w:spacing w:after="80"/>
      </w:pPr>
      <w:r w:rsidRPr="00A84CBD">
        <w:t>On 26 June 2013, the then Minister for Broadband, Communications and the Digital Economy issued the Australian Communications and Media Authority (Annual Carrier Licence Charge) Direction 2013 (the Direction 2013).</w:t>
      </w:r>
      <w:r w:rsidRPr="00A84CBD">
        <w:rPr>
          <w:vertAlign w:val="superscript"/>
        </w:rPr>
        <w:footnoteReference w:id="9"/>
      </w:r>
      <w:r w:rsidRPr="00A84CBD">
        <w:t xml:space="preserve"> The Direction 2013 requires the ACMA to make such determinations as are necessary under subsection 14(1) of the Act </w:t>
      </w:r>
      <w:r w:rsidRPr="00A84CBD">
        <w:rPr>
          <w:bCs/>
          <w:iCs/>
        </w:rPr>
        <w:t xml:space="preserve">to have the </w:t>
      </w:r>
      <w:r w:rsidRPr="00A84CBD">
        <w:t xml:space="preserve">effect of imposing an annual carrier licence charge of $0 on a carrier licence that is: </w:t>
      </w:r>
    </w:p>
    <w:p w:rsidR="00094042" w:rsidRDefault="00A84CBD" w:rsidP="00094042">
      <w:pPr>
        <w:pStyle w:val="ListBullet"/>
      </w:pPr>
      <w:r w:rsidRPr="00A84CBD">
        <w:t>in force at the beginning of a relevant financial year</w:t>
      </w:r>
    </w:p>
    <w:p w:rsidR="00094042" w:rsidRDefault="00A84CBD" w:rsidP="006B3422">
      <w:pPr>
        <w:pStyle w:val="ListBullet"/>
        <w:spacing w:after="240"/>
      </w:pPr>
      <w:proofErr w:type="gramStart"/>
      <w:r w:rsidRPr="00A84CBD">
        <w:t>held</w:t>
      </w:r>
      <w:proofErr w:type="gramEnd"/>
      <w:r w:rsidRPr="00A84CBD">
        <w:t xml:space="preserve"> by a carrier that was a ‘non-participating person’ within the meaning of the Telecommunications (Participating Persons) Determination 2013 (No. 2) for the eligible revenue period immediately preceding that financial year.</w:t>
      </w:r>
      <w:r w:rsidRPr="00A84CBD">
        <w:rPr>
          <w:rStyle w:val="FootnoteReference"/>
          <w:rFonts w:cs="Arial"/>
          <w:szCs w:val="20"/>
        </w:rPr>
        <w:footnoteReference w:id="10"/>
      </w:r>
      <w:r w:rsidRPr="00A84CBD">
        <w:t xml:space="preserve">  </w:t>
      </w:r>
    </w:p>
    <w:p w:rsidR="00D71FD2" w:rsidRPr="005D0BC8" w:rsidRDefault="000A2944" w:rsidP="00094042">
      <w:r>
        <w:t>Accordingly, under the</w:t>
      </w:r>
      <w:r w:rsidR="00A84CBD" w:rsidRPr="00E4568B">
        <w:t xml:space="preserve"> Telecommunications (Annual Carrier Licence</w:t>
      </w:r>
      <w:r w:rsidR="00A84CBD" w:rsidRPr="00A84CBD">
        <w:t xml:space="preserve"> Charge) Determination 2014 carriers who were non-participating persons</w:t>
      </w:r>
      <w:r w:rsidR="00D71FD2" w:rsidRPr="005D0BC8">
        <w:t xml:space="preserve"> </w:t>
      </w:r>
      <w:r w:rsidR="00A84CBD" w:rsidRPr="00A84CBD">
        <w:t xml:space="preserve">for the eligible revenue period immediately preceding the relevant financial year are, in effect, exempted from the liability to pay the ACLC. </w:t>
      </w:r>
    </w:p>
    <w:p w:rsidR="00D71FD2" w:rsidRPr="005D0BC8" w:rsidRDefault="00D71FD2" w:rsidP="00094042"/>
    <w:p w:rsidR="00D71FD2" w:rsidRDefault="00A84CBD" w:rsidP="006B3422">
      <w:r w:rsidRPr="00A84CBD">
        <w:t>Section 15 of the Act requires that the total of the charges that are imposed on carrier licences must not exceed the sum of the cost components identified in paragraphs 15(1</w:t>
      </w:r>
      <w:proofErr w:type="gramStart"/>
      <w:r w:rsidRPr="00A84CBD">
        <w:t>)(</w:t>
      </w:r>
      <w:proofErr w:type="gramEnd"/>
      <w:r w:rsidRPr="00A84CBD">
        <w:t>a) to 15(1)(d) of the Act (see Table 1). Further information on these cost components is provided in section 3.1 of the CRIS.</w:t>
      </w:r>
    </w:p>
    <w:p w:rsidR="00CD22C9" w:rsidRDefault="00CD22C9" w:rsidP="006B3422"/>
    <w:tbl>
      <w:tblPr>
        <w:tblW w:w="9645" w:type="dxa"/>
        <w:tblLayout w:type="fixed"/>
        <w:tblCellMar>
          <w:left w:w="0" w:type="dxa"/>
          <w:right w:w="0" w:type="dxa"/>
        </w:tblCellMar>
        <w:tblLook w:val="01E0" w:firstRow="1" w:lastRow="1" w:firstColumn="1" w:lastColumn="1" w:noHBand="0" w:noVBand="0"/>
      </w:tblPr>
      <w:tblGrid>
        <w:gridCol w:w="9645"/>
      </w:tblGrid>
      <w:tr w:rsidR="00CD22C9">
        <w:trPr>
          <w:trHeight w:val="570"/>
        </w:trPr>
        <w:tc>
          <w:tcPr>
            <w:tcW w:w="9645" w:type="dxa"/>
            <w:tcBorders>
              <w:top w:val="single" w:sz="2" w:space="0" w:color="505050"/>
            </w:tcBorders>
            <w:shd w:val="clear" w:color="auto" w:fill="auto"/>
            <w:vAlign w:val="center"/>
          </w:tcPr>
          <w:p w:rsidR="00CD22C9" w:rsidRPr="00A74B5E" w:rsidRDefault="00CD22C9" w:rsidP="00CD22C9">
            <w:pPr>
              <w:pStyle w:val="Caption"/>
              <w:keepNext/>
            </w:pPr>
            <w:r>
              <w:lastRenderedPageBreak/>
              <w:t xml:space="preserve">Table </w:t>
            </w:r>
            <w:fldSimple w:instr=" SEQ Table \* ARABIC ">
              <w:r>
                <w:rPr>
                  <w:noProof/>
                </w:rPr>
                <w:t>1</w:t>
              </w:r>
            </w:fldSimple>
            <w:r>
              <w:t xml:space="preserve"> </w:t>
            </w:r>
            <w:r w:rsidRPr="000459EA">
              <w:t>Structural components of the ACLC</w:t>
            </w:r>
          </w:p>
        </w:tc>
      </w:tr>
      <w:tr w:rsidR="00CD22C9" w:rsidTr="00CD22C9">
        <w:trPr>
          <w:trHeight w:val="2408"/>
        </w:trPr>
        <w:tc>
          <w:tcPr>
            <w:tcW w:w="9645" w:type="dxa"/>
            <w:shd w:val="clear" w:color="auto" w:fill="auto"/>
            <w:tcMar>
              <w:left w:w="28" w:type="dxa"/>
            </w:tcMar>
          </w:tcPr>
          <w:tbl>
            <w:tblPr>
              <w:tblW w:w="45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9"/>
              <w:gridCol w:w="6174"/>
            </w:tblGrid>
            <w:tr w:rsidR="00CD22C9" w:rsidRPr="00C320F6" w:rsidTr="00CD22C9">
              <w:trPr>
                <w:trHeight w:val="319"/>
              </w:trPr>
              <w:tc>
                <w:tcPr>
                  <w:tcW w:w="1481" w:type="pct"/>
                  <w:shd w:val="clear" w:color="auto" w:fill="404040" w:themeFill="text1" w:themeFillTint="BF"/>
                  <w:vAlign w:val="center"/>
                </w:tcPr>
                <w:p w:rsidR="00CD22C9" w:rsidRPr="003A1B6D" w:rsidRDefault="00CD22C9" w:rsidP="00CD22C9">
                  <w:pPr>
                    <w:keepNext/>
                    <w:widowControl w:val="0"/>
                    <w:outlineLvl w:val="0"/>
                    <w:rPr>
                      <w:rFonts w:cs="Arial"/>
                      <w:b/>
                      <w:iCs/>
                      <w:color w:val="FFFFFF" w:themeColor="background1"/>
                      <w:szCs w:val="20"/>
                    </w:rPr>
                  </w:pPr>
                  <w:r w:rsidRPr="00A84CBD">
                    <w:rPr>
                      <w:rFonts w:cs="Arial"/>
                      <w:b/>
                      <w:iCs/>
                      <w:color w:val="FFFFFF" w:themeColor="background1"/>
                      <w:szCs w:val="20"/>
                    </w:rPr>
                    <w:t>Reference in the Act</w:t>
                  </w:r>
                </w:p>
              </w:tc>
              <w:tc>
                <w:tcPr>
                  <w:tcW w:w="3519" w:type="pct"/>
                  <w:tcBorders>
                    <w:top w:val="single" w:sz="6" w:space="0" w:color="auto"/>
                  </w:tcBorders>
                  <w:shd w:val="clear" w:color="auto" w:fill="404040" w:themeFill="text1" w:themeFillTint="BF"/>
                  <w:vAlign w:val="center"/>
                </w:tcPr>
                <w:p w:rsidR="00CD22C9" w:rsidRDefault="00CD22C9" w:rsidP="00CD22C9">
                  <w:pPr>
                    <w:keepNext/>
                    <w:rPr>
                      <w:rFonts w:cs="Arial"/>
                      <w:b/>
                      <w:iCs/>
                      <w:color w:val="FFFFFF" w:themeColor="background1"/>
                      <w:szCs w:val="20"/>
                    </w:rPr>
                  </w:pPr>
                  <w:r w:rsidRPr="00A84CBD">
                    <w:rPr>
                      <w:rFonts w:cs="Arial"/>
                      <w:b/>
                      <w:iCs/>
                      <w:color w:val="FFFFFF" w:themeColor="background1"/>
                      <w:szCs w:val="20"/>
                    </w:rPr>
                    <w:t>Cost component</w:t>
                  </w:r>
                </w:p>
              </w:tc>
            </w:tr>
            <w:tr w:rsidR="00CD22C9" w:rsidRPr="00C320F6" w:rsidTr="00CD22C9">
              <w:trPr>
                <w:trHeight w:val="408"/>
              </w:trPr>
              <w:tc>
                <w:tcPr>
                  <w:tcW w:w="1481" w:type="pct"/>
                </w:tcPr>
                <w:p w:rsidR="00CD22C9" w:rsidRPr="00426212" w:rsidRDefault="00CD22C9" w:rsidP="00CD22C9">
                  <w:pPr>
                    <w:keepNext/>
                    <w:rPr>
                      <w:rFonts w:cs="Arial"/>
                      <w:szCs w:val="20"/>
                    </w:rPr>
                  </w:pPr>
                  <w:r w:rsidRPr="00426212">
                    <w:rPr>
                      <w:rFonts w:cs="Arial"/>
                      <w:szCs w:val="20"/>
                    </w:rPr>
                    <w:t>15(1)(a)</w:t>
                  </w:r>
                </w:p>
              </w:tc>
              <w:tc>
                <w:tcPr>
                  <w:tcW w:w="3519" w:type="pct"/>
                </w:tcPr>
                <w:p w:rsidR="00CD22C9" w:rsidRPr="00426212" w:rsidRDefault="00CD22C9" w:rsidP="00CD22C9">
                  <w:pPr>
                    <w:keepNext/>
                    <w:rPr>
                      <w:rFonts w:cs="Arial"/>
                      <w:szCs w:val="20"/>
                    </w:rPr>
                  </w:pPr>
                  <w:r w:rsidRPr="00426212">
                    <w:rPr>
                      <w:rFonts w:cs="Arial"/>
                      <w:szCs w:val="20"/>
                    </w:rPr>
                    <w:t>ACMA’s cost component</w:t>
                  </w:r>
                </w:p>
              </w:tc>
            </w:tr>
            <w:tr w:rsidR="00CD22C9" w:rsidRPr="00C320F6" w:rsidTr="00CD22C9">
              <w:trPr>
                <w:trHeight w:val="414"/>
              </w:trPr>
              <w:tc>
                <w:tcPr>
                  <w:tcW w:w="1481" w:type="pct"/>
                </w:tcPr>
                <w:p w:rsidR="00CD22C9" w:rsidRPr="00426212" w:rsidRDefault="00CD22C9" w:rsidP="00CD22C9">
                  <w:pPr>
                    <w:keepNext/>
                    <w:rPr>
                      <w:rFonts w:cs="Arial"/>
                      <w:szCs w:val="20"/>
                    </w:rPr>
                  </w:pPr>
                  <w:r w:rsidRPr="00426212">
                    <w:rPr>
                      <w:rFonts w:cs="Arial"/>
                      <w:szCs w:val="20"/>
                    </w:rPr>
                    <w:t>15(1)(b)</w:t>
                  </w:r>
                </w:p>
              </w:tc>
              <w:tc>
                <w:tcPr>
                  <w:tcW w:w="3519" w:type="pct"/>
                </w:tcPr>
                <w:p w:rsidR="00CD22C9" w:rsidRPr="00426212" w:rsidRDefault="00CD22C9" w:rsidP="00CD22C9">
                  <w:pPr>
                    <w:keepNext/>
                    <w:rPr>
                      <w:rFonts w:cs="Arial"/>
                      <w:szCs w:val="20"/>
                    </w:rPr>
                  </w:pPr>
                  <w:r w:rsidRPr="00426212">
                    <w:rPr>
                      <w:rFonts w:cs="Arial"/>
                      <w:szCs w:val="20"/>
                    </w:rPr>
                    <w:t>ACCC’s cost component</w:t>
                  </w:r>
                </w:p>
              </w:tc>
            </w:tr>
            <w:tr w:rsidR="00CD22C9" w:rsidRPr="00C320F6" w:rsidTr="00CD22C9">
              <w:trPr>
                <w:trHeight w:val="420"/>
              </w:trPr>
              <w:tc>
                <w:tcPr>
                  <w:tcW w:w="1481" w:type="pct"/>
                </w:tcPr>
                <w:p w:rsidR="00CD22C9" w:rsidRPr="00426212" w:rsidRDefault="00CD22C9" w:rsidP="00CD22C9">
                  <w:pPr>
                    <w:keepNext/>
                    <w:rPr>
                      <w:rFonts w:cs="Arial"/>
                      <w:szCs w:val="20"/>
                    </w:rPr>
                  </w:pPr>
                  <w:r w:rsidRPr="00426212">
                    <w:rPr>
                      <w:rFonts w:cs="Arial"/>
                      <w:szCs w:val="20"/>
                    </w:rPr>
                    <w:t>15(1)(c)</w:t>
                  </w:r>
                </w:p>
              </w:tc>
              <w:tc>
                <w:tcPr>
                  <w:tcW w:w="3519" w:type="pct"/>
                </w:tcPr>
                <w:p w:rsidR="00CD22C9" w:rsidRPr="00426212" w:rsidRDefault="00CD22C9" w:rsidP="00CD22C9">
                  <w:pPr>
                    <w:keepNext/>
                    <w:rPr>
                      <w:rFonts w:cs="Arial"/>
                      <w:szCs w:val="20"/>
                    </w:rPr>
                  </w:pPr>
                  <w:r w:rsidRPr="00426212">
                    <w:rPr>
                      <w:rFonts w:cs="Arial"/>
                      <w:szCs w:val="20"/>
                    </w:rPr>
                    <w:t>ITU contribution</w:t>
                  </w:r>
                </w:p>
              </w:tc>
            </w:tr>
            <w:tr w:rsidR="00CD22C9" w:rsidRPr="00C320F6" w:rsidTr="00CD22C9">
              <w:trPr>
                <w:trHeight w:val="405"/>
              </w:trPr>
              <w:tc>
                <w:tcPr>
                  <w:tcW w:w="1481" w:type="pct"/>
                </w:tcPr>
                <w:p w:rsidR="00CD22C9" w:rsidRPr="00426212" w:rsidRDefault="00CD22C9" w:rsidP="00CD22C9">
                  <w:pPr>
                    <w:keepNext/>
                    <w:rPr>
                      <w:rFonts w:cs="Arial"/>
                      <w:szCs w:val="20"/>
                    </w:rPr>
                  </w:pPr>
                  <w:r w:rsidRPr="00426212">
                    <w:rPr>
                      <w:rFonts w:cs="Arial"/>
                      <w:szCs w:val="20"/>
                    </w:rPr>
                    <w:t>15(1)(ca)</w:t>
                  </w:r>
                </w:p>
              </w:tc>
              <w:tc>
                <w:tcPr>
                  <w:tcW w:w="3519" w:type="pct"/>
                </w:tcPr>
                <w:p w:rsidR="00CD22C9" w:rsidRPr="00426212" w:rsidRDefault="00CD22C9" w:rsidP="00CD22C9">
                  <w:pPr>
                    <w:keepNext/>
                    <w:rPr>
                      <w:rFonts w:cs="Arial"/>
                      <w:szCs w:val="20"/>
                    </w:rPr>
                  </w:pPr>
                  <w:r w:rsidRPr="00426212">
                    <w:rPr>
                      <w:rFonts w:cs="Arial"/>
                      <w:szCs w:val="20"/>
                    </w:rPr>
                    <w:t>Development of consumer protection related industry codes</w:t>
                  </w:r>
                </w:p>
              </w:tc>
            </w:tr>
            <w:tr w:rsidR="00CD22C9" w:rsidRPr="00C320F6" w:rsidTr="00CD22C9">
              <w:trPr>
                <w:trHeight w:val="399"/>
              </w:trPr>
              <w:tc>
                <w:tcPr>
                  <w:tcW w:w="1481" w:type="pct"/>
                </w:tcPr>
                <w:p w:rsidR="00CD22C9" w:rsidRPr="00426212" w:rsidRDefault="00CD22C9" w:rsidP="00CD22C9">
                  <w:pPr>
                    <w:keepNext/>
                    <w:rPr>
                      <w:rFonts w:cs="Arial"/>
                      <w:szCs w:val="20"/>
                    </w:rPr>
                  </w:pPr>
                  <w:r w:rsidRPr="00426212">
                    <w:rPr>
                      <w:rFonts w:cs="Arial"/>
                      <w:szCs w:val="20"/>
                    </w:rPr>
                    <w:t>15(1)(d)</w:t>
                  </w:r>
                </w:p>
              </w:tc>
              <w:tc>
                <w:tcPr>
                  <w:tcW w:w="3519" w:type="pct"/>
                </w:tcPr>
                <w:p w:rsidR="00CD22C9" w:rsidRPr="00426212" w:rsidRDefault="00CD22C9" w:rsidP="00CD22C9">
                  <w:pPr>
                    <w:keepNext/>
                    <w:rPr>
                      <w:rFonts w:cs="Arial"/>
                      <w:szCs w:val="20"/>
                    </w:rPr>
                  </w:pPr>
                  <w:r>
                    <w:rPr>
                      <w:rFonts w:cs="Arial"/>
                      <w:szCs w:val="20"/>
                    </w:rPr>
                    <w:t>Government g</w:t>
                  </w:r>
                  <w:r w:rsidRPr="00426212">
                    <w:rPr>
                      <w:rFonts w:cs="Arial"/>
                      <w:szCs w:val="20"/>
                    </w:rPr>
                    <w:t>rants</w:t>
                  </w:r>
                  <w:r>
                    <w:rPr>
                      <w:rFonts w:cs="Arial"/>
                      <w:szCs w:val="20"/>
                    </w:rPr>
                    <w:t>—c</w:t>
                  </w:r>
                  <w:r w:rsidRPr="00426212">
                    <w:rPr>
                      <w:rFonts w:cs="Arial"/>
                      <w:szCs w:val="20"/>
                    </w:rPr>
                    <w:t xml:space="preserve">onsumer </w:t>
                  </w:r>
                  <w:r>
                    <w:rPr>
                      <w:rFonts w:cs="Arial"/>
                      <w:szCs w:val="20"/>
                    </w:rPr>
                    <w:t>r</w:t>
                  </w:r>
                  <w:r w:rsidRPr="00426212">
                    <w:rPr>
                      <w:rFonts w:cs="Arial"/>
                      <w:szCs w:val="20"/>
                    </w:rPr>
                    <w:t xml:space="preserve">epresentation and </w:t>
                  </w:r>
                  <w:r>
                    <w:rPr>
                      <w:rFonts w:cs="Arial"/>
                      <w:szCs w:val="20"/>
                    </w:rPr>
                    <w:t>r</w:t>
                  </w:r>
                  <w:r w:rsidRPr="00426212">
                    <w:rPr>
                      <w:rFonts w:cs="Arial"/>
                      <w:szCs w:val="20"/>
                    </w:rPr>
                    <w:t>esearch</w:t>
                  </w:r>
                </w:p>
              </w:tc>
            </w:tr>
          </w:tbl>
          <w:p w:rsidR="00CD22C9" w:rsidRDefault="00CD22C9"/>
        </w:tc>
      </w:tr>
      <w:tr w:rsidR="00CD22C9">
        <w:trPr>
          <w:trHeight w:val="291"/>
        </w:trPr>
        <w:tc>
          <w:tcPr>
            <w:tcW w:w="9645" w:type="dxa"/>
            <w:tcBorders>
              <w:bottom w:val="single" w:sz="2" w:space="0" w:color="505050"/>
            </w:tcBorders>
            <w:shd w:val="clear" w:color="auto" w:fill="auto"/>
          </w:tcPr>
          <w:p w:rsidR="00CD22C9" w:rsidRDefault="00CD22C9"/>
        </w:tc>
      </w:tr>
    </w:tbl>
    <w:p w:rsidR="00D71FD2" w:rsidRPr="005D0BC8" w:rsidRDefault="00D71FD2" w:rsidP="00D71FD2">
      <w:pPr>
        <w:ind w:right="-142"/>
        <w:jc w:val="both"/>
        <w:rPr>
          <w:rFonts w:cs="Arial"/>
          <w:szCs w:val="20"/>
        </w:rPr>
      </w:pPr>
    </w:p>
    <w:p w:rsidR="00D71FD2" w:rsidRPr="005D0BC8" w:rsidRDefault="00A84CBD" w:rsidP="00094042">
      <w:r w:rsidRPr="00A84CBD">
        <w:t>In accordance with section 15 of the Act, the ACMA makes a determination specifying the amounts under paragraphs 15(1</w:t>
      </w:r>
      <w:proofErr w:type="gramStart"/>
      <w:r w:rsidRPr="00A84CBD">
        <w:t>)(</w:t>
      </w:r>
      <w:proofErr w:type="gramEnd"/>
      <w:r w:rsidRPr="00A84CBD">
        <w:t xml:space="preserve">a), 15(1)(c) and 15(1)(ca) of the Act. In accordance with section 14 of the Act, the ACMA makes a separate determination which sets out the method for ascertaining the amount of ACLC imposed on liable individual carriers. </w:t>
      </w:r>
    </w:p>
    <w:p w:rsidR="00D71FD2" w:rsidRPr="005D0BC8" w:rsidRDefault="00D71FD2" w:rsidP="00094042"/>
    <w:p w:rsidR="00D71FD2" w:rsidRPr="005D0BC8" w:rsidRDefault="00A84CBD" w:rsidP="00094042">
      <w:r w:rsidRPr="00A84CBD">
        <w:t>Similarly, the ACCC and the Minister for Communications make determinations in relation to the costs described in paragraphs 15(1)(b) and 15(1)(d) of the Act, respectively (see Table 2). All determinations are registered on the Federal Register of Legislative Instruments by the respective entities before the invoices are forwarded by the ACMA to the licensed carriers.</w:t>
      </w:r>
    </w:p>
    <w:p w:rsidR="000459EA" w:rsidRDefault="000459EA" w:rsidP="004D27C2"/>
    <w:tbl>
      <w:tblPr>
        <w:tblW w:w="9645" w:type="dxa"/>
        <w:tblLayout w:type="fixed"/>
        <w:tblCellMar>
          <w:left w:w="0" w:type="dxa"/>
          <w:right w:w="0" w:type="dxa"/>
        </w:tblCellMar>
        <w:tblLook w:val="01E0" w:firstRow="1" w:lastRow="1" w:firstColumn="1" w:lastColumn="1" w:noHBand="0" w:noVBand="0"/>
      </w:tblPr>
      <w:tblGrid>
        <w:gridCol w:w="9645"/>
      </w:tblGrid>
      <w:tr w:rsidR="00CD22C9">
        <w:trPr>
          <w:trHeight w:val="570"/>
        </w:trPr>
        <w:tc>
          <w:tcPr>
            <w:tcW w:w="9645" w:type="dxa"/>
            <w:tcBorders>
              <w:top w:val="single" w:sz="2" w:space="0" w:color="505050"/>
            </w:tcBorders>
            <w:shd w:val="clear" w:color="auto" w:fill="auto"/>
            <w:vAlign w:val="center"/>
          </w:tcPr>
          <w:p w:rsidR="00CD22C9" w:rsidRPr="00A74B5E" w:rsidRDefault="00CD22C9">
            <w:pPr>
              <w:pStyle w:val="Caption"/>
            </w:pPr>
            <w:r w:rsidRPr="00E4568B">
              <w:t xml:space="preserve">Table </w:t>
            </w:r>
            <w:fldSimple w:instr=" SEQ Table \* ARABIC ">
              <w:r w:rsidRPr="00E4568B">
                <w:rPr>
                  <w:noProof/>
                </w:rPr>
                <w:t>2</w:t>
              </w:r>
            </w:fldSimple>
            <w:r w:rsidR="000A2944">
              <w:t xml:space="preserve"> List of</w:t>
            </w:r>
            <w:r w:rsidRPr="00E4568B">
              <w:t xml:space="preserve"> legislative instruments for imposition of the ACLC for the 2013–14 </w:t>
            </w:r>
            <w:r w:rsidRPr="00E4568B">
              <w:br/>
              <w:t>financial year</w:t>
            </w:r>
          </w:p>
        </w:tc>
      </w:tr>
      <w:tr w:rsidR="00CD22C9">
        <w:trPr>
          <w:trHeight w:val="3086"/>
        </w:trPr>
        <w:tc>
          <w:tcPr>
            <w:tcW w:w="9645" w:type="dxa"/>
            <w:shd w:val="clear" w:color="auto" w:fill="auto"/>
            <w:tcMar>
              <w:left w:w="28" w:type="dxa"/>
            </w:tcMar>
          </w:tcPr>
          <w:tbl>
            <w:tblPr>
              <w:tblW w:w="45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2"/>
              <w:gridCol w:w="4450"/>
              <w:gridCol w:w="3751"/>
            </w:tblGrid>
            <w:tr w:rsidR="00CD22C9" w:rsidRPr="00426212" w:rsidTr="00CD22C9">
              <w:trPr>
                <w:trHeight w:val="343"/>
              </w:trPr>
              <w:tc>
                <w:tcPr>
                  <w:tcW w:w="326" w:type="pct"/>
                  <w:shd w:val="clear" w:color="auto" w:fill="404040" w:themeFill="text1" w:themeFillTint="BF"/>
                  <w:vAlign w:val="center"/>
                </w:tcPr>
                <w:p w:rsidR="00CD22C9" w:rsidRPr="003A1B6D" w:rsidRDefault="00CD22C9" w:rsidP="00CD22C9">
                  <w:pPr>
                    <w:keepNext/>
                    <w:widowControl w:val="0"/>
                    <w:outlineLvl w:val="0"/>
                    <w:rPr>
                      <w:rFonts w:cs="Arial"/>
                      <w:b/>
                      <w:iCs/>
                      <w:color w:val="FFFFFF" w:themeColor="background1"/>
                      <w:szCs w:val="20"/>
                    </w:rPr>
                  </w:pPr>
                  <w:r w:rsidRPr="00A84CBD">
                    <w:rPr>
                      <w:rFonts w:cs="Arial"/>
                      <w:b/>
                      <w:iCs/>
                      <w:color w:val="FFFFFF" w:themeColor="background1"/>
                      <w:szCs w:val="20"/>
                    </w:rPr>
                    <w:t>No.</w:t>
                  </w:r>
                </w:p>
              </w:tc>
              <w:tc>
                <w:tcPr>
                  <w:tcW w:w="2536" w:type="pct"/>
                  <w:shd w:val="clear" w:color="auto" w:fill="404040" w:themeFill="text1" w:themeFillTint="BF"/>
                  <w:vAlign w:val="center"/>
                </w:tcPr>
                <w:p w:rsidR="00CD22C9" w:rsidRDefault="00CD22C9" w:rsidP="00CD22C9">
                  <w:pPr>
                    <w:keepNext/>
                    <w:rPr>
                      <w:rFonts w:cs="Arial"/>
                      <w:b/>
                      <w:iCs/>
                      <w:color w:val="FFFFFF" w:themeColor="background1"/>
                      <w:szCs w:val="20"/>
                    </w:rPr>
                  </w:pPr>
                  <w:r w:rsidRPr="00A84CBD">
                    <w:rPr>
                      <w:rFonts w:cs="Arial"/>
                      <w:b/>
                      <w:iCs/>
                      <w:color w:val="FFFFFF" w:themeColor="background1"/>
                      <w:szCs w:val="20"/>
                    </w:rPr>
                    <w:t>Determination</w:t>
                  </w:r>
                </w:p>
              </w:tc>
              <w:tc>
                <w:tcPr>
                  <w:tcW w:w="2138" w:type="pct"/>
                  <w:tcBorders>
                    <w:top w:val="single" w:sz="6" w:space="0" w:color="auto"/>
                  </w:tcBorders>
                  <w:shd w:val="clear" w:color="auto" w:fill="404040" w:themeFill="text1" w:themeFillTint="BF"/>
                  <w:vAlign w:val="center"/>
                </w:tcPr>
                <w:p w:rsidR="00CD22C9" w:rsidRDefault="00CD22C9" w:rsidP="00CD22C9">
                  <w:pPr>
                    <w:keepNext/>
                    <w:rPr>
                      <w:rFonts w:cs="Arial"/>
                      <w:b/>
                      <w:iCs/>
                      <w:color w:val="FFFFFF" w:themeColor="background1"/>
                      <w:szCs w:val="20"/>
                    </w:rPr>
                  </w:pPr>
                  <w:r w:rsidRPr="00A84CBD">
                    <w:rPr>
                      <w:rFonts w:cs="Arial"/>
                      <w:b/>
                      <w:iCs/>
                      <w:color w:val="FFFFFF" w:themeColor="background1"/>
                      <w:szCs w:val="20"/>
                    </w:rPr>
                    <w:t>Made under</w:t>
                  </w:r>
                </w:p>
              </w:tc>
            </w:tr>
            <w:tr w:rsidR="00CD22C9" w:rsidRPr="00426212" w:rsidTr="00CD22C9">
              <w:trPr>
                <w:trHeight w:val="408"/>
              </w:trPr>
              <w:tc>
                <w:tcPr>
                  <w:tcW w:w="326" w:type="pct"/>
                </w:tcPr>
                <w:p w:rsidR="00CD22C9" w:rsidRPr="00426212" w:rsidRDefault="00CD22C9" w:rsidP="00CD22C9">
                  <w:pPr>
                    <w:keepNext/>
                    <w:ind w:right="-142"/>
                    <w:rPr>
                      <w:rFonts w:cs="Arial"/>
                      <w:szCs w:val="20"/>
                    </w:rPr>
                  </w:pPr>
                  <w:r w:rsidRPr="00426212">
                    <w:rPr>
                      <w:rFonts w:cs="Arial"/>
                      <w:szCs w:val="20"/>
                    </w:rPr>
                    <w:t>1</w:t>
                  </w:r>
                </w:p>
              </w:tc>
              <w:tc>
                <w:tcPr>
                  <w:tcW w:w="2536" w:type="pct"/>
                </w:tcPr>
                <w:p w:rsidR="00CD22C9" w:rsidRPr="00426212" w:rsidRDefault="00CD22C9" w:rsidP="00CD22C9">
                  <w:pPr>
                    <w:keepNext/>
                    <w:ind w:right="34"/>
                    <w:rPr>
                      <w:rFonts w:cs="Arial"/>
                      <w:szCs w:val="20"/>
                    </w:rPr>
                  </w:pPr>
                  <w:r w:rsidRPr="00426212">
                    <w:rPr>
                      <w:rFonts w:cs="Arial"/>
                      <w:szCs w:val="20"/>
                    </w:rPr>
                    <w:t>Telecommunications (Annual Carrier Li</w:t>
                  </w:r>
                  <w:r>
                    <w:rPr>
                      <w:rFonts w:cs="Arial"/>
                      <w:szCs w:val="20"/>
                    </w:rPr>
                    <w:t>cence Charge) Determination 2014</w:t>
                  </w:r>
                </w:p>
                <w:p w:rsidR="00CD22C9" w:rsidRPr="003A1B6D" w:rsidRDefault="00CD22C9" w:rsidP="00CD22C9">
                  <w:pPr>
                    <w:keepNext/>
                    <w:ind w:right="34"/>
                    <w:rPr>
                      <w:rFonts w:cs="Arial"/>
                      <w:i/>
                      <w:szCs w:val="20"/>
                    </w:rPr>
                  </w:pPr>
                  <w:r w:rsidRPr="00A84CBD">
                    <w:rPr>
                      <w:rFonts w:cs="Arial"/>
                      <w:i/>
                      <w:szCs w:val="20"/>
                    </w:rPr>
                    <w:t>(made by the ACMA)</w:t>
                  </w:r>
                </w:p>
              </w:tc>
              <w:tc>
                <w:tcPr>
                  <w:tcW w:w="2138" w:type="pct"/>
                </w:tcPr>
                <w:p w:rsidR="00CD22C9" w:rsidRPr="00426212" w:rsidRDefault="00CD22C9" w:rsidP="00CD22C9">
                  <w:pPr>
                    <w:keepNext/>
                    <w:ind w:right="55"/>
                    <w:rPr>
                      <w:rFonts w:cs="Arial"/>
                      <w:szCs w:val="20"/>
                    </w:rPr>
                  </w:pPr>
                  <w:r w:rsidRPr="00426212">
                    <w:rPr>
                      <w:rFonts w:cs="Arial"/>
                      <w:szCs w:val="20"/>
                    </w:rPr>
                    <w:t xml:space="preserve">Section 14 of the </w:t>
                  </w:r>
                  <w:r>
                    <w:rPr>
                      <w:rFonts w:cs="Arial"/>
                      <w:szCs w:val="20"/>
                    </w:rPr>
                    <w:t>Act</w:t>
                  </w:r>
                </w:p>
              </w:tc>
            </w:tr>
            <w:tr w:rsidR="00CD22C9" w:rsidRPr="00426212" w:rsidTr="00CD22C9">
              <w:trPr>
                <w:trHeight w:val="414"/>
              </w:trPr>
              <w:tc>
                <w:tcPr>
                  <w:tcW w:w="326" w:type="pct"/>
                </w:tcPr>
                <w:p w:rsidR="00CD22C9" w:rsidRPr="00426212" w:rsidRDefault="00CD22C9" w:rsidP="00CD22C9">
                  <w:pPr>
                    <w:keepNext/>
                    <w:ind w:right="-142"/>
                    <w:rPr>
                      <w:rFonts w:cs="Arial"/>
                      <w:szCs w:val="20"/>
                    </w:rPr>
                  </w:pPr>
                  <w:r w:rsidRPr="00426212">
                    <w:rPr>
                      <w:rFonts w:cs="Arial"/>
                      <w:szCs w:val="20"/>
                    </w:rPr>
                    <w:t>2</w:t>
                  </w:r>
                </w:p>
              </w:tc>
              <w:tc>
                <w:tcPr>
                  <w:tcW w:w="2536" w:type="pct"/>
                </w:tcPr>
                <w:p w:rsidR="00CD22C9" w:rsidRPr="00426212" w:rsidRDefault="00CD22C9" w:rsidP="00CD22C9">
                  <w:pPr>
                    <w:keepNext/>
                    <w:ind w:right="34"/>
                    <w:rPr>
                      <w:rFonts w:cs="Arial"/>
                      <w:szCs w:val="20"/>
                    </w:rPr>
                  </w:pPr>
                  <w:r w:rsidRPr="00426212">
                    <w:rPr>
                      <w:rFonts w:cs="Arial"/>
                      <w:szCs w:val="20"/>
                    </w:rPr>
                    <w:t>Telecommunications (Specification of C</w:t>
                  </w:r>
                  <w:r>
                    <w:rPr>
                      <w:rFonts w:cs="Arial"/>
                      <w:szCs w:val="20"/>
                    </w:rPr>
                    <w:t>osts by ACMA) Determination 2014</w:t>
                  </w:r>
                  <w:r w:rsidRPr="00426212">
                    <w:rPr>
                      <w:rFonts w:cs="Arial"/>
                      <w:szCs w:val="20"/>
                    </w:rPr>
                    <w:t xml:space="preserve"> </w:t>
                  </w:r>
                </w:p>
                <w:p w:rsidR="00CD22C9" w:rsidRPr="003A1B6D" w:rsidRDefault="00CD22C9" w:rsidP="00CD22C9">
                  <w:pPr>
                    <w:keepNext/>
                    <w:ind w:right="34"/>
                    <w:rPr>
                      <w:rFonts w:cs="Arial"/>
                      <w:i/>
                      <w:szCs w:val="20"/>
                    </w:rPr>
                  </w:pPr>
                  <w:r w:rsidRPr="00A84CBD">
                    <w:rPr>
                      <w:rFonts w:cs="Arial"/>
                      <w:i/>
                      <w:szCs w:val="20"/>
                    </w:rPr>
                    <w:t>(made by the ACMA)</w:t>
                  </w:r>
                </w:p>
              </w:tc>
              <w:tc>
                <w:tcPr>
                  <w:tcW w:w="2138" w:type="pct"/>
                </w:tcPr>
                <w:p w:rsidR="00CD22C9" w:rsidRPr="00426212" w:rsidRDefault="00CD22C9" w:rsidP="00CD22C9">
                  <w:pPr>
                    <w:keepNext/>
                    <w:ind w:right="55"/>
                    <w:rPr>
                      <w:rFonts w:cs="Arial"/>
                      <w:szCs w:val="20"/>
                    </w:rPr>
                  </w:pPr>
                  <w:r w:rsidRPr="00426212">
                    <w:rPr>
                      <w:rFonts w:cs="Arial"/>
                      <w:szCs w:val="20"/>
                    </w:rPr>
                    <w:t xml:space="preserve">Paragraphs 15(1)(a), (c) and (ca) of the </w:t>
                  </w:r>
                  <w:r>
                    <w:rPr>
                      <w:rFonts w:cs="Arial"/>
                      <w:szCs w:val="20"/>
                    </w:rPr>
                    <w:t>Act</w:t>
                  </w:r>
                </w:p>
              </w:tc>
            </w:tr>
            <w:tr w:rsidR="00CD22C9" w:rsidRPr="00426212" w:rsidTr="00CD22C9">
              <w:trPr>
                <w:trHeight w:val="420"/>
              </w:trPr>
              <w:tc>
                <w:tcPr>
                  <w:tcW w:w="326" w:type="pct"/>
                </w:tcPr>
                <w:p w:rsidR="00CD22C9" w:rsidRPr="00426212" w:rsidRDefault="00CD22C9" w:rsidP="00CD22C9">
                  <w:pPr>
                    <w:keepNext/>
                    <w:ind w:right="-142"/>
                    <w:rPr>
                      <w:rFonts w:cs="Arial"/>
                      <w:szCs w:val="20"/>
                    </w:rPr>
                  </w:pPr>
                  <w:r w:rsidRPr="00426212">
                    <w:rPr>
                      <w:rFonts w:cs="Arial"/>
                      <w:szCs w:val="20"/>
                    </w:rPr>
                    <w:t>3</w:t>
                  </w:r>
                </w:p>
              </w:tc>
              <w:tc>
                <w:tcPr>
                  <w:tcW w:w="2536" w:type="pct"/>
                </w:tcPr>
                <w:p w:rsidR="00CD22C9" w:rsidRPr="00426212" w:rsidRDefault="00CD22C9" w:rsidP="00CD22C9">
                  <w:pPr>
                    <w:keepNext/>
                    <w:ind w:right="34"/>
                    <w:rPr>
                      <w:rFonts w:cs="Arial"/>
                      <w:szCs w:val="20"/>
                    </w:rPr>
                  </w:pPr>
                  <w:r w:rsidRPr="00426212">
                    <w:rPr>
                      <w:rFonts w:cs="Arial"/>
                      <w:szCs w:val="20"/>
                    </w:rPr>
                    <w:t>Determination Under Paragraph 15(1)(b)</w:t>
                  </w:r>
                  <w:r>
                    <w:rPr>
                      <w:rFonts w:cs="Arial"/>
                      <w:szCs w:val="20"/>
                    </w:rPr>
                    <w:t xml:space="preserve"> No. 1 of 2014</w:t>
                  </w:r>
                </w:p>
                <w:p w:rsidR="00CD22C9" w:rsidRPr="003A1B6D" w:rsidRDefault="00CD22C9" w:rsidP="00CD22C9">
                  <w:pPr>
                    <w:keepNext/>
                    <w:ind w:right="34"/>
                    <w:rPr>
                      <w:rFonts w:cs="Arial"/>
                      <w:i/>
                      <w:szCs w:val="20"/>
                    </w:rPr>
                  </w:pPr>
                  <w:r w:rsidRPr="00A84CBD">
                    <w:rPr>
                      <w:rFonts w:cs="Arial"/>
                      <w:i/>
                      <w:szCs w:val="20"/>
                    </w:rPr>
                    <w:t>(made by the ACCC)</w:t>
                  </w:r>
                </w:p>
              </w:tc>
              <w:tc>
                <w:tcPr>
                  <w:tcW w:w="2138" w:type="pct"/>
                </w:tcPr>
                <w:p w:rsidR="00CD22C9" w:rsidRPr="00426212" w:rsidRDefault="00CD22C9" w:rsidP="00CD22C9">
                  <w:pPr>
                    <w:keepNext/>
                    <w:ind w:right="55"/>
                    <w:rPr>
                      <w:rFonts w:cs="Arial"/>
                      <w:szCs w:val="20"/>
                    </w:rPr>
                  </w:pPr>
                  <w:r w:rsidRPr="00426212">
                    <w:rPr>
                      <w:rFonts w:cs="Arial"/>
                      <w:szCs w:val="20"/>
                    </w:rPr>
                    <w:t>Paragraph 15(1)(b) of the</w:t>
                  </w:r>
                  <w:r>
                    <w:rPr>
                      <w:rFonts w:cs="Arial"/>
                      <w:szCs w:val="20"/>
                    </w:rPr>
                    <w:t xml:space="preserve"> Act</w:t>
                  </w:r>
                  <w:r w:rsidRPr="00426212">
                    <w:rPr>
                      <w:rFonts w:cs="Arial"/>
                      <w:szCs w:val="20"/>
                    </w:rPr>
                    <w:t xml:space="preserve"> </w:t>
                  </w:r>
                </w:p>
              </w:tc>
            </w:tr>
            <w:tr w:rsidR="00CD22C9" w:rsidRPr="00426212" w:rsidTr="00CD22C9">
              <w:trPr>
                <w:trHeight w:val="411"/>
              </w:trPr>
              <w:tc>
                <w:tcPr>
                  <w:tcW w:w="326" w:type="pct"/>
                </w:tcPr>
                <w:p w:rsidR="00CD22C9" w:rsidRPr="00426212" w:rsidRDefault="00CD22C9" w:rsidP="00CD22C9">
                  <w:pPr>
                    <w:keepNext/>
                    <w:ind w:right="-142"/>
                    <w:rPr>
                      <w:rFonts w:cs="Arial"/>
                      <w:szCs w:val="20"/>
                    </w:rPr>
                  </w:pPr>
                  <w:r w:rsidRPr="00426212">
                    <w:rPr>
                      <w:rFonts w:cs="Arial"/>
                      <w:szCs w:val="20"/>
                    </w:rPr>
                    <w:t>4</w:t>
                  </w:r>
                </w:p>
              </w:tc>
              <w:tc>
                <w:tcPr>
                  <w:tcW w:w="2536" w:type="pct"/>
                </w:tcPr>
                <w:p w:rsidR="00CD22C9" w:rsidRPr="00426212" w:rsidRDefault="00CD22C9" w:rsidP="00CD22C9">
                  <w:pPr>
                    <w:keepNext/>
                    <w:ind w:right="34"/>
                    <w:rPr>
                      <w:rFonts w:cs="Arial"/>
                      <w:szCs w:val="20"/>
                    </w:rPr>
                  </w:pPr>
                  <w:r w:rsidRPr="00426212">
                    <w:rPr>
                      <w:rFonts w:cs="Arial"/>
                      <w:szCs w:val="20"/>
                    </w:rPr>
                    <w:t>Determination Under P</w:t>
                  </w:r>
                  <w:r>
                    <w:rPr>
                      <w:rFonts w:cs="Arial"/>
                      <w:szCs w:val="20"/>
                    </w:rPr>
                    <w:t>aragraph 15(1)(d) No. 1 of 2014</w:t>
                  </w:r>
                </w:p>
                <w:p w:rsidR="00CD22C9" w:rsidRPr="003A1B6D" w:rsidRDefault="00CD22C9" w:rsidP="00F7198B">
                  <w:pPr>
                    <w:keepNext/>
                    <w:ind w:right="34"/>
                    <w:rPr>
                      <w:rFonts w:cs="Arial"/>
                      <w:i/>
                      <w:szCs w:val="20"/>
                    </w:rPr>
                  </w:pPr>
                  <w:r w:rsidRPr="00A84CBD">
                    <w:rPr>
                      <w:rFonts w:cs="Arial"/>
                      <w:i/>
                      <w:szCs w:val="20"/>
                    </w:rPr>
                    <w:t xml:space="preserve">(made by </w:t>
                  </w:r>
                  <w:proofErr w:type="spellStart"/>
                  <w:r w:rsidR="00F7198B">
                    <w:rPr>
                      <w:rFonts w:cs="Arial"/>
                      <w:i/>
                      <w:szCs w:val="20"/>
                    </w:rPr>
                    <w:t>DoC</w:t>
                  </w:r>
                  <w:proofErr w:type="spellEnd"/>
                  <w:r w:rsidRPr="00A84CBD">
                    <w:rPr>
                      <w:rFonts w:cs="Arial"/>
                      <w:i/>
                      <w:szCs w:val="20"/>
                    </w:rPr>
                    <w:t>)</w:t>
                  </w:r>
                </w:p>
              </w:tc>
              <w:tc>
                <w:tcPr>
                  <w:tcW w:w="2138" w:type="pct"/>
                </w:tcPr>
                <w:p w:rsidR="00CD22C9" w:rsidRPr="00426212" w:rsidRDefault="00CD22C9" w:rsidP="00CD22C9">
                  <w:pPr>
                    <w:keepNext/>
                    <w:ind w:right="55"/>
                    <w:rPr>
                      <w:rFonts w:cs="Arial"/>
                      <w:szCs w:val="20"/>
                    </w:rPr>
                  </w:pPr>
                  <w:r w:rsidRPr="00426212">
                    <w:rPr>
                      <w:rFonts w:cs="Arial"/>
                      <w:szCs w:val="20"/>
                    </w:rPr>
                    <w:t xml:space="preserve">Paragraph 15(1)(d) of the </w:t>
                  </w:r>
                  <w:r>
                    <w:rPr>
                      <w:rFonts w:cs="Arial"/>
                      <w:szCs w:val="20"/>
                    </w:rPr>
                    <w:t>Act</w:t>
                  </w:r>
                </w:p>
              </w:tc>
            </w:tr>
          </w:tbl>
          <w:p w:rsidR="00CD22C9" w:rsidRDefault="00CD22C9"/>
        </w:tc>
      </w:tr>
      <w:tr w:rsidR="00CD22C9">
        <w:trPr>
          <w:trHeight w:val="291"/>
        </w:trPr>
        <w:tc>
          <w:tcPr>
            <w:tcW w:w="9645" w:type="dxa"/>
            <w:tcBorders>
              <w:bottom w:val="single" w:sz="2" w:space="0" w:color="505050"/>
            </w:tcBorders>
            <w:shd w:val="clear" w:color="auto" w:fill="auto"/>
          </w:tcPr>
          <w:p w:rsidR="00CD22C9" w:rsidRDefault="00CD22C9"/>
        </w:tc>
      </w:tr>
    </w:tbl>
    <w:p w:rsidR="00CD22C9" w:rsidRDefault="00CD22C9" w:rsidP="00CD22C9">
      <w:pPr>
        <w:pStyle w:val="BodyText"/>
        <w:spacing w:line="240" w:lineRule="atLeast"/>
        <w:ind w:right="-142"/>
        <w:rPr>
          <w:rFonts w:cs="Arial"/>
          <w:i w:val="0"/>
          <w:color w:val="auto"/>
          <w:sz w:val="22"/>
        </w:rPr>
      </w:pPr>
    </w:p>
    <w:p w:rsidR="00D71FD2" w:rsidRPr="00CC3F4B" w:rsidRDefault="00D71FD2" w:rsidP="00CC3F4B">
      <w:pPr>
        <w:pStyle w:val="Heading1"/>
      </w:pPr>
      <w:bookmarkStart w:id="27" w:name="_Toc355953989"/>
      <w:bookmarkStart w:id="28" w:name="_Toc385256318"/>
      <w:bookmarkStart w:id="29" w:name="_Toc387308822"/>
      <w:r w:rsidRPr="00CC3F4B">
        <w:lastRenderedPageBreak/>
        <w:t>3.</w:t>
      </w:r>
      <w:r w:rsidRPr="00CC3F4B">
        <w:tab/>
        <w:t>C</w:t>
      </w:r>
      <w:r w:rsidR="00CC3F4B">
        <w:t>ost recovery</w:t>
      </w:r>
      <w:r w:rsidRPr="00CC3F4B">
        <w:t xml:space="preserve"> </w:t>
      </w:r>
      <w:bookmarkEnd w:id="27"/>
      <w:bookmarkEnd w:id="28"/>
      <w:r w:rsidR="00CC3F4B">
        <w:t>model</w:t>
      </w:r>
      <w:bookmarkEnd w:id="29"/>
    </w:p>
    <w:p w:rsidR="00D71FD2" w:rsidRPr="00C320F6" w:rsidRDefault="00D71FD2" w:rsidP="00D71FD2">
      <w:pPr>
        <w:pStyle w:val="Heading2"/>
        <w:rPr>
          <w:sz w:val="24"/>
        </w:rPr>
      </w:pPr>
      <w:bookmarkStart w:id="30" w:name="_Toc355953990"/>
      <w:bookmarkStart w:id="31" w:name="_Toc385256319"/>
      <w:bookmarkStart w:id="32" w:name="_Toc387308823"/>
      <w:bookmarkStart w:id="33" w:name="basisorcharging"/>
      <w:r w:rsidRPr="00C320F6">
        <w:rPr>
          <w:sz w:val="24"/>
        </w:rPr>
        <w:t>3.1</w:t>
      </w:r>
      <w:r w:rsidRPr="00C320F6">
        <w:rPr>
          <w:sz w:val="24"/>
        </w:rPr>
        <w:tab/>
        <w:t>Costs to be included in the ACLC</w:t>
      </w:r>
      <w:bookmarkEnd w:id="30"/>
      <w:bookmarkEnd w:id="31"/>
      <w:bookmarkEnd w:id="32"/>
    </w:p>
    <w:p w:rsidR="00D71FD2" w:rsidRPr="005D0BC8" w:rsidRDefault="00A84CBD" w:rsidP="00094042">
      <w:r w:rsidRPr="00A84CBD">
        <w:t>There are five distinct cost components that are included in the total amount of the ACLC and levied on the carrier licences on an annual basis.</w:t>
      </w:r>
    </w:p>
    <w:p w:rsidR="00D71FD2" w:rsidRPr="005D0BC8" w:rsidRDefault="00D71FD2" w:rsidP="00D71FD2">
      <w:pPr>
        <w:pStyle w:val="BodyText"/>
        <w:spacing w:line="240" w:lineRule="atLeast"/>
        <w:ind w:left="720" w:right="-142"/>
        <w:rPr>
          <w:rFonts w:cs="Arial"/>
          <w:i w:val="0"/>
          <w:color w:val="auto"/>
          <w:szCs w:val="20"/>
        </w:rPr>
      </w:pPr>
    </w:p>
    <w:p w:rsidR="00094042" w:rsidRDefault="00A84CBD" w:rsidP="006B3422">
      <w:pPr>
        <w:pStyle w:val="ListNumber"/>
        <w:rPr>
          <w:i/>
        </w:rPr>
      </w:pPr>
      <w:r w:rsidRPr="00CC3F4B">
        <w:rPr>
          <w:b/>
        </w:rPr>
        <w:t>Determination of cost component under paragraph 15(1)(a) of the Act—the ACMA’s costs</w:t>
      </w:r>
    </w:p>
    <w:p w:rsidR="00D71FD2" w:rsidRPr="005D0BC8" w:rsidRDefault="00A84CBD" w:rsidP="00094042">
      <w:r w:rsidRPr="00A84CBD">
        <w:t xml:space="preserve">The amount for this component (see tables 3 and 4) represents the ACMA’s costs incurred during the financial year 2012–13 in exercising its telecommunications functions and powers, as defined by section 7 of the </w:t>
      </w:r>
      <w:r w:rsidRPr="00094042">
        <w:rPr>
          <w:i/>
        </w:rPr>
        <w:t>Telecommunications Act 1997</w:t>
      </w:r>
      <w:r w:rsidRPr="00A84CBD">
        <w:t>.</w:t>
      </w:r>
    </w:p>
    <w:p w:rsidR="00D71FD2" w:rsidRPr="005D0BC8" w:rsidRDefault="00D71FD2" w:rsidP="00094042"/>
    <w:p w:rsidR="00D71FD2" w:rsidRPr="005D0BC8" w:rsidRDefault="00A84CBD" w:rsidP="00094042">
      <w:r w:rsidRPr="00A84CBD">
        <w:t xml:space="preserve">As a regulator of the telecommunications industry, the ACMA undertakes a range of activities, such as the development and variation of telecommunications standards, the monitoring of compliance of licensed carriers with the regulatory framework, the conduct of investigations and the taking of enforcement action in relation to breaches of the law. </w:t>
      </w:r>
      <w:r w:rsidR="004003F2">
        <w:t>In addition, t</w:t>
      </w:r>
      <w:r w:rsidRPr="00A84CBD">
        <w:t xml:space="preserve">he ACMA carries out regulatory work for the NBN, </w:t>
      </w:r>
      <w:r w:rsidR="00DD63EC">
        <w:t>such as</w:t>
      </w:r>
      <w:r w:rsidRPr="00A84CBD">
        <w:t xml:space="preserve"> the development of appropriate network standards and codes and a program of compliance, and undertaking monitoring activities</w:t>
      </w:r>
      <w:r w:rsidR="00070110">
        <w:t xml:space="preserve"> that are also relevant for the rest of the telecommunications industry</w:t>
      </w:r>
      <w:r w:rsidRPr="00A84CBD">
        <w:t>. Further details about the ACMA’s telecommunications activities can be obtained from the ACMA’s annual report.</w:t>
      </w:r>
      <w:r w:rsidRPr="004D27C2">
        <w:rPr>
          <w:rStyle w:val="FootnoteReference"/>
          <w:rFonts w:cs="Arial"/>
          <w:szCs w:val="20"/>
        </w:rPr>
        <w:footnoteReference w:id="11"/>
      </w:r>
    </w:p>
    <w:p w:rsidR="00D71FD2" w:rsidRPr="005D0BC8" w:rsidRDefault="00D71FD2" w:rsidP="004D27C2"/>
    <w:p w:rsidR="00D71FD2" w:rsidRPr="005D0BC8" w:rsidRDefault="00A84CBD" w:rsidP="00094042">
      <w:r w:rsidRPr="00A84CBD">
        <w:t xml:space="preserve">The determination of the ACMA’s costs to be recovered via the ACLC is subject to a rigorous process using an activity based costing (ABC) model. There has been no change in the methodology used to determine the costs from the previous financial year. Both direct and support (indirect) costs incurred by the ACMA in exercising its telecommunications functions and powers are captured by the model. Time is used as a primary means of allocating direct costs to activities while support costs are allocated using an appropriate cost driver (further detail on cost drivers is provided later in this section). </w:t>
      </w:r>
    </w:p>
    <w:p w:rsidR="00D71FD2" w:rsidRPr="005D0BC8" w:rsidRDefault="00D71FD2" w:rsidP="00094042"/>
    <w:p w:rsidR="00094042" w:rsidRDefault="00A84CBD" w:rsidP="00094042">
      <w:pPr>
        <w:spacing w:after="80"/>
      </w:pPr>
      <w:r w:rsidRPr="00A84CBD">
        <w:t xml:space="preserve">The ACMA’s ABC model is reviewed annually by an external independent auditor for quality assurance purposes. The audit for this financial year’s ACLC (the costs incurred in the financial year 2012–13) was undertaken by Oakton. The audit of the model specifically confirmed:  </w:t>
      </w:r>
    </w:p>
    <w:p w:rsidR="00094042" w:rsidRDefault="00A84CBD" w:rsidP="00094042">
      <w:pPr>
        <w:pStyle w:val="ListBullet"/>
      </w:pPr>
      <w:r w:rsidRPr="00A84CBD">
        <w:t>the costs input to the ABC model are consistent with the net cost of services</w:t>
      </w:r>
      <w:r w:rsidRPr="00A84CBD">
        <w:rPr>
          <w:rStyle w:val="FootnoteReference"/>
          <w:rFonts w:cs="Arial"/>
          <w:szCs w:val="20"/>
        </w:rPr>
        <w:footnoteReference w:id="12"/>
      </w:r>
      <w:r w:rsidRPr="00A84CBD">
        <w:t xml:space="preserve"> disclosed in the ACMA’s 2012–13 audited financial statements</w:t>
      </w:r>
    </w:p>
    <w:p w:rsidR="00094042" w:rsidRDefault="00A84CBD" w:rsidP="00094042">
      <w:pPr>
        <w:pStyle w:val="ListBullet"/>
      </w:pPr>
      <w:r w:rsidRPr="00A84CBD">
        <w:t>the cost drivers used to attribute costs within the AB</w:t>
      </w:r>
      <w:r w:rsidR="004003F2">
        <w:t>C</w:t>
      </w:r>
      <w:r w:rsidRPr="00A84CBD">
        <w:t xml:space="preserve"> model are appropriate</w:t>
      </w:r>
    </w:p>
    <w:p w:rsidR="00094042" w:rsidRDefault="00A84CBD" w:rsidP="00094042">
      <w:pPr>
        <w:pStyle w:val="ListBullet"/>
      </w:pPr>
      <w:r w:rsidRPr="00A84CBD">
        <w:t>the AB</w:t>
      </w:r>
      <w:r w:rsidR="004003F2">
        <w:t>C</w:t>
      </w:r>
      <w:r w:rsidRPr="00A84CBD">
        <w:t xml:space="preserve"> model accurately reflects the consumption of resources by the ACMA, in providing the ACLC related services</w:t>
      </w:r>
    </w:p>
    <w:p w:rsidR="00094042" w:rsidRDefault="00A84CBD" w:rsidP="00094042">
      <w:pPr>
        <w:pStyle w:val="ListBullet"/>
        <w:spacing w:after="240"/>
      </w:pPr>
      <w:proofErr w:type="gramStart"/>
      <w:r w:rsidRPr="00A84CBD">
        <w:t>the</w:t>
      </w:r>
      <w:proofErr w:type="gramEnd"/>
      <w:r w:rsidRPr="00A84CBD">
        <w:t xml:space="preserve"> AB</w:t>
      </w:r>
      <w:r w:rsidR="004003F2">
        <w:t>C</w:t>
      </w:r>
      <w:r w:rsidRPr="00A84CBD">
        <w:t xml:space="preserve"> methodology used by the ACMA is in accordance with the Guidelines.</w:t>
      </w:r>
    </w:p>
    <w:p w:rsidR="00D71FD2" w:rsidRPr="005D0BC8" w:rsidRDefault="00A84CBD" w:rsidP="00CC3F4B">
      <w:pPr>
        <w:keepLines/>
        <w:pageBreakBefore/>
      </w:pPr>
      <w:r w:rsidRPr="00A84CBD">
        <w:lastRenderedPageBreak/>
        <w:t>In order to ensure that the allocation base for the ABC model remains accurate, the ACMA conducts agency-wide surveys twice a year.</w:t>
      </w:r>
      <w:r w:rsidRPr="00A84CBD">
        <w:rPr>
          <w:iCs/>
        </w:rPr>
        <w:t> </w:t>
      </w:r>
      <w:r w:rsidRPr="00A84CBD">
        <w:t xml:space="preserve">Table 3 below provides details for the direct costs and support costs of the ACMA’s component at a major activity group level, namely: </w:t>
      </w:r>
    </w:p>
    <w:p w:rsidR="00D71FD2" w:rsidRPr="005D0BC8" w:rsidRDefault="00D71FD2" w:rsidP="00CC3F4B">
      <w:pPr>
        <w:rPr>
          <w:highlight w:val="lightGray"/>
        </w:rPr>
      </w:pPr>
    </w:p>
    <w:p w:rsidR="00D71FD2" w:rsidRPr="00094042" w:rsidRDefault="00A84CBD" w:rsidP="00CC3F4B">
      <w:pPr>
        <w:keepLines/>
        <w:rPr>
          <w:u w:val="single"/>
        </w:rPr>
      </w:pPr>
      <w:r w:rsidRPr="00094042">
        <w:rPr>
          <w:u w:val="single"/>
        </w:rPr>
        <w:t>Regulat</w:t>
      </w:r>
      <w:r w:rsidR="007D032D">
        <w:rPr>
          <w:u w:val="single"/>
        </w:rPr>
        <w:t>ory function</w:t>
      </w:r>
    </w:p>
    <w:p w:rsidR="00D71FD2" w:rsidRPr="005D0BC8" w:rsidRDefault="00A84CBD" w:rsidP="00CC3F4B">
      <w:pPr>
        <w:keepLines/>
      </w:pPr>
      <w:r w:rsidRPr="00A84CBD">
        <w:t>This includes regulation development activities under the existing legislative framework, the promotion of self and co-regulation and competition in the telecommunications industry (for example, the facilitation of the development of self-regulatory industry codes), the development and variation of telecommunications standards, the conduct of research on matters affecting telecommunications regulations, and the management of technical regulatory arrangements.</w:t>
      </w:r>
    </w:p>
    <w:p w:rsidR="00D71FD2" w:rsidRPr="005D0BC8" w:rsidRDefault="00D71FD2" w:rsidP="00094042"/>
    <w:p w:rsidR="00D71FD2" w:rsidRPr="00094042" w:rsidRDefault="00A84CBD" w:rsidP="00094042">
      <w:pPr>
        <w:rPr>
          <w:u w:val="single"/>
        </w:rPr>
      </w:pPr>
      <w:r w:rsidRPr="00094042">
        <w:rPr>
          <w:u w:val="single"/>
        </w:rPr>
        <w:t>Industry monitoring and NBN</w:t>
      </w:r>
    </w:p>
    <w:p w:rsidR="00D71FD2" w:rsidRPr="005D0BC8" w:rsidRDefault="00A84CBD" w:rsidP="00094042">
      <w:r w:rsidRPr="00A84CBD">
        <w:t>This includes activities such as monitoring and reporting on the service performance and compliance of telecommunications organisations (for example, against telecommunications standards and codes, NBN network standards and implementation), monitoring consumer safeguards that establish minimum performance standards, and monitoring the implementation of appropriate NBN standards and codes.</w:t>
      </w:r>
    </w:p>
    <w:p w:rsidR="00D71FD2" w:rsidRPr="005D0BC8" w:rsidRDefault="00D71FD2" w:rsidP="00094042"/>
    <w:p w:rsidR="00D71FD2" w:rsidRPr="00094042" w:rsidRDefault="00A84CBD" w:rsidP="00094042">
      <w:pPr>
        <w:rPr>
          <w:u w:val="single"/>
        </w:rPr>
      </w:pPr>
      <w:r w:rsidRPr="00094042">
        <w:rPr>
          <w:u w:val="single"/>
        </w:rPr>
        <w:t>Compliance and enforcement</w:t>
      </w:r>
    </w:p>
    <w:p w:rsidR="00D71FD2" w:rsidRPr="005D0BC8" w:rsidRDefault="00A84CBD" w:rsidP="00094042">
      <w:pPr>
        <w:rPr>
          <w:color w:val="000000"/>
        </w:rPr>
      </w:pPr>
      <w:r w:rsidRPr="00A84CBD">
        <w:rPr>
          <w:color w:val="000000"/>
        </w:rPr>
        <w:t>This involves handling stakeholder complaints, compliance monitoring of devices subject to labelling arrangements and telecommunications cabling, human exposure to electromagnetic energy and electromagnetic compatibility compliance, compliance with consumer protection codes, undertaking audit programs, issuing warning notices, and related enforcement activities.</w:t>
      </w:r>
    </w:p>
    <w:p w:rsidR="00D71FD2" w:rsidRPr="005D0BC8" w:rsidRDefault="00D71FD2" w:rsidP="00094042"/>
    <w:p w:rsidR="00D71FD2" w:rsidRPr="00094042" w:rsidRDefault="00A84CBD" w:rsidP="00094042">
      <w:pPr>
        <w:rPr>
          <w:u w:val="single"/>
        </w:rPr>
      </w:pPr>
      <w:r w:rsidRPr="00094042">
        <w:rPr>
          <w:u w:val="single"/>
        </w:rPr>
        <w:t>Licensing and allocation</w:t>
      </w:r>
    </w:p>
    <w:p w:rsidR="00D71FD2" w:rsidRPr="005D0BC8" w:rsidRDefault="00A84CBD" w:rsidP="00094042">
      <w:r w:rsidRPr="00A84CBD">
        <w:t>This includes planning, development and management activities in relation to telecommunications licences, and the planning, allocation and use of telecommunications resources and numbers. The activities associated with issuing licences and allocating numbers such as geographic, free-phone, local and premium numbers are not included as these services are delivered on a fee-for-service basis.</w:t>
      </w:r>
    </w:p>
    <w:p w:rsidR="00D71FD2" w:rsidRPr="005D0BC8" w:rsidRDefault="00D71FD2" w:rsidP="00094042">
      <w:pPr>
        <w:rPr>
          <w:highlight w:val="lightGray"/>
        </w:rPr>
      </w:pPr>
    </w:p>
    <w:p w:rsidR="00D71FD2" w:rsidRPr="00094042" w:rsidRDefault="00A84CBD" w:rsidP="00094042">
      <w:pPr>
        <w:rPr>
          <w:u w:val="single"/>
        </w:rPr>
      </w:pPr>
      <w:r w:rsidRPr="00094042">
        <w:rPr>
          <w:u w:val="single"/>
        </w:rPr>
        <w:t>Other activities</w:t>
      </w:r>
    </w:p>
    <w:p w:rsidR="00D71FD2" w:rsidRDefault="00A84CBD" w:rsidP="00094042">
      <w:r w:rsidRPr="00A84CBD">
        <w:t xml:space="preserve">All other activities in relation to the ACMA’s telecommunications functions and powers are considered in this category including dealing with the telecommunications industry on national interest issues (for example, the management of a mutual recognition agreement). </w:t>
      </w:r>
    </w:p>
    <w:p w:rsidR="004D27C2" w:rsidRDefault="004D27C2" w:rsidP="00094042"/>
    <w:tbl>
      <w:tblPr>
        <w:tblW w:w="9645" w:type="dxa"/>
        <w:tblLayout w:type="fixed"/>
        <w:tblCellMar>
          <w:left w:w="0" w:type="dxa"/>
          <w:right w:w="0" w:type="dxa"/>
        </w:tblCellMar>
        <w:tblLook w:val="01E0" w:firstRow="1" w:lastRow="1" w:firstColumn="1" w:lastColumn="1" w:noHBand="0" w:noVBand="0"/>
      </w:tblPr>
      <w:tblGrid>
        <w:gridCol w:w="9645"/>
      </w:tblGrid>
      <w:tr w:rsidR="004D27C2">
        <w:trPr>
          <w:trHeight w:val="570"/>
        </w:trPr>
        <w:tc>
          <w:tcPr>
            <w:tcW w:w="9645" w:type="dxa"/>
            <w:tcBorders>
              <w:top w:val="single" w:sz="2" w:space="0" w:color="505050"/>
            </w:tcBorders>
            <w:shd w:val="clear" w:color="auto" w:fill="auto"/>
            <w:vAlign w:val="center"/>
          </w:tcPr>
          <w:p w:rsidR="004D27C2" w:rsidRPr="00A74B5E" w:rsidRDefault="004D27C2" w:rsidP="004D27C2">
            <w:pPr>
              <w:pStyle w:val="Caption"/>
              <w:keepNext/>
            </w:pPr>
            <w:r>
              <w:lastRenderedPageBreak/>
              <w:t xml:space="preserve">Table </w:t>
            </w:r>
            <w:fldSimple w:instr=" SEQ Table \* ARABIC ">
              <w:r>
                <w:rPr>
                  <w:noProof/>
                </w:rPr>
                <w:t>3</w:t>
              </w:r>
            </w:fldSimple>
            <w:r>
              <w:t xml:space="preserve"> </w:t>
            </w:r>
            <w:r w:rsidRPr="00F33E90">
              <w:t>The ACMA’s component at major activity group level, 2013–14</w:t>
            </w:r>
          </w:p>
        </w:tc>
      </w:tr>
      <w:tr w:rsidR="004D27C2">
        <w:trPr>
          <w:trHeight w:val="3086"/>
        </w:trPr>
        <w:tc>
          <w:tcPr>
            <w:tcW w:w="9645" w:type="dxa"/>
            <w:shd w:val="clear" w:color="auto" w:fill="auto"/>
            <w:tcMar>
              <w:left w:w="28" w:type="dxa"/>
            </w:tcMar>
          </w:tcPr>
          <w:tbl>
            <w:tblPr>
              <w:tblW w:w="45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4016"/>
              <w:gridCol w:w="1723"/>
              <w:gridCol w:w="1583"/>
              <w:gridCol w:w="1451"/>
            </w:tblGrid>
            <w:tr w:rsidR="004D27C2" w:rsidRPr="00B4771B" w:rsidTr="00070110">
              <w:trPr>
                <w:trHeight w:val="361"/>
              </w:trPr>
              <w:tc>
                <w:tcPr>
                  <w:tcW w:w="2289" w:type="pct"/>
                  <w:shd w:val="clear" w:color="auto" w:fill="404040" w:themeFill="text1" w:themeFillTint="BF"/>
                  <w:vAlign w:val="center"/>
                </w:tcPr>
                <w:p w:rsidR="004D27C2" w:rsidRPr="003A1B6D" w:rsidRDefault="004D27C2" w:rsidP="00070110">
                  <w:pPr>
                    <w:keepNext/>
                    <w:widowControl w:val="0"/>
                    <w:outlineLvl w:val="0"/>
                    <w:rPr>
                      <w:rFonts w:cs="Arial"/>
                      <w:b/>
                      <w:iCs/>
                      <w:color w:val="FFFFFF" w:themeColor="background1"/>
                      <w:szCs w:val="20"/>
                    </w:rPr>
                  </w:pPr>
                  <w:r w:rsidRPr="00A84CBD">
                    <w:rPr>
                      <w:rFonts w:cs="Arial"/>
                      <w:b/>
                      <w:iCs/>
                      <w:color w:val="FFFFFF" w:themeColor="background1"/>
                      <w:szCs w:val="20"/>
                    </w:rPr>
                    <w:t>Major activity group</w:t>
                  </w:r>
                </w:p>
              </w:tc>
              <w:tc>
                <w:tcPr>
                  <w:tcW w:w="982" w:type="pct"/>
                  <w:shd w:val="clear" w:color="auto" w:fill="404040" w:themeFill="text1" w:themeFillTint="BF"/>
                  <w:vAlign w:val="center"/>
                </w:tcPr>
                <w:p w:rsidR="004D27C2" w:rsidRDefault="004D27C2" w:rsidP="004D27C2">
                  <w:pPr>
                    <w:keepNext/>
                    <w:rPr>
                      <w:rFonts w:cs="Arial"/>
                      <w:b/>
                      <w:iCs/>
                      <w:color w:val="FFFFFF" w:themeColor="background1"/>
                      <w:szCs w:val="20"/>
                    </w:rPr>
                  </w:pPr>
                  <w:r w:rsidRPr="00A84CBD">
                    <w:rPr>
                      <w:rFonts w:cs="Arial"/>
                      <w:b/>
                      <w:iCs/>
                      <w:color w:val="FFFFFF" w:themeColor="background1"/>
                      <w:szCs w:val="20"/>
                    </w:rPr>
                    <w:t>Direct cost</w:t>
                  </w:r>
                </w:p>
              </w:tc>
              <w:tc>
                <w:tcPr>
                  <w:tcW w:w="902" w:type="pct"/>
                  <w:shd w:val="clear" w:color="auto" w:fill="404040" w:themeFill="text1" w:themeFillTint="BF"/>
                  <w:vAlign w:val="center"/>
                </w:tcPr>
                <w:p w:rsidR="004D27C2" w:rsidRDefault="004D27C2" w:rsidP="004D27C2">
                  <w:pPr>
                    <w:keepNext/>
                    <w:rPr>
                      <w:rFonts w:cs="Arial"/>
                      <w:b/>
                      <w:iCs/>
                      <w:color w:val="FFFFFF" w:themeColor="background1"/>
                      <w:szCs w:val="20"/>
                    </w:rPr>
                  </w:pPr>
                  <w:r w:rsidRPr="00A84CBD">
                    <w:rPr>
                      <w:rFonts w:cs="Arial"/>
                      <w:b/>
                      <w:iCs/>
                      <w:color w:val="FFFFFF" w:themeColor="background1"/>
                      <w:szCs w:val="20"/>
                    </w:rPr>
                    <w:t>Support cost</w:t>
                  </w:r>
                </w:p>
              </w:tc>
              <w:tc>
                <w:tcPr>
                  <w:tcW w:w="827" w:type="pct"/>
                  <w:tcBorders>
                    <w:top w:val="single" w:sz="6" w:space="0" w:color="auto"/>
                  </w:tcBorders>
                  <w:shd w:val="clear" w:color="auto" w:fill="404040" w:themeFill="text1" w:themeFillTint="BF"/>
                  <w:vAlign w:val="center"/>
                </w:tcPr>
                <w:p w:rsidR="004D27C2" w:rsidRDefault="004D27C2" w:rsidP="004D27C2">
                  <w:pPr>
                    <w:keepNext/>
                    <w:rPr>
                      <w:rFonts w:cs="Arial"/>
                      <w:b/>
                      <w:iCs/>
                      <w:color w:val="FFFFFF" w:themeColor="background1"/>
                      <w:szCs w:val="20"/>
                    </w:rPr>
                  </w:pPr>
                  <w:r w:rsidRPr="00A84CBD">
                    <w:rPr>
                      <w:rFonts w:cs="Arial"/>
                      <w:b/>
                      <w:iCs/>
                      <w:color w:val="FFFFFF" w:themeColor="background1"/>
                      <w:szCs w:val="20"/>
                    </w:rPr>
                    <w:t>Total cost</w:t>
                  </w:r>
                </w:p>
              </w:tc>
            </w:tr>
            <w:tr w:rsidR="004D27C2" w:rsidRPr="00B4771B" w:rsidTr="00070110">
              <w:trPr>
                <w:trHeight w:val="408"/>
              </w:trPr>
              <w:tc>
                <w:tcPr>
                  <w:tcW w:w="2289" w:type="pct"/>
                  <w:vAlign w:val="center"/>
                </w:tcPr>
                <w:p w:rsidR="004D27C2" w:rsidRPr="00F45CD9" w:rsidRDefault="004D27C2" w:rsidP="00070110">
                  <w:pPr>
                    <w:keepNext/>
                    <w:ind w:right="-142"/>
                    <w:rPr>
                      <w:rFonts w:cs="Arial"/>
                      <w:szCs w:val="20"/>
                    </w:rPr>
                  </w:pPr>
                  <w:r w:rsidRPr="00F45CD9">
                    <w:rPr>
                      <w:rFonts w:cs="Arial"/>
                      <w:szCs w:val="20"/>
                    </w:rPr>
                    <w:t>Regulat</w:t>
                  </w:r>
                  <w:r w:rsidR="00F7198B">
                    <w:rPr>
                      <w:rFonts w:cs="Arial"/>
                      <w:szCs w:val="20"/>
                    </w:rPr>
                    <w:t xml:space="preserve">ory </w:t>
                  </w:r>
                  <w:r>
                    <w:rPr>
                      <w:rFonts w:cs="Arial"/>
                      <w:szCs w:val="20"/>
                    </w:rPr>
                    <w:t xml:space="preserve">function </w:t>
                  </w:r>
                </w:p>
              </w:tc>
              <w:tc>
                <w:tcPr>
                  <w:tcW w:w="982" w:type="pct"/>
                  <w:vAlign w:val="center"/>
                </w:tcPr>
                <w:p w:rsidR="004D27C2" w:rsidRDefault="004D27C2" w:rsidP="00F74ED0">
                  <w:pPr>
                    <w:keepNext/>
                    <w:jc w:val="right"/>
                    <w:rPr>
                      <w:rFonts w:cs="Arial"/>
                      <w:color w:val="000000"/>
                      <w:szCs w:val="20"/>
                    </w:rPr>
                  </w:pPr>
                  <w:r>
                    <w:rPr>
                      <w:rFonts w:cs="Arial"/>
                      <w:color w:val="000000"/>
                      <w:szCs w:val="20"/>
                    </w:rPr>
                    <w:t>$3,433,614</w:t>
                  </w:r>
                </w:p>
              </w:tc>
              <w:tc>
                <w:tcPr>
                  <w:tcW w:w="902" w:type="pct"/>
                  <w:vAlign w:val="center"/>
                </w:tcPr>
                <w:p w:rsidR="004D27C2" w:rsidRDefault="004D27C2" w:rsidP="00F74ED0">
                  <w:pPr>
                    <w:keepNext/>
                    <w:jc w:val="right"/>
                    <w:rPr>
                      <w:rFonts w:cs="Arial"/>
                      <w:color w:val="000000"/>
                      <w:szCs w:val="20"/>
                    </w:rPr>
                  </w:pPr>
                  <w:r>
                    <w:rPr>
                      <w:rFonts w:cs="Arial"/>
                      <w:color w:val="000000"/>
                      <w:szCs w:val="20"/>
                    </w:rPr>
                    <w:t>$4,029,914</w:t>
                  </w:r>
                </w:p>
              </w:tc>
              <w:tc>
                <w:tcPr>
                  <w:tcW w:w="827" w:type="pct"/>
                  <w:vAlign w:val="center"/>
                </w:tcPr>
                <w:p w:rsidR="004D27C2" w:rsidRDefault="004D27C2" w:rsidP="00F74ED0">
                  <w:pPr>
                    <w:keepNext/>
                    <w:jc w:val="right"/>
                    <w:rPr>
                      <w:rFonts w:cs="Arial"/>
                      <w:color w:val="000000"/>
                      <w:szCs w:val="20"/>
                    </w:rPr>
                  </w:pPr>
                  <w:r>
                    <w:rPr>
                      <w:rFonts w:cs="Arial"/>
                      <w:color w:val="000000"/>
                      <w:szCs w:val="20"/>
                    </w:rPr>
                    <w:t>$7,463,528</w:t>
                  </w:r>
                </w:p>
              </w:tc>
            </w:tr>
            <w:tr w:rsidR="004D27C2" w:rsidRPr="00B4771B" w:rsidTr="00070110">
              <w:trPr>
                <w:trHeight w:val="414"/>
              </w:trPr>
              <w:tc>
                <w:tcPr>
                  <w:tcW w:w="2289" w:type="pct"/>
                  <w:vAlign w:val="center"/>
                </w:tcPr>
                <w:p w:rsidR="004D27C2" w:rsidRPr="00F45CD9" w:rsidRDefault="004D27C2" w:rsidP="00070110">
                  <w:pPr>
                    <w:keepNext/>
                    <w:ind w:right="-142"/>
                    <w:rPr>
                      <w:rFonts w:cs="Arial"/>
                      <w:szCs w:val="20"/>
                    </w:rPr>
                  </w:pPr>
                  <w:r w:rsidRPr="00F45CD9">
                    <w:rPr>
                      <w:rFonts w:cs="Arial"/>
                      <w:szCs w:val="20"/>
                    </w:rPr>
                    <w:t>Industry monitoring and NBN</w:t>
                  </w:r>
                </w:p>
              </w:tc>
              <w:tc>
                <w:tcPr>
                  <w:tcW w:w="982" w:type="pct"/>
                  <w:vAlign w:val="center"/>
                </w:tcPr>
                <w:p w:rsidR="004D27C2" w:rsidRDefault="004D27C2" w:rsidP="00F74ED0">
                  <w:pPr>
                    <w:keepNext/>
                    <w:jc w:val="right"/>
                    <w:rPr>
                      <w:rFonts w:cs="Arial"/>
                      <w:color w:val="000000"/>
                      <w:szCs w:val="20"/>
                    </w:rPr>
                  </w:pPr>
                  <w:r>
                    <w:rPr>
                      <w:rFonts w:cs="Arial"/>
                      <w:color w:val="000000"/>
                      <w:szCs w:val="20"/>
                    </w:rPr>
                    <w:t>$3,673,165</w:t>
                  </w:r>
                </w:p>
              </w:tc>
              <w:tc>
                <w:tcPr>
                  <w:tcW w:w="902" w:type="pct"/>
                  <w:vAlign w:val="center"/>
                </w:tcPr>
                <w:p w:rsidR="004D27C2" w:rsidRDefault="004D27C2" w:rsidP="00F74ED0">
                  <w:pPr>
                    <w:keepNext/>
                    <w:jc w:val="right"/>
                    <w:rPr>
                      <w:rFonts w:cs="Arial"/>
                      <w:color w:val="000000"/>
                      <w:szCs w:val="20"/>
                    </w:rPr>
                  </w:pPr>
                  <w:r>
                    <w:rPr>
                      <w:rFonts w:cs="Arial"/>
                      <w:color w:val="000000"/>
                      <w:szCs w:val="20"/>
                    </w:rPr>
                    <w:t>$3,873,860</w:t>
                  </w:r>
                </w:p>
              </w:tc>
              <w:tc>
                <w:tcPr>
                  <w:tcW w:w="827" w:type="pct"/>
                  <w:vAlign w:val="center"/>
                </w:tcPr>
                <w:p w:rsidR="004D27C2" w:rsidRDefault="004D27C2" w:rsidP="00F74ED0">
                  <w:pPr>
                    <w:keepNext/>
                    <w:jc w:val="right"/>
                    <w:rPr>
                      <w:rFonts w:cs="Arial"/>
                      <w:color w:val="000000"/>
                      <w:szCs w:val="20"/>
                    </w:rPr>
                  </w:pPr>
                  <w:r>
                    <w:rPr>
                      <w:rFonts w:cs="Arial"/>
                      <w:color w:val="000000"/>
                      <w:szCs w:val="20"/>
                    </w:rPr>
                    <w:t>$7,547,025</w:t>
                  </w:r>
                </w:p>
              </w:tc>
            </w:tr>
            <w:tr w:rsidR="004D27C2" w:rsidRPr="00B4771B" w:rsidTr="00070110">
              <w:trPr>
                <w:trHeight w:val="420"/>
              </w:trPr>
              <w:tc>
                <w:tcPr>
                  <w:tcW w:w="2289" w:type="pct"/>
                  <w:vAlign w:val="center"/>
                </w:tcPr>
                <w:p w:rsidR="004D27C2" w:rsidRPr="00F45CD9" w:rsidRDefault="004D27C2" w:rsidP="00070110">
                  <w:pPr>
                    <w:keepNext/>
                    <w:ind w:right="-142"/>
                    <w:rPr>
                      <w:rFonts w:cs="Arial"/>
                      <w:szCs w:val="20"/>
                    </w:rPr>
                  </w:pPr>
                  <w:r w:rsidRPr="00F45CD9">
                    <w:rPr>
                      <w:rFonts w:cs="Arial"/>
                      <w:szCs w:val="20"/>
                    </w:rPr>
                    <w:t>Compliance</w:t>
                  </w:r>
                  <w:r>
                    <w:rPr>
                      <w:rFonts w:cs="Arial"/>
                      <w:szCs w:val="20"/>
                    </w:rPr>
                    <w:t xml:space="preserve"> and</w:t>
                  </w:r>
                  <w:r w:rsidRPr="00F45CD9">
                    <w:rPr>
                      <w:rFonts w:cs="Arial"/>
                      <w:szCs w:val="20"/>
                    </w:rPr>
                    <w:t xml:space="preserve"> </w:t>
                  </w:r>
                  <w:r>
                    <w:rPr>
                      <w:rFonts w:cs="Arial"/>
                      <w:szCs w:val="20"/>
                    </w:rPr>
                    <w:t>enforcement</w:t>
                  </w:r>
                </w:p>
              </w:tc>
              <w:tc>
                <w:tcPr>
                  <w:tcW w:w="982" w:type="pct"/>
                  <w:vAlign w:val="center"/>
                </w:tcPr>
                <w:p w:rsidR="004D27C2" w:rsidRDefault="004D27C2" w:rsidP="00F74ED0">
                  <w:pPr>
                    <w:keepNext/>
                    <w:jc w:val="right"/>
                    <w:rPr>
                      <w:rFonts w:cs="Arial"/>
                      <w:color w:val="000000"/>
                      <w:szCs w:val="20"/>
                    </w:rPr>
                  </w:pPr>
                  <w:r>
                    <w:rPr>
                      <w:rFonts w:cs="Arial"/>
                      <w:color w:val="000000"/>
                      <w:szCs w:val="20"/>
                    </w:rPr>
                    <w:t>$612,145</w:t>
                  </w:r>
                </w:p>
              </w:tc>
              <w:tc>
                <w:tcPr>
                  <w:tcW w:w="902" w:type="pct"/>
                  <w:vAlign w:val="center"/>
                </w:tcPr>
                <w:p w:rsidR="004D27C2" w:rsidRDefault="004D27C2" w:rsidP="00F74ED0">
                  <w:pPr>
                    <w:keepNext/>
                    <w:jc w:val="right"/>
                    <w:rPr>
                      <w:rFonts w:cs="Arial"/>
                      <w:color w:val="000000"/>
                      <w:szCs w:val="20"/>
                    </w:rPr>
                  </w:pPr>
                  <w:r>
                    <w:rPr>
                      <w:rFonts w:cs="Arial"/>
                      <w:color w:val="000000"/>
                      <w:szCs w:val="20"/>
                    </w:rPr>
                    <w:t>$661,850</w:t>
                  </w:r>
                </w:p>
              </w:tc>
              <w:tc>
                <w:tcPr>
                  <w:tcW w:w="827" w:type="pct"/>
                  <w:vAlign w:val="center"/>
                </w:tcPr>
                <w:p w:rsidR="004D27C2" w:rsidRDefault="004D27C2" w:rsidP="00F74ED0">
                  <w:pPr>
                    <w:keepNext/>
                    <w:jc w:val="right"/>
                    <w:rPr>
                      <w:rFonts w:cs="Arial"/>
                      <w:color w:val="000000"/>
                      <w:szCs w:val="20"/>
                    </w:rPr>
                  </w:pPr>
                  <w:r>
                    <w:rPr>
                      <w:rFonts w:cs="Arial"/>
                      <w:color w:val="000000"/>
                      <w:szCs w:val="20"/>
                    </w:rPr>
                    <w:t>$1,273,995</w:t>
                  </w:r>
                </w:p>
              </w:tc>
            </w:tr>
            <w:tr w:rsidR="004D27C2" w:rsidRPr="00B4771B" w:rsidTr="00070110">
              <w:trPr>
                <w:trHeight w:val="420"/>
              </w:trPr>
              <w:tc>
                <w:tcPr>
                  <w:tcW w:w="2289" w:type="pct"/>
                  <w:vAlign w:val="center"/>
                </w:tcPr>
                <w:p w:rsidR="004D27C2" w:rsidRPr="00F45CD9" w:rsidRDefault="004D27C2" w:rsidP="00070110">
                  <w:pPr>
                    <w:keepNext/>
                    <w:ind w:right="-142"/>
                    <w:rPr>
                      <w:rFonts w:cs="Arial"/>
                      <w:szCs w:val="20"/>
                    </w:rPr>
                  </w:pPr>
                  <w:r w:rsidRPr="00F45CD9">
                    <w:rPr>
                      <w:rFonts w:cs="Arial"/>
                      <w:szCs w:val="20"/>
                    </w:rPr>
                    <w:t>Licensing and allocation</w:t>
                  </w:r>
                </w:p>
              </w:tc>
              <w:tc>
                <w:tcPr>
                  <w:tcW w:w="982" w:type="pct"/>
                  <w:vAlign w:val="center"/>
                </w:tcPr>
                <w:p w:rsidR="004D27C2" w:rsidRDefault="004D27C2" w:rsidP="00F74ED0">
                  <w:pPr>
                    <w:keepNext/>
                    <w:jc w:val="right"/>
                    <w:rPr>
                      <w:rFonts w:cs="Arial"/>
                      <w:color w:val="000000"/>
                      <w:szCs w:val="20"/>
                    </w:rPr>
                  </w:pPr>
                  <w:r>
                    <w:rPr>
                      <w:rFonts w:cs="Arial"/>
                      <w:color w:val="000000"/>
                      <w:szCs w:val="20"/>
                    </w:rPr>
                    <w:t>$1,312,287</w:t>
                  </w:r>
                </w:p>
              </w:tc>
              <w:tc>
                <w:tcPr>
                  <w:tcW w:w="902" w:type="pct"/>
                  <w:vAlign w:val="center"/>
                </w:tcPr>
                <w:p w:rsidR="004D27C2" w:rsidRDefault="004D27C2" w:rsidP="00F74ED0">
                  <w:pPr>
                    <w:keepNext/>
                    <w:jc w:val="right"/>
                    <w:rPr>
                      <w:rFonts w:cs="Arial"/>
                      <w:color w:val="000000"/>
                      <w:szCs w:val="20"/>
                    </w:rPr>
                  </w:pPr>
                  <w:r>
                    <w:rPr>
                      <w:rFonts w:cs="Arial"/>
                      <w:color w:val="000000"/>
                      <w:szCs w:val="20"/>
                    </w:rPr>
                    <w:t>$1,264,756</w:t>
                  </w:r>
                </w:p>
              </w:tc>
              <w:tc>
                <w:tcPr>
                  <w:tcW w:w="827" w:type="pct"/>
                  <w:vAlign w:val="center"/>
                </w:tcPr>
                <w:p w:rsidR="004D27C2" w:rsidRDefault="004D27C2" w:rsidP="00F74ED0">
                  <w:pPr>
                    <w:keepNext/>
                    <w:jc w:val="right"/>
                    <w:rPr>
                      <w:rFonts w:cs="Arial"/>
                      <w:color w:val="000000"/>
                      <w:szCs w:val="20"/>
                    </w:rPr>
                  </w:pPr>
                  <w:r>
                    <w:rPr>
                      <w:rFonts w:cs="Arial"/>
                      <w:color w:val="000000"/>
                      <w:szCs w:val="20"/>
                    </w:rPr>
                    <w:t>$2,577,043</w:t>
                  </w:r>
                </w:p>
              </w:tc>
            </w:tr>
            <w:tr w:rsidR="004D27C2" w:rsidRPr="00B4771B" w:rsidTr="00070110">
              <w:trPr>
                <w:trHeight w:val="411"/>
              </w:trPr>
              <w:tc>
                <w:tcPr>
                  <w:tcW w:w="2289" w:type="pct"/>
                  <w:tcBorders>
                    <w:bottom w:val="single" w:sz="6" w:space="0" w:color="auto"/>
                  </w:tcBorders>
                  <w:vAlign w:val="center"/>
                </w:tcPr>
                <w:p w:rsidR="004D27C2" w:rsidRPr="00F45CD9" w:rsidRDefault="004D27C2" w:rsidP="00070110">
                  <w:pPr>
                    <w:keepNext/>
                    <w:ind w:right="-142"/>
                    <w:rPr>
                      <w:rFonts w:cs="Arial"/>
                      <w:szCs w:val="20"/>
                    </w:rPr>
                  </w:pPr>
                  <w:r w:rsidRPr="00F45CD9">
                    <w:rPr>
                      <w:rFonts w:cs="Arial"/>
                      <w:szCs w:val="20"/>
                    </w:rPr>
                    <w:t>Other activities</w:t>
                  </w:r>
                </w:p>
              </w:tc>
              <w:tc>
                <w:tcPr>
                  <w:tcW w:w="982" w:type="pct"/>
                  <w:tcBorders>
                    <w:bottom w:val="single" w:sz="6" w:space="0" w:color="auto"/>
                  </w:tcBorders>
                  <w:vAlign w:val="center"/>
                </w:tcPr>
                <w:p w:rsidR="004D27C2" w:rsidRDefault="004D27C2" w:rsidP="00F74ED0">
                  <w:pPr>
                    <w:keepNext/>
                    <w:jc w:val="right"/>
                    <w:rPr>
                      <w:rFonts w:cs="Arial"/>
                      <w:color w:val="000000"/>
                      <w:szCs w:val="20"/>
                    </w:rPr>
                  </w:pPr>
                  <w:r>
                    <w:rPr>
                      <w:rFonts w:cs="Arial"/>
                      <w:color w:val="000000"/>
                      <w:szCs w:val="20"/>
                    </w:rPr>
                    <w:t>$151,262</w:t>
                  </w:r>
                </w:p>
              </w:tc>
              <w:tc>
                <w:tcPr>
                  <w:tcW w:w="902" w:type="pct"/>
                  <w:tcBorders>
                    <w:bottom w:val="single" w:sz="6" w:space="0" w:color="auto"/>
                  </w:tcBorders>
                  <w:vAlign w:val="center"/>
                </w:tcPr>
                <w:p w:rsidR="004D27C2" w:rsidRDefault="004D27C2" w:rsidP="00F74ED0">
                  <w:pPr>
                    <w:keepNext/>
                    <w:jc w:val="right"/>
                    <w:rPr>
                      <w:rFonts w:cs="Arial"/>
                      <w:color w:val="000000"/>
                      <w:szCs w:val="20"/>
                    </w:rPr>
                  </w:pPr>
                  <w:r>
                    <w:rPr>
                      <w:rFonts w:cs="Arial"/>
                      <w:color w:val="000000"/>
                      <w:szCs w:val="20"/>
                    </w:rPr>
                    <w:t>$197,012</w:t>
                  </w:r>
                </w:p>
              </w:tc>
              <w:tc>
                <w:tcPr>
                  <w:tcW w:w="827" w:type="pct"/>
                  <w:tcBorders>
                    <w:bottom w:val="single" w:sz="6" w:space="0" w:color="auto"/>
                  </w:tcBorders>
                  <w:vAlign w:val="center"/>
                </w:tcPr>
                <w:p w:rsidR="004D27C2" w:rsidRDefault="004D27C2" w:rsidP="00F74ED0">
                  <w:pPr>
                    <w:keepNext/>
                    <w:jc w:val="right"/>
                    <w:rPr>
                      <w:rFonts w:cs="Arial"/>
                      <w:color w:val="000000"/>
                      <w:szCs w:val="20"/>
                    </w:rPr>
                  </w:pPr>
                  <w:r>
                    <w:rPr>
                      <w:rFonts w:cs="Arial"/>
                      <w:color w:val="000000"/>
                      <w:szCs w:val="20"/>
                    </w:rPr>
                    <w:t>$348,274</w:t>
                  </w:r>
                </w:p>
              </w:tc>
            </w:tr>
            <w:tr w:rsidR="004D27C2" w:rsidRPr="00B4771B" w:rsidTr="00070110">
              <w:trPr>
                <w:trHeight w:val="411"/>
              </w:trPr>
              <w:tc>
                <w:tcPr>
                  <w:tcW w:w="2289" w:type="pct"/>
                  <w:shd w:val="clear" w:color="auto" w:fill="D9D9D9" w:themeFill="background1" w:themeFillShade="D9"/>
                  <w:vAlign w:val="center"/>
                </w:tcPr>
                <w:p w:rsidR="004D27C2" w:rsidRPr="00F45CD9" w:rsidRDefault="004D27C2" w:rsidP="00070110">
                  <w:pPr>
                    <w:keepNext/>
                    <w:rPr>
                      <w:rFonts w:cs="Arial"/>
                      <w:b/>
                      <w:iCs/>
                      <w:color w:val="000000" w:themeColor="text1"/>
                      <w:szCs w:val="20"/>
                    </w:rPr>
                  </w:pPr>
                  <w:r w:rsidRPr="00F45CD9">
                    <w:rPr>
                      <w:rFonts w:cs="Arial"/>
                      <w:b/>
                      <w:iCs/>
                      <w:color w:val="000000" w:themeColor="text1"/>
                      <w:szCs w:val="20"/>
                    </w:rPr>
                    <w:t>Total costs</w:t>
                  </w:r>
                </w:p>
              </w:tc>
              <w:tc>
                <w:tcPr>
                  <w:tcW w:w="982"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$9,182,473</w:t>
                  </w:r>
                </w:p>
              </w:tc>
              <w:tc>
                <w:tcPr>
                  <w:tcW w:w="902"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$10,027,392</w:t>
                  </w:r>
                </w:p>
              </w:tc>
              <w:tc>
                <w:tcPr>
                  <w:tcW w:w="827"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$19,209,865</w:t>
                  </w:r>
                </w:p>
              </w:tc>
            </w:tr>
          </w:tbl>
          <w:p w:rsidR="004D27C2" w:rsidRDefault="004D27C2"/>
        </w:tc>
      </w:tr>
      <w:tr w:rsidR="004D27C2">
        <w:trPr>
          <w:trHeight w:val="291"/>
        </w:trPr>
        <w:tc>
          <w:tcPr>
            <w:tcW w:w="9645" w:type="dxa"/>
            <w:tcBorders>
              <w:bottom w:val="single" w:sz="2" w:space="0" w:color="505050"/>
            </w:tcBorders>
            <w:shd w:val="clear" w:color="auto" w:fill="auto"/>
          </w:tcPr>
          <w:p w:rsidR="004D27C2" w:rsidRDefault="004D27C2"/>
        </w:tc>
      </w:tr>
    </w:tbl>
    <w:p w:rsidR="00D71FD2" w:rsidRPr="005D0BC8" w:rsidRDefault="00D71FD2" w:rsidP="00CC3F4B">
      <w:pPr>
        <w:rPr>
          <w:highlight w:val="yellow"/>
        </w:rPr>
      </w:pPr>
    </w:p>
    <w:p w:rsidR="00D71FD2" w:rsidRPr="005D0BC8" w:rsidRDefault="00A84CBD" w:rsidP="00094042">
      <w:r w:rsidRPr="00A84CBD">
        <w:t>Direct costs are the costs directly incurred by the relevant line areas.</w:t>
      </w:r>
      <w:r w:rsidRPr="00A84CBD">
        <w:rPr>
          <w:rStyle w:val="FootnoteReference"/>
          <w:rFonts w:cs="Arial"/>
          <w:i/>
          <w:szCs w:val="20"/>
        </w:rPr>
        <w:footnoteReference w:id="13"/>
      </w:r>
      <w:r w:rsidRPr="00A84CBD">
        <w:t xml:space="preserve"> These costs are attributed to their activities on the basis of information provided via the agency wide survey which reflects the consumption of resources relevant to telecommunications functions and powers. Direct costs include direct staff salaries, and other expenses (for example, contractors, consultants, suppliers, office consumables, travel) in relation to the line areas in carrying out telecommunications activities. </w:t>
      </w:r>
    </w:p>
    <w:p w:rsidR="00D71FD2" w:rsidRPr="005D0BC8" w:rsidRDefault="00D71FD2" w:rsidP="00094042"/>
    <w:p w:rsidR="00D71FD2" w:rsidRPr="005D0BC8" w:rsidRDefault="0038187A" w:rsidP="00094042">
      <w:r>
        <w:t>T</w:t>
      </w:r>
      <w:r w:rsidR="00A84CBD" w:rsidRPr="00A84CBD">
        <w:t xml:space="preserve">he support costs are the costs incurred by the ACMA’s support services such as </w:t>
      </w:r>
      <w:r w:rsidR="007D032D">
        <w:t>information technology (</w:t>
      </w:r>
      <w:r w:rsidR="00A84CBD" w:rsidRPr="00A84CBD">
        <w:t>IT</w:t>
      </w:r>
      <w:r w:rsidR="007D032D">
        <w:t>)</w:t>
      </w:r>
      <w:r w:rsidR="00A84CBD" w:rsidRPr="00A84CBD">
        <w:t>, finance, human resources, facilities, legal and other corporate services. These costs are allocated to activities using a number of cost drivers which include average staffing levels, the number of desks, the value of assets and an estimation of consumption of resources to reflect the appropriate support costs. The costs include all support staff salaries and other expenses (for example, contractors, consultants, suppliers, depreciation, occupancy) in relation to corporate support services. </w:t>
      </w:r>
    </w:p>
    <w:p w:rsidR="00D71FD2" w:rsidRPr="005D0BC8" w:rsidRDefault="00D71FD2" w:rsidP="00D71FD2">
      <w:pPr>
        <w:pStyle w:val="BodyText"/>
        <w:spacing w:line="240" w:lineRule="atLeast"/>
        <w:ind w:left="1440" w:right="-142"/>
        <w:rPr>
          <w:rFonts w:cs="Arial"/>
          <w:i w:val="0"/>
          <w:color w:val="auto"/>
          <w:szCs w:val="20"/>
        </w:rPr>
      </w:pPr>
    </w:p>
    <w:p w:rsidR="00D71FD2" w:rsidRDefault="0038187A" w:rsidP="00094042">
      <w:r w:rsidRPr="00A84CBD">
        <w:t xml:space="preserve">The ACMA continues to contain costs, while providing improved services to the telecommunications industry and stakeholders. </w:t>
      </w:r>
      <w:r>
        <w:t>In doing so, t</w:t>
      </w:r>
      <w:r w:rsidR="00A84CBD" w:rsidRPr="00A84CBD">
        <w:t>he ACMA’s component has decreased by 8.8 per cent from the previous financial year (see Table 4). This is partly due to the streamlining of activities during a restructure within the ACMA</w:t>
      </w:r>
      <w:r w:rsidR="0084695A">
        <w:t>,</w:t>
      </w:r>
      <w:r w:rsidR="00A84CBD" w:rsidRPr="00A84CBD">
        <w:t xml:space="preserve"> following the transfer of telecommunications functions in relation to universal service obligations and national relay services to the TUSMA</w:t>
      </w:r>
      <w:r w:rsidR="0084695A">
        <w:t>,</w:t>
      </w:r>
      <w:r w:rsidR="00A84CBD" w:rsidRPr="00A84CBD">
        <w:t xml:space="preserve"> and partly due to the reduction in budget for the ACMA’s telecommunications activities. </w:t>
      </w:r>
    </w:p>
    <w:p w:rsidR="004D27C2" w:rsidRDefault="004D27C2" w:rsidP="00094042"/>
    <w:tbl>
      <w:tblPr>
        <w:tblW w:w="9645" w:type="dxa"/>
        <w:tblLayout w:type="fixed"/>
        <w:tblCellMar>
          <w:left w:w="0" w:type="dxa"/>
          <w:right w:w="0" w:type="dxa"/>
        </w:tblCellMar>
        <w:tblLook w:val="01E0" w:firstRow="1" w:lastRow="1" w:firstColumn="1" w:lastColumn="1" w:noHBand="0" w:noVBand="0"/>
      </w:tblPr>
      <w:tblGrid>
        <w:gridCol w:w="9645"/>
      </w:tblGrid>
      <w:tr w:rsidR="004D27C2">
        <w:trPr>
          <w:trHeight w:val="570"/>
        </w:trPr>
        <w:tc>
          <w:tcPr>
            <w:tcW w:w="9645" w:type="dxa"/>
            <w:tcBorders>
              <w:top w:val="single" w:sz="2" w:space="0" w:color="505050"/>
            </w:tcBorders>
            <w:shd w:val="clear" w:color="auto" w:fill="auto"/>
            <w:vAlign w:val="center"/>
          </w:tcPr>
          <w:p w:rsidR="004D27C2" w:rsidRPr="00A74B5E" w:rsidRDefault="004D27C2" w:rsidP="004D27C2">
            <w:pPr>
              <w:pStyle w:val="Caption"/>
              <w:keepNext/>
            </w:pPr>
            <w:r>
              <w:lastRenderedPageBreak/>
              <w:t xml:space="preserve">Table </w:t>
            </w:r>
            <w:fldSimple w:instr=" SEQ Table \* ARABIC ">
              <w:r>
                <w:rPr>
                  <w:noProof/>
                </w:rPr>
                <w:t>4</w:t>
              </w:r>
            </w:fldSimple>
            <w:r>
              <w:t xml:space="preserve"> </w:t>
            </w:r>
            <w:r w:rsidRPr="00F33E90">
              <w:t>The ACMA’s cost component</w:t>
            </w:r>
          </w:p>
        </w:tc>
      </w:tr>
      <w:tr w:rsidR="004D27C2" w:rsidTr="004D27C2">
        <w:trPr>
          <w:trHeight w:val="2692"/>
        </w:trPr>
        <w:tc>
          <w:tcPr>
            <w:tcW w:w="9645" w:type="dxa"/>
            <w:shd w:val="clear" w:color="auto" w:fill="auto"/>
            <w:tcMar>
              <w:left w:w="28" w:type="dxa"/>
            </w:tcMar>
          </w:tcPr>
          <w:tbl>
            <w:tblPr>
              <w:tblW w:w="45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80"/>
              <w:gridCol w:w="2597"/>
              <w:gridCol w:w="2597"/>
              <w:gridCol w:w="1267"/>
            </w:tblGrid>
            <w:tr w:rsidR="004D27C2" w:rsidRPr="004B029D" w:rsidTr="00070110">
              <w:trPr>
                <w:trHeight w:val="377"/>
              </w:trPr>
              <w:tc>
                <w:tcPr>
                  <w:tcW w:w="1261" w:type="pct"/>
                  <w:shd w:val="clear" w:color="auto" w:fill="404040" w:themeFill="text1" w:themeFillTint="BF"/>
                  <w:vAlign w:val="center"/>
                </w:tcPr>
                <w:p w:rsidR="004D27C2" w:rsidRPr="003A1B6D" w:rsidRDefault="004D27C2" w:rsidP="00070110">
                  <w:pPr>
                    <w:rPr>
                      <w:rFonts w:cs="Arial"/>
                      <w:b/>
                      <w:iCs/>
                      <w:color w:val="FFFFFF" w:themeColor="background1"/>
                      <w:szCs w:val="20"/>
                    </w:rPr>
                  </w:pPr>
                  <w:r w:rsidRPr="00A84CBD">
                    <w:rPr>
                      <w:rFonts w:cs="Arial"/>
                      <w:b/>
                      <w:iCs/>
                      <w:color w:val="FFFFFF" w:themeColor="background1"/>
                      <w:szCs w:val="20"/>
                    </w:rPr>
                    <w:t>Costs</w:t>
                  </w:r>
                </w:p>
              </w:tc>
              <w:tc>
                <w:tcPr>
                  <w:tcW w:w="1503" w:type="pct"/>
                  <w:shd w:val="clear" w:color="auto" w:fill="404040" w:themeFill="text1" w:themeFillTint="BF"/>
                  <w:vAlign w:val="center"/>
                </w:tcPr>
                <w:p w:rsidR="004D27C2" w:rsidRDefault="004D27C2" w:rsidP="004D27C2">
                  <w:pPr>
                    <w:rPr>
                      <w:rFonts w:cs="Arial"/>
                      <w:b/>
                      <w:iCs/>
                      <w:color w:val="FFFFFF" w:themeColor="background1"/>
                      <w:szCs w:val="20"/>
                    </w:rPr>
                  </w:pPr>
                  <w:r w:rsidRPr="00A84CBD">
                    <w:rPr>
                      <w:rFonts w:cs="Arial"/>
                      <w:b/>
                      <w:iCs/>
                      <w:color w:val="FFFFFF" w:themeColor="background1"/>
                      <w:szCs w:val="20"/>
                    </w:rPr>
                    <w:t>2013–14</w:t>
                  </w:r>
                </w:p>
                <w:p w:rsidR="004D27C2" w:rsidRDefault="004D27C2" w:rsidP="004D27C2">
                  <w:pPr>
                    <w:rPr>
                      <w:rFonts w:cs="Arial"/>
                      <w:b/>
                      <w:iCs/>
                      <w:color w:val="FFFFFF" w:themeColor="background1"/>
                      <w:szCs w:val="20"/>
                    </w:rPr>
                  </w:pPr>
                  <w:r w:rsidRPr="00A84CBD">
                    <w:rPr>
                      <w:rFonts w:cs="Arial"/>
                      <w:b/>
                      <w:iCs/>
                      <w:color w:val="FFFFFF" w:themeColor="background1"/>
                      <w:szCs w:val="20"/>
                    </w:rPr>
                    <w:t>Based on 2012–13 costs</w:t>
                  </w:r>
                </w:p>
              </w:tc>
              <w:tc>
                <w:tcPr>
                  <w:tcW w:w="1503" w:type="pct"/>
                  <w:tcBorders>
                    <w:top w:val="single" w:sz="6" w:space="0" w:color="auto"/>
                  </w:tcBorders>
                  <w:shd w:val="clear" w:color="auto" w:fill="404040" w:themeFill="text1" w:themeFillTint="BF"/>
                  <w:vAlign w:val="center"/>
                </w:tcPr>
                <w:p w:rsidR="004D27C2" w:rsidRDefault="004D27C2" w:rsidP="004D27C2">
                  <w:pPr>
                    <w:rPr>
                      <w:rFonts w:cs="Arial"/>
                      <w:b/>
                      <w:iCs/>
                      <w:color w:val="FFFFFF" w:themeColor="background1"/>
                      <w:szCs w:val="20"/>
                    </w:rPr>
                  </w:pPr>
                  <w:r w:rsidRPr="00A84CBD">
                    <w:rPr>
                      <w:rFonts w:cs="Arial"/>
                      <w:b/>
                      <w:iCs/>
                      <w:color w:val="FFFFFF" w:themeColor="background1"/>
                      <w:szCs w:val="20"/>
                    </w:rPr>
                    <w:t>2012–13</w:t>
                  </w:r>
                </w:p>
                <w:p w:rsidR="004D27C2" w:rsidRDefault="004D27C2" w:rsidP="004D27C2">
                  <w:pPr>
                    <w:rPr>
                      <w:rFonts w:cs="Arial"/>
                      <w:b/>
                      <w:iCs/>
                      <w:color w:val="FFFFFF" w:themeColor="background1"/>
                      <w:szCs w:val="20"/>
                    </w:rPr>
                  </w:pPr>
                  <w:r w:rsidRPr="00A84CBD">
                    <w:rPr>
                      <w:rFonts w:cs="Arial"/>
                      <w:b/>
                      <w:iCs/>
                      <w:color w:val="FFFFFF" w:themeColor="background1"/>
                      <w:szCs w:val="20"/>
                    </w:rPr>
                    <w:t>Based on 2011–12 costs</w:t>
                  </w:r>
                </w:p>
              </w:tc>
              <w:tc>
                <w:tcPr>
                  <w:tcW w:w="734" w:type="pct"/>
                  <w:tcBorders>
                    <w:top w:val="single" w:sz="6" w:space="0" w:color="auto"/>
                  </w:tcBorders>
                  <w:shd w:val="clear" w:color="auto" w:fill="404040" w:themeFill="text1" w:themeFillTint="BF"/>
                  <w:vAlign w:val="center"/>
                </w:tcPr>
                <w:p w:rsidR="004D27C2" w:rsidRDefault="004D27C2" w:rsidP="004D27C2">
                  <w:pPr>
                    <w:rPr>
                      <w:rFonts w:cs="Arial"/>
                      <w:b/>
                      <w:iCs/>
                      <w:color w:val="FFFFFF" w:themeColor="background1"/>
                      <w:szCs w:val="20"/>
                    </w:rPr>
                  </w:pPr>
                  <w:r w:rsidRPr="00A84CBD">
                    <w:rPr>
                      <w:rFonts w:cs="Arial"/>
                      <w:b/>
                      <w:iCs/>
                      <w:color w:val="FFFFFF" w:themeColor="background1"/>
                      <w:szCs w:val="20"/>
                    </w:rPr>
                    <w:t>% change*</w:t>
                  </w:r>
                </w:p>
              </w:tc>
            </w:tr>
            <w:tr w:rsidR="004D27C2" w:rsidRPr="004B029D" w:rsidTr="00070110">
              <w:trPr>
                <w:trHeight w:val="408"/>
              </w:trPr>
              <w:tc>
                <w:tcPr>
                  <w:tcW w:w="1261" w:type="pct"/>
                  <w:vAlign w:val="center"/>
                </w:tcPr>
                <w:p w:rsidR="004D27C2" w:rsidRDefault="004D27C2" w:rsidP="00070110">
                  <w:pPr>
                    <w:rPr>
                      <w:rFonts w:cs="Arial"/>
                      <w:color w:val="000000"/>
                      <w:szCs w:val="20"/>
                    </w:rPr>
                  </w:pPr>
                  <w:r>
                    <w:rPr>
                      <w:rFonts w:cs="Arial"/>
                      <w:color w:val="000000"/>
                      <w:szCs w:val="20"/>
                    </w:rPr>
                    <w:t>Employees</w:t>
                  </w:r>
                </w:p>
              </w:tc>
              <w:tc>
                <w:tcPr>
                  <w:tcW w:w="1503" w:type="pct"/>
                  <w:vAlign w:val="center"/>
                </w:tcPr>
                <w:p w:rsidR="004D27C2" w:rsidRDefault="004D27C2" w:rsidP="00F74ED0">
                  <w:pPr>
                    <w:jc w:val="right"/>
                    <w:rPr>
                      <w:rFonts w:cs="Arial"/>
                      <w:color w:val="000000"/>
                      <w:szCs w:val="20"/>
                    </w:rPr>
                  </w:pPr>
                  <w:r>
                    <w:rPr>
                      <w:rFonts w:cs="Arial"/>
                      <w:color w:val="000000"/>
                      <w:szCs w:val="20"/>
                    </w:rPr>
                    <w:t>$12,520,830</w:t>
                  </w:r>
                </w:p>
              </w:tc>
              <w:tc>
                <w:tcPr>
                  <w:tcW w:w="1503" w:type="pct"/>
                  <w:vAlign w:val="center"/>
                </w:tcPr>
                <w:p w:rsidR="004D27C2" w:rsidRDefault="004D27C2" w:rsidP="00F74ED0">
                  <w:pPr>
                    <w:jc w:val="right"/>
                    <w:rPr>
                      <w:rFonts w:cs="Arial"/>
                      <w:color w:val="000000"/>
                      <w:szCs w:val="20"/>
                    </w:rPr>
                  </w:pPr>
                  <w:r>
                    <w:rPr>
                      <w:rFonts w:cs="Arial"/>
                      <w:color w:val="000000"/>
                      <w:szCs w:val="20"/>
                    </w:rPr>
                    <w:t>$13,684,453</w:t>
                  </w:r>
                </w:p>
              </w:tc>
              <w:tc>
                <w:tcPr>
                  <w:tcW w:w="734" w:type="pct"/>
                  <w:vAlign w:val="center"/>
                </w:tcPr>
                <w:p w:rsidR="004D27C2" w:rsidRDefault="004D27C2" w:rsidP="00F74ED0">
                  <w:pPr>
                    <w:jc w:val="right"/>
                    <w:rPr>
                      <w:rFonts w:cs="Arial"/>
                      <w:color w:val="000000"/>
                      <w:szCs w:val="20"/>
                    </w:rPr>
                  </w:pPr>
                  <w:r>
                    <w:rPr>
                      <w:rFonts w:cs="Arial"/>
                      <w:color w:val="000000"/>
                      <w:szCs w:val="20"/>
                    </w:rPr>
                    <w:t>(8.5%)</w:t>
                  </w:r>
                </w:p>
              </w:tc>
            </w:tr>
            <w:tr w:rsidR="004D27C2" w:rsidRPr="004B029D" w:rsidTr="00070110">
              <w:trPr>
                <w:trHeight w:val="414"/>
              </w:trPr>
              <w:tc>
                <w:tcPr>
                  <w:tcW w:w="1261" w:type="pct"/>
                  <w:tcBorders>
                    <w:bottom w:val="single" w:sz="6" w:space="0" w:color="auto"/>
                  </w:tcBorders>
                  <w:vAlign w:val="center"/>
                </w:tcPr>
                <w:p w:rsidR="004D27C2" w:rsidRDefault="004D27C2" w:rsidP="00070110">
                  <w:pPr>
                    <w:rPr>
                      <w:rFonts w:cs="Arial"/>
                      <w:color w:val="000000"/>
                      <w:szCs w:val="20"/>
                    </w:rPr>
                  </w:pPr>
                  <w:r>
                    <w:rPr>
                      <w:rFonts w:cs="Arial"/>
                      <w:color w:val="000000"/>
                      <w:szCs w:val="20"/>
                    </w:rPr>
                    <w:t>Suppliers</w:t>
                  </w:r>
                </w:p>
              </w:tc>
              <w:tc>
                <w:tcPr>
                  <w:tcW w:w="1503" w:type="pct"/>
                  <w:tcBorders>
                    <w:bottom w:val="single" w:sz="6" w:space="0" w:color="auto"/>
                  </w:tcBorders>
                  <w:vAlign w:val="center"/>
                </w:tcPr>
                <w:p w:rsidR="004D27C2" w:rsidRDefault="004D27C2" w:rsidP="00F74ED0">
                  <w:pPr>
                    <w:jc w:val="right"/>
                    <w:rPr>
                      <w:rFonts w:cs="Arial"/>
                      <w:color w:val="000000"/>
                      <w:szCs w:val="20"/>
                    </w:rPr>
                  </w:pPr>
                  <w:r>
                    <w:rPr>
                      <w:rFonts w:cs="Arial"/>
                      <w:color w:val="000000"/>
                      <w:szCs w:val="20"/>
                    </w:rPr>
                    <w:t>$3,522,501</w:t>
                  </w:r>
                </w:p>
              </w:tc>
              <w:tc>
                <w:tcPr>
                  <w:tcW w:w="1503" w:type="pct"/>
                  <w:tcBorders>
                    <w:bottom w:val="single" w:sz="6" w:space="0" w:color="auto"/>
                  </w:tcBorders>
                  <w:vAlign w:val="center"/>
                </w:tcPr>
                <w:p w:rsidR="004D27C2" w:rsidRDefault="004D27C2" w:rsidP="00F74ED0">
                  <w:pPr>
                    <w:jc w:val="right"/>
                    <w:rPr>
                      <w:rFonts w:cs="Arial"/>
                      <w:color w:val="000000"/>
                      <w:szCs w:val="20"/>
                    </w:rPr>
                  </w:pPr>
                  <w:r>
                    <w:rPr>
                      <w:rFonts w:cs="Arial"/>
                      <w:color w:val="000000"/>
                      <w:szCs w:val="20"/>
                    </w:rPr>
                    <w:t>$4,000,071</w:t>
                  </w:r>
                </w:p>
              </w:tc>
              <w:tc>
                <w:tcPr>
                  <w:tcW w:w="734" w:type="pct"/>
                  <w:tcBorders>
                    <w:bottom w:val="single" w:sz="6" w:space="0" w:color="auto"/>
                  </w:tcBorders>
                  <w:vAlign w:val="center"/>
                </w:tcPr>
                <w:p w:rsidR="004D27C2" w:rsidRDefault="004D27C2" w:rsidP="00F74ED0">
                  <w:pPr>
                    <w:jc w:val="right"/>
                    <w:rPr>
                      <w:rFonts w:cs="Arial"/>
                      <w:color w:val="000000"/>
                      <w:szCs w:val="20"/>
                    </w:rPr>
                  </w:pPr>
                  <w:r>
                    <w:rPr>
                      <w:rFonts w:cs="Arial"/>
                      <w:color w:val="000000"/>
                      <w:szCs w:val="20"/>
                    </w:rPr>
                    <w:t>(11.9%)</w:t>
                  </w:r>
                </w:p>
              </w:tc>
            </w:tr>
            <w:tr w:rsidR="004D27C2" w:rsidRPr="004B029D" w:rsidTr="00070110">
              <w:trPr>
                <w:trHeight w:val="414"/>
              </w:trPr>
              <w:tc>
                <w:tcPr>
                  <w:tcW w:w="1261" w:type="pct"/>
                  <w:shd w:val="clear" w:color="auto" w:fill="D9D9D9" w:themeFill="background1" w:themeFillShade="D9"/>
                  <w:vAlign w:val="center"/>
                </w:tcPr>
                <w:p w:rsidR="004D27C2" w:rsidRDefault="004D27C2" w:rsidP="00070110">
                  <w:pPr>
                    <w:rPr>
                      <w:rFonts w:cs="Arial"/>
                      <w:b/>
                      <w:bCs/>
                      <w:color w:val="000000"/>
                      <w:szCs w:val="20"/>
                    </w:rPr>
                  </w:pPr>
                  <w:r>
                    <w:rPr>
                      <w:rFonts w:cs="Arial"/>
                      <w:b/>
                      <w:bCs/>
                      <w:color w:val="000000"/>
                      <w:szCs w:val="20"/>
                    </w:rPr>
                    <w:t>Total costs</w:t>
                  </w:r>
                </w:p>
              </w:tc>
              <w:tc>
                <w:tcPr>
                  <w:tcW w:w="1503" w:type="pct"/>
                  <w:shd w:val="clear" w:color="auto" w:fill="D9D9D9" w:themeFill="background1" w:themeFillShade="D9"/>
                  <w:vAlign w:val="center"/>
                </w:tcPr>
                <w:p w:rsidR="004D27C2" w:rsidRDefault="004D27C2" w:rsidP="00F74ED0">
                  <w:pPr>
                    <w:jc w:val="right"/>
                    <w:rPr>
                      <w:rFonts w:cs="Arial"/>
                      <w:b/>
                      <w:bCs/>
                      <w:color w:val="000000"/>
                      <w:szCs w:val="20"/>
                    </w:rPr>
                  </w:pPr>
                  <w:r>
                    <w:rPr>
                      <w:rFonts w:cs="Arial"/>
                      <w:b/>
                      <w:bCs/>
                      <w:color w:val="000000"/>
                      <w:szCs w:val="20"/>
                    </w:rPr>
                    <w:t>$16,043,330</w:t>
                  </w:r>
                </w:p>
              </w:tc>
              <w:tc>
                <w:tcPr>
                  <w:tcW w:w="1503" w:type="pct"/>
                  <w:shd w:val="clear" w:color="auto" w:fill="D9D9D9" w:themeFill="background1" w:themeFillShade="D9"/>
                  <w:vAlign w:val="center"/>
                </w:tcPr>
                <w:p w:rsidR="004D27C2" w:rsidRDefault="004D27C2" w:rsidP="00F74ED0">
                  <w:pPr>
                    <w:jc w:val="right"/>
                    <w:rPr>
                      <w:rFonts w:cs="Arial"/>
                      <w:b/>
                      <w:bCs/>
                      <w:color w:val="000000"/>
                      <w:szCs w:val="20"/>
                    </w:rPr>
                  </w:pPr>
                  <w:r>
                    <w:rPr>
                      <w:rFonts w:cs="Arial"/>
                      <w:b/>
                      <w:bCs/>
                      <w:color w:val="000000"/>
                      <w:szCs w:val="20"/>
                    </w:rPr>
                    <w:t>$17,684,524</w:t>
                  </w:r>
                </w:p>
              </w:tc>
              <w:tc>
                <w:tcPr>
                  <w:tcW w:w="734" w:type="pct"/>
                  <w:shd w:val="clear" w:color="auto" w:fill="D9D9D9" w:themeFill="background1" w:themeFillShade="D9"/>
                  <w:vAlign w:val="center"/>
                </w:tcPr>
                <w:p w:rsidR="004D27C2" w:rsidRDefault="004D27C2" w:rsidP="00F74ED0">
                  <w:pPr>
                    <w:jc w:val="right"/>
                    <w:rPr>
                      <w:rFonts w:cs="Arial"/>
                      <w:color w:val="000000"/>
                      <w:szCs w:val="20"/>
                    </w:rPr>
                  </w:pPr>
                  <w:r>
                    <w:rPr>
                      <w:rFonts w:cs="Arial"/>
                      <w:color w:val="000000"/>
                      <w:szCs w:val="20"/>
                    </w:rPr>
                    <w:t>(9.3%)</w:t>
                  </w:r>
                </w:p>
              </w:tc>
            </w:tr>
            <w:tr w:rsidR="004D27C2" w:rsidRPr="004B029D" w:rsidTr="00070110">
              <w:trPr>
                <w:trHeight w:val="420"/>
              </w:trPr>
              <w:tc>
                <w:tcPr>
                  <w:tcW w:w="1261" w:type="pct"/>
                  <w:tcBorders>
                    <w:bottom w:val="single" w:sz="6" w:space="0" w:color="auto"/>
                  </w:tcBorders>
                  <w:vAlign w:val="center"/>
                </w:tcPr>
                <w:p w:rsidR="004D27C2" w:rsidRDefault="004D27C2" w:rsidP="00070110">
                  <w:pPr>
                    <w:rPr>
                      <w:rFonts w:cs="Arial"/>
                      <w:color w:val="000000"/>
                      <w:szCs w:val="20"/>
                    </w:rPr>
                  </w:pPr>
                  <w:r>
                    <w:rPr>
                      <w:rFonts w:cs="Arial"/>
                      <w:color w:val="000000"/>
                      <w:szCs w:val="20"/>
                    </w:rPr>
                    <w:t>Overheads</w:t>
                  </w:r>
                </w:p>
              </w:tc>
              <w:tc>
                <w:tcPr>
                  <w:tcW w:w="1503" w:type="pct"/>
                  <w:tcBorders>
                    <w:bottom w:val="single" w:sz="6" w:space="0" w:color="auto"/>
                  </w:tcBorders>
                  <w:vAlign w:val="center"/>
                </w:tcPr>
                <w:p w:rsidR="004D27C2" w:rsidRDefault="004D27C2" w:rsidP="00F74ED0">
                  <w:pPr>
                    <w:jc w:val="right"/>
                    <w:rPr>
                      <w:rFonts w:cs="Arial"/>
                      <w:color w:val="000000"/>
                      <w:szCs w:val="20"/>
                    </w:rPr>
                  </w:pPr>
                  <w:r>
                    <w:rPr>
                      <w:rFonts w:cs="Arial"/>
                      <w:color w:val="000000"/>
                      <w:szCs w:val="20"/>
                    </w:rPr>
                    <w:t>$3,166,535</w:t>
                  </w:r>
                </w:p>
              </w:tc>
              <w:tc>
                <w:tcPr>
                  <w:tcW w:w="1503" w:type="pct"/>
                  <w:tcBorders>
                    <w:bottom w:val="single" w:sz="6" w:space="0" w:color="auto"/>
                  </w:tcBorders>
                  <w:vAlign w:val="center"/>
                </w:tcPr>
                <w:p w:rsidR="004D27C2" w:rsidRDefault="004D27C2" w:rsidP="00F74ED0">
                  <w:pPr>
                    <w:jc w:val="right"/>
                    <w:rPr>
                      <w:rFonts w:cs="Arial"/>
                      <w:color w:val="000000"/>
                      <w:szCs w:val="20"/>
                    </w:rPr>
                  </w:pPr>
                  <w:r>
                    <w:rPr>
                      <w:rFonts w:cs="Arial"/>
                      <w:color w:val="000000"/>
                      <w:szCs w:val="20"/>
                    </w:rPr>
                    <w:t>$3,368,481</w:t>
                  </w:r>
                </w:p>
              </w:tc>
              <w:tc>
                <w:tcPr>
                  <w:tcW w:w="734" w:type="pct"/>
                  <w:tcBorders>
                    <w:bottom w:val="single" w:sz="6" w:space="0" w:color="auto"/>
                  </w:tcBorders>
                  <w:vAlign w:val="center"/>
                </w:tcPr>
                <w:p w:rsidR="004D27C2" w:rsidRDefault="004D27C2" w:rsidP="00F74ED0">
                  <w:pPr>
                    <w:jc w:val="right"/>
                    <w:rPr>
                      <w:rFonts w:cs="Arial"/>
                      <w:color w:val="000000"/>
                      <w:szCs w:val="20"/>
                    </w:rPr>
                  </w:pPr>
                  <w:r>
                    <w:rPr>
                      <w:rFonts w:cs="Arial"/>
                      <w:color w:val="000000"/>
                      <w:szCs w:val="20"/>
                    </w:rPr>
                    <w:t>(6.0%)</w:t>
                  </w:r>
                </w:p>
              </w:tc>
            </w:tr>
            <w:tr w:rsidR="004D27C2" w:rsidRPr="004B029D" w:rsidTr="00070110">
              <w:trPr>
                <w:trHeight w:val="411"/>
              </w:trPr>
              <w:tc>
                <w:tcPr>
                  <w:tcW w:w="1261" w:type="pct"/>
                  <w:shd w:val="clear" w:color="auto" w:fill="D9D9D9" w:themeFill="background1" w:themeFillShade="D9"/>
                  <w:vAlign w:val="center"/>
                </w:tcPr>
                <w:p w:rsidR="004D27C2" w:rsidRDefault="004D27C2" w:rsidP="00070110">
                  <w:pPr>
                    <w:rPr>
                      <w:rFonts w:cs="Arial"/>
                      <w:b/>
                      <w:bCs/>
                      <w:color w:val="000000"/>
                      <w:szCs w:val="20"/>
                    </w:rPr>
                  </w:pPr>
                  <w:r>
                    <w:rPr>
                      <w:rFonts w:cs="Arial"/>
                      <w:b/>
                      <w:bCs/>
                      <w:color w:val="000000"/>
                      <w:szCs w:val="20"/>
                    </w:rPr>
                    <w:t>Total ACMA costs</w:t>
                  </w:r>
                </w:p>
              </w:tc>
              <w:tc>
                <w:tcPr>
                  <w:tcW w:w="1503" w:type="pct"/>
                  <w:shd w:val="clear" w:color="auto" w:fill="D9D9D9" w:themeFill="background1" w:themeFillShade="D9"/>
                  <w:vAlign w:val="center"/>
                </w:tcPr>
                <w:p w:rsidR="004D27C2" w:rsidRDefault="004D27C2" w:rsidP="00F74ED0">
                  <w:pPr>
                    <w:jc w:val="right"/>
                    <w:rPr>
                      <w:rFonts w:cs="Arial"/>
                      <w:b/>
                      <w:bCs/>
                      <w:color w:val="000000"/>
                      <w:szCs w:val="20"/>
                    </w:rPr>
                  </w:pPr>
                  <w:r>
                    <w:rPr>
                      <w:rFonts w:cs="Arial"/>
                      <w:b/>
                      <w:bCs/>
                      <w:color w:val="000000"/>
                      <w:szCs w:val="20"/>
                    </w:rPr>
                    <w:t>$19,209,865</w:t>
                  </w:r>
                </w:p>
              </w:tc>
              <w:tc>
                <w:tcPr>
                  <w:tcW w:w="1503" w:type="pct"/>
                  <w:shd w:val="clear" w:color="auto" w:fill="D9D9D9" w:themeFill="background1" w:themeFillShade="D9"/>
                  <w:vAlign w:val="center"/>
                </w:tcPr>
                <w:p w:rsidR="004D27C2" w:rsidRDefault="004D27C2" w:rsidP="00F74ED0">
                  <w:pPr>
                    <w:jc w:val="right"/>
                    <w:rPr>
                      <w:rFonts w:cs="Arial"/>
                      <w:b/>
                      <w:bCs/>
                      <w:color w:val="000000"/>
                      <w:szCs w:val="20"/>
                    </w:rPr>
                  </w:pPr>
                  <w:r>
                    <w:rPr>
                      <w:rFonts w:cs="Arial"/>
                      <w:b/>
                      <w:bCs/>
                      <w:color w:val="000000"/>
                      <w:szCs w:val="20"/>
                    </w:rPr>
                    <w:t>$21,053,005</w:t>
                  </w:r>
                </w:p>
              </w:tc>
              <w:tc>
                <w:tcPr>
                  <w:tcW w:w="734" w:type="pct"/>
                  <w:shd w:val="clear" w:color="auto" w:fill="D9D9D9" w:themeFill="background1" w:themeFillShade="D9"/>
                  <w:vAlign w:val="center"/>
                </w:tcPr>
                <w:p w:rsidR="004D27C2" w:rsidRDefault="004D27C2" w:rsidP="00F74ED0">
                  <w:pPr>
                    <w:jc w:val="right"/>
                    <w:rPr>
                      <w:rFonts w:cs="Arial"/>
                      <w:color w:val="000000"/>
                      <w:szCs w:val="20"/>
                    </w:rPr>
                  </w:pPr>
                  <w:r>
                    <w:rPr>
                      <w:rFonts w:cs="Arial"/>
                      <w:color w:val="000000"/>
                      <w:szCs w:val="20"/>
                    </w:rPr>
                    <w:t>(8.8%)</w:t>
                  </w:r>
                </w:p>
              </w:tc>
            </w:tr>
          </w:tbl>
          <w:p w:rsidR="004D27C2" w:rsidRDefault="004D27C2"/>
        </w:tc>
      </w:tr>
      <w:tr w:rsidR="004D27C2">
        <w:trPr>
          <w:trHeight w:val="291"/>
        </w:trPr>
        <w:tc>
          <w:tcPr>
            <w:tcW w:w="9645" w:type="dxa"/>
            <w:tcBorders>
              <w:bottom w:val="single" w:sz="2" w:space="0" w:color="505050"/>
            </w:tcBorders>
            <w:shd w:val="clear" w:color="auto" w:fill="auto"/>
          </w:tcPr>
          <w:p w:rsidR="004D27C2" w:rsidRPr="00F7198B" w:rsidRDefault="00F7198B">
            <w:pPr>
              <w:rPr>
                <w:i/>
              </w:rPr>
            </w:pPr>
            <w:r w:rsidRPr="00F7198B">
              <w:rPr>
                <w:rFonts w:cs="Arial"/>
                <w:i/>
                <w:sz w:val="16"/>
                <w:szCs w:val="16"/>
              </w:rPr>
              <w:t>*increase/(decrease)</w:t>
            </w:r>
          </w:p>
        </w:tc>
      </w:tr>
    </w:tbl>
    <w:p w:rsidR="004D27C2" w:rsidRPr="005D0BC8" w:rsidRDefault="004D27C2" w:rsidP="00094042"/>
    <w:p w:rsidR="00D71FD2" w:rsidRPr="00094042" w:rsidRDefault="00A84CBD" w:rsidP="00094042">
      <w:r w:rsidRPr="00094042">
        <w:t>The ACLC does not include the costs associated with the telecommunications activities listed in Attachment B, as they are either budget</w:t>
      </w:r>
      <w:r w:rsidR="003A1B6D" w:rsidRPr="00094042">
        <w:t>-</w:t>
      </w:r>
      <w:r w:rsidRPr="00094042">
        <w:t>funded or delivered on a fee</w:t>
      </w:r>
      <w:r w:rsidR="003A1B6D" w:rsidRPr="00094042">
        <w:t>-</w:t>
      </w:r>
      <w:r w:rsidRPr="00094042">
        <w:t>for</w:t>
      </w:r>
      <w:r w:rsidR="003A1B6D" w:rsidRPr="00094042">
        <w:t>-</w:t>
      </w:r>
      <w:r w:rsidRPr="00094042">
        <w:t>service basis. The ACMA has not budgeted for any additional activities that relate to telecommunications functions and powers for the financial year 2013–14. Given that the running costs of the ACMA continue to be reduced, the level of expenditure that is to be recovered via the ACLC for the next financial year is also not expected to change significantly.</w:t>
      </w:r>
    </w:p>
    <w:p w:rsidR="00D71FD2" w:rsidRPr="005D0BC8" w:rsidRDefault="00D71FD2" w:rsidP="00D71FD2">
      <w:pPr>
        <w:pStyle w:val="BodyText"/>
        <w:spacing w:line="240" w:lineRule="atLeast"/>
        <w:ind w:left="1440" w:right="-142"/>
        <w:rPr>
          <w:rFonts w:cs="Arial"/>
          <w:i w:val="0"/>
          <w:color w:val="auto"/>
          <w:szCs w:val="20"/>
          <w:u w:val="single"/>
        </w:rPr>
      </w:pPr>
    </w:p>
    <w:p w:rsidR="00094042" w:rsidRDefault="00A84CBD" w:rsidP="00CC3F4B">
      <w:pPr>
        <w:pStyle w:val="ListNumber"/>
        <w:rPr>
          <w:rFonts w:cs="Arial"/>
          <w:szCs w:val="20"/>
          <w:u w:val="single"/>
        </w:rPr>
      </w:pPr>
      <w:r w:rsidRPr="00CC3F4B">
        <w:rPr>
          <w:b/>
        </w:rPr>
        <w:t>Determination of cost component under paragraph 15(1)(b) of the Act—the ACCC’s costs</w:t>
      </w:r>
    </w:p>
    <w:p w:rsidR="00D71FD2" w:rsidRPr="005D0BC8" w:rsidRDefault="00A84CBD" w:rsidP="00094042">
      <w:r w:rsidRPr="00A84CBD">
        <w:t>The ACCC makes a written determination annually under paragraph 15(1</w:t>
      </w:r>
      <w:proofErr w:type="gramStart"/>
      <w:r w:rsidRPr="00A84CBD">
        <w:t>)(</w:t>
      </w:r>
      <w:proofErr w:type="gramEnd"/>
      <w:r w:rsidRPr="00A84CBD">
        <w:t xml:space="preserve">b) of the Act, which sets the proportion of its costs attributable to the telecommunications functions and powers of the ACCC in the immediately preceding financial year (that is, 2013-14 ACLC component for the purposes of this CRIS). The ACCC’s telecommunications functions and powers are defined by section 7 of the </w:t>
      </w:r>
      <w:r w:rsidRPr="00094042">
        <w:rPr>
          <w:i/>
        </w:rPr>
        <w:t>Telecommunications Act 1997</w:t>
      </w:r>
      <w:r w:rsidRPr="00A84CBD">
        <w:t>.</w:t>
      </w:r>
    </w:p>
    <w:p w:rsidR="00D71FD2" w:rsidRPr="005D0BC8" w:rsidRDefault="00D71FD2" w:rsidP="00094042"/>
    <w:p w:rsidR="00D71FD2" w:rsidRPr="005D0BC8" w:rsidRDefault="00A84CBD" w:rsidP="00521770">
      <w:r w:rsidRPr="00A84CBD">
        <w:t>Along with the ACMA, the ACCC has commenced significant work in relation to the establishment of regulatory arrangements for the NBN. As mentioned in section 2.1 of the CRIS, this work will include competition analysis and monitoring, including regularly monitoring the level of transmission services provided by other wholesale providers to NBN Co points of interconnect, and setting appropriate benchmarks for transmission services to facilitate retail service providers’ access to uniform national wholesale prices.</w:t>
      </w:r>
      <w:r w:rsidR="00521770">
        <w:t xml:space="preserve"> </w:t>
      </w:r>
      <w:r w:rsidRPr="00A84CBD">
        <w:t>The ACCC’s other activities funded through the ACLC relate to:</w:t>
      </w:r>
    </w:p>
    <w:p w:rsidR="00094042" w:rsidRDefault="00A84CBD" w:rsidP="00094042">
      <w:pPr>
        <w:pStyle w:val="ListBullet"/>
      </w:pPr>
      <w:r w:rsidRPr="00A84CBD">
        <w:t>complaints investigations relating to anti-competitive behaviour in the communications sector</w:t>
      </w:r>
    </w:p>
    <w:p w:rsidR="00094042" w:rsidRDefault="00A84CBD" w:rsidP="00094042">
      <w:pPr>
        <w:pStyle w:val="ListBullet"/>
      </w:pPr>
      <w:r w:rsidRPr="00A84CBD">
        <w:t>compliance monitoring activities, which include Telstra’s compliance with its Operational Separation Plan</w:t>
      </w:r>
    </w:p>
    <w:p w:rsidR="00094042" w:rsidRDefault="00A84CBD" w:rsidP="00094042">
      <w:pPr>
        <w:pStyle w:val="ListBullet"/>
        <w:spacing w:after="240"/>
      </w:pPr>
      <w:proofErr w:type="gramStart"/>
      <w:r w:rsidRPr="00A84CBD">
        <w:t>regulated</w:t>
      </w:r>
      <w:proofErr w:type="gramEnd"/>
      <w:r w:rsidRPr="00A84CBD">
        <w:t xml:space="preserve"> transmission, fixed line and mobile services.</w:t>
      </w:r>
    </w:p>
    <w:p w:rsidR="00D71FD2" w:rsidRPr="005D0BC8" w:rsidRDefault="00A84CBD" w:rsidP="00094042">
      <w:r w:rsidRPr="00A84CBD">
        <w:t xml:space="preserve">Further information about the ACCC’s activities can be found </w:t>
      </w:r>
      <w:r w:rsidRPr="00094042">
        <w:t xml:space="preserve">at </w:t>
      </w:r>
      <w:hyperlink r:id="rId26" w:history="1">
        <w:r w:rsidRPr="00094042">
          <w:rPr>
            <w:rStyle w:val="Hyperlink"/>
            <w:rFonts w:cs="Arial"/>
            <w:szCs w:val="20"/>
          </w:rPr>
          <w:t>www.accc.gov.au</w:t>
        </w:r>
      </w:hyperlink>
      <w:r w:rsidRPr="00A84CBD">
        <w:t>.</w:t>
      </w:r>
    </w:p>
    <w:p w:rsidR="00D71FD2" w:rsidRPr="005D0BC8" w:rsidRDefault="00D71FD2" w:rsidP="00094042"/>
    <w:p w:rsidR="00094042" w:rsidRDefault="00A84CBD" w:rsidP="00094042">
      <w:pPr>
        <w:spacing w:after="80"/>
      </w:pPr>
      <w:r w:rsidRPr="00A84CBD">
        <w:t>The ACCC’s direct costs are the costs directly incurred by the line areas involved with carrying out the activities. These costs include staff salaries and other expenses in relation to the line areas in carrying out telecommunications activities. Direct cost</w:t>
      </w:r>
      <w:r w:rsidR="00C32F1F">
        <w:t>s are derived from</w:t>
      </w:r>
      <w:r w:rsidRPr="00A84CBD">
        <w:t xml:space="preserve"> the following areas:</w:t>
      </w:r>
    </w:p>
    <w:p w:rsidR="00094042" w:rsidRDefault="00C32F1F" w:rsidP="00094042">
      <w:pPr>
        <w:pStyle w:val="ListBullet"/>
      </w:pPr>
      <w:r>
        <w:t>c</w:t>
      </w:r>
      <w:r w:rsidR="00A84CBD" w:rsidRPr="00A84CBD">
        <w:t xml:space="preserve">ommunications </w:t>
      </w:r>
      <w:r>
        <w:t>g</w:t>
      </w:r>
      <w:r w:rsidR="00A84CBD" w:rsidRPr="00A84CBD">
        <w:t>roup</w:t>
      </w:r>
    </w:p>
    <w:p w:rsidR="00094042" w:rsidRDefault="00C32F1F" w:rsidP="00094042">
      <w:pPr>
        <w:pStyle w:val="ListBullet"/>
      </w:pPr>
      <w:r>
        <w:t>c</w:t>
      </w:r>
      <w:r w:rsidR="00A84CBD" w:rsidRPr="00A84CBD">
        <w:t xml:space="preserve">onvergence and </w:t>
      </w:r>
      <w:r>
        <w:t>m</w:t>
      </w:r>
      <w:r w:rsidR="00A84CBD" w:rsidRPr="00A84CBD">
        <w:t>obility</w:t>
      </w:r>
    </w:p>
    <w:p w:rsidR="00094042" w:rsidRDefault="00C32F1F" w:rsidP="00094042">
      <w:pPr>
        <w:pStyle w:val="ListBullet"/>
      </w:pPr>
      <w:r>
        <w:t>a</w:t>
      </w:r>
      <w:r w:rsidR="00A84CBD" w:rsidRPr="00A84CBD">
        <w:t xml:space="preserve">ccess </w:t>
      </w:r>
      <w:r>
        <w:t>o</w:t>
      </w:r>
      <w:r w:rsidR="00A84CBD" w:rsidRPr="00A84CBD">
        <w:t xml:space="preserve">perations and </w:t>
      </w:r>
      <w:r>
        <w:t>p</w:t>
      </w:r>
      <w:r w:rsidR="00A84CBD" w:rsidRPr="00A84CBD">
        <w:t>ricing</w:t>
      </w:r>
    </w:p>
    <w:p w:rsidR="00094042" w:rsidRDefault="00A84CBD" w:rsidP="00094042">
      <w:pPr>
        <w:pStyle w:val="ListBullet"/>
      </w:pPr>
      <w:r w:rsidRPr="00A84CBD">
        <w:lastRenderedPageBreak/>
        <w:t xml:space="preserve">NBN </w:t>
      </w:r>
      <w:r w:rsidR="00C32F1F">
        <w:t>e</w:t>
      </w:r>
      <w:r w:rsidRPr="00A84CBD">
        <w:t xml:space="preserve">ngagement and </w:t>
      </w:r>
      <w:r w:rsidR="00C32F1F">
        <w:t>g</w:t>
      </w:r>
      <w:r w:rsidRPr="00A84CBD">
        <w:t xml:space="preserve">roup </w:t>
      </w:r>
      <w:r w:rsidR="00C32F1F">
        <w:t>c</w:t>
      </w:r>
      <w:r w:rsidRPr="00A84CBD">
        <w:t>oordination</w:t>
      </w:r>
    </w:p>
    <w:p w:rsidR="00094042" w:rsidRDefault="00C32F1F" w:rsidP="00094042">
      <w:pPr>
        <w:pStyle w:val="ListBullet"/>
        <w:spacing w:after="240"/>
      </w:pPr>
      <w:proofErr w:type="gramStart"/>
      <w:r>
        <w:t>i</w:t>
      </w:r>
      <w:r w:rsidR="00A84CBD" w:rsidRPr="00A84CBD">
        <w:t>ndustry</w:t>
      </w:r>
      <w:proofErr w:type="gramEnd"/>
      <w:r w:rsidR="00A84CBD" w:rsidRPr="00A84CBD">
        <w:t xml:space="preserve"> </w:t>
      </w:r>
      <w:r>
        <w:t>s</w:t>
      </w:r>
      <w:r w:rsidR="00A84CBD" w:rsidRPr="00A84CBD">
        <w:t xml:space="preserve">tructure and </w:t>
      </w:r>
      <w:r>
        <w:t>c</w:t>
      </w:r>
      <w:r w:rsidR="00A84CBD" w:rsidRPr="00A84CBD">
        <w:t>ompliance.</w:t>
      </w:r>
    </w:p>
    <w:p w:rsidR="00D71FD2" w:rsidRDefault="00A84CBD" w:rsidP="00094042">
      <w:r w:rsidRPr="00A84CBD">
        <w:t>The ACCC’s support costs are the costs incurred by the ACCC’s corporate divisions including Finance, Human Resources, Legal, Property, IT, Regulatory Affairs Divisions and Legal Group. These costs include staff salaries and other expenses in relation to the ACCC’s corporate activities. Support costs are allocated based on specific cost drivers as shown in Table 5 below:</w:t>
      </w:r>
    </w:p>
    <w:p w:rsidR="004D27C2" w:rsidRDefault="004D27C2" w:rsidP="00094042"/>
    <w:tbl>
      <w:tblPr>
        <w:tblW w:w="9645" w:type="dxa"/>
        <w:tblLayout w:type="fixed"/>
        <w:tblCellMar>
          <w:left w:w="0" w:type="dxa"/>
          <w:right w:w="0" w:type="dxa"/>
        </w:tblCellMar>
        <w:tblLook w:val="01E0" w:firstRow="1" w:lastRow="1" w:firstColumn="1" w:lastColumn="1" w:noHBand="0" w:noVBand="0"/>
      </w:tblPr>
      <w:tblGrid>
        <w:gridCol w:w="9645"/>
      </w:tblGrid>
      <w:tr w:rsidR="004D27C2">
        <w:trPr>
          <w:trHeight w:val="570"/>
        </w:trPr>
        <w:tc>
          <w:tcPr>
            <w:tcW w:w="9645" w:type="dxa"/>
            <w:tcBorders>
              <w:top w:val="single" w:sz="2" w:space="0" w:color="505050"/>
            </w:tcBorders>
            <w:shd w:val="clear" w:color="auto" w:fill="auto"/>
            <w:vAlign w:val="center"/>
          </w:tcPr>
          <w:p w:rsidR="004D27C2" w:rsidRPr="00A74B5E" w:rsidRDefault="004D27C2">
            <w:pPr>
              <w:pStyle w:val="Caption"/>
            </w:pPr>
            <w:r>
              <w:t xml:space="preserve">Table </w:t>
            </w:r>
            <w:fldSimple w:instr=" SEQ Table \* ARABIC ">
              <w:r>
                <w:rPr>
                  <w:noProof/>
                </w:rPr>
                <w:t>5</w:t>
              </w:r>
            </w:fldSimple>
            <w:r>
              <w:t xml:space="preserve"> </w:t>
            </w:r>
            <w:r w:rsidRPr="00551EC3">
              <w:t xml:space="preserve">Allocation of </w:t>
            </w:r>
            <w:r>
              <w:t xml:space="preserve">the ACCC’s </w:t>
            </w:r>
            <w:r w:rsidRPr="00551EC3">
              <w:t>support costs</w:t>
            </w:r>
          </w:p>
        </w:tc>
      </w:tr>
      <w:tr w:rsidR="004D27C2">
        <w:trPr>
          <w:trHeight w:val="3086"/>
        </w:trPr>
        <w:tc>
          <w:tcPr>
            <w:tcW w:w="9645" w:type="dxa"/>
            <w:shd w:val="clear" w:color="auto" w:fill="auto"/>
            <w:tcMar>
              <w:left w:w="28" w:type="dxa"/>
            </w:tcMar>
          </w:tcPr>
          <w:tbl>
            <w:tblPr>
              <w:tblStyle w:val="TableGrid"/>
              <w:tblW w:w="8647" w:type="dxa"/>
              <w:tblLayout w:type="fixed"/>
              <w:tblLook w:val="04A0" w:firstRow="1" w:lastRow="0" w:firstColumn="1" w:lastColumn="0" w:noHBand="0" w:noVBand="1"/>
            </w:tblPr>
            <w:tblGrid>
              <w:gridCol w:w="2803"/>
              <w:gridCol w:w="5844"/>
            </w:tblGrid>
            <w:tr w:rsidR="004D27C2" w:rsidTr="00070110">
              <w:tc>
                <w:tcPr>
                  <w:tcW w:w="2803" w:type="dxa"/>
                  <w:shd w:val="clear" w:color="auto" w:fill="404040" w:themeFill="text1" w:themeFillTint="BF"/>
                </w:tcPr>
                <w:p w:rsidR="004D27C2" w:rsidRDefault="004D27C2" w:rsidP="00070110">
                  <w:pPr>
                    <w:pStyle w:val="BodyText"/>
                    <w:spacing w:line="240" w:lineRule="atLeast"/>
                    <w:ind w:right="-142"/>
                    <w:rPr>
                      <w:rFonts w:cs="Arial"/>
                      <w:b/>
                      <w:i w:val="0"/>
                      <w:color w:val="FFFFFF" w:themeColor="background1"/>
                    </w:rPr>
                  </w:pPr>
                  <w:r w:rsidRPr="00A84CBD">
                    <w:rPr>
                      <w:rFonts w:cs="Arial"/>
                      <w:b/>
                      <w:i w:val="0"/>
                      <w:color w:val="FFFFFF" w:themeColor="background1"/>
                    </w:rPr>
                    <w:t>Category</w:t>
                  </w:r>
                </w:p>
              </w:tc>
              <w:tc>
                <w:tcPr>
                  <w:tcW w:w="5844" w:type="dxa"/>
                  <w:shd w:val="clear" w:color="auto" w:fill="404040" w:themeFill="text1" w:themeFillTint="BF"/>
                  <w:vAlign w:val="center"/>
                </w:tcPr>
                <w:p w:rsidR="004D27C2" w:rsidRDefault="004D27C2" w:rsidP="00070110">
                  <w:pPr>
                    <w:pStyle w:val="BodyText"/>
                    <w:spacing w:line="240" w:lineRule="atLeast"/>
                    <w:ind w:right="-142"/>
                    <w:rPr>
                      <w:rFonts w:cs="Arial"/>
                      <w:b/>
                      <w:i w:val="0"/>
                      <w:color w:val="FFFFFF" w:themeColor="background1"/>
                    </w:rPr>
                  </w:pPr>
                  <w:r w:rsidRPr="00A84CBD">
                    <w:rPr>
                      <w:rFonts w:cs="Arial"/>
                      <w:b/>
                      <w:i w:val="0"/>
                      <w:color w:val="FFFFFF" w:themeColor="background1"/>
                    </w:rPr>
                    <w:t>Allocation method</w:t>
                  </w: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Executive</w:t>
                  </w:r>
                </w:p>
              </w:tc>
              <w:tc>
                <w:tcPr>
                  <w:tcW w:w="5844" w:type="dxa"/>
                  <w:vMerge w:val="restart"/>
                  <w:vAlign w:val="center"/>
                </w:tcPr>
                <w:p w:rsidR="004D27C2" w:rsidRPr="001A0C37" w:rsidRDefault="004D27C2" w:rsidP="00070110">
                  <w:pPr>
                    <w:pStyle w:val="BodyText"/>
                    <w:spacing w:before="60" w:after="60" w:line="240" w:lineRule="atLeast"/>
                    <w:ind w:right="-142"/>
                    <w:rPr>
                      <w:rFonts w:cs="Arial"/>
                      <w:i w:val="0"/>
                      <w:color w:val="auto"/>
                    </w:rPr>
                  </w:pPr>
                  <w:r w:rsidRPr="001A0C37">
                    <w:rPr>
                      <w:rFonts w:cs="Arial"/>
                      <w:i w:val="0"/>
                      <w:color w:val="auto"/>
                    </w:rPr>
                    <w:t xml:space="preserve">Allocated based </w:t>
                  </w:r>
                  <w:r w:rsidR="004003F2">
                    <w:rPr>
                      <w:rFonts w:cs="Arial"/>
                      <w:i w:val="0"/>
                      <w:color w:val="auto"/>
                    </w:rPr>
                    <w:t xml:space="preserve">on </w:t>
                  </w:r>
                  <w:r>
                    <w:rPr>
                      <w:rFonts w:cs="Arial"/>
                      <w:i w:val="0"/>
                      <w:color w:val="auto"/>
                    </w:rPr>
                    <w:t xml:space="preserve">the direct costs of communications group as </w:t>
                  </w:r>
                  <w:r w:rsidRPr="001A0C37">
                    <w:rPr>
                      <w:rFonts w:cs="Arial"/>
                      <w:i w:val="0"/>
                      <w:color w:val="auto"/>
                    </w:rPr>
                    <w:t xml:space="preserve">a percentage of </w:t>
                  </w:r>
                  <w:r>
                    <w:rPr>
                      <w:rFonts w:cs="Arial"/>
                      <w:i w:val="0"/>
                      <w:color w:val="auto"/>
                    </w:rPr>
                    <w:t xml:space="preserve">the total ACCC’s costs (excluding </w:t>
                  </w:r>
                  <w:r w:rsidRPr="001A0C37">
                    <w:rPr>
                      <w:rFonts w:cs="Arial"/>
                      <w:i w:val="0"/>
                      <w:color w:val="auto"/>
                    </w:rPr>
                    <w:t xml:space="preserve">legal related </w:t>
                  </w:r>
                  <w:r>
                    <w:rPr>
                      <w:rFonts w:cs="Arial"/>
                      <w:i w:val="0"/>
                      <w:color w:val="auto"/>
                    </w:rPr>
                    <w:t>costs)</w:t>
                  </w:r>
                  <w:r w:rsidRPr="001A0C37">
                    <w:rPr>
                      <w:rFonts w:cs="Arial"/>
                      <w:i w:val="0"/>
                      <w:color w:val="auto"/>
                    </w:rPr>
                    <w:t>.</w:t>
                  </w: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Corporate management</w:t>
                  </w:r>
                </w:p>
              </w:tc>
              <w:tc>
                <w:tcPr>
                  <w:tcW w:w="5844" w:type="dxa"/>
                  <w:vMerge/>
                  <w:vAlign w:val="center"/>
                </w:tcPr>
                <w:p w:rsidR="004D27C2" w:rsidRPr="001A0C37" w:rsidRDefault="004D27C2" w:rsidP="00070110">
                  <w:pPr>
                    <w:pStyle w:val="BodyText"/>
                    <w:spacing w:before="60" w:after="60" w:line="240" w:lineRule="atLeast"/>
                    <w:ind w:right="-142"/>
                    <w:rPr>
                      <w:rFonts w:cs="Arial"/>
                      <w:i w:val="0"/>
                      <w:color w:val="auto"/>
                    </w:rPr>
                  </w:pP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Corporate services</w:t>
                  </w:r>
                </w:p>
              </w:tc>
              <w:tc>
                <w:tcPr>
                  <w:tcW w:w="5844" w:type="dxa"/>
                  <w:vMerge/>
                  <w:vAlign w:val="center"/>
                </w:tcPr>
                <w:p w:rsidR="004D27C2" w:rsidRPr="001A0C37" w:rsidRDefault="004D27C2" w:rsidP="00070110">
                  <w:pPr>
                    <w:pStyle w:val="BodyText"/>
                    <w:spacing w:before="60" w:after="60" w:line="240" w:lineRule="atLeast"/>
                    <w:ind w:right="-142"/>
                    <w:rPr>
                      <w:rFonts w:cs="Arial"/>
                      <w:i w:val="0"/>
                      <w:color w:val="auto"/>
                    </w:rPr>
                  </w:pP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Finance</w:t>
                  </w:r>
                </w:p>
              </w:tc>
              <w:tc>
                <w:tcPr>
                  <w:tcW w:w="5844" w:type="dxa"/>
                  <w:vMerge/>
                  <w:vAlign w:val="center"/>
                </w:tcPr>
                <w:p w:rsidR="004D27C2" w:rsidRPr="001A0C37" w:rsidRDefault="004D27C2" w:rsidP="00070110">
                  <w:pPr>
                    <w:pStyle w:val="BodyText"/>
                    <w:spacing w:before="60" w:after="60" w:line="240" w:lineRule="atLeast"/>
                    <w:ind w:right="-142"/>
                    <w:rPr>
                      <w:rFonts w:cs="Arial"/>
                      <w:i w:val="0"/>
                      <w:color w:val="auto"/>
                    </w:rPr>
                  </w:pP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Strategic communications</w:t>
                  </w:r>
                </w:p>
              </w:tc>
              <w:tc>
                <w:tcPr>
                  <w:tcW w:w="5844" w:type="dxa"/>
                  <w:vMerge/>
                  <w:vAlign w:val="center"/>
                </w:tcPr>
                <w:p w:rsidR="004D27C2" w:rsidRPr="001A0C37" w:rsidRDefault="004D27C2" w:rsidP="00070110">
                  <w:pPr>
                    <w:pStyle w:val="BodyText"/>
                    <w:spacing w:before="60" w:after="60" w:line="240" w:lineRule="atLeast"/>
                    <w:ind w:right="-142"/>
                    <w:rPr>
                      <w:rFonts w:cs="Arial"/>
                      <w:i w:val="0"/>
                      <w:color w:val="auto"/>
                    </w:rPr>
                  </w:pP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Information and technology</w:t>
                  </w:r>
                </w:p>
              </w:tc>
              <w:tc>
                <w:tcPr>
                  <w:tcW w:w="5844" w:type="dxa"/>
                  <w:vMerge w:val="restart"/>
                  <w:vAlign w:val="center"/>
                </w:tcPr>
                <w:p w:rsidR="004D27C2" w:rsidRPr="001A0C37" w:rsidRDefault="004D27C2" w:rsidP="00070110">
                  <w:pPr>
                    <w:pStyle w:val="BodyText"/>
                    <w:spacing w:before="60" w:after="60" w:line="240" w:lineRule="atLeast"/>
                    <w:ind w:right="-142"/>
                    <w:rPr>
                      <w:rFonts w:cs="Arial"/>
                      <w:i w:val="0"/>
                      <w:color w:val="auto"/>
                    </w:rPr>
                  </w:pPr>
                  <w:r w:rsidRPr="001A0C37">
                    <w:rPr>
                      <w:rFonts w:cs="Arial"/>
                      <w:i w:val="0"/>
                      <w:color w:val="auto"/>
                    </w:rPr>
                    <w:t>Allocated based on a percentage of FTE.</w:t>
                  </w: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Human resources</w:t>
                  </w:r>
                </w:p>
              </w:tc>
              <w:tc>
                <w:tcPr>
                  <w:tcW w:w="5844" w:type="dxa"/>
                  <w:vMerge/>
                  <w:vAlign w:val="center"/>
                </w:tcPr>
                <w:p w:rsidR="004D27C2" w:rsidRDefault="004D27C2" w:rsidP="00070110">
                  <w:pPr>
                    <w:pStyle w:val="BodyText"/>
                    <w:spacing w:before="60" w:after="60" w:line="240" w:lineRule="atLeast"/>
                    <w:ind w:right="-142"/>
                    <w:rPr>
                      <w:rFonts w:cs="Arial"/>
                      <w:i w:val="0"/>
                      <w:color w:val="auto"/>
                    </w:rPr>
                  </w:pP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Property</w:t>
                  </w:r>
                </w:p>
              </w:tc>
              <w:tc>
                <w:tcPr>
                  <w:tcW w:w="5844" w:type="dxa"/>
                  <w:vMerge/>
                  <w:vAlign w:val="center"/>
                </w:tcPr>
                <w:p w:rsidR="004D27C2" w:rsidRDefault="004D27C2" w:rsidP="00070110">
                  <w:pPr>
                    <w:pStyle w:val="BodyText"/>
                    <w:spacing w:before="60" w:after="60" w:line="240" w:lineRule="atLeast"/>
                    <w:ind w:right="-142"/>
                    <w:rPr>
                      <w:rFonts w:cs="Arial"/>
                      <w:i w:val="0"/>
                      <w:color w:val="auto"/>
                    </w:rPr>
                  </w:pP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Asset usage</w:t>
                  </w:r>
                </w:p>
              </w:tc>
              <w:tc>
                <w:tcPr>
                  <w:tcW w:w="5844" w:type="dxa"/>
                  <w:vMerge/>
                  <w:vAlign w:val="center"/>
                </w:tcPr>
                <w:p w:rsidR="004D27C2" w:rsidRDefault="004D27C2" w:rsidP="00070110">
                  <w:pPr>
                    <w:pStyle w:val="BodyText"/>
                    <w:spacing w:before="60" w:after="60" w:line="240" w:lineRule="atLeast"/>
                    <w:ind w:right="-142"/>
                    <w:rPr>
                      <w:rFonts w:cs="Arial"/>
                      <w:i w:val="0"/>
                      <w:color w:val="auto"/>
                    </w:rPr>
                  </w:pPr>
                </w:p>
              </w:tc>
            </w:tr>
            <w:tr w:rsidR="004D27C2" w:rsidTr="00070110">
              <w:tc>
                <w:tcPr>
                  <w:tcW w:w="2803"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Legal</w:t>
                  </w:r>
                </w:p>
              </w:tc>
              <w:tc>
                <w:tcPr>
                  <w:tcW w:w="5844" w:type="dxa"/>
                  <w:vAlign w:val="center"/>
                </w:tcPr>
                <w:p w:rsidR="004D27C2" w:rsidRDefault="004D27C2" w:rsidP="00070110">
                  <w:pPr>
                    <w:pStyle w:val="BodyText"/>
                    <w:spacing w:before="60" w:after="60" w:line="240" w:lineRule="atLeast"/>
                    <w:ind w:right="-142"/>
                    <w:rPr>
                      <w:rFonts w:cs="Arial"/>
                      <w:i w:val="0"/>
                      <w:color w:val="auto"/>
                    </w:rPr>
                  </w:pPr>
                  <w:r>
                    <w:rPr>
                      <w:rFonts w:cs="Arial"/>
                      <w:i w:val="0"/>
                      <w:color w:val="auto"/>
                    </w:rPr>
                    <w:t>Allocated based on a percentage of legal-related expenditure.</w:t>
                  </w:r>
                </w:p>
              </w:tc>
            </w:tr>
          </w:tbl>
          <w:p w:rsidR="004D27C2" w:rsidRDefault="004D27C2"/>
        </w:tc>
      </w:tr>
      <w:tr w:rsidR="004D27C2">
        <w:trPr>
          <w:trHeight w:val="291"/>
        </w:trPr>
        <w:tc>
          <w:tcPr>
            <w:tcW w:w="9645" w:type="dxa"/>
            <w:tcBorders>
              <w:bottom w:val="single" w:sz="2" w:space="0" w:color="505050"/>
            </w:tcBorders>
            <w:shd w:val="clear" w:color="auto" w:fill="auto"/>
          </w:tcPr>
          <w:p w:rsidR="004D27C2" w:rsidRDefault="004D27C2"/>
        </w:tc>
      </w:tr>
    </w:tbl>
    <w:p w:rsidR="00521770" w:rsidRDefault="00521770" w:rsidP="00094042"/>
    <w:p w:rsidR="00D71FD2" w:rsidRPr="005D0BC8" w:rsidRDefault="00A84CBD" w:rsidP="00094042">
      <w:r w:rsidRPr="00A84CBD">
        <w:t xml:space="preserve">This methodology reflects the appropriate consumption of resources by </w:t>
      </w:r>
      <w:r w:rsidR="004003F2">
        <w:t>areas</w:t>
      </w:r>
      <w:r w:rsidRPr="00A84CBD">
        <w:t xml:space="preserve"> involved in relevant telecommunications activities.</w:t>
      </w:r>
    </w:p>
    <w:p w:rsidR="00D71FD2" w:rsidRPr="005D0BC8" w:rsidRDefault="00D71FD2" w:rsidP="00094042"/>
    <w:p w:rsidR="00D71FD2" w:rsidRPr="005D0BC8" w:rsidRDefault="00A84CBD" w:rsidP="00094042">
      <w:r w:rsidRPr="00A84CBD">
        <w:t>The total cost for the ACCC’s activities has been derived from relevant direct costs and support costs for the 2012–13 financial year (see Table 6).</w:t>
      </w:r>
    </w:p>
    <w:p w:rsidR="00D71FD2" w:rsidRDefault="00D71FD2" w:rsidP="004D27C2"/>
    <w:tbl>
      <w:tblPr>
        <w:tblW w:w="9645" w:type="dxa"/>
        <w:tblLayout w:type="fixed"/>
        <w:tblCellMar>
          <w:left w:w="0" w:type="dxa"/>
          <w:right w:w="0" w:type="dxa"/>
        </w:tblCellMar>
        <w:tblLook w:val="01E0" w:firstRow="1" w:lastRow="1" w:firstColumn="1" w:lastColumn="1" w:noHBand="0" w:noVBand="0"/>
      </w:tblPr>
      <w:tblGrid>
        <w:gridCol w:w="9645"/>
      </w:tblGrid>
      <w:tr w:rsidR="004D27C2">
        <w:trPr>
          <w:trHeight w:val="570"/>
        </w:trPr>
        <w:tc>
          <w:tcPr>
            <w:tcW w:w="9645" w:type="dxa"/>
            <w:tcBorders>
              <w:top w:val="single" w:sz="2" w:space="0" w:color="505050"/>
            </w:tcBorders>
            <w:shd w:val="clear" w:color="auto" w:fill="auto"/>
            <w:vAlign w:val="center"/>
          </w:tcPr>
          <w:p w:rsidR="004D27C2" w:rsidRPr="00A74B5E" w:rsidRDefault="004D27C2">
            <w:pPr>
              <w:pStyle w:val="Caption"/>
            </w:pPr>
            <w:r>
              <w:t xml:space="preserve">Table </w:t>
            </w:r>
            <w:fldSimple w:instr=" SEQ Table \* ARABIC ">
              <w:r>
                <w:rPr>
                  <w:noProof/>
                </w:rPr>
                <w:t>6</w:t>
              </w:r>
            </w:fldSimple>
            <w:r>
              <w:t xml:space="preserve"> </w:t>
            </w:r>
            <w:r w:rsidRPr="00551EC3">
              <w:t>The ACCC’s component</w:t>
            </w:r>
          </w:p>
        </w:tc>
      </w:tr>
      <w:tr w:rsidR="004D27C2">
        <w:trPr>
          <w:trHeight w:val="3086"/>
        </w:trPr>
        <w:tc>
          <w:tcPr>
            <w:tcW w:w="9645" w:type="dxa"/>
            <w:shd w:val="clear" w:color="auto" w:fill="auto"/>
            <w:tcMar>
              <w:left w:w="28" w:type="dxa"/>
            </w:tcMar>
          </w:tcPr>
          <w:tbl>
            <w:tblPr>
              <w:tblW w:w="45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0"/>
              <w:gridCol w:w="2599"/>
              <w:gridCol w:w="2599"/>
              <w:gridCol w:w="1265"/>
            </w:tblGrid>
            <w:tr w:rsidR="004D27C2" w:rsidRPr="00C320F6" w:rsidTr="00070110">
              <w:trPr>
                <w:trHeight w:val="447"/>
              </w:trPr>
              <w:tc>
                <w:tcPr>
                  <w:tcW w:w="1317" w:type="pct"/>
                  <w:shd w:val="clear" w:color="auto" w:fill="404040" w:themeFill="text1" w:themeFillTint="BF"/>
                  <w:vAlign w:val="center"/>
                </w:tcPr>
                <w:p w:rsidR="004D27C2" w:rsidRPr="003A1B6D" w:rsidRDefault="004D27C2" w:rsidP="00070110">
                  <w:pPr>
                    <w:keepNext/>
                    <w:widowControl w:val="0"/>
                    <w:outlineLvl w:val="0"/>
                    <w:rPr>
                      <w:rFonts w:cs="Arial"/>
                      <w:b/>
                      <w:iCs/>
                      <w:color w:val="FFFFFF" w:themeColor="background1"/>
                    </w:rPr>
                  </w:pPr>
                  <w:r w:rsidRPr="00A84CBD">
                    <w:rPr>
                      <w:rFonts w:cs="Arial"/>
                      <w:b/>
                      <w:iCs/>
                      <w:color w:val="FFFFFF" w:themeColor="background1"/>
                    </w:rPr>
                    <w:t>Costs</w:t>
                  </w:r>
                </w:p>
              </w:tc>
              <w:tc>
                <w:tcPr>
                  <w:tcW w:w="1481" w:type="pct"/>
                  <w:shd w:val="clear" w:color="auto" w:fill="404040" w:themeFill="text1" w:themeFillTint="BF"/>
                  <w:vAlign w:val="center"/>
                </w:tcPr>
                <w:p w:rsidR="004D27C2" w:rsidRDefault="004D27C2" w:rsidP="004D27C2">
                  <w:pPr>
                    <w:keepNext/>
                    <w:rPr>
                      <w:rFonts w:cs="Arial"/>
                      <w:b/>
                      <w:iCs/>
                      <w:color w:val="FFFFFF" w:themeColor="background1"/>
                    </w:rPr>
                  </w:pPr>
                  <w:r w:rsidRPr="00A84CBD">
                    <w:rPr>
                      <w:rFonts w:cs="Arial"/>
                      <w:b/>
                      <w:iCs/>
                      <w:color w:val="FFFFFF" w:themeColor="background1"/>
                    </w:rPr>
                    <w:t>2013-14</w:t>
                  </w:r>
                </w:p>
                <w:p w:rsidR="004D27C2" w:rsidRDefault="004D27C2" w:rsidP="004D27C2">
                  <w:pPr>
                    <w:keepNext/>
                    <w:rPr>
                      <w:rFonts w:cs="Arial"/>
                      <w:b/>
                      <w:iCs/>
                      <w:color w:val="FFFFFF" w:themeColor="background1"/>
                    </w:rPr>
                  </w:pPr>
                  <w:r w:rsidRPr="00A84CBD">
                    <w:rPr>
                      <w:rFonts w:cs="Arial"/>
                      <w:b/>
                      <w:iCs/>
                      <w:color w:val="FFFFFF" w:themeColor="background1"/>
                      <w:sz w:val="18"/>
                    </w:rPr>
                    <w:t>Based on 2012–13 costs</w:t>
                  </w:r>
                </w:p>
              </w:tc>
              <w:tc>
                <w:tcPr>
                  <w:tcW w:w="1481" w:type="pct"/>
                  <w:shd w:val="clear" w:color="auto" w:fill="404040" w:themeFill="text1" w:themeFillTint="BF"/>
                  <w:vAlign w:val="center"/>
                </w:tcPr>
                <w:p w:rsidR="004D27C2" w:rsidRDefault="004D27C2" w:rsidP="004D27C2">
                  <w:pPr>
                    <w:keepNext/>
                    <w:rPr>
                      <w:rFonts w:cs="Arial"/>
                      <w:b/>
                      <w:iCs/>
                      <w:color w:val="FFFFFF" w:themeColor="background1"/>
                    </w:rPr>
                  </w:pPr>
                  <w:r w:rsidRPr="00A84CBD">
                    <w:rPr>
                      <w:rFonts w:cs="Arial"/>
                      <w:b/>
                      <w:iCs/>
                      <w:color w:val="FFFFFF" w:themeColor="background1"/>
                    </w:rPr>
                    <w:t>2012–13</w:t>
                  </w:r>
                </w:p>
                <w:p w:rsidR="004D27C2" w:rsidRDefault="004D27C2" w:rsidP="004D27C2">
                  <w:pPr>
                    <w:keepNext/>
                    <w:rPr>
                      <w:rFonts w:cs="Arial"/>
                      <w:b/>
                      <w:iCs/>
                      <w:color w:val="FFFFFF" w:themeColor="background1"/>
                    </w:rPr>
                  </w:pPr>
                  <w:r w:rsidRPr="00A84CBD">
                    <w:rPr>
                      <w:rFonts w:cs="Arial"/>
                      <w:b/>
                      <w:iCs/>
                      <w:color w:val="FFFFFF" w:themeColor="background1"/>
                      <w:sz w:val="18"/>
                    </w:rPr>
                    <w:t>Based on 2011–12 costs</w:t>
                  </w:r>
                </w:p>
              </w:tc>
              <w:tc>
                <w:tcPr>
                  <w:tcW w:w="721" w:type="pct"/>
                  <w:shd w:val="clear" w:color="auto" w:fill="404040" w:themeFill="text1" w:themeFillTint="BF"/>
                  <w:vAlign w:val="center"/>
                </w:tcPr>
                <w:p w:rsidR="004D27C2" w:rsidRPr="003A1B6D" w:rsidRDefault="004D27C2" w:rsidP="004D27C2">
                  <w:pPr>
                    <w:keepNext/>
                    <w:widowControl w:val="0"/>
                    <w:outlineLvl w:val="0"/>
                    <w:rPr>
                      <w:rFonts w:cs="Arial"/>
                      <w:b/>
                      <w:iCs/>
                      <w:color w:val="FFFFFF" w:themeColor="background1"/>
                    </w:rPr>
                  </w:pPr>
                  <w:r w:rsidRPr="00A84CBD">
                    <w:rPr>
                      <w:rFonts w:cs="Arial"/>
                      <w:b/>
                      <w:iCs/>
                      <w:color w:val="FFFFFF" w:themeColor="background1"/>
                    </w:rPr>
                    <w:t>% change*</w:t>
                  </w:r>
                </w:p>
              </w:tc>
            </w:tr>
            <w:tr w:rsidR="004D27C2" w:rsidRPr="00C320F6" w:rsidTr="00070110">
              <w:trPr>
                <w:trHeight w:val="414"/>
              </w:trPr>
              <w:tc>
                <w:tcPr>
                  <w:tcW w:w="1317" w:type="pct"/>
                  <w:vAlign w:val="center"/>
                </w:tcPr>
                <w:p w:rsidR="004D27C2" w:rsidRPr="00C320F6" w:rsidRDefault="004D27C2" w:rsidP="00070110">
                  <w:pPr>
                    <w:keepNext/>
                    <w:ind w:right="-142"/>
                    <w:rPr>
                      <w:rFonts w:cs="Arial"/>
                    </w:rPr>
                  </w:pPr>
                  <w:r w:rsidRPr="00C320F6">
                    <w:rPr>
                      <w:rFonts w:cs="Arial"/>
                      <w:bCs/>
                    </w:rPr>
                    <w:t>Employees</w:t>
                  </w:r>
                </w:p>
              </w:tc>
              <w:tc>
                <w:tcPr>
                  <w:tcW w:w="1481" w:type="pct"/>
                  <w:vAlign w:val="center"/>
                </w:tcPr>
                <w:p w:rsidR="004D27C2" w:rsidRDefault="004D27C2" w:rsidP="00F74ED0">
                  <w:pPr>
                    <w:keepNext/>
                    <w:jc w:val="right"/>
                    <w:rPr>
                      <w:rFonts w:cs="Arial"/>
                      <w:color w:val="000000"/>
                      <w:szCs w:val="20"/>
                    </w:rPr>
                  </w:pPr>
                  <w:r>
                    <w:rPr>
                      <w:rFonts w:cs="Arial"/>
                      <w:color w:val="000000"/>
                      <w:szCs w:val="20"/>
                    </w:rPr>
                    <w:t>$8,124,604</w:t>
                  </w:r>
                </w:p>
              </w:tc>
              <w:tc>
                <w:tcPr>
                  <w:tcW w:w="1481" w:type="pct"/>
                  <w:vAlign w:val="center"/>
                </w:tcPr>
                <w:p w:rsidR="004D27C2" w:rsidRDefault="004D27C2" w:rsidP="00F74ED0">
                  <w:pPr>
                    <w:keepNext/>
                    <w:jc w:val="right"/>
                    <w:rPr>
                      <w:rFonts w:cs="Arial"/>
                      <w:color w:val="000000"/>
                      <w:szCs w:val="20"/>
                    </w:rPr>
                  </w:pPr>
                  <w:r>
                    <w:rPr>
                      <w:rFonts w:cs="Arial"/>
                      <w:color w:val="000000"/>
                      <w:szCs w:val="20"/>
                    </w:rPr>
                    <w:t>$8,200,139</w:t>
                  </w:r>
                </w:p>
              </w:tc>
              <w:tc>
                <w:tcPr>
                  <w:tcW w:w="721" w:type="pct"/>
                  <w:vAlign w:val="center"/>
                </w:tcPr>
                <w:p w:rsidR="004D27C2" w:rsidRDefault="004D27C2" w:rsidP="00F74ED0">
                  <w:pPr>
                    <w:keepNext/>
                    <w:jc w:val="right"/>
                    <w:rPr>
                      <w:rFonts w:cs="Arial"/>
                      <w:color w:val="000000"/>
                      <w:szCs w:val="20"/>
                    </w:rPr>
                  </w:pPr>
                  <w:r>
                    <w:rPr>
                      <w:rFonts w:cs="Arial"/>
                      <w:color w:val="000000"/>
                      <w:szCs w:val="20"/>
                    </w:rPr>
                    <w:t>(0.9%)</w:t>
                  </w:r>
                </w:p>
              </w:tc>
            </w:tr>
            <w:tr w:rsidR="004D27C2" w:rsidRPr="00C320F6" w:rsidTr="00070110">
              <w:trPr>
                <w:trHeight w:val="420"/>
              </w:trPr>
              <w:tc>
                <w:tcPr>
                  <w:tcW w:w="1317" w:type="pct"/>
                  <w:vAlign w:val="center"/>
                </w:tcPr>
                <w:p w:rsidR="004D27C2" w:rsidRPr="00C320F6" w:rsidRDefault="004D27C2" w:rsidP="00070110">
                  <w:pPr>
                    <w:keepNext/>
                    <w:ind w:right="-142"/>
                    <w:rPr>
                      <w:rFonts w:cs="Arial"/>
                    </w:rPr>
                  </w:pPr>
                  <w:r w:rsidRPr="00C320F6">
                    <w:rPr>
                      <w:rFonts w:cs="Arial"/>
                      <w:bCs/>
                    </w:rPr>
                    <w:t xml:space="preserve">Consultancy and </w:t>
                  </w:r>
                  <w:r>
                    <w:rPr>
                      <w:rFonts w:cs="Arial"/>
                      <w:bCs/>
                    </w:rPr>
                    <w:t>t</w:t>
                  </w:r>
                  <w:r w:rsidRPr="00C320F6">
                    <w:rPr>
                      <w:rFonts w:cs="Arial"/>
                      <w:bCs/>
                    </w:rPr>
                    <w:t>ravel</w:t>
                  </w:r>
                </w:p>
              </w:tc>
              <w:tc>
                <w:tcPr>
                  <w:tcW w:w="1481" w:type="pct"/>
                  <w:vAlign w:val="center"/>
                </w:tcPr>
                <w:p w:rsidR="004D27C2" w:rsidRDefault="004D27C2" w:rsidP="00F74ED0">
                  <w:pPr>
                    <w:keepNext/>
                    <w:jc w:val="right"/>
                    <w:rPr>
                      <w:rFonts w:cs="Arial"/>
                      <w:color w:val="000000"/>
                      <w:szCs w:val="20"/>
                    </w:rPr>
                  </w:pPr>
                  <w:r>
                    <w:rPr>
                      <w:rFonts w:cs="Arial"/>
                      <w:color w:val="000000"/>
                      <w:szCs w:val="20"/>
                    </w:rPr>
                    <w:t>$177,831</w:t>
                  </w:r>
                </w:p>
              </w:tc>
              <w:tc>
                <w:tcPr>
                  <w:tcW w:w="1481" w:type="pct"/>
                  <w:vAlign w:val="center"/>
                </w:tcPr>
                <w:p w:rsidR="004D27C2" w:rsidRDefault="004D27C2" w:rsidP="00F74ED0">
                  <w:pPr>
                    <w:keepNext/>
                    <w:jc w:val="right"/>
                    <w:rPr>
                      <w:rFonts w:cs="Arial"/>
                      <w:color w:val="000000"/>
                      <w:szCs w:val="20"/>
                    </w:rPr>
                  </w:pPr>
                  <w:r>
                    <w:rPr>
                      <w:rFonts w:cs="Arial"/>
                      <w:color w:val="000000"/>
                      <w:szCs w:val="20"/>
                    </w:rPr>
                    <w:t>$231,372</w:t>
                  </w:r>
                </w:p>
              </w:tc>
              <w:tc>
                <w:tcPr>
                  <w:tcW w:w="721" w:type="pct"/>
                  <w:vAlign w:val="center"/>
                </w:tcPr>
                <w:p w:rsidR="004D27C2" w:rsidRDefault="004D27C2" w:rsidP="00F74ED0">
                  <w:pPr>
                    <w:keepNext/>
                    <w:jc w:val="right"/>
                    <w:rPr>
                      <w:rFonts w:cs="Arial"/>
                      <w:color w:val="000000"/>
                      <w:szCs w:val="20"/>
                    </w:rPr>
                  </w:pPr>
                  <w:r>
                    <w:rPr>
                      <w:rFonts w:cs="Arial"/>
                      <w:color w:val="000000"/>
                      <w:szCs w:val="20"/>
                    </w:rPr>
                    <w:t>(23.1%)</w:t>
                  </w:r>
                </w:p>
              </w:tc>
            </w:tr>
            <w:tr w:rsidR="004D27C2" w:rsidRPr="00C320F6" w:rsidTr="00070110">
              <w:trPr>
                <w:trHeight w:val="420"/>
              </w:trPr>
              <w:tc>
                <w:tcPr>
                  <w:tcW w:w="1317" w:type="pct"/>
                  <w:vAlign w:val="center"/>
                </w:tcPr>
                <w:p w:rsidR="004D27C2" w:rsidRPr="00C320F6" w:rsidRDefault="004D27C2" w:rsidP="00070110">
                  <w:pPr>
                    <w:keepNext/>
                    <w:ind w:right="-142"/>
                    <w:rPr>
                      <w:rFonts w:cs="Arial"/>
                    </w:rPr>
                  </w:pPr>
                  <w:r w:rsidRPr="00C320F6">
                    <w:rPr>
                      <w:rFonts w:cs="Arial"/>
                      <w:bCs/>
                    </w:rPr>
                    <w:t xml:space="preserve">Other </w:t>
                  </w:r>
                </w:p>
              </w:tc>
              <w:tc>
                <w:tcPr>
                  <w:tcW w:w="1481" w:type="pct"/>
                  <w:vAlign w:val="center"/>
                </w:tcPr>
                <w:p w:rsidR="004D27C2" w:rsidRDefault="004D27C2" w:rsidP="00F74ED0">
                  <w:pPr>
                    <w:keepNext/>
                    <w:jc w:val="right"/>
                    <w:rPr>
                      <w:rFonts w:cs="Arial"/>
                      <w:color w:val="000000"/>
                      <w:szCs w:val="20"/>
                    </w:rPr>
                  </w:pPr>
                  <w:r>
                    <w:rPr>
                      <w:rFonts w:cs="Arial"/>
                      <w:color w:val="000000"/>
                      <w:szCs w:val="20"/>
                    </w:rPr>
                    <w:t>$381,674</w:t>
                  </w:r>
                </w:p>
              </w:tc>
              <w:tc>
                <w:tcPr>
                  <w:tcW w:w="1481" w:type="pct"/>
                  <w:vAlign w:val="center"/>
                </w:tcPr>
                <w:p w:rsidR="004D27C2" w:rsidRDefault="004D27C2" w:rsidP="00F74ED0">
                  <w:pPr>
                    <w:keepNext/>
                    <w:jc w:val="right"/>
                    <w:rPr>
                      <w:rFonts w:cs="Arial"/>
                      <w:color w:val="000000"/>
                      <w:szCs w:val="20"/>
                    </w:rPr>
                  </w:pPr>
                  <w:r>
                    <w:rPr>
                      <w:rFonts w:cs="Arial"/>
                      <w:color w:val="000000"/>
                      <w:szCs w:val="20"/>
                    </w:rPr>
                    <w:t>$231,395</w:t>
                  </w:r>
                </w:p>
              </w:tc>
              <w:tc>
                <w:tcPr>
                  <w:tcW w:w="721" w:type="pct"/>
                  <w:vAlign w:val="center"/>
                </w:tcPr>
                <w:p w:rsidR="004D27C2" w:rsidRDefault="004D27C2" w:rsidP="00F74ED0">
                  <w:pPr>
                    <w:keepNext/>
                    <w:jc w:val="right"/>
                    <w:rPr>
                      <w:rFonts w:cs="Arial"/>
                      <w:color w:val="000000"/>
                      <w:szCs w:val="20"/>
                    </w:rPr>
                  </w:pPr>
                  <w:r>
                    <w:rPr>
                      <w:rFonts w:cs="Arial"/>
                      <w:color w:val="000000"/>
                      <w:szCs w:val="20"/>
                    </w:rPr>
                    <w:t xml:space="preserve">64.9% </w:t>
                  </w:r>
                </w:p>
              </w:tc>
            </w:tr>
            <w:tr w:rsidR="004D27C2" w:rsidRPr="00C320F6" w:rsidTr="00070110">
              <w:trPr>
                <w:trHeight w:val="420"/>
              </w:trPr>
              <w:tc>
                <w:tcPr>
                  <w:tcW w:w="1317" w:type="pct"/>
                  <w:shd w:val="clear" w:color="auto" w:fill="D9D9D9" w:themeFill="background1" w:themeFillShade="D9"/>
                  <w:vAlign w:val="center"/>
                </w:tcPr>
                <w:p w:rsidR="004D27C2" w:rsidRPr="00C320F6" w:rsidRDefault="004D27C2" w:rsidP="00070110">
                  <w:pPr>
                    <w:keepNext/>
                    <w:ind w:right="-142"/>
                    <w:rPr>
                      <w:rFonts w:cs="Arial"/>
                      <w:b/>
                      <w:bCs/>
                    </w:rPr>
                  </w:pPr>
                  <w:r w:rsidRPr="00C320F6">
                    <w:rPr>
                      <w:rFonts w:cs="Arial"/>
                      <w:b/>
                      <w:bCs/>
                    </w:rPr>
                    <w:t>Total direct costs</w:t>
                  </w:r>
                </w:p>
              </w:tc>
              <w:tc>
                <w:tcPr>
                  <w:tcW w:w="1481"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$8,684,109</w:t>
                  </w:r>
                </w:p>
              </w:tc>
              <w:tc>
                <w:tcPr>
                  <w:tcW w:w="1481"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$8,662,906</w:t>
                  </w:r>
                </w:p>
              </w:tc>
              <w:tc>
                <w:tcPr>
                  <w:tcW w:w="721"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 xml:space="preserve">0.2% </w:t>
                  </w:r>
                </w:p>
              </w:tc>
            </w:tr>
            <w:tr w:rsidR="004D27C2" w:rsidRPr="00C320F6" w:rsidTr="00070110">
              <w:trPr>
                <w:trHeight w:val="420"/>
              </w:trPr>
              <w:tc>
                <w:tcPr>
                  <w:tcW w:w="1317" w:type="pct"/>
                  <w:vAlign w:val="center"/>
                </w:tcPr>
                <w:p w:rsidR="004D27C2" w:rsidRPr="00C320F6" w:rsidRDefault="004D27C2" w:rsidP="00070110">
                  <w:pPr>
                    <w:keepNext/>
                    <w:ind w:right="-142"/>
                    <w:rPr>
                      <w:rFonts w:cs="Arial"/>
                      <w:bCs/>
                    </w:rPr>
                  </w:pPr>
                  <w:r w:rsidRPr="00C320F6">
                    <w:rPr>
                      <w:rFonts w:cs="Arial"/>
                      <w:bCs/>
                    </w:rPr>
                    <w:t>Overheads</w:t>
                  </w:r>
                </w:p>
              </w:tc>
              <w:tc>
                <w:tcPr>
                  <w:tcW w:w="1481" w:type="pct"/>
                  <w:vAlign w:val="center"/>
                </w:tcPr>
                <w:p w:rsidR="004D27C2" w:rsidRDefault="004D27C2" w:rsidP="00F74ED0">
                  <w:pPr>
                    <w:keepNext/>
                    <w:jc w:val="right"/>
                    <w:rPr>
                      <w:rFonts w:cs="Arial"/>
                      <w:color w:val="000000"/>
                      <w:szCs w:val="20"/>
                    </w:rPr>
                  </w:pPr>
                  <w:r>
                    <w:rPr>
                      <w:rFonts w:cs="Arial"/>
                      <w:color w:val="000000"/>
                      <w:szCs w:val="20"/>
                    </w:rPr>
                    <w:t>$6,320,528</w:t>
                  </w:r>
                </w:p>
              </w:tc>
              <w:tc>
                <w:tcPr>
                  <w:tcW w:w="1481" w:type="pct"/>
                  <w:vAlign w:val="center"/>
                </w:tcPr>
                <w:p w:rsidR="004D27C2" w:rsidRDefault="004D27C2" w:rsidP="00F74ED0">
                  <w:pPr>
                    <w:keepNext/>
                    <w:jc w:val="right"/>
                    <w:rPr>
                      <w:rFonts w:cs="Arial"/>
                      <w:color w:val="000000"/>
                      <w:szCs w:val="20"/>
                    </w:rPr>
                  </w:pPr>
                  <w:r>
                    <w:rPr>
                      <w:rFonts w:cs="Arial"/>
                      <w:color w:val="000000"/>
                      <w:szCs w:val="20"/>
                    </w:rPr>
                    <w:t>$5,151,908</w:t>
                  </w:r>
                </w:p>
              </w:tc>
              <w:tc>
                <w:tcPr>
                  <w:tcW w:w="721" w:type="pct"/>
                  <w:vAlign w:val="center"/>
                </w:tcPr>
                <w:p w:rsidR="004D27C2" w:rsidRDefault="004D27C2" w:rsidP="00F74ED0">
                  <w:pPr>
                    <w:keepNext/>
                    <w:jc w:val="right"/>
                    <w:rPr>
                      <w:rFonts w:cs="Arial"/>
                      <w:color w:val="000000"/>
                      <w:szCs w:val="20"/>
                    </w:rPr>
                  </w:pPr>
                  <w:r>
                    <w:rPr>
                      <w:rFonts w:cs="Arial"/>
                      <w:color w:val="000000"/>
                      <w:szCs w:val="20"/>
                    </w:rPr>
                    <w:t xml:space="preserve">22.7% </w:t>
                  </w:r>
                </w:p>
              </w:tc>
            </w:tr>
            <w:tr w:rsidR="004D27C2" w:rsidRPr="00C320F6" w:rsidTr="00070110">
              <w:trPr>
                <w:trHeight w:val="411"/>
              </w:trPr>
              <w:tc>
                <w:tcPr>
                  <w:tcW w:w="1317" w:type="pct"/>
                  <w:shd w:val="clear" w:color="auto" w:fill="D9D9D9" w:themeFill="background1" w:themeFillShade="D9"/>
                  <w:vAlign w:val="center"/>
                </w:tcPr>
                <w:p w:rsidR="004D27C2" w:rsidRPr="00C320F6" w:rsidRDefault="004D27C2" w:rsidP="00070110">
                  <w:pPr>
                    <w:keepNext/>
                    <w:ind w:right="-142"/>
                    <w:rPr>
                      <w:rFonts w:cs="Arial"/>
                      <w:b/>
                    </w:rPr>
                  </w:pPr>
                  <w:r w:rsidRPr="00C320F6">
                    <w:rPr>
                      <w:rFonts w:cs="Arial"/>
                      <w:b/>
                    </w:rPr>
                    <w:t>Total ACCC’s costs</w:t>
                  </w:r>
                </w:p>
              </w:tc>
              <w:tc>
                <w:tcPr>
                  <w:tcW w:w="1481"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$15,004,637</w:t>
                  </w:r>
                </w:p>
              </w:tc>
              <w:tc>
                <w:tcPr>
                  <w:tcW w:w="1481"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$13,814,814</w:t>
                  </w:r>
                </w:p>
              </w:tc>
              <w:tc>
                <w:tcPr>
                  <w:tcW w:w="721" w:type="pct"/>
                  <w:shd w:val="clear" w:color="auto" w:fill="D9D9D9" w:themeFill="background1" w:themeFillShade="D9"/>
                  <w:vAlign w:val="center"/>
                </w:tcPr>
                <w:p w:rsidR="004D27C2" w:rsidRDefault="004D27C2" w:rsidP="00F74ED0">
                  <w:pPr>
                    <w:keepNext/>
                    <w:jc w:val="right"/>
                    <w:rPr>
                      <w:rFonts w:cs="Arial"/>
                      <w:b/>
                      <w:bCs/>
                      <w:color w:val="000000"/>
                      <w:szCs w:val="20"/>
                    </w:rPr>
                  </w:pPr>
                  <w:r>
                    <w:rPr>
                      <w:rFonts w:cs="Arial"/>
                      <w:b/>
                      <w:bCs/>
                      <w:color w:val="000000"/>
                      <w:szCs w:val="20"/>
                    </w:rPr>
                    <w:t xml:space="preserve">8.6% </w:t>
                  </w:r>
                </w:p>
              </w:tc>
            </w:tr>
          </w:tbl>
          <w:p w:rsidR="004D27C2" w:rsidRDefault="004D27C2"/>
        </w:tc>
      </w:tr>
      <w:tr w:rsidR="004D27C2">
        <w:trPr>
          <w:trHeight w:val="291"/>
        </w:trPr>
        <w:tc>
          <w:tcPr>
            <w:tcW w:w="9645" w:type="dxa"/>
            <w:tcBorders>
              <w:bottom w:val="single" w:sz="2" w:space="0" w:color="505050"/>
            </w:tcBorders>
            <w:shd w:val="clear" w:color="auto" w:fill="auto"/>
          </w:tcPr>
          <w:p w:rsidR="004D27C2" w:rsidRPr="00F7198B" w:rsidRDefault="00F7198B">
            <w:pPr>
              <w:rPr>
                <w:i/>
              </w:rPr>
            </w:pPr>
            <w:r w:rsidRPr="00F7198B">
              <w:rPr>
                <w:rFonts w:cs="Arial"/>
                <w:i/>
                <w:sz w:val="16"/>
                <w:szCs w:val="16"/>
              </w:rPr>
              <w:t>*increase/(decrease)</w:t>
            </w:r>
          </w:p>
        </w:tc>
      </w:tr>
    </w:tbl>
    <w:p w:rsidR="004D27C2" w:rsidRDefault="004D27C2" w:rsidP="004D27C2"/>
    <w:p w:rsidR="00094042" w:rsidRPr="00094042" w:rsidRDefault="00A84CBD" w:rsidP="00094042">
      <w:pPr>
        <w:spacing w:after="80"/>
      </w:pPr>
      <w:r w:rsidRPr="00094042">
        <w:t>The ACCC’s component for 2013–14 has been calculated at $15,004,637, representing an 8.6 per cent increase on the prior financial year. The increase is due to a range of factors:</w:t>
      </w:r>
    </w:p>
    <w:p w:rsidR="00D71FD2" w:rsidRPr="005D0BC8" w:rsidRDefault="00A84CBD" w:rsidP="00094042">
      <w:pPr>
        <w:pStyle w:val="ListBullet"/>
      </w:pPr>
      <w:r w:rsidRPr="00A84CBD">
        <w:lastRenderedPageBreak/>
        <w:t>A revised model for allocating overheads was developed, whereby more relevant drivers are used for different expenditure categories. In particular, cost allocation based on the percentage of Full-Time Equivalent (FTE) as they relate to property, IT, human resources, and asset usage was determined to provide a more accurate reflection of consumption of resources. This resulted in a higher base of overhead costs being allocated representing approximately $0.4m of the variance.</w:t>
      </w:r>
    </w:p>
    <w:p w:rsidR="00D71FD2" w:rsidRPr="005D0BC8" w:rsidRDefault="00A84CBD" w:rsidP="00F7198B">
      <w:pPr>
        <w:pStyle w:val="ListBullet"/>
        <w:spacing w:before="240"/>
      </w:pPr>
      <w:r w:rsidRPr="00A84CBD">
        <w:t>Costs relating to accruals (for employee entitlements) and asset usage charges (derived from depreciation) were not included in the model used to derive the prior year’s ACLC component. With the transition to the revised model used by the ACCC, these accrual and asset usage charges have been incorporated into the calculation of the 2013–14 component. As these costs have increased the overall cost base, it has resulted in a variance from the previous financial year’s component. This accounted for approximately $0.7m of the variance.</w:t>
      </w:r>
    </w:p>
    <w:p w:rsidR="00D71FD2" w:rsidRPr="005D0BC8" w:rsidRDefault="00D71FD2" w:rsidP="00D71FD2">
      <w:pPr>
        <w:pStyle w:val="BodyText"/>
        <w:spacing w:line="240" w:lineRule="atLeast"/>
        <w:ind w:left="720" w:right="-142"/>
        <w:rPr>
          <w:rFonts w:cs="Arial"/>
          <w:i w:val="0"/>
          <w:color w:val="auto"/>
          <w:szCs w:val="20"/>
          <w:u w:val="single"/>
        </w:rPr>
      </w:pPr>
    </w:p>
    <w:p w:rsidR="00094042" w:rsidRDefault="00A84CBD" w:rsidP="00CC3F4B">
      <w:pPr>
        <w:pStyle w:val="ListNumber"/>
        <w:rPr>
          <w:rFonts w:cs="Arial"/>
          <w:szCs w:val="20"/>
        </w:rPr>
      </w:pPr>
      <w:r w:rsidRPr="00CC3F4B">
        <w:rPr>
          <w:b/>
        </w:rPr>
        <w:t>Determination of cost component under paragraph 15(1)(c) of the Act</w:t>
      </w:r>
      <w:r w:rsidR="003A1B6D" w:rsidRPr="00CC3F4B">
        <w:rPr>
          <w:b/>
        </w:rPr>
        <w:t>—</w:t>
      </w:r>
      <w:r w:rsidRPr="00CC3F4B">
        <w:rPr>
          <w:b/>
        </w:rPr>
        <w:t>the ITU costs</w:t>
      </w:r>
    </w:p>
    <w:p w:rsidR="00D71FD2" w:rsidRPr="005D0BC8" w:rsidRDefault="00A84CBD" w:rsidP="00094042">
      <w:r w:rsidRPr="00A84CBD">
        <w:t>This component relates to the proportion of the Commonwealth’s annual contribution to the budget of the ITU associated with telecommunications for the calendar year (2013) in which the beginning of the financial year occurs. The amount prescribed in the determi</w:t>
      </w:r>
      <w:r w:rsidR="00F7198B">
        <w:t xml:space="preserve">nation is calculated by the </w:t>
      </w:r>
      <w:proofErr w:type="spellStart"/>
      <w:r w:rsidR="00F7198B">
        <w:t>DoC</w:t>
      </w:r>
      <w:r w:rsidRPr="00A84CBD">
        <w:t>.</w:t>
      </w:r>
      <w:proofErr w:type="spellEnd"/>
      <w:r w:rsidRPr="00A84CBD">
        <w:t xml:space="preserve"> </w:t>
      </w:r>
    </w:p>
    <w:p w:rsidR="00D71FD2" w:rsidRPr="005D0BC8" w:rsidRDefault="00D71FD2" w:rsidP="00094042"/>
    <w:p w:rsidR="00D71FD2" w:rsidRPr="005D0BC8" w:rsidRDefault="00F7198B" w:rsidP="00094042">
      <w:r>
        <w:t xml:space="preserve">The </w:t>
      </w:r>
      <w:proofErr w:type="spellStart"/>
      <w:r>
        <w:t>DoC</w:t>
      </w:r>
      <w:proofErr w:type="spellEnd"/>
      <w:r w:rsidR="00A84CBD" w:rsidRPr="00A84CBD">
        <w:t xml:space="preserve"> coordinates Australia’s participation in the ITU, the specialised United Nations agency responsible for international cooperation in the use of telecommunications and radiofrequency spectrum. Australian organisations, both government and private, participate in many of the specialist ITU meetings including study groups, which develop recommendations for international adoption, and keep relevant treaties under review. Table 7 provides the comparison of ITU contributions for the calendar years 2012 and 2013:</w:t>
      </w:r>
    </w:p>
    <w:p w:rsidR="00D71FD2" w:rsidRDefault="00D71FD2" w:rsidP="00094042">
      <w:pPr>
        <w:rPr>
          <w:sz w:val="22"/>
        </w:rPr>
      </w:pPr>
    </w:p>
    <w:tbl>
      <w:tblPr>
        <w:tblW w:w="9645" w:type="dxa"/>
        <w:tblLayout w:type="fixed"/>
        <w:tblCellMar>
          <w:left w:w="0" w:type="dxa"/>
          <w:right w:w="0" w:type="dxa"/>
        </w:tblCellMar>
        <w:tblLook w:val="01E0" w:firstRow="1" w:lastRow="1" w:firstColumn="1" w:lastColumn="1" w:noHBand="0" w:noVBand="0"/>
      </w:tblPr>
      <w:tblGrid>
        <w:gridCol w:w="9645"/>
      </w:tblGrid>
      <w:tr w:rsidR="004D27C2">
        <w:trPr>
          <w:trHeight w:val="570"/>
        </w:trPr>
        <w:tc>
          <w:tcPr>
            <w:tcW w:w="9645" w:type="dxa"/>
            <w:tcBorders>
              <w:top w:val="single" w:sz="2" w:space="0" w:color="505050"/>
            </w:tcBorders>
            <w:shd w:val="clear" w:color="auto" w:fill="auto"/>
            <w:vAlign w:val="center"/>
          </w:tcPr>
          <w:p w:rsidR="004D27C2" w:rsidRPr="00A74B5E" w:rsidRDefault="004D27C2">
            <w:pPr>
              <w:pStyle w:val="Caption"/>
            </w:pPr>
            <w:r>
              <w:t xml:space="preserve">Table </w:t>
            </w:r>
            <w:fldSimple w:instr=" SEQ Table \* ARABIC ">
              <w:r>
                <w:rPr>
                  <w:noProof/>
                </w:rPr>
                <w:t>7</w:t>
              </w:r>
            </w:fldSimple>
            <w:r>
              <w:t xml:space="preserve"> </w:t>
            </w:r>
            <w:r w:rsidRPr="00551EC3">
              <w:t>ITU component</w:t>
            </w:r>
          </w:p>
        </w:tc>
      </w:tr>
      <w:tr w:rsidR="004D27C2">
        <w:trPr>
          <w:trHeight w:val="3086"/>
        </w:trPr>
        <w:tc>
          <w:tcPr>
            <w:tcW w:w="9645" w:type="dxa"/>
            <w:shd w:val="clear" w:color="auto" w:fill="auto"/>
            <w:tcMar>
              <w:left w:w="28" w:type="dxa"/>
            </w:tcMar>
          </w:tcPr>
          <w:tbl>
            <w:tblPr>
              <w:tblW w:w="8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00"/>
              <w:gridCol w:w="2097"/>
              <w:gridCol w:w="2317"/>
              <w:gridCol w:w="1824"/>
            </w:tblGrid>
            <w:tr w:rsidR="004D27C2" w:rsidRPr="00E11BCD" w:rsidTr="00070110">
              <w:trPr>
                <w:trHeight w:val="410"/>
              </w:trPr>
              <w:tc>
                <w:tcPr>
                  <w:tcW w:w="1214" w:type="pct"/>
                  <w:tcBorders>
                    <w:bottom w:val="single" w:sz="6" w:space="0" w:color="auto"/>
                  </w:tcBorders>
                  <w:shd w:val="clear" w:color="auto" w:fill="404040" w:themeFill="text1" w:themeFillTint="BF"/>
                  <w:vAlign w:val="center"/>
                </w:tcPr>
                <w:p w:rsidR="004D27C2" w:rsidRPr="003A1B6D" w:rsidRDefault="004D27C2" w:rsidP="00070110">
                  <w:pPr>
                    <w:keepNext/>
                    <w:keepLines/>
                    <w:spacing w:before="120" w:line="280" w:lineRule="exact"/>
                    <w:ind w:right="-142"/>
                    <w:jc w:val="center"/>
                    <w:rPr>
                      <w:rFonts w:cs="Arial"/>
                      <w:b/>
                      <w:bCs/>
                      <w:color w:val="FFFFFF" w:themeColor="background1"/>
                      <w:szCs w:val="20"/>
                    </w:rPr>
                  </w:pPr>
                </w:p>
              </w:tc>
              <w:tc>
                <w:tcPr>
                  <w:tcW w:w="1273" w:type="pct"/>
                  <w:tcBorders>
                    <w:bottom w:val="single" w:sz="6" w:space="0" w:color="auto"/>
                  </w:tcBorders>
                  <w:shd w:val="clear" w:color="auto" w:fill="404040" w:themeFill="text1" w:themeFillTint="BF"/>
                  <w:vAlign w:val="center"/>
                </w:tcPr>
                <w:p w:rsidR="004D27C2" w:rsidRDefault="004D27C2" w:rsidP="004D27C2">
                  <w:pPr>
                    <w:keepNext/>
                    <w:keepLines/>
                    <w:spacing w:line="280" w:lineRule="exact"/>
                    <w:ind w:right="-142"/>
                    <w:rPr>
                      <w:rFonts w:cs="Arial"/>
                      <w:b/>
                      <w:bCs/>
                      <w:color w:val="FFFFFF" w:themeColor="background1"/>
                      <w:szCs w:val="20"/>
                    </w:rPr>
                  </w:pPr>
                  <w:r w:rsidRPr="00A84CBD">
                    <w:rPr>
                      <w:rFonts w:cs="Arial"/>
                      <w:b/>
                      <w:bCs/>
                      <w:color w:val="FFFFFF" w:themeColor="background1"/>
                      <w:szCs w:val="20"/>
                    </w:rPr>
                    <w:t>Telecommunications sector</w:t>
                  </w:r>
                </w:p>
              </w:tc>
              <w:tc>
                <w:tcPr>
                  <w:tcW w:w="1406" w:type="pct"/>
                  <w:tcBorders>
                    <w:bottom w:val="single" w:sz="6" w:space="0" w:color="auto"/>
                  </w:tcBorders>
                  <w:shd w:val="clear" w:color="auto" w:fill="404040" w:themeFill="text1" w:themeFillTint="BF"/>
                  <w:vAlign w:val="center"/>
                </w:tcPr>
                <w:p w:rsidR="004D27C2" w:rsidRDefault="004D27C2" w:rsidP="004D27C2">
                  <w:pPr>
                    <w:keepNext/>
                    <w:keepLines/>
                    <w:spacing w:line="280" w:lineRule="exact"/>
                    <w:ind w:right="-142"/>
                    <w:rPr>
                      <w:rFonts w:cs="Arial"/>
                      <w:b/>
                      <w:bCs/>
                      <w:color w:val="FFFFFF" w:themeColor="background1"/>
                      <w:szCs w:val="20"/>
                    </w:rPr>
                  </w:pPr>
                  <w:proofErr w:type="spellStart"/>
                  <w:r w:rsidRPr="00A84CBD">
                    <w:rPr>
                      <w:rFonts w:cs="Arial"/>
                      <w:b/>
                      <w:bCs/>
                      <w:color w:val="FFFFFF" w:themeColor="background1"/>
                      <w:szCs w:val="20"/>
                    </w:rPr>
                    <w:t>Radiocommunications</w:t>
                  </w:r>
                  <w:proofErr w:type="spellEnd"/>
                  <w:r w:rsidRPr="00A84CBD">
                    <w:rPr>
                      <w:rFonts w:cs="Arial"/>
                      <w:b/>
                      <w:bCs/>
                      <w:color w:val="FFFFFF" w:themeColor="background1"/>
                      <w:szCs w:val="20"/>
                    </w:rPr>
                    <w:t xml:space="preserve"> sector</w:t>
                  </w:r>
                </w:p>
              </w:tc>
              <w:tc>
                <w:tcPr>
                  <w:tcW w:w="1107" w:type="pct"/>
                  <w:tcBorders>
                    <w:bottom w:val="single" w:sz="6" w:space="0" w:color="auto"/>
                  </w:tcBorders>
                  <w:shd w:val="clear" w:color="auto" w:fill="404040" w:themeFill="text1" w:themeFillTint="BF"/>
                  <w:vAlign w:val="center"/>
                </w:tcPr>
                <w:p w:rsidR="004D27C2" w:rsidRDefault="004D27C2" w:rsidP="004D27C2">
                  <w:pPr>
                    <w:keepNext/>
                    <w:keepLines/>
                    <w:spacing w:line="280" w:lineRule="exact"/>
                    <w:ind w:right="-142"/>
                    <w:rPr>
                      <w:rFonts w:cs="Arial"/>
                      <w:b/>
                      <w:bCs/>
                      <w:color w:val="FFFFFF" w:themeColor="background1"/>
                      <w:szCs w:val="20"/>
                    </w:rPr>
                  </w:pPr>
                  <w:r w:rsidRPr="00A84CBD">
                    <w:rPr>
                      <w:rFonts w:cs="Arial"/>
                      <w:b/>
                      <w:bCs/>
                      <w:color w:val="FFFFFF" w:themeColor="background1"/>
                      <w:szCs w:val="20"/>
                    </w:rPr>
                    <w:t>Total</w:t>
                  </w:r>
                </w:p>
              </w:tc>
            </w:tr>
            <w:tr w:rsidR="004D27C2" w:rsidRPr="00E11BCD" w:rsidTr="00070110">
              <w:trPr>
                <w:trHeight w:hRule="exact" w:val="386"/>
              </w:trPr>
              <w:tc>
                <w:tcPr>
                  <w:tcW w:w="1214" w:type="pct"/>
                  <w:shd w:val="clear" w:color="auto" w:fill="D9D9D9" w:themeFill="background1" w:themeFillShade="D9"/>
                  <w:vAlign w:val="center"/>
                </w:tcPr>
                <w:p w:rsidR="004D27C2" w:rsidRPr="000D6F80" w:rsidRDefault="004D27C2" w:rsidP="00070110">
                  <w:pPr>
                    <w:keepNext/>
                    <w:keepLines/>
                    <w:jc w:val="center"/>
                    <w:rPr>
                      <w:rFonts w:cs="Arial"/>
                      <w:b/>
                      <w:szCs w:val="20"/>
                    </w:rPr>
                  </w:pPr>
                </w:p>
              </w:tc>
              <w:tc>
                <w:tcPr>
                  <w:tcW w:w="1273" w:type="pct"/>
                  <w:shd w:val="clear" w:color="auto" w:fill="D9D9D9" w:themeFill="background1" w:themeFillShade="D9"/>
                  <w:vAlign w:val="center"/>
                </w:tcPr>
                <w:p w:rsidR="004D27C2" w:rsidRDefault="004D27C2" w:rsidP="00070110">
                  <w:pPr>
                    <w:keepNext/>
                    <w:keepLines/>
                    <w:rPr>
                      <w:rFonts w:cs="Arial"/>
                      <w:b/>
                      <w:szCs w:val="20"/>
                    </w:rPr>
                  </w:pPr>
                  <w:r w:rsidRPr="000D6F80">
                    <w:rPr>
                      <w:rFonts w:cs="Arial"/>
                      <w:b/>
                      <w:szCs w:val="20"/>
                    </w:rPr>
                    <w:t>AUD</w:t>
                  </w:r>
                </w:p>
              </w:tc>
              <w:tc>
                <w:tcPr>
                  <w:tcW w:w="1406" w:type="pct"/>
                  <w:shd w:val="clear" w:color="auto" w:fill="D9D9D9" w:themeFill="background1" w:themeFillShade="D9"/>
                  <w:vAlign w:val="center"/>
                </w:tcPr>
                <w:p w:rsidR="004D27C2" w:rsidRDefault="004D27C2" w:rsidP="00070110">
                  <w:pPr>
                    <w:keepNext/>
                    <w:keepLines/>
                    <w:rPr>
                      <w:rFonts w:cs="Arial"/>
                      <w:b/>
                      <w:szCs w:val="20"/>
                    </w:rPr>
                  </w:pPr>
                  <w:r w:rsidRPr="000D6F80">
                    <w:rPr>
                      <w:rFonts w:cs="Arial"/>
                      <w:b/>
                      <w:szCs w:val="20"/>
                    </w:rPr>
                    <w:t>AUD</w:t>
                  </w:r>
                </w:p>
              </w:tc>
              <w:tc>
                <w:tcPr>
                  <w:tcW w:w="1107" w:type="pct"/>
                  <w:shd w:val="clear" w:color="auto" w:fill="D9D9D9" w:themeFill="background1" w:themeFillShade="D9"/>
                  <w:vAlign w:val="center"/>
                </w:tcPr>
                <w:p w:rsidR="004D27C2" w:rsidRDefault="004D27C2" w:rsidP="00070110">
                  <w:pPr>
                    <w:keepNext/>
                    <w:keepLines/>
                    <w:rPr>
                      <w:rFonts w:cs="Arial"/>
                      <w:b/>
                      <w:szCs w:val="20"/>
                    </w:rPr>
                  </w:pPr>
                  <w:r w:rsidRPr="000D6F80">
                    <w:rPr>
                      <w:rFonts w:cs="Arial"/>
                      <w:b/>
                      <w:szCs w:val="20"/>
                    </w:rPr>
                    <w:t>AUD</w:t>
                  </w:r>
                </w:p>
              </w:tc>
            </w:tr>
            <w:tr w:rsidR="004D27C2" w:rsidRPr="00E11BCD" w:rsidTr="00070110">
              <w:trPr>
                <w:trHeight w:hRule="exact" w:val="386"/>
              </w:trPr>
              <w:tc>
                <w:tcPr>
                  <w:tcW w:w="1214" w:type="pct"/>
                  <w:vAlign w:val="center"/>
                </w:tcPr>
                <w:p w:rsidR="004D27C2" w:rsidRPr="00E11BCD" w:rsidRDefault="004D27C2" w:rsidP="00070110">
                  <w:pPr>
                    <w:keepNext/>
                    <w:keepLines/>
                    <w:ind w:right="-142"/>
                    <w:rPr>
                      <w:rFonts w:cs="Arial"/>
                      <w:bCs/>
                      <w:szCs w:val="20"/>
                    </w:rPr>
                  </w:pPr>
                  <w:r w:rsidRPr="00E11BCD">
                    <w:rPr>
                      <w:rFonts w:cs="Arial"/>
                      <w:bCs/>
                      <w:szCs w:val="20"/>
                    </w:rPr>
                    <w:t>201</w:t>
                  </w:r>
                  <w:r>
                    <w:rPr>
                      <w:rFonts w:cs="Arial"/>
                      <w:bCs/>
                      <w:szCs w:val="20"/>
                    </w:rPr>
                    <w:t>3</w:t>
                  </w:r>
                </w:p>
              </w:tc>
              <w:tc>
                <w:tcPr>
                  <w:tcW w:w="1273" w:type="pct"/>
                  <w:vAlign w:val="center"/>
                </w:tcPr>
                <w:p w:rsidR="004D27C2" w:rsidRDefault="004D27C2" w:rsidP="00F74ED0">
                  <w:pPr>
                    <w:keepNext/>
                    <w:keepLines/>
                    <w:jc w:val="right"/>
                    <w:rPr>
                      <w:rFonts w:cs="Arial"/>
                      <w:bCs/>
                      <w:szCs w:val="20"/>
                    </w:rPr>
                  </w:pPr>
                  <w:r>
                    <w:rPr>
                      <w:rFonts w:cs="Arial"/>
                      <w:bCs/>
                      <w:szCs w:val="20"/>
                    </w:rPr>
                    <w:t>1,601,578</w:t>
                  </w:r>
                </w:p>
              </w:tc>
              <w:tc>
                <w:tcPr>
                  <w:tcW w:w="1406" w:type="pct"/>
                  <w:vAlign w:val="center"/>
                </w:tcPr>
                <w:p w:rsidR="004D27C2" w:rsidRDefault="004D27C2" w:rsidP="00F74ED0">
                  <w:pPr>
                    <w:keepNext/>
                    <w:keepLines/>
                    <w:ind w:right="34"/>
                    <w:jc w:val="right"/>
                    <w:rPr>
                      <w:rFonts w:cs="Arial"/>
                      <w:bCs/>
                      <w:szCs w:val="20"/>
                    </w:rPr>
                  </w:pPr>
                  <w:r>
                    <w:rPr>
                      <w:rFonts w:cs="Arial"/>
                      <w:bCs/>
                      <w:szCs w:val="20"/>
                    </w:rPr>
                    <w:t>3,436,414</w:t>
                  </w:r>
                </w:p>
              </w:tc>
              <w:tc>
                <w:tcPr>
                  <w:tcW w:w="1107" w:type="pct"/>
                  <w:vAlign w:val="center"/>
                </w:tcPr>
                <w:p w:rsidR="004D27C2" w:rsidRDefault="004D27C2" w:rsidP="00F74ED0">
                  <w:pPr>
                    <w:keepNext/>
                    <w:keepLines/>
                    <w:jc w:val="right"/>
                    <w:rPr>
                      <w:rFonts w:cs="Arial"/>
                      <w:bCs/>
                      <w:szCs w:val="20"/>
                    </w:rPr>
                  </w:pPr>
                  <w:r>
                    <w:rPr>
                      <w:rFonts w:cs="Arial"/>
                      <w:bCs/>
                      <w:szCs w:val="20"/>
                    </w:rPr>
                    <w:t>5,037,992</w:t>
                  </w:r>
                </w:p>
              </w:tc>
            </w:tr>
            <w:tr w:rsidR="004D27C2" w:rsidRPr="009C16DA" w:rsidTr="00070110">
              <w:trPr>
                <w:trHeight w:hRule="exact" w:val="386"/>
              </w:trPr>
              <w:tc>
                <w:tcPr>
                  <w:tcW w:w="1214" w:type="pct"/>
                  <w:vAlign w:val="center"/>
                </w:tcPr>
                <w:p w:rsidR="004D27C2" w:rsidRPr="00E11BCD" w:rsidRDefault="004D27C2" w:rsidP="00070110">
                  <w:pPr>
                    <w:keepNext/>
                    <w:keepLines/>
                    <w:ind w:right="-142"/>
                    <w:rPr>
                      <w:rFonts w:cs="Arial"/>
                      <w:bCs/>
                      <w:szCs w:val="20"/>
                    </w:rPr>
                  </w:pPr>
                  <w:r w:rsidRPr="00E11BCD">
                    <w:rPr>
                      <w:rFonts w:cs="Arial"/>
                      <w:bCs/>
                      <w:szCs w:val="20"/>
                    </w:rPr>
                    <w:t>2012</w:t>
                  </w:r>
                </w:p>
              </w:tc>
              <w:tc>
                <w:tcPr>
                  <w:tcW w:w="1273" w:type="pct"/>
                  <w:vAlign w:val="center"/>
                </w:tcPr>
                <w:p w:rsidR="004D27C2" w:rsidRDefault="004D27C2" w:rsidP="00F74ED0">
                  <w:pPr>
                    <w:keepNext/>
                    <w:keepLines/>
                    <w:jc w:val="right"/>
                    <w:rPr>
                      <w:rFonts w:cs="Arial"/>
                      <w:bCs/>
                      <w:szCs w:val="20"/>
                    </w:rPr>
                  </w:pPr>
                  <w:r w:rsidRPr="00E11BCD">
                    <w:rPr>
                      <w:rFonts w:cs="Arial"/>
                      <w:bCs/>
                      <w:szCs w:val="20"/>
                    </w:rPr>
                    <w:t>1,680,159</w:t>
                  </w:r>
                </w:p>
              </w:tc>
              <w:tc>
                <w:tcPr>
                  <w:tcW w:w="1406" w:type="pct"/>
                  <w:vAlign w:val="center"/>
                </w:tcPr>
                <w:p w:rsidR="004D27C2" w:rsidRDefault="004D27C2" w:rsidP="00F74ED0">
                  <w:pPr>
                    <w:keepNext/>
                    <w:keepLines/>
                    <w:ind w:right="34"/>
                    <w:jc w:val="right"/>
                    <w:rPr>
                      <w:rFonts w:cs="Arial"/>
                      <w:bCs/>
                      <w:szCs w:val="20"/>
                    </w:rPr>
                  </w:pPr>
                  <w:r w:rsidRPr="00E11BCD">
                    <w:rPr>
                      <w:rFonts w:cs="Arial"/>
                      <w:bCs/>
                      <w:szCs w:val="20"/>
                    </w:rPr>
                    <w:t>3,646,914</w:t>
                  </w:r>
                </w:p>
              </w:tc>
              <w:tc>
                <w:tcPr>
                  <w:tcW w:w="1107" w:type="pct"/>
                  <w:vAlign w:val="center"/>
                </w:tcPr>
                <w:p w:rsidR="004D27C2" w:rsidRDefault="004D27C2" w:rsidP="00F74ED0">
                  <w:pPr>
                    <w:keepNext/>
                    <w:keepLines/>
                    <w:jc w:val="right"/>
                    <w:rPr>
                      <w:rFonts w:cs="Arial"/>
                      <w:bCs/>
                      <w:szCs w:val="20"/>
                    </w:rPr>
                  </w:pPr>
                  <w:r w:rsidRPr="00E11BCD">
                    <w:rPr>
                      <w:rFonts w:cs="Arial"/>
                      <w:bCs/>
                      <w:szCs w:val="20"/>
                    </w:rPr>
                    <w:t>5,327,073</w:t>
                  </w:r>
                </w:p>
              </w:tc>
            </w:tr>
            <w:tr w:rsidR="004D27C2" w:rsidRPr="00E11BCD" w:rsidTr="00070110">
              <w:trPr>
                <w:trHeight w:hRule="exact" w:val="386"/>
              </w:trPr>
              <w:tc>
                <w:tcPr>
                  <w:tcW w:w="1214" w:type="pct"/>
                  <w:vAlign w:val="center"/>
                </w:tcPr>
                <w:p w:rsidR="004D27C2" w:rsidRPr="00E11BCD" w:rsidRDefault="00070110" w:rsidP="00070110">
                  <w:pPr>
                    <w:keepNext/>
                    <w:keepLines/>
                    <w:ind w:right="-142"/>
                    <w:rPr>
                      <w:rFonts w:cs="Arial"/>
                      <w:bCs/>
                      <w:szCs w:val="20"/>
                    </w:rPr>
                  </w:pPr>
                  <w:r>
                    <w:rPr>
                      <w:rFonts w:cs="Arial"/>
                      <w:bCs/>
                      <w:szCs w:val="20"/>
                    </w:rPr>
                    <w:t>D</w:t>
                  </w:r>
                  <w:r w:rsidR="004D27C2" w:rsidRPr="00E11BCD">
                    <w:rPr>
                      <w:rFonts w:cs="Arial"/>
                      <w:bCs/>
                      <w:szCs w:val="20"/>
                    </w:rPr>
                    <w:t>ecrease</w:t>
                  </w:r>
                </w:p>
              </w:tc>
              <w:tc>
                <w:tcPr>
                  <w:tcW w:w="1273" w:type="pct"/>
                  <w:vAlign w:val="center"/>
                </w:tcPr>
                <w:p w:rsidR="004D27C2" w:rsidRDefault="004D27C2" w:rsidP="00F74ED0">
                  <w:pPr>
                    <w:keepNext/>
                    <w:keepLines/>
                    <w:jc w:val="right"/>
                    <w:rPr>
                      <w:rFonts w:cs="Arial"/>
                      <w:bCs/>
                      <w:szCs w:val="20"/>
                    </w:rPr>
                  </w:pPr>
                  <w:r>
                    <w:rPr>
                      <w:rFonts w:cs="Arial"/>
                      <w:bCs/>
                      <w:szCs w:val="20"/>
                    </w:rPr>
                    <w:t>(4.68</w:t>
                  </w:r>
                  <w:r w:rsidRPr="00E11BCD">
                    <w:rPr>
                      <w:rFonts w:cs="Arial"/>
                      <w:bCs/>
                      <w:szCs w:val="20"/>
                    </w:rPr>
                    <w:t>%</w:t>
                  </w:r>
                  <w:r>
                    <w:rPr>
                      <w:rFonts w:cs="Arial"/>
                      <w:bCs/>
                      <w:szCs w:val="20"/>
                    </w:rPr>
                    <w:t>)</w:t>
                  </w:r>
                </w:p>
              </w:tc>
              <w:tc>
                <w:tcPr>
                  <w:tcW w:w="1406" w:type="pct"/>
                  <w:vAlign w:val="center"/>
                </w:tcPr>
                <w:p w:rsidR="004D27C2" w:rsidRDefault="004D27C2" w:rsidP="00F74ED0">
                  <w:pPr>
                    <w:keepNext/>
                    <w:keepLines/>
                    <w:jc w:val="right"/>
                    <w:rPr>
                      <w:rFonts w:cs="Arial"/>
                      <w:bCs/>
                      <w:szCs w:val="20"/>
                    </w:rPr>
                  </w:pPr>
                  <w:r>
                    <w:rPr>
                      <w:rFonts w:cs="Arial"/>
                      <w:bCs/>
                      <w:szCs w:val="20"/>
                    </w:rPr>
                    <w:t>(5.77%)</w:t>
                  </w:r>
                </w:p>
              </w:tc>
              <w:tc>
                <w:tcPr>
                  <w:tcW w:w="1107" w:type="pct"/>
                  <w:vAlign w:val="center"/>
                </w:tcPr>
                <w:p w:rsidR="004D27C2" w:rsidRDefault="004D27C2" w:rsidP="00F74ED0">
                  <w:pPr>
                    <w:keepNext/>
                    <w:keepLines/>
                    <w:jc w:val="right"/>
                    <w:rPr>
                      <w:rFonts w:cs="Arial"/>
                      <w:bCs/>
                      <w:szCs w:val="20"/>
                    </w:rPr>
                  </w:pPr>
                  <w:r>
                    <w:rPr>
                      <w:rFonts w:cs="Arial"/>
                      <w:bCs/>
                      <w:szCs w:val="20"/>
                    </w:rPr>
                    <w:t>(5.43</w:t>
                  </w:r>
                  <w:r w:rsidRPr="00E11BCD">
                    <w:rPr>
                      <w:rFonts w:cs="Arial"/>
                      <w:bCs/>
                      <w:szCs w:val="20"/>
                    </w:rPr>
                    <w:t>%</w:t>
                  </w:r>
                  <w:r>
                    <w:rPr>
                      <w:rFonts w:cs="Arial"/>
                      <w:bCs/>
                      <w:szCs w:val="20"/>
                    </w:rPr>
                    <w:t>)</w:t>
                  </w:r>
                </w:p>
              </w:tc>
            </w:tr>
            <w:tr w:rsidR="004D27C2" w:rsidRPr="00E11BCD" w:rsidTr="00070110">
              <w:trPr>
                <w:trHeight w:hRule="exact" w:val="386"/>
              </w:trPr>
              <w:tc>
                <w:tcPr>
                  <w:tcW w:w="1214" w:type="pct"/>
                  <w:vAlign w:val="center"/>
                </w:tcPr>
                <w:p w:rsidR="004D27C2" w:rsidRPr="00E11BCD" w:rsidRDefault="004D27C2" w:rsidP="00070110">
                  <w:pPr>
                    <w:keepNext/>
                    <w:keepLines/>
                    <w:ind w:right="-142"/>
                    <w:rPr>
                      <w:rFonts w:cs="Arial"/>
                      <w:bCs/>
                      <w:szCs w:val="20"/>
                    </w:rPr>
                  </w:pPr>
                  <w:r>
                    <w:rPr>
                      <w:rFonts w:cs="Arial"/>
                      <w:bCs/>
                      <w:szCs w:val="20"/>
                    </w:rPr>
                    <w:t>Ratio 2013</w:t>
                  </w:r>
                </w:p>
              </w:tc>
              <w:tc>
                <w:tcPr>
                  <w:tcW w:w="1273" w:type="pct"/>
                  <w:vAlign w:val="center"/>
                </w:tcPr>
                <w:p w:rsidR="004D27C2" w:rsidRDefault="004D27C2" w:rsidP="00F74ED0">
                  <w:pPr>
                    <w:keepNext/>
                    <w:keepLines/>
                    <w:jc w:val="right"/>
                    <w:rPr>
                      <w:rFonts w:cs="Arial"/>
                      <w:bCs/>
                      <w:szCs w:val="20"/>
                    </w:rPr>
                  </w:pPr>
                  <w:r>
                    <w:rPr>
                      <w:rFonts w:cs="Arial"/>
                      <w:bCs/>
                      <w:szCs w:val="20"/>
                    </w:rPr>
                    <w:t>31.79</w:t>
                  </w:r>
                  <w:r w:rsidRPr="00E11BCD">
                    <w:rPr>
                      <w:rFonts w:cs="Arial"/>
                      <w:bCs/>
                      <w:szCs w:val="20"/>
                    </w:rPr>
                    <w:t>%</w:t>
                  </w:r>
                </w:p>
              </w:tc>
              <w:tc>
                <w:tcPr>
                  <w:tcW w:w="1406" w:type="pct"/>
                  <w:vAlign w:val="center"/>
                </w:tcPr>
                <w:p w:rsidR="004D27C2" w:rsidRDefault="004D27C2" w:rsidP="00F74ED0">
                  <w:pPr>
                    <w:keepNext/>
                    <w:keepLines/>
                    <w:ind w:right="34"/>
                    <w:jc w:val="right"/>
                    <w:rPr>
                      <w:rFonts w:cs="Arial"/>
                      <w:bCs/>
                      <w:szCs w:val="20"/>
                    </w:rPr>
                  </w:pPr>
                  <w:r>
                    <w:rPr>
                      <w:rFonts w:cs="Arial"/>
                      <w:bCs/>
                      <w:szCs w:val="20"/>
                    </w:rPr>
                    <w:t>68.21</w:t>
                  </w:r>
                  <w:r w:rsidRPr="00E11BCD">
                    <w:rPr>
                      <w:rFonts w:cs="Arial"/>
                      <w:bCs/>
                      <w:szCs w:val="20"/>
                    </w:rPr>
                    <w:t>%</w:t>
                  </w:r>
                </w:p>
              </w:tc>
              <w:tc>
                <w:tcPr>
                  <w:tcW w:w="1107" w:type="pct"/>
                  <w:vAlign w:val="center"/>
                </w:tcPr>
                <w:p w:rsidR="004D27C2" w:rsidRPr="00E11BCD" w:rsidRDefault="004D27C2" w:rsidP="00F74ED0">
                  <w:pPr>
                    <w:keepNext/>
                    <w:keepLines/>
                    <w:jc w:val="right"/>
                    <w:rPr>
                      <w:rFonts w:cs="Arial"/>
                      <w:bCs/>
                      <w:szCs w:val="20"/>
                    </w:rPr>
                  </w:pPr>
                  <w:r w:rsidRPr="00E11BCD">
                    <w:rPr>
                      <w:rFonts w:cs="Arial"/>
                      <w:bCs/>
                      <w:szCs w:val="20"/>
                    </w:rPr>
                    <w:t> </w:t>
                  </w:r>
                </w:p>
              </w:tc>
            </w:tr>
            <w:tr w:rsidR="004D27C2" w:rsidRPr="00E11BCD" w:rsidTr="00070110">
              <w:trPr>
                <w:trHeight w:hRule="exact" w:val="386"/>
              </w:trPr>
              <w:tc>
                <w:tcPr>
                  <w:tcW w:w="1214" w:type="pct"/>
                  <w:tcBorders>
                    <w:bottom w:val="single" w:sz="6" w:space="0" w:color="auto"/>
                  </w:tcBorders>
                  <w:vAlign w:val="center"/>
                </w:tcPr>
                <w:p w:rsidR="004D27C2" w:rsidRPr="00E11BCD" w:rsidRDefault="004D27C2" w:rsidP="00070110">
                  <w:pPr>
                    <w:keepNext/>
                    <w:keepLines/>
                    <w:ind w:right="-142"/>
                    <w:rPr>
                      <w:rFonts w:cs="Arial"/>
                      <w:bCs/>
                      <w:szCs w:val="20"/>
                    </w:rPr>
                  </w:pPr>
                  <w:r w:rsidRPr="00E11BCD">
                    <w:rPr>
                      <w:rFonts w:cs="Arial"/>
                      <w:bCs/>
                      <w:szCs w:val="20"/>
                    </w:rPr>
                    <w:t>Ratio 2012</w:t>
                  </w:r>
                </w:p>
              </w:tc>
              <w:tc>
                <w:tcPr>
                  <w:tcW w:w="1273" w:type="pct"/>
                  <w:tcBorders>
                    <w:bottom w:val="single" w:sz="6" w:space="0" w:color="auto"/>
                  </w:tcBorders>
                  <w:vAlign w:val="center"/>
                </w:tcPr>
                <w:p w:rsidR="004D27C2" w:rsidRDefault="004D27C2" w:rsidP="00F74ED0">
                  <w:pPr>
                    <w:keepNext/>
                    <w:keepLines/>
                    <w:jc w:val="right"/>
                    <w:rPr>
                      <w:rFonts w:cs="Arial"/>
                      <w:bCs/>
                      <w:szCs w:val="20"/>
                    </w:rPr>
                  </w:pPr>
                  <w:r w:rsidRPr="00E11BCD">
                    <w:rPr>
                      <w:rFonts w:cs="Arial"/>
                      <w:bCs/>
                      <w:szCs w:val="20"/>
                    </w:rPr>
                    <w:t>31.54%</w:t>
                  </w:r>
                </w:p>
              </w:tc>
              <w:tc>
                <w:tcPr>
                  <w:tcW w:w="1406" w:type="pct"/>
                  <w:tcBorders>
                    <w:bottom w:val="single" w:sz="6" w:space="0" w:color="auto"/>
                  </w:tcBorders>
                  <w:vAlign w:val="center"/>
                </w:tcPr>
                <w:p w:rsidR="004D27C2" w:rsidRDefault="004D27C2" w:rsidP="00F74ED0">
                  <w:pPr>
                    <w:keepNext/>
                    <w:keepLines/>
                    <w:ind w:right="34"/>
                    <w:jc w:val="right"/>
                    <w:rPr>
                      <w:rFonts w:cs="Arial"/>
                      <w:bCs/>
                      <w:szCs w:val="20"/>
                    </w:rPr>
                  </w:pPr>
                  <w:r w:rsidRPr="00E11BCD">
                    <w:rPr>
                      <w:rFonts w:cs="Arial"/>
                      <w:bCs/>
                      <w:szCs w:val="20"/>
                    </w:rPr>
                    <w:t>68.46%</w:t>
                  </w:r>
                </w:p>
              </w:tc>
              <w:tc>
                <w:tcPr>
                  <w:tcW w:w="1107" w:type="pct"/>
                  <w:tcBorders>
                    <w:bottom w:val="single" w:sz="6" w:space="0" w:color="auto"/>
                  </w:tcBorders>
                  <w:vAlign w:val="center"/>
                </w:tcPr>
                <w:p w:rsidR="004D27C2" w:rsidRPr="00E11BCD" w:rsidRDefault="004D27C2" w:rsidP="00F74ED0">
                  <w:pPr>
                    <w:keepNext/>
                    <w:keepLines/>
                    <w:jc w:val="right"/>
                    <w:rPr>
                      <w:rFonts w:cs="Arial"/>
                      <w:bCs/>
                      <w:szCs w:val="20"/>
                    </w:rPr>
                  </w:pPr>
                  <w:r w:rsidRPr="00E11BCD">
                    <w:rPr>
                      <w:rFonts w:cs="Arial"/>
                      <w:bCs/>
                      <w:szCs w:val="20"/>
                    </w:rPr>
                    <w:t> </w:t>
                  </w:r>
                </w:p>
              </w:tc>
            </w:tr>
            <w:tr w:rsidR="004D27C2" w:rsidRPr="00E11BCD" w:rsidTr="00070110">
              <w:trPr>
                <w:trHeight w:hRule="exact" w:val="386"/>
              </w:trPr>
              <w:tc>
                <w:tcPr>
                  <w:tcW w:w="1214" w:type="pct"/>
                  <w:shd w:val="clear" w:color="auto" w:fill="D9D9D9" w:themeFill="background1" w:themeFillShade="D9"/>
                  <w:vAlign w:val="center"/>
                </w:tcPr>
                <w:p w:rsidR="004D27C2" w:rsidRPr="000D6F80" w:rsidRDefault="004D27C2" w:rsidP="00070110">
                  <w:pPr>
                    <w:keepNext/>
                    <w:keepLines/>
                    <w:ind w:right="-142"/>
                    <w:jc w:val="center"/>
                    <w:rPr>
                      <w:rFonts w:cs="Arial"/>
                      <w:b/>
                      <w:szCs w:val="20"/>
                    </w:rPr>
                  </w:pPr>
                </w:p>
              </w:tc>
              <w:tc>
                <w:tcPr>
                  <w:tcW w:w="1273" w:type="pct"/>
                  <w:shd w:val="clear" w:color="auto" w:fill="D9D9D9" w:themeFill="background1" w:themeFillShade="D9"/>
                  <w:vAlign w:val="center"/>
                </w:tcPr>
                <w:p w:rsidR="004D27C2" w:rsidRDefault="004D27C2" w:rsidP="004D27C2">
                  <w:pPr>
                    <w:keepNext/>
                    <w:keepLines/>
                    <w:rPr>
                      <w:rFonts w:cs="Arial"/>
                      <w:b/>
                      <w:szCs w:val="20"/>
                    </w:rPr>
                  </w:pPr>
                  <w:r w:rsidRPr="000D6F80">
                    <w:rPr>
                      <w:rFonts w:cs="Arial"/>
                      <w:b/>
                      <w:szCs w:val="20"/>
                    </w:rPr>
                    <w:t>SWISS FRANCS</w:t>
                  </w:r>
                </w:p>
              </w:tc>
              <w:tc>
                <w:tcPr>
                  <w:tcW w:w="1406" w:type="pct"/>
                  <w:shd w:val="clear" w:color="auto" w:fill="D9D9D9" w:themeFill="background1" w:themeFillShade="D9"/>
                  <w:vAlign w:val="center"/>
                </w:tcPr>
                <w:p w:rsidR="004D27C2" w:rsidRDefault="004D27C2" w:rsidP="004D27C2">
                  <w:pPr>
                    <w:keepNext/>
                    <w:keepLines/>
                    <w:ind w:right="34"/>
                    <w:rPr>
                      <w:rFonts w:cs="Arial"/>
                      <w:b/>
                      <w:szCs w:val="20"/>
                    </w:rPr>
                  </w:pPr>
                  <w:r w:rsidRPr="000D6F80">
                    <w:rPr>
                      <w:rFonts w:cs="Arial"/>
                      <w:b/>
                      <w:szCs w:val="20"/>
                    </w:rPr>
                    <w:t>SWISS FRANCS</w:t>
                  </w:r>
                </w:p>
              </w:tc>
              <w:tc>
                <w:tcPr>
                  <w:tcW w:w="1107" w:type="pct"/>
                  <w:shd w:val="clear" w:color="auto" w:fill="D9D9D9" w:themeFill="background1" w:themeFillShade="D9"/>
                  <w:vAlign w:val="center"/>
                </w:tcPr>
                <w:p w:rsidR="004D27C2" w:rsidRDefault="004D27C2" w:rsidP="004D27C2">
                  <w:pPr>
                    <w:keepNext/>
                    <w:keepLines/>
                    <w:rPr>
                      <w:rFonts w:cs="Arial"/>
                      <w:b/>
                      <w:szCs w:val="20"/>
                    </w:rPr>
                  </w:pPr>
                  <w:r w:rsidRPr="000D6F80">
                    <w:rPr>
                      <w:rFonts w:cs="Arial"/>
                      <w:b/>
                      <w:szCs w:val="20"/>
                    </w:rPr>
                    <w:t>SWISS FRANCS</w:t>
                  </w:r>
                </w:p>
              </w:tc>
            </w:tr>
            <w:tr w:rsidR="004D27C2" w:rsidRPr="00E11BCD" w:rsidTr="00070110">
              <w:trPr>
                <w:trHeight w:hRule="exact" w:val="386"/>
              </w:trPr>
              <w:tc>
                <w:tcPr>
                  <w:tcW w:w="1214" w:type="pct"/>
                  <w:vAlign w:val="center"/>
                </w:tcPr>
                <w:p w:rsidR="004D27C2" w:rsidRPr="00E11BCD" w:rsidRDefault="004D27C2" w:rsidP="00070110">
                  <w:pPr>
                    <w:keepLines/>
                    <w:ind w:right="-142"/>
                    <w:rPr>
                      <w:rFonts w:cs="Arial"/>
                      <w:bCs/>
                      <w:szCs w:val="20"/>
                    </w:rPr>
                  </w:pPr>
                  <w:r>
                    <w:rPr>
                      <w:rFonts w:cs="Arial"/>
                      <w:bCs/>
                      <w:szCs w:val="20"/>
                    </w:rPr>
                    <w:t>2013</w:t>
                  </w:r>
                </w:p>
              </w:tc>
              <w:tc>
                <w:tcPr>
                  <w:tcW w:w="1273" w:type="pct"/>
                  <w:vAlign w:val="center"/>
                </w:tcPr>
                <w:p w:rsidR="004D27C2" w:rsidRDefault="004D27C2" w:rsidP="00F74ED0">
                  <w:pPr>
                    <w:keepLines/>
                    <w:jc w:val="right"/>
                    <w:rPr>
                      <w:rFonts w:cs="Arial"/>
                      <w:bCs/>
                      <w:szCs w:val="20"/>
                    </w:rPr>
                  </w:pPr>
                  <w:r>
                    <w:rPr>
                      <w:rFonts w:cs="Arial"/>
                      <w:bCs/>
                      <w:szCs w:val="20"/>
                    </w:rPr>
                    <w:t>1,502,078</w:t>
                  </w:r>
                </w:p>
              </w:tc>
              <w:tc>
                <w:tcPr>
                  <w:tcW w:w="1406" w:type="pct"/>
                  <w:vAlign w:val="center"/>
                </w:tcPr>
                <w:p w:rsidR="004D27C2" w:rsidRDefault="004D27C2" w:rsidP="00F74ED0">
                  <w:pPr>
                    <w:keepLines/>
                    <w:ind w:right="34"/>
                    <w:jc w:val="right"/>
                    <w:rPr>
                      <w:rFonts w:cs="Arial"/>
                      <w:bCs/>
                      <w:szCs w:val="20"/>
                    </w:rPr>
                  </w:pPr>
                  <w:r>
                    <w:rPr>
                      <w:rFonts w:cs="Arial"/>
                      <w:bCs/>
                      <w:szCs w:val="20"/>
                    </w:rPr>
                    <w:t>3,222,922</w:t>
                  </w:r>
                </w:p>
              </w:tc>
              <w:tc>
                <w:tcPr>
                  <w:tcW w:w="1107" w:type="pct"/>
                  <w:vAlign w:val="center"/>
                </w:tcPr>
                <w:p w:rsidR="004D27C2" w:rsidRDefault="004D27C2" w:rsidP="00F74ED0">
                  <w:pPr>
                    <w:keepLines/>
                    <w:jc w:val="right"/>
                    <w:rPr>
                      <w:rFonts w:cs="Arial"/>
                      <w:bCs/>
                      <w:szCs w:val="20"/>
                    </w:rPr>
                  </w:pPr>
                  <w:r w:rsidRPr="00E11BCD">
                    <w:rPr>
                      <w:rFonts w:cs="Arial"/>
                      <w:bCs/>
                      <w:szCs w:val="20"/>
                    </w:rPr>
                    <w:t>4,725,000</w:t>
                  </w:r>
                </w:p>
              </w:tc>
            </w:tr>
            <w:tr w:rsidR="004D27C2" w:rsidRPr="00E11BCD" w:rsidTr="00070110">
              <w:trPr>
                <w:trHeight w:hRule="exact" w:val="386"/>
              </w:trPr>
              <w:tc>
                <w:tcPr>
                  <w:tcW w:w="1214" w:type="pct"/>
                  <w:vAlign w:val="center"/>
                </w:tcPr>
                <w:p w:rsidR="004D27C2" w:rsidRPr="00E11BCD" w:rsidRDefault="004D27C2" w:rsidP="00070110">
                  <w:pPr>
                    <w:keepLines/>
                    <w:ind w:right="-142"/>
                    <w:rPr>
                      <w:rFonts w:cs="Arial"/>
                      <w:bCs/>
                      <w:szCs w:val="20"/>
                    </w:rPr>
                  </w:pPr>
                  <w:r w:rsidRPr="00E11BCD">
                    <w:rPr>
                      <w:rFonts w:cs="Arial"/>
                      <w:bCs/>
                      <w:szCs w:val="20"/>
                    </w:rPr>
                    <w:t>2012</w:t>
                  </w:r>
                </w:p>
              </w:tc>
              <w:tc>
                <w:tcPr>
                  <w:tcW w:w="1273" w:type="pct"/>
                  <w:vAlign w:val="center"/>
                </w:tcPr>
                <w:p w:rsidR="004D27C2" w:rsidRDefault="004D27C2" w:rsidP="00F74ED0">
                  <w:pPr>
                    <w:keepLines/>
                    <w:jc w:val="right"/>
                    <w:rPr>
                      <w:rFonts w:cs="Arial"/>
                      <w:bCs/>
                      <w:szCs w:val="20"/>
                    </w:rPr>
                  </w:pPr>
                  <w:r w:rsidRPr="00E11BCD">
                    <w:rPr>
                      <w:rFonts w:cs="Arial"/>
                      <w:bCs/>
                      <w:szCs w:val="20"/>
                    </w:rPr>
                    <w:t>1,490,265</w:t>
                  </w:r>
                </w:p>
              </w:tc>
              <w:tc>
                <w:tcPr>
                  <w:tcW w:w="1406" w:type="pct"/>
                  <w:vAlign w:val="center"/>
                </w:tcPr>
                <w:p w:rsidR="004D27C2" w:rsidRDefault="004D27C2" w:rsidP="00F74ED0">
                  <w:pPr>
                    <w:keepLines/>
                    <w:ind w:right="34"/>
                    <w:jc w:val="right"/>
                    <w:rPr>
                      <w:rFonts w:cs="Arial"/>
                      <w:bCs/>
                      <w:szCs w:val="20"/>
                    </w:rPr>
                  </w:pPr>
                  <w:r w:rsidRPr="00E11BCD">
                    <w:rPr>
                      <w:rFonts w:cs="Arial"/>
                      <w:bCs/>
                      <w:szCs w:val="20"/>
                    </w:rPr>
                    <w:t>3,234,735</w:t>
                  </w:r>
                </w:p>
              </w:tc>
              <w:tc>
                <w:tcPr>
                  <w:tcW w:w="1107" w:type="pct"/>
                  <w:vAlign w:val="center"/>
                </w:tcPr>
                <w:p w:rsidR="004D27C2" w:rsidRDefault="004D27C2" w:rsidP="00F74ED0">
                  <w:pPr>
                    <w:keepLines/>
                    <w:jc w:val="right"/>
                    <w:rPr>
                      <w:rFonts w:cs="Arial"/>
                      <w:bCs/>
                      <w:szCs w:val="20"/>
                    </w:rPr>
                  </w:pPr>
                  <w:r w:rsidRPr="00E11BCD">
                    <w:rPr>
                      <w:rFonts w:cs="Arial"/>
                      <w:bCs/>
                      <w:szCs w:val="20"/>
                    </w:rPr>
                    <w:t>4,725,000</w:t>
                  </w:r>
                </w:p>
              </w:tc>
            </w:tr>
            <w:tr w:rsidR="004D27C2" w:rsidRPr="00E11BCD" w:rsidTr="00070110">
              <w:trPr>
                <w:trHeight w:hRule="exact" w:val="386"/>
              </w:trPr>
              <w:tc>
                <w:tcPr>
                  <w:tcW w:w="1214" w:type="pct"/>
                  <w:vAlign w:val="center"/>
                </w:tcPr>
                <w:p w:rsidR="004D27C2" w:rsidRPr="00E11BCD" w:rsidRDefault="004D27C2" w:rsidP="00070110">
                  <w:pPr>
                    <w:keepLines/>
                    <w:ind w:right="-142"/>
                    <w:rPr>
                      <w:rFonts w:cs="Arial"/>
                      <w:bCs/>
                      <w:szCs w:val="20"/>
                    </w:rPr>
                  </w:pPr>
                  <w:r w:rsidRPr="00E11BCD">
                    <w:rPr>
                      <w:rFonts w:cs="Arial"/>
                      <w:bCs/>
                      <w:szCs w:val="20"/>
                    </w:rPr>
                    <w:t>Increase/(</w:t>
                  </w:r>
                  <w:r>
                    <w:rPr>
                      <w:rFonts w:cs="Arial"/>
                      <w:bCs/>
                      <w:szCs w:val="20"/>
                    </w:rPr>
                    <w:t>d</w:t>
                  </w:r>
                  <w:r w:rsidRPr="00E11BCD">
                    <w:rPr>
                      <w:rFonts w:cs="Arial"/>
                      <w:bCs/>
                      <w:szCs w:val="20"/>
                    </w:rPr>
                    <w:t>ecrease)</w:t>
                  </w:r>
                  <w:r>
                    <w:rPr>
                      <w:rFonts w:cs="Arial"/>
                      <w:bCs/>
                      <w:szCs w:val="20"/>
                    </w:rPr>
                    <w:t>*</w:t>
                  </w:r>
                </w:p>
              </w:tc>
              <w:tc>
                <w:tcPr>
                  <w:tcW w:w="1273" w:type="pct"/>
                  <w:vAlign w:val="center"/>
                </w:tcPr>
                <w:p w:rsidR="004D27C2" w:rsidRDefault="004D27C2" w:rsidP="00F74ED0">
                  <w:pPr>
                    <w:keepLines/>
                    <w:jc w:val="right"/>
                    <w:rPr>
                      <w:rFonts w:cs="Arial"/>
                      <w:bCs/>
                      <w:szCs w:val="20"/>
                    </w:rPr>
                  </w:pPr>
                  <w:r>
                    <w:rPr>
                      <w:rFonts w:cs="Arial"/>
                      <w:bCs/>
                      <w:szCs w:val="20"/>
                    </w:rPr>
                    <w:t>0.79</w:t>
                  </w:r>
                  <w:r w:rsidRPr="00E11BCD">
                    <w:rPr>
                      <w:rFonts w:cs="Arial"/>
                      <w:bCs/>
                      <w:szCs w:val="20"/>
                    </w:rPr>
                    <w:t>%</w:t>
                  </w:r>
                </w:p>
              </w:tc>
              <w:tc>
                <w:tcPr>
                  <w:tcW w:w="1406" w:type="pct"/>
                  <w:vAlign w:val="center"/>
                </w:tcPr>
                <w:p w:rsidR="004D27C2" w:rsidRDefault="004D27C2" w:rsidP="00F74ED0">
                  <w:pPr>
                    <w:keepLines/>
                    <w:ind w:right="34"/>
                    <w:jc w:val="right"/>
                    <w:rPr>
                      <w:rFonts w:cs="Arial"/>
                      <w:bCs/>
                      <w:szCs w:val="20"/>
                    </w:rPr>
                  </w:pPr>
                  <w:r>
                    <w:rPr>
                      <w:rFonts w:cs="Arial"/>
                      <w:bCs/>
                      <w:szCs w:val="20"/>
                    </w:rPr>
                    <w:t>(0.37</w:t>
                  </w:r>
                  <w:r w:rsidRPr="00E11BCD">
                    <w:rPr>
                      <w:rFonts w:cs="Arial"/>
                      <w:bCs/>
                      <w:szCs w:val="20"/>
                    </w:rPr>
                    <w:t>%)</w:t>
                  </w:r>
                </w:p>
              </w:tc>
              <w:tc>
                <w:tcPr>
                  <w:tcW w:w="1107" w:type="pct"/>
                  <w:vAlign w:val="center"/>
                </w:tcPr>
                <w:p w:rsidR="004D27C2" w:rsidRPr="00E11BCD" w:rsidRDefault="004D27C2" w:rsidP="00F74ED0">
                  <w:pPr>
                    <w:keepLines/>
                    <w:jc w:val="right"/>
                    <w:rPr>
                      <w:rFonts w:cs="Arial"/>
                      <w:bCs/>
                      <w:szCs w:val="20"/>
                    </w:rPr>
                  </w:pPr>
                  <w:r w:rsidRPr="00E11BCD">
                    <w:rPr>
                      <w:rFonts w:cs="Arial"/>
                      <w:bCs/>
                      <w:szCs w:val="20"/>
                    </w:rPr>
                    <w:t> </w:t>
                  </w:r>
                </w:p>
              </w:tc>
            </w:tr>
            <w:tr w:rsidR="004D27C2" w:rsidRPr="00E11BCD" w:rsidTr="00070110">
              <w:trPr>
                <w:trHeight w:hRule="exact" w:val="386"/>
              </w:trPr>
              <w:tc>
                <w:tcPr>
                  <w:tcW w:w="1214" w:type="pct"/>
                  <w:vAlign w:val="center"/>
                </w:tcPr>
                <w:p w:rsidR="004D27C2" w:rsidRPr="00E11BCD" w:rsidRDefault="004D27C2" w:rsidP="00070110">
                  <w:pPr>
                    <w:keepLines/>
                    <w:ind w:right="-142"/>
                    <w:rPr>
                      <w:rFonts w:cs="Arial"/>
                      <w:bCs/>
                      <w:szCs w:val="20"/>
                    </w:rPr>
                  </w:pPr>
                  <w:r w:rsidRPr="00E11BCD">
                    <w:rPr>
                      <w:rFonts w:cs="Arial"/>
                      <w:bCs/>
                      <w:szCs w:val="20"/>
                    </w:rPr>
                    <w:t>Ratio 201</w:t>
                  </w:r>
                  <w:r>
                    <w:rPr>
                      <w:rFonts w:cs="Arial"/>
                      <w:bCs/>
                      <w:szCs w:val="20"/>
                    </w:rPr>
                    <w:t>3</w:t>
                  </w:r>
                </w:p>
              </w:tc>
              <w:tc>
                <w:tcPr>
                  <w:tcW w:w="1273" w:type="pct"/>
                  <w:vAlign w:val="center"/>
                </w:tcPr>
                <w:p w:rsidR="004D27C2" w:rsidRDefault="004D27C2" w:rsidP="00F74ED0">
                  <w:pPr>
                    <w:keepLines/>
                    <w:jc w:val="right"/>
                    <w:rPr>
                      <w:rFonts w:cs="Arial"/>
                      <w:bCs/>
                      <w:szCs w:val="20"/>
                    </w:rPr>
                  </w:pPr>
                  <w:r>
                    <w:rPr>
                      <w:rFonts w:cs="Arial"/>
                      <w:bCs/>
                      <w:szCs w:val="20"/>
                    </w:rPr>
                    <w:t>31.79</w:t>
                  </w:r>
                  <w:r w:rsidRPr="00E11BCD">
                    <w:rPr>
                      <w:rFonts w:cs="Arial"/>
                      <w:bCs/>
                      <w:szCs w:val="20"/>
                    </w:rPr>
                    <w:t>%</w:t>
                  </w:r>
                </w:p>
              </w:tc>
              <w:tc>
                <w:tcPr>
                  <w:tcW w:w="1406" w:type="pct"/>
                  <w:vAlign w:val="center"/>
                </w:tcPr>
                <w:p w:rsidR="004D27C2" w:rsidRDefault="004D27C2" w:rsidP="00F74ED0">
                  <w:pPr>
                    <w:keepLines/>
                    <w:ind w:right="34"/>
                    <w:jc w:val="right"/>
                    <w:rPr>
                      <w:rFonts w:cs="Arial"/>
                      <w:bCs/>
                      <w:szCs w:val="20"/>
                    </w:rPr>
                  </w:pPr>
                  <w:r>
                    <w:rPr>
                      <w:rFonts w:cs="Arial"/>
                      <w:bCs/>
                      <w:szCs w:val="20"/>
                    </w:rPr>
                    <w:t>68.21</w:t>
                  </w:r>
                  <w:r w:rsidRPr="00E11BCD">
                    <w:rPr>
                      <w:rFonts w:cs="Arial"/>
                      <w:bCs/>
                      <w:szCs w:val="20"/>
                    </w:rPr>
                    <w:t>%</w:t>
                  </w:r>
                </w:p>
              </w:tc>
              <w:tc>
                <w:tcPr>
                  <w:tcW w:w="1107" w:type="pct"/>
                  <w:vAlign w:val="center"/>
                </w:tcPr>
                <w:p w:rsidR="004D27C2" w:rsidRPr="00E11BCD" w:rsidRDefault="004D27C2" w:rsidP="00F74ED0">
                  <w:pPr>
                    <w:keepLines/>
                    <w:jc w:val="right"/>
                    <w:rPr>
                      <w:rFonts w:cs="Arial"/>
                      <w:bCs/>
                      <w:szCs w:val="20"/>
                    </w:rPr>
                  </w:pPr>
                  <w:r w:rsidRPr="00E11BCD">
                    <w:rPr>
                      <w:rFonts w:cs="Arial"/>
                      <w:bCs/>
                      <w:szCs w:val="20"/>
                    </w:rPr>
                    <w:t> </w:t>
                  </w:r>
                </w:p>
              </w:tc>
            </w:tr>
            <w:tr w:rsidR="004D27C2" w:rsidRPr="00E11BCD" w:rsidTr="00070110">
              <w:trPr>
                <w:trHeight w:hRule="exact" w:val="386"/>
              </w:trPr>
              <w:tc>
                <w:tcPr>
                  <w:tcW w:w="1214" w:type="pct"/>
                  <w:vAlign w:val="center"/>
                </w:tcPr>
                <w:p w:rsidR="004D27C2" w:rsidRPr="00E11BCD" w:rsidRDefault="004D27C2" w:rsidP="00070110">
                  <w:pPr>
                    <w:keepLines/>
                    <w:ind w:right="-142"/>
                    <w:rPr>
                      <w:rFonts w:cs="Arial"/>
                      <w:bCs/>
                      <w:szCs w:val="20"/>
                    </w:rPr>
                  </w:pPr>
                  <w:r w:rsidRPr="00E11BCD">
                    <w:rPr>
                      <w:rFonts w:cs="Arial"/>
                      <w:bCs/>
                      <w:szCs w:val="20"/>
                    </w:rPr>
                    <w:t>Ratio 2012</w:t>
                  </w:r>
                </w:p>
              </w:tc>
              <w:tc>
                <w:tcPr>
                  <w:tcW w:w="1273" w:type="pct"/>
                  <w:vAlign w:val="center"/>
                </w:tcPr>
                <w:p w:rsidR="004D27C2" w:rsidRDefault="004D27C2" w:rsidP="00F74ED0">
                  <w:pPr>
                    <w:keepLines/>
                    <w:jc w:val="right"/>
                    <w:rPr>
                      <w:rFonts w:cs="Arial"/>
                      <w:bCs/>
                      <w:szCs w:val="20"/>
                    </w:rPr>
                  </w:pPr>
                  <w:r w:rsidRPr="00E11BCD">
                    <w:rPr>
                      <w:rFonts w:cs="Arial"/>
                      <w:bCs/>
                      <w:szCs w:val="20"/>
                    </w:rPr>
                    <w:t>31.54%</w:t>
                  </w:r>
                </w:p>
              </w:tc>
              <w:tc>
                <w:tcPr>
                  <w:tcW w:w="1406" w:type="pct"/>
                  <w:vAlign w:val="center"/>
                </w:tcPr>
                <w:p w:rsidR="004D27C2" w:rsidRDefault="004D27C2" w:rsidP="00F74ED0">
                  <w:pPr>
                    <w:keepLines/>
                    <w:ind w:right="34"/>
                    <w:jc w:val="right"/>
                    <w:rPr>
                      <w:rFonts w:cs="Arial"/>
                      <w:bCs/>
                      <w:szCs w:val="20"/>
                    </w:rPr>
                  </w:pPr>
                  <w:r w:rsidRPr="00E11BCD">
                    <w:rPr>
                      <w:rFonts w:cs="Arial"/>
                      <w:bCs/>
                      <w:szCs w:val="20"/>
                    </w:rPr>
                    <w:t>68.46%</w:t>
                  </w:r>
                </w:p>
              </w:tc>
              <w:tc>
                <w:tcPr>
                  <w:tcW w:w="1107" w:type="pct"/>
                  <w:vAlign w:val="center"/>
                </w:tcPr>
                <w:p w:rsidR="004D27C2" w:rsidRPr="00E11BCD" w:rsidRDefault="004D27C2" w:rsidP="00F74ED0">
                  <w:pPr>
                    <w:keepLines/>
                    <w:jc w:val="right"/>
                    <w:rPr>
                      <w:rFonts w:cs="Arial"/>
                      <w:bCs/>
                      <w:szCs w:val="20"/>
                    </w:rPr>
                  </w:pPr>
                  <w:r w:rsidRPr="00E11BCD">
                    <w:rPr>
                      <w:rFonts w:cs="Arial"/>
                      <w:bCs/>
                      <w:szCs w:val="20"/>
                    </w:rPr>
                    <w:t> </w:t>
                  </w:r>
                </w:p>
              </w:tc>
            </w:tr>
          </w:tbl>
          <w:p w:rsidR="004D27C2" w:rsidRDefault="004D27C2"/>
        </w:tc>
      </w:tr>
      <w:tr w:rsidR="004D27C2">
        <w:trPr>
          <w:trHeight w:val="291"/>
        </w:trPr>
        <w:tc>
          <w:tcPr>
            <w:tcW w:w="9645" w:type="dxa"/>
            <w:tcBorders>
              <w:bottom w:val="single" w:sz="2" w:space="0" w:color="505050"/>
            </w:tcBorders>
            <w:shd w:val="clear" w:color="auto" w:fill="auto"/>
          </w:tcPr>
          <w:p w:rsidR="004D27C2" w:rsidRDefault="004D27C2">
            <w:r w:rsidRPr="00E11BCD">
              <w:rPr>
                <w:rFonts w:cs="Arial"/>
                <w:i/>
                <w:sz w:val="16"/>
                <w:szCs w:val="16"/>
              </w:rPr>
              <w:t>*increase/(decrease)</w:t>
            </w:r>
          </w:p>
        </w:tc>
      </w:tr>
    </w:tbl>
    <w:p w:rsidR="004D27C2" w:rsidRDefault="004D27C2" w:rsidP="00094042">
      <w:pPr>
        <w:rPr>
          <w:sz w:val="22"/>
        </w:rPr>
      </w:pPr>
    </w:p>
    <w:p w:rsidR="00D71FD2" w:rsidRPr="00094042" w:rsidRDefault="00A84CBD" w:rsidP="00094042">
      <w:r w:rsidRPr="00094042">
        <w:lastRenderedPageBreak/>
        <w:t>The Commonwealth contributions to the ITU, amounting to 4,725,000 Swiss Franc</w:t>
      </w:r>
      <w:r w:rsidR="00F7198B">
        <w:t xml:space="preserve">s, are made directly by the </w:t>
      </w:r>
      <w:proofErr w:type="spellStart"/>
      <w:r w:rsidR="00F7198B">
        <w:t>DoC</w:t>
      </w:r>
      <w:proofErr w:type="spellEnd"/>
      <w:r w:rsidRPr="00094042">
        <w:t xml:space="preserve"> each year, covering both the telecommunications and </w:t>
      </w:r>
      <w:proofErr w:type="spellStart"/>
      <w:r w:rsidRPr="00094042">
        <w:t>radiocommunications</w:t>
      </w:r>
      <w:proofErr w:type="spellEnd"/>
      <w:r w:rsidRPr="00094042">
        <w:t xml:space="preserve"> sectors. The same level of contribution is expected to be made for the 2014 calendar year.</w:t>
      </w:r>
    </w:p>
    <w:p w:rsidR="00D71FD2" w:rsidRPr="00094042" w:rsidRDefault="00D71FD2" w:rsidP="00094042"/>
    <w:p w:rsidR="00D71FD2" w:rsidRPr="00094042" w:rsidRDefault="00A84CBD" w:rsidP="00094042">
      <w:r w:rsidRPr="00094042">
        <w:t>In order to separate the costs that are relevant to the tel</w:t>
      </w:r>
      <w:r w:rsidR="00F7198B">
        <w:t xml:space="preserve">ecommunications sector, the </w:t>
      </w:r>
      <w:proofErr w:type="spellStart"/>
      <w:r w:rsidR="00F7198B">
        <w:t>DoC</w:t>
      </w:r>
      <w:proofErr w:type="spellEnd"/>
      <w:r w:rsidRPr="00094042">
        <w:t xml:space="preserve"> has established a ratio which is based on the components of ITU’s output costs. The output costs are ascertained from ITU’s activity based costing model. Accordingly, for the year 2013, a ratio of 31.79:68.21 was derived for the telecommunications standardisation sector and the </w:t>
      </w:r>
      <w:proofErr w:type="spellStart"/>
      <w:r w:rsidRPr="00094042">
        <w:t>radiocommunications</w:t>
      </w:r>
      <w:proofErr w:type="spellEnd"/>
      <w:r w:rsidRPr="00094042">
        <w:t xml:space="preserve"> sector respectively. The decrease of 5.43 per cent (AUD) for the telecommunications sector component in 2013 is essentially attributable to exchange rate fluctuation. </w:t>
      </w:r>
    </w:p>
    <w:p w:rsidR="00D71FD2" w:rsidRPr="005D0BC8" w:rsidRDefault="00D71FD2" w:rsidP="00D71FD2">
      <w:pPr>
        <w:pStyle w:val="BodyText"/>
        <w:spacing w:line="240" w:lineRule="atLeast"/>
        <w:ind w:left="709" w:right="-142"/>
        <w:rPr>
          <w:rFonts w:cs="Arial"/>
          <w:i w:val="0"/>
          <w:color w:val="auto"/>
          <w:szCs w:val="20"/>
        </w:rPr>
      </w:pPr>
    </w:p>
    <w:p w:rsidR="00D71FD2" w:rsidRPr="00CC3F4B" w:rsidRDefault="00A84CBD" w:rsidP="00CC3F4B">
      <w:pPr>
        <w:pStyle w:val="ListNumber"/>
        <w:rPr>
          <w:b/>
        </w:rPr>
      </w:pPr>
      <w:r w:rsidRPr="00CC3F4B">
        <w:rPr>
          <w:b/>
        </w:rPr>
        <w:t>Determination of cost component under paragraph 15(1)(d) of the Act—Government grant for consumer representation program</w:t>
      </w:r>
    </w:p>
    <w:p w:rsidR="00D71FD2" w:rsidRPr="005D0BC8" w:rsidRDefault="00A84CBD" w:rsidP="00094042">
      <w:r w:rsidRPr="00A84CBD">
        <w:t xml:space="preserve">Section 593 of the </w:t>
      </w:r>
      <w:r w:rsidRPr="00094042">
        <w:rPr>
          <w:i/>
        </w:rPr>
        <w:t>Telecommunications Act 1997</w:t>
      </w:r>
      <w:r w:rsidRPr="00A84CBD">
        <w:t xml:space="preserve"> provides the Minister for Communications, on behalf of the Commonwealth, with the power ‘to make a grant of financial assistance to a consumer body for purposes in connection with the representation of the interests of consumers in relation to telecommunications issues’. </w:t>
      </w:r>
    </w:p>
    <w:p w:rsidR="00D71FD2" w:rsidRPr="005D0BC8" w:rsidRDefault="00D71FD2" w:rsidP="00094042"/>
    <w:p w:rsidR="00D71FD2" w:rsidRPr="005D0BC8" w:rsidRDefault="00A84CBD" w:rsidP="00094042">
      <w:r w:rsidRPr="00A84CBD">
        <w:t>Since 2009–10, this grant has been provided to ACCAN as the peak body representing consumers of telecommunications services. ACCAN is provided $2</w:t>
      </w:r>
      <w:r w:rsidR="003A1B6D">
        <w:t> </w:t>
      </w:r>
      <w:r w:rsidRPr="00A84CBD">
        <w:t xml:space="preserve">million (CPI indexed) per annum as part of a second multi-year </w:t>
      </w:r>
      <w:r w:rsidR="003A1B6D">
        <w:t>f</w:t>
      </w:r>
      <w:r w:rsidRPr="00A84CBD">
        <w:t xml:space="preserve">unding </w:t>
      </w:r>
      <w:r w:rsidR="003A1B6D">
        <w:t>a</w:t>
      </w:r>
      <w:r w:rsidRPr="00A84CBD">
        <w:t xml:space="preserve">greement until 2017. Milestone payments under this </w:t>
      </w:r>
      <w:r w:rsidR="003A1B6D">
        <w:t>a</w:t>
      </w:r>
      <w:r w:rsidRPr="00A84CBD">
        <w:t>greeme</w:t>
      </w:r>
      <w:r w:rsidR="00F7198B">
        <w:t xml:space="preserve">nt are made directly by the </w:t>
      </w:r>
      <w:proofErr w:type="spellStart"/>
      <w:r w:rsidR="00F7198B">
        <w:t>DoC</w:t>
      </w:r>
      <w:proofErr w:type="spellEnd"/>
      <w:r w:rsidRPr="00A84CBD">
        <w:t xml:space="preserve"> as the Commonwealth</w:t>
      </w:r>
      <w:r w:rsidR="00D71FD2" w:rsidRPr="00BD28E3">
        <w:rPr>
          <w:sz w:val="22"/>
        </w:rPr>
        <w:t xml:space="preserve"> </w:t>
      </w:r>
      <w:r w:rsidRPr="00A84CBD">
        <w:t>delegate. This funding is subsequently recouped by the ACMA as a component of the ACLC calculated under paragraph 15(1</w:t>
      </w:r>
      <w:proofErr w:type="gramStart"/>
      <w:r w:rsidRPr="00A84CBD">
        <w:t>)(</w:t>
      </w:r>
      <w:proofErr w:type="gramEnd"/>
      <w:r w:rsidRPr="00A84CBD">
        <w:t>d) of the Act.</w:t>
      </w:r>
    </w:p>
    <w:p w:rsidR="00D71FD2" w:rsidRDefault="00D71FD2" w:rsidP="004D27C2"/>
    <w:tbl>
      <w:tblPr>
        <w:tblW w:w="9645" w:type="dxa"/>
        <w:tblLayout w:type="fixed"/>
        <w:tblCellMar>
          <w:left w:w="0" w:type="dxa"/>
          <w:right w:w="0" w:type="dxa"/>
        </w:tblCellMar>
        <w:tblLook w:val="01E0" w:firstRow="1" w:lastRow="1" w:firstColumn="1" w:lastColumn="1" w:noHBand="0" w:noVBand="0"/>
      </w:tblPr>
      <w:tblGrid>
        <w:gridCol w:w="9645"/>
      </w:tblGrid>
      <w:tr w:rsidR="004D27C2">
        <w:trPr>
          <w:trHeight w:val="570"/>
        </w:trPr>
        <w:tc>
          <w:tcPr>
            <w:tcW w:w="9645" w:type="dxa"/>
            <w:tcBorders>
              <w:top w:val="single" w:sz="2" w:space="0" w:color="505050"/>
            </w:tcBorders>
            <w:shd w:val="clear" w:color="auto" w:fill="auto"/>
            <w:vAlign w:val="center"/>
          </w:tcPr>
          <w:p w:rsidR="004D27C2" w:rsidRPr="00A74B5E" w:rsidRDefault="004D27C2">
            <w:pPr>
              <w:pStyle w:val="Caption"/>
            </w:pPr>
            <w:r>
              <w:t xml:space="preserve">Table </w:t>
            </w:r>
            <w:fldSimple w:instr=" SEQ Table \* ARABIC ">
              <w:r>
                <w:rPr>
                  <w:noProof/>
                </w:rPr>
                <w:t>8</w:t>
              </w:r>
            </w:fldSimple>
            <w:r>
              <w:t xml:space="preserve"> </w:t>
            </w:r>
            <w:r w:rsidRPr="00551EC3">
              <w:t>Consumer representation grant program</w:t>
            </w:r>
          </w:p>
        </w:tc>
      </w:tr>
      <w:tr w:rsidR="004D27C2" w:rsidTr="004D27C2">
        <w:trPr>
          <w:trHeight w:val="1709"/>
        </w:trPr>
        <w:tc>
          <w:tcPr>
            <w:tcW w:w="9645" w:type="dxa"/>
            <w:shd w:val="clear" w:color="auto" w:fill="auto"/>
            <w:tcMar>
              <w:left w:w="28" w:type="dxa"/>
            </w:tcMar>
          </w:tcPr>
          <w:tbl>
            <w:tblPr>
              <w:tblW w:w="45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30"/>
              <w:gridCol w:w="1481"/>
              <w:gridCol w:w="1481"/>
              <w:gridCol w:w="1481"/>
            </w:tblGrid>
            <w:tr w:rsidR="004D27C2" w:rsidRPr="000D6F80" w:rsidTr="00070110">
              <w:trPr>
                <w:trHeight w:val="441"/>
              </w:trPr>
              <w:tc>
                <w:tcPr>
                  <w:tcW w:w="2468" w:type="pct"/>
                  <w:shd w:val="clear" w:color="auto" w:fill="404040" w:themeFill="text1" w:themeFillTint="BF"/>
                  <w:vAlign w:val="center"/>
                </w:tcPr>
                <w:p w:rsidR="004D27C2" w:rsidRPr="003A1B6D" w:rsidRDefault="004D27C2" w:rsidP="00070110">
                  <w:pPr>
                    <w:keepNext/>
                    <w:keepLines/>
                    <w:widowControl w:val="0"/>
                    <w:outlineLvl w:val="0"/>
                    <w:rPr>
                      <w:rFonts w:cs="Arial"/>
                      <w:b/>
                      <w:iCs/>
                      <w:color w:val="FFFFFF" w:themeColor="background1"/>
                      <w:szCs w:val="20"/>
                    </w:rPr>
                  </w:pPr>
                  <w:r w:rsidRPr="00A84CBD">
                    <w:rPr>
                      <w:rFonts w:cs="Arial"/>
                      <w:b/>
                      <w:iCs/>
                      <w:color w:val="FFFFFF" w:themeColor="background1"/>
                      <w:szCs w:val="20"/>
                    </w:rPr>
                    <w:t>Grant</w:t>
                  </w:r>
                </w:p>
              </w:tc>
              <w:tc>
                <w:tcPr>
                  <w:tcW w:w="844" w:type="pct"/>
                  <w:shd w:val="clear" w:color="auto" w:fill="404040" w:themeFill="text1" w:themeFillTint="BF"/>
                  <w:vAlign w:val="center"/>
                </w:tcPr>
                <w:p w:rsidR="004D27C2" w:rsidRDefault="004D27C2" w:rsidP="004D27C2">
                  <w:pPr>
                    <w:keepNext/>
                    <w:keepLines/>
                    <w:rPr>
                      <w:rFonts w:cs="Arial"/>
                      <w:b/>
                      <w:iCs/>
                      <w:color w:val="FFFFFF" w:themeColor="background1"/>
                      <w:szCs w:val="20"/>
                    </w:rPr>
                  </w:pPr>
                  <w:r w:rsidRPr="00A84CBD">
                    <w:rPr>
                      <w:rFonts w:cs="Arial"/>
                      <w:b/>
                      <w:iCs/>
                      <w:color w:val="FFFFFF" w:themeColor="background1"/>
                      <w:szCs w:val="20"/>
                    </w:rPr>
                    <w:t>2013–14</w:t>
                  </w:r>
                </w:p>
              </w:tc>
              <w:tc>
                <w:tcPr>
                  <w:tcW w:w="844" w:type="pct"/>
                  <w:tcBorders>
                    <w:top w:val="single" w:sz="6" w:space="0" w:color="auto"/>
                  </w:tcBorders>
                  <w:shd w:val="clear" w:color="auto" w:fill="404040" w:themeFill="text1" w:themeFillTint="BF"/>
                  <w:vAlign w:val="center"/>
                </w:tcPr>
                <w:p w:rsidR="004D27C2" w:rsidRDefault="004D27C2" w:rsidP="004D27C2">
                  <w:pPr>
                    <w:keepNext/>
                    <w:keepLines/>
                    <w:rPr>
                      <w:rFonts w:cs="Arial"/>
                      <w:b/>
                      <w:iCs/>
                      <w:color w:val="FFFFFF" w:themeColor="background1"/>
                      <w:szCs w:val="20"/>
                    </w:rPr>
                  </w:pPr>
                  <w:r w:rsidRPr="00A84CBD">
                    <w:rPr>
                      <w:rFonts w:cs="Arial"/>
                      <w:b/>
                      <w:iCs/>
                      <w:color w:val="FFFFFF" w:themeColor="background1"/>
                      <w:szCs w:val="20"/>
                    </w:rPr>
                    <w:t>2012–13</w:t>
                  </w:r>
                </w:p>
              </w:tc>
              <w:tc>
                <w:tcPr>
                  <w:tcW w:w="844" w:type="pct"/>
                  <w:tcBorders>
                    <w:top w:val="single" w:sz="6" w:space="0" w:color="auto"/>
                  </w:tcBorders>
                  <w:shd w:val="clear" w:color="auto" w:fill="404040" w:themeFill="text1" w:themeFillTint="BF"/>
                  <w:vAlign w:val="center"/>
                </w:tcPr>
                <w:p w:rsidR="004D27C2" w:rsidRDefault="004D27C2" w:rsidP="004D27C2">
                  <w:pPr>
                    <w:keepNext/>
                    <w:keepLines/>
                    <w:rPr>
                      <w:rFonts w:cs="Arial"/>
                      <w:b/>
                      <w:iCs/>
                      <w:color w:val="FFFFFF" w:themeColor="background1"/>
                      <w:szCs w:val="20"/>
                    </w:rPr>
                  </w:pPr>
                  <w:r w:rsidRPr="00A84CBD">
                    <w:rPr>
                      <w:rFonts w:cs="Arial"/>
                      <w:b/>
                      <w:iCs/>
                      <w:color w:val="FFFFFF" w:themeColor="background1"/>
                      <w:szCs w:val="20"/>
                    </w:rPr>
                    <w:t>Variance</w:t>
                  </w:r>
                </w:p>
              </w:tc>
            </w:tr>
            <w:tr w:rsidR="004D27C2" w:rsidRPr="000D6F80" w:rsidTr="00070110">
              <w:trPr>
                <w:trHeight w:val="414"/>
              </w:trPr>
              <w:tc>
                <w:tcPr>
                  <w:tcW w:w="2468" w:type="pct"/>
                  <w:vAlign w:val="center"/>
                </w:tcPr>
                <w:p w:rsidR="004D27C2" w:rsidRPr="000D6F80" w:rsidRDefault="004D27C2" w:rsidP="00070110">
                  <w:pPr>
                    <w:keepNext/>
                    <w:keepLines/>
                    <w:rPr>
                      <w:rFonts w:cs="Arial"/>
                      <w:szCs w:val="20"/>
                    </w:rPr>
                  </w:pPr>
                  <w:r w:rsidRPr="000D6F80">
                    <w:rPr>
                      <w:rFonts w:cs="Arial"/>
                      <w:bCs/>
                      <w:szCs w:val="20"/>
                    </w:rPr>
                    <w:t>National advocacy, education and research by the peak body for telecommunications consumers (ACCAN)</w:t>
                  </w:r>
                </w:p>
              </w:tc>
              <w:tc>
                <w:tcPr>
                  <w:tcW w:w="844" w:type="pct"/>
                  <w:vAlign w:val="center"/>
                </w:tcPr>
                <w:p w:rsidR="004D27C2" w:rsidRDefault="004D27C2" w:rsidP="00F74ED0">
                  <w:pPr>
                    <w:keepNext/>
                    <w:keepLines/>
                    <w:jc w:val="right"/>
                    <w:rPr>
                      <w:rFonts w:cs="Arial"/>
                      <w:szCs w:val="20"/>
                    </w:rPr>
                  </w:pPr>
                  <w:r>
                    <w:rPr>
                      <w:rFonts w:cs="Arial"/>
                      <w:szCs w:val="20"/>
                    </w:rPr>
                    <w:t>$2,166</w:t>
                  </w:r>
                  <w:r w:rsidRPr="000D6F80">
                    <w:rPr>
                      <w:rFonts w:cs="Arial"/>
                      <w:szCs w:val="20"/>
                    </w:rPr>
                    <w:t>,000</w:t>
                  </w:r>
                </w:p>
              </w:tc>
              <w:tc>
                <w:tcPr>
                  <w:tcW w:w="844" w:type="pct"/>
                  <w:vAlign w:val="center"/>
                </w:tcPr>
                <w:p w:rsidR="004D27C2" w:rsidRDefault="004D27C2" w:rsidP="00F74ED0">
                  <w:pPr>
                    <w:keepNext/>
                    <w:keepLines/>
                    <w:jc w:val="right"/>
                    <w:rPr>
                      <w:rFonts w:cs="Arial"/>
                      <w:szCs w:val="20"/>
                    </w:rPr>
                  </w:pPr>
                  <w:r>
                    <w:rPr>
                      <w:rFonts w:cs="Arial"/>
                      <w:szCs w:val="20"/>
                    </w:rPr>
                    <w:t>$2,12</w:t>
                  </w:r>
                  <w:r w:rsidRPr="000D6F80">
                    <w:rPr>
                      <w:rFonts w:cs="Arial"/>
                      <w:szCs w:val="20"/>
                    </w:rPr>
                    <w:t>7,000</w:t>
                  </w:r>
                </w:p>
              </w:tc>
              <w:tc>
                <w:tcPr>
                  <w:tcW w:w="844" w:type="pct"/>
                  <w:vAlign w:val="center"/>
                </w:tcPr>
                <w:p w:rsidR="004D27C2" w:rsidRDefault="004D27C2" w:rsidP="00F74ED0">
                  <w:pPr>
                    <w:keepNext/>
                    <w:keepLines/>
                    <w:jc w:val="right"/>
                    <w:rPr>
                      <w:rFonts w:cs="Arial"/>
                      <w:szCs w:val="20"/>
                    </w:rPr>
                  </w:pPr>
                  <w:r>
                    <w:rPr>
                      <w:rFonts w:cs="Arial"/>
                      <w:szCs w:val="20"/>
                    </w:rPr>
                    <w:t>$39</w:t>
                  </w:r>
                  <w:r w:rsidRPr="000D6F80">
                    <w:rPr>
                      <w:rFonts w:cs="Arial"/>
                      <w:szCs w:val="20"/>
                    </w:rPr>
                    <w:t>,000</w:t>
                  </w:r>
                </w:p>
              </w:tc>
            </w:tr>
            <w:tr w:rsidR="004D27C2" w:rsidRPr="000D6F80" w:rsidTr="00070110">
              <w:trPr>
                <w:trHeight w:val="411"/>
              </w:trPr>
              <w:tc>
                <w:tcPr>
                  <w:tcW w:w="2468" w:type="pct"/>
                  <w:shd w:val="clear" w:color="auto" w:fill="D9D9D9" w:themeFill="background1" w:themeFillShade="D9"/>
                  <w:vAlign w:val="center"/>
                </w:tcPr>
                <w:p w:rsidR="004D27C2" w:rsidRPr="000D6F80" w:rsidRDefault="004D27C2" w:rsidP="00070110">
                  <w:pPr>
                    <w:keepNext/>
                    <w:keepLines/>
                    <w:ind w:right="-142"/>
                    <w:rPr>
                      <w:rFonts w:cs="Arial"/>
                      <w:b/>
                      <w:szCs w:val="20"/>
                    </w:rPr>
                  </w:pPr>
                  <w:r w:rsidRPr="000D6F80">
                    <w:rPr>
                      <w:rFonts w:cs="Arial"/>
                      <w:b/>
                      <w:szCs w:val="20"/>
                    </w:rPr>
                    <w:t>Total</w:t>
                  </w:r>
                </w:p>
              </w:tc>
              <w:tc>
                <w:tcPr>
                  <w:tcW w:w="844" w:type="pct"/>
                  <w:shd w:val="clear" w:color="auto" w:fill="D9D9D9" w:themeFill="background1" w:themeFillShade="D9"/>
                  <w:vAlign w:val="center"/>
                </w:tcPr>
                <w:p w:rsidR="004D27C2" w:rsidRDefault="004D27C2" w:rsidP="00F74ED0">
                  <w:pPr>
                    <w:keepNext/>
                    <w:keepLines/>
                    <w:jc w:val="right"/>
                    <w:rPr>
                      <w:rFonts w:cs="Arial"/>
                      <w:b/>
                      <w:szCs w:val="20"/>
                    </w:rPr>
                  </w:pPr>
                  <w:r>
                    <w:rPr>
                      <w:rFonts w:cs="Arial"/>
                      <w:b/>
                      <w:bCs/>
                      <w:szCs w:val="20"/>
                    </w:rPr>
                    <w:t>$2,166</w:t>
                  </w:r>
                  <w:r w:rsidRPr="000D6F80">
                    <w:rPr>
                      <w:rFonts w:cs="Arial"/>
                      <w:b/>
                      <w:bCs/>
                      <w:szCs w:val="20"/>
                    </w:rPr>
                    <w:t>,000</w:t>
                  </w:r>
                </w:p>
              </w:tc>
              <w:tc>
                <w:tcPr>
                  <w:tcW w:w="844" w:type="pct"/>
                  <w:shd w:val="clear" w:color="auto" w:fill="D9D9D9" w:themeFill="background1" w:themeFillShade="D9"/>
                  <w:vAlign w:val="center"/>
                </w:tcPr>
                <w:p w:rsidR="004D27C2" w:rsidRDefault="004D27C2" w:rsidP="00F74ED0">
                  <w:pPr>
                    <w:keepNext/>
                    <w:keepLines/>
                    <w:jc w:val="right"/>
                    <w:rPr>
                      <w:rFonts w:cs="Arial"/>
                      <w:b/>
                      <w:szCs w:val="20"/>
                    </w:rPr>
                  </w:pPr>
                  <w:r>
                    <w:rPr>
                      <w:rFonts w:cs="Arial"/>
                      <w:b/>
                      <w:bCs/>
                      <w:szCs w:val="20"/>
                    </w:rPr>
                    <w:t>$2,12</w:t>
                  </w:r>
                  <w:r w:rsidRPr="000D6F80">
                    <w:rPr>
                      <w:rFonts w:cs="Arial"/>
                      <w:b/>
                      <w:bCs/>
                      <w:szCs w:val="20"/>
                    </w:rPr>
                    <w:t>7,000</w:t>
                  </w:r>
                </w:p>
              </w:tc>
              <w:tc>
                <w:tcPr>
                  <w:tcW w:w="844" w:type="pct"/>
                  <w:shd w:val="clear" w:color="auto" w:fill="D9D9D9" w:themeFill="background1" w:themeFillShade="D9"/>
                  <w:vAlign w:val="center"/>
                </w:tcPr>
                <w:p w:rsidR="004D27C2" w:rsidRDefault="004D27C2" w:rsidP="00F74ED0">
                  <w:pPr>
                    <w:keepNext/>
                    <w:keepLines/>
                    <w:jc w:val="right"/>
                    <w:rPr>
                      <w:rFonts w:cs="Arial"/>
                      <w:b/>
                      <w:szCs w:val="20"/>
                    </w:rPr>
                  </w:pPr>
                  <w:r>
                    <w:rPr>
                      <w:rFonts w:cs="Arial"/>
                      <w:b/>
                      <w:szCs w:val="20"/>
                    </w:rPr>
                    <w:t>$39</w:t>
                  </w:r>
                  <w:r w:rsidRPr="000D6F80">
                    <w:rPr>
                      <w:rFonts w:cs="Arial"/>
                      <w:b/>
                      <w:szCs w:val="20"/>
                    </w:rPr>
                    <w:t>,000</w:t>
                  </w:r>
                </w:p>
              </w:tc>
            </w:tr>
          </w:tbl>
          <w:p w:rsidR="004D27C2" w:rsidRDefault="004D27C2"/>
        </w:tc>
      </w:tr>
      <w:tr w:rsidR="004D27C2">
        <w:trPr>
          <w:trHeight w:val="291"/>
        </w:trPr>
        <w:tc>
          <w:tcPr>
            <w:tcW w:w="9645" w:type="dxa"/>
            <w:tcBorders>
              <w:bottom w:val="single" w:sz="2" w:space="0" w:color="505050"/>
            </w:tcBorders>
            <w:shd w:val="clear" w:color="auto" w:fill="auto"/>
          </w:tcPr>
          <w:p w:rsidR="004D27C2" w:rsidRDefault="004D27C2"/>
        </w:tc>
      </w:tr>
    </w:tbl>
    <w:p w:rsidR="004D27C2" w:rsidRPr="005D0BC8" w:rsidRDefault="004D27C2" w:rsidP="004D27C2"/>
    <w:p w:rsidR="00D71FD2" w:rsidRPr="00094042" w:rsidRDefault="00A84CBD" w:rsidP="00094042">
      <w:r w:rsidRPr="00094042">
        <w:t xml:space="preserve">The increase of $39,000 is due to indexation. ACCAN will continue to be resourced to a level that will enable it to conduct activities necessary for an effective peak communications consumer advocate, including representation, research, consumer education and participation in self-regulatory activities. ACCAN also operates a competitive Independent Grants Scheme, which allows individuals and organisations to undertake research or representation projects in the interest of telecommunications consumers. Accordingly an amount of $2.21 million (CPI indexed) has been estimated for the 2014–15 financial year.  </w:t>
      </w:r>
    </w:p>
    <w:p w:rsidR="00D71FD2" w:rsidRPr="00094042" w:rsidRDefault="00D71FD2" w:rsidP="00094042"/>
    <w:p w:rsidR="00D71FD2" w:rsidRPr="00094042" w:rsidRDefault="00A84CBD" w:rsidP="00094042">
      <w:r w:rsidRPr="00094042">
        <w:t xml:space="preserve">The mid-term review of ACCAN, which was undertaken by the then DBCDE in 2011, concluded that ACCAN had established itself as a well-regarded and effective organisation in representing the interests of consumers in the telecommunications sector. </w:t>
      </w:r>
    </w:p>
    <w:p w:rsidR="00D71FD2" w:rsidRPr="005D0BC8" w:rsidRDefault="00D71FD2" w:rsidP="00CC3F4B"/>
    <w:p w:rsidR="00D71FD2" w:rsidRPr="00CC3F4B" w:rsidRDefault="00A84CBD" w:rsidP="00CC3F4B">
      <w:pPr>
        <w:pStyle w:val="ListNumber"/>
        <w:rPr>
          <w:b/>
        </w:rPr>
      </w:pPr>
      <w:r w:rsidRPr="00CC3F4B">
        <w:rPr>
          <w:b/>
        </w:rPr>
        <w:t>Determination of cost component under paragraph 15(1)(d) of the Act—Development of consumer protection codes</w:t>
      </w:r>
    </w:p>
    <w:p w:rsidR="00D71FD2" w:rsidRPr="005D0BC8" w:rsidRDefault="00A84CBD" w:rsidP="00094042">
      <w:r w:rsidRPr="00A84CBD">
        <w:t xml:space="preserve">This component represents the sum of the amounts paid under section 136C of the </w:t>
      </w:r>
      <w:r w:rsidRPr="00094042">
        <w:rPr>
          <w:i/>
        </w:rPr>
        <w:t>Telecommunications Act 1997</w:t>
      </w:r>
      <w:r w:rsidRPr="00A84CBD">
        <w:t xml:space="preserve"> for the immediately preceding financial year (that is, </w:t>
      </w:r>
      <w:r w:rsidR="003A1B6D">
        <w:t xml:space="preserve">the </w:t>
      </w:r>
      <w:r w:rsidRPr="00A84CBD">
        <w:t xml:space="preserve">2012–13 financial year). Section 136C of the </w:t>
      </w:r>
      <w:r w:rsidRPr="00094042">
        <w:rPr>
          <w:i/>
        </w:rPr>
        <w:t>Telecommunications Act 1997</w:t>
      </w:r>
      <w:r w:rsidRPr="00A84CBD">
        <w:t xml:space="preserve"> allows the </w:t>
      </w:r>
      <w:r w:rsidRPr="00A84CBD">
        <w:lastRenderedPageBreak/>
        <w:t xml:space="preserve">ACMA, in certain circumstances, to make payments on behalf of the Commonwealth for the development of certain industry codes by a telecommunications industry body or association which are subsequently registered by the ACMA under Part 6 of the </w:t>
      </w:r>
      <w:r w:rsidRPr="00094042">
        <w:rPr>
          <w:i/>
        </w:rPr>
        <w:t>Telecommunications Act 1997</w:t>
      </w:r>
      <w:r w:rsidRPr="00A84CBD">
        <w:t xml:space="preserve">. </w:t>
      </w:r>
    </w:p>
    <w:p w:rsidR="00D71FD2" w:rsidRPr="005D0BC8" w:rsidRDefault="00D71FD2" w:rsidP="00094042"/>
    <w:bookmarkEnd w:id="33"/>
    <w:p w:rsidR="00D71FD2" w:rsidRPr="005D0BC8" w:rsidRDefault="00A84CBD" w:rsidP="00094042">
      <w:r w:rsidRPr="00A84CBD">
        <w:t>The amount included in the ACLC for the purposes of this CRIS is $320,949, which represents the actual payment made by the ACMA in the 2012–13 financial year for the development of Telecommunications Consumer Protection Code C628:2012 by Communications Alliance Ltd. An amount of $210,405 was paid in the 2011–12 financial year by the ACMA for the development of the Mobile Premium Services Code by Communications Alliance Ltd</w:t>
      </w:r>
      <w:bookmarkStart w:id="34" w:name="calculationofcosts"/>
      <w:r w:rsidRPr="00A84CBD">
        <w:t>.</w:t>
      </w:r>
    </w:p>
    <w:p w:rsidR="00D71FD2" w:rsidRPr="000D6F80" w:rsidRDefault="00D71FD2" w:rsidP="00094042"/>
    <w:p w:rsidR="00D71FD2" w:rsidRPr="00C320F6" w:rsidRDefault="00D71FD2" w:rsidP="00D71FD2">
      <w:pPr>
        <w:pStyle w:val="Heading2"/>
        <w:rPr>
          <w:sz w:val="24"/>
        </w:rPr>
      </w:pPr>
      <w:bookmarkStart w:id="35" w:name="_Toc355953991"/>
      <w:bookmarkStart w:id="36" w:name="_Toc385256320"/>
      <w:bookmarkStart w:id="37" w:name="_Toc387308824"/>
      <w:r w:rsidRPr="00C320F6">
        <w:rPr>
          <w:sz w:val="24"/>
        </w:rPr>
        <w:t>3.2</w:t>
      </w:r>
      <w:r w:rsidRPr="00C320F6">
        <w:rPr>
          <w:sz w:val="24"/>
        </w:rPr>
        <w:tab/>
        <w:t>Structure of the ACLC</w:t>
      </w:r>
      <w:bookmarkEnd w:id="35"/>
      <w:bookmarkEnd w:id="36"/>
      <w:bookmarkEnd w:id="37"/>
    </w:p>
    <w:p w:rsidR="00D71FD2" w:rsidRPr="005D0BC8" w:rsidRDefault="00A84CBD" w:rsidP="00094042">
      <w:r w:rsidRPr="00A84CBD">
        <w:t>The ACLC is imposed as a levy. This legal form of charging is considered appropriate as it encompasses a number of regulatory and other activities that may not be easily or cost effectively attributed to individual licensed carriers and hence translated into direct fees, but can be attributed to the telecommunications industry as a group.</w:t>
      </w:r>
    </w:p>
    <w:p w:rsidR="00D71FD2" w:rsidRPr="005D0BC8" w:rsidRDefault="00D71FD2" w:rsidP="00094042"/>
    <w:p w:rsidR="00D71FD2" w:rsidRPr="005D0BC8" w:rsidRDefault="00A84CBD" w:rsidP="00094042">
      <w:bookmarkStart w:id="38" w:name="OLE_LINK13"/>
      <w:bookmarkStart w:id="39" w:name="OLE_LINK14"/>
      <w:r w:rsidRPr="00A84CBD">
        <w:rPr>
          <w:b/>
          <w:iCs/>
          <w:u w:val="single"/>
          <w:lang w:eastAsia="en-US"/>
        </w:rPr>
        <w:t>Establishment of individual levy amounts</w:t>
      </w:r>
    </w:p>
    <w:p w:rsidR="00D71FD2" w:rsidRPr="005D0BC8" w:rsidRDefault="00A84CBD" w:rsidP="00094042">
      <w:r w:rsidRPr="00A84CBD">
        <w:t>For the purpose of ascertaining the levy for liable individual licensed carriers, their ‘eligible revenue’, as assessed by the ACMA, is used as a basis for allocating the total ACLC. There has been no change in the method for the establishment of individual charges.</w:t>
      </w:r>
    </w:p>
    <w:p w:rsidR="00D71FD2" w:rsidRPr="005D0BC8" w:rsidRDefault="00D71FD2" w:rsidP="00094042">
      <w:pPr>
        <w:rPr>
          <w:highlight w:val="yellow"/>
        </w:rPr>
      </w:pPr>
    </w:p>
    <w:p w:rsidR="00D71FD2" w:rsidRPr="005D0BC8" w:rsidRDefault="00A84CBD" w:rsidP="00094042">
      <w:r w:rsidRPr="00A84CBD">
        <w:t>In accordance with the Direction 2013, non-participating persons (that is, the smaller carriers) are, in effect exempted from</w:t>
      </w:r>
      <w:r w:rsidR="004003F2">
        <w:t xml:space="preserve"> the liability to pay the ACLC. </w:t>
      </w:r>
      <w:r w:rsidRPr="00A84CBD">
        <w:t>While the total ACLC continues to include costs that may be incurred by the ACMA in regulating non-participating persons, the ACMA estimates that the impact of exempting non-participating persons from the liability to pay the ACLC is insignificant. This was established at the time the initial Direction was introduced in 2011 to remove unnecessary red tape in telecommunications regulation.</w:t>
      </w:r>
    </w:p>
    <w:p w:rsidR="00D71FD2" w:rsidRPr="005D0BC8" w:rsidRDefault="00D71FD2" w:rsidP="00094042">
      <w:pPr>
        <w:rPr>
          <w:highlight w:val="yellow"/>
        </w:rPr>
      </w:pPr>
    </w:p>
    <w:p w:rsidR="00D71FD2" w:rsidRPr="005D0BC8" w:rsidRDefault="00A84CBD" w:rsidP="00094042">
      <w:r w:rsidRPr="00A84CBD">
        <w:t xml:space="preserve">The ACMA collects financial information from the telecommunications industry annually in the form of a written eligible revenue return in order to assess the eligible revenue of each participating person (as defined in section 92 of the TUSMA Act) in accordance with subsection 96(1) of the TUSMA Act. The applicable eligible revenue amounts for the purposes of calculating the ACLC for the 2013–14 financial year, relate to the immediately preceding financial year (that is, </w:t>
      </w:r>
      <w:r w:rsidR="003A1B6D">
        <w:t xml:space="preserve">the </w:t>
      </w:r>
      <w:r w:rsidRPr="00A84CBD">
        <w:t xml:space="preserve">2012–13 financial year). </w:t>
      </w:r>
    </w:p>
    <w:p w:rsidR="00D71FD2" w:rsidRPr="005D0BC8" w:rsidRDefault="00D71FD2" w:rsidP="00094042"/>
    <w:p w:rsidR="00D71FD2" w:rsidRPr="005D0BC8" w:rsidRDefault="00A84CBD" w:rsidP="00094042">
      <w:bookmarkStart w:id="40" w:name="_Toc260128315"/>
      <w:bookmarkStart w:id="41" w:name="_Toc261431684"/>
      <w:bookmarkStart w:id="42" w:name="_Toc261431816"/>
      <w:bookmarkStart w:id="43" w:name="_Toc316465934"/>
      <w:r w:rsidRPr="00A84CBD">
        <w:t>The following formula is used for allocating the total charge to liable individual carriers:</w:t>
      </w:r>
      <w:bookmarkEnd w:id="40"/>
      <w:bookmarkEnd w:id="41"/>
      <w:bookmarkEnd w:id="42"/>
      <w:bookmarkEnd w:id="43"/>
    </w:p>
    <w:p w:rsidR="00D71FD2" w:rsidRPr="005D0BC8" w:rsidRDefault="00D71FD2" w:rsidP="00D71FD2">
      <w:pPr>
        <w:pStyle w:val="BodyText"/>
        <w:spacing w:line="240" w:lineRule="atLeast"/>
        <w:ind w:left="720" w:right="-142"/>
        <w:rPr>
          <w:rFonts w:cs="Arial"/>
          <w:i w:val="0"/>
          <w:color w:val="auto"/>
          <w:szCs w:val="20"/>
        </w:rPr>
      </w:pPr>
    </w:p>
    <w:p w:rsidR="00D71FD2" w:rsidRPr="005D0BC8" w:rsidRDefault="007F0933" w:rsidP="00705A4A">
      <w:pPr>
        <w:pStyle w:val="BodyText"/>
        <w:spacing w:line="240" w:lineRule="atLeast"/>
        <w:ind w:right="-142"/>
        <w:rPr>
          <w:rFonts w:cs="Arial"/>
          <w:i w:val="0"/>
          <w:color w:val="auto"/>
          <w:szCs w:val="20"/>
        </w:rPr>
      </w:pPr>
      <m:oMathPara>
        <m:oMathParaPr>
          <m:jc m:val="left"/>
        </m:oMathParaPr>
        <m:oMath>
          <m:d>
            <m:dPr>
              <m:ctrlPr>
                <w:rPr>
                  <w:rFonts w:ascii="Cambria Math" w:hAnsi="Cambria Math" w:cs="Arial"/>
                  <w:color w:val="auto"/>
                  <w:szCs w:val="20"/>
                </w:rPr>
              </m:ctrlPr>
            </m:dPr>
            <m:e>
              <m:r>
                <w:rPr>
                  <w:rFonts w:ascii="Cambria Math" w:hAnsi="Cambria Math" w:cs="Arial"/>
                  <w:color w:val="auto"/>
                  <w:szCs w:val="20"/>
                </w:rPr>
                <m:t>MCA-OTC</m:t>
              </m:r>
            </m:e>
          </m:d>
          <m:r>
            <w:rPr>
              <w:rFonts w:ascii="Cambria Math" w:hAnsi="Cambria Math" w:cs="Arial"/>
              <w:color w:val="auto"/>
              <w:szCs w:val="20"/>
            </w:rPr>
            <m:t>×</m:t>
          </m:r>
          <m:f>
            <m:fPr>
              <m:ctrlPr>
                <w:rPr>
                  <w:rFonts w:ascii="Cambria Math" w:hAnsi="Cambria Math" w:cs="Arial"/>
                  <w:color w:val="auto"/>
                  <w:szCs w:val="20"/>
                </w:rPr>
              </m:ctrlPr>
            </m:fPr>
            <m:num>
              <m:r>
                <w:rPr>
                  <w:rFonts w:ascii="Cambria Math" w:hAnsi="Cambria Math" w:cs="Arial"/>
                  <w:color w:val="auto"/>
                  <w:szCs w:val="20"/>
                </w:rPr>
                <m:t>ER</m:t>
              </m:r>
            </m:num>
            <m:den>
              <m:r>
                <w:rPr>
                  <w:rFonts w:ascii="Cambria Math" w:hAnsi="Cambria Math" w:cs="Arial"/>
                  <w:color w:val="auto"/>
                  <w:szCs w:val="20"/>
                </w:rPr>
                <m:t>TER</m:t>
              </m:r>
            </m:den>
          </m:f>
        </m:oMath>
      </m:oMathPara>
    </w:p>
    <w:p w:rsidR="00D71FD2" w:rsidRPr="005D0BC8" w:rsidRDefault="00D71FD2" w:rsidP="00D71FD2">
      <w:pPr>
        <w:ind w:left="709" w:right="-142"/>
        <w:outlineLvl w:val="0"/>
        <w:rPr>
          <w:rFonts w:cs="Arial"/>
          <w:szCs w:val="20"/>
        </w:rPr>
      </w:pPr>
    </w:p>
    <w:p w:rsidR="00D71FD2" w:rsidRPr="005D0BC8" w:rsidRDefault="00A84CBD" w:rsidP="00094042">
      <w:pPr>
        <w:spacing w:after="80"/>
      </w:pPr>
      <w:r w:rsidRPr="00A84CBD">
        <w:t>Where:</w:t>
      </w:r>
    </w:p>
    <w:p w:rsidR="00094042" w:rsidRDefault="00A84CBD" w:rsidP="00094042">
      <w:pPr>
        <w:pStyle w:val="ListBullet"/>
      </w:pPr>
      <w:r w:rsidRPr="00A84CBD">
        <w:t>MCA is the maximum charge amount</w:t>
      </w:r>
    </w:p>
    <w:p w:rsidR="00094042" w:rsidRDefault="00A84CBD" w:rsidP="00094042">
      <w:pPr>
        <w:pStyle w:val="ListBullet"/>
      </w:pPr>
      <w:r w:rsidRPr="00A84CBD">
        <w:t>OTC is the other telecommunications charges</w:t>
      </w:r>
      <w:r w:rsidRPr="00A84CBD">
        <w:rPr>
          <w:vertAlign w:val="superscript"/>
        </w:rPr>
        <w:footnoteReference w:id="14"/>
      </w:r>
    </w:p>
    <w:p w:rsidR="00094042" w:rsidRDefault="00A84CBD" w:rsidP="00094042">
      <w:pPr>
        <w:pStyle w:val="ListBullet"/>
      </w:pPr>
      <w:r w:rsidRPr="00A84CBD">
        <w:t>ER is the individual carrier’s eligible revenue</w:t>
      </w:r>
    </w:p>
    <w:p w:rsidR="00094042" w:rsidRDefault="00A84CBD" w:rsidP="00094042">
      <w:pPr>
        <w:pStyle w:val="ListBullet"/>
        <w:spacing w:after="240"/>
      </w:pPr>
      <w:r w:rsidRPr="00A84CBD">
        <w:t>TER is the total eligible revenue.</w:t>
      </w:r>
    </w:p>
    <w:p w:rsidR="00D71FD2" w:rsidRPr="005D0BC8" w:rsidRDefault="00A84CBD" w:rsidP="00705A4A">
      <w:r w:rsidRPr="00A84CBD">
        <w:lastRenderedPageBreak/>
        <w:t>The ‘ER/TER’ determines the individual proportion of the carrier’s assessed eligible revenue relative to the total assessed eligible revenue for those carriers who are liable to pay the ACLC. In summary, the formula allocates the total ACLC to the individual carriers, in the same proportion as their assessed eligible revenue relates to the total assessed eligible revenue. Attachment A outlines the charges that will apply to relevant carriers for the period 1 July 2013 to 30</w:t>
      </w:r>
      <w:r w:rsidR="003A1B6D">
        <w:t> </w:t>
      </w:r>
      <w:r w:rsidRPr="00A84CBD">
        <w:t xml:space="preserve">June 2014. </w:t>
      </w:r>
      <w:bookmarkEnd w:id="38"/>
      <w:bookmarkEnd w:id="39"/>
    </w:p>
    <w:p w:rsidR="00D71FD2" w:rsidRPr="00CC3F4B" w:rsidRDefault="00D71FD2" w:rsidP="00CC3F4B">
      <w:pPr>
        <w:pStyle w:val="Heading1"/>
      </w:pPr>
      <w:bookmarkStart w:id="44" w:name="_Toc355953993"/>
      <w:bookmarkStart w:id="45" w:name="_Toc385256321"/>
      <w:bookmarkStart w:id="46" w:name="_Toc387308825"/>
      <w:r w:rsidRPr="00CC3F4B">
        <w:lastRenderedPageBreak/>
        <w:t>4</w:t>
      </w:r>
      <w:r w:rsidR="00CC3F4B" w:rsidRPr="00CC3F4B">
        <w:t xml:space="preserve">. </w:t>
      </w:r>
      <w:r w:rsidR="00CC3F4B" w:rsidRPr="00CC3F4B">
        <w:tab/>
        <w:t>S</w:t>
      </w:r>
      <w:bookmarkEnd w:id="44"/>
      <w:r w:rsidR="00CC3F4B" w:rsidRPr="00CC3F4B">
        <w:t>takeholder engagement</w:t>
      </w:r>
      <w:bookmarkEnd w:id="45"/>
      <w:bookmarkEnd w:id="46"/>
    </w:p>
    <w:p w:rsidR="00D71FD2" w:rsidRPr="005D0BC8" w:rsidRDefault="00A84CBD" w:rsidP="00705A4A">
      <w:r w:rsidRPr="00A84CBD">
        <w:t>On application for a carrier licence, carriers are advised that an instrument made under subsection 14(1) of the Act specifies the amount of ACLC imposed on persons who hold a carrier licence that was in force on the first day of the relevant financial year. The ACMA is required to make the Telecommunications (Annual Carrier Licence Charge) Determination and the Telecommunications (Specification of Costs by ACMA) Determination for the purposes of the ACLC.</w:t>
      </w:r>
    </w:p>
    <w:p w:rsidR="00D71FD2" w:rsidRPr="005D0BC8" w:rsidRDefault="00D71FD2" w:rsidP="00705A4A"/>
    <w:p w:rsidR="00D71FD2" w:rsidRPr="00E4568B" w:rsidRDefault="000A2944" w:rsidP="00705A4A">
      <w:r>
        <w:t>With respect to the</w:t>
      </w:r>
      <w:r w:rsidR="00A84CBD" w:rsidRPr="00E4568B">
        <w:t xml:space="preserve"> Telecommunications (Specification of Costs by ACMA) Determination 2014, the ACMA considered that consultation was unnecessar</w:t>
      </w:r>
      <w:r>
        <w:t>y on the basis that the</w:t>
      </w:r>
      <w:r w:rsidR="00A84CBD" w:rsidRPr="00E4568B">
        <w:t xml:space="preserve"> Determination is minor or machinery in nature and does not substantially alter existing arrangements.</w:t>
      </w:r>
    </w:p>
    <w:p w:rsidR="00D71FD2" w:rsidRPr="00E4568B" w:rsidRDefault="00D71FD2" w:rsidP="00705A4A"/>
    <w:p w:rsidR="00D71FD2" w:rsidRPr="005D0BC8" w:rsidRDefault="000A2944" w:rsidP="00705A4A">
      <w:r>
        <w:t>With respect to the</w:t>
      </w:r>
      <w:r w:rsidR="00A84CBD" w:rsidRPr="00E4568B">
        <w:t xml:space="preserve"> Telecommunications (Annual Carrier Licence Charge) Determination 2014, the ACMA considered that consultation was unnecessar</w:t>
      </w:r>
      <w:r>
        <w:t>y on the basis that the</w:t>
      </w:r>
      <w:r w:rsidR="00A84CBD" w:rsidRPr="00E4568B">
        <w:t xml:space="preserve"> Determination is minor in nature and does not substantially alter exi</w:t>
      </w:r>
      <w:r>
        <w:t>sting arrangements. The</w:t>
      </w:r>
      <w:r w:rsidR="00A84CBD" w:rsidRPr="00E4568B">
        <w:t xml:space="preserve"> Determination is to impose an ACLC of $0 on certain carrier licences in accordance with the Direction 2013 to which</w:t>
      </w:r>
      <w:r>
        <w:t xml:space="preserve"> the ACMA is bound. The</w:t>
      </w:r>
      <w:r w:rsidR="00A84CBD" w:rsidRPr="00E4568B">
        <w:t xml:space="preserve"> Determination is to also set out a method for ascertaining the</w:t>
      </w:r>
      <w:r w:rsidR="00A84CBD" w:rsidRPr="00A84CBD">
        <w:t xml:space="preserve"> amount of ACLC imposed on other carrier licences, which is substantially the same as the method set out in the Telecommunications (Annual Carrier Licence Charge) Determination 2012 (that applied to carrier licences in force at the beginning of the 2011–12 financial year) and the Telecommunications (Annual Carrier Licence Charge) Determination 2013 (that applied to carrier licences in force at the beginning of the 2012–13 financial year). The method was the subject of consultation as part of a review of the ACMA’s cost recovery arrangements undertaken in late 2011.</w:t>
      </w:r>
    </w:p>
    <w:p w:rsidR="00D71FD2" w:rsidRPr="005D0BC8" w:rsidRDefault="00D71FD2" w:rsidP="00D71FD2">
      <w:pPr>
        <w:pStyle w:val="BodyText"/>
        <w:spacing w:line="240" w:lineRule="atLeast"/>
        <w:ind w:left="720" w:right="-142"/>
        <w:jc w:val="both"/>
        <w:rPr>
          <w:rFonts w:cs="Arial"/>
          <w:i w:val="0"/>
          <w:color w:val="auto"/>
          <w:szCs w:val="20"/>
        </w:rPr>
      </w:pPr>
    </w:p>
    <w:p w:rsidR="00D71FD2" w:rsidRPr="00CC3F4B" w:rsidRDefault="00D71FD2" w:rsidP="00CC3F4B">
      <w:pPr>
        <w:pStyle w:val="Heading1"/>
      </w:pPr>
      <w:bookmarkStart w:id="47" w:name="_Toc355953992"/>
      <w:bookmarkStart w:id="48" w:name="_Toc385256322"/>
      <w:bookmarkStart w:id="49" w:name="_Toc387308826"/>
      <w:r w:rsidRPr="00CC3F4B">
        <w:lastRenderedPageBreak/>
        <w:t>5</w:t>
      </w:r>
      <w:r w:rsidR="00CC3F4B" w:rsidRPr="00CC3F4B">
        <w:t xml:space="preserve">. </w:t>
      </w:r>
      <w:r w:rsidR="00CC3F4B" w:rsidRPr="00CC3F4B">
        <w:tab/>
        <w:t>F</w:t>
      </w:r>
      <w:bookmarkEnd w:id="47"/>
      <w:r w:rsidR="00CC3F4B" w:rsidRPr="00CC3F4B">
        <w:t>inancial information</w:t>
      </w:r>
      <w:bookmarkEnd w:id="48"/>
      <w:bookmarkEnd w:id="49"/>
    </w:p>
    <w:p w:rsidR="00D71FD2" w:rsidRDefault="00A84CBD" w:rsidP="00705A4A">
      <w:r w:rsidRPr="00A84CBD">
        <w:t xml:space="preserve">The summary of all components identified </w:t>
      </w:r>
      <w:r w:rsidR="00F74ED0">
        <w:t xml:space="preserve">in </w:t>
      </w:r>
      <w:r w:rsidRPr="00A84CBD">
        <w:t>paragraphs 15(1</w:t>
      </w:r>
      <w:proofErr w:type="gramStart"/>
      <w:r w:rsidRPr="00A84CBD">
        <w:t>)(</w:t>
      </w:r>
      <w:proofErr w:type="gramEnd"/>
      <w:r w:rsidRPr="00A84CBD">
        <w:t xml:space="preserve">a) to 15(1)(d) of the Act is provided in Table 9. The ACLC amount for 2013–14 financial year has decreased by 1.5 per cent from the previous financial year. </w:t>
      </w:r>
      <w:r w:rsidR="00224D7E">
        <w:t>The estimated ACLC revenue for 2014</w:t>
      </w:r>
      <w:r w:rsidR="00CD22C9">
        <w:t>–</w:t>
      </w:r>
      <w:r w:rsidR="00224D7E">
        <w:t>15 financial year</w:t>
      </w:r>
      <w:r w:rsidR="00E0353B">
        <w:t xml:space="preserve"> </w:t>
      </w:r>
      <w:r w:rsidR="00224D7E">
        <w:t>disclosed in 2014</w:t>
      </w:r>
      <w:r w:rsidR="00CD22C9">
        <w:t>–</w:t>
      </w:r>
      <w:r w:rsidR="00224D7E">
        <w:t>15 Bu</w:t>
      </w:r>
      <w:r w:rsidR="008D2749">
        <w:t xml:space="preserve">dget is $46.2 million. However, </w:t>
      </w:r>
      <w:r w:rsidR="00E0353B">
        <w:t xml:space="preserve">the </w:t>
      </w:r>
      <w:r w:rsidR="008D2749">
        <w:t xml:space="preserve">estimated ACLC revenue </w:t>
      </w:r>
      <w:r w:rsidR="00224D7E">
        <w:t xml:space="preserve">is </w:t>
      </w:r>
      <w:r w:rsidR="008D2749">
        <w:t xml:space="preserve">difficult to forecast as </w:t>
      </w:r>
      <w:r w:rsidR="009F7040">
        <w:t xml:space="preserve">organisational changes </w:t>
      </w:r>
      <w:r w:rsidR="008D2749">
        <w:t xml:space="preserve">in the participating </w:t>
      </w:r>
      <w:r w:rsidR="00F74ED0">
        <w:t>organisations</w:t>
      </w:r>
      <w:r w:rsidR="008D2749">
        <w:t xml:space="preserve"> are </w:t>
      </w:r>
      <w:r w:rsidR="009F7040">
        <w:t>currently underway</w:t>
      </w:r>
      <w:r w:rsidR="008D2749">
        <w:t>. The ACLC revenue estimate will be subject to</w:t>
      </w:r>
      <w:r w:rsidR="00CD22C9">
        <w:t xml:space="preserve"> a portfolio review before 2015–</w:t>
      </w:r>
      <w:r w:rsidR="008D2749">
        <w:t>16 Budget.</w:t>
      </w:r>
    </w:p>
    <w:p w:rsidR="004D27C2" w:rsidRDefault="004D27C2" w:rsidP="00705A4A"/>
    <w:tbl>
      <w:tblPr>
        <w:tblW w:w="9645" w:type="dxa"/>
        <w:tblLayout w:type="fixed"/>
        <w:tblCellMar>
          <w:left w:w="0" w:type="dxa"/>
          <w:right w:w="0" w:type="dxa"/>
        </w:tblCellMar>
        <w:tblLook w:val="01E0" w:firstRow="1" w:lastRow="1" w:firstColumn="1" w:lastColumn="1" w:noHBand="0" w:noVBand="0"/>
      </w:tblPr>
      <w:tblGrid>
        <w:gridCol w:w="9645"/>
      </w:tblGrid>
      <w:tr w:rsidR="004D27C2">
        <w:trPr>
          <w:trHeight w:val="570"/>
        </w:trPr>
        <w:tc>
          <w:tcPr>
            <w:tcW w:w="9645" w:type="dxa"/>
            <w:tcBorders>
              <w:top w:val="single" w:sz="2" w:space="0" w:color="505050"/>
            </w:tcBorders>
            <w:shd w:val="clear" w:color="auto" w:fill="auto"/>
            <w:vAlign w:val="center"/>
          </w:tcPr>
          <w:p w:rsidR="004D27C2" w:rsidRPr="00A74B5E" w:rsidRDefault="004D27C2">
            <w:pPr>
              <w:pStyle w:val="Caption"/>
            </w:pPr>
            <w:r>
              <w:t xml:space="preserve">Table </w:t>
            </w:r>
            <w:fldSimple w:instr=" SEQ Table \* ARABIC ">
              <w:r>
                <w:rPr>
                  <w:noProof/>
                </w:rPr>
                <w:t>9</w:t>
              </w:r>
            </w:fldSimple>
            <w:r>
              <w:t xml:space="preserve"> </w:t>
            </w:r>
            <w:r w:rsidRPr="005A1AF4">
              <w:t>ACLC summary by cost component</w:t>
            </w:r>
          </w:p>
        </w:tc>
      </w:tr>
      <w:tr w:rsidR="004D27C2">
        <w:trPr>
          <w:trHeight w:val="3086"/>
        </w:trPr>
        <w:tc>
          <w:tcPr>
            <w:tcW w:w="9645" w:type="dxa"/>
            <w:shd w:val="clear" w:color="auto" w:fill="auto"/>
            <w:tcMar>
              <w:left w:w="28" w:type="dxa"/>
            </w:tcMar>
          </w:tcPr>
          <w:tbl>
            <w:tblPr>
              <w:tblW w:w="46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7"/>
              <w:gridCol w:w="3543"/>
              <w:gridCol w:w="1843"/>
              <w:gridCol w:w="1701"/>
            </w:tblGrid>
            <w:tr w:rsidR="004D27C2" w:rsidRPr="000D6F80" w:rsidTr="00070110">
              <w:trPr>
                <w:trHeight w:val="325"/>
              </w:trPr>
              <w:tc>
                <w:tcPr>
                  <w:tcW w:w="1016" w:type="pct"/>
                  <w:shd w:val="clear" w:color="auto" w:fill="404040" w:themeFill="text1" w:themeFillTint="BF"/>
                  <w:vAlign w:val="center"/>
                </w:tcPr>
                <w:p w:rsidR="004D27C2" w:rsidRPr="003A1B6D" w:rsidRDefault="004D27C2" w:rsidP="00070110">
                  <w:pPr>
                    <w:widowControl w:val="0"/>
                    <w:outlineLvl w:val="0"/>
                    <w:rPr>
                      <w:rFonts w:cs="Arial"/>
                      <w:b/>
                      <w:iCs/>
                      <w:color w:val="FFFFFF" w:themeColor="background1"/>
                      <w:szCs w:val="20"/>
                    </w:rPr>
                  </w:pPr>
                  <w:r w:rsidRPr="00A84CBD">
                    <w:rPr>
                      <w:rFonts w:cs="Arial"/>
                      <w:b/>
                      <w:iCs/>
                      <w:color w:val="FFFFFF" w:themeColor="background1"/>
                      <w:szCs w:val="20"/>
                    </w:rPr>
                    <w:t>Reference in the Act</w:t>
                  </w:r>
                </w:p>
              </w:tc>
              <w:tc>
                <w:tcPr>
                  <w:tcW w:w="1992" w:type="pct"/>
                  <w:shd w:val="clear" w:color="auto" w:fill="404040" w:themeFill="text1" w:themeFillTint="BF"/>
                  <w:vAlign w:val="center"/>
                </w:tcPr>
                <w:p w:rsidR="004D27C2" w:rsidRPr="003A1B6D" w:rsidRDefault="004D27C2" w:rsidP="00070110">
                  <w:pPr>
                    <w:widowControl w:val="0"/>
                    <w:outlineLvl w:val="0"/>
                    <w:rPr>
                      <w:rFonts w:cs="Arial"/>
                      <w:b/>
                      <w:iCs/>
                      <w:color w:val="FFFFFF" w:themeColor="background1"/>
                      <w:szCs w:val="20"/>
                      <w:highlight w:val="yellow"/>
                    </w:rPr>
                  </w:pPr>
                  <w:r w:rsidRPr="00A84CBD">
                    <w:rPr>
                      <w:rFonts w:cs="Arial"/>
                      <w:b/>
                      <w:iCs/>
                      <w:color w:val="FFFFFF" w:themeColor="background1"/>
                      <w:szCs w:val="20"/>
                    </w:rPr>
                    <w:t>Cost component</w:t>
                  </w:r>
                </w:p>
              </w:tc>
              <w:tc>
                <w:tcPr>
                  <w:tcW w:w="1036" w:type="pct"/>
                  <w:tcBorders>
                    <w:top w:val="single" w:sz="6" w:space="0" w:color="auto"/>
                  </w:tcBorders>
                  <w:shd w:val="clear" w:color="auto" w:fill="404040" w:themeFill="text1" w:themeFillTint="BF"/>
                  <w:vAlign w:val="center"/>
                </w:tcPr>
                <w:p w:rsidR="004D27C2" w:rsidRDefault="004D27C2" w:rsidP="004D27C2">
                  <w:pPr>
                    <w:ind w:right="35"/>
                    <w:rPr>
                      <w:rFonts w:cs="Arial"/>
                      <w:b/>
                      <w:iCs/>
                      <w:color w:val="FFFFFF" w:themeColor="background1"/>
                      <w:szCs w:val="20"/>
                    </w:rPr>
                  </w:pPr>
                  <w:r w:rsidRPr="00A84CBD">
                    <w:rPr>
                      <w:rFonts w:cs="Arial"/>
                      <w:b/>
                      <w:iCs/>
                      <w:color w:val="FFFFFF" w:themeColor="background1"/>
                      <w:szCs w:val="20"/>
                    </w:rPr>
                    <w:t>2013-14 ACLC</w:t>
                  </w:r>
                </w:p>
                <w:p w:rsidR="004D27C2" w:rsidRDefault="004D27C2" w:rsidP="004D27C2">
                  <w:pPr>
                    <w:ind w:right="35"/>
                    <w:rPr>
                      <w:rFonts w:cs="Arial"/>
                      <w:b/>
                      <w:iCs/>
                      <w:color w:val="FFFFFF" w:themeColor="background1"/>
                      <w:szCs w:val="20"/>
                      <w:highlight w:val="yellow"/>
                    </w:rPr>
                  </w:pPr>
                  <w:r w:rsidRPr="00A84CBD">
                    <w:rPr>
                      <w:rFonts w:cs="Arial"/>
                      <w:b/>
                      <w:iCs/>
                      <w:color w:val="FFFFFF" w:themeColor="background1"/>
                      <w:szCs w:val="20"/>
                    </w:rPr>
                    <w:t>Actual</w:t>
                  </w:r>
                </w:p>
              </w:tc>
              <w:tc>
                <w:tcPr>
                  <w:tcW w:w="956" w:type="pct"/>
                  <w:tcBorders>
                    <w:top w:val="single" w:sz="6" w:space="0" w:color="auto"/>
                  </w:tcBorders>
                  <w:shd w:val="clear" w:color="auto" w:fill="404040" w:themeFill="text1" w:themeFillTint="BF"/>
                  <w:vAlign w:val="center"/>
                </w:tcPr>
                <w:p w:rsidR="004D27C2" w:rsidRDefault="004D27C2" w:rsidP="004D27C2">
                  <w:pPr>
                    <w:ind w:right="35"/>
                    <w:rPr>
                      <w:rFonts w:cs="Arial"/>
                      <w:b/>
                      <w:iCs/>
                      <w:color w:val="FFFFFF" w:themeColor="background1"/>
                      <w:szCs w:val="20"/>
                    </w:rPr>
                  </w:pPr>
                  <w:r w:rsidRPr="00A84CBD">
                    <w:rPr>
                      <w:rFonts w:cs="Arial"/>
                      <w:b/>
                      <w:iCs/>
                      <w:color w:val="FFFFFF" w:themeColor="background1"/>
                      <w:szCs w:val="20"/>
                    </w:rPr>
                    <w:t>2012–13 ACLC</w:t>
                  </w:r>
                </w:p>
                <w:p w:rsidR="004D27C2" w:rsidRDefault="004D27C2" w:rsidP="004D27C2">
                  <w:pPr>
                    <w:ind w:right="35"/>
                    <w:rPr>
                      <w:rFonts w:cs="Arial"/>
                      <w:b/>
                      <w:iCs/>
                      <w:color w:val="FFFFFF" w:themeColor="background1"/>
                      <w:szCs w:val="20"/>
                      <w:highlight w:val="yellow"/>
                    </w:rPr>
                  </w:pPr>
                  <w:r w:rsidRPr="00A84CBD">
                    <w:rPr>
                      <w:rFonts w:cs="Arial"/>
                      <w:b/>
                      <w:iCs/>
                      <w:color w:val="FFFFFF" w:themeColor="background1"/>
                      <w:szCs w:val="20"/>
                    </w:rPr>
                    <w:t>Actual</w:t>
                  </w:r>
                </w:p>
              </w:tc>
            </w:tr>
            <w:tr w:rsidR="004D27C2" w:rsidRPr="000D6F80" w:rsidTr="00070110">
              <w:trPr>
                <w:trHeight w:val="414"/>
              </w:trPr>
              <w:tc>
                <w:tcPr>
                  <w:tcW w:w="1016" w:type="pct"/>
                  <w:vAlign w:val="center"/>
                </w:tcPr>
                <w:p w:rsidR="004D27C2" w:rsidRPr="000D6F80" w:rsidRDefault="004D27C2" w:rsidP="00070110">
                  <w:pPr>
                    <w:rPr>
                      <w:rFonts w:cs="Arial"/>
                      <w:szCs w:val="20"/>
                    </w:rPr>
                  </w:pPr>
                  <w:r w:rsidRPr="000D6F80">
                    <w:rPr>
                      <w:rFonts w:cs="Arial"/>
                      <w:szCs w:val="20"/>
                    </w:rPr>
                    <w:t>15(1)(a)</w:t>
                  </w:r>
                </w:p>
              </w:tc>
              <w:tc>
                <w:tcPr>
                  <w:tcW w:w="1992" w:type="pct"/>
                  <w:vAlign w:val="center"/>
                </w:tcPr>
                <w:p w:rsidR="004D27C2" w:rsidRPr="000D6F80" w:rsidRDefault="004D27C2" w:rsidP="00070110">
                  <w:pPr>
                    <w:ind w:right="-142"/>
                    <w:rPr>
                      <w:rFonts w:cs="Arial"/>
                      <w:szCs w:val="20"/>
                    </w:rPr>
                  </w:pPr>
                  <w:r w:rsidRPr="000D6F80">
                    <w:rPr>
                      <w:rFonts w:cs="Arial"/>
                      <w:szCs w:val="20"/>
                    </w:rPr>
                    <w:t>ACMA’s cost component</w:t>
                  </w:r>
                </w:p>
              </w:tc>
              <w:tc>
                <w:tcPr>
                  <w:tcW w:w="1036" w:type="pct"/>
                  <w:vAlign w:val="center"/>
                </w:tcPr>
                <w:p w:rsidR="004D27C2" w:rsidRDefault="004D27C2" w:rsidP="00F74ED0">
                  <w:pPr>
                    <w:ind w:right="35"/>
                    <w:jc w:val="right"/>
                    <w:rPr>
                      <w:rFonts w:cs="Arial"/>
                      <w:szCs w:val="20"/>
                    </w:rPr>
                  </w:pPr>
                  <w:r>
                    <w:rPr>
                      <w:rFonts w:cs="Arial"/>
                      <w:szCs w:val="20"/>
                    </w:rPr>
                    <w:t>$19,209,865</w:t>
                  </w:r>
                </w:p>
              </w:tc>
              <w:tc>
                <w:tcPr>
                  <w:tcW w:w="956" w:type="pct"/>
                  <w:vAlign w:val="center"/>
                </w:tcPr>
                <w:p w:rsidR="004D27C2" w:rsidRDefault="004D27C2" w:rsidP="00F74ED0">
                  <w:pPr>
                    <w:ind w:right="35"/>
                    <w:jc w:val="right"/>
                    <w:rPr>
                      <w:rFonts w:cs="Arial"/>
                      <w:szCs w:val="20"/>
                    </w:rPr>
                  </w:pPr>
                  <w:r w:rsidRPr="000D6F80">
                    <w:rPr>
                      <w:rFonts w:cs="Arial"/>
                      <w:szCs w:val="20"/>
                    </w:rPr>
                    <w:t>$21,053,005</w:t>
                  </w:r>
                </w:p>
              </w:tc>
            </w:tr>
            <w:tr w:rsidR="004D27C2" w:rsidRPr="000D6F80" w:rsidTr="00070110">
              <w:trPr>
                <w:trHeight w:val="414"/>
              </w:trPr>
              <w:tc>
                <w:tcPr>
                  <w:tcW w:w="1016" w:type="pct"/>
                  <w:vAlign w:val="center"/>
                </w:tcPr>
                <w:p w:rsidR="004D27C2" w:rsidRPr="000D6F80" w:rsidRDefault="004D27C2" w:rsidP="00070110">
                  <w:pPr>
                    <w:rPr>
                      <w:rFonts w:cs="Arial"/>
                      <w:szCs w:val="20"/>
                    </w:rPr>
                  </w:pPr>
                  <w:r w:rsidRPr="000D6F80">
                    <w:rPr>
                      <w:rFonts w:cs="Arial"/>
                      <w:szCs w:val="20"/>
                    </w:rPr>
                    <w:t>15(1)(b)</w:t>
                  </w:r>
                </w:p>
              </w:tc>
              <w:tc>
                <w:tcPr>
                  <w:tcW w:w="1992" w:type="pct"/>
                  <w:vAlign w:val="center"/>
                </w:tcPr>
                <w:p w:rsidR="004D27C2" w:rsidRPr="000D6F80" w:rsidRDefault="004D27C2" w:rsidP="00070110">
                  <w:pPr>
                    <w:ind w:right="-142"/>
                    <w:rPr>
                      <w:rFonts w:cs="Arial"/>
                      <w:szCs w:val="20"/>
                    </w:rPr>
                  </w:pPr>
                  <w:r w:rsidRPr="000D6F80">
                    <w:rPr>
                      <w:rFonts w:cs="Arial"/>
                      <w:szCs w:val="20"/>
                    </w:rPr>
                    <w:t>ACCC’s cost component</w:t>
                  </w:r>
                </w:p>
              </w:tc>
              <w:tc>
                <w:tcPr>
                  <w:tcW w:w="1036" w:type="pct"/>
                  <w:vAlign w:val="center"/>
                </w:tcPr>
                <w:p w:rsidR="004D27C2" w:rsidRDefault="004D27C2" w:rsidP="00F74ED0">
                  <w:pPr>
                    <w:ind w:right="35"/>
                    <w:jc w:val="right"/>
                    <w:rPr>
                      <w:rFonts w:cs="Arial"/>
                      <w:szCs w:val="20"/>
                    </w:rPr>
                  </w:pPr>
                  <w:r w:rsidRPr="000D6F80">
                    <w:rPr>
                      <w:rFonts w:cs="Arial"/>
                      <w:szCs w:val="20"/>
                    </w:rPr>
                    <w:t>$1</w:t>
                  </w:r>
                  <w:r>
                    <w:rPr>
                      <w:rFonts w:cs="Arial"/>
                      <w:szCs w:val="20"/>
                    </w:rPr>
                    <w:t>5,004,637</w:t>
                  </w:r>
                </w:p>
              </w:tc>
              <w:tc>
                <w:tcPr>
                  <w:tcW w:w="956" w:type="pct"/>
                  <w:vAlign w:val="center"/>
                </w:tcPr>
                <w:p w:rsidR="004D27C2" w:rsidRDefault="004D27C2" w:rsidP="00F74ED0">
                  <w:pPr>
                    <w:ind w:right="35"/>
                    <w:jc w:val="right"/>
                    <w:rPr>
                      <w:rFonts w:cs="Arial"/>
                      <w:szCs w:val="20"/>
                    </w:rPr>
                  </w:pPr>
                  <w:r w:rsidRPr="000D6F80">
                    <w:rPr>
                      <w:rFonts w:cs="Arial"/>
                      <w:szCs w:val="20"/>
                    </w:rPr>
                    <w:t>$13,814,814</w:t>
                  </w:r>
                </w:p>
              </w:tc>
            </w:tr>
            <w:tr w:rsidR="004D27C2" w:rsidRPr="000D6F80" w:rsidTr="00070110">
              <w:trPr>
                <w:trHeight w:val="414"/>
              </w:trPr>
              <w:tc>
                <w:tcPr>
                  <w:tcW w:w="1016" w:type="pct"/>
                  <w:vAlign w:val="center"/>
                </w:tcPr>
                <w:p w:rsidR="004D27C2" w:rsidRPr="000D6F80" w:rsidRDefault="004D27C2" w:rsidP="00070110">
                  <w:pPr>
                    <w:rPr>
                      <w:rFonts w:cs="Arial"/>
                      <w:szCs w:val="20"/>
                    </w:rPr>
                  </w:pPr>
                  <w:r w:rsidRPr="000D6F80">
                    <w:rPr>
                      <w:rFonts w:cs="Arial"/>
                      <w:szCs w:val="20"/>
                    </w:rPr>
                    <w:t>15(1)(c)</w:t>
                  </w:r>
                </w:p>
              </w:tc>
              <w:tc>
                <w:tcPr>
                  <w:tcW w:w="1992" w:type="pct"/>
                  <w:vAlign w:val="center"/>
                </w:tcPr>
                <w:p w:rsidR="004D27C2" w:rsidRPr="000D6F80" w:rsidRDefault="004D27C2" w:rsidP="00070110">
                  <w:pPr>
                    <w:ind w:right="-142"/>
                    <w:rPr>
                      <w:rFonts w:cs="Arial"/>
                      <w:szCs w:val="20"/>
                    </w:rPr>
                  </w:pPr>
                  <w:r w:rsidRPr="000D6F80">
                    <w:rPr>
                      <w:rFonts w:cs="Arial"/>
                      <w:szCs w:val="20"/>
                    </w:rPr>
                    <w:t>ITU contribution</w:t>
                  </w:r>
                </w:p>
              </w:tc>
              <w:tc>
                <w:tcPr>
                  <w:tcW w:w="1036" w:type="pct"/>
                  <w:vAlign w:val="center"/>
                </w:tcPr>
                <w:p w:rsidR="004D27C2" w:rsidRDefault="004D27C2" w:rsidP="00F74ED0">
                  <w:pPr>
                    <w:ind w:right="35"/>
                    <w:jc w:val="right"/>
                    <w:rPr>
                      <w:rFonts w:cs="Arial"/>
                      <w:szCs w:val="20"/>
                    </w:rPr>
                  </w:pPr>
                  <w:r w:rsidRPr="000D6F80">
                    <w:rPr>
                      <w:rFonts w:cs="Arial"/>
                      <w:szCs w:val="20"/>
                    </w:rPr>
                    <w:t>$1,6</w:t>
                  </w:r>
                  <w:r>
                    <w:rPr>
                      <w:rFonts w:cs="Arial"/>
                      <w:szCs w:val="20"/>
                    </w:rPr>
                    <w:t>01,578</w:t>
                  </w:r>
                </w:p>
              </w:tc>
              <w:tc>
                <w:tcPr>
                  <w:tcW w:w="956" w:type="pct"/>
                  <w:vAlign w:val="center"/>
                </w:tcPr>
                <w:p w:rsidR="004D27C2" w:rsidRDefault="004D27C2" w:rsidP="00F74ED0">
                  <w:pPr>
                    <w:ind w:right="35"/>
                    <w:jc w:val="right"/>
                    <w:rPr>
                      <w:rFonts w:cs="Arial"/>
                      <w:szCs w:val="20"/>
                    </w:rPr>
                  </w:pPr>
                  <w:r w:rsidRPr="000D6F80">
                    <w:rPr>
                      <w:rFonts w:cs="Arial"/>
                      <w:szCs w:val="20"/>
                    </w:rPr>
                    <w:t>$1,680,159</w:t>
                  </w:r>
                </w:p>
              </w:tc>
            </w:tr>
            <w:tr w:rsidR="004D27C2" w:rsidRPr="000D6F80" w:rsidTr="00070110">
              <w:trPr>
                <w:trHeight w:val="414"/>
              </w:trPr>
              <w:tc>
                <w:tcPr>
                  <w:tcW w:w="1016" w:type="pct"/>
                  <w:vAlign w:val="center"/>
                </w:tcPr>
                <w:p w:rsidR="004D27C2" w:rsidRPr="000D6F80" w:rsidRDefault="004D27C2" w:rsidP="00070110">
                  <w:pPr>
                    <w:rPr>
                      <w:rFonts w:cs="Arial"/>
                      <w:szCs w:val="20"/>
                    </w:rPr>
                  </w:pPr>
                  <w:r w:rsidRPr="000D6F80">
                    <w:rPr>
                      <w:rFonts w:cs="Arial"/>
                      <w:szCs w:val="20"/>
                    </w:rPr>
                    <w:t>15(1)(d)</w:t>
                  </w:r>
                </w:p>
              </w:tc>
              <w:tc>
                <w:tcPr>
                  <w:tcW w:w="1992" w:type="pct"/>
                  <w:vAlign w:val="center"/>
                </w:tcPr>
                <w:p w:rsidR="004D27C2" w:rsidRPr="000D6F80" w:rsidRDefault="004D27C2" w:rsidP="00070110">
                  <w:pPr>
                    <w:ind w:right="-142"/>
                    <w:rPr>
                      <w:rFonts w:cs="Arial"/>
                      <w:szCs w:val="20"/>
                    </w:rPr>
                  </w:pPr>
                  <w:r w:rsidRPr="000D6F80">
                    <w:rPr>
                      <w:rFonts w:cs="Arial"/>
                      <w:szCs w:val="20"/>
                    </w:rPr>
                    <w:t>Government Grants</w:t>
                  </w:r>
                  <w:r>
                    <w:rPr>
                      <w:rFonts w:cs="Arial"/>
                      <w:szCs w:val="20"/>
                    </w:rPr>
                    <w:t>—</w:t>
                  </w:r>
                  <w:r w:rsidRPr="000D6F80">
                    <w:rPr>
                      <w:rFonts w:cs="Arial"/>
                      <w:szCs w:val="20"/>
                    </w:rPr>
                    <w:t>Consumer Representation and Research</w:t>
                  </w:r>
                </w:p>
              </w:tc>
              <w:tc>
                <w:tcPr>
                  <w:tcW w:w="1036" w:type="pct"/>
                  <w:vAlign w:val="center"/>
                </w:tcPr>
                <w:p w:rsidR="004D27C2" w:rsidRDefault="004D27C2" w:rsidP="00F74ED0">
                  <w:pPr>
                    <w:ind w:right="35"/>
                    <w:jc w:val="right"/>
                    <w:rPr>
                      <w:rFonts w:cs="Arial"/>
                      <w:szCs w:val="20"/>
                    </w:rPr>
                  </w:pPr>
                  <w:r>
                    <w:rPr>
                      <w:rFonts w:cs="Arial"/>
                      <w:szCs w:val="20"/>
                    </w:rPr>
                    <w:t>$2,166,000</w:t>
                  </w:r>
                </w:p>
              </w:tc>
              <w:tc>
                <w:tcPr>
                  <w:tcW w:w="956" w:type="pct"/>
                  <w:vAlign w:val="center"/>
                </w:tcPr>
                <w:p w:rsidR="004D27C2" w:rsidRDefault="004D27C2" w:rsidP="00F74ED0">
                  <w:pPr>
                    <w:ind w:right="35"/>
                    <w:jc w:val="right"/>
                    <w:rPr>
                      <w:rFonts w:cs="Arial"/>
                      <w:szCs w:val="20"/>
                    </w:rPr>
                  </w:pPr>
                  <w:r w:rsidRPr="000D6F80">
                    <w:rPr>
                      <w:rFonts w:cs="Arial"/>
                      <w:szCs w:val="20"/>
                    </w:rPr>
                    <w:t>$2,127,000</w:t>
                  </w:r>
                </w:p>
              </w:tc>
            </w:tr>
            <w:tr w:rsidR="004D27C2" w:rsidRPr="000D6F80" w:rsidTr="00070110">
              <w:trPr>
                <w:trHeight w:val="414"/>
              </w:trPr>
              <w:tc>
                <w:tcPr>
                  <w:tcW w:w="1016" w:type="pct"/>
                  <w:vAlign w:val="center"/>
                </w:tcPr>
                <w:p w:rsidR="004D27C2" w:rsidRPr="000D6F80" w:rsidRDefault="004D27C2" w:rsidP="00070110">
                  <w:pPr>
                    <w:rPr>
                      <w:rFonts w:cs="Arial"/>
                      <w:szCs w:val="20"/>
                    </w:rPr>
                  </w:pPr>
                  <w:r w:rsidRPr="000D6F80">
                    <w:rPr>
                      <w:rFonts w:cs="Arial"/>
                      <w:szCs w:val="20"/>
                    </w:rPr>
                    <w:t>15(1)(ca)</w:t>
                  </w:r>
                </w:p>
              </w:tc>
              <w:tc>
                <w:tcPr>
                  <w:tcW w:w="1992" w:type="pct"/>
                  <w:vAlign w:val="center"/>
                </w:tcPr>
                <w:p w:rsidR="004D27C2" w:rsidRPr="000D6F80" w:rsidRDefault="004D27C2" w:rsidP="00070110">
                  <w:pPr>
                    <w:ind w:right="-142"/>
                    <w:rPr>
                      <w:rFonts w:cs="Arial"/>
                      <w:szCs w:val="20"/>
                    </w:rPr>
                  </w:pPr>
                  <w:r w:rsidRPr="000D6F80">
                    <w:rPr>
                      <w:rFonts w:cs="Arial"/>
                      <w:szCs w:val="20"/>
                    </w:rPr>
                    <w:t xml:space="preserve">Development of consumer protection related industry codes </w:t>
                  </w:r>
                </w:p>
              </w:tc>
              <w:tc>
                <w:tcPr>
                  <w:tcW w:w="1036" w:type="pct"/>
                  <w:vAlign w:val="center"/>
                </w:tcPr>
                <w:p w:rsidR="004D27C2" w:rsidRDefault="004D27C2" w:rsidP="00F74ED0">
                  <w:pPr>
                    <w:ind w:right="35"/>
                    <w:jc w:val="right"/>
                    <w:rPr>
                      <w:rFonts w:cs="Arial"/>
                      <w:szCs w:val="20"/>
                    </w:rPr>
                  </w:pPr>
                  <w:r w:rsidRPr="000D6F80">
                    <w:rPr>
                      <w:rFonts w:cs="Arial"/>
                      <w:szCs w:val="20"/>
                    </w:rPr>
                    <w:t>$</w:t>
                  </w:r>
                  <w:r>
                    <w:rPr>
                      <w:rFonts w:cs="Arial"/>
                      <w:szCs w:val="20"/>
                    </w:rPr>
                    <w:t>320,949</w:t>
                  </w:r>
                </w:p>
              </w:tc>
              <w:tc>
                <w:tcPr>
                  <w:tcW w:w="956" w:type="pct"/>
                  <w:vAlign w:val="center"/>
                </w:tcPr>
                <w:p w:rsidR="004D27C2" w:rsidRDefault="004D27C2" w:rsidP="00F74ED0">
                  <w:pPr>
                    <w:ind w:right="35"/>
                    <w:jc w:val="right"/>
                    <w:rPr>
                      <w:rFonts w:cs="Arial"/>
                      <w:szCs w:val="20"/>
                    </w:rPr>
                  </w:pPr>
                  <w:r w:rsidRPr="000D6F80">
                    <w:rPr>
                      <w:rFonts w:cs="Arial"/>
                      <w:szCs w:val="20"/>
                    </w:rPr>
                    <w:t>$210,405</w:t>
                  </w:r>
                </w:p>
              </w:tc>
            </w:tr>
            <w:tr w:rsidR="004D27C2" w:rsidRPr="000D6F80" w:rsidTr="004D27C2">
              <w:trPr>
                <w:trHeight w:val="411"/>
              </w:trPr>
              <w:tc>
                <w:tcPr>
                  <w:tcW w:w="3008" w:type="pct"/>
                  <w:gridSpan w:val="2"/>
                  <w:shd w:val="clear" w:color="auto" w:fill="D9D9D9" w:themeFill="background1" w:themeFillShade="D9"/>
                  <w:vAlign w:val="center"/>
                </w:tcPr>
                <w:p w:rsidR="004D27C2" w:rsidRPr="000D6F80" w:rsidRDefault="004D27C2" w:rsidP="00070110">
                  <w:pPr>
                    <w:ind w:right="-142"/>
                    <w:rPr>
                      <w:rFonts w:cs="Arial"/>
                      <w:b/>
                      <w:szCs w:val="20"/>
                    </w:rPr>
                  </w:pPr>
                  <w:r w:rsidRPr="000D6F80">
                    <w:rPr>
                      <w:rFonts w:cs="Arial"/>
                      <w:b/>
                      <w:szCs w:val="20"/>
                    </w:rPr>
                    <w:t>Total</w:t>
                  </w:r>
                </w:p>
              </w:tc>
              <w:tc>
                <w:tcPr>
                  <w:tcW w:w="1036" w:type="pct"/>
                  <w:shd w:val="clear" w:color="auto" w:fill="D9D9D9" w:themeFill="background1" w:themeFillShade="D9"/>
                  <w:vAlign w:val="center"/>
                </w:tcPr>
                <w:p w:rsidR="004D27C2" w:rsidRDefault="004D27C2" w:rsidP="00F74ED0">
                  <w:pPr>
                    <w:ind w:right="35"/>
                    <w:jc w:val="right"/>
                    <w:rPr>
                      <w:rFonts w:cs="Arial"/>
                      <w:b/>
                      <w:szCs w:val="20"/>
                    </w:rPr>
                  </w:pPr>
                  <w:r w:rsidRPr="000D6F80">
                    <w:rPr>
                      <w:rFonts w:cs="Arial"/>
                      <w:b/>
                      <w:szCs w:val="20"/>
                    </w:rPr>
                    <w:t>$</w:t>
                  </w:r>
                  <w:r>
                    <w:rPr>
                      <w:rFonts w:cs="Arial"/>
                      <w:b/>
                      <w:szCs w:val="20"/>
                    </w:rPr>
                    <w:t>38,303,029</w:t>
                  </w:r>
                </w:p>
              </w:tc>
              <w:tc>
                <w:tcPr>
                  <w:tcW w:w="956" w:type="pct"/>
                  <w:shd w:val="clear" w:color="auto" w:fill="D9D9D9" w:themeFill="background1" w:themeFillShade="D9"/>
                  <w:vAlign w:val="center"/>
                </w:tcPr>
                <w:p w:rsidR="004D27C2" w:rsidRDefault="004D27C2" w:rsidP="00F74ED0">
                  <w:pPr>
                    <w:ind w:right="35"/>
                    <w:jc w:val="right"/>
                    <w:rPr>
                      <w:rFonts w:cs="Arial"/>
                      <w:b/>
                      <w:szCs w:val="20"/>
                    </w:rPr>
                  </w:pPr>
                  <w:r w:rsidRPr="000D6F80">
                    <w:rPr>
                      <w:rFonts w:cs="Arial"/>
                      <w:b/>
                      <w:szCs w:val="20"/>
                    </w:rPr>
                    <w:t>$38,885,383</w:t>
                  </w:r>
                </w:p>
              </w:tc>
            </w:tr>
          </w:tbl>
          <w:p w:rsidR="004D27C2" w:rsidRDefault="004D27C2"/>
        </w:tc>
      </w:tr>
      <w:tr w:rsidR="004D27C2">
        <w:trPr>
          <w:trHeight w:val="291"/>
        </w:trPr>
        <w:tc>
          <w:tcPr>
            <w:tcW w:w="9645" w:type="dxa"/>
            <w:tcBorders>
              <w:bottom w:val="single" w:sz="2" w:space="0" w:color="505050"/>
            </w:tcBorders>
            <w:shd w:val="clear" w:color="auto" w:fill="auto"/>
          </w:tcPr>
          <w:p w:rsidR="004D27C2" w:rsidRDefault="004D27C2"/>
        </w:tc>
      </w:tr>
    </w:tbl>
    <w:p w:rsidR="004D27C2" w:rsidRPr="005D0BC8" w:rsidRDefault="004D27C2" w:rsidP="00705A4A"/>
    <w:p w:rsidR="005A1AF4" w:rsidRDefault="005A1AF4" w:rsidP="004D27C2">
      <w:pPr>
        <w:pStyle w:val="BodyText"/>
        <w:spacing w:line="240" w:lineRule="atLeast"/>
        <w:ind w:right="-142"/>
        <w:jc w:val="both"/>
        <w:rPr>
          <w:rFonts w:cs="Arial"/>
          <w:i w:val="0"/>
          <w:color w:val="auto"/>
        </w:rPr>
      </w:pPr>
    </w:p>
    <w:p w:rsidR="00D71FD2" w:rsidRPr="00CC3F4B" w:rsidRDefault="00CC3F4B" w:rsidP="00CC3F4B">
      <w:pPr>
        <w:pStyle w:val="Heading1"/>
      </w:pPr>
      <w:bookmarkStart w:id="50" w:name="_Toc355953994"/>
      <w:bookmarkStart w:id="51" w:name="_Toc385256323"/>
      <w:bookmarkStart w:id="52" w:name="_Toc387308827"/>
      <w:r w:rsidRPr="00CC3F4B">
        <w:lastRenderedPageBreak/>
        <w:t>6.</w:t>
      </w:r>
      <w:r w:rsidRPr="00CC3F4B">
        <w:tab/>
      </w:r>
      <w:bookmarkEnd w:id="50"/>
      <w:r>
        <w:t>K</w:t>
      </w:r>
      <w:r w:rsidRPr="00CC3F4B">
        <w:t>ey forward dates and events</w:t>
      </w:r>
      <w:bookmarkEnd w:id="51"/>
      <w:bookmarkEnd w:id="52"/>
    </w:p>
    <w:p w:rsidR="00D71FD2" w:rsidRPr="005D0BC8" w:rsidRDefault="00A84CBD" w:rsidP="00705A4A">
      <w:r w:rsidRPr="00A84CBD">
        <w:t>As the ACLC is set on an annual basis, the ACMA is able to ascertain the actual costs of its activities before they translate into the charges for the applicable period. This essentially eliminates the risk of over or under recovery from the telecommunications industry. Reflecting the annual nature of the ACLC, the CRIS is also updated on an annual basis. The key forward events and dates f</w:t>
      </w:r>
      <w:r w:rsidR="009F7040">
        <w:t>or the ACLC process for the 2014</w:t>
      </w:r>
      <w:r w:rsidRPr="00A84CBD">
        <w:t>–</w:t>
      </w:r>
      <w:r w:rsidR="009F7040">
        <w:t>15</w:t>
      </w:r>
      <w:r w:rsidRPr="00A84CBD">
        <w:t xml:space="preserve"> financial year are provided in Table 10 below.  </w:t>
      </w:r>
    </w:p>
    <w:p w:rsidR="00D71FD2" w:rsidRDefault="00D71FD2" w:rsidP="004D27C2"/>
    <w:tbl>
      <w:tblPr>
        <w:tblW w:w="9645" w:type="dxa"/>
        <w:tblLayout w:type="fixed"/>
        <w:tblCellMar>
          <w:left w:w="0" w:type="dxa"/>
          <w:right w:w="0" w:type="dxa"/>
        </w:tblCellMar>
        <w:tblLook w:val="01E0" w:firstRow="1" w:lastRow="1" w:firstColumn="1" w:lastColumn="1" w:noHBand="0" w:noVBand="0"/>
      </w:tblPr>
      <w:tblGrid>
        <w:gridCol w:w="9645"/>
      </w:tblGrid>
      <w:tr w:rsidR="004D27C2">
        <w:trPr>
          <w:trHeight w:val="570"/>
        </w:trPr>
        <w:tc>
          <w:tcPr>
            <w:tcW w:w="9645" w:type="dxa"/>
            <w:tcBorders>
              <w:top w:val="single" w:sz="2" w:space="0" w:color="505050"/>
            </w:tcBorders>
            <w:shd w:val="clear" w:color="auto" w:fill="auto"/>
            <w:vAlign w:val="center"/>
          </w:tcPr>
          <w:p w:rsidR="004D27C2" w:rsidRPr="00A74B5E" w:rsidRDefault="004D27C2">
            <w:pPr>
              <w:pStyle w:val="Caption"/>
            </w:pPr>
            <w:r>
              <w:t xml:space="preserve">Table </w:t>
            </w:r>
            <w:fldSimple w:instr=" SEQ Table \* ARABIC ">
              <w:r>
                <w:rPr>
                  <w:noProof/>
                </w:rPr>
                <w:t>10</w:t>
              </w:r>
            </w:fldSimple>
            <w:r>
              <w:t xml:space="preserve"> </w:t>
            </w:r>
            <w:r w:rsidRPr="005A1AF4">
              <w:t>Key forward dates and events for the recovery of ACLC</w:t>
            </w:r>
          </w:p>
        </w:tc>
      </w:tr>
      <w:tr w:rsidR="004D27C2" w:rsidTr="004D27C2">
        <w:trPr>
          <w:trHeight w:val="2531"/>
        </w:trPr>
        <w:tc>
          <w:tcPr>
            <w:tcW w:w="9645" w:type="dxa"/>
            <w:shd w:val="clear" w:color="auto" w:fill="auto"/>
            <w:tcMar>
              <w:left w:w="28" w:type="dxa"/>
            </w:tcMar>
          </w:tcPr>
          <w:tbl>
            <w:tblPr>
              <w:tblW w:w="45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96"/>
              <w:gridCol w:w="2455"/>
              <w:gridCol w:w="2453"/>
            </w:tblGrid>
            <w:tr w:rsidR="004D27C2" w:rsidRPr="000D6F80" w:rsidTr="00070110">
              <w:trPr>
                <w:trHeight w:val="325"/>
              </w:trPr>
              <w:tc>
                <w:tcPr>
                  <w:tcW w:w="2213" w:type="pct"/>
                  <w:shd w:val="clear" w:color="auto" w:fill="404040" w:themeFill="text1" w:themeFillTint="BF"/>
                  <w:vAlign w:val="center"/>
                </w:tcPr>
                <w:p w:rsidR="004D27C2" w:rsidRPr="003A1B6D" w:rsidRDefault="004D27C2" w:rsidP="00070110">
                  <w:pPr>
                    <w:widowControl w:val="0"/>
                    <w:outlineLvl w:val="0"/>
                    <w:rPr>
                      <w:rFonts w:cs="Arial"/>
                      <w:b/>
                      <w:iCs/>
                      <w:color w:val="FFFFFF" w:themeColor="background1"/>
                      <w:szCs w:val="20"/>
                      <w:highlight w:val="yellow"/>
                    </w:rPr>
                  </w:pPr>
                  <w:r w:rsidRPr="00A84CBD">
                    <w:rPr>
                      <w:rFonts w:cs="Arial"/>
                      <w:b/>
                      <w:iCs/>
                      <w:color w:val="FFFFFF" w:themeColor="background1"/>
                      <w:szCs w:val="20"/>
                    </w:rPr>
                    <w:t>Key events</w:t>
                  </w:r>
                </w:p>
              </w:tc>
              <w:tc>
                <w:tcPr>
                  <w:tcW w:w="1394" w:type="pct"/>
                  <w:tcBorders>
                    <w:top w:val="single" w:sz="6" w:space="0" w:color="auto"/>
                  </w:tcBorders>
                  <w:shd w:val="clear" w:color="auto" w:fill="404040" w:themeFill="text1" w:themeFillTint="BF"/>
                  <w:vAlign w:val="center"/>
                </w:tcPr>
                <w:p w:rsidR="004D27C2" w:rsidRDefault="00F74ED0" w:rsidP="00070110">
                  <w:pPr>
                    <w:ind w:right="35"/>
                    <w:rPr>
                      <w:rFonts w:cs="Arial"/>
                      <w:b/>
                      <w:iCs/>
                      <w:color w:val="FFFFFF" w:themeColor="background1"/>
                      <w:szCs w:val="20"/>
                    </w:rPr>
                  </w:pPr>
                  <w:r>
                    <w:rPr>
                      <w:rFonts w:cs="Arial"/>
                      <w:b/>
                      <w:iCs/>
                      <w:color w:val="FFFFFF" w:themeColor="background1"/>
                      <w:szCs w:val="20"/>
                    </w:rPr>
                    <w:t>Organisation</w:t>
                  </w:r>
                </w:p>
              </w:tc>
              <w:tc>
                <w:tcPr>
                  <w:tcW w:w="1393" w:type="pct"/>
                  <w:tcBorders>
                    <w:top w:val="single" w:sz="6" w:space="0" w:color="auto"/>
                  </w:tcBorders>
                  <w:shd w:val="clear" w:color="auto" w:fill="404040" w:themeFill="text1" w:themeFillTint="BF"/>
                  <w:vAlign w:val="center"/>
                </w:tcPr>
                <w:p w:rsidR="004D27C2" w:rsidRDefault="004D27C2" w:rsidP="00070110">
                  <w:pPr>
                    <w:ind w:right="55"/>
                    <w:rPr>
                      <w:rFonts w:cs="Arial"/>
                      <w:b/>
                      <w:iCs/>
                      <w:color w:val="FFFFFF" w:themeColor="background1"/>
                      <w:szCs w:val="20"/>
                    </w:rPr>
                  </w:pPr>
                  <w:r w:rsidRPr="00A84CBD">
                    <w:rPr>
                      <w:rFonts w:cs="Arial"/>
                      <w:b/>
                      <w:iCs/>
                      <w:color w:val="FFFFFF" w:themeColor="background1"/>
                      <w:szCs w:val="20"/>
                    </w:rPr>
                    <w:t>Date</w:t>
                  </w:r>
                </w:p>
              </w:tc>
            </w:tr>
            <w:tr w:rsidR="004D27C2" w:rsidRPr="000D6F80" w:rsidTr="00070110">
              <w:trPr>
                <w:trHeight w:val="414"/>
              </w:trPr>
              <w:tc>
                <w:tcPr>
                  <w:tcW w:w="2213" w:type="pct"/>
                  <w:vAlign w:val="center"/>
                </w:tcPr>
                <w:p w:rsidR="004D27C2" w:rsidRPr="000D6F80" w:rsidRDefault="004D27C2" w:rsidP="00070110">
                  <w:pPr>
                    <w:ind w:right="-142"/>
                    <w:rPr>
                      <w:rFonts w:cs="Arial"/>
                      <w:szCs w:val="20"/>
                    </w:rPr>
                  </w:pPr>
                  <w:r>
                    <w:rPr>
                      <w:rFonts w:cs="Arial"/>
                      <w:szCs w:val="20"/>
                    </w:rPr>
                    <w:t>Update of forward estimates</w:t>
                  </w:r>
                </w:p>
              </w:tc>
              <w:tc>
                <w:tcPr>
                  <w:tcW w:w="1394" w:type="pct"/>
                  <w:vAlign w:val="center"/>
                </w:tcPr>
                <w:p w:rsidR="004D27C2" w:rsidRDefault="004D27C2" w:rsidP="00070110">
                  <w:pPr>
                    <w:ind w:right="35"/>
                    <w:rPr>
                      <w:rFonts w:cs="Arial"/>
                      <w:szCs w:val="20"/>
                    </w:rPr>
                  </w:pPr>
                  <w:r>
                    <w:rPr>
                      <w:rFonts w:cs="Arial"/>
                      <w:szCs w:val="20"/>
                    </w:rPr>
                    <w:t xml:space="preserve">ACMA, ACCC &amp; </w:t>
                  </w:r>
                  <w:proofErr w:type="spellStart"/>
                  <w:r>
                    <w:rPr>
                      <w:rFonts w:cs="Arial"/>
                      <w:szCs w:val="20"/>
                    </w:rPr>
                    <w:t>DoC</w:t>
                  </w:r>
                  <w:proofErr w:type="spellEnd"/>
                </w:p>
              </w:tc>
              <w:tc>
                <w:tcPr>
                  <w:tcW w:w="1393" w:type="pct"/>
                  <w:vAlign w:val="center"/>
                </w:tcPr>
                <w:p w:rsidR="004D27C2" w:rsidRDefault="004D27C2" w:rsidP="00070110">
                  <w:pPr>
                    <w:ind w:right="55"/>
                    <w:rPr>
                      <w:rFonts w:cs="Arial"/>
                      <w:szCs w:val="20"/>
                    </w:rPr>
                  </w:pPr>
                  <w:r>
                    <w:rPr>
                      <w:rFonts w:cs="Arial"/>
                      <w:szCs w:val="20"/>
                    </w:rPr>
                    <w:t>July 2014</w:t>
                  </w:r>
                </w:p>
              </w:tc>
            </w:tr>
            <w:tr w:rsidR="004D27C2" w:rsidRPr="000D6F80" w:rsidTr="00070110">
              <w:trPr>
                <w:trHeight w:val="414"/>
              </w:trPr>
              <w:tc>
                <w:tcPr>
                  <w:tcW w:w="2213" w:type="pct"/>
                  <w:vMerge w:val="restart"/>
                  <w:vAlign w:val="center"/>
                </w:tcPr>
                <w:p w:rsidR="004D27C2" w:rsidRPr="000D6F80" w:rsidRDefault="004D27C2" w:rsidP="00070110">
                  <w:pPr>
                    <w:ind w:right="-142"/>
                    <w:rPr>
                      <w:rFonts w:cs="Arial"/>
                      <w:szCs w:val="20"/>
                    </w:rPr>
                  </w:pPr>
                  <w:r>
                    <w:rPr>
                      <w:rFonts w:cs="Arial"/>
                      <w:szCs w:val="20"/>
                    </w:rPr>
                    <w:t>Update of actual amounts</w:t>
                  </w:r>
                </w:p>
              </w:tc>
              <w:tc>
                <w:tcPr>
                  <w:tcW w:w="1394" w:type="pct"/>
                  <w:vAlign w:val="center"/>
                </w:tcPr>
                <w:p w:rsidR="004D27C2" w:rsidRDefault="004D27C2" w:rsidP="00070110">
                  <w:pPr>
                    <w:ind w:right="35"/>
                    <w:rPr>
                      <w:rFonts w:cs="Arial"/>
                      <w:szCs w:val="20"/>
                    </w:rPr>
                  </w:pPr>
                  <w:r>
                    <w:rPr>
                      <w:rFonts w:cs="Arial"/>
                      <w:szCs w:val="20"/>
                    </w:rPr>
                    <w:t>ACMA</w:t>
                  </w:r>
                </w:p>
              </w:tc>
              <w:tc>
                <w:tcPr>
                  <w:tcW w:w="1393" w:type="pct"/>
                  <w:vAlign w:val="center"/>
                </w:tcPr>
                <w:p w:rsidR="004D27C2" w:rsidRDefault="004D27C2" w:rsidP="00070110">
                  <w:pPr>
                    <w:ind w:right="55"/>
                    <w:rPr>
                      <w:rFonts w:cs="Arial"/>
                      <w:szCs w:val="20"/>
                    </w:rPr>
                  </w:pPr>
                  <w:r>
                    <w:rPr>
                      <w:rFonts w:cs="Arial"/>
                      <w:szCs w:val="20"/>
                    </w:rPr>
                    <w:t>February 2015</w:t>
                  </w:r>
                </w:p>
              </w:tc>
            </w:tr>
            <w:tr w:rsidR="004D27C2" w:rsidRPr="000D6F80" w:rsidTr="00070110">
              <w:trPr>
                <w:trHeight w:val="414"/>
              </w:trPr>
              <w:tc>
                <w:tcPr>
                  <w:tcW w:w="2213" w:type="pct"/>
                  <w:vMerge/>
                  <w:vAlign w:val="center"/>
                </w:tcPr>
                <w:p w:rsidR="004D27C2" w:rsidRPr="000D6F80" w:rsidRDefault="004D27C2" w:rsidP="00070110">
                  <w:pPr>
                    <w:ind w:right="-142"/>
                    <w:rPr>
                      <w:rFonts w:cs="Arial"/>
                      <w:szCs w:val="20"/>
                    </w:rPr>
                  </w:pPr>
                </w:p>
              </w:tc>
              <w:tc>
                <w:tcPr>
                  <w:tcW w:w="1394" w:type="pct"/>
                  <w:vAlign w:val="center"/>
                </w:tcPr>
                <w:p w:rsidR="004D27C2" w:rsidRDefault="004D27C2" w:rsidP="00070110">
                  <w:pPr>
                    <w:ind w:right="35"/>
                    <w:rPr>
                      <w:rFonts w:cs="Arial"/>
                      <w:szCs w:val="20"/>
                    </w:rPr>
                  </w:pPr>
                  <w:r>
                    <w:rPr>
                      <w:rFonts w:cs="Arial"/>
                      <w:szCs w:val="20"/>
                    </w:rPr>
                    <w:t>ACCC</w:t>
                  </w:r>
                </w:p>
              </w:tc>
              <w:tc>
                <w:tcPr>
                  <w:tcW w:w="1393" w:type="pct"/>
                  <w:vAlign w:val="center"/>
                </w:tcPr>
                <w:p w:rsidR="004D27C2" w:rsidRDefault="004D27C2" w:rsidP="00070110">
                  <w:pPr>
                    <w:ind w:right="55"/>
                    <w:rPr>
                      <w:rFonts w:cs="Arial"/>
                      <w:szCs w:val="20"/>
                    </w:rPr>
                  </w:pPr>
                  <w:r>
                    <w:rPr>
                      <w:rFonts w:cs="Arial"/>
                      <w:szCs w:val="20"/>
                    </w:rPr>
                    <w:t>February 2015</w:t>
                  </w:r>
                </w:p>
              </w:tc>
            </w:tr>
            <w:tr w:rsidR="004D27C2" w:rsidRPr="000D6F80" w:rsidTr="00070110">
              <w:trPr>
                <w:trHeight w:val="414"/>
              </w:trPr>
              <w:tc>
                <w:tcPr>
                  <w:tcW w:w="2213" w:type="pct"/>
                  <w:vMerge/>
                  <w:vAlign w:val="center"/>
                </w:tcPr>
                <w:p w:rsidR="004D27C2" w:rsidRPr="000D6F80" w:rsidRDefault="004D27C2" w:rsidP="00070110">
                  <w:pPr>
                    <w:ind w:right="-142"/>
                    <w:rPr>
                      <w:rFonts w:cs="Arial"/>
                      <w:szCs w:val="20"/>
                    </w:rPr>
                  </w:pPr>
                </w:p>
              </w:tc>
              <w:tc>
                <w:tcPr>
                  <w:tcW w:w="1394" w:type="pct"/>
                  <w:vAlign w:val="center"/>
                </w:tcPr>
                <w:p w:rsidR="004D27C2" w:rsidRDefault="004D27C2" w:rsidP="00070110">
                  <w:pPr>
                    <w:ind w:right="35"/>
                    <w:rPr>
                      <w:rFonts w:cs="Arial"/>
                      <w:szCs w:val="20"/>
                    </w:rPr>
                  </w:pPr>
                  <w:proofErr w:type="spellStart"/>
                  <w:r>
                    <w:rPr>
                      <w:rFonts w:cs="Arial"/>
                      <w:szCs w:val="20"/>
                    </w:rPr>
                    <w:t>DoC</w:t>
                  </w:r>
                  <w:proofErr w:type="spellEnd"/>
                </w:p>
              </w:tc>
              <w:tc>
                <w:tcPr>
                  <w:tcW w:w="1393" w:type="pct"/>
                  <w:vAlign w:val="center"/>
                </w:tcPr>
                <w:p w:rsidR="004D27C2" w:rsidRDefault="004D27C2" w:rsidP="00070110">
                  <w:pPr>
                    <w:ind w:right="55"/>
                    <w:rPr>
                      <w:rFonts w:cs="Arial"/>
                      <w:szCs w:val="20"/>
                    </w:rPr>
                  </w:pPr>
                  <w:r>
                    <w:rPr>
                      <w:rFonts w:cs="Arial"/>
                      <w:szCs w:val="20"/>
                    </w:rPr>
                    <w:t>February 2015</w:t>
                  </w:r>
                </w:p>
              </w:tc>
            </w:tr>
            <w:tr w:rsidR="004D27C2" w:rsidRPr="000D6F80" w:rsidTr="00070110">
              <w:trPr>
                <w:trHeight w:val="414"/>
              </w:trPr>
              <w:tc>
                <w:tcPr>
                  <w:tcW w:w="2213" w:type="pct"/>
                  <w:vAlign w:val="center"/>
                </w:tcPr>
                <w:p w:rsidR="004D27C2" w:rsidRPr="000D6F80" w:rsidRDefault="004D27C2" w:rsidP="00070110">
                  <w:pPr>
                    <w:ind w:right="-142"/>
                    <w:rPr>
                      <w:rFonts w:cs="Arial"/>
                      <w:szCs w:val="20"/>
                    </w:rPr>
                  </w:pPr>
                  <w:r>
                    <w:rPr>
                      <w:rFonts w:cs="Arial"/>
                      <w:szCs w:val="20"/>
                    </w:rPr>
                    <w:t>Portfolio charging review</w:t>
                  </w:r>
                </w:p>
              </w:tc>
              <w:tc>
                <w:tcPr>
                  <w:tcW w:w="1394" w:type="pct"/>
                  <w:vAlign w:val="center"/>
                </w:tcPr>
                <w:p w:rsidR="004D27C2" w:rsidRDefault="004D27C2" w:rsidP="00070110">
                  <w:pPr>
                    <w:ind w:right="35"/>
                    <w:rPr>
                      <w:rFonts w:cs="Arial"/>
                      <w:szCs w:val="20"/>
                    </w:rPr>
                  </w:pPr>
                  <w:r>
                    <w:rPr>
                      <w:rFonts w:cs="Arial"/>
                      <w:szCs w:val="20"/>
                    </w:rPr>
                    <w:t>ACMA</w:t>
                  </w:r>
                </w:p>
              </w:tc>
              <w:tc>
                <w:tcPr>
                  <w:tcW w:w="1393" w:type="pct"/>
                  <w:vAlign w:val="center"/>
                </w:tcPr>
                <w:p w:rsidR="004D27C2" w:rsidRDefault="004D27C2" w:rsidP="00070110">
                  <w:pPr>
                    <w:ind w:right="55"/>
                    <w:rPr>
                      <w:rFonts w:cs="Arial"/>
                      <w:szCs w:val="20"/>
                    </w:rPr>
                  </w:pPr>
                  <w:r>
                    <w:rPr>
                      <w:rFonts w:cs="Arial"/>
                      <w:szCs w:val="20"/>
                    </w:rPr>
                    <w:t>2014–15 financial year</w:t>
                  </w:r>
                </w:p>
              </w:tc>
            </w:tr>
          </w:tbl>
          <w:p w:rsidR="004D27C2" w:rsidRDefault="004D27C2"/>
        </w:tc>
      </w:tr>
      <w:tr w:rsidR="004D27C2">
        <w:trPr>
          <w:trHeight w:val="291"/>
        </w:trPr>
        <w:tc>
          <w:tcPr>
            <w:tcW w:w="9645" w:type="dxa"/>
            <w:tcBorders>
              <w:bottom w:val="single" w:sz="2" w:space="0" w:color="505050"/>
            </w:tcBorders>
            <w:shd w:val="clear" w:color="auto" w:fill="auto"/>
          </w:tcPr>
          <w:p w:rsidR="004D27C2" w:rsidRDefault="004D27C2"/>
        </w:tc>
      </w:tr>
    </w:tbl>
    <w:p w:rsidR="004D27C2" w:rsidRDefault="004D27C2" w:rsidP="004D27C2"/>
    <w:p w:rsidR="00D71FD2" w:rsidRPr="00CC3F4B" w:rsidRDefault="00CC3F4B" w:rsidP="00CC3F4B">
      <w:pPr>
        <w:pStyle w:val="Heading1"/>
      </w:pPr>
      <w:bookmarkStart w:id="53" w:name="_Toc355953995"/>
      <w:bookmarkStart w:id="54" w:name="_Toc385256324"/>
      <w:bookmarkStart w:id="55" w:name="_Toc387308828"/>
      <w:bookmarkEnd w:id="34"/>
      <w:r w:rsidRPr="00CC3F4B">
        <w:lastRenderedPageBreak/>
        <w:t xml:space="preserve">7. </w:t>
      </w:r>
      <w:r w:rsidRPr="00CC3F4B">
        <w:tab/>
      </w:r>
      <w:bookmarkEnd w:id="53"/>
      <w:r>
        <w:t>CRIS</w:t>
      </w:r>
      <w:r w:rsidRPr="00CC3F4B">
        <w:t xml:space="preserve"> approval and change register</w:t>
      </w:r>
      <w:bookmarkEnd w:id="54"/>
      <w:bookmarkEnd w:id="55"/>
    </w:p>
    <w:p w:rsidR="00D71FD2" w:rsidRDefault="00D71FD2" w:rsidP="00705A4A">
      <w:pPr>
        <w:rPr>
          <w:b/>
          <w:u w:val="single"/>
        </w:rPr>
      </w:pPr>
      <w:r w:rsidRPr="00705A4A">
        <w:rPr>
          <w:b/>
          <w:u w:val="single"/>
        </w:rPr>
        <w:t>Certification</w:t>
      </w:r>
    </w:p>
    <w:p w:rsidR="00705A4A" w:rsidRPr="00705A4A" w:rsidRDefault="00705A4A" w:rsidP="00705A4A">
      <w:pPr>
        <w:rPr>
          <w:b/>
          <w:u w:val="single"/>
        </w:rPr>
      </w:pPr>
    </w:p>
    <w:p w:rsidR="00D71FD2" w:rsidRDefault="00A84CBD" w:rsidP="00705A4A">
      <w:r w:rsidRPr="00A84CBD">
        <w:t>I certify that this CRIS complies with the Australian Government Cost Recovery Guidelines.</w:t>
      </w:r>
    </w:p>
    <w:p w:rsidR="00705A4A" w:rsidRDefault="00705A4A" w:rsidP="00705A4A"/>
    <w:p w:rsidR="00705A4A" w:rsidRPr="005D0BC8" w:rsidRDefault="00705A4A" w:rsidP="00705A4A"/>
    <w:p w:rsidR="00D71FD2" w:rsidRPr="005D0BC8" w:rsidRDefault="00D71FD2" w:rsidP="00705A4A">
      <w:r w:rsidRPr="005D0BC8">
        <w:t>.............................................</w:t>
      </w:r>
    </w:p>
    <w:p w:rsidR="00D71FD2" w:rsidRPr="005D0BC8" w:rsidRDefault="00D71FD2" w:rsidP="00705A4A">
      <w:r w:rsidRPr="005D0BC8">
        <w:t>Chief Executive Officer</w:t>
      </w:r>
    </w:p>
    <w:p w:rsidR="00D71FD2" w:rsidRDefault="00D71FD2" w:rsidP="00705A4A">
      <w:r w:rsidRPr="005D0BC8">
        <w:t>Chris Chapman</w:t>
      </w:r>
    </w:p>
    <w:p w:rsidR="00705A4A" w:rsidRPr="005D0BC8" w:rsidRDefault="00705A4A" w:rsidP="00705A4A"/>
    <w:p w:rsidR="00D71FD2" w:rsidRPr="005D0BC8" w:rsidRDefault="00D71FD2" w:rsidP="00705A4A"/>
    <w:p w:rsidR="00D71FD2" w:rsidRPr="005D0BC8" w:rsidRDefault="00D71FD2" w:rsidP="00705A4A">
      <w:pPr>
        <w:rPr>
          <w:color w:val="FF0000"/>
        </w:rPr>
      </w:pPr>
      <w:r w:rsidRPr="005D0BC8">
        <w:t>Date of Certification: ........../........./2014</w:t>
      </w:r>
    </w:p>
    <w:p w:rsidR="00D71FD2" w:rsidRPr="005D0BC8" w:rsidRDefault="00D71FD2" w:rsidP="00D71FD2">
      <w:pPr>
        <w:pStyle w:val="BodyText"/>
        <w:jc w:val="both"/>
        <w:rPr>
          <w:rFonts w:cs="Arial"/>
          <w:color w:val="808080"/>
          <w:szCs w:val="20"/>
          <w:u w:val="single"/>
        </w:rPr>
      </w:pPr>
    </w:p>
    <w:p w:rsidR="00D71FD2" w:rsidRPr="005D0BC8" w:rsidRDefault="00D71FD2" w:rsidP="00D71FD2">
      <w:pPr>
        <w:pStyle w:val="BodyText"/>
        <w:jc w:val="both"/>
        <w:rPr>
          <w:rFonts w:cs="Arial"/>
          <w:i w:val="0"/>
          <w:color w:val="808080"/>
          <w:szCs w:val="20"/>
        </w:rPr>
      </w:pPr>
      <w:r w:rsidRPr="005D0BC8">
        <w:rPr>
          <w:rFonts w:cs="Arial"/>
          <w:i w:val="0"/>
          <w:color w:val="808080"/>
          <w:szCs w:val="20"/>
        </w:rPr>
        <w:tab/>
      </w:r>
    </w:p>
    <w:p w:rsidR="00D71FD2" w:rsidRPr="005D0BC8" w:rsidRDefault="00D71FD2" w:rsidP="00D71FD2">
      <w:pPr>
        <w:pStyle w:val="BodyText"/>
        <w:jc w:val="both"/>
        <w:rPr>
          <w:rFonts w:cs="Arial"/>
          <w:i w:val="0"/>
          <w:color w:val="auto"/>
          <w:szCs w:val="20"/>
        </w:rPr>
      </w:pPr>
    </w:p>
    <w:p w:rsidR="00D71FD2" w:rsidRDefault="00D71FD2" w:rsidP="00705A4A">
      <w:pPr>
        <w:pStyle w:val="BodyText"/>
        <w:spacing w:line="240" w:lineRule="atLeast"/>
        <w:ind w:right="-142"/>
        <w:rPr>
          <w:rFonts w:cs="Arial"/>
          <w:b/>
          <w:i w:val="0"/>
          <w:color w:val="auto"/>
          <w:szCs w:val="20"/>
        </w:rPr>
      </w:pPr>
      <w:r w:rsidRPr="005D0BC8">
        <w:rPr>
          <w:rFonts w:cs="Arial"/>
          <w:b/>
          <w:i w:val="0"/>
          <w:color w:val="auto"/>
          <w:szCs w:val="20"/>
        </w:rPr>
        <w:t>Change register</w:t>
      </w:r>
    </w:p>
    <w:tbl>
      <w:tblPr>
        <w:tblStyle w:val="TableGrid"/>
        <w:tblW w:w="0" w:type="auto"/>
        <w:tblLook w:val="04A0" w:firstRow="1" w:lastRow="0" w:firstColumn="1" w:lastColumn="0" w:noHBand="0" w:noVBand="1"/>
      </w:tblPr>
      <w:tblGrid>
        <w:gridCol w:w="1870"/>
        <w:gridCol w:w="1922"/>
        <w:gridCol w:w="1952"/>
        <w:gridCol w:w="1917"/>
      </w:tblGrid>
      <w:tr w:rsidR="00705A4A" w:rsidTr="00705A4A">
        <w:tc>
          <w:tcPr>
            <w:tcW w:w="1971" w:type="dxa"/>
            <w:shd w:val="clear" w:color="auto" w:fill="D9D9D9" w:themeFill="background1" w:themeFillShade="D9"/>
            <w:vAlign w:val="center"/>
          </w:tcPr>
          <w:p w:rsidR="00705A4A" w:rsidRPr="00705A4A" w:rsidRDefault="00705A4A" w:rsidP="00705A4A">
            <w:pPr>
              <w:pStyle w:val="BodyText"/>
              <w:spacing w:line="240" w:lineRule="atLeast"/>
              <w:ind w:right="-142"/>
              <w:rPr>
                <w:rFonts w:cs="Arial"/>
                <w:b/>
                <w:i w:val="0"/>
                <w:color w:val="auto"/>
                <w:szCs w:val="20"/>
              </w:rPr>
            </w:pPr>
            <w:r w:rsidRPr="00705A4A">
              <w:rPr>
                <w:rFonts w:cs="Arial"/>
                <w:b/>
                <w:i w:val="0"/>
                <w:iCs w:val="0"/>
                <w:color w:val="000000"/>
                <w:szCs w:val="20"/>
              </w:rPr>
              <w:t>Date</w:t>
            </w:r>
          </w:p>
        </w:tc>
        <w:tc>
          <w:tcPr>
            <w:tcW w:w="1972" w:type="dxa"/>
            <w:shd w:val="clear" w:color="auto" w:fill="D9D9D9" w:themeFill="background1" w:themeFillShade="D9"/>
            <w:vAlign w:val="center"/>
          </w:tcPr>
          <w:p w:rsidR="00705A4A" w:rsidRPr="00705A4A" w:rsidRDefault="00705A4A" w:rsidP="00705A4A">
            <w:pPr>
              <w:pStyle w:val="BodyText"/>
              <w:spacing w:line="240" w:lineRule="atLeast"/>
              <w:ind w:right="-142"/>
              <w:rPr>
                <w:rFonts w:cs="Arial"/>
                <w:b/>
                <w:i w:val="0"/>
                <w:color w:val="auto"/>
                <w:szCs w:val="20"/>
              </w:rPr>
            </w:pPr>
            <w:r w:rsidRPr="00705A4A">
              <w:rPr>
                <w:rFonts w:cs="Arial"/>
                <w:b/>
                <w:i w:val="0"/>
                <w:iCs w:val="0"/>
                <w:color w:val="000000"/>
                <w:szCs w:val="20"/>
              </w:rPr>
              <w:t>Description</w:t>
            </w:r>
          </w:p>
        </w:tc>
        <w:tc>
          <w:tcPr>
            <w:tcW w:w="1972" w:type="dxa"/>
            <w:shd w:val="clear" w:color="auto" w:fill="D9D9D9" w:themeFill="background1" w:themeFillShade="D9"/>
            <w:vAlign w:val="center"/>
          </w:tcPr>
          <w:p w:rsidR="00705A4A" w:rsidRPr="00705A4A" w:rsidRDefault="00705A4A" w:rsidP="00705A4A">
            <w:pPr>
              <w:pStyle w:val="BodyText"/>
              <w:spacing w:line="240" w:lineRule="atLeast"/>
              <w:ind w:right="-142"/>
              <w:rPr>
                <w:rFonts w:cs="Arial"/>
                <w:b/>
                <w:i w:val="0"/>
                <w:color w:val="auto"/>
                <w:szCs w:val="20"/>
              </w:rPr>
            </w:pPr>
            <w:r w:rsidRPr="00705A4A">
              <w:rPr>
                <w:rFonts w:cs="Arial"/>
                <w:b/>
                <w:i w:val="0"/>
                <w:iCs w:val="0"/>
                <w:color w:val="000000"/>
                <w:szCs w:val="20"/>
              </w:rPr>
              <w:t>Approved by</w:t>
            </w:r>
          </w:p>
        </w:tc>
        <w:tc>
          <w:tcPr>
            <w:tcW w:w="1972" w:type="dxa"/>
            <w:shd w:val="clear" w:color="auto" w:fill="D9D9D9" w:themeFill="background1" w:themeFillShade="D9"/>
            <w:vAlign w:val="center"/>
          </w:tcPr>
          <w:p w:rsidR="00705A4A" w:rsidRPr="00705A4A" w:rsidRDefault="00705A4A" w:rsidP="00705A4A">
            <w:pPr>
              <w:pStyle w:val="BodyText"/>
              <w:spacing w:line="240" w:lineRule="atLeast"/>
              <w:ind w:right="-142"/>
              <w:rPr>
                <w:rFonts w:cs="Arial"/>
                <w:b/>
                <w:i w:val="0"/>
                <w:color w:val="auto"/>
                <w:szCs w:val="20"/>
              </w:rPr>
            </w:pPr>
            <w:r w:rsidRPr="00705A4A">
              <w:rPr>
                <w:rFonts w:cs="Arial"/>
                <w:b/>
                <w:i w:val="0"/>
                <w:iCs w:val="0"/>
                <w:color w:val="000000"/>
                <w:szCs w:val="20"/>
              </w:rPr>
              <w:t>Comments</w:t>
            </w:r>
          </w:p>
        </w:tc>
      </w:tr>
      <w:tr w:rsidR="00705A4A" w:rsidTr="006B3422">
        <w:tc>
          <w:tcPr>
            <w:tcW w:w="1971" w:type="dxa"/>
            <w:vAlign w:val="center"/>
          </w:tcPr>
          <w:p w:rsidR="00705A4A" w:rsidRDefault="007F0933" w:rsidP="00705A4A">
            <w:pPr>
              <w:rPr>
                <w:b/>
                <w:i/>
              </w:rPr>
            </w:pPr>
            <w:r>
              <w:t xml:space="preserve">28 </w:t>
            </w:r>
            <w:r w:rsidR="00705A4A" w:rsidRPr="005D0BC8">
              <w:t>May 2014</w:t>
            </w:r>
          </w:p>
        </w:tc>
        <w:tc>
          <w:tcPr>
            <w:tcW w:w="1972" w:type="dxa"/>
            <w:vAlign w:val="center"/>
          </w:tcPr>
          <w:p w:rsidR="00705A4A" w:rsidRDefault="00705A4A" w:rsidP="00705A4A">
            <w:pPr>
              <w:rPr>
                <w:b/>
                <w:i/>
              </w:rPr>
            </w:pPr>
            <w:r w:rsidRPr="005D0BC8">
              <w:t>Certification of the CRIS</w:t>
            </w:r>
          </w:p>
        </w:tc>
        <w:tc>
          <w:tcPr>
            <w:tcW w:w="1972" w:type="dxa"/>
            <w:vAlign w:val="center"/>
          </w:tcPr>
          <w:p w:rsidR="00705A4A" w:rsidRDefault="00705A4A" w:rsidP="00705A4A">
            <w:pPr>
              <w:rPr>
                <w:b/>
                <w:i/>
              </w:rPr>
            </w:pPr>
            <w:r w:rsidRPr="005D0BC8">
              <w:t>ACMA CEO</w:t>
            </w:r>
          </w:p>
        </w:tc>
        <w:tc>
          <w:tcPr>
            <w:tcW w:w="1972" w:type="dxa"/>
          </w:tcPr>
          <w:p w:rsidR="00705A4A" w:rsidRDefault="00705A4A" w:rsidP="00705A4A">
            <w:pPr>
              <w:rPr>
                <w:b/>
                <w:i/>
              </w:rPr>
            </w:pPr>
          </w:p>
        </w:tc>
      </w:tr>
      <w:tr w:rsidR="00705A4A" w:rsidTr="006B3422">
        <w:tc>
          <w:tcPr>
            <w:tcW w:w="1971" w:type="dxa"/>
            <w:vAlign w:val="center"/>
          </w:tcPr>
          <w:p w:rsidR="00705A4A" w:rsidRDefault="007F0933" w:rsidP="00705A4A">
            <w:pPr>
              <w:rPr>
                <w:b/>
                <w:i/>
              </w:rPr>
            </w:pPr>
            <w:r>
              <w:t xml:space="preserve">18 </w:t>
            </w:r>
            <w:r w:rsidR="00705A4A" w:rsidRPr="005D0BC8">
              <w:t>June 2014</w:t>
            </w:r>
          </w:p>
        </w:tc>
        <w:tc>
          <w:tcPr>
            <w:tcW w:w="1972" w:type="dxa"/>
            <w:vAlign w:val="center"/>
          </w:tcPr>
          <w:p w:rsidR="00705A4A" w:rsidRDefault="00705A4A" w:rsidP="00705A4A">
            <w:pPr>
              <w:rPr>
                <w:b/>
                <w:i/>
              </w:rPr>
            </w:pPr>
            <w:r w:rsidRPr="005D0BC8">
              <w:t>Agreement to the CRIS</w:t>
            </w:r>
          </w:p>
        </w:tc>
        <w:tc>
          <w:tcPr>
            <w:tcW w:w="1972" w:type="dxa"/>
            <w:vAlign w:val="center"/>
          </w:tcPr>
          <w:p w:rsidR="00705A4A" w:rsidRDefault="00705A4A" w:rsidP="00705A4A">
            <w:pPr>
              <w:rPr>
                <w:b/>
                <w:i/>
              </w:rPr>
            </w:pPr>
            <w:r w:rsidRPr="005D0BC8">
              <w:t>The Minister for Communications</w:t>
            </w:r>
          </w:p>
        </w:tc>
        <w:tc>
          <w:tcPr>
            <w:tcW w:w="1972" w:type="dxa"/>
          </w:tcPr>
          <w:p w:rsidR="00705A4A" w:rsidRDefault="00705A4A" w:rsidP="00705A4A">
            <w:pPr>
              <w:rPr>
                <w:b/>
                <w:i/>
              </w:rPr>
            </w:pPr>
          </w:p>
        </w:tc>
      </w:tr>
    </w:tbl>
    <w:p w:rsidR="00705A4A" w:rsidRPr="005D0BC8" w:rsidRDefault="00705A4A" w:rsidP="00705A4A">
      <w:pPr>
        <w:pStyle w:val="BodyText"/>
        <w:spacing w:line="240" w:lineRule="atLeast"/>
        <w:ind w:right="-142"/>
        <w:rPr>
          <w:rFonts w:cs="Arial"/>
          <w:b/>
          <w:i w:val="0"/>
          <w:color w:val="auto"/>
          <w:szCs w:val="20"/>
        </w:rPr>
      </w:pPr>
    </w:p>
    <w:p w:rsidR="00D71FD2" w:rsidRPr="00242066" w:rsidRDefault="00D71FD2" w:rsidP="00D71FD2">
      <w:pPr>
        <w:pStyle w:val="BodyText"/>
        <w:ind w:left="720"/>
        <w:jc w:val="both"/>
        <w:rPr>
          <w:rFonts w:cs="Arial"/>
          <w:i w:val="0"/>
          <w:color w:val="auto"/>
        </w:rPr>
      </w:pPr>
      <w:bookmarkStart w:id="56" w:name="_GoBack"/>
      <w:bookmarkEnd w:id="56"/>
    </w:p>
    <w:p w:rsidR="00D71FD2" w:rsidRPr="00C320F6" w:rsidRDefault="00D71FD2" w:rsidP="00D71FD2">
      <w:pPr>
        <w:pStyle w:val="Heading1"/>
        <w:ind w:right="-142"/>
      </w:pPr>
      <w:bookmarkStart w:id="57" w:name="_Toc324345102"/>
      <w:bookmarkStart w:id="58" w:name="_Toc355090786"/>
      <w:bookmarkStart w:id="59" w:name="_Toc385256325"/>
      <w:bookmarkStart w:id="60" w:name="_Toc387308829"/>
      <w:r w:rsidRPr="00C320F6">
        <w:lastRenderedPageBreak/>
        <w:t>Glossary</w:t>
      </w:r>
      <w:bookmarkEnd w:id="57"/>
      <w:bookmarkEnd w:id="58"/>
      <w:bookmarkEnd w:id="59"/>
      <w:bookmarkEnd w:id="60"/>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ABC</w:t>
      </w:r>
      <w:r w:rsidRPr="00C320F6">
        <w:rPr>
          <w:rFonts w:cs="Arial"/>
          <w:sz w:val="20"/>
          <w:szCs w:val="20"/>
        </w:rPr>
        <w:tab/>
        <w:t>Activity Based Costing</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ACCC</w:t>
      </w:r>
      <w:r w:rsidRPr="00C320F6">
        <w:rPr>
          <w:rFonts w:cs="Arial"/>
          <w:sz w:val="20"/>
          <w:szCs w:val="20"/>
        </w:rPr>
        <w:tab/>
        <w:t>Australian Competition and Consumer Commission</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ACCAN</w:t>
      </w:r>
      <w:r w:rsidRPr="00C320F6">
        <w:rPr>
          <w:rFonts w:cs="Arial"/>
          <w:sz w:val="20"/>
          <w:szCs w:val="20"/>
        </w:rPr>
        <w:tab/>
        <w:t>Australian Communications Consumer Action Network</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ACLC</w:t>
      </w:r>
      <w:r w:rsidRPr="00C320F6">
        <w:rPr>
          <w:rFonts w:cs="Arial"/>
          <w:sz w:val="20"/>
          <w:szCs w:val="20"/>
        </w:rPr>
        <w:tab/>
        <w:t>Annual Carrier Licence Charge</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 xml:space="preserve">ACMA </w:t>
      </w:r>
      <w:r w:rsidRPr="00C320F6">
        <w:rPr>
          <w:rFonts w:cs="Arial"/>
          <w:sz w:val="20"/>
          <w:szCs w:val="20"/>
        </w:rPr>
        <w:tab/>
        <w:t>Australian Communications and Media Authority</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ACMA Act</w:t>
      </w:r>
      <w:r w:rsidRPr="00C320F6">
        <w:rPr>
          <w:rFonts w:cs="Arial"/>
          <w:sz w:val="20"/>
          <w:szCs w:val="20"/>
        </w:rPr>
        <w:tab/>
      </w:r>
      <w:r w:rsidRPr="00C320F6">
        <w:rPr>
          <w:rFonts w:cs="Arial"/>
          <w:i/>
          <w:sz w:val="20"/>
          <w:szCs w:val="20"/>
        </w:rPr>
        <w:t>Australian Communications and Media Authority Act 2005</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CRIS</w:t>
      </w:r>
      <w:r w:rsidRPr="00C320F6">
        <w:rPr>
          <w:rFonts w:cs="Arial"/>
          <w:sz w:val="20"/>
          <w:szCs w:val="20"/>
        </w:rPr>
        <w:tab/>
        <w:t>Cost Recovery Impact Statement</w:t>
      </w:r>
    </w:p>
    <w:p w:rsidR="00094042" w:rsidRDefault="00D71FD2" w:rsidP="00CD22C9">
      <w:pPr>
        <w:pStyle w:val="ACMABodyText"/>
        <w:tabs>
          <w:tab w:val="left" w:pos="1701"/>
          <w:tab w:val="left" w:pos="1843"/>
        </w:tabs>
        <w:ind w:left="1843" w:right="-142" w:hanging="1843"/>
        <w:rPr>
          <w:rFonts w:cs="Arial"/>
          <w:sz w:val="20"/>
          <w:szCs w:val="20"/>
        </w:rPr>
      </w:pPr>
      <w:r w:rsidRPr="00C320F6">
        <w:rPr>
          <w:rFonts w:cs="Arial"/>
          <w:sz w:val="20"/>
          <w:szCs w:val="20"/>
        </w:rPr>
        <w:t>DBCDE</w:t>
      </w:r>
      <w:r w:rsidRPr="00C320F6">
        <w:rPr>
          <w:rFonts w:cs="Arial"/>
          <w:sz w:val="20"/>
          <w:szCs w:val="20"/>
        </w:rPr>
        <w:tab/>
      </w:r>
      <w:r w:rsidR="00CD22C9">
        <w:rPr>
          <w:rFonts w:cs="Arial"/>
          <w:sz w:val="20"/>
          <w:szCs w:val="20"/>
        </w:rPr>
        <w:tab/>
      </w:r>
      <w:r w:rsidRPr="00C320F6">
        <w:rPr>
          <w:rFonts w:cs="Arial"/>
          <w:sz w:val="20"/>
          <w:szCs w:val="20"/>
        </w:rPr>
        <w:t>Department of Broadband, Communications and the Digital Economy</w:t>
      </w:r>
    </w:p>
    <w:p w:rsidR="00094042" w:rsidRDefault="00D71FD2" w:rsidP="00CD22C9">
      <w:pPr>
        <w:pStyle w:val="ACMABodyText"/>
        <w:tabs>
          <w:tab w:val="left" w:pos="1843"/>
        </w:tabs>
        <w:ind w:left="1843" w:right="-142" w:hanging="1843"/>
        <w:rPr>
          <w:rFonts w:cs="Arial"/>
          <w:sz w:val="20"/>
          <w:szCs w:val="20"/>
        </w:rPr>
      </w:pPr>
      <w:r w:rsidRPr="00C320F6">
        <w:rPr>
          <w:rFonts w:cs="Arial"/>
          <w:sz w:val="20"/>
          <w:szCs w:val="20"/>
        </w:rPr>
        <w:t>Direction</w:t>
      </w:r>
      <w:r>
        <w:rPr>
          <w:rFonts w:cs="Arial"/>
          <w:sz w:val="20"/>
          <w:szCs w:val="20"/>
        </w:rPr>
        <w:t xml:space="preserve"> 2013</w:t>
      </w:r>
      <w:r w:rsidRPr="00C320F6">
        <w:rPr>
          <w:rFonts w:cs="Arial"/>
          <w:sz w:val="20"/>
          <w:szCs w:val="20"/>
        </w:rPr>
        <w:tab/>
      </w:r>
      <w:r w:rsidRPr="007336F4">
        <w:rPr>
          <w:rFonts w:cs="Arial"/>
          <w:sz w:val="20"/>
          <w:szCs w:val="22"/>
        </w:rPr>
        <w:t>Australian Communications and Media Authority (Annual Carrie</w:t>
      </w:r>
      <w:r>
        <w:rPr>
          <w:rFonts w:cs="Arial"/>
          <w:sz w:val="20"/>
          <w:szCs w:val="22"/>
        </w:rPr>
        <w:t>r Licence Charge) Direction 2013</w:t>
      </w:r>
    </w:p>
    <w:p w:rsidR="00D71FD2" w:rsidRDefault="00F7198B" w:rsidP="00CD22C9">
      <w:pPr>
        <w:pStyle w:val="ACMABodyText"/>
        <w:tabs>
          <w:tab w:val="left" w:pos="1843"/>
        </w:tabs>
        <w:ind w:left="1843" w:right="-142" w:hanging="1843"/>
        <w:rPr>
          <w:rFonts w:cs="Arial"/>
          <w:sz w:val="20"/>
          <w:szCs w:val="20"/>
        </w:rPr>
      </w:pPr>
      <w:proofErr w:type="spellStart"/>
      <w:r>
        <w:rPr>
          <w:rFonts w:cs="Arial"/>
          <w:sz w:val="20"/>
          <w:szCs w:val="20"/>
        </w:rPr>
        <w:t>DoC</w:t>
      </w:r>
      <w:proofErr w:type="spellEnd"/>
      <w:r w:rsidR="00D71FD2">
        <w:rPr>
          <w:rFonts w:cs="Arial"/>
          <w:sz w:val="20"/>
          <w:szCs w:val="20"/>
        </w:rPr>
        <w:tab/>
        <w:t xml:space="preserve">Department of Communications </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ER</w:t>
      </w:r>
      <w:r w:rsidRPr="00C320F6">
        <w:rPr>
          <w:rFonts w:cs="Arial"/>
          <w:sz w:val="20"/>
          <w:szCs w:val="20"/>
        </w:rPr>
        <w:tab/>
        <w:t xml:space="preserve">eligible revenue </w:t>
      </w:r>
    </w:p>
    <w:p w:rsidR="00D71FD2" w:rsidRDefault="00D71FD2" w:rsidP="00CD22C9">
      <w:pPr>
        <w:pStyle w:val="ACMABodyText"/>
        <w:tabs>
          <w:tab w:val="left" w:pos="1843"/>
        </w:tabs>
        <w:ind w:left="1843" w:right="-142" w:hanging="1843"/>
        <w:rPr>
          <w:rFonts w:cs="Arial"/>
          <w:sz w:val="20"/>
          <w:szCs w:val="20"/>
        </w:rPr>
      </w:pPr>
      <w:r>
        <w:rPr>
          <w:rFonts w:cs="Arial"/>
          <w:sz w:val="20"/>
          <w:szCs w:val="20"/>
        </w:rPr>
        <w:t>FTE</w:t>
      </w:r>
      <w:r>
        <w:rPr>
          <w:rFonts w:cs="Arial"/>
          <w:sz w:val="20"/>
          <w:szCs w:val="20"/>
        </w:rPr>
        <w:tab/>
        <w:t>Full Time Equivalent</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Guidelines</w:t>
      </w:r>
      <w:r w:rsidRPr="00C320F6">
        <w:rPr>
          <w:rFonts w:cs="Arial"/>
          <w:sz w:val="20"/>
          <w:szCs w:val="20"/>
        </w:rPr>
        <w:tab/>
        <w:t>Australian Government Cost Recovery Guidelines July 2005</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ITU</w:t>
      </w:r>
      <w:r w:rsidRPr="00C320F6">
        <w:rPr>
          <w:rFonts w:cs="Arial"/>
          <w:sz w:val="20"/>
          <w:szCs w:val="20"/>
        </w:rPr>
        <w:tab/>
        <w:t>International Telecommunication Union</w:t>
      </w:r>
    </w:p>
    <w:p w:rsidR="00D71FD2" w:rsidRDefault="00D71FD2" w:rsidP="00CD22C9">
      <w:pPr>
        <w:pStyle w:val="ACMABodyText"/>
        <w:tabs>
          <w:tab w:val="left" w:pos="1843"/>
        </w:tabs>
        <w:ind w:left="1843" w:right="-142" w:hanging="1843"/>
        <w:rPr>
          <w:rFonts w:cs="Arial"/>
          <w:sz w:val="20"/>
          <w:szCs w:val="20"/>
        </w:rPr>
      </w:pPr>
      <w:proofErr w:type="gramStart"/>
      <w:r>
        <w:rPr>
          <w:rFonts w:cs="Arial"/>
          <w:sz w:val="20"/>
          <w:szCs w:val="20"/>
        </w:rPr>
        <w:t>IT</w:t>
      </w:r>
      <w:proofErr w:type="gramEnd"/>
      <w:r>
        <w:rPr>
          <w:rFonts w:cs="Arial"/>
          <w:sz w:val="20"/>
          <w:szCs w:val="20"/>
        </w:rPr>
        <w:tab/>
        <w:t>Information Technology</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MCA</w:t>
      </w:r>
      <w:r w:rsidRPr="00C320F6">
        <w:rPr>
          <w:rFonts w:cs="Arial"/>
          <w:sz w:val="20"/>
          <w:szCs w:val="20"/>
        </w:rPr>
        <w:tab/>
        <w:t>maximum charge amount</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NBN</w:t>
      </w:r>
      <w:r w:rsidRPr="00C320F6">
        <w:rPr>
          <w:rFonts w:cs="Arial"/>
          <w:sz w:val="20"/>
          <w:szCs w:val="20"/>
        </w:rPr>
        <w:tab/>
        <w:t>National Broadband Network</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OTC</w:t>
      </w:r>
      <w:r w:rsidRPr="00C320F6">
        <w:rPr>
          <w:rFonts w:cs="Arial"/>
          <w:sz w:val="20"/>
          <w:szCs w:val="20"/>
        </w:rPr>
        <w:tab/>
        <w:t>other telecommunications charges</w:t>
      </w:r>
    </w:p>
    <w:p w:rsidR="00D71FD2" w:rsidRPr="00C320F6" w:rsidRDefault="00D71FD2" w:rsidP="00CD22C9">
      <w:pPr>
        <w:pStyle w:val="ACMABodyText"/>
        <w:tabs>
          <w:tab w:val="left" w:pos="1843"/>
        </w:tabs>
        <w:ind w:left="1843" w:right="-142" w:hanging="1843"/>
        <w:rPr>
          <w:rFonts w:cs="Arial"/>
          <w:sz w:val="20"/>
          <w:szCs w:val="20"/>
        </w:rPr>
      </w:pPr>
      <w:r w:rsidRPr="00C320F6">
        <w:rPr>
          <w:rFonts w:cs="Arial"/>
          <w:sz w:val="20"/>
          <w:szCs w:val="20"/>
        </w:rPr>
        <w:t>TER</w:t>
      </w:r>
      <w:r w:rsidRPr="00C320F6">
        <w:rPr>
          <w:rFonts w:cs="Arial"/>
          <w:sz w:val="20"/>
          <w:szCs w:val="20"/>
        </w:rPr>
        <w:tab/>
        <w:t>total eligible revenue</w:t>
      </w:r>
    </w:p>
    <w:p w:rsidR="00D71FD2" w:rsidRPr="00C320F6" w:rsidRDefault="00D71FD2" w:rsidP="00CD22C9">
      <w:pPr>
        <w:pStyle w:val="ACMABodyText"/>
        <w:tabs>
          <w:tab w:val="left" w:pos="1843"/>
        </w:tabs>
        <w:ind w:left="1843" w:right="-142" w:hanging="1843"/>
        <w:rPr>
          <w:rFonts w:cs="Arial"/>
          <w:sz w:val="20"/>
          <w:szCs w:val="20"/>
        </w:rPr>
      </w:pPr>
      <w:proofErr w:type="gramStart"/>
      <w:r w:rsidRPr="00C320F6">
        <w:rPr>
          <w:rFonts w:cs="Arial"/>
          <w:sz w:val="20"/>
          <w:szCs w:val="20"/>
        </w:rPr>
        <w:t>the</w:t>
      </w:r>
      <w:proofErr w:type="gramEnd"/>
      <w:r w:rsidRPr="00C320F6">
        <w:rPr>
          <w:rFonts w:cs="Arial"/>
          <w:sz w:val="20"/>
          <w:szCs w:val="20"/>
        </w:rPr>
        <w:t xml:space="preserve"> Act</w:t>
      </w:r>
      <w:r w:rsidRPr="00C320F6">
        <w:rPr>
          <w:rFonts w:cs="Arial"/>
          <w:sz w:val="20"/>
          <w:szCs w:val="20"/>
        </w:rPr>
        <w:tab/>
      </w:r>
      <w:r w:rsidRPr="00C320F6">
        <w:rPr>
          <w:rFonts w:cs="Arial"/>
          <w:i/>
          <w:sz w:val="20"/>
        </w:rPr>
        <w:t>Telecommunications (</w:t>
      </w:r>
      <w:r w:rsidRPr="00C320F6">
        <w:rPr>
          <w:rFonts w:cs="Arial"/>
          <w:i/>
          <w:iCs/>
          <w:sz w:val="20"/>
        </w:rPr>
        <w:t>Carrier Licence Charges) Act 1997</w:t>
      </w:r>
    </w:p>
    <w:p w:rsidR="00D71FD2" w:rsidRPr="00C320F6" w:rsidRDefault="00D71FD2" w:rsidP="00CD22C9">
      <w:pPr>
        <w:pStyle w:val="ACMABodyText"/>
        <w:tabs>
          <w:tab w:val="left" w:pos="1843"/>
        </w:tabs>
        <w:ind w:left="1843" w:right="-142" w:hanging="1843"/>
        <w:rPr>
          <w:rFonts w:cs="Arial"/>
          <w:sz w:val="16"/>
          <w:szCs w:val="20"/>
        </w:rPr>
      </w:pPr>
      <w:r w:rsidRPr="00C320F6">
        <w:rPr>
          <w:rFonts w:cs="Arial"/>
          <w:sz w:val="20"/>
          <w:szCs w:val="20"/>
        </w:rPr>
        <w:t>TUSMA Act</w:t>
      </w:r>
      <w:r w:rsidRPr="00C320F6">
        <w:rPr>
          <w:rFonts w:cs="Arial"/>
          <w:sz w:val="20"/>
          <w:szCs w:val="20"/>
        </w:rPr>
        <w:tab/>
      </w:r>
      <w:r w:rsidRPr="00C320F6">
        <w:rPr>
          <w:rFonts w:cs="Arial"/>
          <w:i/>
          <w:sz w:val="20"/>
        </w:rPr>
        <w:t>Telecommunications Universal Service Management Agency Act 2012</w:t>
      </w:r>
    </w:p>
    <w:p w:rsidR="00D71FD2" w:rsidRPr="00C320F6" w:rsidRDefault="00D71FD2" w:rsidP="005A1AF4">
      <w:pPr>
        <w:pStyle w:val="BodyText"/>
        <w:tabs>
          <w:tab w:val="left" w:pos="1560"/>
        </w:tabs>
        <w:jc w:val="both"/>
        <w:rPr>
          <w:rFonts w:cs="Arial"/>
          <w:color w:val="808080"/>
          <w:u w:val="single"/>
        </w:rPr>
      </w:pPr>
    </w:p>
    <w:p w:rsidR="00D71FD2" w:rsidRPr="00C320F6" w:rsidRDefault="00D71FD2" w:rsidP="00D71FD2">
      <w:pPr>
        <w:spacing w:line="240" w:lineRule="auto"/>
        <w:rPr>
          <w:rFonts w:cs="Arial"/>
          <w:i/>
          <w:iCs/>
          <w:color w:val="808080"/>
          <w:sz w:val="24"/>
          <w:u w:val="single"/>
          <w:lang w:eastAsia="en-US"/>
        </w:rPr>
      </w:pPr>
      <w:r w:rsidRPr="00C320F6">
        <w:rPr>
          <w:rFonts w:cs="Arial"/>
          <w:color w:val="808080"/>
          <w:u w:val="single"/>
        </w:rPr>
        <w:br w:type="page"/>
      </w:r>
    </w:p>
    <w:p w:rsidR="00D71FD2" w:rsidRPr="000D6F80" w:rsidRDefault="00D71FD2" w:rsidP="00D71FD2">
      <w:pPr>
        <w:pStyle w:val="Heading1"/>
        <w:ind w:right="-142"/>
      </w:pPr>
      <w:bookmarkStart w:id="61" w:name="_Toc385256326"/>
      <w:bookmarkStart w:id="62" w:name="_Toc387308830"/>
      <w:r w:rsidRPr="000D6F80">
        <w:lastRenderedPageBreak/>
        <w:t>Attachment A</w:t>
      </w:r>
      <w:bookmarkEnd w:id="61"/>
      <w:bookmarkEnd w:id="62"/>
    </w:p>
    <w:p w:rsidR="00D71FD2" w:rsidRPr="00C320F6" w:rsidRDefault="00D71FD2" w:rsidP="00CC3F4B">
      <w:pPr>
        <w:pStyle w:val="Heading2"/>
      </w:pPr>
      <w:bookmarkStart w:id="63" w:name="_Toc387308831"/>
      <w:r w:rsidRPr="00C320F6">
        <w:t>A</w:t>
      </w:r>
      <w:r>
        <w:t>CLC for 2013–14</w:t>
      </w:r>
      <w:bookmarkEnd w:id="63"/>
    </w:p>
    <w:tbl>
      <w:tblPr>
        <w:tblW w:w="7240" w:type="dxa"/>
        <w:tblInd w:w="110" w:type="dxa"/>
        <w:tblLook w:val="04A0" w:firstRow="1" w:lastRow="0" w:firstColumn="1" w:lastColumn="0" w:noHBand="0" w:noVBand="1"/>
      </w:tblPr>
      <w:tblGrid>
        <w:gridCol w:w="680"/>
        <w:gridCol w:w="4900"/>
        <w:gridCol w:w="1660"/>
      </w:tblGrid>
      <w:tr w:rsidR="00D71FD2" w:rsidRPr="005D0BC8" w:rsidTr="003A1B6D">
        <w:trPr>
          <w:trHeight w:val="368"/>
        </w:trPr>
        <w:tc>
          <w:tcPr>
            <w:tcW w:w="680" w:type="dxa"/>
            <w:tcBorders>
              <w:top w:val="single" w:sz="8" w:space="0" w:color="auto"/>
              <w:left w:val="single" w:sz="8" w:space="0" w:color="auto"/>
              <w:bottom w:val="single" w:sz="4" w:space="0" w:color="auto"/>
              <w:right w:val="single" w:sz="4" w:space="0" w:color="auto"/>
            </w:tcBorders>
            <w:shd w:val="clear" w:color="auto" w:fill="404040" w:themeFill="text1" w:themeFillTint="BF"/>
            <w:noWrap/>
            <w:vAlign w:val="center"/>
            <w:hideMark/>
          </w:tcPr>
          <w:p w:rsidR="00D71FD2" w:rsidRPr="003A1B6D" w:rsidRDefault="00A84CBD" w:rsidP="004D27C2">
            <w:pPr>
              <w:spacing w:line="240" w:lineRule="auto"/>
              <w:rPr>
                <w:rFonts w:cs="Arial"/>
                <w:b/>
                <w:bCs/>
                <w:color w:val="FFFFFF" w:themeColor="background1"/>
                <w:szCs w:val="20"/>
              </w:rPr>
            </w:pPr>
            <w:r w:rsidRPr="00A84CBD">
              <w:rPr>
                <w:rFonts w:cs="Arial"/>
                <w:b/>
                <w:bCs/>
                <w:color w:val="FFFFFF" w:themeColor="background1"/>
                <w:szCs w:val="20"/>
              </w:rPr>
              <w:t>No.</w:t>
            </w:r>
          </w:p>
        </w:tc>
        <w:tc>
          <w:tcPr>
            <w:tcW w:w="4900" w:type="dxa"/>
            <w:tcBorders>
              <w:top w:val="single" w:sz="8" w:space="0" w:color="auto"/>
              <w:left w:val="nil"/>
              <w:bottom w:val="single" w:sz="4" w:space="0" w:color="auto"/>
              <w:right w:val="single" w:sz="4" w:space="0" w:color="auto"/>
            </w:tcBorders>
            <w:shd w:val="clear" w:color="auto" w:fill="404040" w:themeFill="text1" w:themeFillTint="BF"/>
            <w:vAlign w:val="center"/>
            <w:hideMark/>
          </w:tcPr>
          <w:p w:rsidR="00D71FD2" w:rsidRPr="003A1B6D" w:rsidRDefault="00A84CBD" w:rsidP="00D71FD2">
            <w:pPr>
              <w:spacing w:line="240" w:lineRule="auto"/>
              <w:rPr>
                <w:rFonts w:cs="Arial"/>
                <w:b/>
                <w:bCs/>
                <w:color w:val="FFFFFF" w:themeColor="background1"/>
                <w:szCs w:val="20"/>
              </w:rPr>
            </w:pPr>
            <w:r w:rsidRPr="00A84CBD">
              <w:rPr>
                <w:rFonts w:cs="Arial"/>
                <w:b/>
                <w:bCs/>
                <w:color w:val="FFFFFF" w:themeColor="background1"/>
                <w:szCs w:val="20"/>
              </w:rPr>
              <w:t>Carrier licence in force at 1 July 2013</w:t>
            </w:r>
          </w:p>
        </w:tc>
        <w:tc>
          <w:tcPr>
            <w:tcW w:w="1660" w:type="dxa"/>
            <w:tcBorders>
              <w:top w:val="single" w:sz="8" w:space="0" w:color="auto"/>
              <w:left w:val="nil"/>
              <w:bottom w:val="single" w:sz="4" w:space="0" w:color="auto"/>
              <w:right w:val="single" w:sz="8" w:space="0" w:color="auto"/>
            </w:tcBorders>
            <w:shd w:val="clear" w:color="auto" w:fill="404040" w:themeFill="text1" w:themeFillTint="BF"/>
            <w:noWrap/>
            <w:vAlign w:val="center"/>
            <w:hideMark/>
          </w:tcPr>
          <w:p w:rsidR="00094042" w:rsidRDefault="00A84CBD" w:rsidP="004D27C2">
            <w:pPr>
              <w:spacing w:line="240" w:lineRule="auto"/>
              <w:rPr>
                <w:rFonts w:cs="Arial"/>
                <w:b/>
                <w:bCs/>
                <w:color w:val="FFFFFF" w:themeColor="background1"/>
                <w:szCs w:val="20"/>
              </w:rPr>
            </w:pPr>
            <w:r w:rsidRPr="00A84CBD">
              <w:rPr>
                <w:rFonts w:cs="Arial"/>
                <w:b/>
                <w:bCs/>
                <w:color w:val="FFFFFF" w:themeColor="background1"/>
                <w:szCs w:val="20"/>
              </w:rPr>
              <w:t>ACLC amount</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A.C.N. 088 889 230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$15,797</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AAPT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$279,580</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3</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AARNet</w:t>
            </w:r>
            <w:proofErr w:type="spellEnd"/>
            <w:r w:rsidRPr="00A84CBD">
              <w:rPr>
                <w:rFonts w:cs="Arial"/>
                <w:color w:val="000000"/>
                <w:szCs w:val="20"/>
              </w:rPr>
              <w:t xml:space="preserve">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$54,416</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4</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 xml:space="preserve">Adam Internet Pty Ltd </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$45,822</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5</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Agile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$153,486</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6</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Amcom</w:t>
            </w:r>
            <w:proofErr w:type="spellEnd"/>
            <w:r w:rsidRPr="00A84CBD">
              <w:rPr>
                <w:rFonts w:cs="Arial"/>
                <w:color w:val="000000"/>
                <w:szCs w:val="20"/>
              </w:rPr>
              <w:t xml:space="preserve">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$101,591</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7</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Chime Communications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$233,279</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8</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Datafast</w:t>
            </w:r>
            <w:proofErr w:type="spellEnd"/>
            <w:r w:rsidRPr="00A84CBD">
              <w:rPr>
                <w:rFonts w:cs="Arial"/>
                <w:color w:val="000000"/>
                <w:szCs w:val="20"/>
              </w:rPr>
              <w:t xml:space="preserve"> Telecommunications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$38,864</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9</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Digital Distribution Australia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$44,397</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10</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Ipstar</w:t>
            </w:r>
            <w:proofErr w:type="spellEnd"/>
            <w:r w:rsidRPr="00A84CBD">
              <w:rPr>
                <w:rFonts w:cs="Arial"/>
                <w:color w:val="000000"/>
                <w:szCs w:val="20"/>
              </w:rPr>
              <w:t xml:space="preserve"> Australia Pty Ltd </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$46,125</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11</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Macquarie Telecom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$121,018</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12</w:t>
            </w:r>
          </w:p>
        </w:tc>
        <w:tc>
          <w:tcPr>
            <w:tcW w:w="4900" w:type="dxa"/>
            <w:tcBorders>
              <w:top w:val="nil"/>
              <w:left w:val="nil"/>
              <w:bottom w:val="single" w:sz="4" w:space="0" w:color="auto"/>
              <w:right w:val="single" w:sz="4" w:space="0" w:color="auto"/>
            </w:tcBorders>
            <w:shd w:val="clear" w:color="auto" w:fill="auto"/>
            <w:noWrap/>
            <w:vAlign w:val="center"/>
            <w:hideMark/>
          </w:tcPr>
          <w:p w:rsidR="00D71FD2" w:rsidRPr="005D0BC8" w:rsidRDefault="00A84CBD" w:rsidP="00D71FD2">
            <w:pPr>
              <w:rPr>
                <w:rFonts w:cs="Arial"/>
                <w:color w:val="000000"/>
                <w:szCs w:val="20"/>
              </w:rPr>
            </w:pPr>
            <w:r w:rsidRPr="00A84CBD">
              <w:rPr>
                <w:rFonts w:cs="Arial"/>
                <w:color w:val="000000"/>
                <w:szCs w:val="20"/>
              </w:rPr>
              <w:t>New Skies Satellites Australia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$45,136</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13</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Nextgen</w:t>
            </w:r>
            <w:proofErr w:type="spellEnd"/>
            <w:r w:rsidRPr="00A84CBD">
              <w:rPr>
                <w:rFonts w:cs="Arial"/>
                <w:color w:val="000000"/>
                <w:szCs w:val="20"/>
              </w:rPr>
              <w:t xml:space="preserve"> Networks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$216,605</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14</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Nextgen</w:t>
            </w:r>
            <w:proofErr w:type="spellEnd"/>
            <w:r w:rsidRPr="00A84CBD">
              <w:rPr>
                <w:rFonts w:cs="Arial"/>
                <w:color w:val="000000"/>
                <w:szCs w:val="20"/>
              </w:rPr>
              <w:t xml:space="preserve"> Telecom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$1,020</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15</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Nextgen</w:t>
            </w:r>
            <w:proofErr w:type="spellEnd"/>
            <w:r w:rsidRPr="00A84CBD">
              <w:rPr>
                <w:rFonts w:cs="Arial"/>
                <w:color w:val="000000"/>
                <w:szCs w:val="20"/>
              </w:rPr>
              <w:t xml:space="preserve"> Telecom (WA)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$23</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16</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Optus Mobile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$5,671,799</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17</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Optus Networks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$2,437,548</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18</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Pipe International (Australia)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$24,013</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19</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PIPE Networks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$114,562</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20</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Primus Telecommunications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$274,416</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21</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Soul Pattinson Telecommunications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$405,352</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22</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Telstra Corporation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$24,054,710</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23</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Telstra Multimedia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$454,230</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24</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TransACT</w:t>
            </w:r>
            <w:proofErr w:type="spellEnd"/>
            <w:r w:rsidRPr="00A84CBD">
              <w:rPr>
                <w:rFonts w:cs="Arial"/>
                <w:color w:val="000000"/>
                <w:szCs w:val="20"/>
              </w:rPr>
              <w:t xml:space="preserve"> Capital Communications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$66,655</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25</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Uecomm</w:t>
            </w:r>
            <w:proofErr w:type="spellEnd"/>
            <w:r w:rsidRPr="00A84CBD">
              <w:rPr>
                <w:rFonts w:cs="Arial"/>
                <w:color w:val="000000"/>
                <w:szCs w:val="20"/>
              </w:rPr>
              <w:t xml:space="preserve">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$186,232</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26</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Unwired Australia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$3,493</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27</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Verizon Australia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$61,304</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28</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Victorian Rail Track</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$42,266</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29</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Vividwireless</w:t>
            </w:r>
            <w:proofErr w:type="spellEnd"/>
            <w:r w:rsidRPr="00A84CBD">
              <w:rPr>
                <w:rFonts w:cs="Arial"/>
                <w:color w:val="000000"/>
                <w:szCs w:val="20"/>
              </w:rPr>
              <w:t xml:space="preserve">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$32,507</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30</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Vodafone Australia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$2,542,843</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31</w:t>
            </w:r>
          </w:p>
        </w:tc>
        <w:tc>
          <w:tcPr>
            <w:tcW w:w="4900" w:type="dxa"/>
            <w:tcBorders>
              <w:top w:val="nil"/>
              <w:left w:val="nil"/>
              <w:bottom w:val="single" w:sz="4" w:space="0" w:color="auto"/>
              <w:right w:val="single" w:sz="4" w:space="0" w:color="auto"/>
            </w:tcBorders>
            <w:shd w:val="clear" w:color="000000" w:fill="FFFFFF"/>
            <w:noWrap/>
            <w:vAlign w:val="center"/>
            <w:hideMark/>
          </w:tcPr>
          <w:p w:rsidR="00D71FD2" w:rsidRPr="005D0BC8" w:rsidRDefault="00A84CBD" w:rsidP="00D71FD2">
            <w:pPr>
              <w:rPr>
                <w:rFonts w:cs="Arial"/>
                <w:color w:val="000000"/>
                <w:szCs w:val="20"/>
              </w:rPr>
            </w:pPr>
            <w:r w:rsidRPr="00A84CBD">
              <w:rPr>
                <w:rFonts w:cs="Arial"/>
                <w:color w:val="000000"/>
                <w:szCs w:val="20"/>
              </w:rPr>
              <w:t>Vodafone Hutchison Australia Pty Limited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$527,879</w:t>
            </w:r>
          </w:p>
        </w:tc>
      </w:tr>
      <w:tr w:rsidR="00D71FD2" w:rsidRPr="005D0BC8" w:rsidTr="00D71FD2">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D71FD2" w:rsidRPr="005D0BC8" w:rsidRDefault="00A84CBD" w:rsidP="004D27C2">
            <w:pPr>
              <w:rPr>
                <w:rFonts w:cs="Arial"/>
                <w:color w:val="000000"/>
                <w:szCs w:val="20"/>
              </w:rPr>
            </w:pPr>
            <w:r w:rsidRPr="00A84CBD">
              <w:rPr>
                <w:rFonts w:cs="Arial"/>
                <w:color w:val="000000"/>
                <w:szCs w:val="20"/>
              </w:rPr>
              <w:t>32</w:t>
            </w:r>
          </w:p>
        </w:tc>
        <w:tc>
          <w:tcPr>
            <w:tcW w:w="4900" w:type="dxa"/>
            <w:tcBorders>
              <w:top w:val="nil"/>
              <w:left w:val="nil"/>
              <w:bottom w:val="single" w:sz="4" w:space="0" w:color="auto"/>
              <w:right w:val="single" w:sz="4" w:space="0" w:color="auto"/>
            </w:tcBorders>
            <w:shd w:val="clear" w:color="auto" w:fill="auto"/>
            <w:noWrap/>
            <w:vAlign w:val="center"/>
            <w:hideMark/>
          </w:tcPr>
          <w:p w:rsidR="00D71FD2" w:rsidRPr="005D0BC8" w:rsidRDefault="00A84CBD" w:rsidP="00D71FD2">
            <w:pPr>
              <w:rPr>
                <w:rFonts w:cs="Arial"/>
                <w:color w:val="000000"/>
                <w:szCs w:val="20"/>
              </w:rPr>
            </w:pPr>
            <w:proofErr w:type="spellStart"/>
            <w:r w:rsidRPr="00A84CBD">
              <w:rPr>
                <w:rFonts w:cs="Arial"/>
                <w:color w:val="000000"/>
                <w:szCs w:val="20"/>
              </w:rPr>
              <w:t>XYZed</w:t>
            </w:r>
            <w:proofErr w:type="spellEnd"/>
            <w:r w:rsidRPr="00A84CBD">
              <w:rPr>
                <w:rFonts w:cs="Arial"/>
                <w:color w:val="000000"/>
                <w:szCs w:val="20"/>
              </w:rPr>
              <w:t xml:space="preserve"> Pty Ltd</w:t>
            </w:r>
          </w:p>
        </w:tc>
        <w:tc>
          <w:tcPr>
            <w:tcW w:w="1660" w:type="dxa"/>
            <w:tcBorders>
              <w:top w:val="nil"/>
              <w:left w:val="nil"/>
              <w:bottom w:val="single" w:sz="4" w:space="0" w:color="auto"/>
              <w:right w:val="single" w:sz="8" w:space="0" w:color="auto"/>
            </w:tcBorders>
            <w:shd w:val="clear" w:color="auto" w:fill="auto"/>
            <w:noWrap/>
            <w:vAlign w:val="bottom"/>
            <w:hideMark/>
          </w:tcPr>
          <w:p w:rsidR="00094042" w:rsidRDefault="00A84CBD" w:rsidP="00F74ED0">
            <w:pPr>
              <w:jc w:val="right"/>
              <w:rPr>
                <w:rFonts w:cs="Arial"/>
                <w:color w:val="000000"/>
                <w:szCs w:val="20"/>
              </w:rPr>
            </w:pPr>
            <w:r w:rsidRPr="00A84CBD">
              <w:rPr>
                <w:rFonts w:cs="Arial"/>
                <w:color w:val="000000"/>
                <w:szCs w:val="20"/>
              </w:rPr>
              <w:t>$6,061</w:t>
            </w:r>
          </w:p>
        </w:tc>
      </w:tr>
      <w:tr w:rsidR="00D71FD2" w:rsidRPr="005D0BC8" w:rsidTr="003A1B6D">
        <w:trPr>
          <w:trHeight w:val="301"/>
        </w:trPr>
        <w:tc>
          <w:tcPr>
            <w:tcW w:w="5580" w:type="dxa"/>
            <w:gridSpan w:val="2"/>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D71FD2" w:rsidRPr="005D0BC8" w:rsidRDefault="00D71FD2" w:rsidP="00D71FD2">
            <w:pPr>
              <w:spacing w:line="240" w:lineRule="auto"/>
              <w:rPr>
                <w:rFonts w:cs="Arial"/>
                <w:b/>
                <w:bCs/>
                <w:color w:val="000000"/>
                <w:szCs w:val="20"/>
              </w:rPr>
            </w:pPr>
            <w:r w:rsidRPr="005D0BC8">
              <w:rPr>
                <w:rFonts w:cs="Arial"/>
                <w:b/>
                <w:bCs/>
                <w:color w:val="000000"/>
                <w:szCs w:val="20"/>
              </w:rPr>
              <w:t>Total</w:t>
            </w:r>
          </w:p>
        </w:tc>
        <w:tc>
          <w:tcPr>
            <w:tcW w:w="1660" w:type="dxa"/>
            <w:tcBorders>
              <w:top w:val="nil"/>
              <w:left w:val="nil"/>
              <w:bottom w:val="single" w:sz="8" w:space="0" w:color="auto"/>
              <w:right w:val="single" w:sz="8" w:space="0" w:color="auto"/>
            </w:tcBorders>
            <w:shd w:val="clear" w:color="auto" w:fill="D9D9D9" w:themeFill="background1" w:themeFillShade="D9"/>
            <w:noWrap/>
            <w:vAlign w:val="center"/>
            <w:hideMark/>
          </w:tcPr>
          <w:p w:rsidR="00094042" w:rsidRDefault="00D71FD2" w:rsidP="00F74ED0">
            <w:pPr>
              <w:spacing w:line="240" w:lineRule="auto"/>
              <w:jc w:val="right"/>
              <w:rPr>
                <w:rFonts w:cs="Arial"/>
                <w:b/>
                <w:bCs/>
                <w:color w:val="000000"/>
                <w:szCs w:val="20"/>
              </w:rPr>
            </w:pPr>
            <w:r w:rsidRPr="005D0BC8">
              <w:rPr>
                <w:rFonts w:cs="Arial"/>
                <w:b/>
                <w:bCs/>
                <w:color w:val="000000"/>
                <w:szCs w:val="20"/>
              </w:rPr>
              <w:t>$38,303,029</w:t>
            </w:r>
          </w:p>
        </w:tc>
      </w:tr>
    </w:tbl>
    <w:p w:rsidR="00D71FD2" w:rsidRPr="007336F4" w:rsidRDefault="00D71FD2" w:rsidP="00D71FD2">
      <w:pPr>
        <w:pStyle w:val="Heading1"/>
        <w:ind w:right="-142"/>
      </w:pPr>
      <w:bookmarkStart w:id="64" w:name="_Toc385256327"/>
      <w:bookmarkStart w:id="65" w:name="_Toc387308832"/>
      <w:r w:rsidRPr="007336F4">
        <w:lastRenderedPageBreak/>
        <w:t>Attachment B</w:t>
      </w:r>
      <w:bookmarkEnd w:id="64"/>
      <w:bookmarkEnd w:id="65"/>
    </w:p>
    <w:p w:rsidR="00D71FD2" w:rsidRPr="00C320F6" w:rsidRDefault="00D71FD2" w:rsidP="00CC3F4B">
      <w:pPr>
        <w:pStyle w:val="Heading2"/>
      </w:pPr>
      <w:bookmarkStart w:id="66" w:name="_Toc387308833"/>
      <w:r w:rsidRPr="00C320F6">
        <w:t>Telecommunications activities not included in the ACLC</w:t>
      </w:r>
      <w:bookmarkEnd w:id="66"/>
    </w:p>
    <w:p w:rsidR="00D71FD2" w:rsidRDefault="00D71FD2" w:rsidP="00D71FD2">
      <w:pPr>
        <w:pStyle w:val="BodyText"/>
        <w:spacing w:line="240" w:lineRule="atLeast"/>
        <w:ind w:right="-142"/>
        <w:rPr>
          <w:rFonts w:cs="Arial"/>
          <w:i w:val="0"/>
          <w:color w:val="auto"/>
          <w:u w:val="single"/>
        </w:rPr>
      </w:pPr>
    </w:p>
    <w:p w:rsidR="00D71FD2" w:rsidRPr="001B69DC" w:rsidRDefault="00D71FD2" w:rsidP="00D71FD2">
      <w:pPr>
        <w:pStyle w:val="BodyText"/>
        <w:spacing w:line="240" w:lineRule="atLeast"/>
        <w:ind w:right="-142"/>
        <w:rPr>
          <w:rFonts w:cs="Arial"/>
          <w:i w:val="0"/>
          <w:color w:val="auto"/>
          <w:u w:val="single"/>
        </w:rPr>
      </w:pPr>
      <w:proofErr w:type="spellStart"/>
      <w:r w:rsidRPr="001B69DC">
        <w:rPr>
          <w:rFonts w:cs="Arial"/>
          <w:i w:val="0"/>
          <w:color w:val="auto"/>
          <w:u w:val="single"/>
        </w:rPr>
        <w:t>Smartnumbers</w:t>
      </w:r>
      <w:proofErr w:type="spellEnd"/>
      <w:r w:rsidRPr="001B69DC">
        <w:rPr>
          <w:rFonts w:cs="Arial"/>
          <w:color w:val="auto"/>
          <w:u w:val="single"/>
          <w:vertAlign w:val="superscript"/>
        </w:rPr>
        <w:t>®</w:t>
      </w:r>
      <w:r w:rsidRPr="001B69DC">
        <w:rPr>
          <w:rFonts w:cs="Arial"/>
          <w:i w:val="0"/>
          <w:color w:val="auto"/>
          <w:u w:val="single"/>
        </w:rPr>
        <w:t xml:space="preserve"> auction activities</w:t>
      </w:r>
    </w:p>
    <w:p w:rsidR="00D71FD2" w:rsidRPr="00C320F6" w:rsidRDefault="00D71FD2" w:rsidP="00D71FD2">
      <w:pPr>
        <w:pStyle w:val="BodyText"/>
        <w:spacing w:line="240" w:lineRule="atLeast"/>
        <w:ind w:right="-142"/>
        <w:rPr>
          <w:rFonts w:cs="Arial"/>
          <w:i w:val="0"/>
          <w:color w:val="auto"/>
        </w:rPr>
      </w:pPr>
      <w:bookmarkStart w:id="67" w:name="_Toc260128306"/>
      <w:bookmarkStart w:id="68" w:name="_Toc261431675"/>
      <w:bookmarkStart w:id="69" w:name="_Toc261431807"/>
      <w:bookmarkStart w:id="70" w:name="_Toc316465912"/>
      <w:r w:rsidRPr="00C320F6">
        <w:rPr>
          <w:rFonts w:cs="Arial"/>
          <w:i w:val="0"/>
          <w:color w:val="auto"/>
        </w:rPr>
        <w:t xml:space="preserve">The costs associated with numbers auctioned under the </w:t>
      </w:r>
      <w:proofErr w:type="spellStart"/>
      <w:r w:rsidRPr="00C320F6">
        <w:rPr>
          <w:rFonts w:cs="Arial"/>
          <w:i w:val="0"/>
          <w:color w:val="auto"/>
        </w:rPr>
        <w:t>smartnumbers</w:t>
      </w:r>
      <w:proofErr w:type="spellEnd"/>
      <w:r w:rsidRPr="00C320F6">
        <w:rPr>
          <w:rFonts w:cs="Arial"/>
          <w:i w:val="0"/>
          <w:color w:val="auto"/>
        </w:rPr>
        <w:t xml:space="preserve"> auction system are not recovered from industry on the basis that costs would be offset by auction proceeds</w:t>
      </w:r>
      <w:bookmarkEnd w:id="67"/>
      <w:bookmarkEnd w:id="68"/>
      <w:bookmarkEnd w:id="69"/>
      <w:r w:rsidRPr="00C320F6">
        <w:rPr>
          <w:rFonts w:cs="Arial"/>
          <w:i w:val="0"/>
          <w:color w:val="auto"/>
        </w:rPr>
        <w:t>, except for an application charge to register for the auction which is cost recovered on a fee basis.</w:t>
      </w:r>
      <w:bookmarkEnd w:id="70"/>
    </w:p>
    <w:p w:rsidR="00D71FD2" w:rsidRPr="00C320F6" w:rsidRDefault="00D71FD2" w:rsidP="00D71FD2">
      <w:pPr>
        <w:pStyle w:val="BodyText"/>
        <w:spacing w:line="240" w:lineRule="atLeast"/>
        <w:ind w:right="-142"/>
        <w:rPr>
          <w:rFonts w:cs="Arial"/>
          <w:i w:val="0"/>
          <w:color w:val="auto"/>
        </w:rPr>
      </w:pPr>
    </w:p>
    <w:p w:rsidR="00D71FD2" w:rsidRPr="001B69DC" w:rsidRDefault="00D71FD2" w:rsidP="00D71FD2">
      <w:pPr>
        <w:pStyle w:val="BodyText"/>
        <w:spacing w:line="240" w:lineRule="atLeast"/>
        <w:ind w:right="-142"/>
        <w:rPr>
          <w:rFonts w:cs="Arial"/>
          <w:i w:val="0"/>
          <w:color w:val="auto"/>
          <w:u w:val="single"/>
        </w:rPr>
      </w:pPr>
      <w:r w:rsidRPr="001B69DC">
        <w:rPr>
          <w:rFonts w:cs="Arial"/>
          <w:i w:val="0"/>
          <w:color w:val="auto"/>
          <w:u w:val="single"/>
        </w:rPr>
        <w:t>Spam and e-security activities</w:t>
      </w:r>
    </w:p>
    <w:p w:rsidR="00D71FD2" w:rsidRPr="00C320F6" w:rsidRDefault="00D71FD2" w:rsidP="00D71FD2">
      <w:pPr>
        <w:pStyle w:val="BodyText"/>
        <w:spacing w:line="240" w:lineRule="atLeast"/>
        <w:ind w:right="-142"/>
        <w:rPr>
          <w:rFonts w:cs="Arial"/>
          <w:i w:val="0"/>
          <w:color w:val="auto"/>
        </w:rPr>
      </w:pPr>
      <w:bookmarkStart w:id="71" w:name="_Toc260128307"/>
      <w:bookmarkStart w:id="72" w:name="_Toc261431676"/>
      <w:bookmarkStart w:id="73" w:name="_Toc261431808"/>
      <w:bookmarkStart w:id="74" w:name="_Toc316465913"/>
      <w:r w:rsidRPr="00C320F6">
        <w:rPr>
          <w:rFonts w:cs="Arial"/>
          <w:i w:val="0"/>
          <w:color w:val="auto"/>
        </w:rPr>
        <w:t xml:space="preserve">These activities include anti-spam activities carried out in accordance with the </w:t>
      </w:r>
      <w:r w:rsidRPr="00C320F6">
        <w:rPr>
          <w:rFonts w:cs="Arial"/>
          <w:color w:val="auto"/>
        </w:rPr>
        <w:t>Spam Act 2003</w:t>
      </w:r>
      <w:r w:rsidRPr="00C320F6">
        <w:rPr>
          <w:rFonts w:cs="Arial"/>
          <w:i w:val="0"/>
          <w:color w:val="auto"/>
        </w:rPr>
        <w:t xml:space="preserve"> and e-security activities. The costs associated with these activities are considered not appropriate to recover from the telecommunications carriers as the direct beneficiaries are the members of the public. </w:t>
      </w:r>
    </w:p>
    <w:bookmarkEnd w:id="71"/>
    <w:bookmarkEnd w:id="72"/>
    <w:bookmarkEnd w:id="73"/>
    <w:bookmarkEnd w:id="74"/>
    <w:p w:rsidR="00D71FD2" w:rsidRPr="00C320F6" w:rsidRDefault="00D71FD2" w:rsidP="00D71FD2">
      <w:pPr>
        <w:pStyle w:val="BodyText"/>
        <w:spacing w:line="240" w:lineRule="atLeast"/>
        <w:ind w:right="-142"/>
        <w:rPr>
          <w:rFonts w:cs="Arial"/>
          <w:i w:val="0"/>
          <w:color w:val="auto"/>
        </w:rPr>
      </w:pPr>
    </w:p>
    <w:p w:rsidR="00D71FD2" w:rsidRPr="0060657B" w:rsidRDefault="00D71FD2" w:rsidP="00D71FD2">
      <w:pPr>
        <w:pStyle w:val="BodyText"/>
        <w:spacing w:line="240" w:lineRule="atLeast"/>
        <w:ind w:right="-142"/>
        <w:rPr>
          <w:rFonts w:cs="Arial"/>
          <w:i w:val="0"/>
          <w:color w:val="auto"/>
          <w:u w:val="single"/>
        </w:rPr>
      </w:pPr>
      <w:r w:rsidRPr="0060657B">
        <w:rPr>
          <w:rFonts w:cs="Arial"/>
          <w:i w:val="0"/>
          <w:color w:val="auto"/>
          <w:u w:val="single"/>
        </w:rPr>
        <w:t>Do Not Call Register and telemarketing related activities</w:t>
      </w:r>
    </w:p>
    <w:p w:rsidR="00D71FD2" w:rsidRPr="00C320F6" w:rsidRDefault="00D71FD2" w:rsidP="00D71FD2">
      <w:pPr>
        <w:pStyle w:val="BodyText"/>
        <w:spacing w:line="240" w:lineRule="atLeast"/>
        <w:ind w:right="-142"/>
        <w:rPr>
          <w:rFonts w:cs="Arial"/>
          <w:i w:val="0"/>
          <w:color w:val="auto"/>
        </w:rPr>
      </w:pPr>
      <w:r>
        <w:rPr>
          <w:rFonts w:cs="Arial"/>
          <w:i w:val="0"/>
          <w:color w:val="auto"/>
        </w:rPr>
        <w:t xml:space="preserve">In accordance with </w:t>
      </w:r>
      <w:r w:rsidRPr="00C320F6">
        <w:rPr>
          <w:rFonts w:cs="Arial"/>
          <w:i w:val="0"/>
          <w:color w:val="auto"/>
        </w:rPr>
        <w:t xml:space="preserve">subsection 15(4) of the </w:t>
      </w:r>
      <w:r w:rsidRPr="00C320F6">
        <w:rPr>
          <w:rFonts w:cs="Arial"/>
          <w:color w:val="auto"/>
        </w:rPr>
        <w:t>Telecommunications (Carrier Licence Charge) Act 1997</w:t>
      </w:r>
      <w:r w:rsidRPr="00C320F6">
        <w:rPr>
          <w:rFonts w:cs="Arial"/>
          <w:i w:val="0"/>
          <w:color w:val="auto"/>
        </w:rPr>
        <w:t xml:space="preserve">, the activities conducted under the </w:t>
      </w:r>
      <w:r w:rsidRPr="00C320F6">
        <w:rPr>
          <w:rFonts w:cs="Arial"/>
          <w:color w:val="auto"/>
        </w:rPr>
        <w:t>Do Not Call Register Act 2006</w:t>
      </w:r>
      <w:r w:rsidRPr="00C320F6">
        <w:rPr>
          <w:rFonts w:cs="Arial"/>
          <w:i w:val="0"/>
          <w:color w:val="auto"/>
        </w:rPr>
        <w:t xml:space="preserve"> </w:t>
      </w:r>
      <w:r>
        <w:rPr>
          <w:rFonts w:cs="Arial"/>
          <w:i w:val="0"/>
          <w:color w:val="auto"/>
        </w:rPr>
        <w:t xml:space="preserve">and the </w:t>
      </w:r>
      <w:r>
        <w:rPr>
          <w:rFonts w:cs="Arial"/>
          <w:color w:val="auto"/>
        </w:rPr>
        <w:t xml:space="preserve">Telecommunications Act 1997 </w:t>
      </w:r>
      <w:r>
        <w:rPr>
          <w:rFonts w:cs="Arial"/>
          <w:i w:val="0"/>
          <w:color w:val="auto"/>
        </w:rPr>
        <w:t xml:space="preserve">to the extent that they relate to telemarketing </w:t>
      </w:r>
      <w:r w:rsidRPr="00C320F6">
        <w:rPr>
          <w:rFonts w:cs="Arial"/>
          <w:i w:val="0"/>
          <w:color w:val="auto"/>
        </w:rPr>
        <w:t>do not form part of the ACMA’s telecommunications functions and powers.</w:t>
      </w:r>
    </w:p>
    <w:p w:rsidR="00D71FD2" w:rsidRPr="00C320F6" w:rsidRDefault="00D71FD2" w:rsidP="00D71FD2">
      <w:pPr>
        <w:pStyle w:val="BodyText"/>
        <w:spacing w:line="240" w:lineRule="atLeast"/>
        <w:ind w:right="-142"/>
        <w:rPr>
          <w:rFonts w:cs="Arial"/>
          <w:i w:val="0"/>
          <w:color w:val="auto"/>
        </w:rPr>
      </w:pPr>
    </w:p>
    <w:p w:rsidR="00D71FD2" w:rsidRPr="001B69DC" w:rsidRDefault="00D71FD2" w:rsidP="00D71FD2">
      <w:pPr>
        <w:pStyle w:val="BodyText"/>
        <w:spacing w:line="240" w:lineRule="atLeast"/>
        <w:ind w:right="-142"/>
        <w:rPr>
          <w:rFonts w:cs="Arial"/>
          <w:i w:val="0"/>
          <w:color w:val="auto"/>
          <w:u w:val="single"/>
        </w:rPr>
      </w:pPr>
      <w:r w:rsidRPr="001B69DC">
        <w:rPr>
          <w:rFonts w:cs="Arial"/>
          <w:i w:val="0"/>
          <w:color w:val="auto"/>
          <w:u w:val="single"/>
        </w:rPr>
        <w:t>Public information activities</w:t>
      </w:r>
    </w:p>
    <w:p w:rsidR="00D71FD2" w:rsidRPr="00C320F6" w:rsidRDefault="00D71FD2" w:rsidP="00D71FD2">
      <w:pPr>
        <w:pStyle w:val="BodyText"/>
        <w:spacing w:line="240" w:lineRule="atLeast"/>
        <w:ind w:right="-142"/>
        <w:rPr>
          <w:rFonts w:cs="Arial"/>
          <w:i w:val="0"/>
          <w:color w:val="auto"/>
        </w:rPr>
      </w:pPr>
      <w:r w:rsidRPr="00AF4C09">
        <w:rPr>
          <w:rFonts w:cs="Arial"/>
          <w:i w:val="0"/>
          <w:color w:val="auto"/>
        </w:rPr>
        <w:t xml:space="preserve">These activities include the production of information for </w:t>
      </w:r>
      <w:r>
        <w:rPr>
          <w:rFonts w:cs="Arial"/>
          <w:i w:val="0"/>
          <w:color w:val="auto"/>
        </w:rPr>
        <w:t xml:space="preserve">the </w:t>
      </w:r>
      <w:r w:rsidRPr="00AF4C09">
        <w:rPr>
          <w:rFonts w:cs="Arial"/>
          <w:i w:val="0"/>
          <w:color w:val="auto"/>
        </w:rPr>
        <w:t>general public on consumer awareness. The</w:t>
      </w:r>
      <w:r w:rsidRPr="00C320F6">
        <w:rPr>
          <w:rFonts w:cs="Arial"/>
          <w:i w:val="0"/>
          <w:color w:val="auto"/>
        </w:rPr>
        <w:t xml:space="preserve"> costs of these activities are considered to be more appropriately met through budget funding.  </w:t>
      </w:r>
    </w:p>
    <w:p w:rsidR="00D71FD2" w:rsidRPr="00C320F6" w:rsidRDefault="00D71FD2" w:rsidP="00D71FD2">
      <w:pPr>
        <w:pStyle w:val="BodyText"/>
        <w:spacing w:line="240" w:lineRule="atLeast"/>
        <w:ind w:right="-142"/>
        <w:rPr>
          <w:rFonts w:cs="Arial"/>
          <w:i w:val="0"/>
          <w:color w:val="auto"/>
        </w:rPr>
      </w:pPr>
    </w:p>
    <w:p w:rsidR="00D71FD2" w:rsidRPr="001B69DC" w:rsidRDefault="00D71FD2" w:rsidP="00D71FD2">
      <w:pPr>
        <w:pStyle w:val="BodyText"/>
        <w:spacing w:line="240" w:lineRule="atLeast"/>
        <w:ind w:right="-142"/>
        <w:rPr>
          <w:rFonts w:cs="Arial"/>
          <w:i w:val="0"/>
          <w:color w:val="auto"/>
          <w:u w:val="single"/>
        </w:rPr>
      </w:pPr>
      <w:r w:rsidRPr="001B69DC">
        <w:rPr>
          <w:rFonts w:cs="Arial"/>
          <w:i w:val="0"/>
          <w:color w:val="auto"/>
          <w:u w:val="single"/>
        </w:rPr>
        <w:t>Other telecommunications activities</w:t>
      </w:r>
    </w:p>
    <w:p w:rsidR="00D71FD2" w:rsidRPr="00C320F6" w:rsidRDefault="00D71FD2" w:rsidP="005A1AF4">
      <w:pPr>
        <w:pStyle w:val="BodyText"/>
        <w:spacing w:after="80" w:line="240" w:lineRule="atLeast"/>
        <w:ind w:right="-142"/>
        <w:rPr>
          <w:rFonts w:cs="Arial"/>
          <w:i w:val="0"/>
          <w:color w:val="auto"/>
        </w:rPr>
      </w:pPr>
      <w:r w:rsidRPr="00C320F6">
        <w:rPr>
          <w:rFonts w:cs="Arial"/>
          <w:i w:val="0"/>
          <w:color w:val="auto"/>
        </w:rPr>
        <w:t>The following activities are delivered on a fee</w:t>
      </w:r>
      <w:r>
        <w:rPr>
          <w:rFonts w:cs="Arial"/>
          <w:i w:val="0"/>
          <w:color w:val="auto"/>
        </w:rPr>
        <w:t>-</w:t>
      </w:r>
      <w:r w:rsidRPr="00C320F6">
        <w:rPr>
          <w:rFonts w:cs="Arial"/>
          <w:i w:val="0"/>
          <w:color w:val="auto"/>
        </w:rPr>
        <w:t>for</w:t>
      </w:r>
      <w:r>
        <w:rPr>
          <w:rFonts w:cs="Arial"/>
          <w:i w:val="0"/>
          <w:color w:val="auto"/>
        </w:rPr>
        <w:t>-</w:t>
      </w:r>
      <w:r w:rsidRPr="00C320F6">
        <w:rPr>
          <w:rFonts w:cs="Arial"/>
          <w:i w:val="0"/>
          <w:color w:val="auto"/>
        </w:rPr>
        <w:t>service basis</w:t>
      </w:r>
      <w:r>
        <w:rPr>
          <w:rFonts w:cs="Arial"/>
          <w:i w:val="0"/>
          <w:color w:val="auto"/>
        </w:rPr>
        <w:t>:</w:t>
      </w:r>
    </w:p>
    <w:p w:rsidR="00094042" w:rsidRDefault="003A1B6D">
      <w:pPr>
        <w:pStyle w:val="BodyText"/>
        <w:numPr>
          <w:ilvl w:val="1"/>
          <w:numId w:val="41"/>
        </w:numPr>
        <w:spacing w:after="80" w:line="240" w:lineRule="atLeast"/>
        <w:ind w:left="426" w:right="-142" w:hanging="426"/>
        <w:rPr>
          <w:rFonts w:cs="Arial"/>
          <w:i w:val="0"/>
          <w:color w:val="auto"/>
        </w:rPr>
      </w:pPr>
      <w:r>
        <w:rPr>
          <w:rFonts w:cs="Arial"/>
          <w:i w:val="0"/>
          <w:color w:val="auto"/>
        </w:rPr>
        <w:t>c</w:t>
      </w:r>
      <w:r w:rsidR="00D71FD2" w:rsidRPr="00C320F6">
        <w:rPr>
          <w:rFonts w:cs="Arial"/>
          <w:i w:val="0"/>
          <w:color w:val="auto"/>
        </w:rPr>
        <w:t xml:space="preserve">arrier </w:t>
      </w:r>
      <w:r w:rsidR="005D0BC8">
        <w:rPr>
          <w:rFonts w:cs="Arial"/>
          <w:i w:val="0"/>
          <w:color w:val="auto"/>
        </w:rPr>
        <w:t>l</w:t>
      </w:r>
      <w:r w:rsidR="00D71FD2" w:rsidRPr="00C320F6">
        <w:rPr>
          <w:rFonts w:cs="Arial"/>
          <w:i w:val="0"/>
          <w:color w:val="auto"/>
        </w:rPr>
        <w:t xml:space="preserve">icence </w:t>
      </w:r>
      <w:r w:rsidR="005A1AF4">
        <w:rPr>
          <w:rFonts w:cs="Arial"/>
          <w:i w:val="0"/>
          <w:color w:val="auto"/>
        </w:rPr>
        <w:t>a</w:t>
      </w:r>
      <w:r w:rsidR="00D71FD2" w:rsidRPr="00C320F6">
        <w:rPr>
          <w:rFonts w:cs="Arial"/>
          <w:i w:val="0"/>
          <w:color w:val="auto"/>
        </w:rPr>
        <w:t>pplications</w:t>
      </w:r>
    </w:p>
    <w:p w:rsidR="00094042" w:rsidRDefault="003A1B6D">
      <w:pPr>
        <w:pStyle w:val="BodyText"/>
        <w:numPr>
          <w:ilvl w:val="1"/>
          <w:numId w:val="41"/>
        </w:numPr>
        <w:spacing w:after="80" w:line="240" w:lineRule="atLeast"/>
        <w:ind w:left="426" w:right="-142" w:hanging="426"/>
        <w:rPr>
          <w:rFonts w:cs="Arial"/>
          <w:i w:val="0"/>
          <w:color w:val="auto"/>
        </w:rPr>
      </w:pPr>
      <w:r>
        <w:rPr>
          <w:rFonts w:cs="Arial"/>
          <w:i w:val="0"/>
          <w:color w:val="auto"/>
        </w:rPr>
        <w:t>n</w:t>
      </w:r>
      <w:r w:rsidR="00D71FD2" w:rsidRPr="00C320F6">
        <w:rPr>
          <w:rFonts w:cs="Arial"/>
          <w:i w:val="0"/>
          <w:color w:val="auto"/>
        </w:rPr>
        <w:t xml:space="preserve">ominated </w:t>
      </w:r>
      <w:r w:rsidR="005D0BC8">
        <w:rPr>
          <w:rFonts w:cs="Arial"/>
          <w:i w:val="0"/>
          <w:color w:val="auto"/>
        </w:rPr>
        <w:t>c</w:t>
      </w:r>
      <w:r w:rsidR="00D71FD2" w:rsidRPr="00C320F6">
        <w:rPr>
          <w:rFonts w:cs="Arial"/>
          <w:i w:val="0"/>
          <w:color w:val="auto"/>
        </w:rPr>
        <w:t xml:space="preserve">arrier </w:t>
      </w:r>
      <w:r w:rsidR="005D0BC8">
        <w:rPr>
          <w:rFonts w:cs="Arial"/>
          <w:i w:val="0"/>
          <w:color w:val="auto"/>
        </w:rPr>
        <w:t>d</w:t>
      </w:r>
      <w:r w:rsidR="00D71FD2" w:rsidRPr="00C320F6">
        <w:rPr>
          <w:rFonts w:cs="Arial"/>
          <w:i w:val="0"/>
          <w:color w:val="auto"/>
        </w:rPr>
        <w:t xml:space="preserve">eclaration </w:t>
      </w:r>
      <w:r w:rsidR="005D0BC8">
        <w:rPr>
          <w:rFonts w:cs="Arial"/>
          <w:i w:val="0"/>
          <w:color w:val="auto"/>
        </w:rPr>
        <w:t>l</w:t>
      </w:r>
      <w:r w:rsidR="00D71FD2" w:rsidRPr="00C320F6">
        <w:rPr>
          <w:rFonts w:cs="Arial"/>
          <w:i w:val="0"/>
          <w:color w:val="auto"/>
        </w:rPr>
        <w:t xml:space="preserve">icence </w:t>
      </w:r>
      <w:r w:rsidR="005A1AF4">
        <w:rPr>
          <w:rFonts w:cs="Arial"/>
          <w:i w:val="0"/>
          <w:color w:val="auto"/>
        </w:rPr>
        <w:t>a</w:t>
      </w:r>
      <w:r w:rsidR="00D71FD2" w:rsidRPr="00C320F6">
        <w:rPr>
          <w:rFonts w:cs="Arial"/>
          <w:i w:val="0"/>
          <w:color w:val="auto"/>
        </w:rPr>
        <w:t>pplications</w:t>
      </w:r>
    </w:p>
    <w:p w:rsidR="00094042" w:rsidRDefault="003A1B6D">
      <w:pPr>
        <w:pStyle w:val="BodyText"/>
        <w:numPr>
          <w:ilvl w:val="1"/>
          <w:numId w:val="41"/>
        </w:numPr>
        <w:spacing w:after="80" w:line="240" w:lineRule="atLeast"/>
        <w:ind w:left="426" w:right="-142" w:hanging="426"/>
        <w:rPr>
          <w:rFonts w:cs="Arial"/>
          <w:i w:val="0"/>
          <w:color w:val="auto"/>
        </w:rPr>
      </w:pPr>
      <w:r>
        <w:rPr>
          <w:rFonts w:cs="Arial"/>
          <w:i w:val="0"/>
          <w:color w:val="auto"/>
        </w:rPr>
        <w:t>n</w:t>
      </w:r>
      <w:r w:rsidR="00D71FD2" w:rsidRPr="00C320F6">
        <w:rPr>
          <w:rFonts w:cs="Arial"/>
          <w:i w:val="0"/>
          <w:color w:val="auto"/>
        </w:rPr>
        <w:t xml:space="preserve">umbering </w:t>
      </w:r>
      <w:r w:rsidR="005A1AF4">
        <w:rPr>
          <w:rFonts w:cs="Arial"/>
          <w:i w:val="0"/>
          <w:color w:val="auto"/>
        </w:rPr>
        <w:t>a</w:t>
      </w:r>
      <w:r w:rsidR="00D71FD2" w:rsidRPr="00C320F6">
        <w:rPr>
          <w:rFonts w:cs="Arial"/>
          <w:i w:val="0"/>
          <w:color w:val="auto"/>
        </w:rPr>
        <w:t>pplications</w:t>
      </w:r>
    </w:p>
    <w:p w:rsidR="00094042" w:rsidRDefault="00D71FD2">
      <w:pPr>
        <w:pStyle w:val="BodyText"/>
        <w:numPr>
          <w:ilvl w:val="1"/>
          <w:numId w:val="41"/>
        </w:numPr>
        <w:spacing w:after="80" w:line="240" w:lineRule="atLeast"/>
        <w:ind w:left="426" w:right="-142" w:hanging="426"/>
        <w:rPr>
          <w:rFonts w:cs="Arial"/>
          <w:i w:val="0"/>
          <w:color w:val="auto"/>
        </w:rPr>
      </w:pPr>
      <w:proofErr w:type="spellStart"/>
      <w:r w:rsidRPr="00C320F6">
        <w:rPr>
          <w:rFonts w:cs="Arial"/>
          <w:i w:val="0"/>
          <w:color w:val="auto"/>
        </w:rPr>
        <w:t>Smart</w:t>
      </w:r>
      <w:r>
        <w:rPr>
          <w:rFonts w:cs="Arial"/>
          <w:i w:val="0"/>
          <w:color w:val="auto"/>
        </w:rPr>
        <w:t>n</w:t>
      </w:r>
      <w:r w:rsidRPr="00C320F6">
        <w:rPr>
          <w:rFonts w:cs="Arial"/>
          <w:i w:val="0"/>
          <w:color w:val="auto"/>
        </w:rPr>
        <w:t>umber</w:t>
      </w:r>
      <w:proofErr w:type="spellEnd"/>
      <w:r w:rsidRPr="00C320F6">
        <w:rPr>
          <w:rFonts w:cs="Arial"/>
          <w:i w:val="0"/>
          <w:color w:val="auto"/>
        </w:rPr>
        <w:t xml:space="preserve"> </w:t>
      </w:r>
      <w:r w:rsidR="005A1AF4">
        <w:rPr>
          <w:rFonts w:cs="Arial"/>
          <w:i w:val="0"/>
          <w:color w:val="auto"/>
        </w:rPr>
        <w:t>r</w:t>
      </w:r>
      <w:r w:rsidRPr="00C320F6">
        <w:rPr>
          <w:rFonts w:cs="Arial"/>
          <w:i w:val="0"/>
          <w:color w:val="auto"/>
        </w:rPr>
        <w:t>egistrations</w:t>
      </w:r>
    </w:p>
    <w:p w:rsidR="00094042" w:rsidRDefault="003A1B6D">
      <w:pPr>
        <w:pStyle w:val="BodyText"/>
        <w:numPr>
          <w:ilvl w:val="1"/>
          <w:numId w:val="41"/>
        </w:numPr>
        <w:spacing w:after="80" w:line="240" w:lineRule="atLeast"/>
        <w:ind w:left="426" w:right="-142" w:hanging="426"/>
        <w:rPr>
          <w:rFonts w:cs="Arial"/>
          <w:i w:val="0"/>
          <w:color w:val="auto"/>
        </w:rPr>
      </w:pPr>
      <w:r>
        <w:rPr>
          <w:rFonts w:cs="Arial"/>
          <w:i w:val="0"/>
          <w:color w:val="auto"/>
        </w:rPr>
        <w:t>s</w:t>
      </w:r>
      <w:r w:rsidR="00D71FD2" w:rsidRPr="00C320F6">
        <w:rPr>
          <w:rFonts w:cs="Arial"/>
          <w:i w:val="0"/>
          <w:color w:val="auto"/>
        </w:rPr>
        <w:t xml:space="preserve">ubmarine </w:t>
      </w:r>
      <w:r w:rsidR="005A1AF4">
        <w:rPr>
          <w:rFonts w:cs="Arial"/>
          <w:i w:val="0"/>
          <w:color w:val="auto"/>
        </w:rPr>
        <w:t>c</w:t>
      </w:r>
      <w:r w:rsidR="00D71FD2" w:rsidRPr="00C320F6">
        <w:rPr>
          <w:rFonts w:cs="Arial"/>
          <w:i w:val="0"/>
          <w:color w:val="auto"/>
        </w:rPr>
        <w:t xml:space="preserve">able </w:t>
      </w:r>
      <w:r w:rsidR="005A1AF4">
        <w:rPr>
          <w:rFonts w:cs="Arial"/>
          <w:i w:val="0"/>
          <w:color w:val="auto"/>
        </w:rPr>
        <w:t>i</w:t>
      </w:r>
      <w:r w:rsidR="00D71FD2" w:rsidRPr="00C320F6">
        <w:rPr>
          <w:rFonts w:cs="Arial"/>
          <w:i w:val="0"/>
          <w:color w:val="auto"/>
        </w:rPr>
        <w:t xml:space="preserve">nstallation </w:t>
      </w:r>
      <w:r w:rsidR="005A1AF4">
        <w:rPr>
          <w:rFonts w:cs="Arial"/>
          <w:i w:val="0"/>
          <w:color w:val="auto"/>
        </w:rPr>
        <w:t>p</w:t>
      </w:r>
      <w:r w:rsidR="00D71FD2" w:rsidRPr="00C320F6">
        <w:rPr>
          <w:rFonts w:cs="Arial"/>
          <w:i w:val="0"/>
          <w:color w:val="auto"/>
        </w:rPr>
        <w:t xml:space="preserve">ermit </w:t>
      </w:r>
      <w:r w:rsidR="005A1AF4">
        <w:rPr>
          <w:rFonts w:cs="Arial"/>
          <w:i w:val="0"/>
          <w:color w:val="auto"/>
        </w:rPr>
        <w:t>a</w:t>
      </w:r>
      <w:r w:rsidR="00D71FD2" w:rsidRPr="00C320F6">
        <w:rPr>
          <w:rFonts w:cs="Arial"/>
          <w:i w:val="0"/>
          <w:color w:val="auto"/>
        </w:rPr>
        <w:t>pplications</w:t>
      </w:r>
    </w:p>
    <w:p w:rsidR="00094042" w:rsidRDefault="003A1B6D">
      <w:pPr>
        <w:pStyle w:val="BodyText"/>
        <w:numPr>
          <w:ilvl w:val="1"/>
          <w:numId w:val="41"/>
        </w:numPr>
        <w:spacing w:after="80" w:line="240" w:lineRule="atLeast"/>
        <w:ind w:left="426" w:right="-142" w:hanging="426"/>
        <w:rPr>
          <w:rFonts w:cs="Arial"/>
          <w:i w:val="0"/>
          <w:color w:val="auto"/>
        </w:rPr>
      </w:pPr>
      <w:proofErr w:type="gramStart"/>
      <w:r>
        <w:rPr>
          <w:rFonts w:cs="Arial"/>
          <w:i w:val="0"/>
          <w:color w:val="auto"/>
        </w:rPr>
        <w:t>c</w:t>
      </w:r>
      <w:r w:rsidR="00D71FD2" w:rsidRPr="00C320F6">
        <w:rPr>
          <w:rFonts w:cs="Arial"/>
          <w:i w:val="0"/>
          <w:color w:val="auto"/>
        </w:rPr>
        <w:t>onnection</w:t>
      </w:r>
      <w:proofErr w:type="gramEnd"/>
      <w:r w:rsidR="00D71FD2" w:rsidRPr="00C320F6">
        <w:rPr>
          <w:rFonts w:cs="Arial"/>
          <w:i w:val="0"/>
          <w:color w:val="auto"/>
        </w:rPr>
        <w:t xml:space="preserve"> </w:t>
      </w:r>
      <w:r w:rsidR="005A1AF4">
        <w:rPr>
          <w:rFonts w:cs="Arial"/>
          <w:i w:val="0"/>
          <w:color w:val="auto"/>
        </w:rPr>
        <w:t>p</w:t>
      </w:r>
      <w:r w:rsidR="00D71FD2" w:rsidRPr="00C320F6">
        <w:rPr>
          <w:rFonts w:cs="Arial"/>
          <w:i w:val="0"/>
          <w:color w:val="auto"/>
        </w:rPr>
        <w:t xml:space="preserve">ermit </w:t>
      </w:r>
      <w:r w:rsidR="005A1AF4">
        <w:rPr>
          <w:rFonts w:cs="Arial"/>
          <w:i w:val="0"/>
          <w:color w:val="auto"/>
        </w:rPr>
        <w:t>a</w:t>
      </w:r>
      <w:r w:rsidR="00D71FD2" w:rsidRPr="00C320F6">
        <w:rPr>
          <w:rFonts w:cs="Arial"/>
          <w:i w:val="0"/>
          <w:color w:val="auto"/>
        </w:rPr>
        <w:t>pplications.</w:t>
      </w:r>
    </w:p>
    <w:p w:rsidR="00D71FD2" w:rsidRPr="006D46E5" w:rsidRDefault="00D71FD2" w:rsidP="00FF3C69">
      <w:pPr>
        <w:rPr>
          <w:rFonts w:cs="Arial"/>
        </w:rPr>
      </w:pPr>
    </w:p>
    <w:sectPr w:rsidR="00D71FD2" w:rsidRPr="006D46E5" w:rsidSect="00A74B5E">
      <w:headerReference w:type="even" r:id="rId27"/>
      <w:headerReference w:type="default" r:id="rId28"/>
      <w:footerReference w:type="even" r:id="rId29"/>
      <w:footerReference w:type="default" r:id="rId30"/>
      <w:pgSz w:w="11906" w:h="16838" w:code="9"/>
      <w:pgMar w:top="1945" w:right="3101" w:bottom="868"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A8" w:rsidRDefault="003617A8">
      <w:r>
        <w:separator/>
      </w:r>
    </w:p>
  </w:endnote>
  <w:endnote w:type="continuationSeparator" w:id="0">
    <w:p w:rsidR="003617A8" w:rsidRDefault="0036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0A2944">
    <w:pPr>
      <w:pStyle w:val="Footer"/>
    </w:pPr>
    <w:r>
      <w:rPr>
        <w:noProof/>
      </w:rPr>
      <mc:AlternateContent>
        <mc:Choice Requires="wps">
          <w:drawing>
            <wp:anchor distT="0" distB="0" distL="114300" distR="114300" simplePos="0" relativeHeight="251659264" behindDoc="1" locked="1" layoutInCell="1" allowOverlap="1">
              <wp:simplePos x="0" y="0"/>
              <wp:positionH relativeFrom="page">
                <wp:posOffset>726440</wp:posOffset>
              </wp:positionH>
              <wp:positionV relativeFrom="page">
                <wp:posOffset>10193020</wp:posOffset>
              </wp:positionV>
              <wp:extent cx="3504565" cy="184150"/>
              <wp:effectExtent l="2540" t="1270" r="7620" b="5080"/>
              <wp:wrapNone/>
              <wp:docPr id="2"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8ECD"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6hREEAAO+D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361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3617A8" w:rsidRPr="00915B1C" w:rsidTr="002E4DDC">
      <w:tc>
        <w:tcPr>
          <w:tcW w:w="6352" w:type="dxa"/>
          <w:shd w:val="clear" w:color="auto" w:fill="auto"/>
        </w:tcPr>
        <w:p w:rsidR="003617A8" w:rsidRPr="00915B1C" w:rsidRDefault="003617A8" w:rsidP="00915B1C">
          <w:pPr>
            <w:pStyle w:val="Footer"/>
            <w:ind w:right="28"/>
            <w:jc w:val="right"/>
            <w:rPr>
              <w:sz w:val="2"/>
              <w:szCs w:val="2"/>
            </w:rPr>
          </w:pPr>
        </w:p>
      </w:tc>
      <w:tc>
        <w:tcPr>
          <w:tcW w:w="1332" w:type="dxa"/>
          <w:tcBorders>
            <w:top w:val="single" w:sz="2" w:space="0" w:color="505050"/>
          </w:tcBorders>
          <w:shd w:val="clear" w:color="auto" w:fill="auto"/>
        </w:tcPr>
        <w:p w:rsidR="003617A8" w:rsidRPr="00915B1C" w:rsidRDefault="003617A8" w:rsidP="00915B1C">
          <w:pPr>
            <w:pStyle w:val="Footer"/>
            <w:ind w:right="28"/>
            <w:jc w:val="right"/>
            <w:rPr>
              <w:sz w:val="2"/>
              <w:szCs w:val="2"/>
            </w:rPr>
          </w:pPr>
        </w:p>
      </w:tc>
      <w:tc>
        <w:tcPr>
          <w:tcW w:w="396" w:type="dxa"/>
          <w:shd w:val="clear" w:color="auto" w:fill="auto"/>
        </w:tcPr>
        <w:p w:rsidR="003617A8" w:rsidRPr="00915B1C" w:rsidRDefault="003617A8" w:rsidP="00332011">
          <w:pPr>
            <w:pStyle w:val="Footer"/>
            <w:rPr>
              <w:sz w:val="2"/>
              <w:szCs w:val="2"/>
            </w:rPr>
          </w:pPr>
        </w:p>
      </w:tc>
    </w:tr>
    <w:tr w:rsidR="003617A8" w:rsidRPr="002E4DDC" w:rsidTr="00915B1C">
      <w:tc>
        <w:tcPr>
          <w:tcW w:w="7684" w:type="dxa"/>
          <w:gridSpan w:val="2"/>
          <w:shd w:val="clear" w:color="auto" w:fill="auto"/>
        </w:tcPr>
        <w:p w:rsidR="003617A8" w:rsidRPr="002E4DDC" w:rsidRDefault="003617A8"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tc>
      <w:tc>
        <w:tcPr>
          <w:tcW w:w="396" w:type="dxa"/>
          <w:shd w:val="clear" w:color="auto" w:fill="auto"/>
        </w:tcPr>
        <w:p w:rsidR="003617A8" w:rsidRPr="002E4DDC" w:rsidRDefault="003617A8" w:rsidP="00332011">
          <w:pPr>
            <w:pStyle w:val="Footer"/>
            <w:rPr>
              <w:color w:val="505050"/>
            </w:rPr>
          </w:pPr>
        </w:p>
      </w:tc>
    </w:tr>
  </w:tbl>
  <w:p w:rsidR="003617A8" w:rsidRDefault="003617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3617A8" w:rsidRPr="00915B1C" w:rsidTr="00B22EB2">
      <w:tc>
        <w:tcPr>
          <w:tcW w:w="1311" w:type="dxa"/>
          <w:tcBorders>
            <w:top w:val="single" w:sz="2" w:space="0" w:color="505050"/>
          </w:tcBorders>
          <w:shd w:val="clear" w:color="auto" w:fill="auto"/>
        </w:tcPr>
        <w:p w:rsidR="003617A8" w:rsidRPr="00915B1C" w:rsidRDefault="003617A8" w:rsidP="00332011">
          <w:pPr>
            <w:pStyle w:val="Footer"/>
            <w:rPr>
              <w:sz w:val="2"/>
              <w:szCs w:val="2"/>
            </w:rPr>
          </w:pPr>
        </w:p>
      </w:tc>
      <w:tc>
        <w:tcPr>
          <w:tcW w:w="6352" w:type="dxa"/>
          <w:shd w:val="clear" w:color="auto" w:fill="auto"/>
        </w:tcPr>
        <w:p w:rsidR="003617A8" w:rsidRPr="00915B1C" w:rsidRDefault="003617A8" w:rsidP="00332011">
          <w:pPr>
            <w:pStyle w:val="Footer"/>
            <w:rPr>
              <w:sz w:val="2"/>
              <w:szCs w:val="2"/>
            </w:rPr>
          </w:pPr>
        </w:p>
      </w:tc>
    </w:tr>
    <w:tr w:rsidR="003617A8" w:rsidRPr="002E4DDC" w:rsidTr="00B22EB2">
      <w:tc>
        <w:tcPr>
          <w:tcW w:w="7663" w:type="dxa"/>
          <w:gridSpan w:val="2"/>
          <w:shd w:val="clear" w:color="auto" w:fill="auto"/>
        </w:tcPr>
        <w:p w:rsidR="003617A8" w:rsidRPr="002E4DDC" w:rsidRDefault="003617A8" w:rsidP="00332011">
          <w:pPr>
            <w:pStyle w:val="Footer"/>
            <w:rPr>
              <w:color w:val="505050"/>
            </w:rPr>
          </w:pP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r w:rsidRPr="002E4DDC">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w:t>
          </w:r>
        </w:p>
      </w:tc>
    </w:tr>
  </w:tbl>
  <w:p w:rsidR="003617A8" w:rsidRDefault="003617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3617A8" w:rsidRPr="00915B1C" w:rsidTr="002E4DDC">
      <w:tc>
        <w:tcPr>
          <w:tcW w:w="6352" w:type="dxa"/>
          <w:shd w:val="clear" w:color="auto" w:fill="auto"/>
        </w:tcPr>
        <w:p w:rsidR="003617A8" w:rsidRPr="00915B1C" w:rsidRDefault="003617A8" w:rsidP="00915B1C">
          <w:pPr>
            <w:pStyle w:val="Footer"/>
            <w:ind w:right="28"/>
            <w:jc w:val="right"/>
            <w:rPr>
              <w:sz w:val="2"/>
              <w:szCs w:val="2"/>
            </w:rPr>
          </w:pPr>
        </w:p>
      </w:tc>
      <w:tc>
        <w:tcPr>
          <w:tcW w:w="1332" w:type="dxa"/>
          <w:tcBorders>
            <w:top w:val="single" w:sz="2" w:space="0" w:color="505050"/>
          </w:tcBorders>
          <w:shd w:val="clear" w:color="auto" w:fill="auto"/>
        </w:tcPr>
        <w:p w:rsidR="003617A8" w:rsidRPr="00915B1C" w:rsidRDefault="003617A8" w:rsidP="00915B1C">
          <w:pPr>
            <w:pStyle w:val="Footer"/>
            <w:ind w:right="28"/>
            <w:jc w:val="right"/>
            <w:rPr>
              <w:sz w:val="2"/>
              <w:szCs w:val="2"/>
            </w:rPr>
          </w:pPr>
        </w:p>
      </w:tc>
      <w:tc>
        <w:tcPr>
          <w:tcW w:w="396" w:type="dxa"/>
          <w:shd w:val="clear" w:color="auto" w:fill="auto"/>
        </w:tcPr>
        <w:p w:rsidR="003617A8" w:rsidRPr="00915B1C" w:rsidRDefault="003617A8" w:rsidP="00332011">
          <w:pPr>
            <w:pStyle w:val="Footer"/>
            <w:rPr>
              <w:sz w:val="2"/>
              <w:szCs w:val="2"/>
            </w:rPr>
          </w:pPr>
        </w:p>
      </w:tc>
    </w:tr>
    <w:tr w:rsidR="003617A8" w:rsidRPr="002E4DDC" w:rsidTr="00915B1C">
      <w:tc>
        <w:tcPr>
          <w:tcW w:w="7684" w:type="dxa"/>
          <w:gridSpan w:val="2"/>
          <w:shd w:val="clear" w:color="auto" w:fill="auto"/>
        </w:tcPr>
        <w:p w:rsidR="003617A8" w:rsidRPr="002E4DDC" w:rsidRDefault="003617A8"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xiii</w:t>
          </w:r>
          <w:r w:rsidRPr="002E4DDC">
            <w:rPr>
              <w:color w:val="505050"/>
            </w:rPr>
            <w:fldChar w:fldCharType="end"/>
          </w:r>
        </w:p>
      </w:tc>
      <w:tc>
        <w:tcPr>
          <w:tcW w:w="396" w:type="dxa"/>
          <w:shd w:val="clear" w:color="auto" w:fill="auto"/>
        </w:tcPr>
        <w:p w:rsidR="003617A8" w:rsidRPr="002E4DDC" w:rsidRDefault="003617A8" w:rsidP="00332011">
          <w:pPr>
            <w:pStyle w:val="Footer"/>
            <w:rPr>
              <w:color w:val="505050"/>
            </w:rPr>
          </w:pPr>
        </w:p>
      </w:tc>
    </w:tr>
  </w:tbl>
  <w:p w:rsidR="003617A8" w:rsidRDefault="003617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3617A8" w:rsidRPr="00915B1C" w:rsidTr="00B22EB2">
      <w:tc>
        <w:tcPr>
          <w:tcW w:w="6352" w:type="dxa"/>
          <w:shd w:val="clear" w:color="auto" w:fill="auto"/>
        </w:tcPr>
        <w:p w:rsidR="003617A8" w:rsidRPr="00915B1C" w:rsidRDefault="003617A8" w:rsidP="00915B1C">
          <w:pPr>
            <w:pStyle w:val="Footer"/>
            <w:ind w:right="28"/>
            <w:jc w:val="right"/>
            <w:rPr>
              <w:sz w:val="2"/>
              <w:szCs w:val="2"/>
            </w:rPr>
          </w:pPr>
        </w:p>
      </w:tc>
      <w:tc>
        <w:tcPr>
          <w:tcW w:w="1332" w:type="dxa"/>
          <w:tcBorders>
            <w:top w:val="single" w:sz="2" w:space="0" w:color="505050"/>
          </w:tcBorders>
          <w:shd w:val="clear" w:color="auto" w:fill="auto"/>
        </w:tcPr>
        <w:p w:rsidR="003617A8" w:rsidRPr="00915B1C" w:rsidRDefault="003617A8" w:rsidP="00915B1C">
          <w:pPr>
            <w:pStyle w:val="Footer"/>
            <w:ind w:right="28"/>
            <w:jc w:val="right"/>
            <w:rPr>
              <w:sz w:val="2"/>
              <w:szCs w:val="2"/>
            </w:rPr>
          </w:pPr>
        </w:p>
      </w:tc>
    </w:tr>
    <w:tr w:rsidR="003617A8" w:rsidRPr="002E4DDC" w:rsidTr="00B22EB2">
      <w:tc>
        <w:tcPr>
          <w:tcW w:w="7684" w:type="dxa"/>
          <w:gridSpan w:val="2"/>
          <w:shd w:val="clear" w:color="auto" w:fill="auto"/>
        </w:tcPr>
        <w:p w:rsidR="003617A8" w:rsidRPr="002E4DDC" w:rsidRDefault="003617A8"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7F0933">
            <w:rPr>
              <w:noProof/>
              <w:color w:val="505050"/>
            </w:rPr>
            <w:t>iii</w:t>
          </w:r>
          <w:r w:rsidRPr="002E4DDC">
            <w:rPr>
              <w:color w:val="505050"/>
            </w:rPr>
            <w:fldChar w:fldCharType="end"/>
          </w:r>
        </w:p>
      </w:tc>
    </w:tr>
  </w:tbl>
  <w:p w:rsidR="003617A8" w:rsidRDefault="003617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3617A8" w:rsidRPr="00915B1C" w:rsidTr="00915B1C">
      <w:tc>
        <w:tcPr>
          <w:tcW w:w="1311" w:type="dxa"/>
          <w:tcBorders>
            <w:top w:val="single" w:sz="2" w:space="0" w:color="auto"/>
          </w:tcBorders>
          <w:shd w:val="clear" w:color="auto" w:fill="auto"/>
        </w:tcPr>
        <w:p w:rsidR="003617A8" w:rsidRPr="00915B1C" w:rsidRDefault="003617A8" w:rsidP="00332011">
          <w:pPr>
            <w:pStyle w:val="Footer"/>
            <w:rPr>
              <w:sz w:val="2"/>
              <w:szCs w:val="2"/>
            </w:rPr>
          </w:pPr>
        </w:p>
      </w:tc>
      <w:tc>
        <w:tcPr>
          <w:tcW w:w="6381" w:type="dxa"/>
          <w:shd w:val="clear" w:color="auto" w:fill="auto"/>
        </w:tcPr>
        <w:p w:rsidR="003617A8" w:rsidRPr="00915B1C" w:rsidRDefault="003617A8" w:rsidP="00332011">
          <w:pPr>
            <w:pStyle w:val="Footer"/>
            <w:rPr>
              <w:sz w:val="2"/>
              <w:szCs w:val="2"/>
            </w:rPr>
          </w:pPr>
        </w:p>
      </w:tc>
    </w:tr>
    <w:tr w:rsidR="003617A8" w:rsidTr="00915B1C">
      <w:tc>
        <w:tcPr>
          <w:tcW w:w="7692" w:type="dxa"/>
          <w:gridSpan w:val="2"/>
          <w:shd w:val="clear" w:color="auto" w:fill="auto"/>
        </w:tcPr>
        <w:p w:rsidR="003617A8" w:rsidRPr="00575AC5" w:rsidRDefault="003617A8"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7F0933">
            <w:rPr>
              <w:noProof/>
              <w:color w:val="505050"/>
            </w:rPr>
            <w:t>18</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rsidR="003617A8" w:rsidRDefault="003617A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3617A8" w:rsidRPr="00915B1C" w:rsidTr="00915B1C">
      <w:tc>
        <w:tcPr>
          <w:tcW w:w="6355" w:type="dxa"/>
          <w:shd w:val="clear" w:color="auto" w:fill="auto"/>
        </w:tcPr>
        <w:p w:rsidR="003617A8" w:rsidRPr="00915B1C" w:rsidRDefault="003617A8" w:rsidP="00915B1C">
          <w:pPr>
            <w:pStyle w:val="Footer"/>
            <w:ind w:right="28"/>
            <w:jc w:val="right"/>
            <w:rPr>
              <w:sz w:val="2"/>
              <w:szCs w:val="2"/>
            </w:rPr>
          </w:pPr>
        </w:p>
      </w:tc>
      <w:tc>
        <w:tcPr>
          <w:tcW w:w="1328" w:type="dxa"/>
          <w:tcBorders>
            <w:top w:val="single" w:sz="2" w:space="0" w:color="auto"/>
          </w:tcBorders>
          <w:shd w:val="clear" w:color="auto" w:fill="auto"/>
        </w:tcPr>
        <w:p w:rsidR="003617A8" w:rsidRPr="00915B1C" w:rsidRDefault="003617A8" w:rsidP="00915B1C">
          <w:pPr>
            <w:pStyle w:val="Footer"/>
            <w:ind w:right="28"/>
            <w:jc w:val="right"/>
            <w:rPr>
              <w:sz w:val="2"/>
              <w:szCs w:val="2"/>
            </w:rPr>
          </w:pPr>
        </w:p>
      </w:tc>
    </w:tr>
    <w:tr w:rsidR="003617A8" w:rsidTr="00915B1C">
      <w:tc>
        <w:tcPr>
          <w:tcW w:w="7683" w:type="dxa"/>
          <w:gridSpan w:val="2"/>
          <w:shd w:val="clear" w:color="auto" w:fill="auto"/>
        </w:tcPr>
        <w:p w:rsidR="003617A8" w:rsidRPr="00575AC5" w:rsidRDefault="003617A8"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7F0933">
            <w:rPr>
              <w:noProof/>
              <w:color w:val="505050"/>
            </w:rPr>
            <w:t>19</w:t>
          </w:r>
          <w:r w:rsidRPr="00575AC5">
            <w:rPr>
              <w:color w:val="505050"/>
            </w:rPr>
            <w:fldChar w:fldCharType="end"/>
          </w:r>
        </w:p>
      </w:tc>
    </w:tr>
  </w:tbl>
  <w:p w:rsidR="003617A8" w:rsidRDefault="00361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A8" w:rsidRDefault="003617A8">
      <w:r>
        <w:separator/>
      </w:r>
    </w:p>
  </w:footnote>
  <w:footnote w:type="continuationSeparator" w:id="0">
    <w:p w:rsidR="003617A8" w:rsidRDefault="003617A8">
      <w:r>
        <w:continuationSeparator/>
      </w:r>
    </w:p>
  </w:footnote>
  <w:footnote w:id="1">
    <w:p w:rsidR="003617A8" w:rsidRDefault="003617A8" w:rsidP="00D71FD2">
      <w:pPr>
        <w:pStyle w:val="FootnoteText"/>
      </w:pPr>
      <w:r>
        <w:rPr>
          <w:rStyle w:val="FootnoteReference"/>
        </w:rPr>
        <w:footnoteRef/>
      </w:r>
      <w:r>
        <w:t xml:space="preserve"> Refer section 40 of the TUSMA (Eligible Revenue) Determination 2013, </w:t>
      </w:r>
      <w:hyperlink r:id="rId1" w:history="1">
        <w:r>
          <w:rPr>
            <w:rStyle w:val="Hyperlink"/>
          </w:rPr>
          <w:t>www.comlaw.gov.au/Details/F2013L01199</w:t>
        </w:r>
      </w:hyperlink>
      <w:r>
        <w:t xml:space="preserve">. </w:t>
      </w:r>
    </w:p>
  </w:footnote>
  <w:footnote w:id="2">
    <w:p w:rsidR="003617A8" w:rsidRPr="00C320F6" w:rsidRDefault="003617A8" w:rsidP="00D71FD2">
      <w:pPr>
        <w:pStyle w:val="FootnoteText"/>
        <w:rPr>
          <w:rFonts w:cs="Arial"/>
        </w:rPr>
      </w:pPr>
      <w:r w:rsidRPr="00C320F6">
        <w:rPr>
          <w:rStyle w:val="FootnoteReference"/>
          <w:rFonts w:cs="Arial"/>
        </w:rPr>
        <w:footnoteRef/>
      </w:r>
      <w:r w:rsidRPr="00C320F6">
        <w:rPr>
          <w:rFonts w:cs="Arial"/>
        </w:rPr>
        <w:t xml:space="preserve"> </w:t>
      </w:r>
      <w:hyperlink r:id="rId2" w:history="1">
        <w:r w:rsidRPr="00103E61">
          <w:rPr>
            <w:rStyle w:val="Hyperlink"/>
            <w:rFonts w:cs="Arial"/>
          </w:rPr>
          <w:t>www.austlii.edu.au/au/legis/cth/bill_em/tlcb1996387/memo1.html</w:t>
        </w:r>
      </w:hyperlink>
    </w:p>
  </w:footnote>
  <w:footnote w:id="3">
    <w:p w:rsidR="003617A8" w:rsidRPr="00C320F6" w:rsidRDefault="003617A8" w:rsidP="00D71FD2">
      <w:pPr>
        <w:pStyle w:val="FootnoteText"/>
        <w:rPr>
          <w:rFonts w:cs="Arial"/>
        </w:rPr>
      </w:pPr>
      <w:r w:rsidRPr="00C320F6">
        <w:rPr>
          <w:rStyle w:val="FootnoteReference"/>
          <w:rFonts w:cs="Arial"/>
        </w:rPr>
        <w:footnoteRef/>
      </w:r>
      <w:r w:rsidRPr="00C320F6">
        <w:rPr>
          <w:rFonts w:cs="Arial"/>
        </w:rPr>
        <w:t xml:space="preserve"> </w:t>
      </w:r>
      <w:hyperlink r:id="rId3" w:history="1">
        <w:r w:rsidRPr="00103E61">
          <w:rPr>
            <w:rStyle w:val="Hyperlink"/>
            <w:rFonts w:cs="Arial"/>
          </w:rPr>
          <w:t>www.comlaw.gov.au/Details/C2005B00150/Explanatory%20Memorandum/Text</w:t>
        </w:r>
      </w:hyperlink>
    </w:p>
  </w:footnote>
  <w:footnote w:id="4">
    <w:p w:rsidR="003617A8" w:rsidRDefault="003617A8">
      <w:pPr>
        <w:pStyle w:val="FootnoteText"/>
      </w:pPr>
      <w:r>
        <w:rPr>
          <w:rStyle w:val="FootnoteReference"/>
        </w:rPr>
        <w:footnoteRef/>
      </w:r>
      <w:r>
        <w:t xml:space="preserve"> </w:t>
      </w:r>
      <w:hyperlink r:id="rId4" w:history="1">
        <w:r w:rsidRPr="00103E61">
          <w:rPr>
            <w:rStyle w:val="Hyperlink"/>
            <w:rFonts w:cs="Arial"/>
          </w:rPr>
          <w:t>www.budget.gov.au/2009-10/content/bp2/html/bp2_expense-07.htm</w:t>
        </w:r>
      </w:hyperlink>
    </w:p>
  </w:footnote>
  <w:footnote w:id="5">
    <w:p w:rsidR="003617A8" w:rsidRPr="00C320F6" w:rsidRDefault="003617A8" w:rsidP="00D71FD2">
      <w:pPr>
        <w:pStyle w:val="FootnoteText"/>
        <w:rPr>
          <w:rFonts w:cs="Arial"/>
        </w:rPr>
      </w:pPr>
      <w:r w:rsidRPr="00C320F6">
        <w:rPr>
          <w:rStyle w:val="FootnoteReference"/>
          <w:rFonts w:cs="Arial"/>
        </w:rPr>
        <w:footnoteRef/>
      </w:r>
      <w:r w:rsidRPr="00C320F6">
        <w:rPr>
          <w:rFonts w:cs="Arial"/>
        </w:rPr>
        <w:t xml:space="preserve"> </w:t>
      </w:r>
      <w:hyperlink r:id="rId5" w:history="1">
        <w:r w:rsidRPr="00103E61">
          <w:rPr>
            <w:rStyle w:val="Hyperlink"/>
            <w:rFonts w:cs="Arial"/>
          </w:rPr>
          <w:t>www.budget.gov.au/2009-10/content/myefo/html/appendix_a_07.htm</w:t>
        </w:r>
      </w:hyperlink>
    </w:p>
  </w:footnote>
  <w:footnote w:id="6">
    <w:p w:rsidR="003617A8" w:rsidRPr="00320636" w:rsidRDefault="003617A8" w:rsidP="00D71FD2">
      <w:pPr>
        <w:pStyle w:val="FootnoteText"/>
        <w:rPr>
          <w:rFonts w:cs="Arial"/>
          <w:color w:val="003399"/>
        </w:rPr>
      </w:pPr>
      <w:r w:rsidRPr="00320636">
        <w:rPr>
          <w:rStyle w:val="FootnoteReference"/>
          <w:rFonts w:cs="Arial"/>
          <w:color w:val="003399"/>
        </w:rPr>
        <w:footnoteRef/>
      </w:r>
      <w:r w:rsidRPr="00320636">
        <w:rPr>
          <w:rFonts w:cs="Arial"/>
          <w:color w:val="003399"/>
        </w:rPr>
        <w:t xml:space="preserve"> </w:t>
      </w:r>
      <w:hyperlink r:id="rId6" w:history="1">
        <w:r w:rsidRPr="00320636">
          <w:rPr>
            <w:rStyle w:val="Hyperlink"/>
            <w:rFonts w:cs="Arial"/>
            <w:color w:val="003399"/>
          </w:rPr>
          <w:t>www.budget.gov.au/2010-11/content/bp2/html/bp2_expense-04.htm</w:t>
        </w:r>
      </w:hyperlink>
    </w:p>
  </w:footnote>
  <w:footnote w:id="7">
    <w:p w:rsidR="003617A8" w:rsidRPr="00320636" w:rsidRDefault="003617A8" w:rsidP="00D71FD2">
      <w:pPr>
        <w:pStyle w:val="FootnoteText"/>
        <w:rPr>
          <w:rFonts w:cs="Arial"/>
          <w:color w:val="003399"/>
        </w:rPr>
      </w:pPr>
      <w:r w:rsidRPr="00320636">
        <w:rPr>
          <w:rStyle w:val="FootnoteReference"/>
          <w:rFonts w:cs="Arial"/>
          <w:color w:val="003399"/>
        </w:rPr>
        <w:footnoteRef/>
      </w:r>
      <w:r w:rsidRPr="00320636">
        <w:rPr>
          <w:rFonts w:cs="Arial"/>
          <w:color w:val="003399"/>
        </w:rPr>
        <w:t xml:space="preserve"> </w:t>
      </w:r>
      <w:hyperlink r:id="rId7" w:history="1">
        <w:r w:rsidRPr="00320636">
          <w:rPr>
            <w:rStyle w:val="Hyperlink"/>
            <w:rFonts w:cs="Arial"/>
            <w:color w:val="003399"/>
          </w:rPr>
          <w:t>www.budget.gov.au/2011-12/content/bp2/html/bp2_expense-04.htm</w:t>
        </w:r>
      </w:hyperlink>
    </w:p>
  </w:footnote>
  <w:footnote w:id="8">
    <w:p w:rsidR="003617A8" w:rsidRPr="00341597" w:rsidRDefault="003617A8" w:rsidP="00D71FD2">
      <w:pPr>
        <w:pStyle w:val="FootnoteText"/>
        <w:rPr>
          <w:lang w:val="en-US"/>
        </w:rPr>
      </w:pPr>
      <w:r w:rsidRPr="00320636">
        <w:rPr>
          <w:rStyle w:val="FootnoteReference"/>
          <w:color w:val="003399"/>
        </w:rPr>
        <w:footnoteRef/>
      </w:r>
      <w:r w:rsidRPr="00320636">
        <w:rPr>
          <w:color w:val="003399"/>
        </w:rPr>
        <w:t xml:space="preserve"> </w:t>
      </w:r>
      <w:hyperlink r:id="rId8" w:history="1">
        <w:r w:rsidRPr="00A84CBD">
          <w:rPr>
            <w:rStyle w:val="Hyperlink"/>
            <w:rFonts w:cs="Arial"/>
          </w:rPr>
          <w:t>www.budget.gov.au/2013-14/content/bp2/html/bp2_expense-23.htm</w:t>
        </w:r>
      </w:hyperlink>
    </w:p>
  </w:footnote>
  <w:footnote w:id="9">
    <w:p w:rsidR="003617A8" w:rsidRPr="00C320F6" w:rsidRDefault="003617A8" w:rsidP="00D71FD2">
      <w:pPr>
        <w:pStyle w:val="FootnoteText"/>
        <w:rPr>
          <w:rFonts w:cs="Arial"/>
        </w:rPr>
      </w:pPr>
      <w:r w:rsidRPr="00C320F6">
        <w:rPr>
          <w:rStyle w:val="FootnoteReference"/>
          <w:rFonts w:cs="Arial"/>
        </w:rPr>
        <w:footnoteRef/>
      </w:r>
      <w:r w:rsidRPr="00C320F6">
        <w:rPr>
          <w:rFonts w:cs="Arial"/>
        </w:rPr>
        <w:t xml:space="preserve"> Available at </w:t>
      </w:r>
      <w:hyperlink r:id="rId9" w:history="1">
        <w:r>
          <w:rPr>
            <w:rStyle w:val="Hyperlink"/>
            <w:rFonts w:cs="Arial"/>
          </w:rPr>
          <w:t>www.comlaw.gov.au/Details/F2013L01300</w:t>
        </w:r>
      </w:hyperlink>
      <w:r w:rsidRPr="00674C64">
        <w:rPr>
          <w:rFonts w:cs="Arial"/>
        </w:rPr>
        <w:t xml:space="preserve">. </w:t>
      </w:r>
      <w:r w:rsidRPr="00CA6A15">
        <w:rPr>
          <w:rFonts w:cs="Arial"/>
        </w:rPr>
        <w:t>The Direction 2013</w:t>
      </w:r>
      <w:r>
        <w:rPr>
          <w:rFonts w:cs="Arial"/>
        </w:rPr>
        <w:t xml:space="preserve"> </w:t>
      </w:r>
      <w:r w:rsidRPr="00CA6A15">
        <w:rPr>
          <w:rFonts w:cs="Arial"/>
        </w:rPr>
        <w:t>is in similar terms to an earlier direction made in 2011 by the then Minister for Broadba</w:t>
      </w:r>
      <w:r w:rsidRPr="008E3B79">
        <w:rPr>
          <w:rFonts w:cs="Arial"/>
        </w:rPr>
        <w:t xml:space="preserve">nd, Communications and the Digital Economy (see the </w:t>
      </w:r>
      <w:r w:rsidRPr="00A84CBD">
        <w:rPr>
          <w:rFonts w:cs="Arial"/>
        </w:rPr>
        <w:t>Australian Communications and Media Authority (Annual Carrier Licence Charge) Direction 2011</w:t>
      </w:r>
      <w:r w:rsidRPr="000459EA">
        <w:rPr>
          <w:rFonts w:cs="Arial"/>
        </w:rPr>
        <w:t>)</w:t>
      </w:r>
      <w:r w:rsidRPr="008E3B79">
        <w:rPr>
          <w:rFonts w:cs="Arial"/>
        </w:rPr>
        <w:t xml:space="preserve"> which</w:t>
      </w:r>
      <w:r>
        <w:rPr>
          <w:rFonts w:cs="Arial"/>
        </w:rPr>
        <w:t xml:space="preserve"> required the ACMA to make determinations under subsection 14(1) of the Act that, in effect, exempted </w:t>
      </w:r>
      <w:r w:rsidRPr="008E3B79">
        <w:rPr>
          <w:rFonts w:cs="Arial"/>
        </w:rPr>
        <w:t xml:space="preserve">carriers who were </w:t>
      </w:r>
      <w:r>
        <w:rPr>
          <w:rFonts w:cs="Arial"/>
        </w:rPr>
        <w:t>‘</w:t>
      </w:r>
      <w:r w:rsidRPr="008E3B79">
        <w:rPr>
          <w:rFonts w:cs="Arial"/>
        </w:rPr>
        <w:t>USO non-participating persons</w:t>
      </w:r>
      <w:r>
        <w:rPr>
          <w:rFonts w:cs="Arial"/>
        </w:rPr>
        <w:t>’</w:t>
      </w:r>
      <w:r w:rsidRPr="008E3B79">
        <w:rPr>
          <w:rFonts w:cs="Arial"/>
        </w:rPr>
        <w:t xml:space="preserve"> within the meaning of the </w:t>
      </w:r>
      <w:r w:rsidRPr="008E3B79">
        <w:rPr>
          <w:rFonts w:cs="Arial"/>
          <w:i/>
        </w:rPr>
        <w:t>Telecommunications (Consumer Protection and Service Standards) Act 1999</w:t>
      </w:r>
      <w:r>
        <w:rPr>
          <w:rFonts w:cs="Arial"/>
        </w:rPr>
        <w:t>, for</w:t>
      </w:r>
      <w:r w:rsidRPr="008E3B79">
        <w:rPr>
          <w:rFonts w:cs="Arial"/>
        </w:rPr>
        <w:t xml:space="preserve"> the eligible revenue period immediately preceding the relevant financial year</w:t>
      </w:r>
      <w:r>
        <w:rPr>
          <w:rFonts w:cs="Arial"/>
        </w:rPr>
        <w:t>,</w:t>
      </w:r>
      <w:r w:rsidRPr="008E3B79">
        <w:rPr>
          <w:rFonts w:cs="Arial"/>
        </w:rPr>
        <w:t xml:space="preserve"> from the liability to pay the ACLC.</w:t>
      </w:r>
    </w:p>
  </w:footnote>
  <w:footnote w:id="10">
    <w:p w:rsidR="003617A8" w:rsidRPr="00DB4233" w:rsidRDefault="003617A8" w:rsidP="00D71FD2">
      <w:pPr>
        <w:pStyle w:val="FootnoteText"/>
      </w:pPr>
      <w:r>
        <w:rPr>
          <w:rStyle w:val="FootnoteReference"/>
        </w:rPr>
        <w:footnoteRef/>
      </w:r>
      <w:r>
        <w:t xml:space="preserve"> </w:t>
      </w:r>
      <w:r w:rsidRPr="00DB4233">
        <w:rPr>
          <w:rFonts w:cs="Arial"/>
          <w:iCs/>
        </w:rPr>
        <w:t>The Direction 2013 defines relevant financial year as the financial year that begins on 1 July 2013 and each later financial year.</w:t>
      </w:r>
    </w:p>
  </w:footnote>
  <w:footnote w:id="11">
    <w:p w:rsidR="003617A8" w:rsidRDefault="003617A8" w:rsidP="00D71FD2">
      <w:pPr>
        <w:pStyle w:val="FootnoteText"/>
      </w:pPr>
      <w:r>
        <w:rPr>
          <w:rStyle w:val="FootnoteReference"/>
        </w:rPr>
        <w:footnoteRef/>
      </w:r>
      <w:r>
        <w:t xml:space="preserve"> ACMA, </w:t>
      </w:r>
      <w:r w:rsidRPr="00A84CBD">
        <w:rPr>
          <w:i/>
        </w:rPr>
        <w:t>Annual report 2012–13</w:t>
      </w:r>
      <w:r>
        <w:t xml:space="preserve">, </w:t>
      </w:r>
      <w:hyperlink r:id="rId10" w:history="1">
        <w:r>
          <w:rPr>
            <w:rStyle w:val="Hyperlink"/>
          </w:rPr>
          <w:t>www.acma.gov.au/theACMA/Library/Corporate-library/Corporate-publications/annual-report-2012--13</w:t>
        </w:r>
      </w:hyperlink>
      <w:r>
        <w:t xml:space="preserve"> </w:t>
      </w:r>
    </w:p>
  </w:footnote>
  <w:footnote w:id="12">
    <w:p w:rsidR="003617A8" w:rsidRDefault="003617A8" w:rsidP="00D71FD2">
      <w:pPr>
        <w:pStyle w:val="FootnoteText"/>
      </w:pPr>
      <w:r>
        <w:rPr>
          <w:rStyle w:val="FootnoteReference"/>
        </w:rPr>
        <w:footnoteRef/>
      </w:r>
      <w:r>
        <w:t xml:space="preserve"> Net cost of services incorporates all expenses and revenues attributed to the ACMA’s telecommunications functions and powers, but excludes government appropriations and ACLC revenue.</w:t>
      </w:r>
    </w:p>
  </w:footnote>
  <w:footnote w:id="13">
    <w:p w:rsidR="003617A8" w:rsidRDefault="003617A8" w:rsidP="00D71FD2">
      <w:pPr>
        <w:pStyle w:val="FootnoteText"/>
      </w:pPr>
      <w:r>
        <w:rPr>
          <w:rStyle w:val="FootnoteReference"/>
        </w:rPr>
        <w:footnoteRef/>
      </w:r>
      <w:r>
        <w:t xml:space="preserve"> Relates to Communications Infrastructure Division; Content, Consumer and Citizen Division; Digital Economy Division and Digital Transition Division.</w:t>
      </w:r>
    </w:p>
  </w:footnote>
  <w:footnote w:id="14">
    <w:p w:rsidR="003617A8" w:rsidRPr="00C320F6" w:rsidRDefault="003617A8" w:rsidP="00D71FD2">
      <w:pPr>
        <w:pStyle w:val="BodyText"/>
        <w:spacing w:line="240" w:lineRule="atLeast"/>
        <w:ind w:right="-142"/>
        <w:jc w:val="both"/>
        <w:rPr>
          <w:rFonts w:cs="Arial"/>
        </w:rPr>
      </w:pPr>
      <w:r w:rsidRPr="00C320F6">
        <w:rPr>
          <w:rStyle w:val="FootnoteReference"/>
          <w:rFonts w:cs="Arial"/>
          <w:i w:val="0"/>
          <w:color w:val="auto"/>
          <w:sz w:val="16"/>
          <w:szCs w:val="16"/>
        </w:rPr>
        <w:footnoteRef/>
      </w:r>
      <w:r w:rsidRPr="00C320F6">
        <w:rPr>
          <w:rFonts w:cs="Arial"/>
          <w:i w:val="0"/>
          <w:color w:val="auto"/>
          <w:sz w:val="16"/>
          <w:szCs w:val="16"/>
        </w:rPr>
        <w:t xml:space="preserve"> This is the amount of the ACMA’s costs for the immediately preceding financial year that is attributable to the ACMA’s telecommunications functions and powers, but has been met from telecommunications charges other than the ACLC (see Attachment B)</w:t>
      </w:r>
      <w:r>
        <w:rPr>
          <w:rFonts w:cs="Arial"/>
          <w:i w:val="0"/>
          <w:color w:val="auto"/>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0A2944">
    <w:pPr>
      <w:pStyle w:val="Header"/>
    </w:pPr>
    <w:r>
      <w:rPr>
        <w:noProof/>
      </w:rPr>
      <mc:AlternateContent>
        <mc:Choice Requires="wps">
          <w:drawing>
            <wp:anchor distT="0" distB="0" distL="114300" distR="114300" simplePos="0" relativeHeight="251658240" behindDoc="1" locked="1" layoutInCell="1" allowOverlap="1">
              <wp:simplePos x="0" y="0"/>
              <wp:positionH relativeFrom="page">
                <wp:posOffset>5796280</wp:posOffset>
              </wp:positionH>
              <wp:positionV relativeFrom="page">
                <wp:posOffset>578485</wp:posOffset>
              </wp:positionV>
              <wp:extent cx="1092200" cy="340360"/>
              <wp:effectExtent l="5080" t="6985" r="7620" b="5080"/>
              <wp:wrapNone/>
              <wp:docPr id="17"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72FEE"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ydlS04AAIS8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simplePos x="0" y="0"/>
              <wp:positionH relativeFrom="page">
                <wp:posOffset>1707515</wp:posOffset>
              </wp:positionH>
              <wp:positionV relativeFrom="page">
                <wp:posOffset>436880</wp:posOffset>
              </wp:positionV>
              <wp:extent cx="1502410" cy="464820"/>
              <wp:effectExtent l="12065" t="8255" r="0" b="3175"/>
              <wp:wrapNone/>
              <wp:docPr id="7"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8" name="black_curl"/>
                      <wpg:cNvGrpSpPr>
                        <a:grpSpLocks/>
                      </wpg:cNvGrpSpPr>
                      <wpg:grpSpPr bwMode="auto">
                        <a:xfrm>
                          <a:off x="1950" y="913"/>
                          <a:ext cx="800" cy="466"/>
                          <a:chOff x="702" y="1163"/>
                          <a:chExt cx="1674" cy="986"/>
                        </a:xfrm>
                      </wpg:grpSpPr>
                      <wps:wsp>
                        <wps:cNvPr id="9"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DE5B5"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">
              <v:group id="black_curl" o:spid="_x0000_s1027" style="position:absolute;left:1950;top:913;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7" o:spid="_x0000_s1028"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7X3sAAAADaAAAADwAAAGRycy9kb3ducmV2LnhtbESPQWsCMRSE70L/Q3hCb5rVQ3G3RhGh&#10;4E26Xe+PzetmNXlZkuiu/74pFHocZuYbZrufnBUPCrH3rGC1LEAQt1733Clovj4WGxAxIWu0nknB&#10;kyLsdy+zLVbaj/xJjzp1IkM4VqjApDRUUsbWkMO49ANx9r59cJiyDJ3UAccMd1aui+JNOuw5Lxgc&#10;6GiovdV3p2C0dDGhrLW253Jzed4bt742Sr3Op8M7iERT+g//tU9aQQm/V/INkL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197AAAAA2gAAAA8AAAAAAAAAAAAAAAAA&#10;oQIAAGRycy9kb3ducmV2LnhtbFBLBQYAAAAABAAEAPkAAACOAwAAAAA=&#10;" stroked="f">
                  <o:lock v:ext="edit" aspectratio="t"/>
                </v:line>
                <v:line id="Line 8" o:spid="_x0000_s1029"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qGCMEAAADbAAAADwAAAGRycy9kb3ducmV2LnhtbESPQWvDMAyF74P9B6PBbqvTHkab1i2j&#10;UOhtLEvvItbibLYcbLdJ//10GOwm8Z7e+7Q7zMGrG6U8RDawXFSgiLtoB+4NtJ+nlzWoXJAt+shk&#10;4E4ZDvvHhx3WNk78Qbem9EpCONdowJUy1lrnzlHAvIgjsWhfMQUssqZe24SThAevV1X1qgMOLA0O&#10;Rzo66n6aazAwebq4tGms9e+b9eV+bcPquzXm+Wl+24IqNJd/89/12Qq+0MsvMoD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ioYIwQAAANsAAAAPAAAAAAAAAAAAAAAA&#10;AKECAABkcnMvZG93bnJldi54bWxQSwUGAAAAAAQABAD5AAAAjwMAAAAA&#10;" stroked="f">
                  <o:lock v:ext="edit" aspectratio="t"/>
                </v:line>
                <v:shape id="Freeform 9" o:spid="_x0000_s1030"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AjcEA&#10;AADbAAAADwAAAGRycy9kb3ducmV2LnhtbESPQYvCMBCF78L+hzAL3jTVg0g1iiyru+xJqz9gaMa2&#10;2kxiErX7740geJvhvXnfm/myM624kQ+NZQWjYQaCuLS64UrBYb8eTEGEiKyxtUwK/inAcvHRm2Ou&#10;7Z13dCtiJVIIhxwV1DG6XMpQ1mQwDK0jTtrReoMxrb6S2uM9hZtWjrNsIg02nAg1OvqqqTwXV5O4&#10;UhbxeEV36Fy1+f7xf9PT9qJU/7NbzUBE6uLb/Lr+1an+CJ6/pAH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zQI3BAAAA2wAAAA8AAAAAAAAAAAAAAAAAmAIAAGRycy9kb3du&#10;cmV2LnhtbFBLBQYAAAAABAAEAPUAAACGAw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OgsIA&#10;AADbAAAADwAAAGRycy9kb3ducmV2LnhtbERPTWvCQBC9C/6HZQRvujGgNKmriFAqiBSj0Os0O02i&#10;2dmQXU3sr+8WCt7m8T5nue5NLe7Uusqygtk0AkGcW11xoeB8epu8gHAeWWNtmRQ8yMF6NRwsMdW2&#10;4yPdM1+IEMIuRQWl900qpctLMuimtiEO3LdtDfoA20LqFrsQbmoZR9FCGqw4NJTY0Lak/JrdjILL&#10;wfzoOSXV/qsrmmv28ZnEx3elxqN+8wrCU++f4n/3Tof5Mfz9Eg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86CwgAAANsAAAAPAAAAAAAAAAAAAAAAAJgCAABkcnMvZG93&#10;bnJldi54bWxQSwUGAAAAAAQABAD1AAAAhwM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C98AA&#10;AADbAAAADwAAAGRycy9kb3ducmV2LnhtbERPTYvCMBC9C/6HMIIX0bQuiFSjiKIoe5CtotehGdti&#10;MylN1PrvNwvC3ubxPme+bE0lntS40rKCeBSBIM6sLjlXcD5th1MQziNrrCyTgjc5WC66nTkm2r74&#10;h56pz0UIYZeggsL7OpHSZQUZdCNbEwfuZhuDPsAml7rBVwg3lRxH0UQaLDk0FFjTuqDsnj6MgkEa&#10;W/1dms21vV0mhx0fYzOVSvV77WoGwlPr/8Uf916H+V/w90s4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6C98AAAADbAAAADwAAAAAAAAAAAAAAAACYAgAAZHJzL2Rvd25y&#10;ZXYueG1sUEsFBgAAAAAEAAQA9QAAAIUD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sqMAA&#10;AADbAAAADwAAAGRycy9kb3ducmV2LnhtbERPy6rCMBDdX/AfwgjuNFVEpRpFBUXBK/gAt0MzfWAz&#10;KU3U+vdGuHB3czjPmS0aU4on1a6wrKDfi0AQJ1YXnCm4XjbdCQjnkTWWlknBmxws5q2fGcbavvhE&#10;z7PPRAhhF6OC3PsqltIlORl0PVsRBy61tUEfYJ1JXeMrhJtSDqJoJA0WHBpyrGidU3I/P4yCU+px&#10;vNzuh6PD4Hd1P6776e1dKtVpN8spCE+N/xf/uXc6zB/C95dw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asqMAAAADbAAAADwAAAAAAAAAAAAAAAACYAgAAZHJzL2Rvd25y&#10;ZXYueG1sUEsFBgAAAAAEAAQA9QAAAIUD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grey" o:spid="_x0000_s1035" style="position:absolute;left:2574;top:1218;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cDVsMA&#10;AADbAAAADwAAAGRycy9kb3ducmV2LnhtbERPS2vCQBC+F/oflil4Ed3oQSS6hmApqPTQ2hZ7HLLT&#10;ZDE7G7KbR/99VxB6m4/vOdtstLXoqfXGsYLFPAFBXDhtuFTw+fEyW4PwAVlj7ZgU/JKHbPf4sMVU&#10;u4HfqT+HUsQQ9ikqqEJoUil9UZFFP3cNceR+XGsxRNiWUrc4xHBby2WSrKRFw7Ghwob2FRXXc2cV&#10;fHeX9enSP7/lRnfHaf+aT79MrtTkacw3IAKN4V98dx90nL+C2y/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cDVsMAAADbAAAADwAAAAAAAAAAAAAAAACYAgAAZHJzL2Rv&#10;d25yZXYueG1sUEsFBgAAAAAEAAQA9QAAAIgD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simplePos x="0" y="0"/>
              <wp:positionH relativeFrom="page">
                <wp:posOffset>721360</wp:posOffset>
              </wp:positionH>
              <wp:positionV relativeFrom="page">
                <wp:posOffset>433070</wp:posOffset>
              </wp:positionV>
              <wp:extent cx="873760" cy="460375"/>
              <wp:effectExtent l="6985" t="4445" r="5080" b="1905"/>
              <wp:wrapNone/>
              <wp:docPr id="3"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4"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72823"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rM/OEAAP+v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">
              <o:lock v:ext="edit" aspectratio="t"/>
              <v:shape id="Freeform 2" o:spid="_x0000_s1027"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xcsEA&#10;AADaAAAADwAAAGRycy9kb3ducmV2LnhtbESPT4vCMBTE78J+h/AW9mbTFRG3GktZ8A96al08P5pn&#10;W2xeShO1++2NIHgcZuY3zDIdTCtu1LvGsoLvKAZBXFrdcKXg77gez0E4j6yxtUwK/slBuvoYLTHR&#10;9s453QpfiQBhl6CC2vsukdKVNRl0ke2Ig3e2vUEfZF9J3eM9wE0rJ3E8kwYbDgs1dvRbU3kprkbB&#10;odBTueZNjvtt5U7Z7ifOB63U1+eQLUB4Gvw7/GrvtIIp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SMXLBAAAA2gAAAA8AAAAAAAAAAAAAAAAAmAIAAGRycy9kb3du&#10;cmV2LnhtbFBLBQYAAAAABAAEAPUAAACGAw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igsEA&#10;AADaAAAADwAAAGRycy9kb3ducmV2LnhtbESPQYvCMBSE74L/ITzBm6YrKtI1lUUQRFDYKp4fzds2&#10;tHmpTdT6783Cwh6HmfmGWW9624gHdd44VvAxTUAQF04bLhVczrvJCoQPyBobx6TgRR422XCwxlS7&#10;J3/TIw+liBD2KSqoQmhTKX1RkUU/dS1x9H5cZzFE2ZVSd/iMcNvIWZIspUXDcaHClrYVFXV+twqs&#10;WYT9/XY9HE9N7q71Mp/feqPUeNR/fYII1If/8F97rxUs4PdKvAE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FooLBAAAA2gAAAA8AAAAAAAAAAAAAAAAAmAIAAGRycy9kb3du&#10;cmV2LnhtbFBLBQYAAAAABAAEAPUAAACGAw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I1ncIA&#10;AADaAAAADwAAAGRycy9kb3ducmV2LnhtbESPQWsCMRSE70L/Q3hCb5pVWpGtUVqhpRQEq6LXx+Z1&#10;s3TzEpK4bv+9EYQeh5n5hlmsetuKjkJsHCuYjAsQxJXTDdcKDvv30RxETMgaW8ek4I8irJYPgwWW&#10;2l34m7pdqkWGcCxRgUnJl1LGypDFOHaeOHs/LlhMWYZa6oCXDLetnBbFTFpsOC8Y9LQ2VP3uzlbB&#10;HDfnExZPnf/6CG/HsHnems4r9TjsX19AJOrTf/je/tQKZnC7km+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jWdwgAAANoAAAAPAAAAAAAAAAAAAAAAAJgCAABkcnMvZG93&#10;bnJldi54bWxQSwUGAAAAAAQABAD1AAAAhwM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Pr="0027165D" w:rsidRDefault="003617A8">
    <w:pPr>
      <w:pStyle w:val="Header"/>
      <w:rPr>
        <w:rFonts w:cs="Arial"/>
      </w:rPr>
    </w:pPr>
  </w:p>
  <w:tbl>
    <w:tblPr>
      <w:tblW w:w="7685" w:type="dxa"/>
      <w:tblLayout w:type="fixed"/>
      <w:tblCellMar>
        <w:left w:w="0" w:type="dxa"/>
        <w:right w:w="0" w:type="dxa"/>
      </w:tblCellMar>
      <w:tblLook w:val="01E0" w:firstRow="1" w:lastRow="1" w:firstColumn="1" w:lastColumn="1" w:noHBand="0" w:noVBand="0"/>
    </w:tblPr>
    <w:tblGrid>
      <w:gridCol w:w="7685"/>
    </w:tblGrid>
    <w:tr w:rsidR="003617A8" w:rsidRPr="0027165D" w:rsidTr="00915B1C">
      <w:trPr>
        <w:trHeight w:hRule="exact" w:val="988"/>
      </w:trPr>
      <w:tc>
        <w:tcPr>
          <w:tcW w:w="7685" w:type="dxa"/>
          <w:shd w:val="clear" w:color="auto" w:fill="auto"/>
        </w:tcPr>
        <w:p w:rsidR="003617A8" w:rsidRPr="0027165D" w:rsidRDefault="003617A8">
          <w:pPr>
            <w:pStyle w:val="Header"/>
            <w:rPr>
              <w:rFonts w:cs="Arial"/>
            </w:rPr>
          </w:pPr>
        </w:p>
      </w:tc>
    </w:tr>
    <w:tr w:rsidR="003617A8" w:rsidRPr="0027165D" w:rsidTr="00915B1C">
      <w:tc>
        <w:tcPr>
          <w:tcW w:w="7685" w:type="dxa"/>
          <w:shd w:val="clear" w:color="auto" w:fill="auto"/>
        </w:tcPr>
        <w:p w:rsidR="003617A8" w:rsidRPr="0027165D" w:rsidRDefault="003617A8" w:rsidP="000A4A51">
          <w:pPr>
            <w:pStyle w:val="TOCHeading"/>
            <w:rPr>
              <w:rFonts w:cs="Arial"/>
            </w:rPr>
          </w:pPr>
          <w:r w:rsidRPr="0027165D">
            <w:rPr>
              <w:rFonts w:cs="Arial"/>
            </w:rPr>
            <w:t>Contents</w:t>
          </w:r>
        </w:p>
      </w:tc>
    </w:tr>
  </w:tbl>
  <w:p w:rsidR="003617A8" w:rsidRPr="0027165D" w:rsidRDefault="003617A8">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3617A8">
    <w:pPr>
      <w:pStyle w:val="Header"/>
    </w:pPr>
  </w:p>
  <w:p w:rsidR="003617A8" w:rsidRDefault="003617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3617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3617A8">
    <w:pPr>
      <w:pStyle w:val="Header"/>
    </w:pPr>
  </w:p>
  <w:tbl>
    <w:tblPr>
      <w:tblW w:w="7678" w:type="dxa"/>
      <w:tblLayout w:type="fixed"/>
      <w:tblCellMar>
        <w:left w:w="0" w:type="dxa"/>
        <w:right w:w="0" w:type="dxa"/>
      </w:tblCellMar>
      <w:tblLook w:val="01E0" w:firstRow="1" w:lastRow="1" w:firstColumn="1" w:lastColumn="1" w:noHBand="0" w:noVBand="0"/>
    </w:tblPr>
    <w:tblGrid>
      <w:gridCol w:w="7678"/>
    </w:tblGrid>
    <w:tr w:rsidR="003617A8" w:rsidTr="00915B1C">
      <w:trPr>
        <w:trHeight w:hRule="exact" w:val="988"/>
      </w:trPr>
      <w:tc>
        <w:tcPr>
          <w:tcW w:w="7678" w:type="dxa"/>
          <w:shd w:val="clear" w:color="auto" w:fill="auto"/>
        </w:tcPr>
        <w:p w:rsidR="003617A8" w:rsidRDefault="003617A8" w:rsidP="005D2502">
          <w:pPr>
            <w:pStyle w:val="Header"/>
          </w:pPr>
        </w:p>
      </w:tc>
    </w:tr>
    <w:tr w:rsidR="003617A8" w:rsidTr="00915B1C">
      <w:tc>
        <w:tcPr>
          <w:tcW w:w="7678" w:type="dxa"/>
          <w:shd w:val="clear" w:color="auto" w:fill="auto"/>
        </w:tcPr>
        <w:p w:rsidR="003617A8" w:rsidRDefault="003617A8" w:rsidP="005D2502">
          <w:pPr>
            <w:pStyle w:val="TOCHeading"/>
          </w:pPr>
          <w:r>
            <w:t xml:space="preserve">Contents </w:t>
          </w:r>
          <w:r w:rsidRPr="00915B1C">
            <w:rPr>
              <w:b w:val="0"/>
              <w:spacing w:val="0"/>
              <w:sz w:val="28"/>
              <w:szCs w:val="28"/>
            </w:rPr>
            <w:t>(Continued)</w:t>
          </w:r>
        </w:p>
      </w:tc>
    </w:tr>
    <w:tr w:rsidR="003617A8" w:rsidTr="00D6507F">
      <w:trPr>
        <w:trHeight w:val="1220"/>
      </w:trPr>
      <w:tc>
        <w:tcPr>
          <w:tcW w:w="7678" w:type="dxa"/>
          <w:shd w:val="clear" w:color="auto" w:fill="auto"/>
        </w:tcPr>
        <w:p w:rsidR="003617A8" w:rsidRDefault="003617A8" w:rsidP="00D6507F"/>
      </w:tc>
    </w:tr>
  </w:tbl>
  <w:p w:rsidR="003617A8" w:rsidRDefault="003617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3617A8">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3617A8" w:rsidTr="00915B1C">
      <w:trPr>
        <w:trHeight w:hRule="exact" w:val="988"/>
      </w:trPr>
      <w:tc>
        <w:tcPr>
          <w:tcW w:w="7671" w:type="dxa"/>
          <w:shd w:val="clear" w:color="auto" w:fill="auto"/>
        </w:tcPr>
        <w:p w:rsidR="003617A8" w:rsidRDefault="003617A8" w:rsidP="005D2502">
          <w:pPr>
            <w:pStyle w:val="Header"/>
          </w:pPr>
        </w:p>
      </w:tc>
    </w:tr>
    <w:tr w:rsidR="003617A8" w:rsidTr="00915B1C">
      <w:tc>
        <w:tcPr>
          <w:tcW w:w="7671" w:type="dxa"/>
          <w:shd w:val="clear" w:color="auto" w:fill="auto"/>
        </w:tcPr>
        <w:p w:rsidR="003617A8" w:rsidRDefault="003617A8" w:rsidP="005D2502">
          <w:pPr>
            <w:pStyle w:val="TOCHeading"/>
          </w:pPr>
          <w:r>
            <w:t xml:space="preserve">Contents </w:t>
          </w:r>
          <w:r w:rsidRPr="00915B1C">
            <w:rPr>
              <w:b w:val="0"/>
              <w:spacing w:val="0"/>
              <w:sz w:val="28"/>
              <w:szCs w:val="28"/>
            </w:rPr>
            <w:t>(Continued)</w:t>
          </w:r>
        </w:p>
      </w:tc>
    </w:tr>
  </w:tbl>
  <w:p w:rsidR="003617A8" w:rsidRDefault="003617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3617A8">
    <w:pPr>
      <w:pStyle w:val="Header"/>
    </w:pPr>
  </w:p>
  <w:p w:rsidR="003617A8" w:rsidRDefault="003617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A8" w:rsidRDefault="003617A8">
    <w:pPr>
      <w:pStyle w:val="Header"/>
    </w:pPr>
  </w:p>
  <w:p w:rsidR="003617A8" w:rsidRDefault="00361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32.25pt;visibility:visible;mso-wrap-style:square" o:bullet="t">
        <v:imagedata r:id="rId1" o:title="" croptop="15915f" cropbottom="20445f" cropleft="21717f" cropright="21898f"/>
      </v:shape>
    </w:pict>
  </w:numPicBullet>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1444DAF4"/>
    <w:lvl w:ilvl="0">
      <w:start w:val="1"/>
      <w:numFmt w:val="decimal"/>
      <w:pStyle w:val="ListNumber2"/>
      <w:lvlText w:val="%1."/>
      <w:lvlJc w:val="left"/>
      <w:pPr>
        <w:ind w:left="360" w:hanging="360"/>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753C0822"/>
    <w:lvl w:ilvl="0">
      <w:start w:val="1"/>
      <w:numFmt w:val="decimal"/>
      <w:pStyle w:val="ListNumber"/>
      <w:lvlText w:val="%1."/>
      <w:lvlJc w:val="left"/>
      <w:pPr>
        <w:ind w:left="360" w:hanging="360"/>
      </w:pPr>
      <w:rPr>
        <w:rFonts w:hint="default"/>
        <w:b/>
        <w:i w:val="0"/>
        <w:caps/>
        <w:sz w:val="20"/>
      </w:rPr>
    </w:lvl>
  </w:abstractNum>
  <w:abstractNum w:abstractNumId="9">
    <w:nsid w:val="FFFFFF89"/>
    <w:multiLevelType w:val="singleLevel"/>
    <w:tmpl w:val="E09694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nsid w:val="009B6519"/>
    <w:multiLevelType w:val="hybridMultilevel"/>
    <w:tmpl w:val="697C131A"/>
    <w:lvl w:ilvl="0" w:tplc="C3A08136">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B25B7A"/>
    <w:multiLevelType w:val="hybridMultilevel"/>
    <w:tmpl w:val="2230D79A"/>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7E51413"/>
    <w:multiLevelType w:val="hybridMultilevel"/>
    <w:tmpl w:val="C5FCF298"/>
    <w:lvl w:ilvl="0" w:tplc="C3A08136">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086C3E54"/>
    <w:multiLevelType w:val="hybridMultilevel"/>
    <w:tmpl w:val="B9463184"/>
    <w:lvl w:ilvl="0" w:tplc="2D48A7E4">
      <w:start w:val="1"/>
      <w:numFmt w:val="bullet"/>
      <w:lvlText w:val="-"/>
      <w:lvlJc w:val="left"/>
      <w:pPr>
        <w:ind w:left="360" w:hanging="360"/>
      </w:pPr>
      <w:rPr>
        <w:rFonts w:ascii="Calibri" w:eastAsia="SimSun" w:hAnsi="Calibri" w:cs="Times New Roman" w:hint="default"/>
      </w:rPr>
    </w:lvl>
    <w:lvl w:ilvl="1" w:tplc="C3A08136">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0A977D70"/>
    <w:multiLevelType w:val="hybridMultilevel"/>
    <w:tmpl w:val="0A04BC1E"/>
    <w:lvl w:ilvl="0" w:tplc="2D48A7E4">
      <w:start w:val="1"/>
      <w:numFmt w:val="bullet"/>
      <w:lvlText w:val="-"/>
      <w:lvlJc w:val="left"/>
      <w:pPr>
        <w:ind w:left="360" w:hanging="360"/>
      </w:pPr>
      <w:rPr>
        <w:rFonts w:ascii="Calibri" w:eastAsia="SimSun" w:hAnsi="Calibri" w:cs="Times New Roman" w:hint="default"/>
      </w:rPr>
    </w:lvl>
    <w:lvl w:ilvl="1" w:tplc="C3A08136">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0AF46576"/>
    <w:multiLevelType w:val="hybridMultilevel"/>
    <w:tmpl w:val="78A2440E"/>
    <w:lvl w:ilvl="0" w:tplc="C3A08136">
      <w:start w:val="1"/>
      <w:numFmt w:val="bullet"/>
      <w:lvlText w:val="&gt;"/>
      <w:lvlJc w:val="left"/>
      <w:pPr>
        <w:ind w:left="436" w:hanging="360"/>
      </w:pPr>
      <w:rPr>
        <w:rFonts w:ascii="Arial" w:hAnsi="Aria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nsid w:val="0B6718C7"/>
    <w:multiLevelType w:val="hybridMultilevel"/>
    <w:tmpl w:val="7E76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20">
    <w:nsid w:val="0F864B21"/>
    <w:multiLevelType w:val="hybridMultilevel"/>
    <w:tmpl w:val="5FC2152A"/>
    <w:lvl w:ilvl="0" w:tplc="2D48A7E4">
      <w:start w:val="1"/>
      <w:numFmt w:val="bullet"/>
      <w:lvlText w:val="-"/>
      <w:lvlJc w:val="left"/>
      <w:pPr>
        <w:ind w:left="360" w:hanging="360"/>
      </w:pPr>
      <w:rPr>
        <w:rFonts w:ascii="Calibri" w:eastAsia="SimSu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12200A12"/>
    <w:multiLevelType w:val="hybridMultilevel"/>
    <w:tmpl w:val="FCE69972"/>
    <w:lvl w:ilvl="0" w:tplc="2D48A7E4">
      <w:start w:val="1"/>
      <w:numFmt w:val="bullet"/>
      <w:lvlText w:val="-"/>
      <w:lvlJc w:val="left"/>
      <w:pPr>
        <w:ind w:left="360" w:hanging="360"/>
      </w:pPr>
      <w:rPr>
        <w:rFonts w:ascii="Calibri" w:eastAsia="SimSun" w:hAnsi="Calibri" w:cs="Times New Roman" w:hint="default"/>
      </w:rPr>
    </w:lvl>
    <w:lvl w:ilvl="1" w:tplc="C3A08136">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13F42FB1"/>
    <w:multiLevelType w:val="hybridMultilevel"/>
    <w:tmpl w:val="9F089720"/>
    <w:lvl w:ilvl="0" w:tplc="2D48A7E4">
      <w:start w:val="1"/>
      <w:numFmt w:val="bullet"/>
      <w:lvlText w:val="-"/>
      <w:lvlJc w:val="left"/>
      <w:pPr>
        <w:ind w:left="360" w:hanging="360"/>
      </w:pPr>
      <w:rPr>
        <w:rFonts w:ascii="Calibri" w:eastAsia="SimSun" w:hAnsi="Calibri" w:cs="Times New Roman" w:hint="default"/>
      </w:rPr>
    </w:lvl>
    <w:lvl w:ilvl="1" w:tplc="C3A08136">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140E247F"/>
    <w:multiLevelType w:val="hybridMultilevel"/>
    <w:tmpl w:val="CDA23E3A"/>
    <w:lvl w:ilvl="0" w:tplc="C3A08136">
      <w:start w:val="1"/>
      <w:numFmt w:val="bullet"/>
      <w:lvlText w:val="&gt;"/>
      <w:lvlJc w:val="left"/>
      <w:pPr>
        <w:tabs>
          <w:tab w:val="num" w:pos="360"/>
        </w:tabs>
        <w:ind w:left="360" w:hanging="360"/>
      </w:pPr>
      <w:rPr>
        <w:rFonts w:ascii="Arial" w:hAnsi="Arial" w:hint="default"/>
      </w:rPr>
    </w:lvl>
    <w:lvl w:ilvl="1" w:tplc="516022D8">
      <w:numFmt w:val="bullet"/>
      <w:lvlText w:val="–"/>
      <w:lvlJc w:val="left"/>
      <w:pPr>
        <w:tabs>
          <w:tab w:val="num" w:pos="1080"/>
        </w:tabs>
        <w:ind w:left="1080" w:hanging="360"/>
      </w:pPr>
      <w:rPr>
        <w:rFonts w:ascii="Times New Roman" w:eastAsia="Times New Roman" w:hAnsi="Times New Roman"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24">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1E2E79BA"/>
    <w:multiLevelType w:val="hybridMultilevel"/>
    <w:tmpl w:val="2C6216AC"/>
    <w:lvl w:ilvl="0" w:tplc="C3A08136">
      <w:start w:val="1"/>
      <w:numFmt w:val="bullet"/>
      <w:lvlText w:val="&gt;"/>
      <w:lvlJc w:val="left"/>
      <w:pPr>
        <w:ind w:left="436" w:hanging="360"/>
      </w:pPr>
      <w:rPr>
        <w:rFonts w:ascii="Arial" w:hAnsi="Aria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nsid w:val="231E7434"/>
    <w:multiLevelType w:val="hybridMultilevel"/>
    <w:tmpl w:val="5F18ACF8"/>
    <w:lvl w:ilvl="0" w:tplc="C3A08136">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3465E66"/>
    <w:multiLevelType w:val="hybridMultilevel"/>
    <w:tmpl w:val="746E2290"/>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29CF160A"/>
    <w:multiLevelType w:val="hybridMultilevel"/>
    <w:tmpl w:val="C068DED0"/>
    <w:lvl w:ilvl="0" w:tplc="C3A08136">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1">
    <w:nsid w:val="2F917B0D"/>
    <w:multiLevelType w:val="multilevel"/>
    <w:tmpl w:val="BFD84904"/>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6577924"/>
    <w:multiLevelType w:val="multilevel"/>
    <w:tmpl w:val="4D16B15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92742ED"/>
    <w:multiLevelType w:val="multilevel"/>
    <w:tmpl w:val="65A0471E"/>
    <w:lvl w:ilvl="0">
      <w:start w:val="1"/>
      <w:numFmt w:val="bullet"/>
      <w:lvlText w:val="&gt;"/>
      <w:lvlJc w:val="left"/>
      <w:pPr>
        <w:tabs>
          <w:tab w:val="num" w:pos="1069"/>
        </w:tabs>
        <w:ind w:left="1069" w:hanging="360"/>
      </w:pPr>
      <w:rPr>
        <w:rFonts w:ascii="Arial" w:hAnsi="Arial" w:hint="default"/>
      </w:rPr>
    </w:lvl>
    <w:lvl w:ilvl="1">
      <w:start w:val="1"/>
      <w:numFmt w:val="bullet"/>
      <w:lvlText w:val="&gt;"/>
      <w:lvlJc w:val="left"/>
      <w:pPr>
        <w:tabs>
          <w:tab w:val="num" w:pos="1969"/>
        </w:tabs>
        <w:ind w:left="1969" w:hanging="360"/>
      </w:pPr>
      <w:rPr>
        <w:rFonts w:ascii="Arial" w:hAnsi="Arial" w:hint="default"/>
      </w:r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4">
    <w:nsid w:val="3A5C1009"/>
    <w:multiLevelType w:val="hybridMultilevel"/>
    <w:tmpl w:val="FBEEA0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55802C5"/>
    <w:multiLevelType w:val="hybridMultilevel"/>
    <w:tmpl w:val="CB925B60"/>
    <w:lvl w:ilvl="0" w:tplc="C3A08136">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4A567A8E"/>
    <w:multiLevelType w:val="hybridMultilevel"/>
    <w:tmpl w:val="DE30632C"/>
    <w:lvl w:ilvl="0" w:tplc="C3A08136">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4F506E6A"/>
    <w:multiLevelType w:val="hybridMultilevel"/>
    <w:tmpl w:val="4EA6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286294E"/>
    <w:multiLevelType w:val="hybridMultilevel"/>
    <w:tmpl w:val="997C9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5A2D458E"/>
    <w:multiLevelType w:val="multilevel"/>
    <w:tmpl w:val="263634F0"/>
    <w:lvl w:ilvl="0">
      <w:start w:val="1"/>
      <w:numFmt w:val="decimal"/>
      <w:lvlText w:val="(%1)"/>
      <w:lvlJc w:val="left"/>
      <w:pPr>
        <w:tabs>
          <w:tab w:val="num" w:pos="927"/>
        </w:tabs>
        <w:ind w:left="927" w:hanging="360"/>
      </w:pPr>
    </w:lvl>
    <w:lvl w:ilvl="1">
      <w:start w:val="1"/>
      <w:numFmt w:val="bullet"/>
      <w:lvlText w:val="&gt;"/>
      <w:lvlJc w:val="left"/>
      <w:pPr>
        <w:tabs>
          <w:tab w:val="num" w:pos="1827"/>
        </w:tabs>
        <w:ind w:left="1827" w:hanging="360"/>
      </w:pPr>
      <w:rPr>
        <w:rFonts w:ascii="Arial" w:hAnsi="Arial" w:hint="default"/>
      </w:r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42">
    <w:nsid w:val="5C3E1041"/>
    <w:multiLevelType w:val="hybridMultilevel"/>
    <w:tmpl w:val="8D069480"/>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078325C"/>
    <w:multiLevelType w:val="hybridMultilevel"/>
    <w:tmpl w:val="578E5C1E"/>
    <w:lvl w:ilvl="0" w:tplc="C3A08136">
      <w:start w:val="1"/>
      <w:numFmt w:val="bullet"/>
      <w:lvlText w:val="&gt;"/>
      <w:lvlJc w:val="left"/>
      <w:pPr>
        <w:ind w:left="1140" w:hanging="360"/>
      </w:pPr>
      <w:rPr>
        <w:rFonts w:ascii="Arial" w:hAnsi="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nsid w:val="633F273F"/>
    <w:multiLevelType w:val="hybridMultilevel"/>
    <w:tmpl w:val="C81C59A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5">
    <w:nsid w:val="658D23CA"/>
    <w:multiLevelType w:val="hybridMultilevel"/>
    <w:tmpl w:val="BAB40320"/>
    <w:lvl w:ilvl="0" w:tplc="3FB0C178">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nsid w:val="69C62786"/>
    <w:multiLevelType w:val="hybridMultilevel"/>
    <w:tmpl w:val="DD8CF5CE"/>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FCB0B1C"/>
    <w:multiLevelType w:val="hybridMultilevel"/>
    <w:tmpl w:val="BF6626FE"/>
    <w:lvl w:ilvl="0" w:tplc="C3A08136">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70E544A0"/>
    <w:multiLevelType w:val="hybridMultilevel"/>
    <w:tmpl w:val="DA24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426238E"/>
    <w:multiLevelType w:val="hybridMultilevel"/>
    <w:tmpl w:val="6E58AFC4"/>
    <w:lvl w:ilvl="0" w:tplc="C3A08136">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4D73366"/>
    <w:multiLevelType w:val="hybridMultilevel"/>
    <w:tmpl w:val="48C40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6893964"/>
    <w:multiLevelType w:val="hybridMultilevel"/>
    <w:tmpl w:val="CE62320C"/>
    <w:lvl w:ilvl="0" w:tplc="C3A08136">
      <w:start w:val="1"/>
      <w:numFmt w:val="bullet"/>
      <w:lvlText w:val="&gt;"/>
      <w:lvlJc w:val="left"/>
      <w:pPr>
        <w:ind w:left="1140" w:hanging="360"/>
      </w:pPr>
      <w:rPr>
        <w:rFonts w:ascii="Arial" w:hAnsi="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4">
    <w:nsid w:val="78D01031"/>
    <w:multiLevelType w:val="hybridMultilevel"/>
    <w:tmpl w:val="BF7A3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C192C1F"/>
    <w:multiLevelType w:val="hybridMultilevel"/>
    <w:tmpl w:val="C824A642"/>
    <w:lvl w:ilvl="0" w:tplc="C3A08136">
      <w:start w:val="1"/>
      <w:numFmt w:val="bullet"/>
      <w:lvlText w:val="&gt;"/>
      <w:lvlJc w:val="left"/>
      <w:pPr>
        <w:ind w:left="1069" w:hanging="360"/>
      </w:pPr>
      <w:rPr>
        <w:rFonts w:ascii="Arial" w:hAnsi="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6">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25"/>
  </w:num>
  <w:num w:numId="13">
    <w:abstractNumId w:val="35"/>
  </w:num>
  <w:num w:numId="14">
    <w:abstractNumId w:val="18"/>
  </w:num>
  <w:num w:numId="15">
    <w:abstractNumId w:val="24"/>
  </w:num>
  <w:num w:numId="16">
    <w:abstractNumId w:val="56"/>
  </w:num>
  <w:num w:numId="17">
    <w:abstractNumId w:val="52"/>
  </w:num>
  <w:num w:numId="18">
    <w:abstractNumId w:val="40"/>
  </w:num>
  <w:num w:numId="19">
    <w:abstractNumId w:val="11"/>
  </w:num>
  <w:num w:numId="20">
    <w:abstractNumId w:val="30"/>
  </w:num>
  <w:num w:numId="21">
    <w:abstractNumId w:val="34"/>
  </w:num>
  <w:num w:numId="22">
    <w:abstractNumId w:val="19"/>
    <w:lvlOverride w:ilvl="0">
      <w:startOverride w:val="1"/>
    </w:lvlOverride>
  </w:num>
  <w:num w:numId="23">
    <w:abstractNumId w:val="46"/>
  </w:num>
  <w:num w:numId="24">
    <w:abstractNumId w:val="28"/>
  </w:num>
  <w:num w:numId="25">
    <w:abstractNumId w:val="23"/>
  </w:num>
  <w:num w:numId="26">
    <w:abstractNumId w:val="32"/>
  </w:num>
  <w:num w:numId="27">
    <w:abstractNumId w:val="42"/>
  </w:num>
  <w:num w:numId="28">
    <w:abstractNumId w:val="16"/>
  </w:num>
  <w:num w:numId="29">
    <w:abstractNumId w:val="12"/>
  </w:num>
  <w:num w:numId="30">
    <w:abstractNumId w:val="51"/>
  </w:num>
  <w:num w:numId="31">
    <w:abstractNumId w:val="48"/>
  </w:num>
  <w:num w:numId="32">
    <w:abstractNumId w:val="38"/>
  </w:num>
  <w:num w:numId="33">
    <w:abstractNumId w:val="50"/>
  </w:num>
  <w:num w:numId="34">
    <w:abstractNumId w:val="27"/>
  </w:num>
  <w:num w:numId="35">
    <w:abstractNumId w:val="44"/>
  </w:num>
  <w:num w:numId="36">
    <w:abstractNumId w:val="26"/>
  </w:num>
  <w:num w:numId="37">
    <w:abstractNumId w:val="20"/>
  </w:num>
  <w:num w:numId="38">
    <w:abstractNumId w:val="15"/>
  </w:num>
  <w:num w:numId="39">
    <w:abstractNumId w:val="21"/>
  </w:num>
  <w:num w:numId="40">
    <w:abstractNumId w:val="22"/>
  </w:num>
  <w:num w:numId="41">
    <w:abstractNumId w:val="14"/>
  </w:num>
  <w:num w:numId="42">
    <w:abstractNumId w:val="29"/>
  </w:num>
  <w:num w:numId="43">
    <w:abstractNumId w:val="54"/>
  </w:num>
  <w:num w:numId="44">
    <w:abstractNumId w:val="47"/>
  </w:num>
  <w:num w:numId="45">
    <w:abstractNumId w:val="37"/>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33"/>
  </w:num>
  <w:num w:numId="49">
    <w:abstractNumId w:val="39"/>
  </w:num>
  <w:num w:numId="50">
    <w:abstractNumId w:val="13"/>
  </w:num>
  <w:num w:numId="51">
    <w:abstractNumId w:val="45"/>
  </w:num>
  <w:num w:numId="52">
    <w:abstractNumId w:val="10"/>
  </w:num>
  <w:num w:numId="53">
    <w:abstractNumId w:val="36"/>
  </w:num>
  <w:num w:numId="54">
    <w:abstractNumId w:val="43"/>
  </w:num>
  <w:num w:numId="55">
    <w:abstractNumId w:val="53"/>
  </w:num>
  <w:num w:numId="56">
    <w:abstractNumId w:val="17"/>
  </w:num>
  <w:num w:numId="57">
    <w:abstractNumId w:val="55"/>
  </w:num>
  <w:num w:numId="58">
    <w:abstractNumId w:val="8"/>
  </w:num>
  <w:num w:numId="59">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2049">
      <o:colormru v:ext="edit" colors="red,#4d4d4f"/>
      <o:colormenu v:ext="edit" fillcolor="black"/>
    </o:shapedefaults>
    <o:shapelayout v:ext="edit">
      <o:regrouptable v:ext="edit">
        <o:entry new="1" old="0"/>
        <o:entry new="2" old="0"/>
        <o:entry new="3" old="0"/>
        <o:entry new="4"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EA"/>
    <w:rsid w:val="00010667"/>
    <w:rsid w:val="00015AE7"/>
    <w:rsid w:val="00016E21"/>
    <w:rsid w:val="0001719C"/>
    <w:rsid w:val="00026F91"/>
    <w:rsid w:val="000459EA"/>
    <w:rsid w:val="000475A5"/>
    <w:rsid w:val="0005045A"/>
    <w:rsid w:val="00051C1E"/>
    <w:rsid w:val="000539F9"/>
    <w:rsid w:val="00054C27"/>
    <w:rsid w:val="00055EC3"/>
    <w:rsid w:val="000563CE"/>
    <w:rsid w:val="000659B6"/>
    <w:rsid w:val="000660D1"/>
    <w:rsid w:val="00070110"/>
    <w:rsid w:val="00075B96"/>
    <w:rsid w:val="0008196A"/>
    <w:rsid w:val="000915ED"/>
    <w:rsid w:val="0009209D"/>
    <w:rsid w:val="00094042"/>
    <w:rsid w:val="0009419D"/>
    <w:rsid w:val="000969BD"/>
    <w:rsid w:val="000969BF"/>
    <w:rsid w:val="000A0C22"/>
    <w:rsid w:val="000A2944"/>
    <w:rsid w:val="000A3C43"/>
    <w:rsid w:val="000A4A51"/>
    <w:rsid w:val="000A5D2B"/>
    <w:rsid w:val="000B5DE3"/>
    <w:rsid w:val="000C230C"/>
    <w:rsid w:val="000D71D9"/>
    <w:rsid w:val="000D76E0"/>
    <w:rsid w:val="000D7E8B"/>
    <w:rsid w:val="000E4449"/>
    <w:rsid w:val="000E6097"/>
    <w:rsid w:val="00111FCE"/>
    <w:rsid w:val="0012489B"/>
    <w:rsid w:val="00130017"/>
    <w:rsid w:val="00130F91"/>
    <w:rsid w:val="00137424"/>
    <w:rsid w:val="00141AD9"/>
    <w:rsid w:val="00152903"/>
    <w:rsid w:val="0015614F"/>
    <w:rsid w:val="001577C2"/>
    <w:rsid w:val="001633C4"/>
    <w:rsid w:val="00171591"/>
    <w:rsid w:val="00173981"/>
    <w:rsid w:val="0017719D"/>
    <w:rsid w:val="001875B7"/>
    <w:rsid w:val="00187CB3"/>
    <w:rsid w:val="001976E3"/>
    <w:rsid w:val="001B58AA"/>
    <w:rsid w:val="001B7E48"/>
    <w:rsid w:val="001C17CE"/>
    <w:rsid w:val="001C36CA"/>
    <w:rsid w:val="001C44D1"/>
    <w:rsid w:val="001C6AEE"/>
    <w:rsid w:val="001C7630"/>
    <w:rsid w:val="001D6D15"/>
    <w:rsid w:val="001F0D8C"/>
    <w:rsid w:val="001F7558"/>
    <w:rsid w:val="00205B57"/>
    <w:rsid w:val="002157E0"/>
    <w:rsid w:val="0022334F"/>
    <w:rsid w:val="00224D7E"/>
    <w:rsid w:val="00226819"/>
    <w:rsid w:val="00233101"/>
    <w:rsid w:val="00233817"/>
    <w:rsid w:val="002367FF"/>
    <w:rsid w:val="00240CE9"/>
    <w:rsid w:val="00246089"/>
    <w:rsid w:val="00246702"/>
    <w:rsid w:val="00247C59"/>
    <w:rsid w:val="00247F2E"/>
    <w:rsid w:val="00250ADC"/>
    <w:rsid w:val="00257553"/>
    <w:rsid w:val="00262128"/>
    <w:rsid w:val="0027165D"/>
    <w:rsid w:val="00273CEB"/>
    <w:rsid w:val="002770AC"/>
    <w:rsid w:val="00281C89"/>
    <w:rsid w:val="0028282F"/>
    <w:rsid w:val="00297FC5"/>
    <w:rsid w:val="002A0417"/>
    <w:rsid w:val="002A16D8"/>
    <w:rsid w:val="002A1BC8"/>
    <w:rsid w:val="002A3EF2"/>
    <w:rsid w:val="002B0DED"/>
    <w:rsid w:val="002B19A2"/>
    <w:rsid w:val="002B381A"/>
    <w:rsid w:val="002B4FCC"/>
    <w:rsid w:val="002B7408"/>
    <w:rsid w:val="002B7CFD"/>
    <w:rsid w:val="002D3600"/>
    <w:rsid w:val="002E4DDC"/>
    <w:rsid w:val="00302480"/>
    <w:rsid w:val="003165E6"/>
    <w:rsid w:val="003233ED"/>
    <w:rsid w:val="00324D9F"/>
    <w:rsid w:val="00327948"/>
    <w:rsid w:val="0033000F"/>
    <w:rsid w:val="00332011"/>
    <w:rsid w:val="00332518"/>
    <w:rsid w:val="003332ED"/>
    <w:rsid w:val="003368DC"/>
    <w:rsid w:val="00345927"/>
    <w:rsid w:val="00350584"/>
    <w:rsid w:val="00351857"/>
    <w:rsid w:val="003610E1"/>
    <w:rsid w:val="003617A8"/>
    <w:rsid w:val="003671BE"/>
    <w:rsid w:val="00372485"/>
    <w:rsid w:val="00373200"/>
    <w:rsid w:val="00375EF5"/>
    <w:rsid w:val="003767A5"/>
    <w:rsid w:val="0038187A"/>
    <w:rsid w:val="00385254"/>
    <w:rsid w:val="003A1B6D"/>
    <w:rsid w:val="003A5F5B"/>
    <w:rsid w:val="003A789A"/>
    <w:rsid w:val="003C6230"/>
    <w:rsid w:val="003C77E0"/>
    <w:rsid w:val="003D17D7"/>
    <w:rsid w:val="003D2678"/>
    <w:rsid w:val="003D71A3"/>
    <w:rsid w:val="003F16F6"/>
    <w:rsid w:val="003F4DC7"/>
    <w:rsid w:val="003F5235"/>
    <w:rsid w:val="004003F2"/>
    <w:rsid w:val="004027E4"/>
    <w:rsid w:val="0041071D"/>
    <w:rsid w:val="00414AFC"/>
    <w:rsid w:val="004151A7"/>
    <w:rsid w:val="00415310"/>
    <w:rsid w:val="00421709"/>
    <w:rsid w:val="00423763"/>
    <w:rsid w:val="0042762F"/>
    <w:rsid w:val="00427DC7"/>
    <w:rsid w:val="00431613"/>
    <w:rsid w:val="0043297A"/>
    <w:rsid w:val="00432EB2"/>
    <w:rsid w:val="0043548E"/>
    <w:rsid w:val="0043714F"/>
    <w:rsid w:val="004438B5"/>
    <w:rsid w:val="00454596"/>
    <w:rsid w:val="0045605D"/>
    <w:rsid w:val="00481695"/>
    <w:rsid w:val="00495A96"/>
    <w:rsid w:val="004A56BB"/>
    <w:rsid w:val="004B1751"/>
    <w:rsid w:val="004C0253"/>
    <w:rsid w:val="004D27C2"/>
    <w:rsid w:val="004D56FF"/>
    <w:rsid w:val="004E39D3"/>
    <w:rsid w:val="004E508A"/>
    <w:rsid w:val="004E616D"/>
    <w:rsid w:val="004F1BDE"/>
    <w:rsid w:val="004F7F44"/>
    <w:rsid w:val="005037B4"/>
    <w:rsid w:val="005079BF"/>
    <w:rsid w:val="00521770"/>
    <w:rsid w:val="00531B9A"/>
    <w:rsid w:val="00531D15"/>
    <w:rsid w:val="00542377"/>
    <w:rsid w:val="00551EC3"/>
    <w:rsid w:val="00563EF1"/>
    <w:rsid w:val="00566AB4"/>
    <w:rsid w:val="00575AC5"/>
    <w:rsid w:val="0057605D"/>
    <w:rsid w:val="00581347"/>
    <w:rsid w:val="005849F8"/>
    <w:rsid w:val="005938DF"/>
    <w:rsid w:val="005A099B"/>
    <w:rsid w:val="005A1AF4"/>
    <w:rsid w:val="005A2D9C"/>
    <w:rsid w:val="005A6A11"/>
    <w:rsid w:val="005D0BC8"/>
    <w:rsid w:val="005D2502"/>
    <w:rsid w:val="005D49BF"/>
    <w:rsid w:val="005D6F4E"/>
    <w:rsid w:val="005E3ACD"/>
    <w:rsid w:val="005E7A57"/>
    <w:rsid w:val="005F24B0"/>
    <w:rsid w:val="006052CF"/>
    <w:rsid w:val="00607B8D"/>
    <w:rsid w:val="00611F5C"/>
    <w:rsid w:val="00616E09"/>
    <w:rsid w:val="0062396C"/>
    <w:rsid w:val="00627D4E"/>
    <w:rsid w:val="00633715"/>
    <w:rsid w:val="00634478"/>
    <w:rsid w:val="00644373"/>
    <w:rsid w:val="00645915"/>
    <w:rsid w:val="006519C3"/>
    <w:rsid w:val="00652B30"/>
    <w:rsid w:val="00656345"/>
    <w:rsid w:val="00656DC6"/>
    <w:rsid w:val="00664110"/>
    <w:rsid w:val="00664D17"/>
    <w:rsid w:val="00666520"/>
    <w:rsid w:val="00667C5B"/>
    <w:rsid w:val="00692CDE"/>
    <w:rsid w:val="00693073"/>
    <w:rsid w:val="006977FF"/>
    <w:rsid w:val="006A01FA"/>
    <w:rsid w:val="006A0E9E"/>
    <w:rsid w:val="006A25C7"/>
    <w:rsid w:val="006A4AAD"/>
    <w:rsid w:val="006A6DA2"/>
    <w:rsid w:val="006A7AB2"/>
    <w:rsid w:val="006B3422"/>
    <w:rsid w:val="006B5717"/>
    <w:rsid w:val="006C0CEB"/>
    <w:rsid w:val="006C3B1E"/>
    <w:rsid w:val="006C47FD"/>
    <w:rsid w:val="006D27CB"/>
    <w:rsid w:val="006D2F08"/>
    <w:rsid w:val="006E4B1B"/>
    <w:rsid w:val="006E5445"/>
    <w:rsid w:val="006E7D93"/>
    <w:rsid w:val="007029A3"/>
    <w:rsid w:val="00705A4A"/>
    <w:rsid w:val="00706E4E"/>
    <w:rsid w:val="0070791C"/>
    <w:rsid w:val="0071383C"/>
    <w:rsid w:val="007141A7"/>
    <w:rsid w:val="00721B55"/>
    <w:rsid w:val="00726CE4"/>
    <w:rsid w:val="00734143"/>
    <w:rsid w:val="00735DEE"/>
    <w:rsid w:val="0074007F"/>
    <w:rsid w:val="00740EAC"/>
    <w:rsid w:val="00744956"/>
    <w:rsid w:val="00745A5C"/>
    <w:rsid w:val="0074605F"/>
    <w:rsid w:val="00747E94"/>
    <w:rsid w:val="00766749"/>
    <w:rsid w:val="00767C1B"/>
    <w:rsid w:val="007714A9"/>
    <w:rsid w:val="00774F88"/>
    <w:rsid w:val="00777BA2"/>
    <w:rsid w:val="00781408"/>
    <w:rsid w:val="00784F7F"/>
    <w:rsid w:val="00786D63"/>
    <w:rsid w:val="00796F25"/>
    <w:rsid w:val="007A2E98"/>
    <w:rsid w:val="007A38FB"/>
    <w:rsid w:val="007A3BA3"/>
    <w:rsid w:val="007B1499"/>
    <w:rsid w:val="007B1BBF"/>
    <w:rsid w:val="007B2960"/>
    <w:rsid w:val="007B355D"/>
    <w:rsid w:val="007B7980"/>
    <w:rsid w:val="007C5D5A"/>
    <w:rsid w:val="007C607F"/>
    <w:rsid w:val="007C79DD"/>
    <w:rsid w:val="007D032D"/>
    <w:rsid w:val="007D1A97"/>
    <w:rsid w:val="007D2CD6"/>
    <w:rsid w:val="007D3063"/>
    <w:rsid w:val="007E7683"/>
    <w:rsid w:val="007F0933"/>
    <w:rsid w:val="007F49FA"/>
    <w:rsid w:val="007F6E9A"/>
    <w:rsid w:val="008044D4"/>
    <w:rsid w:val="00810AB4"/>
    <w:rsid w:val="00814B84"/>
    <w:rsid w:val="00817B56"/>
    <w:rsid w:val="00821A88"/>
    <w:rsid w:val="0082495D"/>
    <w:rsid w:val="008335E3"/>
    <w:rsid w:val="0084695A"/>
    <w:rsid w:val="00856EDC"/>
    <w:rsid w:val="008623B5"/>
    <w:rsid w:val="00870ABA"/>
    <w:rsid w:val="008710E1"/>
    <w:rsid w:val="00883628"/>
    <w:rsid w:val="00885544"/>
    <w:rsid w:val="0088634E"/>
    <w:rsid w:val="00893AB8"/>
    <w:rsid w:val="008A04C8"/>
    <w:rsid w:val="008A2263"/>
    <w:rsid w:val="008A6913"/>
    <w:rsid w:val="008B4FED"/>
    <w:rsid w:val="008B70F3"/>
    <w:rsid w:val="008B76DF"/>
    <w:rsid w:val="008D2749"/>
    <w:rsid w:val="008E4767"/>
    <w:rsid w:val="00903285"/>
    <w:rsid w:val="00906F40"/>
    <w:rsid w:val="0090731E"/>
    <w:rsid w:val="00915B1C"/>
    <w:rsid w:val="009174F3"/>
    <w:rsid w:val="0091797D"/>
    <w:rsid w:val="00923CBA"/>
    <w:rsid w:val="00926703"/>
    <w:rsid w:val="00927691"/>
    <w:rsid w:val="00927A5F"/>
    <w:rsid w:val="00941FB0"/>
    <w:rsid w:val="009426D4"/>
    <w:rsid w:val="00947F25"/>
    <w:rsid w:val="0095490B"/>
    <w:rsid w:val="00974363"/>
    <w:rsid w:val="0099577C"/>
    <w:rsid w:val="009B4E9E"/>
    <w:rsid w:val="009C1690"/>
    <w:rsid w:val="009C6881"/>
    <w:rsid w:val="009C7759"/>
    <w:rsid w:val="009D6C71"/>
    <w:rsid w:val="009E0631"/>
    <w:rsid w:val="009E16D0"/>
    <w:rsid w:val="009E38FD"/>
    <w:rsid w:val="009F13D6"/>
    <w:rsid w:val="009F4C6B"/>
    <w:rsid w:val="009F7040"/>
    <w:rsid w:val="009F78A8"/>
    <w:rsid w:val="00A07096"/>
    <w:rsid w:val="00A07318"/>
    <w:rsid w:val="00A11370"/>
    <w:rsid w:val="00A224CE"/>
    <w:rsid w:val="00A22522"/>
    <w:rsid w:val="00A24F5C"/>
    <w:rsid w:val="00A40871"/>
    <w:rsid w:val="00A440E0"/>
    <w:rsid w:val="00A70ADF"/>
    <w:rsid w:val="00A71466"/>
    <w:rsid w:val="00A74B5E"/>
    <w:rsid w:val="00A81BED"/>
    <w:rsid w:val="00A81EC4"/>
    <w:rsid w:val="00A84CBD"/>
    <w:rsid w:val="00A967FD"/>
    <w:rsid w:val="00AB156C"/>
    <w:rsid w:val="00AD3082"/>
    <w:rsid w:val="00AD4AD0"/>
    <w:rsid w:val="00AD60CD"/>
    <w:rsid w:val="00AD6C8C"/>
    <w:rsid w:val="00AE091D"/>
    <w:rsid w:val="00AE53A1"/>
    <w:rsid w:val="00AF2484"/>
    <w:rsid w:val="00AF63E7"/>
    <w:rsid w:val="00B0165D"/>
    <w:rsid w:val="00B031F3"/>
    <w:rsid w:val="00B052A4"/>
    <w:rsid w:val="00B125DE"/>
    <w:rsid w:val="00B13FDD"/>
    <w:rsid w:val="00B22EB2"/>
    <w:rsid w:val="00B27442"/>
    <w:rsid w:val="00B31167"/>
    <w:rsid w:val="00B329D8"/>
    <w:rsid w:val="00B32BB9"/>
    <w:rsid w:val="00B33AE1"/>
    <w:rsid w:val="00B37C38"/>
    <w:rsid w:val="00B4288C"/>
    <w:rsid w:val="00B44100"/>
    <w:rsid w:val="00B46CBA"/>
    <w:rsid w:val="00B46F94"/>
    <w:rsid w:val="00B55A98"/>
    <w:rsid w:val="00B61F03"/>
    <w:rsid w:val="00B626E4"/>
    <w:rsid w:val="00B72F4A"/>
    <w:rsid w:val="00B83C27"/>
    <w:rsid w:val="00B84BC3"/>
    <w:rsid w:val="00B84BDD"/>
    <w:rsid w:val="00B92812"/>
    <w:rsid w:val="00BB7686"/>
    <w:rsid w:val="00BC23F9"/>
    <w:rsid w:val="00BC3421"/>
    <w:rsid w:val="00BC732C"/>
    <w:rsid w:val="00BE2580"/>
    <w:rsid w:val="00BE266D"/>
    <w:rsid w:val="00BE4C11"/>
    <w:rsid w:val="00BE71C0"/>
    <w:rsid w:val="00BE7209"/>
    <w:rsid w:val="00C0060B"/>
    <w:rsid w:val="00C0277D"/>
    <w:rsid w:val="00C24A53"/>
    <w:rsid w:val="00C32F1F"/>
    <w:rsid w:val="00C45155"/>
    <w:rsid w:val="00C5498F"/>
    <w:rsid w:val="00C611F6"/>
    <w:rsid w:val="00C64CD0"/>
    <w:rsid w:val="00C6684F"/>
    <w:rsid w:val="00C70E70"/>
    <w:rsid w:val="00C75E81"/>
    <w:rsid w:val="00C75F8D"/>
    <w:rsid w:val="00C97736"/>
    <w:rsid w:val="00CB1E82"/>
    <w:rsid w:val="00CB4BA8"/>
    <w:rsid w:val="00CB52D7"/>
    <w:rsid w:val="00CC3F4B"/>
    <w:rsid w:val="00CC6732"/>
    <w:rsid w:val="00CD22C9"/>
    <w:rsid w:val="00CE51A8"/>
    <w:rsid w:val="00CF369B"/>
    <w:rsid w:val="00D15810"/>
    <w:rsid w:val="00D16D4E"/>
    <w:rsid w:val="00D27F41"/>
    <w:rsid w:val="00D36441"/>
    <w:rsid w:val="00D4064E"/>
    <w:rsid w:val="00D40FDE"/>
    <w:rsid w:val="00D44E9B"/>
    <w:rsid w:val="00D50DB9"/>
    <w:rsid w:val="00D52C43"/>
    <w:rsid w:val="00D6507F"/>
    <w:rsid w:val="00D71FD2"/>
    <w:rsid w:val="00D85226"/>
    <w:rsid w:val="00D87B94"/>
    <w:rsid w:val="00D92D49"/>
    <w:rsid w:val="00DA4E41"/>
    <w:rsid w:val="00DB117A"/>
    <w:rsid w:val="00DB5173"/>
    <w:rsid w:val="00DB7873"/>
    <w:rsid w:val="00DC187B"/>
    <w:rsid w:val="00DD63EC"/>
    <w:rsid w:val="00DD73C2"/>
    <w:rsid w:val="00DE319B"/>
    <w:rsid w:val="00DF34FE"/>
    <w:rsid w:val="00DF78E7"/>
    <w:rsid w:val="00E0353B"/>
    <w:rsid w:val="00E110E0"/>
    <w:rsid w:val="00E15371"/>
    <w:rsid w:val="00E24104"/>
    <w:rsid w:val="00E41ECB"/>
    <w:rsid w:val="00E4568B"/>
    <w:rsid w:val="00E54FDB"/>
    <w:rsid w:val="00E563D7"/>
    <w:rsid w:val="00E663F4"/>
    <w:rsid w:val="00E666F2"/>
    <w:rsid w:val="00E66DD4"/>
    <w:rsid w:val="00E748CC"/>
    <w:rsid w:val="00E75415"/>
    <w:rsid w:val="00E93629"/>
    <w:rsid w:val="00E94CEC"/>
    <w:rsid w:val="00EA04EF"/>
    <w:rsid w:val="00EA6F19"/>
    <w:rsid w:val="00EB7090"/>
    <w:rsid w:val="00EC5CD7"/>
    <w:rsid w:val="00EE5FB3"/>
    <w:rsid w:val="00EE7F79"/>
    <w:rsid w:val="00F179D4"/>
    <w:rsid w:val="00F33C56"/>
    <w:rsid w:val="00F33E90"/>
    <w:rsid w:val="00F347C7"/>
    <w:rsid w:val="00F34848"/>
    <w:rsid w:val="00F42D46"/>
    <w:rsid w:val="00F4496C"/>
    <w:rsid w:val="00F56668"/>
    <w:rsid w:val="00F60F00"/>
    <w:rsid w:val="00F614C0"/>
    <w:rsid w:val="00F7198B"/>
    <w:rsid w:val="00F74ED0"/>
    <w:rsid w:val="00F83848"/>
    <w:rsid w:val="00F9021A"/>
    <w:rsid w:val="00FA1B7D"/>
    <w:rsid w:val="00FB19B2"/>
    <w:rsid w:val="00FC4E21"/>
    <w:rsid w:val="00FC5F6D"/>
    <w:rsid w:val="00FD2C2F"/>
    <w:rsid w:val="00FD3B31"/>
    <w:rsid w:val="00FE1823"/>
    <w:rsid w:val="00FE487A"/>
    <w:rsid w:val="00FF0569"/>
    <w:rsid w:val="00FF3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red,#4d4d4f"/>
      <o:colormenu v:ext="edit" fillcolor="black"/>
    </o:shapedefaults>
    <o:shapelayout v:ext="edit">
      <o:idmap v:ext="edit" data="1"/>
    </o:shapelayout>
  </w:shapeDefaults>
  <w:decimalSymbol w:val="."/>
  <w:listSeparator w:val=","/>
  <w15:docId w15:val="{712D512D-8FEF-43AA-B810-3DA5DAE2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5D"/>
    <w:pPr>
      <w:spacing w:line="240" w:lineRule="atLeast"/>
    </w:pPr>
    <w:rPr>
      <w:rFonts w:ascii="Arial" w:hAnsi="Arial"/>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A07096"/>
    <w:pPr>
      <w:keepNext/>
      <w:spacing w:before="60" w:after="60"/>
      <w:outlineLvl w:val="1"/>
    </w:pPr>
    <w:rPr>
      <w:rFonts w:cs="Arial"/>
      <w:b/>
      <w:bCs/>
      <w:iCs/>
      <w:sz w:val="28"/>
      <w:szCs w:val="28"/>
    </w:rPr>
  </w:style>
  <w:style w:type="paragraph" w:styleId="Heading3">
    <w:name w:val="heading 3"/>
    <w:basedOn w:val="Normal"/>
    <w:next w:val="Normal"/>
    <w:qFormat/>
    <w:rsid w:val="00A07096"/>
    <w:pPr>
      <w:keepNext/>
      <w:spacing w:before="60" w:after="60"/>
      <w:outlineLvl w:val="2"/>
    </w:pPr>
    <w:rPr>
      <w:rFonts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character" w:customStyle="1" w:styleId="HeaderChar">
    <w:name w:val="Header Char"/>
    <w:basedOn w:val="DefaultParagraphFont"/>
    <w:link w:val="Header"/>
    <w:rsid w:val="00D71FD2"/>
    <w:rPr>
      <w:rFonts w:ascii="Arial" w:hAnsi="Arial"/>
      <w:sz w:val="16"/>
      <w:szCs w:val="24"/>
    </w:rPr>
  </w:style>
  <w:style w:type="paragraph" w:styleId="Footer">
    <w:name w:val="footer"/>
    <w:basedOn w:val="Normal"/>
    <w:semiHidden/>
    <w:rsid w:val="0070791C"/>
    <w:pPr>
      <w:tabs>
        <w:tab w:val="center" w:pos="4153"/>
        <w:tab w:val="right" w:pos="8306"/>
      </w:tabs>
      <w:spacing w:line="240" w:lineRule="auto"/>
    </w:pPr>
    <w:rPr>
      <w:sz w:val="16"/>
    </w:rPr>
  </w:style>
  <w:style w:type="paragraph" w:customStyle="1" w:styleId="ReportTitle">
    <w:name w:val="Report Title"/>
    <w:basedOn w:val="Normal"/>
    <w:rsid w:val="00A07096"/>
    <w:pPr>
      <w:spacing w:line="560" w:lineRule="exact"/>
    </w:pPr>
    <w:rPr>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A07096"/>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uiPriority w:val="39"/>
    <w:qFormat/>
    <w:rsid w:val="00A07096"/>
    <w:pPr>
      <w:spacing w:line="240" w:lineRule="auto"/>
    </w:pPr>
    <w:rPr>
      <w:b/>
      <w:color w:val="4D4D4F"/>
      <w:spacing w:val="-28"/>
      <w:sz w:val="53"/>
    </w:rPr>
  </w:style>
  <w:style w:type="paragraph" w:styleId="Caption">
    <w:name w:val="caption"/>
    <w:basedOn w:val="Normal"/>
    <w:next w:val="Normal"/>
    <w:qFormat/>
    <w:rsid w:val="0027165D"/>
    <w:rPr>
      <w:b/>
      <w:bCs/>
      <w:color w:val="808285"/>
      <w:szCs w:val="20"/>
    </w:rPr>
  </w:style>
  <w:style w:type="paragraph" w:customStyle="1" w:styleId="Bodysubheader">
    <w:name w:val="Body sub header"/>
    <w:basedOn w:val="Normal"/>
    <w:next w:val="Normal"/>
    <w:rsid w:val="0027165D"/>
    <w:rPr>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CC3F4B"/>
    <w:pPr>
      <w:numPr>
        <w:numId w:val="6"/>
      </w:numPr>
      <w:spacing w:after="80"/>
    </w:pPr>
  </w:style>
  <w:style w:type="paragraph" w:styleId="ListNumber2">
    <w:name w:val="List Number 2"/>
    <w:basedOn w:val="Normal"/>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A07096"/>
    <w:pPr>
      <w:spacing w:after="1440" w:line="550" w:lineRule="exact"/>
    </w:pPr>
    <w:rPr>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rsid w:val="00FF3C69"/>
    <w:pPr>
      <w:tabs>
        <w:tab w:val="right" w:pos="7660"/>
      </w:tabs>
      <w:spacing w:before="280" w:line="320" w:lineRule="exact"/>
      <w:ind w:right="851"/>
    </w:pPr>
    <w:rPr>
      <w:b/>
      <w:noProof/>
      <w:color w:val="808285"/>
      <w:spacing w:val="-14"/>
      <w:sz w:val="28"/>
    </w:rPr>
  </w:style>
  <w:style w:type="paragraph" w:styleId="TOC2">
    <w:name w:val="toc 2"/>
    <w:basedOn w:val="Normal"/>
    <w:next w:val="Normal"/>
    <w:uiPriority w:val="39"/>
    <w:rsid w:val="00FF3C69"/>
    <w:pPr>
      <w:tabs>
        <w:tab w:val="right" w:pos="7660"/>
      </w:tabs>
      <w:spacing w:line="300" w:lineRule="exact"/>
      <w:ind w:left="885" w:hanging="885"/>
    </w:pPr>
    <w:rPr>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rsid w:val="00C70E70"/>
    <w:pPr>
      <w:tabs>
        <w:tab w:val="right" w:pos="7661"/>
      </w:tabs>
      <w:spacing w:line="240" w:lineRule="auto"/>
    </w:pPr>
    <w:rPr>
      <w:noProof/>
      <w:color w:val="808285"/>
      <w:sz w:val="22"/>
      <w:szCs w:val="22"/>
    </w:rPr>
  </w:style>
  <w:style w:type="character" w:styleId="Hyperlink">
    <w:name w:val="Hyperlink"/>
    <w:basedOn w:val="DefaultParagraphFont"/>
    <w:uiPriority w:val="99"/>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566AB4"/>
    <w:rPr>
      <w:sz w:val="16"/>
      <w:szCs w:val="16"/>
    </w:rPr>
  </w:style>
  <w:style w:type="character" w:customStyle="1" w:styleId="FootnoteTextChar">
    <w:name w:val="Footnote Text Char"/>
    <w:aliases w:val="ACMA Footnote Text Char,ABA Footnote Text Char"/>
    <w:basedOn w:val="DefaultParagraphFont"/>
    <w:link w:val="FootnoteText"/>
    <w:rsid w:val="00D71FD2"/>
    <w:rPr>
      <w:rFonts w:ascii="Arial" w:hAnsi="Arial"/>
      <w:sz w:val="16"/>
      <w:szCs w:val="16"/>
    </w:rPr>
  </w:style>
  <w:style w:type="paragraph" w:customStyle="1" w:styleId="TableBody">
    <w:name w:val="Table Body"/>
    <w:basedOn w:val="Normal"/>
    <w:rsid w:val="00D44E9B"/>
    <w:pPr>
      <w:spacing w:line="240" w:lineRule="auto"/>
    </w:pPr>
  </w:style>
  <w:style w:type="paragraph" w:styleId="TOC9">
    <w:name w:val="toc 9"/>
    <w:aliases w:val="TOC ExecSumm"/>
    <w:basedOn w:val="Normal"/>
    <w:next w:val="Normal"/>
    <w:rsid w:val="009174F3"/>
    <w:pPr>
      <w:tabs>
        <w:tab w:val="right" w:pos="7660"/>
      </w:tabs>
      <w:spacing w:before="280" w:line="320" w:lineRule="exact"/>
    </w:pPr>
    <w:rPr>
      <w:b/>
      <w:noProof/>
      <w:color w:val="808285"/>
      <w:sz w:val="28"/>
      <w:szCs w:val="28"/>
    </w:rPr>
  </w:style>
  <w:style w:type="paragraph" w:customStyle="1" w:styleId="ChapterHeading">
    <w:name w:val="Chapter Heading"/>
    <w:basedOn w:val="Normal"/>
    <w:rsid w:val="00DF34FE"/>
    <w:pPr>
      <w:spacing w:line="560" w:lineRule="exact"/>
    </w:pPr>
    <w:rPr>
      <w:color w:val="808285"/>
      <w:spacing w:val="-28"/>
      <w:sz w:val="53"/>
    </w:rPr>
  </w:style>
  <w:style w:type="character" w:customStyle="1" w:styleId="apple-style-span">
    <w:name w:val="apple-style-span"/>
    <w:basedOn w:val="DefaultParagraphFont"/>
    <w:rsid w:val="00EE7F79"/>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BodyText">
    <w:name w:val="ACMA Body Text"/>
    <w:link w:val="ACMABodyTextChar"/>
    <w:rsid w:val="00D71FD2"/>
    <w:pPr>
      <w:suppressAutoHyphens/>
      <w:spacing w:before="80" w:after="120" w:line="280" w:lineRule="atLeast"/>
    </w:pPr>
    <w:rPr>
      <w:rFonts w:ascii="Arial" w:hAnsi="Arial"/>
      <w:sz w:val="24"/>
      <w:szCs w:val="24"/>
      <w:lang w:eastAsia="en-US"/>
    </w:rPr>
  </w:style>
  <w:style w:type="character" w:customStyle="1" w:styleId="ACMABodyTextChar">
    <w:name w:val="ACMA Body Text Char"/>
    <w:basedOn w:val="DefaultParagraphFont"/>
    <w:link w:val="ACMABodyText"/>
    <w:locked/>
    <w:rsid w:val="00D71FD2"/>
    <w:rPr>
      <w:rFonts w:ascii="Arial" w:hAnsi="Arial"/>
      <w:sz w:val="24"/>
      <w:szCs w:val="24"/>
      <w:lang w:eastAsia="en-US"/>
    </w:rPr>
  </w:style>
  <w:style w:type="paragraph" w:customStyle="1" w:styleId="ACMABulletLevel1">
    <w:name w:val="ACMA Bullet Level 1"/>
    <w:uiPriority w:val="99"/>
    <w:rsid w:val="00D71FD2"/>
    <w:pPr>
      <w:numPr>
        <w:numId w:val="20"/>
      </w:numPr>
      <w:spacing w:after="120"/>
    </w:pPr>
    <w:rPr>
      <w:rFonts w:ascii="Arial" w:hAnsi="Arial"/>
      <w:sz w:val="24"/>
      <w:szCs w:val="24"/>
      <w:lang w:eastAsia="en-US"/>
    </w:rPr>
  </w:style>
  <w:style w:type="paragraph" w:customStyle="1" w:styleId="ACMAHeading2">
    <w:name w:val="ACMA Heading 2"/>
    <w:next w:val="ACMABodyText"/>
    <w:uiPriority w:val="99"/>
    <w:rsid w:val="00D71FD2"/>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D71FD2"/>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D71FD2"/>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D71FD2"/>
    <w:pPr>
      <w:spacing w:line="240" w:lineRule="auto"/>
    </w:pPr>
    <w:rPr>
      <w:i/>
      <w:iCs/>
      <w:color w:val="999999"/>
      <w:lang w:eastAsia="en-US"/>
    </w:rPr>
  </w:style>
  <w:style w:type="character" w:customStyle="1" w:styleId="BodyTextChar">
    <w:name w:val="Body Text Char"/>
    <w:basedOn w:val="DefaultParagraphFont"/>
    <w:link w:val="BodyText"/>
    <w:uiPriority w:val="99"/>
    <w:rsid w:val="00D71FD2"/>
    <w:rPr>
      <w:rFonts w:ascii="Arial" w:hAnsi="Arial"/>
      <w:i/>
      <w:iCs/>
      <w:color w:val="999999"/>
      <w:szCs w:val="24"/>
      <w:lang w:eastAsia="en-US"/>
    </w:rPr>
  </w:style>
  <w:style w:type="paragraph" w:customStyle="1" w:styleId="LegislationLvl1">
    <w:name w:val="Legislation Lvl 1"/>
    <w:uiPriority w:val="99"/>
    <w:rsid w:val="00D71FD2"/>
    <w:pPr>
      <w:numPr>
        <w:numId w:val="22"/>
      </w:numPr>
      <w:tabs>
        <w:tab w:val="num" w:pos="851"/>
      </w:tabs>
      <w:ind w:left="850" w:hanging="493"/>
    </w:pPr>
    <w:rPr>
      <w:rFonts w:ascii="Arial" w:hAnsi="Arial"/>
      <w:sz w:val="22"/>
      <w:szCs w:val="22"/>
      <w:lang w:eastAsia="en-US"/>
    </w:rPr>
  </w:style>
  <w:style w:type="paragraph" w:customStyle="1" w:styleId="LegislationLvl2">
    <w:name w:val="Legislation Lvl 2"/>
    <w:uiPriority w:val="99"/>
    <w:rsid w:val="00D71FD2"/>
    <w:pPr>
      <w:numPr>
        <w:ilvl w:val="1"/>
        <w:numId w:val="22"/>
      </w:numPr>
      <w:tabs>
        <w:tab w:val="num" w:pos="1418"/>
      </w:tabs>
      <w:ind w:left="1418" w:hanging="567"/>
    </w:pPr>
    <w:rPr>
      <w:rFonts w:ascii="Arial" w:hAnsi="Arial"/>
      <w:sz w:val="22"/>
      <w:szCs w:val="22"/>
      <w:lang w:eastAsia="en-US"/>
    </w:rPr>
  </w:style>
  <w:style w:type="paragraph" w:customStyle="1" w:styleId="LegislationLvl3">
    <w:name w:val="Legislation Lvl 3"/>
    <w:uiPriority w:val="99"/>
    <w:rsid w:val="00D71FD2"/>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D71FD2"/>
    <w:pPr>
      <w:tabs>
        <w:tab w:val="num" w:pos="2694"/>
        <w:tab w:val="num" w:pos="2796"/>
      </w:tabs>
      <w:ind w:left="2694" w:hanging="426"/>
    </w:pPr>
    <w:rPr>
      <w:rFonts w:ascii="Arial" w:hAnsi="Arial"/>
      <w:sz w:val="22"/>
      <w:szCs w:val="22"/>
      <w:lang w:eastAsia="en-US"/>
    </w:rPr>
  </w:style>
  <w:style w:type="paragraph" w:styleId="ListParagraph">
    <w:name w:val="List Paragraph"/>
    <w:basedOn w:val="Normal"/>
    <w:uiPriority w:val="99"/>
    <w:qFormat/>
    <w:rsid w:val="00D71FD2"/>
    <w:pPr>
      <w:ind w:left="720"/>
      <w:contextualSpacing/>
    </w:pPr>
    <w:rPr>
      <w:rFonts w:ascii="HelveticaNeueLT Std Lt" w:hAnsi="HelveticaNeueLT Std Lt"/>
    </w:rPr>
  </w:style>
  <w:style w:type="paragraph" w:customStyle="1" w:styleId="ExampleText">
    <w:name w:val="Example Text"/>
    <w:basedOn w:val="Normal"/>
    <w:rsid w:val="00D71FD2"/>
    <w:pPr>
      <w:spacing w:after="240" w:line="260" w:lineRule="exact"/>
    </w:pPr>
    <w:rPr>
      <w:rFonts w:ascii="Book Antiqua" w:hAnsi="Book Antiqua"/>
      <w:i/>
      <w:color w:val="FF0000"/>
      <w:lang w:eastAsia="en-US"/>
    </w:rPr>
  </w:style>
  <w:style w:type="paragraph" w:customStyle="1" w:styleId="Default">
    <w:name w:val="Default"/>
    <w:rsid w:val="00D71FD2"/>
    <w:pPr>
      <w:autoSpaceDE w:val="0"/>
      <w:autoSpaceDN w:val="0"/>
      <w:adjustRightInd w:val="0"/>
    </w:pPr>
    <w:rPr>
      <w:rFonts w:ascii="Symbol" w:hAnsi="Symbol" w:cs="Symbol"/>
      <w:color w:val="000000"/>
      <w:sz w:val="24"/>
      <w:szCs w:val="24"/>
    </w:rPr>
  </w:style>
  <w:style w:type="character" w:customStyle="1" w:styleId="EndnoteTextChar">
    <w:name w:val="Endnote Text Char"/>
    <w:basedOn w:val="DefaultParagraphFont"/>
    <w:link w:val="EndnoteText"/>
    <w:semiHidden/>
    <w:rsid w:val="00D71FD2"/>
    <w:rPr>
      <w:rFonts w:ascii="HelveticaNeueLT Std Lt" w:hAnsi="HelveticaNeueLT Std Lt"/>
    </w:rPr>
  </w:style>
  <w:style w:type="paragraph" w:styleId="EndnoteText">
    <w:name w:val="endnote text"/>
    <w:basedOn w:val="Normal"/>
    <w:link w:val="EndnoteTextChar"/>
    <w:semiHidden/>
    <w:rsid w:val="00D71FD2"/>
    <w:pPr>
      <w:spacing w:line="240" w:lineRule="auto"/>
    </w:pPr>
    <w:rPr>
      <w:rFonts w:ascii="HelveticaNeueLT Std Lt" w:hAnsi="HelveticaNeueLT Std Lt"/>
      <w:szCs w:val="20"/>
    </w:rPr>
  </w:style>
  <w:style w:type="paragraph" w:customStyle="1" w:styleId="R1">
    <w:name w:val="R1"/>
    <w:aliases w:val="1. or 1.(1)"/>
    <w:basedOn w:val="Normal"/>
    <w:next w:val="P1"/>
    <w:rsid w:val="00D71FD2"/>
    <w:pPr>
      <w:tabs>
        <w:tab w:val="right" w:pos="1080"/>
        <w:tab w:val="left" w:pos="1260"/>
        <w:tab w:val="left" w:pos="1800"/>
      </w:tabs>
      <w:autoSpaceDE w:val="0"/>
      <w:autoSpaceDN w:val="0"/>
      <w:spacing w:before="120" w:line="240" w:lineRule="auto"/>
      <w:jc w:val="both"/>
    </w:pPr>
    <w:rPr>
      <w:rFonts w:ascii="Times" w:hAnsi="Times" w:cs="Times"/>
      <w:sz w:val="26"/>
      <w:szCs w:val="26"/>
    </w:rPr>
  </w:style>
  <w:style w:type="paragraph" w:customStyle="1" w:styleId="P1">
    <w:name w:val="P1"/>
    <w:aliases w:val="(a)"/>
    <w:basedOn w:val="Normal"/>
    <w:rsid w:val="00D71FD2"/>
    <w:pPr>
      <w:tabs>
        <w:tab w:val="right" w:pos="1080"/>
      </w:tabs>
      <w:autoSpaceDE w:val="0"/>
      <w:autoSpaceDN w:val="0"/>
      <w:spacing w:before="40" w:line="260" w:lineRule="atLeast"/>
      <w:ind w:left="1276" w:hanging="1280"/>
      <w:jc w:val="both"/>
    </w:pPr>
    <w:rPr>
      <w:rFonts w:ascii="Times" w:hAnsi="Times" w:cs="Times"/>
      <w:sz w:val="26"/>
      <w:szCs w:val="26"/>
    </w:rPr>
  </w:style>
  <w:style w:type="paragraph" w:styleId="Revision">
    <w:name w:val="Revision"/>
    <w:hidden/>
    <w:uiPriority w:val="99"/>
    <w:semiHidden/>
    <w:rsid w:val="008B4FE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26" Type="http://schemas.openxmlformats.org/officeDocument/2006/relationships/hyperlink" Target="http://www.accc.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file:///C:\Users\bduhigg\AppData\Roaming\Microsoft\Word\www.finance.gov.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www.acma.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ndinfo@acma.gov.au"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www.budget.gov.au/2013-14/content/bp2/html/bp2_expense-23.htm" TargetMode="External"/><Relationship Id="rId3" Type="http://schemas.openxmlformats.org/officeDocument/2006/relationships/hyperlink" Target="http://www.comlaw.gov.au/Details/C2005B00150/Explanatory%20Memorandum/Text" TargetMode="External"/><Relationship Id="rId7" Type="http://schemas.openxmlformats.org/officeDocument/2006/relationships/hyperlink" Target="http://www.budget.gov.au/2011-12/content/bp2/html/bp2_expense-04.htm" TargetMode="External"/><Relationship Id="rId2" Type="http://schemas.openxmlformats.org/officeDocument/2006/relationships/hyperlink" Target="http://www.austlii.edu.au/au/legis/cth/bill_em/tlcb1996387/memo1.html" TargetMode="External"/><Relationship Id="rId1" Type="http://schemas.openxmlformats.org/officeDocument/2006/relationships/hyperlink" Target="http://www.comlaw.gov.au/Details/F2013L01199" TargetMode="External"/><Relationship Id="rId6" Type="http://schemas.openxmlformats.org/officeDocument/2006/relationships/hyperlink" Target="http://www.budget.gov.au/2010-11/content/bp2/html/bp2_expense-04.htm" TargetMode="External"/><Relationship Id="rId5" Type="http://schemas.openxmlformats.org/officeDocument/2006/relationships/hyperlink" Target="http://www.budget.gov.au/2009-10/content/myefo/html/appendix_a_07.htm" TargetMode="External"/><Relationship Id="rId10" Type="http://schemas.openxmlformats.org/officeDocument/2006/relationships/hyperlink" Target="http://www.acma.gov.au/theACMA/Library/Corporate-library/Corporate-publications/annual-report-2012--13" TargetMode="External"/><Relationship Id="rId4" Type="http://schemas.openxmlformats.org/officeDocument/2006/relationships/hyperlink" Target="http://www.budget.gov.au/2009-10/content/bp2/html/bp2_expense-07.htm" TargetMode="External"/><Relationship Id="rId9" Type="http://schemas.openxmlformats.org/officeDocument/2006/relationships/hyperlink" Target="http://www.comlaw.gov.au/Details/F2013L013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Galle\AppData\Local\Microsoft\Windows\Temporary%20Internet%20Files\Content.Outlook\AR1JZ22M\ACMA%20Report%20Basi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D4435-4977-4602-92CB-FE30B601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 Report Basic</Template>
  <TotalTime>2</TotalTime>
  <Pages>26</Pages>
  <Words>6387</Words>
  <Characters>38580</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Cost Recovery Impact Statement Annual Carrier Licence Charge</vt:lpstr>
    </vt:vector>
  </TitlesOfParts>
  <Company>acma</Company>
  <LinksUpToDate>false</LinksUpToDate>
  <CharactersWithSpaces>44878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Impact Statement Annual Carrier Licence Charge</dc:title>
  <dc:subject>Cost Recovery Impact Statement Annual Carrier Licence Charge</dc:subject>
  <dc:creator>ACMA</dc:creator>
  <cp:keywords>Cost Recovery Impact Statement Annual Carrier Licence Charge</cp:keywords>
  <cp:lastModifiedBy>Jay Jeyalingam</cp:lastModifiedBy>
  <cp:revision>3</cp:revision>
  <cp:lastPrinted>2009-12-13T22:41:00Z</cp:lastPrinted>
  <dcterms:created xsi:type="dcterms:W3CDTF">2014-07-15T06:58:00Z</dcterms:created>
  <dcterms:modified xsi:type="dcterms:W3CDTF">2014-07-16T07:08:00Z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ies>
</file>