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9A39E" w14:textId="77777777" w:rsidR="00F06E14" w:rsidRPr="00A51D1A" w:rsidRDefault="00EA3B0D" w:rsidP="00A51D1A">
      <w:pPr>
        <w:pStyle w:val="ACMAReportTitle"/>
      </w:pPr>
      <w:bookmarkStart w:id="0" w:name="_GoBack"/>
      <w:bookmarkEnd w:id="0"/>
      <w:r w:rsidRPr="008E5FB0">
        <w:rPr>
          <w:rFonts w:cs="Arial"/>
          <w:sz w:val="48"/>
        </w:rPr>
        <w:t>Cost Recovery Implementation Statement</w:t>
      </w:r>
    </w:p>
    <w:p w14:paraId="1FC6BCF7" w14:textId="77777777" w:rsidR="00F06E14" w:rsidRDefault="00EA3B0D" w:rsidP="00EA3B0D">
      <w:pPr>
        <w:pStyle w:val="ACMAReportSubTitle"/>
      </w:pPr>
      <w:r>
        <w:t>Annual Carrier Licence Charge for t</w:t>
      </w:r>
      <w:r w:rsidR="00997A48">
        <w:t>he charging period 1 July 2015</w:t>
      </w:r>
      <w:r w:rsidR="006B519D">
        <w:t xml:space="preserve"> </w:t>
      </w:r>
      <w:r>
        <w:t xml:space="preserve">to </w:t>
      </w:r>
      <w:r w:rsidR="006B519D">
        <w:br/>
      </w:r>
      <w:r w:rsidR="00997A48">
        <w:t>30 June 2016</w:t>
      </w:r>
    </w:p>
    <w:p w14:paraId="264C1E08" w14:textId="33F8DFFA" w:rsidR="00F06E14" w:rsidRDefault="00076712" w:rsidP="00D47AEB">
      <w:pPr>
        <w:pStyle w:val="ACMAReportDate"/>
        <w:spacing w:after="720"/>
      </w:pPr>
      <w:r>
        <w:t>Version 2.0</w:t>
      </w:r>
      <w:r w:rsidR="00B9480B">
        <w:t>—</w:t>
      </w:r>
      <w:r w:rsidR="00FC770E">
        <w:t>MAY</w:t>
      </w:r>
      <w:r w:rsidR="001D5C0F">
        <w:t xml:space="preserve"> 2016</w:t>
      </w:r>
    </w:p>
    <w:p w14:paraId="5128EBA0" w14:textId="77777777" w:rsidR="00C97736" w:rsidRPr="000D76E0" w:rsidRDefault="00C97736" w:rsidP="0041071D">
      <w:pPr>
        <w:rPr>
          <w:rFonts w:cs="Arial"/>
        </w:rPr>
      </w:pPr>
    </w:p>
    <w:p w14:paraId="29E44759" w14:textId="77777777" w:rsidR="00C97736" w:rsidRPr="000D76E0" w:rsidRDefault="00C97736" w:rsidP="0041071D">
      <w:pPr>
        <w:rPr>
          <w:rFonts w:cs="Arial"/>
        </w:rPr>
        <w:sectPr w:rsidR="00C97736" w:rsidRPr="000D76E0" w:rsidSect="004F556E">
          <w:headerReference w:type="default" r:id="rId7"/>
          <w:footerReference w:type="default" r:id="rId8"/>
          <w:headerReference w:type="first" r:id="rId9"/>
          <w:pgSz w:w="11906" w:h="16838" w:code="9"/>
          <w:pgMar w:top="3924" w:right="1797" w:bottom="1440" w:left="1134" w:header="709" w:footer="454" w:gutter="0"/>
          <w:cols w:space="708"/>
          <w:docGrid w:linePitch="360"/>
        </w:sectPr>
      </w:pPr>
    </w:p>
    <w:p w14:paraId="3591DC3A" w14:textId="77777777" w:rsidR="0005011A" w:rsidRPr="00F44F3A" w:rsidRDefault="0005011A" w:rsidP="00FC07B9">
      <w:pPr>
        <w:pStyle w:val="ACMACorporateAddressHeader"/>
      </w:pPr>
      <w:r w:rsidRPr="00F44F3A">
        <w:lastRenderedPageBreak/>
        <w:t>Canberra</w:t>
      </w:r>
    </w:p>
    <w:p w14:paraId="37BA6E12"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061D6995" w14:textId="77777777" w:rsidR="0005011A" w:rsidRPr="00FC07B9" w:rsidRDefault="0005011A" w:rsidP="00FC07B9">
      <w:pPr>
        <w:pStyle w:val="ACMACorporateAddresses"/>
      </w:pPr>
      <w:r w:rsidRPr="00FC07B9">
        <w:t>PO Box 78</w:t>
      </w:r>
      <w:r w:rsidRPr="00FC07B9">
        <w:br/>
        <w:t>Belconnen ACT 2616</w:t>
      </w:r>
    </w:p>
    <w:p w14:paraId="31681FB8"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02959E3B" w14:textId="77777777" w:rsidR="0005011A" w:rsidRPr="00F44F3A" w:rsidRDefault="0005011A" w:rsidP="00FC07B9">
      <w:pPr>
        <w:pStyle w:val="ACMACorporateAddressHeader"/>
      </w:pPr>
      <w:r w:rsidRPr="00F44F3A">
        <w:t>Melbourne</w:t>
      </w:r>
    </w:p>
    <w:p w14:paraId="40E3DC61"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008A4FC2"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552279C7"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26A698E5" w14:textId="77777777" w:rsidR="0005011A" w:rsidRPr="00F44F3A" w:rsidRDefault="0005011A" w:rsidP="00FC07B9">
      <w:pPr>
        <w:pStyle w:val="ACMACorporateAddressHeader"/>
      </w:pPr>
      <w:r w:rsidRPr="00F44F3A">
        <w:t>Sydney</w:t>
      </w:r>
    </w:p>
    <w:p w14:paraId="604440B6"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357376CF"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29A1C43C"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3DF1EDE4" w14:textId="77777777" w:rsidR="00140318" w:rsidRPr="006D46E5" w:rsidRDefault="00140318" w:rsidP="00FC07B9">
      <w:pPr>
        <w:pStyle w:val="ACMACopyrightHeader"/>
      </w:pPr>
      <w:r w:rsidRPr="00140318">
        <w:t>Copyright notice</w:t>
      </w:r>
    </w:p>
    <w:p w14:paraId="0540113C" w14:textId="77777777" w:rsidR="00140318" w:rsidRPr="006D46E5" w:rsidRDefault="00623FF9" w:rsidP="00623FF9">
      <w:pPr>
        <w:pStyle w:val="ACMACClogo"/>
      </w:pPr>
      <w:r w:rsidRPr="00623FF9">
        <w:rPr>
          <w:noProof/>
        </w:rPr>
        <w:drawing>
          <wp:inline distT="0" distB="0" distL="0" distR="0" wp14:anchorId="30679D91" wp14:editId="0A42E35D">
            <wp:extent cx="838200" cy="295275"/>
            <wp:effectExtent l="0" t="0" r="0" b="9525"/>
            <wp:docPr id="1" name="Picture 1" title="Creative commons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0"/>
                    </pic:cNvPr>
                    <pic:cNvPicPr>
                      <a:picLocks noChangeAspect="1" noChangeArrowheads="1"/>
                    </pic:cNvPicPr>
                  </pic:nvPicPr>
                  <pic:blipFill>
                    <a:blip r:embed="rId11" cstate="print"/>
                    <a:srcRect/>
                    <a:stretch>
                      <a:fillRect/>
                    </a:stretch>
                  </pic:blipFill>
                  <pic:spPr bwMode="auto">
                    <a:xfrm>
                      <a:off x="0" y="0"/>
                      <a:ext cx="838200" cy="295275"/>
                    </a:xfrm>
                    <a:prstGeom prst="rect">
                      <a:avLst/>
                    </a:prstGeom>
                    <a:noFill/>
                  </pic:spPr>
                </pic:pic>
              </a:graphicData>
            </a:graphic>
          </wp:inline>
        </w:drawing>
      </w:r>
    </w:p>
    <w:p w14:paraId="05E1D044" w14:textId="77777777" w:rsidR="00140318" w:rsidRPr="00431792" w:rsidRDefault="007E76AB" w:rsidP="00FC07B9">
      <w:pPr>
        <w:pStyle w:val="ACMACorporateAddresses"/>
        <w:rPr>
          <w:rStyle w:val="Hyperlink"/>
        </w:rPr>
      </w:pPr>
      <w:hyperlink r:id="rId12" w:tooltip="Creative Commons Licenses" w:history="1">
        <w:r w:rsidR="00140318" w:rsidRPr="00431792">
          <w:rPr>
            <w:rStyle w:val="Hyperlink"/>
          </w:rPr>
          <w:t>http://creativecommons.org/licenses/by/3.0/au/</w:t>
        </w:r>
      </w:hyperlink>
    </w:p>
    <w:p w14:paraId="42FF6D49" w14:textId="77777777" w:rsidR="00140318" w:rsidRPr="006D46E5" w:rsidRDefault="00140318" w:rsidP="00FC07B9">
      <w:pPr>
        <w:pStyle w:val="ACMACorporateAddresses"/>
      </w:pPr>
      <w:r w:rsidRPr="006D46E5">
        <w:t xml:space="preserve">With the exception of coats of arms, logos, emblems, images, other third-party material or devices protected by a trademark, this content is licensed under the Creative Commons Australia Attribution 3.0 Licence. </w:t>
      </w:r>
    </w:p>
    <w:p w14:paraId="5C106648" w14:textId="6DB54B44" w:rsidR="00140318" w:rsidRPr="006D46E5" w:rsidRDefault="00140318" w:rsidP="00FC07B9">
      <w:pPr>
        <w:pStyle w:val="ACMACorporateAddresses"/>
      </w:pPr>
      <w:r w:rsidRPr="006D46E5">
        <w:t>We request attribution as: © Commonwealth of Australia (Australian Communic</w:t>
      </w:r>
      <w:r w:rsidR="008408FF">
        <w:t>ations and Media Authority) 201</w:t>
      </w:r>
      <w:r w:rsidR="00B9480B">
        <w:t>6</w:t>
      </w:r>
      <w:r w:rsidRPr="006D46E5">
        <w:t>.</w:t>
      </w:r>
    </w:p>
    <w:p w14:paraId="7C30AD0C" w14:textId="77777777" w:rsidR="00140318" w:rsidRPr="006D46E5" w:rsidRDefault="00140318" w:rsidP="00FC07B9">
      <w:pPr>
        <w:pStyle w:val="ACMACorporateAddresses"/>
      </w:pPr>
      <w:r>
        <w:t>All other rights are reserved.</w:t>
      </w:r>
    </w:p>
    <w:p w14:paraId="726B9DD7" w14:textId="77777777"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2593444F" w14:textId="77777777" w:rsidR="00140318" w:rsidRPr="006D46E5" w:rsidRDefault="00140318" w:rsidP="00FC07B9">
      <w:pPr>
        <w:pStyle w:val="ACMACorporateAddresses"/>
      </w:pPr>
      <w:r w:rsidRPr="006D46E5">
        <w:t>Written enquiries may be sent to:</w:t>
      </w:r>
    </w:p>
    <w:p w14:paraId="1DB04046" w14:textId="77777777"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Tel: 03 9963 6968</w:t>
      </w:r>
      <w:r w:rsidR="00623FF9">
        <w:br/>
      </w:r>
      <w:r w:rsidRPr="006D46E5">
        <w:t xml:space="preserve">Email: </w:t>
      </w:r>
      <w:hyperlink r:id="rId13" w:history="1">
        <w:r w:rsidRPr="00431792">
          <w:rPr>
            <w:rStyle w:val="Hyperlink"/>
          </w:rPr>
          <w:t>candinfo@acma.gov.au</w:t>
        </w:r>
      </w:hyperlink>
    </w:p>
    <w:p w14:paraId="0D9E9267" w14:textId="77777777" w:rsidR="00D16FE3" w:rsidRDefault="00D16FE3" w:rsidP="00D16FE3">
      <w:pPr>
        <w:pStyle w:val="ACMACorporateAddresses"/>
        <w:rPr>
          <w:rStyle w:val="Hyperlink"/>
        </w:rPr>
      </w:pPr>
    </w:p>
    <w:p w14:paraId="17632C26" w14:textId="77777777" w:rsidR="00D16FE3" w:rsidRPr="00D16FE3" w:rsidRDefault="00D16FE3" w:rsidP="00D16FE3">
      <w:pPr>
        <w:pStyle w:val="ACMACorporateAddresses"/>
        <w:sectPr w:rsidR="00D16FE3" w:rsidRPr="00D16FE3">
          <w:headerReference w:type="even" r:id="rId14"/>
          <w:headerReference w:type="default" r:id="rId15"/>
          <w:footerReference w:type="even" r:id="rId16"/>
          <w:footerReference w:type="default" r:id="rId17"/>
          <w:pgSz w:w="11906" w:h="16838" w:code="9"/>
          <w:pgMar w:top="3924" w:right="1797" w:bottom="697" w:left="1134" w:header="709" w:footer="119" w:gutter="0"/>
          <w:cols w:space="708"/>
          <w:docGrid w:linePitch="360"/>
        </w:sectPr>
      </w:pPr>
    </w:p>
    <w:p w14:paraId="55CA4010" w14:textId="77777777" w:rsidR="009F53A3" w:rsidRDefault="00B1182A">
      <w:pPr>
        <w:pStyle w:val="TOC1"/>
        <w:tabs>
          <w:tab w:val="left" w:pos="885"/>
        </w:tabs>
        <w:rPr>
          <w:rFonts w:asciiTheme="minorHAnsi" w:eastAsiaTheme="minorEastAsia" w:hAnsiTheme="minorHAnsi" w:cstheme="minorBidi"/>
          <w:b w:val="0"/>
          <w:spacing w:val="0"/>
          <w:sz w:val="22"/>
          <w:szCs w:val="22"/>
        </w:rPr>
      </w:pPr>
      <w:r>
        <w:rPr>
          <w:rFonts w:cs="Arial"/>
          <w:b w:val="0"/>
        </w:rPr>
        <w:lastRenderedPageBreak/>
        <w:fldChar w:fldCharType="begin"/>
      </w:r>
      <w:r w:rsidR="007A6CC0">
        <w:rPr>
          <w:rFonts w:cs="Arial"/>
          <w:b w:val="0"/>
        </w:rPr>
        <w:instrText xml:space="preserve"> TOC \o "1-3" \t "ACMA_ExecSummaryHeading,1" </w:instrText>
      </w:r>
      <w:r>
        <w:rPr>
          <w:rFonts w:cs="Arial"/>
          <w:b w:val="0"/>
        </w:rPr>
        <w:fldChar w:fldCharType="separate"/>
      </w:r>
      <w:r w:rsidR="009F53A3">
        <w:t xml:space="preserve">1. </w:t>
      </w:r>
      <w:r w:rsidR="009F53A3">
        <w:rPr>
          <w:rFonts w:asciiTheme="minorHAnsi" w:eastAsiaTheme="minorEastAsia" w:hAnsiTheme="minorHAnsi" w:cstheme="minorBidi"/>
          <w:b w:val="0"/>
          <w:spacing w:val="0"/>
          <w:sz w:val="22"/>
          <w:szCs w:val="22"/>
        </w:rPr>
        <w:tab/>
      </w:r>
      <w:r w:rsidR="009F53A3">
        <w:t>Introduction</w:t>
      </w:r>
      <w:r w:rsidR="009F53A3">
        <w:tab/>
      </w:r>
      <w:r w:rsidR="009F53A3">
        <w:fldChar w:fldCharType="begin"/>
      </w:r>
      <w:r w:rsidR="009F53A3">
        <w:instrText xml:space="preserve"> PAGEREF _Toc454268354 \h </w:instrText>
      </w:r>
      <w:r w:rsidR="009F53A3">
        <w:fldChar w:fldCharType="separate"/>
      </w:r>
      <w:r w:rsidR="009F53A3">
        <w:t>1</w:t>
      </w:r>
      <w:r w:rsidR="009F53A3">
        <w:fldChar w:fldCharType="end"/>
      </w:r>
    </w:p>
    <w:p w14:paraId="4B08844C" w14:textId="77777777" w:rsidR="009F53A3" w:rsidRDefault="009F53A3">
      <w:pPr>
        <w:pStyle w:val="TOC2"/>
        <w:rPr>
          <w:rFonts w:asciiTheme="minorHAnsi" w:eastAsiaTheme="minorEastAsia" w:hAnsiTheme="minorHAnsi" w:cstheme="minorBidi"/>
          <w:spacing w:val="0"/>
          <w:sz w:val="22"/>
          <w:szCs w:val="22"/>
        </w:rPr>
      </w:pPr>
      <w:r>
        <w:t xml:space="preserve">1.1 </w:t>
      </w:r>
      <w:r>
        <w:rPr>
          <w:rFonts w:asciiTheme="minorHAnsi" w:eastAsiaTheme="minorEastAsia" w:hAnsiTheme="minorHAnsi" w:cstheme="minorBidi"/>
          <w:spacing w:val="0"/>
          <w:sz w:val="22"/>
          <w:szCs w:val="22"/>
        </w:rPr>
        <w:tab/>
      </w:r>
      <w:r>
        <w:t>Purpose of the Cost Recovery Implementation Statement</w:t>
      </w:r>
      <w:r>
        <w:tab/>
      </w:r>
      <w:r>
        <w:fldChar w:fldCharType="begin"/>
      </w:r>
      <w:r>
        <w:instrText xml:space="preserve"> PAGEREF _Toc454268355 \h </w:instrText>
      </w:r>
      <w:r>
        <w:fldChar w:fldCharType="separate"/>
      </w:r>
      <w:r>
        <w:t>1</w:t>
      </w:r>
      <w:r>
        <w:fldChar w:fldCharType="end"/>
      </w:r>
    </w:p>
    <w:p w14:paraId="20C83353" w14:textId="77777777" w:rsidR="009F53A3" w:rsidRDefault="009F53A3">
      <w:pPr>
        <w:pStyle w:val="TOC2"/>
        <w:rPr>
          <w:rFonts w:asciiTheme="minorHAnsi" w:eastAsiaTheme="minorEastAsia" w:hAnsiTheme="minorHAnsi" w:cstheme="minorBidi"/>
          <w:spacing w:val="0"/>
          <w:sz w:val="22"/>
          <w:szCs w:val="22"/>
        </w:rPr>
      </w:pPr>
      <w:r>
        <w:t>1.2</w:t>
      </w:r>
      <w:r>
        <w:rPr>
          <w:rFonts w:asciiTheme="minorHAnsi" w:eastAsiaTheme="minorEastAsia" w:hAnsiTheme="minorHAnsi" w:cstheme="minorBidi"/>
          <w:spacing w:val="0"/>
          <w:sz w:val="22"/>
          <w:szCs w:val="22"/>
        </w:rPr>
        <w:tab/>
      </w:r>
      <w:r>
        <w:t>Background and description of activity</w:t>
      </w:r>
      <w:r>
        <w:tab/>
      </w:r>
      <w:r>
        <w:fldChar w:fldCharType="begin"/>
      </w:r>
      <w:r>
        <w:instrText xml:space="preserve"> PAGEREF _Toc454268356 \h </w:instrText>
      </w:r>
      <w:r>
        <w:fldChar w:fldCharType="separate"/>
      </w:r>
      <w:r>
        <w:t>1</w:t>
      </w:r>
      <w:r>
        <w:fldChar w:fldCharType="end"/>
      </w:r>
    </w:p>
    <w:p w14:paraId="3B65B737" w14:textId="0E23028D" w:rsidR="009F53A3" w:rsidRDefault="009F53A3">
      <w:pPr>
        <w:pStyle w:val="TOC2"/>
        <w:rPr>
          <w:rFonts w:asciiTheme="minorHAnsi" w:eastAsiaTheme="minorEastAsia" w:hAnsiTheme="minorHAnsi" w:cstheme="minorBidi"/>
          <w:spacing w:val="0"/>
          <w:sz w:val="22"/>
          <w:szCs w:val="22"/>
        </w:rPr>
      </w:pPr>
      <w:r>
        <w:t xml:space="preserve">1.3 </w:t>
      </w:r>
      <w:r w:rsidR="006A3F76">
        <w:tab/>
      </w:r>
      <w:r>
        <w:t>Stakeholders</w:t>
      </w:r>
      <w:r>
        <w:tab/>
      </w:r>
      <w:r>
        <w:fldChar w:fldCharType="begin"/>
      </w:r>
      <w:r>
        <w:instrText xml:space="preserve"> PAGEREF _Toc454268357 \h </w:instrText>
      </w:r>
      <w:r>
        <w:fldChar w:fldCharType="separate"/>
      </w:r>
      <w:r>
        <w:t>2</w:t>
      </w:r>
      <w:r>
        <w:fldChar w:fldCharType="end"/>
      </w:r>
    </w:p>
    <w:p w14:paraId="48329E6F" w14:textId="5053615C" w:rsidR="009F53A3" w:rsidRDefault="009F53A3" w:rsidP="009F53A3">
      <w:pPr>
        <w:pStyle w:val="TOC1"/>
        <w:tabs>
          <w:tab w:val="left" w:pos="885"/>
        </w:tabs>
        <w:ind w:left="852" w:hanging="852"/>
        <w:rPr>
          <w:rFonts w:asciiTheme="minorHAnsi" w:eastAsiaTheme="minorEastAsia" w:hAnsiTheme="minorHAnsi" w:cstheme="minorBidi"/>
          <w:b w:val="0"/>
          <w:spacing w:val="0"/>
          <w:sz w:val="22"/>
          <w:szCs w:val="22"/>
        </w:rPr>
      </w:pPr>
      <w:r>
        <w:t xml:space="preserve">2. </w:t>
      </w:r>
      <w:r>
        <w:rPr>
          <w:rFonts w:asciiTheme="minorHAnsi" w:eastAsiaTheme="minorEastAsia" w:hAnsiTheme="minorHAnsi" w:cstheme="minorBidi"/>
          <w:b w:val="0"/>
          <w:spacing w:val="0"/>
          <w:sz w:val="22"/>
          <w:szCs w:val="22"/>
        </w:rPr>
        <w:tab/>
      </w:r>
      <w:r>
        <w:t>Policy and statutory authority to undertake cost recovery</w:t>
      </w:r>
      <w:r>
        <w:tab/>
      </w:r>
      <w:r>
        <w:fldChar w:fldCharType="begin"/>
      </w:r>
      <w:r>
        <w:instrText xml:space="preserve"> PAGEREF _Toc454268358 \h </w:instrText>
      </w:r>
      <w:r>
        <w:fldChar w:fldCharType="separate"/>
      </w:r>
      <w:r>
        <w:t>3</w:t>
      </w:r>
      <w:r>
        <w:fldChar w:fldCharType="end"/>
      </w:r>
    </w:p>
    <w:p w14:paraId="58F4DFEA" w14:textId="77777777" w:rsidR="009F53A3" w:rsidRDefault="009F53A3">
      <w:pPr>
        <w:pStyle w:val="TOC2"/>
        <w:rPr>
          <w:rFonts w:asciiTheme="minorHAnsi" w:eastAsiaTheme="minorEastAsia" w:hAnsiTheme="minorHAnsi" w:cstheme="minorBidi"/>
          <w:spacing w:val="0"/>
          <w:sz w:val="22"/>
          <w:szCs w:val="22"/>
        </w:rPr>
      </w:pPr>
      <w:r>
        <w:t>2.1</w:t>
      </w:r>
      <w:r>
        <w:rPr>
          <w:rFonts w:asciiTheme="minorHAnsi" w:eastAsiaTheme="minorEastAsia" w:hAnsiTheme="minorHAnsi" w:cstheme="minorBidi"/>
          <w:spacing w:val="0"/>
          <w:sz w:val="22"/>
          <w:szCs w:val="22"/>
        </w:rPr>
        <w:tab/>
      </w:r>
      <w:r>
        <w:t>Government policy approval to recover costs</w:t>
      </w:r>
      <w:r>
        <w:tab/>
      </w:r>
      <w:r>
        <w:fldChar w:fldCharType="begin"/>
      </w:r>
      <w:r>
        <w:instrText xml:space="preserve"> PAGEREF _Toc454268359 \h </w:instrText>
      </w:r>
      <w:r>
        <w:fldChar w:fldCharType="separate"/>
      </w:r>
      <w:r>
        <w:t>3</w:t>
      </w:r>
      <w:r>
        <w:fldChar w:fldCharType="end"/>
      </w:r>
    </w:p>
    <w:p w14:paraId="453EFACF" w14:textId="77777777" w:rsidR="009F53A3" w:rsidRDefault="009F53A3">
      <w:pPr>
        <w:pStyle w:val="TOC2"/>
        <w:rPr>
          <w:rFonts w:asciiTheme="minorHAnsi" w:eastAsiaTheme="minorEastAsia" w:hAnsiTheme="minorHAnsi" w:cstheme="minorBidi"/>
          <w:spacing w:val="0"/>
          <w:sz w:val="22"/>
          <w:szCs w:val="22"/>
        </w:rPr>
      </w:pPr>
      <w:r>
        <w:t>2.2</w:t>
      </w:r>
      <w:r>
        <w:rPr>
          <w:rFonts w:asciiTheme="minorHAnsi" w:eastAsiaTheme="minorEastAsia" w:hAnsiTheme="minorHAnsi" w:cstheme="minorBidi"/>
          <w:spacing w:val="0"/>
          <w:sz w:val="22"/>
          <w:szCs w:val="22"/>
        </w:rPr>
        <w:tab/>
      </w:r>
      <w:r>
        <w:t>Statutory authority to impose cost recovery charges</w:t>
      </w:r>
      <w:r>
        <w:tab/>
      </w:r>
      <w:r>
        <w:fldChar w:fldCharType="begin"/>
      </w:r>
      <w:r>
        <w:instrText xml:space="preserve"> PAGEREF _Toc454268360 \h </w:instrText>
      </w:r>
      <w:r>
        <w:fldChar w:fldCharType="separate"/>
      </w:r>
      <w:r>
        <w:t>3</w:t>
      </w:r>
      <w:r>
        <w:fldChar w:fldCharType="end"/>
      </w:r>
    </w:p>
    <w:p w14:paraId="1C28B922" w14:textId="77777777" w:rsidR="009F53A3" w:rsidRDefault="009F53A3">
      <w:pPr>
        <w:pStyle w:val="TOC1"/>
        <w:tabs>
          <w:tab w:val="left" w:pos="885"/>
        </w:tabs>
        <w:rPr>
          <w:rFonts w:asciiTheme="minorHAnsi" w:eastAsiaTheme="minorEastAsia" w:hAnsiTheme="minorHAnsi" w:cstheme="minorBidi"/>
          <w:b w:val="0"/>
          <w:spacing w:val="0"/>
          <w:sz w:val="22"/>
          <w:szCs w:val="22"/>
        </w:rPr>
      </w:pPr>
      <w:r>
        <w:t>3.</w:t>
      </w:r>
      <w:r>
        <w:rPr>
          <w:rFonts w:asciiTheme="minorHAnsi" w:eastAsiaTheme="minorEastAsia" w:hAnsiTheme="minorHAnsi" w:cstheme="minorBidi"/>
          <w:b w:val="0"/>
          <w:spacing w:val="0"/>
          <w:sz w:val="22"/>
          <w:szCs w:val="22"/>
        </w:rPr>
        <w:tab/>
      </w:r>
      <w:r>
        <w:t>Cost recovery model</w:t>
      </w:r>
      <w:r>
        <w:tab/>
      </w:r>
      <w:r>
        <w:fldChar w:fldCharType="begin"/>
      </w:r>
      <w:r>
        <w:instrText xml:space="preserve"> PAGEREF _Toc454268361 \h </w:instrText>
      </w:r>
      <w:r>
        <w:fldChar w:fldCharType="separate"/>
      </w:r>
      <w:r>
        <w:t>6</w:t>
      </w:r>
      <w:r>
        <w:fldChar w:fldCharType="end"/>
      </w:r>
    </w:p>
    <w:p w14:paraId="61531056" w14:textId="58B654F4" w:rsidR="009F53A3" w:rsidRDefault="009F53A3">
      <w:pPr>
        <w:pStyle w:val="TOC2"/>
        <w:rPr>
          <w:rFonts w:asciiTheme="minorHAnsi" w:eastAsiaTheme="minorEastAsia" w:hAnsiTheme="minorHAnsi" w:cstheme="minorBidi"/>
          <w:spacing w:val="0"/>
          <w:sz w:val="22"/>
          <w:szCs w:val="22"/>
        </w:rPr>
      </w:pPr>
      <w:r>
        <w:t>3.1</w:t>
      </w:r>
      <w:r>
        <w:rPr>
          <w:rFonts w:asciiTheme="minorHAnsi" w:eastAsiaTheme="minorEastAsia" w:hAnsiTheme="minorHAnsi" w:cstheme="minorBidi"/>
          <w:spacing w:val="0"/>
          <w:sz w:val="22"/>
          <w:szCs w:val="22"/>
        </w:rPr>
        <w:tab/>
      </w:r>
      <w:r>
        <w:t xml:space="preserve">Determination of cost component under paragraph 15(1)(a) </w:t>
      </w:r>
      <w:r>
        <w:br/>
        <w:t>of the Act—the ACMA’s activity</w:t>
      </w:r>
      <w:r>
        <w:tab/>
      </w:r>
      <w:r>
        <w:fldChar w:fldCharType="begin"/>
      </w:r>
      <w:r>
        <w:instrText xml:space="preserve"> PAGEREF _Toc454268362 \h </w:instrText>
      </w:r>
      <w:r>
        <w:fldChar w:fldCharType="separate"/>
      </w:r>
      <w:r>
        <w:t>6</w:t>
      </w:r>
      <w:r>
        <w:fldChar w:fldCharType="end"/>
      </w:r>
    </w:p>
    <w:p w14:paraId="4AA69BEB" w14:textId="77777777" w:rsidR="009F53A3" w:rsidRDefault="009F53A3">
      <w:pPr>
        <w:pStyle w:val="TOC3"/>
        <w:tabs>
          <w:tab w:val="left" w:pos="885"/>
        </w:tabs>
        <w:rPr>
          <w:rFonts w:asciiTheme="minorHAnsi" w:eastAsiaTheme="minorEastAsia" w:hAnsiTheme="minorHAnsi" w:cstheme="minorBidi"/>
        </w:rPr>
      </w:pPr>
      <w:r>
        <w:t>3.1.1</w:t>
      </w:r>
      <w:r>
        <w:rPr>
          <w:rFonts w:asciiTheme="minorHAnsi" w:eastAsiaTheme="minorEastAsia" w:hAnsiTheme="minorHAnsi" w:cstheme="minorBidi"/>
        </w:rPr>
        <w:tab/>
      </w:r>
      <w:r>
        <w:t>Outputs and business processes of the activity</w:t>
      </w:r>
      <w:r>
        <w:tab/>
      </w:r>
      <w:r>
        <w:fldChar w:fldCharType="begin"/>
      </w:r>
      <w:r>
        <w:instrText xml:space="preserve"> PAGEREF _Toc454268363 \h </w:instrText>
      </w:r>
      <w:r>
        <w:fldChar w:fldCharType="separate"/>
      </w:r>
      <w:r>
        <w:t>6</w:t>
      </w:r>
      <w:r>
        <w:fldChar w:fldCharType="end"/>
      </w:r>
    </w:p>
    <w:p w14:paraId="74B856B1" w14:textId="77777777" w:rsidR="009F53A3" w:rsidRDefault="009F53A3">
      <w:pPr>
        <w:pStyle w:val="TOC3"/>
        <w:tabs>
          <w:tab w:val="left" w:pos="885"/>
        </w:tabs>
        <w:rPr>
          <w:rFonts w:asciiTheme="minorHAnsi" w:eastAsiaTheme="minorEastAsia" w:hAnsiTheme="minorHAnsi" w:cstheme="minorBidi"/>
        </w:rPr>
      </w:pPr>
      <w:r>
        <w:t>3.1.2</w:t>
      </w:r>
      <w:r>
        <w:rPr>
          <w:rFonts w:asciiTheme="minorHAnsi" w:eastAsiaTheme="minorEastAsia" w:hAnsiTheme="minorHAnsi" w:cstheme="minorBidi"/>
        </w:rPr>
        <w:tab/>
      </w:r>
      <w:r>
        <w:t>Costs of the activity</w:t>
      </w:r>
      <w:r>
        <w:tab/>
      </w:r>
      <w:r>
        <w:fldChar w:fldCharType="begin"/>
      </w:r>
      <w:r>
        <w:instrText xml:space="preserve"> PAGEREF _Toc454268364 \h </w:instrText>
      </w:r>
      <w:r>
        <w:fldChar w:fldCharType="separate"/>
      </w:r>
      <w:r>
        <w:t>7</w:t>
      </w:r>
      <w:r>
        <w:fldChar w:fldCharType="end"/>
      </w:r>
    </w:p>
    <w:p w14:paraId="5EE2B9B6" w14:textId="65E5FB4A" w:rsidR="009F53A3" w:rsidRDefault="009F53A3">
      <w:pPr>
        <w:pStyle w:val="TOC2"/>
        <w:rPr>
          <w:rFonts w:asciiTheme="minorHAnsi" w:eastAsiaTheme="minorEastAsia" w:hAnsiTheme="minorHAnsi" w:cstheme="minorBidi"/>
          <w:spacing w:val="0"/>
          <w:sz w:val="22"/>
          <w:szCs w:val="22"/>
        </w:rPr>
      </w:pPr>
      <w:r>
        <w:t>3.2</w:t>
      </w:r>
      <w:r>
        <w:rPr>
          <w:rFonts w:asciiTheme="minorHAnsi" w:eastAsiaTheme="minorEastAsia" w:hAnsiTheme="minorHAnsi" w:cstheme="minorBidi"/>
          <w:spacing w:val="0"/>
          <w:sz w:val="22"/>
          <w:szCs w:val="22"/>
        </w:rPr>
        <w:tab/>
      </w:r>
      <w:r>
        <w:t xml:space="preserve">Determination of cost component under paragraph 15(1)(b) </w:t>
      </w:r>
      <w:r>
        <w:br/>
        <w:t>of the Act—the ACCC’s activity</w:t>
      </w:r>
      <w:r>
        <w:tab/>
      </w:r>
      <w:r>
        <w:fldChar w:fldCharType="begin"/>
      </w:r>
      <w:r>
        <w:instrText xml:space="preserve"> PAGEREF _Toc454268365 \h </w:instrText>
      </w:r>
      <w:r>
        <w:fldChar w:fldCharType="separate"/>
      </w:r>
      <w:r>
        <w:t>9</w:t>
      </w:r>
      <w:r>
        <w:fldChar w:fldCharType="end"/>
      </w:r>
    </w:p>
    <w:p w14:paraId="3AFB6D3C" w14:textId="77777777" w:rsidR="009F53A3" w:rsidRDefault="009F53A3">
      <w:pPr>
        <w:pStyle w:val="TOC3"/>
        <w:tabs>
          <w:tab w:val="left" w:pos="885"/>
        </w:tabs>
        <w:rPr>
          <w:rFonts w:asciiTheme="minorHAnsi" w:eastAsiaTheme="minorEastAsia" w:hAnsiTheme="minorHAnsi" w:cstheme="minorBidi"/>
        </w:rPr>
      </w:pPr>
      <w:r>
        <w:t>3.2.1</w:t>
      </w:r>
      <w:r>
        <w:rPr>
          <w:rFonts w:asciiTheme="minorHAnsi" w:eastAsiaTheme="minorEastAsia" w:hAnsiTheme="minorHAnsi" w:cstheme="minorBidi"/>
        </w:rPr>
        <w:tab/>
      </w:r>
      <w:r>
        <w:t>Outputs and business processes of the activity</w:t>
      </w:r>
      <w:r>
        <w:tab/>
      </w:r>
      <w:r>
        <w:fldChar w:fldCharType="begin"/>
      </w:r>
      <w:r>
        <w:instrText xml:space="preserve"> PAGEREF _Toc454268366 \h </w:instrText>
      </w:r>
      <w:r>
        <w:fldChar w:fldCharType="separate"/>
      </w:r>
      <w:r>
        <w:t>9</w:t>
      </w:r>
      <w:r>
        <w:fldChar w:fldCharType="end"/>
      </w:r>
    </w:p>
    <w:p w14:paraId="5A9A62C6" w14:textId="77777777" w:rsidR="009F53A3" w:rsidRDefault="009F53A3">
      <w:pPr>
        <w:pStyle w:val="TOC3"/>
        <w:tabs>
          <w:tab w:val="left" w:pos="885"/>
        </w:tabs>
        <w:rPr>
          <w:rFonts w:asciiTheme="minorHAnsi" w:eastAsiaTheme="minorEastAsia" w:hAnsiTheme="minorHAnsi" w:cstheme="minorBidi"/>
        </w:rPr>
      </w:pPr>
      <w:r>
        <w:t>3.2.2</w:t>
      </w:r>
      <w:r>
        <w:rPr>
          <w:rFonts w:asciiTheme="minorHAnsi" w:eastAsiaTheme="minorEastAsia" w:hAnsiTheme="minorHAnsi" w:cstheme="minorBidi"/>
        </w:rPr>
        <w:tab/>
      </w:r>
      <w:r>
        <w:t>Costs of the activity</w:t>
      </w:r>
      <w:r>
        <w:tab/>
      </w:r>
      <w:r>
        <w:fldChar w:fldCharType="begin"/>
      </w:r>
      <w:r>
        <w:instrText xml:space="preserve"> PAGEREF _Toc454268367 \h </w:instrText>
      </w:r>
      <w:r>
        <w:fldChar w:fldCharType="separate"/>
      </w:r>
      <w:r>
        <w:t>12</w:t>
      </w:r>
      <w:r>
        <w:fldChar w:fldCharType="end"/>
      </w:r>
    </w:p>
    <w:p w14:paraId="6FCC26CF" w14:textId="42E6403E" w:rsidR="009F53A3" w:rsidRDefault="009F53A3">
      <w:pPr>
        <w:pStyle w:val="TOC2"/>
        <w:rPr>
          <w:rFonts w:asciiTheme="minorHAnsi" w:eastAsiaTheme="minorEastAsia" w:hAnsiTheme="minorHAnsi" w:cstheme="minorBidi"/>
          <w:spacing w:val="0"/>
          <w:sz w:val="22"/>
          <w:szCs w:val="22"/>
        </w:rPr>
      </w:pPr>
      <w:r>
        <w:t>3.3</w:t>
      </w:r>
      <w:r>
        <w:rPr>
          <w:rFonts w:asciiTheme="minorHAnsi" w:eastAsiaTheme="minorEastAsia" w:hAnsiTheme="minorHAnsi" w:cstheme="minorBidi"/>
          <w:spacing w:val="0"/>
          <w:sz w:val="22"/>
          <w:szCs w:val="22"/>
        </w:rPr>
        <w:tab/>
      </w:r>
      <w:r>
        <w:t xml:space="preserve">Determination of cost component under paragraph 15(1)(c) </w:t>
      </w:r>
      <w:r>
        <w:br/>
        <w:t>of the Act—the ITU activity</w:t>
      </w:r>
      <w:r>
        <w:tab/>
      </w:r>
      <w:r>
        <w:fldChar w:fldCharType="begin"/>
      </w:r>
      <w:r>
        <w:instrText xml:space="preserve"> PAGEREF _Toc454268368 \h </w:instrText>
      </w:r>
      <w:r>
        <w:fldChar w:fldCharType="separate"/>
      </w:r>
      <w:r>
        <w:t>14</w:t>
      </w:r>
      <w:r>
        <w:fldChar w:fldCharType="end"/>
      </w:r>
    </w:p>
    <w:p w14:paraId="05F9CE16" w14:textId="77777777" w:rsidR="009F53A3" w:rsidRDefault="009F53A3">
      <w:pPr>
        <w:pStyle w:val="TOC3"/>
        <w:tabs>
          <w:tab w:val="left" w:pos="885"/>
        </w:tabs>
        <w:rPr>
          <w:rFonts w:asciiTheme="minorHAnsi" w:eastAsiaTheme="minorEastAsia" w:hAnsiTheme="minorHAnsi" w:cstheme="minorBidi"/>
        </w:rPr>
      </w:pPr>
      <w:r>
        <w:t>3.3.1</w:t>
      </w:r>
      <w:r>
        <w:rPr>
          <w:rFonts w:asciiTheme="minorHAnsi" w:eastAsiaTheme="minorEastAsia" w:hAnsiTheme="minorHAnsi" w:cstheme="minorBidi"/>
        </w:rPr>
        <w:tab/>
      </w:r>
      <w:r>
        <w:t>Outputs and business processes of the activity</w:t>
      </w:r>
      <w:r>
        <w:tab/>
      </w:r>
      <w:r>
        <w:fldChar w:fldCharType="begin"/>
      </w:r>
      <w:r>
        <w:instrText xml:space="preserve"> PAGEREF _Toc454268369 \h </w:instrText>
      </w:r>
      <w:r>
        <w:fldChar w:fldCharType="separate"/>
      </w:r>
      <w:r>
        <w:t>14</w:t>
      </w:r>
      <w:r>
        <w:fldChar w:fldCharType="end"/>
      </w:r>
    </w:p>
    <w:p w14:paraId="5B63D145" w14:textId="77777777" w:rsidR="009F53A3" w:rsidRDefault="009F53A3">
      <w:pPr>
        <w:pStyle w:val="TOC3"/>
        <w:tabs>
          <w:tab w:val="left" w:pos="885"/>
        </w:tabs>
        <w:rPr>
          <w:rFonts w:asciiTheme="minorHAnsi" w:eastAsiaTheme="minorEastAsia" w:hAnsiTheme="minorHAnsi" w:cstheme="minorBidi"/>
        </w:rPr>
      </w:pPr>
      <w:r>
        <w:t>3.3.2</w:t>
      </w:r>
      <w:r>
        <w:rPr>
          <w:rFonts w:asciiTheme="minorHAnsi" w:eastAsiaTheme="minorEastAsia" w:hAnsiTheme="minorHAnsi" w:cstheme="minorBidi"/>
        </w:rPr>
        <w:tab/>
      </w:r>
      <w:r>
        <w:t>Costs of the activity</w:t>
      </w:r>
      <w:r>
        <w:tab/>
      </w:r>
      <w:r>
        <w:fldChar w:fldCharType="begin"/>
      </w:r>
      <w:r>
        <w:instrText xml:space="preserve"> PAGEREF _Toc454268370 \h </w:instrText>
      </w:r>
      <w:r>
        <w:fldChar w:fldCharType="separate"/>
      </w:r>
      <w:r>
        <w:t>14</w:t>
      </w:r>
      <w:r>
        <w:fldChar w:fldCharType="end"/>
      </w:r>
    </w:p>
    <w:p w14:paraId="1F603583" w14:textId="163B55C1" w:rsidR="009F53A3" w:rsidRDefault="009F53A3">
      <w:pPr>
        <w:pStyle w:val="TOC2"/>
        <w:rPr>
          <w:rFonts w:asciiTheme="minorHAnsi" w:eastAsiaTheme="minorEastAsia" w:hAnsiTheme="minorHAnsi" w:cstheme="minorBidi"/>
          <w:spacing w:val="0"/>
          <w:sz w:val="22"/>
          <w:szCs w:val="22"/>
        </w:rPr>
      </w:pPr>
      <w:r>
        <w:t>3.4</w:t>
      </w:r>
      <w:r>
        <w:rPr>
          <w:rFonts w:asciiTheme="minorHAnsi" w:eastAsiaTheme="minorEastAsia" w:hAnsiTheme="minorHAnsi" w:cstheme="minorBidi"/>
          <w:spacing w:val="0"/>
          <w:sz w:val="22"/>
          <w:szCs w:val="22"/>
        </w:rPr>
        <w:tab/>
      </w:r>
      <w:r>
        <w:t xml:space="preserve">Determination of cost component under paragraph 15(1)(ca) </w:t>
      </w:r>
      <w:r>
        <w:br/>
        <w:t>of the Act—Development or variation of consumer protection codes</w:t>
      </w:r>
      <w:r>
        <w:tab/>
      </w:r>
      <w:r>
        <w:fldChar w:fldCharType="begin"/>
      </w:r>
      <w:r>
        <w:instrText xml:space="preserve"> PAGEREF _Toc454268371 \h </w:instrText>
      </w:r>
      <w:r>
        <w:fldChar w:fldCharType="separate"/>
      </w:r>
      <w:r>
        <w:t>15</w:t>
      </w:r>
      <w:r>
        <w:fldChar w:fldCharType="end"/>
      </w:r>
    </w:p>
    <w:p w14:paraId="48F19637" w14:textId="77777777" w:rsidR="009F53A3" w:rsidRDefault="009F53A3">
      <w:pPr>
        <w:pStyle w:val="TOC3"/>
        <w:tabs>
          <w:tab w:val="left" w:pos="885"/>
        </w:tabs>
        <w:rPr>
          <w:rFonts w:asciiTheme="minorHAnsi" w:eastAsiaTheme="minorEastAsia" w:hAnsiTheme="minorHAnsi" w:cstheme="minorBidi"/>
        </w:rPr>
      </w:pPr>
      <w:r>
        <w:t>3.4.1</w:t>
      </w:r>
      <w:r>
        <w:rPr>
          <w:rFonts w:asciiTheme="minorHAnsi" w:eastAsiaTheme="minorEastAsia" w:hAnsiTheme="minorHAnsi" w:cstheme="minorBidi"/>
        </w:rPr>
        <w:tab/>
      </w:r>
      <w:r>
        <w:t>Outputs and business processes of the activity</w:t>
      </w:r>
      <w:r>
        <w:tab/>
      </w:r>
      <w:r>
        <w:fldChar w:fldCharType="begin"/>
      </w:r>
      <w:r>
        <w:instrText xml:space="preserve"> PAGEREF _Toc454268372 \h </w:instrText>
      </w:r>
      <w:r>
        <w:fldChar w:fldCharType="separate"/>
      </w:r>
      <w:r>
        <w:t>15</w:t>
      </w:r>
      <w:r>
        <w:fldChar w:fldCharType="end"/>
      </w:r>
    </w:p>
    <w:p w14:paraId="771C9B96" w14:textId="77777777" w:rsidR="009F53A3" w:rsidRDefault="009F53A3">
      <w:pPr>
        <w:pStyle w:val="TOC3"/>
        <w:tabs>
          <w:tab w:val="left" w:pos="885"/>
        </w:tabs>
        <w:rPr>
          <w:rFonts w:asciiTheme="minorHAnsi" w:eastAsiaTheme="minorEastAsia" w:hAnsiTheme="minorHAnsi" w:cstheme="minorBidi"/>
        </w:rPr>
      </w:pPr>
      <w:r>
        <w:t>3.4.2</w:t>
      </w:r>
      <w:r>
        <w:rPr>
          <w:rFonts w:asciiTheme="minorHAnsi" w:eastAsiaTheme="minorEastAsia" w:hAnsiTheme="minorHAnsi" w:cstheme="minorBidi"/>
        </w:rPr>
        <w:tab/>
      </w:r>
      <w:r>
        <w:t>Costs of the activity</w:t>
      </w:r>
      <w:r>
        <w:tab/>
      </w:r>
      <w:r>
        <w:fldChar w:fldCharType="begin"/>
      </w:r>
      <w:r>
        <w:instrText xml:space="preserve"> PAGEREF _Toc454268373 \h </w:instrText>
      </w:r>
      <w:r>
        <w:fldChar w:fldCharType="separate"/>
      </w:r>
      <w:r>
        <w:t>16</w:t>
      </w:r>
      <w:r>
        <w:fldChar w:fldCharType="end"/>
      </w:r>
    </w:p>
    <w:p w14:paraId="1F89C101" w14:textId="7D558EAC" w:rsidR="009F53A3" w:rsidRDefault="009F53A3">
      <w:pPr>
        <w:pStyle w:val="TOC2"/>
        <w:rPr>
          <w:rFonts w:asciiTheme="minorHAnsi" w:eastAsiaTheme="minorEastAsia" w:hAnsiTheme="minorHAnsi" w:cstheme="minorBidi"/>
          <w:spacing w:val="0"/>
          <w:sz w:val="22"/>
          <w:szCs w:val="22"/>
        </w:rPr>
      </w:pPr>
      <w:r>
        <w:t>3.5</w:t>
      </w:r>
      <w:r>
        <w:rPr>
          <w:rFonts w:asciiTheme="minorHAnsi" w:eastAsiaTheme="minorEastAsia" w:hAnsiTheme="minorHAnsi" w:cstheme="minorBidi"/>
          <w:spacing w:val="0"/>
          <w:sz w:val="22"/>
          <w:szCs w:val="22"/>
        </w:rPr>
        <w:tab/>
      </w:r>
      <w:r>
        <w:t xml:space="preserve">Determination of cost component under paragraph 15(1)(d) </w:t>
      </w:r>
      <w:r>
        <w:br/>
        <w:t>of the Act—government grant for consumer representation program</w:t>
      </w:r>
      <w:r>
        <w:tab/>
      </w:r>
      <w:r>
        <w:fldChar w:fldCharType="begin"/>
      </w:r>
      <w:r>
        <w:instrText xml:space="preserve"> PAGEREF _Toc454268374 \h </w:instrText>
      </w:r>
      <w:r>
        <w:fldChar w:fldCharType="separate"/>
      </w:r>
      <w:r>
        <w:t>16</w:t>
      </w:r>
      <w:r>
        <w:fldChar w:fldCharType="end"/>
      </w:r>
    </w:p>
    <w:p w14:paraId="02BE126B" w14:textId="77777777" w:rsidR="009F53A3" w:rsidRDefault="009F53A3">
      <w:pPr>
        <w:pStyle w:val="TOC3"/>
        <w:tabs>
          <w:tab w:val="left" w:pos="885"/>
        </w:tabs>
        <w:rPr>
          <w:rFonts w:asciiTheme="minorHAnsi" w:eastAsiaTheme="minorEastAsia" w:hAnsiTheme="minorHAnsi" w:cstheme="minorBidi"/>
        </w:rPr>
      </w:pPr>
      <w:r>
        <w:t>3.5.1</w:t>
      </w:r>
      <w:r>
        <w:rPr>
          <w:rFonts w:asciiTheme="minorHAnsi" w:eastAsiaTheme="minorEastAsia" w:hAnsiTheme="minorHAnsi" w:cstheme="minorBidi"/>
        </w:rPr>
        <w:tab/>
      </w:r>
      <w:r>
        <w:t>Outputs and business processes of the activity</w:t>
      </w:r>
      <w:r>
        <w:tab/>
      </w:r>
      <w:r>
        <w:fldChar w:fldCharType="begin"/>
      </w:r>
      <w:r>
        <w:instrText xml:space="preserve"> PAGEREF _Toc454268375 \h </w:instrText>
      </w:r>
      <w:r>
        <w:fldChar w:fldCharType="separate"/>
      </w:r>
      <w:r>
        <w:t>16</w:t>
      </w:r>
      <w:r>
        <w:fldChar w:fldCharType="end"/>
      </w:r>
    </w:p>
    <w:p w14:paraId="50D5382F" w14:textId="77777777" w:rsidR="009F53A3" w:rsidRDefault="009F53A3">
      <w:pPr>
        <w:pStyle w:val="TOC3"/>
        <w:tabs>
          <w:tab w:val="left" w:pos="885"/>
        </w:tabs>
        <w:rPr>
          <w:rFonts w:asciiTheme="minorHAnsi" w:eastAsiaTheme="minorEastAsia" w:hAnsiTheme="minorHAnsi" w:cstheme="minorBidi"/>
        </w:rPr>
      </w:pPr>
      <w:r>
        <w:t>3.5.2</w:t>
      </w:r>
      <w:r>
        <w:rPr>
          <w:rFonts w:asciiTheme="minorHAnsi" w:eastAsiaTheme="minorEastAsia" w:hAnsiTheme="minorHAnsi" w:cstheme="minorBidi"/>
        </w:rPr>
        <w:tab/>
      </w:r>
      <w:r>
        <w:t>Costs of the activity</w:t>
      </w:r>
      <w:r>
        <w:tab/>
      </w:r>
      <w:r>
        <w:fldChar w:fldCharType="begin"/>
      </w:r>
      <w:r>
        <w:instrText xml:space="preserve"> PAGEREF _Toc454268376 \h </w:instrText>
      </w:r>
      <w:r>
        <w:fldChar w:fldCharType="separate"/>
      </w:r>
      <w:r>
        <w:t>16</w:t>
      </w:r>
      <w:r>
        <w:fldChar w:fldCharType="end"/>
      </w:r>
    </w:p>
    <w:p w14:paraId="1ED94E73" w14:textId="77777777" w:rsidR="009F53A3" w:rsidRDefault="009F53A3">
      <w:pPr>
        <w:pStyle w:val="TOC2"/>
        <w:rPr>
          <w:rFonts w:asciiTheme="minorHAnsi" w:eastAsiaTheme="minorEastAsia" w:hAnsiTheme="minorHAnsi" w:cstheme="minorBidi"/>
          <w:spacing w:val="0"/>
          <w:sz w:val="22"/>
          <w:szCs w:val="22"/>
        </w:rPr>
      </w:pPr>
      <w:r>
        <w:t>3.6</w:t>
      </w:r>
      <w:r>
        <w:rPr>
          <w:rFonts w:asciiTheme="minorHAnsi" w:eastAsiaTheme="minorEastAsia" w:hAnsiTheme="minorHAnsi" w:cstheme="minorBidi"/>
          <w:spacing w:val="0"/>
          <w:sz w:val="22"/>
          <w:szCs w:val="22"/>
        </w:rPr>
        <w:tab/>
      </w:r>
      <w:r>
        <w:t>Design of cost recovery charges</w:t>
      </w:r>
      <w:r>
        <w:tab/>
      </w:r>
      <w:r>
        <w:fldChar w:fldCharType="begin"/>
      </w:r>
      <w:r>
        <w:instrText xml:space="preserve"> PAGEREF _Toc454268377 \h </w:instrText>
      </w:r>
      <w:r>
        <w:fldChar w:fldCharType="separate"/>
      </w:r>
      <w:r>
        <w:t>17</w:t>
      </w:r>
      <w:r>
        <w:fldChar w:fldCharType="end"/>
      </w:r>
    </w:p>
    <w:p w14:paraId="11A3676C" w14:textId="77777777" w:rsidR="009F53A3" w:rsidRDefault="009F53A3">
      <w:pPr>
        <w:pStyle w:val="TOC1"/>
        <w:tabs>
          <w:tab w:val="left" w:pos="885"/>
        </w:tabs>
        <w:rPr>
          <w:rFonts w:asciiTheme="minorHAnsi" w:eastAsiaTheme="minorEastAsia" w:hAnsiTheme="minorHAnsi" w:cstheme="minorBidi"/>
          <w:b w:val="0"/>
          <w:spacing w:val="0"/>
          <w:sz w:val="22"/>
          <w:szCs w:val="22"/>
        </w:rPr>
      </w:pPr>
      <w:r>
        <w:lastRenderedPageBreak/>
        <w:t xml:space="preserve">4. </w:t>
      </w:r>
      <w:r>
        <w:rPr>
          <w:rFonts w:asciiTheme="minorHAnsi" w:eastAsiaTheme="minorEastAsia" w:hAnsiTheme="minorHAnsi" w:cstheme="minorBidi"/>
          <w:b w:val="0"/>
          <w:spacing w:val="0"/>
          <w:sz w:val="22"/>
          <w:szCs w:val="22"/>
        </w:rPr>
        <w:tab/>
      </w:r>
      <w:r>
        <w:t>Risk assessment</w:t>
      </w:r>
      <w:r>
        <w:tab/>
      </w:r>
      <w:r>
        <w:fldChar w:fldCharType="begin"/>
      </w:r>
      <w:r>
        <w:instrText xml:space="preserve"> PAGEREF _Toc454268378 \h </w:instrText>
      </w:r>
      <w:r>
        <w:fldChar w:fldCharType="separate"/>
      </w:r>
      <w:r>
        <w:t>19</w:t>
      </w:r>
      <w:r>
        <w:fldChar w:fldCharType="end"/>
      </w:r>
    </w:p>
    <w:p w14:paraId="44C36550" w14:textId="77777777" w:rsidR="009F53A3" w:rsidRDefault="009F53A3">
      <w:pPr>
        <w:pStyle w:val="TOC1"/>
        <w:tabs>
          <w:tab w:val="left" w:pos="885"/>
        </w:tabs>
        <w:rPr>
          <w:rFonts w:asciiTheme="minorHAnsi" w:eastAsiaTheme="minorEastAsia" w:hAnsiTheme="minorHAnsi" w:cstheme="minorBidi"/>
          <w:b w:val="0"/>
          <w:spacing w:val="0"/>
          <w:sz w:val="22"/>
          <w:szCs w:val="22"/>
        </w:rPr>
      </w:pPr>
      <w:r>
        <w:t xml:space="preserve">5. </w:t>
      </w:r>
      <w:r>
        <w:rPr>
          <w:rFonts w:asciiTheme="minorHAnsi" w:eastAsiaTheme="minorEastAsia" w:hAnsiTheme="minorHAnsi" w:cstheme="minorBidi"/>
          <w:b w:val="0"/>
          <w:spacing w:val="0"/>
          <w:sz w:val="22"/>
          <w:szCs w:val="22"/>
        </w:rPr>
        <w:tab/>
      </w:r>
      <w:r>
        <w:t>Stakeholder engagement</w:t>
      </w:r>
      <w:r>
        <w:tab/>
      </w:r>
      <w:r>
        <w:fldChar w:fldCharType="begin"/>
      </w:r>
      <w:r>
        <w:instrText xml:space="preserve"> PAGEREF _Toc454268379 \h </w:instrText>
      </w:r>
      <w:r>
        <w:fldChar w:fldCharType="separate"/>
      </w:r>
      <w:r>
        <w:t>20</w:t>
      </w:r>
      <w:r>
        <w:fldChar w:fldCharType="end"/>
      </w:r>
    </w:p>
    <w:p w14:paraId="1712880E" w14:textId="77777777" w:rsidR="009F53A3" w:rsidRDefault="009F53A3">
      <w:pPr>
        <w:pStyle w:val="TOC1"/>
        <w:tabs>
          <w:tab w:val="left" w:pos="885"/>
        </w:tabs>
        <w:rPr>
          <w:rFonts w:asciiTheme="minorHAnsi" w:eastAsiaTheme="minorEastAsia" w:hAnsiTheme="minorHAnsi" w:cstheme="minorBidi"/>
          <w:b w:val="0"/>
          <w:spacing w:val="0"/>
          <w:sz w:val="22"/>
          <w:szCs w:val="22"/>
        </w:rPr>
      </w:pPr>
      <w:r>
        <w:t xml:space="preserve">6. </w:t>
      </w:r>
      <w:r>
        <w:rPr>
          <w:rFonts w:asciiTheme="minorHAnsi" w:eastAsiaTheme="minorEastAsia" w:hAnsiTheme="minorHAnsi" w:cstheme="minorBidi"/>
          <w:b w:val="0"/>
          <w:spacing w:val="0"/>
          <w:sz w:val="22"/>
          <w:szCs w:val="22"/>
        </w:rPr>
        <w:tab/>
      </w:r>
      <w:r>
        <w:t>Financial estimates</w:t>
      </w:r>
      <w:r>
        <w:tab/>
      </w:r>
      <w:r>
        <w:fldChar w:fldCharType="begin"/>
      </w:r>
      <w:r>
        <w:instrText xml:space="preserve"> PAGEREF _Toc454268380 \h </w:instrText>
      </w:r>
      <w:r>
        <w:fldChar w:fldCharType="separate"/>
      </w:r>
      <w:r>
        <w:t>21</w:t>
      </w:r>
      <w:r>
        <w:fldChar w:fldCharType="end"/>
      </w:r>
    </w:p>
    <w:p w14:paraId="3CFA3A55" w14:textId="23E006FF" w:rsidR="009F53A3" w:rsidRDefault="009F53A3" w:rsidP="009F53A3">
      <w:pPr>
        <w:pStyle w:val="TOC1"/>
        <w:tabs>
          <w:tab w:val="left" w:pos="885"/>
        </w:tabs>
        <w:rPr>
          <w:rFonts w:asciiTheme="minorHAnsi" w:eastAsiaTheme="minorEastAsia" w:hAnsiTheme="minorHAnsi" w:cstheme="minorBidi"/>
          <w:b w:val="0"/>
          <w:spacing w:val="0"/>
          <w:sz w:val="22"/>
          <w:szCs w:val="22"/>
        </w:rPr>
      </w:pPr>
      <w:r>
        <w:t xml:space="preserve">7A. </w:t>
      </w:r>
      <w:r>
        <w:tab/>
        <w:t>Financial performance</w:t>
      </w:r>
      <w:r>
        <w:tab/>
      </w:r>
      <w:r>
        <w:fldChar w:fldCharType="begin"/>
      </w:r>
      <w:r>
        <w:instrText xml:space="preserve"> PAGEREF _Toc454268381 \h </w:instrText>
      </w:r>
      <w:r>
        <w:fldChar w:fldCharType="separate"/>
      </w:r>
      <w:r>
        <w:t>23</w:t>
      </w:r>
      <w:r>
        <w:fldChar w:fldCharType="end"/>
      </w:r>
    </w:p>
    <w:p w14:paraId="669CA006" w14:textId="38D03055" w:rsidR="009F53A3" w:rsidRDefault="009F53A3" w:rsidP="009F53A3">
      <w:pPr>
        <w:pStyle w:val="TOC1"/>
        <w:tabs>
          <w:tab w:val="left" w:pos="885"/>
        </w:tabs>
        <w:rPr>
          <w:rFonts w:asciiTheme="minorHAnsi" w:eastAsiaTheme="minorEastAsia" w:hAnsiTheme="minorHAnsi" w:cstheme="minorBidi"/>
          <w:b w:val="0"/>
          <w:spacing w:val="0"/>
          <w:sz w:val="22"/>
          <w:szCs w:val="22"/>
        </w:rPr>
      </w:pPr>
      <w:r>
        <w:t xml:space="preserve">7B. </w:t>
      </w:r>
      <w:r>
        <w:tab/>
        <w:t>Non-financial performance</w:t>
      </w:r>
      <w:r>
        <w:tab/>
      </w:r>
      <w:r>
        <w:fldChar w:fldCharType="begin"/>
      </w:r>
      <w:r>
        <w:instrText xml:space="preserve"> PAGEREF _Toc454268382 \h </w:instrText>
      </w:r>
      <w:r>
        <w:fldChar w:fldCharType="separate"/>
      </w:r>
      <w:r>
        <w:t>25</w:t>
      </w:r>
      <w:r>
        <w:fldChar w:fldCharType="end"/>
      </w:r>
    </w:p>
    <w:p w14:paraId="21B3FB85" w14:textId="77777777" w:rsidR="009F53A3" w:rsidRDefault="009F53A3">
      <w:pPr>
        <w:pStyle w:val="TOC1"/>
        <w:tabs>
          <w:tab w:val="left" w:pos="885"/>
        </w:tabs>
        <w:rPr>
          <w:rFonts w:asciiTheme="minorHAnsi" w:eastAsiaTheme="minorEastAsia" w:hAnsiTheme="minorHAnsi" w:cstheme="minorBidi"/>
          <w:b w:val="0"/>
          <w:spacing w:val="0"/>
          <w:sz w:val="22"/>
          <w:szCs w:val="22"/>
        </w:rPr>
      </w:pPr>
      <w:r>
        <w:t>8.</w:t>
      </w:r>
      <w:r>
        <w:rPr>
          <w:rFonts w:asciiTheme="minorHAnsi" w:eastAsiaTheme="minorEastAsia" w:hAnsiTheme="minorHAnsi" w:cstheme="minorBidi"/>
          <w:b w:val="0"/>
          <w:spacing w:val="0"/>
          <w:sz w:val="22"/>
          <w:szCs w:val="22"/>
        </w:rPr>
        <w:tab/>
      </w:r>
      <w:r>
        <w:t>Key forward dates and events</w:t>
      </w:r>
      <w:r>
        <w:tab/>
      </w:r>
      <w:r>
        <w:fldChar w:fldCharType="begin"/>
      </w:r>
      <w:r>
        <w:instrText xml:space="preserve"> PAGEREF _Toc454268383 \h </w:instrText>
      </w:r>
      <w:r>
        <w:fldChar w:fldCharType="separate"/>
      </w:r>
      <w:r>
        <w:t>27</w:t>
      </w:r>
      <w:r>
        <w:fldChar w:fldCharType="end"/>
      </w:r>
    </w:p>
    <w:p w14:paraId="10C4E207" w14:textId="77777777" w:rsidR="009F53A3" w:rsidRDefault="009F53A3">
      <w:pPr>
        <w:pStyle w:val="TOC1"/>
        <w:tabs>
          <w:tab w:val="left" w:pos="885"/>
        </w:tabs>
        <w:rPr>
          <w:rFonts w:asciiTheme="minorHAnsi" w:eastAsiaTheme="minorEastAsia" w:hAnsiTheme="minorHAnsi" w:cstheme="minorBidi"/>
          <w:b w:val="0"/>
          <w:spacing w:val="0"/>
          <w:sz w:val="22"/>
          <w:szCs w:val="22"/>
        </w:rPr>
      </w:pPr>
      <w:r>
        <w:t xml:space="preserve">9. </w:t>
      </w:r>
      <w:r>
        <w:rPr>
          <w:rFonts w:asciiTheme="minorHAnsi" w:eastAsiaTheme="minorEastAsia" w:hAnsiTheme="minorHAnsi" w:cstheme="minorBidi"/>
          <w:b w:val="0"/>
          <w:spacing w:val="0"/>
          <w:sz w:val="22"/>
          <w:szCs w:val="22"/>
        </w:rPr>
        <w:tab/>
      </w:r>
      <w:r>
        <w:t>CRIS approval and change register</w:t>
      </w:r>
      <w:r>
        <w:tab/>
      </w:r>
      <w:r>
        <w:fldChar w:fldCharType="begin"/>
      </w:r>
      <w:r>
        <w:instrText xml:space="preserve"> PAGEREF _Toc454268384 \h </w:instrText>
      </w:r>
      <w:r>
        <w:fldChar w:fldCharType="separate"/>
      </w:r>
      <w:r>
        <w:t>28</w:t>
      </w:r>
      <w:r>
        <w:fldChar w:fldCharType="end"/>
      </w:r>
    </w:p>
    <w:p w14:paraId="6C1FEFAC" w14:textId="77777777" w:rsidR="009F53A3" w:rsidRDefault="009F53A3">
      <w:pPr>
        <w:pStyle w:val="TOC1"/>
        <w:rPr>
          <w:rFonts w:asciiTheme="minorHAnsi" w:eastAsiaTheme="minorEastAsia" w:hAnsiTheme="minorHAnsi" w:cstheme="minorBidi"/>
          <w:b w:val="0"/>
          <w:spacing w:val="0"/>
          <w:sz w:val="22"/>
          <w:szCs w:val="22"/>
        </w:rPr>
      </w:pPr>
      <w:r>
        <w:t>Glossary</w:t>
      </w:r>
      <w:r>
        <w:tab/>
      </w:r>
      <w:r>
        <w:fldChar w:fldCharType="begin"/>
      </w:r>
      <w:r>
        <w:instrText xml:space="preserve"> PAGEREF _Toc454268385 \h </w:instrText>
      </w:r>
      <w:r>
        <w:fldChar w:fldCharType="separate"/>
      </w:r>
      <w:r>
        <w:t>29</w:t>
      </w:r>
      <w:r>
        <w:fldChar w:fldCharType="end"/>
      </w:r>
    </w:p>
    <w:p w14:paraId="203A7E1E" w14:textId="77777777" w:rsidR="009F53A3" w:rsidRDefault="009F53A3">
      <w:pPr>
        <w:pStyle w:val="TOC1"/>
        <w:rPr>
          <w:rFonts w:asciiTheme="minorHAnsi" w:eastAsiaTheme="minorEastAsia" w:hAnsiTheme="minorHAnsi" w:cstheme="minorBidi"/>
          <w:b w:val="0"/>
          <w:spacing w:val="0"/>
          <w:sz w:val="22"/>
          <w:szCs w:val="22"/>
        </w:rPr>
      </w:pPr>
      <w:r>
        <w:t>Attachment A</w:t>
      </w:r>
      <w:r>
        <w:tab/>
      </w:r>
      <w:r>
        <w:fldChar w:fldCharType="begin"/>
      </w:r>
      <w:r>
        <w:instrText xml:space="preserve"> PAGEREF _Toc454268386 \h </w:instrText>
      </w:r>
      <w:r>
        <w:fldChar w:fldCharType="separate"/>
      </w:r>
      <w:r>
        <w:t>30</w:t>
      </w:r>
      <w:r>
        <w:fldChar w:fldCharType="end"/>
      </w:r>
    </w:p>
    <w:p w14:paraId="7F04F646" w14:textId="77777777" w:rsidR="009F53A3" w:rsidRDefault="009F53A3">
      <w:pPr>
        <w:pStyle w:val="TOC2"/>
        <w:rPr>
          <w:rFonts w:asciiTheme="minorHAnsi" w:eastAsiaTheme="minorEastAsia" w:hAnsiTheme="minorHAnsi" w:cstheme="minorBidi"/>
          <w:spacing w:val="0"/>
          <w:sz w:val="22"/>
          <w:szCs w:val="22"/>
        </w:rPr>
      </w:pPr>
      <w:r>
        <w:t>ACLC for 2015–16</w:t>
      </w:r>
      <w:r>
        <w:tab/>
      </w:r>
      <w:r>
        <w:fldChar w:fldCharType="begin"/>
      </w:r>
      <w:r>
        <w:instrText xml:space="preserve"> PAGEREF _Toc454268387 \h </w:instrText>
      </w:r>
      <w:r>
        <w:fldChar w:fldCharType="separate"/>
      </w:r>
      <w:r>
        <w:t>30</w:t>
      </w:r>
      <w:r>
        <w:fldChar w:fldCharType="end"/>
      </w:r>
    </w:p>
    <w:p w14:paraId="7C68D02A" w14:textId="77777777" w:rsidR="009F53A3" w:rsidRDefault="009F53A3">
      <w:pPr>
        <w:pStyle w:val="TOC1"/>
        <w:rPr>
          <w:rFonts w:asciiTheme="minorHAnsi" w:eastAsiaTheme="minorEastAsia" w:hAnsiTheme="minorHAnsi" w:cstheme="minorBidi"/>
          <w:b w:val="0"/>
          <w:spacing w:val="0"/>
          <w:sz w:val="22"/>
          <w:szCs w:val="22"/>
        </w:rPr>
      </w:pPr>
      <w:r>
        <w:t>Attachment B</w:t>
      </w:r>
      <w:r>
        <w:tab/>
      </w:r>
      <w:r>
        <w:fldChar w:fldCharType="begin"/>
      </w:r>
      <w:r>
        <w:instrText xml:space="preserve"> PAGEREF _Toc454268388 \h </w:instrText>
      </w:r>
      <w:r>
        <w:fldChar w:fldCharType="separate"/>
      </w:r>
      <w:r>
        <w:t>32</w:t>
      </w:r>
      <w:r>
        <w:fldChar w:fldCharType="end"/>
      </w:r>
    </w:p>
    <w:p w14:paraId="5C06DB75" w14:textId="77777777" w:rsidR="009F53A3" w:rsidRDefault="009F53A3">
      <w:pPr>
        <w:pStyle w:val="TOC2"/>
        <w:rPr>
          <w:rFonts w:asciiTheme="minorHAnsi" w:eastAsiaTheme="minorEastAsia" w:hAnsiTheme="minorHAnsi" w:cstheme="minorBidi"/>
          <w:spacing w:val="0"/>
          <w:sz w:val="22"/>
          <w:szCs w:val="22"/>
        </w:rPr>
      </w:pPr>
      <w:r>
        <w:t>Telecommunications activities not included in the ACLC</w:t>
      </w:r>
      <w:r>
        <w:tab/>
      </w:r>
      <w:r>
        <w:fldChar w:fldCharType="begin"/>
      </w:r>
      <w:r>
        <w:instrText xml:space="preserve"> PAGEREF _Toc454268389 \h </w:instrText>
      </w:r>
      <w:r>
        <w:fldChar w:fldCharType="separate"/>
      </w:r>
      <w:r>
        <w:t>32</w:t>
      </w:r>
      <w:r>
        <w:fldChar w:fldCharType="end"/>
      </w:r>
    </w:p>
    <w:p w14:paraId="0E3DF74A" w14:textId="77777777" w:rsidR="000A4A51" w:rsidRPr="000D76E0" w:rsidRDefault="00B1182A">
      <w:pPr>
        <w:rPr>
          <w:rFonts w:cs="Arial"/>
        </w:rPr>
      </w:pPr>
      <w:r>
        <w:rPr>
          <w:rFonts w:cs="Arial"/>
          <w:b/>
          <w:noProof/>
          <w:spacing w:val="-14"/>
          <w:sz w:val="28"/>
        </w:rPr>
        <w:fldChar w:fldCharType="end"/>
      </w:r>
    </w:p>
    <w:p w14:paraId="7A447F96" w14:textId="77777777" w:rsidR="004D56FF" w:rsidRPr="000D76E0" w:rsidRDefault="004D56FF">
      <w:pPr>
        <w:rPr>
          <w:rFonts w:cs="Arial"/>
        </w:rPr>
        <w:sectPr w:rsidR="004D56FF" w:rsidRPr="000D76E0" w:rsidSect="00C77380">
          <w:headerReference w:type="even" r:id="rId18"/>
          <w:headerReference w:type="default" r:id="rId19"/>
          <w:footerReference w:type="even" r:id="rId20"/>
          <w:footerReference w:type="default" r:id="rId21"/>
          <w:footerReference w:type="first" r:id="rId22"/>
          <w:pgSz w:w="11906" w:h="16838" w:code="9"/>
          <w:pgMar w:top="3646" w:right="3101" w:bottom="1134" w:left="1134" w:header="709" w:footer="119" w:gutter="0"/>
          <w:cols w:space="708"/>
          <w:titlePg/>
          <w:docGrid w:linePitch="360"/>
        </w:sectPr>
      </w:pPr>
    </w:p>
    <w:p w14:paraId="30DF960E" w14:textId="77777777" w:rsidR="009E783D" w:rsidRPr="00CC3F4B" w:rsidRDefault="009E783D" w:rsidP="009E783D">
      <w:pPr>
        <w:pStyle w:val="Heading1"/>
      </w:pPr>
      <w:bookmarkStart w:id="1" w:name="_Toc355953981"/>
      <w:bookmarkStart w:id="2" w:name="_Toc385256311"/>
      <w:bookmarkStart w:id="3" w:name="_Toc417990939"/>
      <w:bookmarkStart w:id="4" w:name="_Toc454268354"/>
      <w:r w:rsidRPr="00CC3F4B">
        <w:lastRenderedPageBreak/>
        <w:t xml:space="preserve">1. </w:t>
      </w:r>
      <w:r w:rsidRPr="00CC3F4B">
        <w:tab/>
      </w:r>
      <w:bookmarkEnd w:id="1"/>
      <w:r w:rsidRPr="00863C10">
        <w:t>Introduction</w:t>
      </w:r>
      <w:bookmarkEnd w:id="2"/>
      <w:bookmarkEnd w:id="3"/>
      <w:bookmarkEnd w:id="4"/>
    </w:p>
    <w:p w14:paraId="0C8C549B" w14:textId="77777777" w:rsidR="009E783D" w:rsidRPr="00EA3B0D" w:rsidRDefault="009E783D" w:rsidP="00EA3B0D">
      <w:pPr>
        <w:pStyle w:val="Heading2"/>
      </w:pPr>
      <w:bookmarkStart w:id="5" w:name="_Toc355953982"/>
      <w:bookmarkStart w:id="6" w:name="_Toc385256312"/>
      <w:bookmarkStart w:id="7" w:name="_Toc417990940"/>
      <w:bookmarkStart w:id="8" w:name="_Toc454268355"/>
      <w:bookmarkStart w:id="9" w:name="purpose"/>
      <w:r w:rsidRPr="00EA3B0D">
        <w:t xml:space="preserve">1.1 </w:t>
      </w:r>
      <w:r w:rsidRPr="00EA3B0D">
        <w:tab/>
        <w:t>Purpose</w:t>
      </w:r>
      <w:bookmarkEnd w:id="5"/>
      <w:bookmarkEnd w:id="6"/>
      <w:r w:rsidRPr="00EA3B0D">
        <w:t xml:space="preserve"> of the Cost Recovery Implementation Statement</w:t>
      </w:r>
      <w:bookmarkEnd w:id="7"/>
      <w:bookmarkEnd w:id="8"/>
    </w:p>
    <w:bookmarkEnd w:id="9"/>
    <w:p w14:paraId="7E9676A7" w14:textId="77777777" w:rsidR="006B519D" w:rsidRDefault="009E783D" w:rsidP="00EA3B0D">
      <w:r w:rsidRPr="00DF1CB8">
        <w:t xml:space="preserve">This Cost Recovery Implementation Statement (CRIS) provides information on how the Australian Communications and Media Authority (the ACMA) implements cost recovery for </w:t>
      </w:r>
      <w:r>
        <w:t>relevant activities funded via the Annual Carrier Licence Charge (ACLC)</w:t>
      </w:r>
      <w:r w:rsidRPr="00DF1CB8">
        <w:t xml:space="preserve">. </w:t>
      </w:r>
    </w:p>
    <w:p w14:paraId="6D52D548" w14:textId="3A95D5F8" w:rsidR="009E783D" w:rsidRPr="00EA3B0D" w:rsidRDefault="009E783D" w:rsidP="00EA3B0D">
      <w:r>
        <w:t>A</w:t>
      </w:r>
      <w:r w:rsidRPr="00A84CBD">
        <w:t xml:space="preserve"> summary of the cost recovery model used by the A</w:t>
      </w:r>
      <w:r>
        <w:t>CMA</w:t>
      </w:r>
      <w:r w:rsidRPr="00A84CBD">
        <w:t xml:space="preserve"> and other participating organisations</w:t>
      </w:r>
      <w:r>
        <w:t xml:space="preserve"> is included in this statement</w:t>
      </w:r>
      <w:r w:rsidRPr="00A84CBD">
        <w:t>.</w:t>
      </w:r>
      <w:r>
        <w:t xml:space="preserve"> </w:t>
      </w:r>
      <w:r w:rsidRPr="00DF1CB8">
        <w:t>It also reports financial performance for these activities and contains financial forecasts for th</w:t>
      </w:r>
      <w:r w:rsidR="009D3C4F">
        <w:t>e 2015</w:t>
      </w:r>
      <w:r w:rsidR="00B9480B">
        <w:t>–</w:t>
      </w:r>
      <w:r w:rsidR="009D3C4F">
        <w:t>16</w:t>
      </w:r>
      <w:r w:rsidRPr="00DF1CB8">
        <w:t xml:space="preserve"> </w:t>
      </w:r>
      <w:r w:rsidR="009D3C4F">
        <w:t xml:space="preserve">financial </w:t>
      </w:r>
      <w:r w:rsidRPr="00DF1CB8">
        <w:t>year and three forward years. The ACMA will maintain the CRIS until the activities or cost recovery for the activities have been discontinued.</w:t>
      </w:r>
    </w:p>
    <w:p w14:paraId="1DCD2BA9" w14:textId="213E659C" w:rsidR="009E783D" w:rsidRPr="00EA3B0D" w:rsidRDefault="009E783D" w:rsidP="00EA3B0D">
      <w:r w:rsidRPr="00A84CBD">
        <w:t>The ACLC amounts payable by carrier lice</w:t>
      </w:r>
      <w:r w:rsidR="00997A48">
        <w:t>nsees for the period 1 July 2015 to 30 June 2016</w:t>
      </w:r>
      <w:r w:rsidRPr="00A84CBD">
        <w:t xml:space="preserve"> are </w:t>
      </w:r>
      <w:r>
        <w:t>set out</w:t>
      </w:r>
      <w:r w:rsidRPr="00A84CBD">
        <w:t xml:space="preserve"> in Attachment A.</w:t>
      </w:r>
    </w:p>
    <w:p w14:paraId="6310B9A6" w14:textId="77777777" w:rsidR="009E783D" w:rsidRPr="00EA3B0D" w:rsidRDefault="009E783D" w:rsidP="00EA3B0D">
      <w:pPr>
        <w:pStyle w:val="Heading2"/>
      </w:pPr>
      <w:bookmarkStart w:id="10" w:name="_Toc355953983"/>
      <w:bookmarkStart w:id="11" w:name="_Toc385256313"/>
      <w:bookmarkStart w:id="12" w:name="_Toc417990941"/>
      <w:bookmarkStart w:id="13" w:name="_Toc454268356"/>
      <w:bookmarkStart w:id="14" w:name="background"/>
      <w:r w:rsidRPr="00EA3B0D">
        <w:t>1.2</w:t>
      </w:r>
      <w:r w:rsidRPr="00EA3B0D">
        <w:tab/>
        <w:t>Background</w:t>
      </w:r>
      <w:bookmarkEnd w:id="10"/>
      <w:r w:rsidRPr="00EA3B0D">
        <w:t xml:space="preserve"> and description of activity</w:t>
      </w:r>
      <w:bookmarkEnd w:id="11"/>
      <w:bookmarkEnd w:id="12"/>
      <w:bookmarkEnd w:id="13"/>
    </w:p>
    <w:bookmarkEnd w:id="14"/>
    <w:p w14:paraId="13AF0B8B" w14:textId="0A11EC68" w:rsidR="009E783D" w:rsidRPr="005D0BC8" w:rsidRDefault="009E783D" w:rsidP="009E783D">
      <w:r w:rsidRPr="00A84CBD">
        <w:t xml:space="preserve">The ACMA is a statutory authority within the </w:t>
      </w:r>
      <w:r>
        <w:t xml:space="preserve">Communications </w:t>
      </w:r>
      <w:r w:rsidR="00B030F0">
        <w:t xml:space="preserve">and the Arts </w:t>
      </w:r>
      <w:r>
        <w:t>portfolio of the Commonwealth Government</w:t>
      </w:r>
      <w:r w:rsidRPr="00A84CBD">
        <w:t>. It is responsible for administering the telecommunications regulatory regime</w:t>
      </w:r>
      <w:r w:rsidR="00B9480B">
        <w:t>,</w:t>
      </w:r>
      <w:r w:rsidRPr="00A84CBD">
        <w:t xml:space="preserve"> which is established </w:t>
      </w:r>
      <w:r w:rsidR="009D3C4F">
        <w:t xml:space="preserve">primarily </w:t>
      </w:r>
      <w:r w:rsidRPr="00A84CBD">
        <w:t xml:space="preserve">through the </w:t>
      </w:r>
      <w:r w:rsidRPr="006B3422">
        <w:rPr>
          <w:i/>
        </w:rPr>
        <w:t>Australian Communications and Media Authority Act 2005</w:t>
      </w:r>
      <w:r w:rsidR="00493DFE">
        <w:t xml:space="preserve"> and</w:t>
      </w:r>
      <w:r w:rsidRPr="00A84CBD">
        <w:t xml:space="preserve"> the </w:t>
      </w:r>
      <w:r w:rsidRPr="006B3422">
        <w:rPr>
          <w:i/>
        </w:rPr>
        <w:t>Telecommunications Act 1997</w:t>
      </w:r>
      <w:r w:rsidRPr="00F250B5">
        <w:t>.</w:t>
      </w:r>
    </w:p>
    <w:p w14:paraId="3D5A9F19" w14:textId="4A5D9DD5" w:rsidR="009E783D" w:rsidRPr="005D0BC8" w:rsidRDefault="009E783D" w:rsidP="009E783D">
      <w:r w:rsidRPr="00A84CBD">
        <w:t xml:space="preserve">The ACLC </w:t>
      </w:r>
      <w:r w:rsidR="00D110A8">
        <w:t>was established</w:t>
      </w:r>
      <w:r w:rsidR="00D110A8" w:rsidRPr="00A84CBD">
        <w:t xml:space="preserve"> </w:t>
      </w:r>
      <w:r w:rsidRPr="00A84CBD">
        <w:t xml:space="preserve">to fund </w:t>
      </w:r>
      <w:r w:rsidR="00B9480B">
        <w:t xml:space="preserve">the </w:t>
      </w:r>
      <w:r w:rsidRPr="00A84CBD">
        <w:t>activities of the ACMA, the Australian Competition and Consumer Commission (the ACCC) and the De</w:t>
      </w:r>
      <w:r>
        <w:t xml:space="preserve">partment of Communications </w:t>
      </w:r>
      <w:r w:rsidR="00B030F0">
        <w:t xml:space="preserve">and the Arts </w:t>
      </w:r>
      <w:r>
        <w:t>(DoC</w:t>
      </w:r>
      <w:r w:rsidR="00B030F0">
        <w:t>A</w:t>
      </w:r>
      <w:r w:rsidRPr="00A84CBD">
        <w:t xml:space="preserve">) in regulating telecommunications services </w:t>
      </w:r>
      <w:r>
        <w:t>provided by licensed carriers</w:t>
      </w:r>
      <w:r w:rsidR="00B9480B">
        <w:t>,</w:t>
      </w:r>
      <w:r w:rsidR="006B519D">
        <w:t xml:space="preserve"> </w:t>
      </w:r>
      <w:r w:rsidR="00D110A8">
        <w:t>so</w:t>
      </w:r>
      <w:r w:rsidR="006B519D">
        <w:t xml:space="preserve"> </w:t>
      </w:r>
      <w:r>
        <w:t xml:space="preserve">that those who </w:t>
      </w:r>
      <w:r w:rsidR="00D110A8">
        <w:t xml:space="preserve">create the need for </w:t>
      </w:r>
      <w:r>
        <w:t>the government activities meet the cost of those activities</w:t>
      </w:r>
      <w:r w:rsidRPr="00A84CBD">
        <w:t xml:space="preserve">. </w:t>
      </w:r>
    </w:p>
    <w:p w14:paraId="5896667C" w14:textId="7E8202E4" w:rsidR="009E783D" w:rsidRPr="005D0BC8" w:rsidRDefault="009E783D" w:rsidP="009E783D">
      <w:r w:rsidRPr="00A84CBD">
        <w:t xml:space="preserve">The costs of the ACMA’s other regulatory activities, such as those related to radiocommunications, internet content and broadcasting services, are not included in the ACLC. </w:t>
      </w:r>
    </w:p>
    <w:p w14:paraId="1CE68C2C" w14:textId="50B03BAB" w:rsidR="006B519D" w:rsidRDefault="00B030F0" w:rsidP="009E783D">
      <w:r w:rsidRPr="00767C1C">
        <w:t>The ACLC for the 2015–16</w:t>
      </w:r>
      <w:r w:rsidR="009E783D" w:rsidRPr="00767C1C">
        <w:t xml:space="preserve"> financial year is allocated to licensed telecommunications carriers based on their eligible revenue within the meaning of the</w:t>
      </w:r>
      <w:r w:rsidR="00493DFE" w:rsidRPr="00767C1C">
        <w:t xml:space="preserve"> </w:t>
      </w:r>
      <w:r w:rsidR="00493DFE" w:rsidRPr="00767C1C">
        <w:rPr>
          <w:i/>
        </w:rPr>
        <w:t>Telecommunications (Consumer Protection and Service Standards) Act 1999</w:t>
      </w:r>
      <w:r w:rsidR="009E783D" w:rsidRPr="00767C1C">
        <w:t xml:space="preserve"> f</w:t>
      </w:r>
      <w:r w:rsidRPr="00767C1C">
        <w:t>or the 2014–15</w:t>
      </w:r>
      <w:r w:rsidR="009E783D" w:rsidRPr="00767C1C">
        <w:t xml:space="preserve"> financial year, as assessed by the ACMA. Carriers that were ‘non-participating persons’ within the meaning of the Telecommunications (Participa</w:t>
      </w:r>
      <w:r w:rsidR="00767C1C" w:rsidRPr="00767C1C">
        <w:t xml:space="preserve">ting Persons) Determination 2015 </w:t>
      </w:r>
      <w:r w:rsidR="009E783D" w:rsidRPr="00767C1C">
        <w:t xml:space="preserve">for the eligible revenue period that began on </w:t>
      </w:r>
      <w:r w:rsidR="006B519D" w:rsidRPr="00767C1C">
        <w:t>1 </w:t>
      </w:r>
      <w:r w:rsidRPr="00767C1C">
        <w:t>July 2014 and ended 30 June 2015</w:t>
      </w:r>
      <w:r w:rsidR="009E783D" w:rsidRPr="00767C1C">
        <w:t xml:space="preserve"> are, in effect, exempted from paying the ACLC</w:t>
      </w:r>
      <w:r w:rsidR="00B9480B">
        <w:t>.</w:t>
      </w:r>
      <w:r w:rsidR="009D3C4F">
        <w:rPr>
          <w:rStyle w:val="FootnoteReference"/>
        </w:rPr>
        <w:footnoteReference w:id="1"/>
      </w:r>
      <w:r w:rsidR="00461070">
        <w:t xml:space="preserve"> It is appropriate that those who create the need for these regulatory activities meet these expenses through the ACLC.</w:t>
      </w:r>
      <w:r w:rsidR="003A7931">
        <w:t xml:space="preserve"> Those who are non-participating persons, while operating in the telecommunications industry, do not create any substantial regulatory burden.</w:t>
      </w:r>
    </w:p>
    <w:p w14:paraId="539C47C1" w14:textId="3D67B89D" w:rsidR="009E783D" w:rsidRDefault="009E783D" w:rsidP="009E783D">
      <w:r w:rsidRPr="00A84CBD">
        <w:t xml:space="preserve">Generally, non-participating persons are carriers with initial sales revenue, gross telecommunications sales revenue or eligible revenue of less than $25 million </w:t>
      </w:r>
      <w:r>
        <w:t xml:space="preserve">for the eligible period (that is, smaller carriers) </w:t>
      </w:r>
      <w:r w:rsidRPr="00A84CBD">
        <w:t xml:space="preserve">who lodge the required statutory declaration </w:t>
      </w:r>
      <w:r w:rsidRPr="00A84CBD">
        <w:lastRenderedPageBreak/>
        <w:t>with the ACMA within the specified time frame</w:t>
      </w:r>
      <w:r w:rsidR="00B9480B">
        <w:t>.</w:t>
      </w:r>
      <w:r w:rsidRPr="00A90C13">
        <w:rPr>
          <w:rStyle w:val="FootnoteReference"/>
          <w:rFonts w:cs="Arial"/>
          <w:szCs w:val="20"/>
        </w:rPr>
        <w:footnoteReference w:id="2"/>
      </w:r>
      <w:r w:rsidRPr="00A84CBD">
        <w:t xml:space="preserve"> Any carrier who holds a licence on 1</w:t>
      </w:r>
      <w:r w:rsidR="00B030F0">
        <w:t> July 2015</w:t>
      </w:r>
      <w:r w:rsidRPr="00A84CBD">
        <w:t xml:space="preserve"> and is not a non-participating person is requi</w:t>
      </w:r>
      <w:r w:rsidR="00B030F0">
        <w:t>red to pay the ACLC for the 2015–16</w:t>
      </w:r>
      <w:r w:rsidRPr="00A84CBD">
        <w:t xml:space="preserve"> financial year, irrespective of whether they have surrendered or cancelled their licence subsequent to this date, and will be held liable for payment of </w:t>
      </w:r>
      <w:r>
        <w:t xml:space="preserve">the charge when it </w:t>
      </w:r>
      <w:r w:rsidR="006B519D">
        <w:t xml:space="preserve">is </w:t>
      </w:r>
      <w:r>
        <w:t>due.</w:t>
      </w:r>
    </w:p>
    <w:p w14:paraId="2D7993CD" w14:textId="1CCB195F" w:rsidR="009E783D" w:rsidRDefault="009E783D" w:rsidP="009E783D">
      <w:r>
        <w:t>The DoC</w:t>
      </w:r>
      <w:r w:rsidR="00B030F0">
        <w:t>A</w:t>
      </w:r>
      <w:r>
        <w:t xml:space="preserve"> conducted a </w:t>
      </w:r>
      <w:r w:rsidR="007C722C">
        <w:t>Communication P</w:t>
      </w:r>
      <w:r>
        <w:t xml:space="preserve">ortfolio </w:t>
      </w:r>
      <w:r w:rsidR="007C722C">
        <w:t>C</w:t>
      </w:r>
      <w:r>
        <w:t>h</w:t>
      </w:r>
      <w:r w:rsidR="007C722C">
        <w:t>arging R</w:t>
      </w:r>
      <w:r>
        <w:t xml:space="preserve">eview in the early part of 2015, which affirmed that activities funded via the ACLC will remain subject to the Australian Government </w:t>
      </w:r>
      <w:r w:rsidR="003A7931">
        <w:t>Charging Framework</w:t>
      </w:r>
      <w:r>
        <w:t xml:space="preserve">. </w:t>
      </w:r>
    </w:p>
    <w:p w14:paraId="2C27ED66" w14:textId="77777777" w:rsidR="009E783D" w:rsidRPr="0008218E" w:rsidRDefault="009E783D" w:rsidP="00EA3B0D">
      <w:pPr>
        <w:pStyle w:val="Heading2"/>
      </w:pPr>
      <w:bookmarkStart w:id="15" w:name="_Toc454268357"/>
      <w:r w:rsidRPr="0008218E">
        <w:t>1.3 Stakeholders</w:t>
      </w:r>
      <w:bookmarkEnd w:id="15"/>
    </w:p>
    <w:p w14:paraId="12CB384D" w14:textId="07005D73" w:rsidR="009E783D" w:rsidRDefault="009E783D" w:rsidP="009E783D">
      <w:r>
        <w:t>The key stakeholders are telecommunications carriers, telecommunications carriage service providers, telecommunications industry bodies (</w:t>
      </w:r>
      <w:r w:rsidR="006B519D">
        <w:t>for example,</w:t>
      </w:r>
      <w:r>
        <w:t xml:space="preserve"> Consumer Alliance) and telecommunications consumer bodies (</w:t>
      </w:r>
      <w:r w:rsidR="006B519D">
        <w:t>for example,</w:t>
      </w:r>
      <w:r>
        <w:t xml:space="preserve"> </w:t>
      </w:r>
      <w:r w:rsidR="009D3C4F">
        <w:t xml:space="preserve">the </w:t>
      </w:r>
      <w:r>
        <w:t>Australian Communications Consumer Action Network).</w:t>
      </w:r>
      <w:r w:rsidDel="00863C10">
        <w:t xml:space="preserve"> </w:t>
      </w:r>
    </w:p>
    <w:p w14:paraId="193B9813" w14:textId="77777777" w:rsidR="009E783D" w:rsidRPr="00EA3B0D" w:rsidRDefault="009E783D" w:rsidP="00CF5341">
      <w:pPr>
        <w:pStyle w:val="Heading1"/>
        <w:ind w:left="1136" w:right="-551" w:hanging="852"/>
      </w:pPr>
      <w:bookmarkStart w:id="16" w:name="_Toc355953985"/>
      <w:bookmarkStart w:id="17" w:name="_Toc385256315"/>
      <w:bookmarkStart w:id="18" w:name="_Toc417990942"/>
      <w:bookmarkStart w:id="19" w:name="_Toc454268358"/>
      <w:r w:rsidRPr="0008218E">
        <w:lastRenderedPageBreak/>
        <w:t xml:space="preserve">2. </w:t>
      </w:r>
      <w:r w:rsidRPr="0008218E">
        <w:tab/>
        <w:t xml:space="preserve">Policy and statutory authority to </w:t>
      </w:r>
      <w:r w:rsidR="00387831">
        <w:t xml:space="preserve">undertake </w:t>
      </w:r>
      <w:r w:rsidRPr="0008218E">
        <w:t>cost recover</w:t>
      </w:r>
      <w:bookmarkStart w:id="20" w:name="_Toc355953986"/>
      <w:bookmarkStart w:id="21" w:name="_Toc385256316"/>
      <w:bookmarkStart w:id="22" w:name="_Toc417990943"/>
      <w:bookmarkEnd w:id="16"/>
      <w:bookmarkEnd w:id="17"/>
      <w:bookmarkEnd w:id="18"/>
      <w:r w:rsidR="00387831">
        <w:t>y</w:t>
      </w:r>
      <w:bookmarkEnd w:id="19"/>
    </w:p>
    <w:p w14:paraId="1E45C9ED" w14:textId="3BF9CC8E" w:rsidR="009E783D" w:rsidRDefault="009E783D" w:rsidP="00EA3B0D">
      <w:pPr>
        <w:pStyle w:val="Heading2"/>
      </w:pPr>
      <w:bookmarkStart w:id="23" w:name="_Toc454268359"/>
      <w:r w:rsidRPr="00EA3B0D">
        <w:t>2.1</w:t>
      </w:r>
      <w:r w:rsidRPr="00EA3B0D">
        <w:tab/>
        <w:t xml:space="preserve">Government policy approval to </w:t>
      </w:r>
      <w:r w:rsidR="00387831" w:rsidRPr="00EA3B0D">
        <w:t xml:space="preserve">recover </w:t>
      </w:r>
      <w:r w:rsidRPr="00EA3B0D">
        <w:t>cost</w:t>
      </w:r>
      <w:r w:rsidR="00387831">
        <w:t>s</w:t>
      </w:r>
      <w:bookmarkEnd w:id="23"/>
      <w:r w:rsidRPr="00EA3B0D">
        <w:t xml:space="preserve"> </w:t>
      </w:r>
      <w:bookmarkEnd w:id="20"/>
      <w:bookmarkEnd w:id="21"/>
      <w:bookmarkEnd w:id="22"/>
    </w:p>
    <w:p w14:paraId="76604556" w14:textId="222C1AFD" w:rsidR="003A2CEA" w:rsidRPr="00CF5341" w:rsidRDefault="003A2CEA" w:rsidP="00B64534">
      <w:pPr>
        <w:spacing w:after="80"/>
        <w:rPr>
          <w:rFonts w:cs="Arial"/>
          <w:szCs w:val="20"/>
        </w:rPr>
      </w:pPr>
      <w:r w:rsidRPr="00CF5341">
        <w:rPr>
          <w:rFonts w:cs="Arial"/>
          <w:szCs w:val="20"/>
        </w:rPr>
        <w:t>As an outcome of the Communications Portfolio Charging Review in the financial year 2014</w:t>
      </w:r>
      <w:r w:rsidR="00B9480B">
        <w:rPr>
          <w:rFonts w:cs="Arial"/>
          <w:szCs w:val="20"/>
        </w:rPr>
        <w:t>–</w:t>
      </w:r>
      <w:r w:rsidRPr="00CF5341">
        <w:rPr>
          <w:rFonts w:cs="Arial"/>
          <w:szCs w:val="20"/>
        </w:rPr>
        <w:t xml:space="preserve">15, the </w:t>
      </w:r>
      <w:r w:rsidR="00B9480B">
        <w:rPr>
          <w:rFonts w:cs="Arial"/>
          <w:szCs w:val="20"/>
        </w:rPr>
        <w:t>g</w:t>
      </w:r>
      <w:r w:rsidRPr="00CF5341">
        <w:rPr>
          <w:rFonts w:cs="Arial"/>
          <w:szCs w:val="20"/>
        </w:rPr>
        <w:t xml:space="preserve">overnment confirmed the appropriateness of cost recovery for the following activities through the ACLC: </w:t>
      </w:r>
    </w:p>
    <w:p w14:paraId="6650F5F1" w14:textId="77777777" w:rsidR="003A2CEA" w:rsidRPr="00CF5341" w:rsidRDefault="003A2CEA" w:rsidP="00B64534">
      <w:pPr>
        <w:pStyle w:val="ListBullet"/>
      </w:pPr>
      <w:r w:rsidRPr="00CF5341">
        <w:t>the ACMA regulating telecommunications entities</w:t>
      </w:r>
    </w:p>
    <w:p w14:paraId="4AF80893" w14:textId="77777777" w:rsidR="003A2CEA" w:rsidRPr="00CF5341" w:rsidRDefault="003A2CEA" w:rsidP="00B64534">
      <w:pPr>
        <w:pStyle w:val="ListBullet"/>
      </w:pPr>
      <w:r w:rsidRPr="00CF5341">
        <w:t>the ACCC regulating telecommunications entities</w:t>
      </w:r>
    </w:p>
    <w:p w14:paraId="286DCA11" w14:textId="77777777" w:rsidR="003A2CEA" w:rsidRPr="00CF5341" w:rsidRDefault="003A2CEA" w:rsidP="00B64534">
      <w:pPr>
        <w:pStyle w:val="ListBullet"/>
      </w:pPr>
      <w:r w:rsidRPr="00CF5341">
        <w:t xml:space="preserve">developing industry codes by a telecommunications industry body or association under Part 6 of the </w:t>
      </w:r>
      <w:r w:rsidRPr="00CF5341">
        <w:rPr>
          <w:i/>
        </w:rPr>
        <w:t>Telecommunications Act 1997</w:t>
      </w:r>
    </w:p>
    <w:p w14:paraId="16EDBFC7" w14:textId="77777777" w:rsidR="003A2CEA" w:rsidRPr="00CF5341" w:rsidRDefault="003A2CEA" w:rsidP="00B64534">
      <w:pPr>
        <w:pStyle w:val="ListBullet"/>
      </w:pPr>
      <w:r w:rsidRPr="00CF5341">
        <w:t>contributing to the budget of the International Telecommunications Union</w:t>
      </w:r>
    </w:p>
    <w:p w14:paraId="39E2E15A" w14:textId="345BD822" w:rsidR="003A2CEA" w:rsidRPr="00CF5341" w:rsidRDefault="003A2CEA" w:rsidP="00B64534">
      <w:pPr>
        <w:pStyle w:val="ListBulletLast"/>
      </w:pPr>
      <w:r w:rsidRPr="00CF5341">
        <w:t xml:space="preserve">contributing grants of financial assistance to consumer </w:t>
      </w:r>
      <w:r w:rsidR="00FB476B" w:rsidRPr="00CF5341">
        <w:t>bod</w:t>
      </w:r>
      <w:r w:rsidR="00FB476B">
        <w:t xml:space="preserve">ies to support </w:t>
      </w:r>
      <w:r w:rsidRPr="00CF5341">
        <w:t>consumer</w:t>
      </w:r>
      <w:r w:rsidR="00FB476B">
        <w:t xml:space="preserve"> representation in the</w:t>
      </w:r>
      <w:r w:rsidRPr="00CF5341">
        <w:t xml:space="preserve"> telecommunication </w:t>
      </w:r>
      <w:r w:rsidR="00FB476B" w:rsidRPr="00FB476B">
        <w:t>sector</w:t>
      </w:r>
      <w:r w:rsidRPr="00CF5341">
        <w:t>.</w:t>
      </w:r>
    </w:p>
    <w:p w14:paraId="161F5F5C" w14:textId="2448EC35" w:rsidR="00CF5341" w:rsidRPr="00CF5341" w:rsidRDefault="003A2CEA" w:rsidP="00D522C8">
      <w:r w:rsidRPr="00CF5341">
        <w:t>Prior to 2014</w:t>
      </w:r>
      <w:r w:rsidR="00B9480B">
        <w:t>–</w:t>
      </w:r>
      <w:r w:rsidRPr="00CF5341">
        <w:t>15, the</w:t>
      </w:r>
      <w:r w:rsidR="00005F61" w:rsidRPr="00CF5341">
        <w:t xml:space="preserve"> </w:t>
      </w:r>
      <w:r w:rsidR="00B9480B">
        <w:t>g</w:t>
      </w:r>
      <w:r w:rsidR="00005F61" w:rsidRPr="00CF5341">
        <w:t>overnment made a series of decisions</w:t>
      </w:r>
      <w:r w:rsidRPr="00CF5341">
        <w:rPr>
          <w:rStyle w:val="FootnoteReference"/>
          <w:b/>
          <w:szCs w:val="20"/>
        </w:rPr>
        <w:footnoteReference w:id="3"/>
      </w:r>
      <w:r w:rsidR="00005F61" w:rsidRPr="00CF5341">
        <w:t xml:space="preserve"> regarding </w:t>
      </w:r>
      <w:r w:rsidRPr="00CF5341">
        <w:t xml:space="preserve">these </w:t>
      </w:r>
      <w:r w:rsidR="00005F61" w:rsidRPr="00CF5341">
        <w:t xml:space="preserve">activities to be </w:t>
      </w:r>
      <w:r w:rsidR="00387831" w:rsidRPr="00CF5341">
        <w:t xml:space="preserve">the subject of </w:t>
      </w:r>
      <w:r w:rsidR="00005F61" w:rsidRPr="00CF5341">
        <w:t>c</w:t>
      </w:r>
      <w:r w:rsidR="00620438" w:rsidRPr="00CF5341">
        <w:t>ost recover</w:t>
      </w:r>
      <w:r w:rsidR="00387831" w:rsidRPr="00CF5341">
        <w:t>y</w:t>
      </w:r>
      <w:r w:rsidR="00620438" w:rsidRPr="00CF5341">
        <w:t xml:space="preserve"> through the ACLC</w:t>
      </w:r>
      <w:r w:rsidR="00E1418A" w:rsidRPr="00CF5341">
        <w:t>.</w:t>
      </w:r>
      <w:r w:rsidR="00E1418A" w:rsidRPr="00CF5341" w:rsidDel="00E1418A">
        <w:t xml:space="preserve"> </w:t>
      </w:r>
      <w:bookmarkStart w:id="24" w:name="_Toc355953988"/>
      <w:bookmarkStart w:id="25" w:name="_Toc385256317"/>
      <w:bookmarkStart w:id="26" w:name="_Toc417990944"/>
    </w:p>
    <w:p w14:paraId="2D96CD60" w14:textId="4C9A0777" w:rsidR="009E783D" w:rsidRPr="00C320F6" w:rsidRDefault="009E783D" w:rsidP="009E783D">
      <w:pPr>
        <w:pStyle w:val="Heading2"/>
        <w:rPr>
          <w:sz w:val="24"/>
        </w:rPr>
      </w:pPr>
      <w:bookmarkStart w:id="27" w:name="_Toc454268360"/>
      <w:r>
        <w:rPr>
          <w:sz w:val="24"/>
        </w:rPr>
        <w:t>2.2</w:t>
      </w:r>
      <w:r w:rsidRPr="00C320F6">
        <w:rPr>
          <w:sz w:val="24"/>
        </w:rPr>
        <w:tab/>
      </w:r>
      <w:r>
        <w:rPr>
          <w:sz w:val="24"/>
        </w:rPr>
        <w:t>Statutory</w:t>
      </w:r>
      <w:r w:rsidRPr="00C320F6">
        <w:rPr>
          <w:sz w:val="24"/>
        </w:rPr>
        <w:t xml:space="preserve"> authority to impose </w:t>
      </w:r>
      <w:bookmarkEnd w:id="24"/>
      <w:r>
        <w:rPr>
          <w:sz w:val="24"/>
        </w:rPr>
        <w:t>cost recovery charges</w:t>
      </w:r>
      <w:bookmarkEnd w:id="25"/>
      <w:bookmarkEnd w:id="26"/>
      <w:bookmarkEnd w:id="27"/>
    </w:p>
    <w:p w14:paraId="0D51AB61" w14:textId="77777777" w:rsidR="009E783D" w:rsidRPr="005D0BC8" w:rsidRDefault="009E783D" w:rsidP="009E783D">
      <w:r w:rsidRPr="00A84CBD">
        <w:t xml:space="preserve">Section 12 of the Act imposes </w:t>
      </w:r>
      <w:r>
        <w:t>an annual charge</w:t>
      </w:r>
      <w:r w:rsidRPr="00A84CBD">
        <w:t xml:space="preserve"> on carrier licences that are in force at the beginning of a financial year (</w:t>
      </w:r>
      <w:r w:rsidR="006E423A">
        <w:t>that is, 1 July 2015</w:t>
      </w:r>
      <w:r w:rsidRPr="00A84CBD">
        <w:t xml:space="preserve"> </w:t>
      </w:r>
      <w:r>
        <w:t>for the purposes of this CRIS).</w:t>
      </w:r>
    </w:p>
    <w:p w14:paraId="11285101" w14:textId="77777777" w:rsidR="009E783D" w:rsidRPr="005D0BC8" w:rsidRDefault="009E783D" w:rsidP="009E783D">
      <w:r w:rsidRPr="00A84CBD">
        <w:t xml:space="preserve">Subsection 14(1) of the Act specifies that the amount of the charge to be imposed on a carrier licence is the amount ascertained in accordance with a written determination made by the ACMA. </w:t>
      </w:r>
    </w:p>
    <w:p w14:paraId="52B83FA5" w14:textId="77777777" w:rsidR="009E783D" w:rsidRDefault="009E783D" w:rsidP="003F7E3A">
      <w:pPr>
        <w:spacing w:after="80"/>
      </w:pPr>
      <w:r w:rsidRPr="00A84CBD">
        <w:t>On 26 June 2013, the then Minister for Broadband, Communications and the Digital Economy issued the Australian Communications and Media Authority (Annual Carrier Licence Charge) Direction 2013 (the Direction 2013).</w:t>
      </w:r>
      <w:r w:rsidRPr="00A84CBD">
        <w:rPr>
          <w:vertAlign w:val="superscript"/>
        </w:rPr>
        <w:footnoteReference w:id="4"/>
      </w:r>
      <w:r w:rsidRPr="00A84CBD">
        <w:t xml:space="preserve"> The Direction 2013 requires the ACMA to make such determinations as are necessary under subsection 14(1) of the Act </w:t>
      </w:r>
      <w:r w:rsidRPr="00A84CBD">
        <w:rPr>
          <w:bCs/>
          <w:iCs/>
        </w:rPr>
        <w:t xml:space="preserve">to have the </w:t>
      </w:r>
      <w:r w:rsidRPr="00A84CBD">
        <w:t>effect of imposing an annual carrier licence charge of $0 on a carrier licence that is:</w:t>
      </w:r>
    </w:p>
    <w:p w14:paraId="016E8432" w14:textId="77777777" w:rsidR="009E783D" w:rsidRDefault="009E783D" w:rsidP="000E0EFD">
      <w:pPr>
        <w:pStyle w:val="ListBullet"/>
      </w:pPr>
      <w:r w:rsidRPr="00A84CBD">
        <w:t xml:space="preserve">in force at the beginning of a relevant </w:t>
      </w:r>
      <w:r w:rsidRPr="00261921">
        <w:t>financial</w:t>
      </w:r>
      <w:r w:rsidRPr="00A84CBD">
        <w:t xml:space="preserve"> year</w:t>
      </w:r>
    </w:p>
    <w:p w14:paraId="07D2312F" w14:textId="77777777" w:rsidR="009E783D" w:rsidRDefault="009E783D" w:rsidP="00261921">
      <w:pPr>
        <w:pStyle w:val="ListBulletLast"/>
      </w:pPr>
      <w:r w:rsidRPr="00A84CBD">
        <w:lastRenderedPageBreak/>
        <w:t>held by a carrier that was a ‘non-participating person’ within the meaning of the Telecommunications (</w:t>
      </w:r>
      <w:r w:rsidRPr="00261921">
        <w:t>Participating</w:t>
      </w:r>
      <w:r w:rsidRPr="00A84CBD">
        <w:t xml:space="preserve"> Per</w:t>
      </w:r>
      <w:r w:rsidR="00767C1C">
        <w:t>sons) Determination 2015</w:t>
      </w:r>
      <w:r w:rsidRPr="00A84CBD">
        <w:t xml:space="preserve"> for the eligible revenue period immediately preceding that financial year.</w:t>
      </w:r>
      <w:r w:rsidRPr="00A84CBD">
        <w:rPr>
          <w:rStyle w:val="FootnoteReference"/>
          <w:szCs w:val="20"/>
        </w:rPr>
        <w:footnoteReference w:id="5"/>
      </w:r>
      <w:r w:rsidRPr="00A84CBD">
        <w:t xml:space="preserve">  </w:t>
      </w:r>
    </w:p>
    <w:p w14:paraId="25B58256" w14:textId="7E1E6001" w:rsidR="009E783D" w:rsidRPr="005D0BC8" w:rsidRDefault="009E783D" w:rsidP="009E783D">
      <w:r>
        <w:t>Accordingly, under the</w:t>
      </w:r>
      <w:r w:rsidRPr="00E4568B">
        <w:t xml:space="preserve"> Telecommunications (Annual Carrier Licence</w:t>
      </w:r>
      <w:r w:rsidR="006E423A">
        <w:t xml:space="preserve"> Charge) Determination 2016</w:t>
      </w:r>
      <w:r w:rsidR="00261921">
        <w:t>,</w:t>
      </w:r>
      <w:r w:rsidRPr="00A84CBD">
        <w:t xml:space="preserve"> carriers who were non-participating persons</w:t>
      </w:r>
      <w:r w:rsidRPr="005D0BC8">
        <w:t xml:space="preserve"> </w:t>
      </w:r>
      <w:r w:rsidRPr="00A84CBD">
        <w:t xml:space="preserve">for the </w:t>
      </w:r>
      <w:r w:rsidR="00B15F8A">
        <w:t>2014</w:t>
      </w:r>
      <w:r w:rsidR="00145727">
        <w:t>–</w:t>
      </w:r>
      <w:r w:rsidR="00B15F8A">
        <w:t xml:space="preserve">15 </w:t>
      </w:r>
      <w:r w:rsidRPr="00A84CBD">
        <w:t xml:space="preserve">eligible revenue period are, in effect, exempted from the liability to pay the ACLC. </w:t>
      </w:r>
    </w:p>
    <w:p w14:paraId="3F55ED4E" w14:textId="77777777" w:rsidR="009E783D" w:rsidRDefault="009E783D" w:rsidP="009E783D">
      <w:r w:rsidRPr="00A84CBD">
        <w:t>S</w:t>
      </w:r>
      <w:r>
        <w:t>ubs</w:t>
      </w:r>
      <w:r w:rsidRPr="00A84CBD">
        <w:t>ection 15</w:t>
      </w:r>
      <w:r>
        <w:t>(1)</w:t>
      </w:r>
      <w:r w:rsidRPr="00A84CBD">
        <w:t xml:space="preserve"> of the Act requires that the total of the charges that are imposed on carrier licences </w:t>
      </w:r>
      <w:r>
        <w:t xml:space="preserve">in force at the beginning of a financial year </w:t>
      </w:r>
      <w:r w:rsidRPr="00A84CBD">
        <w:t xml:space="preserve">must not exceed the sum of the cost components identified in paragraphs 15(1)(a) to 15(1)(d) of the Act (see Table 1). Further information on these cost components is provided in section 3.1 </w:t>
      </w:r>
      <w:r>
        <w:t>(below)</w:t>
      </w:r>
      <w:r w:rsidRPr="00A84CBD">
        <w:t>.</w:t>
      </w:r>
    </w:p>
    <w:p w14:paraId="5E7D932D" w14:textId="77777777" w:rsidR="00261921" w:rsidRDefault="00261921" w:rsidP="002534A7">
      <w:pPr>
        <w:pStyle w:val="ACMATableHeader"/>
      </w:pPr>
      <w:r w:rsidRPr="000459EA">
        <w:t>Structural components of the ACLC</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Caption w:val="Structural components of the ACLC"/>
        <w:tblDescription w:val="Includes reference in the Act and cost component"/>
      </w:tblPr>
      <w:tblGrid>
        <w:gridCol w:w="2070"/>
        <w:gridCol w:w="5585"/>
      </w:tblGrid>
      <w:tr w:rsidR="00B4734C" w:rsidRPr="00C320F6" w14:paraId="38EB7B3E" w14:textId="77777777" w:rsidTr="00B64534">
        <w:trPr>
          <w:trHeight w:val="319"/>
          <w:tblHeader/>
        </w:trPr>
        <w:tc>
          <w:tcPr>
            <w:tcW w:w="1352" w:type="pct"/>
            <w:shd w:val="clear" w:color="auto" w:fill="404040" w:themeFill="text1" w:themeFillTint="BF"/>
          </w:tcPr>
          <w:p w14:paraId="12841299" w14:textId="77777777" w:rsidR="00B4734C" w:rsidRPr="00B64534" w:rsidRDefault="00B4734C" w:rsidP="00B64534">
            <w:pPr>
              <w:pStyle w:val="TableHeading"/>
              <w:rPr>
                <w:b w:val="0"/>
                <w:color w:val="FFFFFF" w:themeColor="background1"/>
              </w:rPr>
            </w:pPr>
            <w:r w:rsidRPr="00B64534">
              <w:rPr>
                <w:color w:val="FFFFFF" w:themeColor="background1"/>
              </w:rPr>
              <w:t>Reference in the Act</w:t>
            </w:r>
          </w:p>
        </w:tc>
        <w:tc>
          <w:tcPr>
            <w:tcW w:w="3648" w:type="pct"/>
            <w:tcBorders>
              <w:top w:val="single" w:sz="6" w:space="0" w:color="auto"/>
            </w:tcBorders>
            <w:shd w:val="clear" w:color="auto" w:fill="404040" w:themeFill="text1" w:themeFillTint="BF"/>
          </w:tcPr>
          <w:p w14:paraId="6FCA249D" w14:textId="77777777" w:rsidR="00B4734C" w:rsidRPr="00B64534" w:rsidRDefault="00B4734C" w:rsidP="00B64534">
            <w:pPr>
              <w:pStyle w:val="TableHeading"/>
              <w:rPr>
                <w:b w:val="0"/>
                <w:color w:val="FFFFFF" w:themeColor="background1"/>
              </w:rPr>
            </w:pPr>
            <w:r w:rsidRPr="00B64534">
              <w:rPr>
                <w:color w:val="FFFFFF" w:themeColor="background1"/>
              </w:rPr>
              <w:t>Cost component</w:t>
            </w:r>
          </w:p>
        </w:tc>
      </w:tr>
      <w:tr w:rsidR="00B4734C" w:rsidRPr="00C320F6" w14:paraId="530C2536" w14:textId="77777777" w:rsidTr="00B64534">
        <w:trPr>
          <w:trHeight w:val="408"/>
          <w:tblHeader/>
        </w:trPr>
        <w:tc>
          <w:tcPr>
            <w:tcW w:w="1352" w:type="pct"/>
          </w:tcPr>
          <w:p w14:paraId="3CE3DC0E" w14:textId="77777777" w:rsidR="00B4734C" w:rsidRPr="00426212" w:rsidRDefault="00B4734C" w:rsidP="002534A7">
            <w:pPr>
              <w:keepNext/>
              <w:spacing w:after="0"/>
              <w:rPr>
                <w:rFonts w:cs="Arial"/>
                <w:szCs w:val="20"/>
              </w:rPr>
            </w:pPr>
            <w:r w:rsidRPr="00426212">
              <w:rPr>
                <w:rFonts w:cs="Arial"/>
                <w:szCs w:val="20"/>
              </w:rPr>
              <w:t>15(1)(a)</w:t>
            </w:r>
          </w:p>
        </w:tc>
        <w:tc>
          <w:tcPr>
            <w:tcW w:w="3648" w:type="pct"/>
          </w:tcPr>
          <w:p w14:paraId="0C7DD975" w14:textId="5EA1FE7D" w:rsidR="00B4734C" w:rsidRPr="00426212" w:rsidRDefault="00145727" w:rsidP="002534A7">
            <w:pPr>
              <w:keepNext/>
              <w:spacing w:after="0"/>
              <w:rPr>
                <w:rFonts w:cs="Arial"/>
                <w:szCs w:val="20"/>
              </w:rPr>
            </w:pPr>
            <w:r>
              <w:rPr>
                <w:rFonts w:cs="Arial"/>
                <w:szCs w:val="20"/>
              </w:rPr>
              <w:t>T</w:t>
            </w:r>
            <w:r w:rsidR="00B4734C">
              <w:rPr>
                <w:rFonts w:cs="Arial"/>
                <w:szCs w:val="20"/>
              </w:rPr>
              <w:t xml:space="preserve">he </w:t>
            </w:r>
            <w:r w:rsidR="00B4734C" w:rsidRPr="00426212">
              <w:rPr>
                <w:rFonts w:cs="Arial"/>
                <w:szCs w:val="20"/>
              </w:rPr>
              <w:t>ACMA’s cost component</w:t>
            </w:r>
          </w:p>
        </w:tc>
      </w:tr>
      <w:tr w:rsidR="00B4734C" w:rsidRPr="00C320F6" w14:paraId="200B3F40" w14:textId="77777777" w:rsidTr="00B64534">
        <w:trPr>
          <w:trHeight w:val="414"/>
          <w:tblHeader/>
        </w:trPr>
        <w:tc>
          <w:tcPr>
            <w:tcW w:w="1352" w:type="pct"/>
          </w:tcPr>
          <w:p w14:paraId="13FC5BF1" w14:textId="77777777" w:rsidR="00B4734C" w:rsidRPr="00426212" w:rsidRDefault="00B4734C" w:rsidP="002534A7">
            <w:pPr>
              <w:keepNext/>
              <w:spacing w:after="0"/>
              <w:rPr>
                <w:rFonts w:cs="Arial"/>
                <w:szCs w:val="20"/>
              </w:rPr>
            </w:pPr>
            <w:r w:rsidRPr="00426212">
              <w:rPr>
                <w:rFonts w:cs="Arial"/>
                <w:szCs w:val="20"/>
              </w:rPr>
              <w:t>15(1)(b)</w:t>
            </w:r>
          </w:p>
        </w:tc>
        <w:tc>
          <w:tcPr>
            <w:tcW w:w="3648" w:type="pct"/>
          </w:tcPr>
          <w:p w14:paraId="535FDF6D" w14:textId="33875A94" w:rsidR="00B4734C" w:rsidRPr="00426212" w:rsidRDefault="00145727" w:rsidP="002534A7">
            <w:pPr>
              <w:keepNext/>
              <w:spacing w:after="0"/>
              <w:rPr>
                <w:rFonts w:cs="Arial"/>
                <w:szCs w:val="20"/>
              </w:rPr>
            </w:pPr>
            <w:r>
              <w:rPr>
                <w:rFonts w:cs="Arial"/>
                <w:szCs w:val="20"/>
              </w:rPr>
              <w:t>T</w:t>
            </w:r>
            <w:r w:rsidR="00B4734C">
              <w:rPr>
                <w:rFonts w:cs="Arial"/>
                <w:szCs w:val="20"/>
              </w:rPr>
              <w:t xml:space="preserve">he </w:t>
            </w:r>
            <w:r w:rsidR="00B4734C" w:rsidRPr="00426212">
              <w:rPr>
                <w:rFonts w:cs="Arial"/>
                <w:szCs w:val="20"/>
              </w:rPr>
              <w:t>ACCC’s cost component</w:t>
            </w:r>
          </w:p>
        </w:tc>
      </w:tr>
      <w:tr w:rsidR="00B4734C" w:rsidRPr="00C320F6" w14:paraId="3C164A76" w14:textId="77777777" w:rsidTr="00B64534">
        <w:trPr>
          <w:trHeight w:val="420"/>
          <w:tblHeader/>
        </w:trPr>
        <w:tc>
          <w:tcPr>
            <w:tcW w:w="1352" w:type="pct"/>
          </w:tcPr>
          <w:p w14:paraId="6A864E3E" w14:textId="77777777" w:rsidR="00B4734C" w:rsidRPr="00426212" w:rsidRDefault="00B4734C" w:rsidP="002534A7">
            <w:pPr>
              <w:keepNext/>
              <w:spacing w:after="0"/>
              <w:rPr>
                <w:rFonts w:cs="Arial"/>
                <w:szCs w:val="20"/>
              </w:rPr>
            </w:pPr>
            <w:r w:rsidRPr="00426212">
              <w:rPr>
                <w:rFonts w:cs="Arial"/>
                <w:szCs w:val="20"/>
              </w:rPr>
              <w:t>15(1)(c)</w:t>
            </w:r>
          </w:p>
        </w:tc>
        <w:tc>
          <w:tcPr>
            <w:tcW w:w="3648" w:type="pct"/>
          </w:tcPr>
          <w:p w14:paraId="3D74921D" w14:textId="77777777" w:rsidR="00B4734C" w:rsidRPr="00426212" w:rsidRDefault="00B4734C" w:rsidP="002534A7">
            <w:pPr>
              <w:keepNext/>
              <w:spacing w:after="0"/>
              <w:rPr>
                <w:rFonts w:cs="Arial"/>
                <w:szCs w:val="20"/>
              </w:rPr>
            </w:pPr>
            <w:r w:rsidRPr="00426212">
              <w:rPr>
                <w:rFonts w:cs="Arial"/>
                <w:szCs w:val="20"/>
              </w:rPr>
              <w:t>ITU contribution</w:t>
            </w:r>
          </w:p>
        </w:tc>
      </w:tr>
      <w:tr w:rsidR="00B4734C" w:rsidRPr="00C320F6" w14:paraId="10F24F99" w14:textId="77777777" w:rsidTr="00B64534">
        <w:trPr>
          <w:trHeight w:val="405"/>
          <w:tblHeader/>
        </w:trPr>
        <w:tc>
          <w:tcPr>
            <w:tcW w:w="1352" w:type="pct"/>
          </w:tcPr>
          <w:p w14:paraId="3E33683C" w14:textId="77777777" w:rsidR="00B4734C" w:rsidRPr="00426212" w:rsidRDefault="00B4734C" w:rsidP="002534A7">
            <w:pPr>
              <w:keepNext/>
              <w:spacing w:after="0"/>
              <w:rPr>
                <w:rFonts w:cs="Arial"/>
                <w:szCs w:val="20"/>
              </w:rPr>
            </w:pPr>
            <w:r w:rsidRPr="00426212">
              <w:rPr>
                <w:rFonts w:cs="Arial"/>
                <w:szCs w:val="20"/>
              </w:rPr>
              <w:t>15(1)(ca)</w:t>
            </w:r>
          </w:p>
        </w:tc>
        <w:tc>
          <w:tcPr>
            <w:tcW w:w="3648" w:type="pct"/>
          </w:tcPr>
          <w:p w14:paraId="553297B1" w14:textId="77777777" w:rsidR="00B4734C" w:rsidRPr="00426212" w:rsidRDefault="00B15F8A" w:rsidP="00B15F8A">
            <w:pPr>
              <w:keepNext/>
              <w:spacing w:after="0"/>
              <w:rPr>
                <w:rFonts w:cs="Arial"/>
                <w:szCs w:val="20"/>
              </w:rPr>
            </w:pPr>
            <w:r>
              <w:rPr>
                <w:rFonts w:cs="Arial"/>
                <w:szCs w:val="20"/>
              </w:rPr>
              <w:t>Reimbursement of cost of d</w:t>
            </w:r>
            <w:r w:rsidR="00B4734C" w:rsidRPr="00426212">
              <w:rPr>
                <w:rFonts w:cs="Arial"/>
                <w:szCs w:val="20"/>
              </w:rPr>
              <w:t>evelop</w:t>
            </w:r>
            <w:r>
              <w:rPr>
                <w:rFonts w:cs="Arial"/>
                <w:szCs w:val="20"/>
              </w:rPr>
              <w:t>ing or varying</w:t>
            </w:r>
            <w:r w:rsidR="00B4734C" w:rsidRPr="00426212">
              <w:rPr>
                <w:rFonts w:cs="Arial"/>
                <w:szCs w:val="20"/>
              </w:rPr>
              <w:t xml:space="preserve"> consumer protection related industry codes</w:t>
            </w:r>
          </w:p>
        </w:tc>
      </w:tr>
      <w:tr w:rsidR="00B4734C" w:rsidRPr="00C320F6" w14:paraId="5C2A0AA8" w14:textId="77777777" w:rsidTr="00B64534">
        <w:trPr>
          <w:trHeight w:val="399"/>
          <w:tblHeader/>
        </w:trPr>
        <w:tc>
          <w:tcPr>
            <w:tcW w:w="1352" w:type="pct"/>
          </w:tcPr>
          <w:p w14:paraId="3AE46272" w14:textId="77777777" w:rsidR="00B4734C" w:rsidRPr="00426212" w:rsidRDefault="00B4734C" w:rsidP="002534A7">
            <w:pPr>
              <w:keepNext/>
              <w:spacing w:after="0"/>
              <w:rPr>
                <w:rFonts w:cs="Arial"/>
                <w:szCs w:val="20"/>
              </w:rPr>
            </w:pPr>
            <w:r w:rsidRPr="00426212">
              <w:rPr>
                <w:rFonts w:cs="Arial"/>
                <w:szCs w:val="20"/>
              </w:rPr>
              <w:t>15(1)(d)</w:t>
            </w:r>
          </w:p>
        </w:tc>
        <w:tc>
          <w:tcPr>
            <w:tcW w:w="3648" w:type="pct"/>
          </w:tcPr>
          <w:p w14:paraId="66A17C4A" w14:textId="77777777" w:rsidR="00B4734C" w:rsidRPr="00426212" w:rsidRDefault="00B4734C" w:rsidP="002534A7">
            <w:pPr>
              <w:keepNext/>
              <w:spacing w:after="0"/>
              <w:rPr>
                <w:rFonts w:cs="Arial"/>
                <w:szCs w:val="20"/>
              </w:rPr>
            </w:pPr>
            <w:r>
              <w:rPr>
                <w:rFonts w:cs="Arial"/>
                <w:szCs w:val="20"/>
              </w:rPr>
              <w:t>Government g</w:t>
            </w:r>
            <w:r w:rsidRPr="00426212">
              <w:rPr>
                <w:rFonts w:cs="Arial"/>
                <w:szCs w:val="20"/>
              </w:rPr>
              <w:t>rants</w:t>
            </w:r>
            <w:r>
              <w:rPr>
                <w:rFonts w:cs="Arial"/>
                <w:szCs w:val="20"/>
              </w:rPr>
              <w:t>—c</w:t>
            </w:r>
            <w:r w:rsidRPr="00426212">
              <w:rPr>
                <w:rFonts w:cs="Arial"/>
                <w:szCs w:val="20"/>
              </w:rPr>
              <w:t xml:space="preserve">onsumer </w:t>
            </w:r>
            <w:r>
              <w:rPr>
                <w:rFonts w:cs="Arial"/>
                <w:szCs w:val="20"/>
              </w:rPr>
              <w:t>r</w:t>
            </w:r>
            <w:r w:rsidRPr="00426212">
              <w:rPr>
                <w:rFonts w:cs="Arial"/>
                <w:szCs w:val="20"/>
              </w:rPr>
              <w:t xml:space="preserve">epresentation and </w:t>
            </w:r>
            <w:r>
              <w:rPr>
                <w:rFonts w:cs="Arial"/>
                <w:szCs w:val="20"/>
              </w:rPr>
              <w:t>r</w:t>
            </w:r>
            <w:r w:rsidRPr="00426212">
              <w:rPr>
                <w:rFonts w:cs="Arial"/>
                <w:szCs w:val="20"/>
              </w:rPr>
              <w:t>esearch</w:t>
            </w:r>
          </w:p>
        </w:tc>
      </w:tr>
    </w:tbl>
    <w:p w14:paraId="31482A80" w14:textId="77777777" w:rsidR="00145727" w:rsidRDefault="00145727" w:rsidP="00B64534">
      <w:pPr>
        <w:pStyle w:val="ACMASpaceaftertable"/>
      </w:pPr>
    </w:p>
    <w:p w14:paraId="53E7BED3" w14:textId="07992DDE" w:rsidR="009E783D" w:rsidRPr="005D0BC8" w:rsidRDefault="009E783D" w:rsidP="003F7E3A">
      <w:pPr>
        <w:spacing w:before="240"/>
      </w:pPr>
      <w:r w:rsidRPr="00A84CBD">
        <w:t>In accordance with section 1</w:t>
      </w:r>
      <w:r>
        <w:t>4(1)</w:t>
      </w:r>
      <w:r w:rsidRPr="00A84CBD">
        <w:t xml:space="preserve"> of the Act, the ACMA makes a determination </w:t>
      </w:r>
      <w:r w:rsidR="00145727">
        <w:t xml:space="preserve">that </w:t>
      </w:r>
      <w:r>
        <w:t>set out the ACLC imposed on liable individual carrier licences</w:t>
      </w:r>
      <w:r w:rsidR="00145727">
        <w:t>,</w:t>
      </w:r>
      <w:r>
        <w:t xml:space="preserve"> and the method of ascertaining the amount of the charge</w:t>
      </w:r>
      <w:r w:rsidRPr="00A84CBD">
        <w:t xml:space="preserve">. In accordance with </w:t>
      </w:r>
      <w:r>
        <w:t>sub</w:t>
      </w:r>
      <w:r w:rsidRPr="00A84CBD">
        <w:t>section 1</w:t>
      </w:r>
      <w:r>
        <w:t>5(1)</w:t>
      </w:r>
      <w:r w:rsidRPr="00A84CBD">
        <w:t xml:space="preserve"> of the Act, the ACMA makes a separate determination </w:t>
      </w:r>
      <w:r>
        <w:t>specifying the amounts under paragraphs 15(1)(a), 15(1)(</w:t>
      </w:r>
      <w:r w:rsidR="00B15F8A">
        <w:t>c</w:t>
      </w:r>
      <w:r>
        <w:t>) and 15(1)(ca) of the Act</w:t>
      </w:r>
      <w:r w:rsidRPr="00A84CBD">
        <w:t xml:space="preserve">. </w:t>
      </w:r>
    </w:p>
    <w:p w14:paraId="7C907ECA" w14:textId="77777777" w:rsidR="009E783D" w:rsidRDefault="009E783D" w:rsidP="009E783D">
      <w:r w:rsidRPr="00A84CBD">
        <w:t xml:space="preserve">Similarly, the ACCC and the Minister for Communications </w:t>
      </w:r>
      <w:r w:rsidR="006E423A">
        <w:t xml:space="preserve">and the Arts </w:t>
      </w:r>
      <w:r w:rsidRPr="00A84CBD">
        <w:t>make determinations in relation to the costs described in paragraphs 15(1)(b) and 15(1)(d) of the Act, respectively (see Table 2). All determinations are registered on the Federal Register of Legislati</w:t>
      </w:r>
      <w:r w:rsidR="00B15F8A">
        <w:t>on</w:t>
      </w:r>
      <w:r w:rsidRPr="00A84CBD">
        <w:t xml:space="preserve"> by the respective entities before the invoices are forwarded by the ACMA to the licensed carriers.</w:t>
      </w:r>
    </w:p>
    <w:p w14:paraId="4E5CF8ED" w14:textId="77777777" w:rsidR="00A622CC" w:rsidRDefault="00A622CC" w:rsidP="002534A7">
      <w:pPr>
        <w:pStyle w:val="ACMATableHeader"/>
        <w:keepNext/>
        <w:keepLines/>
      </w:pPr>
      <w:r>
        <w:lastRenderedPageBreak/>
        <w:t>List of</w:t>
      </w:r>
      <w:r w:rsidRPr="00E4568B">
        <w:t xml:space="preserve"> legislative instruments for imp</w:t>
      </w:r>
      <w:r w:rsidR="006E423A">
        <w:t>osition of the ACLC for the 2015–16</w:t>
      </w:r>
      <w:r>
        <w:t xml:space="preserve"> </w:t>
      </w:r>
      <w:r w:rsidRPr="00E4568B">
        <w:t>financial year</w:t>
      </w:r>
    </w:p>
    <w:tbl>
      <w:tblPr>
        <w:tblW w:w="480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Caption w:val="List of legislative instruments for imposition of the ACLC for the 2015–16 financial year"/>
        <w:tblDescription w:val="Includes the number, the determination and which paragraph of the Act the determination was made under."/>
      </w:tblPr>
      <w:tblGrid>
        <w:gridCol w:w="701"/>
        <w:gridCol w:w="4678"/>
        <w:gridCol w:w="1984"/>
      </w:tblGrid>
      <w:tr w:rsidR="00176CB9" w:rsidRPr="00426212" w14:paraId="6BDB43AF" w14:textId="77777777" w:rsidTr="00B64534">
        <w:trPr>
          <w:cantSplit/>
          <w:trHeight w:val="343"/>
          <w:tblHeader/>
        </w:trPr>
        <w:tc>
          <w:tcPr>
            <w:tcW w:w="476" w:type="pct"/>
            <w:shd w:val="clear" w:color="auto" w:fill="404040" w:themeFill="text1" w:themeFillTint="BF"/>
            <w:vAlign w:val="center"/>
          </w:tcPr>
          <w:p w14:paraId="5FC68B84" w14:textId="77777777" w:rsidR="00A622CC" w:rsidRPr="00B64534" w:rsidRDefault="00A622CC" w:rsidP="00B64534">
            <w:pPr>
              <w:pStyle w:val="TableHeading"/>
              <w:rPr>
                <w:b w:val="0"/>
                <w:color w:val="FFFFFF" w:themeColor="background1"/>
              </w:rPr>
            </w:pPr>
            <w:r w:rsidRPr="00B64534">
              <w:rPr>
                <w:color w:val="FFFFFF" w:themeColor="background1"/>
              </w:rPr>
              <w:t>No.</w:t>
            </w:r>
          </w:p>
        </w:tc>
        <w:tc>
          <w:tcPr>
            <w:tcW w:w="3177" w:type="pct"/>
            <w:shd w:val="clear" w:color="auto" w:fill="404040" w:themeFill="text1" w:themeFillTint="BF"/>
            <w:vAlign w:val="center"/>
          </w:tcPr>
          <w:p w14:paraId="5EE3249D" w14:textId="77777777" w:rsidR="00A622CC" w:rsidRPr="00B64534" w:rsidRDefault="00A622CC" w:rsidP="00B64534">
            <w:pPr>
              <w:pStyle w:val="TableHeading"/>
              <w:rPr>
                <w:b w:val="0"/>
                <w:color w:val="FFFFFF" w:themeColor="background1"/>
              </w:rPr>
            </w:pPr>
            <w:r w:rsidRPr="00B64534">
              <w:rPr>
                <w:color w:val="FFFFFF" w:themeColor="background1"/>
              </w:rPr>
              <w:t>Determination</w:t>
            </w:r>
          </w:p>
        </w:tc>
        <w:tc>
          <w:tcPr>
            <w:tcW w:w="1347" w:type="pct"/>
            <w:tcBorders>
              <w:top w:val="single" w:sz="6" w:space="0" w:color="auto"/>
            </w:tcBorders>
            <w:shd w:val="clear" w:color="auto" w:fill="404040" w:themeFill="text1" w:themeFillTint="BF"/>
            <w:vAlign w:val="center"/>
          </w:tcPr>
          <w:p w14:paraId="4B0076D2" w14:textId="77777777" w:rsidR="00A622CC" w:rsidRPr="00B64534" w:rsidRDefault="00A622CC" w:rsidP="00B64534">
            <w:pPr>
              <w:pStyle w:val="TableHeading"/>
              <w:rPr>
                <w:b w:val="0"/>
                <w:color w:val="FFFFFF" w:themeColor="background1"/>
              </w:rPr>
            </w:pPr>
            <w:r w:rsidRPr="00B64534">
              <w:rPr>
                <w:color w:val="FFFFFF" w:themeColor="background1"/>
              </w:rPr>
              <w:t>Made under</w:t>
            </w:r>
          </w:p>
        </w:tc>
      </w:tr>
      <w:tr w:rsidR="00176CB9" w:rsidRPr="00426212" w14:paraId="199C4658" w14:textId="77777777" w:rsidTr="00B64534">
        <w:trPr>
          <w:cantSplit/>
          <w:trHeight w:val="408"/>
          <w:tblHeader/>
        </w:trPr>
        <w:tc>
          <w:tcPr>
            <w:tcW w:w="476" w:type="pct"/>
          </w:tcPr>
          <w:p w14:paraId="55C071E8" w14:textId="77777777" w:rsidR="00A622CC" w:rsidRPr="00426212" w:rsidRDefault="00A622CC" w:rsidP="006174BB">
            <w:pPr>
              <w:keepNext/>
              <w:ind w:right="-142"/>
              <w:rPr>
                <w:rFonts w:cs="Arial"/>
                <w:szCs w:val="20"/>
              </w:rPr>
            </w:pPr>
            <w:r w:rsidRPr="00426212">
              <w:rPr>
                <w:rFonts w:cs="Arial"/>
                <w:szCs w:val="20"/>
              </w:rPr>
              <w:t>1</w:t>
            </w:r>
          </w:p>
        </w:tc>
        <w:tc>
          <w:tcPr>
            <w:tcW w:w="3177" w:type="pct"/>
          </w:tcPr>
          <w:p w14:paraId="52DEA952" w14:textId="77777777" w:rsidR="00A622CC" w:rsidRPr="00426212" w:rsidRDefault="00A622CC" w:rsidP="002534A7">
            <w:pPr>
              <w:keepNext/>
              <w:spacing w:after="80"/>
              <w:ind w:right="34"/>
              <w:rPr>
                <w:rFonts w:cs="Arial"/>
                <w:szCs w:val="20"/>
              </w:rPr>
            </w:pPr>
            <w:r w:rsidRPr="00426212">
              <w:rPr>
                <w:rFonts w:cs="Arial"/>
                <w:szCs w:val="20"/>
              </w:rPr>
              <w:t>Telecommunications (Annual Carrier Li</w:t>
            </w:r>
            <w:r>
              <w:rPr>
                <w:rFonts w:cs="Arial"/>
                <w:szCs w:val="20"/>
              </w:rPr>
              <w:t>cenc</w:t>
            </w:r>
            <w:r w:rsidR="006E423A">
              <w:rPr>
                <w:rFonts w:cs="Arial"/>
                <w:szCs w:val="20"/>
              </w:rPr>
              <w:t>e Charge) Determination 2016</w:t>
            </w:r>
          </w:p>
          <w:p w14:paraId="4312990A" w14:textId="77777777" w:rsidR="00A622CC" w:rsidRPr="003A1B6D" w:rsidRDefault="00A622CC" w:rsidP="002534A7">
            <w:pPr>
              <w:keepNext/>
              <w:spacing w:after="0"/>
              <w:ind w:right="34"/>
              <w:rPr>
                <w:rFonts w:cs="Arial"/>
                <w:i/>
                <w:szCs w:val="20"/>
              </w:rPr>
            </w:pPr>
            <w:r w:rsidRPr="00A84CBD">
              <w:rPr>
                <w:rFonts w:cs="Arial"/>
                <w:i/>
                <w:szCs w:val="20"/>
              </w:rPr>
              <w:t>(made by the ACMA)</w:t>
            </w:r>
          </w:p>
        </w:tc>
        <w:tc>
          <w:tcPr>
            <w:tcW w:w="1347" w:type="pct"/>
          </w:tcPr>
          <w:p w14:paraId="3B85DDD7" w14:textId="77777777" w:rsidR="00A622CC" w:rsidRPr="00426212" w:rsidRDefault="00A622CC" w:rsidP="006174BB">
            <w:pPr>
              <w:keepNext/>
              <w:ind w:right="55"/>
              <w:rPr>
                <w:rFonts w:cs="Arial"/>
                <w:szCs w:val="20"/>
              </w:rPr>
            </w:pPr>
            <w:r w:rsidRPr="00426212">
              <w:rPr>
                <w:rFonts w:cs="Arial"/>
                <w:szCs w:val="20"/>
              </w:rPr>
              <w:t xml:space="preserve">Section 14 of the </w:t>
            </w:r>
            <w:r>
              <w:rPr>
                <w:rFonts w:cs="Arial"/>
                <w:szCs w:val="20"/>
              </w:rPr>
              <w:t>Act</w:t>
            </w:r>
          </w:p>
        </w:tc>
      </w:tr>
      <w:tr w:rsidR="00176CB9" w:rsidRPr="00426212" w14:paraId="628ADFA4" w14:textId="77777777" w:rsidTr="00B64534">
        <w:trPr>
          <w:cantSplit/>
          <w:trHeight w:val="799"/>
          <w:tblHeader/>
        </w:trPr>
        <w:tc>
          <w:tcPr>
            <w:tcW w:w="476" w:type="pct"/>
          </w:tcPr>
          <w:p w14:paraId="1B434B27" w14:textId="77777777" w:rsidR="00A622CC" w:rsidRPr="00426212" w:rsidRDefault="00A622CC" w:rsidP="006174BB">
            <w:pPr>
              <w:keepNext/>
              <w:ind w:right="-142"/>
              <w:rPr>
                <w:rFonts w:cs="Arial"/>
                <w:szCs w:val="20"/>
              </w:rPr>
            </w:pPr>
            <w:r w:rsidRPr="00426212">
              <w:rPr>
                <w:rFonts w:cs="Arial"/>
                <w:szCs w:val="20"/>
              </w:rPr>
              <w:t>2</w:t>
            </w:r>
          </w:p>
        </w:tc>
        <w:tc>
          <w:tcPr>
            <w:tcW w:w="3177" w:type="pct"/>
          </w:tcPr>
          <w:p w14:paraId="7FA6DEF2" w14:textId="77777777" w:rsidR="00A622CC" w:rsidRPr="00426212" w:rsidRDefault="00A622CC" w:rsidP="002534A7">
            <w:pPr>
              <w:keepNext/>
              <w:spacing w:after="80"/>
              <w:ind w:right="34"/>
              <w:rPr>
                <w:rFonts w:cs="Arial"/>
                <w:szCs w:val="20"/>
              </w:rPr>
            </w:pPr>
            <w:r w:rsidRPr="00426212">
              <w:rPr>
                <w:rFonts w:cs="Arial"/>
                <w:szCs w:val="20"/>
              </w:rPr>
              <w:t>Telecommunications (Specification of C</w:t>
            </w:r>
            <w:r w:rsidR="006E423A">
              <w:rPr>
                <w:rFonts w:cs="Arial"/>
                <w:szCs w:val="20"/>
              </w:rPr>
              <w:t>osts by ACMA) Determination 2016</w:t>
            </w:r>
          </w:p>
          <w:p w14:paraId="3FC3EA91" w14:textId="77777777" w:rsidR="00A622CC" w:rsidRPr="003A1B6D" w:rsidRDefault="00A622CC" w:rsidP="002534A7">
            <w:pPr>
              <w:keepNext/>
              <w:spacing w:after="0"/>
              <w:ind w:right="34"/>
              <w:rPr>
                <w:rFonts w:cs="Arial"/>
                <w:i/>
                <w:szCs w:val="20"/>
              </w:rPr>
            </w:pPr>
            <w:r w:rsidRPr="00A84CBD">
              <w:rPr>
                <w:rFonts w:cs="Arial"/>
                <w:i/>
                <w:szCs w:val="20"/>
              </w:rPr>
              <w:t>(made by the ACMA)</w:t>
            </w:r>
          </w:p>
        </w:tc>
        <w:tc>
          <w:tcPr>
            <w:tcW w:w="1347" w:type="pct"/>
          </w:tcPr>
          <w:p w14:paraId="5A0A91DE" w14:textId="77777777" w:rsidR="00A622CC" w:rsidRPr="00426212" w:rsidRDefault="00A622CC" w:rsidP="002534A7">
            <w:pPr>
              <w:keepNext/>
              <w:spacing w:after="0"/>
              <w:ind w:right="55"/>
              <w:rPr>
                <w:rFonts w:cs="Arial"/>
                <w:szCs w:val="20"/>
              </w:rPr>
            </w:pPr>
            <w:r w:rsidRPr="00426212">
              <w:rPr>
                <w:rFonts w:cs="Arial"/>
                <w:szCs w:val="20"/>
              </w:rPr>
              <w:t xml:space="preserve">Paragraphs 15(1)(a), (c) and (ca) of the </w:t>
            </w:r>
            <w:r>
              <w:rPr>
                <w:rFonts w:cs="Arial"/>
                <w:szCs w:val="20"/>
              </w:rPr>
              <w:t>Act</w:t>
            </w:r>
          </w:p>
        </w:tc>
      </w:tr>
      <w:tr w:rsidR="00176CB9" w:rsidRPr="00426212" w14:paraId="24B47190" w14:textId="77777777" w:rsidTr="00B64534">
        <w:trPr>
          <w:cantSplit/>
          <w:trHeight w:val="420"/>
          <w:tblHeader/>
        </w:trPr>
        <w:tc>
          <w:tcPr>
            <w:tcW w:w="476" w:type="pct"/>
          </w:tcPr>
          <w:p w14:paraId="04B2894C" w14:textId="77777777" w:rsidR="00A622CC" w:rsidRPr="00426212" w:rsidRDefault="00A622CC" w:rsidP="006174BB">
            <w:pPr>
              <w:keepNext/>
              <w:ind w:right="-142"/>
              <w:rPr>
                <w:rFonts w:cs="Arial"/>
                <w:szCs w:val="20"/>
              </w:rPr>
            </w:pPr>
            <w:r w:rsidRPr="00426212">
              <w:rPr>
                <w:rFonts w:cs="Arial"/>
                <w:szCs w:val="20"/>
              </w:rPr>
              <w:t>3</w:t>
            </w:r>
          </w:p>
        </w:tc>
        <w:tc>
          <w:tcPr>
            <w:tcW w:w="3177" w:type="pct"/>
          </w:tcPr>
          <w:p w14:paraId="5049DF9B" w14:textId="77777777" w:rsidR="00A622CC" w:rsidRPr="00426212" w:rsidRDefault="00A622CC" w:rsidP="002534A7">
            <w:pPr>
              <w:keepNext/>
              <w:spacing w:after="80"/>
              <w:ind w:right="34"/>
              <w:rPr>
                <w:rFonts w:cs="Arial"/>
                <w:szCs w:val="20"/>
              </w:rPr>
            </w:pPr>
            <w:r w:rsidRPr="00426212">
              <w:rPr>
                <w:rFonts w:cs="Arial"/>
                <w:szCs w:val="20"/>
              </w:rPr>
              <w:t>Determination Under Paragraph 15(1)(b)</w:t>
            </w:r>
            <w:r>
              <w:rPr>
                <w:rFonts w:cs="Arial"/>
                <w:szCs w:val="20"/>
              </w:rPr>
              <w:t xml:space="preserve"> No. 1 of </w:t>
            </w:r>
            <w:r w:rsidR="006E423A">
              <w:rPr>
                <w:rFonts w:cs="Arial"/>
                <w:szCs w:val="20"/>
              </w:rPr>
              <w:t>2016</w:t>
            </w:r>
          </w:p>
          <w:p w14:paraId="3D142396" w14:textId="77777777" w:rsidR="00A622CC" w:rsidRPr="003A1B6D" w:rsidRDefault="00A622CC" w:rsidP="002534A7">
            <w:pPr>
              <w:keepNext/>
              <w:spacing w:after="0"/>
              <w:ind w:right="34"/>
              <w:rPr>
                <w:rFonts w:cs="Arial"/>
                <w:i/>
                <w:szCs w:val="20"/>
              </w:rPr>
            </w:pPr>
            <w:r w:rsidRPr="00A84CBD">
              <w:rPr>
                <w:rFonts w:cs="Arial"/>
                <w:i/>
                <w:szCs w:val="20"/>
              </w:rPr>
              <w:t>(made by the ACCC)</w:t>
            </w:r>
          </w:p>
        </w:tc>
        <w:tc>
          <w:tcPr>
            <w:tcW w:w="1347" w:type="pct"/>
          </w:tcPr>
          <w:p w14:paraId="48A60902" w14:textId="77777777" w:rsidR="00A622CC" w:rsidRPr="00426212" w:rsidRDefault="00A622CC" w:rsidP="002534A7">
            <w:pPr>
              <w:keepNext/>
              <w:spacing w:after="0"/>
              <w:ind w:right="55"/>
              <w:rPr>
                <w:rFonts w:cs="Arial"/>
                <w:szCs w:val="20"/>
              </w:rPr>
            </w:pPr>
            <w:r w:rsidRPr="00426212">
              <w:rPr>
                <w:rFonts w:cs="Arial"/>
                <w:szCs w:val="20"/>
              </w:rPr>
              <w:t>Paragraph 15(1)(b) of the</w:t>
            </w:r>
            <w:r>
              <w:rPr>
                <w:rFonts w:cs="Arial"/>
                <w:szCs w:val="20"/>
              </w:rPr>
              <w:t xml:space="preserve"> Act</w:t>
            </w:r>
            <w:r w:rsidRPr="00426212">
              <w:rPr>
                <w:rFonts w:cs="Arial"/>
                <w:szCs w:val="20"/>
              </w:rPr>
              <w:t xml:space="preserve"> </w:t>
            </w:r>
          </w:p>
        </w:tc>
      </w:tr>
      <w:tr w:rsidR="00176CB9" w:rsidRPr="00426212" w14:paraId="64E4EED5" w14:textId="77777777" w:rsidTr="00B64534">
        <w:trPr>
          <w:cantSplit/>
          <w:trHeight w:val="411"/>
          <w:tblHeader/>
        </w:trPr>
        <w:tc>
          <w:tcPr>
            <w:tcW w:w="476" w:type="pct"/>
          </w:tcPr>
          <w:p w14:paraId="39756101" w14:textId="77777777" w:rsidR="00A622CC" w:rsidRPr="00426212" w:rsidRDefault="00A622CC" w:rsidP="006174BB">
            <w:pPr>
              <w:keepNext/>
              <w:ind w:right="-142"/>
              <w:rPr>
                <w:rFonts w:cs="Arial"/>
                <w:szCs w:val="20"/>
              </w:rPr>
            </w:pPr>
            <w:r w:rsidRPr="00426212">
              <w:rPr>
                <w:rFonts w:cs="Arial"/>
                <w:szCs w:val="20"/>
              </w:rPr>
              <w:t>4</w:t>
            </w:r>
          </w:p>
        </w:tc>
        <w:tc>
          <w:tcPr>
            <w:tcW w:w="3177" w:type="pct"/>
          </w:tcPr>
          <w:p w14:paraId="671725F9" w14:textId="77777777" w:rsidR="00A622CC" w:rsidRPr="00426212" w:rsidRDefault="00A622CC" w:rsidP="002534A7">
            <w:pPr>
              <w:keepNext/>
              <w:spacing w:after="80"/>
              <w:ind w:right="34"/>
              <w:rPr>
                <w:rFonts w:cs="Arial"/>
                <w:szCs w:val="20"/>
              </w:rPr>
            </w:pPr>
            <w:r w:rsidRPr="00426212">
              <w:rPr>
                <w:rFonts w:cs="Arial"/>
                <w:szCs w:val="20"/>
              </w:rPr>
              <w:t>Determination Under P</w:t>
            </w:r>
            <w:r>
              <w:rPr>
                <w:rFonts w:cs="Arial"/>
                <w:szCs w:val="20"/>
              </w:rPr>
              <w:t xml:space="preserve">aragraph 15(1)(d) No. 1 of </w:t>
            </w:r>
            <w:r w:rsidR="006E423A">
              <w:rPr>
                <w:rFonts w:cs="Arial"/>
                <w:szCs w:val="20"/>
              </w:rPr>
              <w:t>2016</w:t>
            </w:r>
          </w:p>
          <w:p w14:paraId="7E18ADA6" w14:textId="77777777" w:rsidR="00A622CC" w:rsidRPr="003A1B6D" w:rsidRDefault="00A622CC" w:rsidP="002534A7">
            <w:pPr>
              <w:keepNext/>
              <w:spacing w:after="0"/>
              <w:ind w:right="34"/>
              <w:rPr>
                <w:rFonts w:cs="Arial"/>
                <w:i/>
                <w:szCs w:val="20"/>
              </w:rPr>
            </w:pPr>
            <w:r w:rsidRPr="00A84CBD">
              <w:rPr>
                <w:rFonts w:cs="Arial"/>
                <w:i/>
                <w:szCs w:val="20"/>
              </w:rPr>
              <w:t xml:space="preserve">(made by </w:t>
            </w:r>
            <w:r>
              <w:rPr>
                <w:rFonts w:cs="Arial"/>
                <w:i/>
                <w:szCs w:val="20"/>
              </w:rPr>
              <w:t>the Minister for Communications</w:t>
            </w:r>
            <w:r w:rsidR="006E423A">
              <w:rPr>
                <w:rFonts w:cs="Arial"/>
                <w:i/>
                <w:szCs w:val="20"/>
              </w:rPr>
              <w:t xml:space="preserve"> and the Arts</w:t>
            </w:r>
            <w:r>
              <w:rPr>
                <w:rFonts w:cs="Arial"/>
                <w:i/>
                <w:szCs w:val="20"/>
              </w:rPr>
              <w:t>)</w:t>
            </w:r>
          </w:p>
        </w:tc>
        <w:tc>
          <w:tcPr>
            <w:tcW w:w="1347" w:type="pct"/>
          </w:tcPr>
          <w:p w14:paraId="13CAC499" w14:textId="77777777" w:rsidR="00A622CC" w:rsidRPr="00426212" w:rsidRDefault="00A622CC" w:rsidP="002534A7">
            <w:pPr>
              <w:keepNext/>
              <w:spacing w:after="0"/>
              <w:ind w:right="55"/>
              <w:rPr>
                <w:rFonts w:cs="Arial"/>
                <w:szCs w:val="20"/>
              </w:rPr>
            </w:pPr>
            <w:r w:rsidRPr="00426212">
              <w:rPr>
                <w:rFonts w:cs="Arial"/>
                <w:szCs w:val="20"/>
              </w:rPr>
              <w:t xml:space="preserve">Paragraph 15(1)(d) of the </w:t>
            </w:r>
            <w:r>
              <w:rPr>
                <w:rFonts w:cs="Arial"/>
                <w:szCs w:val="20"/>
              </w:rPr>
              <w:t>Act</w:t>
            </w:r>
          </w:p>
        </w:tc>
      </w:tr>
    </w:tbl>
    <w:p w14:paraId="3DAB45A2" w14:textId="77777777" w:rsidR="00A622CC" w:rsidRDefault="00A622CC" w:rsidP="004E2F7E">
      <w:pPr>
        <w:pStyle w:val="ACMASpaceaftertable"/>
      </w:pPr>
    </w:p>
    <w:p w14:paraId="6E9B3309" w14:textId="77777777" w:rsidR="009E783D" w:rsidRPr="00CC3F4B" w:rsidRDefault="009E783D" w:rsidP="009E783D">
      <w:pPr>
        <w:pStyle w:val="Heading1"/>
      </w:pPr>
      <w:bookmarkStart w:id="28" w:name="_Toc355953989"/>
      <w:bookmarkStart w:id="29" w:name="_Toc385256318"/>
      <w:bookmarkStart w:id="30" w:name="_Toc417990945"/>
      <w:bookmarkStart w:id="31" w:name="_Toc454268361"/>
      <w:r w:rsidRPr="00CC3F4B">
        <w:lastRenderedPageBreak/>
        <w:t>3.</w:t>
      </w:r>
      <w:r w:rsidRPr="00CC3F4B">
        <w:tab/>
        <w:t>C</w:t>
      </w:r>
      <w:r>
        <w:t>ost recovery</w:t>
      </w:r>
      <w:r w:rsidRPr="00CC3F4B">
        <w:t xml:space="preserve"> </w:t>
      </w:r>
      <w:bookmarkEnd w:id="28"/>
      <w:bookmarkEnd w:id="29"/>
      <w:r>
        <w:t>model</w:t>
      </w:r>
      <w:bookmarkEnd w:id="30"/>
      <w:bookmarkEnd w:id="31"/>
    </w:p>
    <w:p w14:paraId="5301E2A5" w14:textId="77777777" w:rsidR="009E783D" w:rsidRPr="003F7E3A" w:rsidRDefault="009E783D" w:rsidP="003F7E3A">
      <w:bookmarkStart w:id="32" w:name="basisorcharging"/>
      <w:r w:rsidRPr="00A84CBD">
        <w:t xml:space="preserve">There are five distinct </w:t>
      </w:r>
      <w:r w:rsidR="00A372F1">
        <w:t>regulatory</w:t>
      </w:r>
      <w:r>
        <w:t xml:space="preserve"> activities</w:t>
      </w:r>
      <w:r w:rsidRPr="00A84CBD">
        <w:t xml:space="preserve"> </w:t>
      </w:r>
      <w:r>
        <w:t xml:space="preserve">(cost components) </w:t>
      </w:r>
      <w:r w:rsidRPr="00A84CBD">
        <w:t>that are included in the total amount of the ACLC and levied on the carrier licences on an annual basis.</w:t>
      </w:r>
    </w:p>
    <w:p w14:paraId="0A60AFE2" w14:textId="77777777" w:rsidR="009E783D" w:rsidRDefault="009E783D" w:rsidP="003F7E3A">
      <w:pPr>
        <w:pStyle w:val="Heading2"/>
        <w:spacing w:after="240"/>
      </w:pPr>
      <w:bookmarkStart w:id="33" w:name="_Toc355953990"/>
      <w:bookmarkStart w:id="34" w:name="_Toc385256319"/>
      <w:bookmarkStart w:id="35" w:name="_Toc417990946"/>
      <w:bookmarkStart w:id="36" w:name="_Toc454268362"/>
      <w:r w:rsidRPr="003F7E3A">
        <w:t>3.1</w:t>
      </w:r>
      <w:r w:rsidRPr="003F7E3A">
        <w:tab/>
      </w:r>
      <w:bookmarkEnd w:id="33"/>
      <w:bookmarkEnd w:id="34"/>
      <w:r w:rsidRPr="003F7E3A">
        <w:t xml:space="preserve">Determination of cost component under paragraph 15(1)(a) of the Act—the ACMA’s </w:t>
      </w:r>
      <w:bookmarkEnd w:id="35"/>
      <w:r w:rsidRPr="003F7E3A">
        <w:t>activity</w:t>
      </w:r>
      <w:bookmarkEnd w:id="36"/>
    </w:p>
    <w:p w14:paraId="3A481FB5" w14:textId="77777777" w:rsidR="009E783D" w:rsidRPr="003F7E3A" w:rsidRDefault="009E783D" w:rsidP="003F7E3A">
      <w:pPr>
        <w:pStyle w:val="Heading3"/>
      </w:pPr>
      <w:bookmarkStart w:id="37" w:name="_Toc417990947"/>
      <w:bookmarkStart w:id="38" w:name="_Toc454268363"/>
      <w:r w:rsidRPr="003F7E3A">
        <w:t>3.1.1</w:t>
      </w:r>
      <w:r w:rsidRPr="003F7E3A">
        <w:tab/>
        <w:t>Outputs and business processes of the activity</w:t>
      </w:r>
      <w:bookmarkEnd w:id="37"/>
      <w:bookmarkEnd w:id="38"/>
    </w:p>
    <w:p w14:paraId="7BF53BD7" w14:textId="77777777" w:rsidR="00EB6DAE" w:rsidRDefault="009E783D" w:rsidP="00B64534">
      <w:pPr>
        <w:spacing w:after="80"/>
      </w:pPr>
      <w:r w:rsidRPr="00A84CBD">
        <w:t>This component represents the ACMA’s costs incurre</w:t>
      </w:r>
      <w:r w:rsidR="00BA6431">
        <w:t>d during the financial year 2014–15</w:t>
      </w:r>
      <w:r w:rsidRPr="00A84CBD">
        <w:t xml:space="preserve"> in </w:t>
      </w:r>
      <w:r w:rsidR="00EB6DAE">
        <w:t>performing</w:t>
      </w:r>
      <w:r w:rsidRPr="00A84CBD">
        <w:t xml:space="preserve"> its telecommunications functions </w:t>
      </w:r>
      <w:r>
        <w:t>set out in</w:t>
      </w:r>
      <w:r w:rsidRPr="00A84CBD">
        <w:t xml:space="preserve"> section </w:t>
      </w:r>
      <w:r>
        <w:t xml:space="preserve">8 of the ACMA Act and </w:t>
      </w:r>
      <w:r w:rsidR="00EB6DAE">
        <w:t xml:space="preserve">in exercising its </w:t>
      </w:r>
      <w:r>
        <w:t>telecommunications powers as defined in section 7</w:t>
      </w:r>
      <w:r w:rsidRPr="00A84CBD">
        <w:t xml:space="preserve"> of the </w:t>
      </w:r>
      <w:r w:rsidRPr="00094042">
        <w:rPr>
          <w:i/>
        </w:rPr>
        <w:t>Telecommunications Act 1997</w:t>
      </w:r>
      <w:r w:rsidR="00EB6DAE">
        <w:t>,</w:t>
      </w:r>
      <w:r>
        <w:t xml:space="preserve"> </w:t>
      </w:r>
      <w:r w:rsidR="00EB6DAE">
        <w:t>except for functions and powers conferred on the ACMA by or under:</w:t>
      </w:r>
    </w:p>
    <w:p w14:paraId="0A05A630" w14:textId="77777777" w:rsidR="00EB6DAE" w:rsidRPr="00A875F1" w:rsidRDefault="00EB6DAE" w:rsidP="00B64534">
      <w:pPr>
        <w:spacing w:after="80" w:line="240" w:lineRule="auto"/>
        <w:rPr>
          <w:rFonts w:cs="Arial"/>
          <w:sz w:val="19"/>
          <w:szCs w:val="19"/>
        </w:rPr>
      </w:pPr>
      <w:r w:rsidRPr="00A875F1">
        <w:rPr>
          <w:rFonts w:cs="Arial"/>
          <w:sz w:val="19"/>
          <w:szCs w:val="19"/>
        </w:rPr>
        <w:t xml:space="preserve">(a)  the </w:t>
      </w:r>
      <w:r w:rsidRPr="00A875F1">
        <w:rPr>
          <w:rFonts w:cs="Arial"/>
          <w:i/>
          <w:iCs/>
          <w:sz w:val="19"/>
          <w:szCs w:val="19"/>
        </w:rPr>
        <w:t>Do Not Call Register Act 2006</w:t>
      </w:r>
      <w:r w:rsidRPr="00A875F1">
        <w:rPr>
          <w:rFonts w:cs="Arial"/>
          <w:sz w:val="19"/>
          <w:szCs w:val="19"/>
        </w:rPr>
        <w:t>; or</w:t>
      </w:r>
    </w:p>
    <w:p w14:paraId="15C53550" w14:textId="77777777" w:rsidR="00EB6DAE" w:rsidRPr="00A875F1" w:rsidRDefault="00EB6DAE" w:rsidP="00B64534">
      <w:pPr>
        <w:spacing w:after="80" w:line="240" w:lineRule="auto"/>
        <w:rPr>
          <w:rFonts w:cs="Arial"/>
          <w:sz w:val="19"/>
          <w:szCs w:val="19"/>
        </w:rPr>
      </w:pPr>
      <w:r w:rsidRPr="00A875F1">
        <w:rPr>
          <w:rFonts w:cs="Arial"/>
          <w:sz w:val="19"/>
          <w:szCs w:val="19"/>
        </w:rPr>
        <w:t xml:space="preserve">(b)  the </w:t>
      </w:r>
      <w:r w:rsidRPr="00A875F1">
        <w:rPr>
          <w:rFonts w:cs="Arial"/>
          <w:i/>
          <w:iCs/>
          <w:sz w:val="19"/>
          <w:szCs w:val="19"/>
        </w:rPr>
        <w:t>Telecommunications Act 1997</w:t>
      </w:r>
      <w:r w:rsidRPr="00A875F1">
        <w:rPr>
          <w:rFonts w:cs="Arial"/>
          <w:sz w:val="19"/>
          <w:szCs w:val="19"/>
        </w:rPr>
        <w:t xml:space="preserve"> to the extent to which that Act relates to the </w:t>
      </w:r>
      <w:r w:rsidRPr="00A875F1">
        <w:rPr>
          <w:rFonts w:cs="Arial"/>
          <w:i/>
          <w:iCs/>
          <w:sz w:val="19"/>
          <w:szCs w:val="19"/>
        </w:rPr>
        <w:t>Do Not Call Register Act 2006</w:t>
      </w:r>
      <w:r w:rsidRPr="00A875F1">
        <w:rPr>
          <w:rFonts w:cs="Arial"/>
          <w:sz w:val="19"/>
          <w:szCs w:val="19"/>
        </w:rPr>
        <w:t>; or</w:t>
      </w:r>
    </w:p>
    <w:p w14:paraId="499B088A" w14:textId="77777777" w:rsidR="00EB6DAE" w:rsidRDefault="00EB6DAE" w:rsidP="00EB6DAE">
      <w:r w:rsidRPr="00A875F1">
        <w:rPr>
          <w:rFonts w:cs="Arial"/>
          <w:sz w:val="19"/>
          <w:szCs w:val="19"/>
        </w:rPr>
        <w:t xml:space="preserve">(c)  Part 6 of the </w:t>
      </w:r>
      <w:r w:rsidRPr="00A875F1">
        <w:rPr>
          <w:rFonts w:cs="Arial"/>
          <w:i/>
          <w:iCs/>
          <w:sz w:val="19"/>
          <w:szCs w:val="19"/>
        </w:rPr>
        <w:t>Telecommunications Act 1997</w:t>
      </w:r>
      <w:r w:rsidRPr="00A875F1">
        <w:rPr>
          <w:rFonts w:cs="Arial"/>
          <w:sz w:val="19"/>
          <w:szCs w:val="19"/>
        </w:rPr>
        <w:t xml:space="preserve"> to the extent to which that Part relates to telemarketing activities (within the meaning of that Part).</w:t>
      </w:r>
    </w:p>
    <w:p w14:paraId="5BA3851A" w14:textId="77777777" w:rsidR="009E783D" w:rsidRPr="00E648E5" w:rsidRDefault="009E783D" w:rsidP="000E0EFD">
      <w:pPr>
        <w:pStyle w:val="Definition"/>
        <w:spacing w:before="0" w:after="80" w:line="240" w:lineRule="atLeast"/>
        <w:ind w:left="0"/>
        <w:rPr>
          <w:rFonts w:ascii="Arial" w:hAnsi="Arial" w:cs="Arial"/>
          <w:sz w:val="20"/>
        </w:rPr>
      </w:pPr>
      <w:r>
        <w:rPr>
          <w:rFonts w:ascii="Arial" w:hAnsi="Arial" w:cs="Arial"/>
          <w:sz w:val="20"/>
        </w:rPr>
        <w:t>As a regulator of the telecommunications industry, t</w:t>
      </w:r>
      <w:r w:rsidRPr="00E648E5">
        <w:rPr>
          <w:rFonts w:ascii="Arial" w:hAnsi="Arial" w:cs="Arial"/>
          <w:sz w:val="20"/>
        </w:rPr>
        <w:t xml:space="preserve">he ACMA </w:t>
      </w:r>
      <w:r>
        <w:rPr>
          <w:rFonts w:ascii="Arial" w:hAnsi="Arial" w:cs="Arial"/>
          <w:sz w:val="20"/>
        </w:rPr>
        <w:t>exercises</w:t>
      </w:r>
      <w:r w:rsidRPr="00E648E5">
        <w:rPr>
          <w:rFonts w:ascii="Arial" w:hAnsi="Arial" w:cs="Arial"/>
          <w:sz w:val="20"/>
        </w:rPr>
        <w:t xml:space="preserve"> powers conferred by the following Acts</w:t>
      </w:r>
      <w:r w:rsidR="003B0551">
        <w:rPr>
          <w:rFonts w:ascii="Arial" w:hAnsi="Arial" w:cs="Arial"/>
          <w:sz w:val="20"/>
        </w:rPr>
        <w:t xml:space="preserve"> relevant to the ACLC</w:t>
      </w:r>
      <w:r w:rsidRPr="00E648E5">
        <w:rPr>
          <w:rFonts w:ascii="Arial" w:hAnsi="Arial" w:cs="Arial"/>
          <w:sz w:val="20"/>
        </w:rPr>
        <w:t>:</w:t>
      </w:r>
    </w:p>
    <w:p w14:paraId="2B3610A9" w14:textId="77777777" w:rsidR="009E783D" w:rsidRPr="00E648E5" w:rsidRDefault="009E783D" w:rsidP="000E0EFD">
      <w:pPr>
        <w:pStyle w:val="ListBullet"/>
      </w:pPr>
      <w:r w:rsidRPr="00E648E5">
        <w:t xml:space="preserve">the </w:t>
      </w:r>
      <w:r w:rsidRPr="000E0EFD">
        <w:rPr>
          <w:i/>
        </w:rPr>
        <w:t>Telecommunications Act 1997</w:t>
      </w:r>
    </w:p>
    <w:p w14:paraId="5429F18B" w14:textId="77777777" w:rsidR="009E783D" w:rsidRPr="000E0EFD" w:rsidRDefault="009E783D" w:rsidP="000E0EFD">
      <w:pPr>
        <w:pStyle w:val="ListBullet"/>
        <w:rPr>
          <w:i/>
        </w:rPr>
      </w:pPr>
      <w:r w:rsidRPr="00E648E5">
        <w:t xml:space="preserve">the </w:t>
      </w:r>
      <w:r w:rsidRPr="000E0EFD">
        <w:rPr>
          <w:i/>
        </w:rPr>
        <w:t>Telecommunications (Consumer Protection and Service Standards) Act 1999</w:t>
      </w:r>
    </w:p>
    <w:p w14:paraId="68244CA4" w14:textId="77777777" w:rsidR="009E783D" w:rsidRPr="00E648E5" w:rsidRDefault="009E783D" w:rsidP="000E0EFD">
      <w:pPr>
        <w:pStyle w:val="ListBullet"/>
      </w:pPr>
      <w:r w:rsidRPr="00E648E5">
        <w:t xml:space="preserve">Chapter 4 or 5 of the </w:t>
      </w:r>
      <w:r w:rsidRPr="000E0EFD">
        <w:rPr>
          <w:i/>
        </w:rPr>
        <w:t>Telecommunications (Interception and Access) Act 1979</w:t>
      </w:r>
    </w:p>
    <w:p w14:paraId="539D260A" w14:textId="77777777" w:rsidR="009E783D" w:rsidRPr="00E648E5" w:rsidRDefault="009E783D" w:rsidP="000E0EFD">
      <w:pPr>
        <w:pStyle w:val="ListBullet"/>
      </w:pPr>
      <w:r w:rsidRPr="00E648E5">
        <w:t xml:space="preserve">Part XIC of the </w:t>
      </w:r>
      <w:r w:rsidRPr="000E0EFD">
        <w:rPr>
          <w:i/>
        </w:rPr>
        <w:t>Competition and Consumer Act 2010</w:t>
      </w:r>
    </w:p>
    <w:p w14:paraId="4EC92E24" w14:textId="4C4F7E69" w:rsidR="009E783D" w:rsidRDefault="009E783D" w:rsidP="000E0EFD">
      <w:pPr>
        <w:pStyle w:val="ListBulletLast"/>
      </w:pPr>
      <w:r w:rsidRPr="00E648E5">
        <w:t xml:space="preserve">section 12 of the </w:t>
      </w:r>
      <w:r w:rsidRPr="000E0EFD">
        <w:rPr>
          <w:i/>
        </w:rPr>
        <w:t>Australian Communications and Media Authority Act 2005</w:t>
      </w:r>
      <w:r w:rsidR="00261225">
        <w:rPr>
          <w:i/>
        </w:rPr>
        <w:t>.</w:t>
      </w:r>
    </w:p>
    <w:p w14:paraId="16FBF31F" w14:textId="77777777" w:rsidR="009E783D" w:rsidRDefault="009E783D" w:rsidP="009E783D">
      <w:r>
        <w:t>The outputs in relation to th</w:t>
      </w:r>
      <w:r w:rsidR="003B0551">
        <w:t>e ACMA’s telecommunication</w:t>
      </w:r>
      <w:r>
        <w:t>s acti</w:t>
      </w:r>
      <w:r w:rsidR="003F7E3A">
        <w:t>vit</w:t>
      </w:r>
      <w:r w:rsidR="003B0551">
        <w:t>ies</w:t>
      </w:r>
      <w:r w:rsidR="003F7E3A">
        <w:t xml:space="preserve"> are summarised as follows:</w:t>
      </w:r>
    </w:p>
    <w:p w14:paraId="5AAAB025" w14:textId="77777777" w:rsidR="009E783D" w:rsidRPr="00094042" w:rsidRDefault="009E783D" w:rsidP="003F7E3A">
      <w:pPr>
        <w:pStyle w:val="Bodysubheader0"/>
      </w:pPr>
      <w:r w:rsidRPr="00094042">
        <w:t>Regulat</w:t>
      </w:r>
      <w:r>
        <w:t xml:space="preserve">ion development </w:t>
      </w:r>
    </w:p>
    <w:p w14:paraId="61346B02" w14:textId="6D270812" w:rsidR="009E783D" w:rsidRPr="005D0BC8" w:rsidRDefault="009E783D" w:rsidP="003F7E3A">
      <w:pPr>
        <w:keepLines/>
      </w:pPr>
      <w:r w:rsidRPr="00A84CBD">
        <w:t>This includes regulat</w:t>
      </w:r>
      <w:r>
        <w:t>ory</w:t>
      </w:r>
      <w:r w:rsidRPr="00A84CBD">
        <w:t xml:space="preserve"> development under the existing legislative framework</w:t>
      </w:r>
      <w:r>
        <w:t xml:space="preserve"> including</w:t>
      </w:r>
      <w:r w:rsidRPr="00A84CBD">
        <w:t xml:space="preserve"> the promotion of self</w:t>
      </w:r>
      <w:r w:rsidR="00261225">
        <w:t>-</w:t>
      </w:r>
      <w:r w:rsidRPr="00A84CBD">
        <w:t xml:space="preserve"> and co-regulation and competition in the telecommunications industry (for example, the facilitation of the development of self-regulatory industry codes), the development and variation of telecommunications </w:t>
      </w:r>
      <w:r>
        <w:t xml:space="preserve">industry </w:t>
      </w:r>
      <w:r w:rsidRPr="00A84CBD">
        <w:t>standards, the conduct of research on matters affecting telecommunications regulations, and the management of technical regulatory arrangements.</w:t>
      </w:r>
    </w:p>
    <w:p w14:paraId="32FA1753" w14:textId="77777777" w:rsidR="009E783D" w:rsidRPr="003F7E3A" w:rsidRDefault="009E783D" w:rsidP="003F7E3A">
      <w:pPr>
        <w:pStyle w:val="Bodysubheader0"/>
      </w:pPr>
      <w:r w:rsidRPr="003F7E3A">
        <w:t>Industry monitoring and NBN</w:t>
      </w:r>
    </w:p>
    <w:p w14:paraId="3F5D9EB3" w14:textId="2196E7B2" w:rsidR="009E783D" w:rsidRPr="005D0BC8" w:rsidRDefault="009E783D" w:rsidP="009E783D">
      <w:r w:rsidRPr="00A84CBD">
        <w:t>This includes monitoring and reporting on the service performance and compliance of telecommunications organisations</w:t>
      </w:r>
      <w:r>
        <w:t xml:space="preserve"> with regulatory obligations</w:t>
      </w:r>
      <w:r w:rsidRPr="00A84CBD">
        <w:t xml:space="preserve"> (for example, against telecommunications standards and codes</w:t>
      </w:r>
      <w:r w:rsidRPr="00A81E46">
        <w:t>),</w:t>
      </w:r>
      <w:r w:rsidRPr="00A84CBD">
        <w:t xml:space="preserve"> monitoring consumer safeguards that establish minimum performance standards, and monitoring the implementation of appropriate NBN standards and codes.</w:t>
      </w:r>
    </w:p>
    <w:p w14:paraId="1991DF7E" w14:textId="77777777" w:rsidR="009E783D" w:rsidRPr="003F7E3A" w:rsidRDefault="009E783D" w:rsidP="003F7E3A">
      <w:pPr>
        <w:pStyle w:val="Bodysubheader0"/>
      </w:pPr>
      <w:r w:rsidRPr="003F7E3A">
        <w:t>Compliance and enforcement</w:t>
      </w:r>
    </w:p>
    <w:p w14:paraId="0C379388" w14:textId="247C6A62" w:rsidR="009E783D" w:rsidRPr="003F7E3A" w:rsidRDefault="009E783D" w:rsidP="009E783D">
      <w:pPr>
        <w:rPr>
          <w:color w:val="000000"/>
        </w:rPr>
      </w:pPr>
      <w:r w:rsidRPr="00A84CBD">
        <w:rPr>
          <w:color w:val="000000"/>
        </w:rPr>
        <w:t>This involves handling complaints</w:t>
      </w:r>
      <w:r>
        <w:rPr>
          <w:color w:val="000000"/>
        </w:rPr>
        <w:t xml:space="preserve"> from the telecommunications industry and consumers</w:t>
      </w:r>
      <w:r w:rsidRPr="00A84CBD">
        <w:rPr>
          <w:color w:val="000000"/>
        </w:rPr>
        <w:t xml:space="preserve">, compliance monitoring of devices subject to labelling arrangements and telecommunications cabling, </w:t>
      </w:r>
      <w:r w:rsidR="00594C25">
        <w:rPr>
          <w:color w:val="000000"/>
        </w:rPr>
        <w:t xml:space="preserve">compliance monitoring of </w:t>
      </w:r>
      <w:r w:rsidRPr="00A84CBD">
        <w:rPr>
          <w:color w:val="000000"/>
        </w:rPr>
        <w:t xml:space="preserve">electromagnetic </w:t>
      </w:r>
      <w:r w:rsidR="00CF5341">
        <w:rPr>
          <w:color w:val="000000"/>
        </w:rPr>
        <w:t>activities</w:t>
      </w:r>
      <w:r w:rsidRPr="00A84CBD">
        <w:rPr>
          <w:color w:val="000000"/>
        </w:rPr>
        <w:t xml:space="preserve">, </w:t>
      </w:r>
      <w:r w:rsidRPr="00A84CBD">
        <w:rPr>
          <w:color w:val="000000"/>
        </w:rPr>
        <w:lastRenderedPageBreak/>
        <w:t xml:space="preserve">compliance with consumer protection codes, undertaking audit programs, issuing warning notices, and </w:t>
      </w:r>
      <w:r w:rsidR="003B0551">
        <w:rPr>
          <w:color w:val="000000"/>
        </w:rPr>
        <w:t xml:space="preserve">taking other </w:t>
      </w:r>
      <w:r w:rsidRPr="00A84CBD">
        <w:rPr>
          <w:color w:val="000000"/>
        </w:rPr>
        <w:t xml:space="preserve">related enforcement </w:t>
      </w:r>
      <w:r>
        <w:rPr>
          <w:color w:val="000000"/>
        </w:rPr>
        <w:t>actions</w:t>
      </w:r>
      <w:r w:rsidRPr="00A84CBD">
        <w:rPr>
          <w:color w:val="000000"/>
        </w:rPr>
        <w:t>.</w:t>
      </w:r>
    </w:p>
    <w:p w14:paraId="4B238912" w14:textId="77777777" w:rsidR="009E783D" w:rsidRPr="003F7E3A" w:rsidRDefault="009E783D" w:rsidP="003F7E3A">
      <w:pPr>
        <w:pStyle w:val="Bodysubheader0"/>
      </w:pPr>
      <w:r w:rsidRPr="003F7E3A">
        <w:t>Licensing and allocation</w:t>
      </w:r>
    </w:p>
    <w:p w14:paraId="2D4E4803" w14:textId="2A212FE6" w:rsidR="009E783D" w:rsidRPr="003F7E3A" w:rsidRDefault="009E783D" w:rsidP="009E783D">
      <w:r w:rsidRPr="00A84CBD">
        <w:t xml:space="preserve">This includes planning, development and management in relation to telecommunications licences, and the planning, </w:t>
      </w:r>
      <w:r>
        <w:t xml:space="preserve">development, </w:t>
      </w:r>
      <w:r w:rsidRPr="00A84CBD">
        <w:t xml:space="preserve">allocation and </w:t>
      </w:r>
      <w:r>
        <w:t xml:space="preserve">maintenance </w:t>
      </w:r>
      <w:r w:rsidRPr="00A84CBD">
        <w:t xml:space="preserve">of telecommunications numbers. </w:t>
      </w:r>
      <w:r>
        <w:t>However, t</w:t>
      </w:r>
      <w:r w:rsidRPr="00A84CBD">
        <w:t xml:space="preserve">he issuing </w:t>
      </w:r>
      <w:r>
        <w:t xml:space="preserve">of </w:t>
      </w:r>
      <w:r w:rsidRPr="00A84CBD">
        <w:t xml:space="preserve">licences and allocating </w:t>
      </w:r>
      <w:r>
        <w:t xml:space="preserve">of certain </w:t>
      </w:r>
      <w:r w:rsidRPr="00A84CBD">
        <w:t>numbers such as geographic, free-phone, local and premium numbers are not included</w:t>
      </w:r>
      <w:r w:rsidR="00261225">
        <w:t>,</w:t>
      </w:r>
      <w:r w:rsidRPr="00A84CBD">
        <w:t xml:space="preserve"> as these services are delivered on a fee-for-service basis.</w:t>
      </w:r>
    </w:p>
    <w:p w14:paraId="2F2D7814" w14:textId="77777777" w:rsidR="009E783D" w:rsidRPr="003F7E3A" w:rsidRDefault="009E783D" w:rsidP="003F7E3A">
      <w:pPr>
        <w:pStyle w:val="Bodysubheader0"/>
      </w:pPr>
      <w:r w:rsidRPr="003F7E3A">
        <w:t>Other outputs</w:t>
      </w:r>
    </w:p>
    <w:p w14:paraId="7E645AB3" w14:textId="385B9B89" w:rsidR="009E783D" w:rsidRDefault="009E783D" w:rsidP="009E783D">
      <w:r w:rsidRPr="00A84CBD">
        <w:t xml:space="preserve">All other </w:t>
      </w:r>
      <w:r>
        <w:t>outputs</w:t>
      </w:r>
      <w:r w:rsidRPr="00A84CBD">
        <w:t xml:space="preserve"> in relation to the ACMA’s telecommunications functions and powers are considered in this category</w:t>
      </w:r>
      <w:r w:rsidR="00261225">
        <w:t>,</w:t>
      </w:r>
      <w:r w:rsidRPr="00A84CBD">
        <w:t xml:space="preserve"> including dealing with the telecommunications industry on national interest</w:t>
      </w:r>
      <w:r w:rsidR="003F6205">
        <w:t xml:space="preserve"> issues</w:t>
      </w:r>
      <w:r w:rsidR="00261225">
        <w:t>—</w:t>
      </w:r>
      <w:r w:rsidR="003F6205">
        <w:t>for example</w:t>
      </w:r>
      <w:r w:rsidR="00261225">
        <w:t>,</w:t>
      </w:r>
      <w:r w:rsidR="003F6205">
        <w:t xml:space="preserve"> emergency call services and disclosure of customer information</w:t>
      </w:r>
      <w:r w:rsidRPr="00A84CBD">
        <w:t>.</w:t>
      </w:r>
    </w:p>
    <w:p w14:paraId="6AF87126" w14:textId="77452E9B" w:rsidR="009E783D" w:rsidRDefault="009E783D" w:rsidP="00372EAE">
      <w:r w:rsidRPr="00A85742">
        <w:t xml:space="preserve">Further details about the ACMA’s telecommunications </w:t>
      </w:r>
      <w:r>
        <w:t>activities</w:t>
      </w:r>
      <w:r w:rsidRPr="00A85742">
        <w:t xml:space="preserve"> </w:t>
      </w:r>
      <w:r w:rsidR="00387831">
        <w:t>are set out in</w:t>
      </w:r>
      <w:r w:rsidRPr="00A85742">
        <w:t xml:space="preserve"> the ACMA’s annual report.</w:t>
      </w:r>
      <w:r w:rsidRPr="00A85742">
        <w:rPr>
          <w:rStyle w:val="FootnoteReference"/>
          <w:rFonts w:cs="Arial"/>
          <w:szCs w:val="20"/>
        </w:rPr>
        <w:footnoteReference w:id="6"/>
      </w:r>
    </w:p>
    <w:p w14:paraId="58199CD7" w14:textId="77777777" w:rsidR="009E783D" w:rsidRPr="005D0BC8" w:rsidRDefault="009E783D" w:rsidP="003F7E3A">
      <w:pPr>
        <w:pStyle w:val="Heading3"/>
      </w:pPr>
      <w:bookmarkStart w:id="39" w:name="_Toc417990948"/>
      <w:bookmarkStart w:id="40" w:name="_Toc454268364"/>
      <w:r w:rsidRPr="003F7E3A">
        <w:t>3.1.2</w:t>
      </w:r>
      <w:r w:rsidRPr="003F7E3A">
        <w:tab/>
        <w:t>Costs of the activity</w:t>
      </w:r>
      <w:bookmarkEnd w:id="39"/>
      <w:bookmarkEnd w:id="40"/>
    </w:p>
    <w:p w14:paraId="69A2BC72" w14:textId="7FED897A" w:rsidR="009E783D" w:rsidRPr="005D0BC8" w:rsidRDefault="009E783D" w:rsidP="009E783D">
      <w:r w:rsidRPr="00A84CBD">
        <w:t xml:space="preserve">The determination of the ACMA’s costs to be recovered </w:t>
      </w:r>
      <w:r>
        <w:t>under</w:t>
      </w:r>
      <w:r w:rsidRPr="00A84CBD">
        <w:t xml:space="preserve"> the ACLC is subject to </w:t>
      </w:r>
      <w:r w:rsidRPr="00285099">
        <w:t xml:space="preserve">a rigorous process using an </w:t>
      </w:r>
      <w:r w:rsidR="00E50A27">
        <w:t>A</w:t>
      </w:r>
      <w:r w:rsidRPr="00285099">
        <w:t>ctivity</w:t>
      </w:r>
      <w:r w:rsidR="00E50A27">
        <w:t xml:space="preserve"> B</w:t>
      </w:r>
      <w:r w:rsidRPr="00285099">
        <w:t xml:space="preserve">ased </w:t>
      </w:r>
      <w:r w:rsidR="00E50A27">
        <w:t>C</w:t>
      </w:r>
      <w:r w:rsidRPr="00285099">
        <w:t xml:space="preserve">osting (ABC) model. </w:t>
      </w:r>
      <w:r w:rsidR="00F6658E" w:rsidRPr="00285099">
        <w:t>Although t</w:t>
      </w:r>
      <w:r w:rsidRPr="00285099">
        <w:t>here ha</w:t>
      </w:r>
      <w:r w:rsidR="003B0551">
        <w:t>s</w:t>
      </w:r>
      <w:r w:rsidRPr="00285099">
        <w:t xml:space="preserve"> been no change in the methodology used </w:t>
      </w:r>
      <w:r w:rsidR="004D642B" w:rsidRPr="00285099">
        <w:t xml:space="preserve">for the determination of </w:t>
      </w:r>
      <w:r w:rsidRPr="00285099">
        <w:t>the costs from the previous financial year</w:t>
      </w:r>
      <w:r w:rsidR="001E6B67" w:rsidRPr="00285099">
        <w:t xml:space="preserve">, the ACMA implemented new </w:t>
      </w:r>
      <w:r w:rsidR="00F6658E" w:rsidRPr="00285099">
        <w:t xml:space="preserve">ABC </w:t>
      </w:r>
      <w:r w:rsidR="001E6B67" w:rsidRPr="00285099">
        <w:t>software (CostPerform) during the 2014</w:t>
      </w:r>
      <w:r w:rsidR="002237C2">
        <w:t>–</w:t>
      </w:r>
      <w:r w:rsidR="001E6B67" w:rsidRPr="00285099">
        <w:t>15 financial year</w:t>
      </w:r>
      <w:r w:rsidRPr="00285099">
        <w:t xml:space="preserve">. </w:t>
      </w:r>
      <w:r w:rsidR="001E6B67" w:rsidRPr="00285099">
        <w:t xml:space="preserve">The new system </w:t>
      </w:r>
      <w:r w:rsidR="00AF1BE6">
        <w:t xml:space="preserve">provides </w:t>
      </w:r>
      <w:r w:rsidR="004D642B" w:rsidRPr="00285099">
        <w:t xml:space="preserve">tracking of </w:t>
      </w:r>
      <w:r w:rsidRPr="00285099">
        <w:t xml:space="preserve">direct and support (indirect) costs </w:t>
      </w:r>
      <w:r w:rsidR="004D642B" w:rsidRPr="00285099">
        <w:t xml:space="preserve">and </w:t>
      </w:r>
      <w:r w:rsidR="00E22916" w:rsidRPr="00285099">
        <w:t xml:space="preserve">the type </w:t>
      </w:r>
      <w:r w:rsidR="004D642B" w:rsidRPr="00285099">
        <w:t xml:space="preserve">of expenses </w:t>
      </w:r>
      <w:r w:rsidRPr="00285099">
        <w:t>incurred by the ACMA in exercising its telecommunications functions and powers</w:t>
      </w:r>
      <w:r w:rsidR="00AF1BE6">
        <w:t>, with no manual intervention</w:t>
      </w:r>
      <w:r w:rsidR="001E6B67" w:rsidRPr="00285099">
        <w:t>.</w:t>
      </w:r>
      <w:r w:rsidRPr="00285099">
        <w:t xml:space="preserve"> </w:t>
      </w:r>
      <w:r w:rsidR="00851BD7" w:rsidRPr="00285099">
        <w:t>As in the prior year</w:t>
      </w:r>
      <w:r w:rsidR="004D642B" w:rsidRPr="00285099">
        <w:t>, t</w:t>
      </w:r>
      <w:r w:rsidRPr="00285099">
        <w:t>ime is used as a primary means of allocating direct costs to activities</w:t>
      </w:r>
      <w:r w:rsidR="00261225">
        <w:t>,</w:t>
      </w:r>
      <w:r w:rsidRPr="00285099">
        <w:t xml:space="preserve"> while support costs are allocated using an appropriate cost driver (further detail on cost drivers is provided later in this section).</w:t>
      </w:r>
      <w:r w:rsidRPr="00A84CBD">
        <w:t xml:space="preserve"> </w:t>
      </w:r>
    </w:p>
    <w:p w14:paraId="2324412D" w14:textId="77777777" w:rsidR="009E783D" w:rsidRDefault="009E783D" w:rsidP="009E783D">
      <w:pPr>
        <w:spacing w:after="80"/>
      </w:pPr>
      <w:r w:rsidRPr="00A84CBD">
        <w:t xml:space="preserve">The ACMA’s ABC model is reviewed by an external independent auditor for quality assurance purposes. </w:t>
      </w:r>
      <w:r w:rsidR="000C38F8">
        <w:t>An</w:t>
      </w:r>
      <w:r w:rsidR="000C38F8" w:rsidRPr="00A84CBD">
        <w:t xml:space="preserve"> </w:t>
      </w:r>
      <w:r w:rsidRPr="00A84CBD">
        <w:t xml:space="preserve">audit </w:t>
      </w:r>
      <w:r w:rsidR="000C38F8">
        <w:t xml:space="preserve">of the model </w:t>
      </w:r>
      <w:r w:rsidRPr="00A84CBD">
        <w:t>for this financial year’s ACLC (the costs inc</w:t>
      </w:r>
      <w:r w:rsidR="00FD404F">
        <w:t>urred in 2014–15</w:t>
      </w:r>
      <w:r w:rsidRPr="00A84CBD">
        <w:t xml:space="preserve">) was undertaken by Oakton. The audit confirmed:  </w:t>
      </w:r>
    </w:p>
    <w:p w14:paraId="40E51412" w14:textId="77777777" w:rsidR="009E783D" w:rsidRDefault="009E783D" w:rsidP="009E783D">
      <w:pPr>
        <w:pStyle w:val="ListBullet"/>
      </w:pPr>
      <w:r>
        <w:t xml:space="preserve">the </w:t>
      </w:r>
      <w:r w:rsidRPr="00A84CBD">
        <w:t xml:space="preserve">ABC model </w:t>
      </w:r>
      <w:r>
        <w:t>has been set up in accordance with the accepted principles of activity based costing, which fairly and equitably reflects the costs</w:t>
      </w:r>
      <w:r w:rsidR="00FD404F">
        <w:t xml:space="preserve"> of relevant activities for 2014</w:t>
      </w:r>
      <w:r w:rsidR="00C03710">
        <w:t>–</w:t>
      </w:r>
      <w:r w:rsidR="00FD404F">
        <w:t>15</w:t>
      </w:r>
    </w:p>
    <w:p w14:paraId="2F3FBD46" w14:textId="77777777" w:rsidR="009E783D" w:rsidRDefault="009E783D" w:rsidP="009E783D">
      <w:pPr>
        <w:pStyle w:val="ListBullet"/>
      </w:pPr>
      <w:r>
        <w:t>the methodology used to determ</w:t>
      </w:r>
      <w:r w:rsidR="00FD404F">
        <w:t>ine the ACMA’s costs during 2014</w:t>
      </w:r>
      <w:r w:rsidR="00C03710">
        <w:t>–</w:t>
      </w:r>
      <w:r w:rsidR="00FD404F">
        <w:t>15</w:t>
      </w:r>
      <w:r>
        <w:t xml:space="preserve"> for inclusion in the ACLC is in accordance with the Act</w:t>
      </w:r>
    </w:p>
    <w:p w14:paraId="3B4CEBE4" w14:textId="77777777" w:rsidR="009E783D" w:rsidRPr="00400A7F" w:rsidRDefault="009E783D" w:rsidP="003F7E3A">
      <w:pPr>
        <w:pStyle w:val="ListBulletLast"/>
      </w:pPr>
      <w:r w:rsidRPr="00400A7F">
        <w:t xml:space="preserve">the activity costs produced by the ABC model </w:t>
      </w:r>
      <w:r w:rsidR="00FD404F" w:rsidRPr="00400A7F">
        <w:t>for 2014</w:t>
      </w:r>
      <w:r w:rsidR="00C03710" w:rsidRPr="00400A7F">
        <w:t>–</w:t>
      </w:r>
      <w:r w:rsidR="00FD404F" w:rsidRPr="00400A7F">
        <w:t>15</w:t>
      </w:r>
      <w:r w:rsidRPr="00400A7F">
        <w:t xml:space="preserve"> are based on the cost of</w:t>
      </w:r>
      <w:r w:rsidR="00FD404F" w:rsidRPr="00400A7F">
        <w:t xml:space="preserve"> services </w:t>
      </w:r>
      <w:r w:rsidR="00400A7F">
        <w:t>in accordance to</w:t>
      </w:r>
      <w:r w:rsidR="00DA572C" w:rsidRPr="00400A7F">
        <w:t xml:space="preserve"> </w:t>
      </w:r>
      <w:r w:rsidR="00FD404F" w:rsidRPr="00400A7F">
        <w:t>the ACMA’s 2014</w:t>
      </w:r>
      <w:r w:rsidR="002237C2" w:rsidRPr="00400A7F">
        <w:t>–</w:t>
      </w:r>
      <w:r w:rsidR="00FD404F" w:rsidRPr="00400A7F">
        <w:t>15</w:t>
      </w:r>
      <w:r w:rsidRPr="00400A7F">
        <w:t xml:space="preserve"> audited financial statements</w:t>
      </w:r>
      <w:r w:rsidR="00C03710" w:rsidRPr="00400A7F">
        <w:t>.</w:t>
      </w:r>
    </w:p>
    <w:p w14:paraId="11024BEB" w14:textId="77777777" w:rsidR="00434461" w:rsidRDefault="009E783D" w:rsidP="009E783D">
      <w:r w:rsidRPr="00A84CBD">
        <w:t>In order to ensure that the allocation base for the ABC model remains accurate, the ACMA conducts agency-wide surveys twice a year.</w:t>
      </w:r>
      <w:r>
        <w:t xml:space="preserve"> </w:t>
      </w:r>
    </w:p>
    <w:p w14:paraId="202731CB" w14:textId="58158EB0" w:rsidR="009E783D" w:rsidRDefault="009E783D" w:rsidP="009E783D">
      <w:r w:rsidRPr="00AD4C5D">
        <w:t>Table 3 below provides details for the direct costs and support costs of the ACMA’s component at a</w:t>
      </w:r>
      <w:r>
        <w:t>n</w:t>
      </w:r>
      <w:r w:rsidRPr="00AD4C5D">
        <w:t xml:space="preserve"> </w:t>
      </w:r>
      <w:r>
        <w:t>output</w:t>
      </w:r>
      <w:r w:rsidRPr="00AD4C5D">
        <w:t xml:space="preserve"> level</w:t>
      </w:r>
      <w:r w:rsidR="00261225">
        <w:t>.</w:t>
      </w:r>
    </w:p>
    <w:p w14:paraId="1AADEDCC" w14:textId="77777777" w:rsidR="00C03710" w:rsidRDefault="00C03710" w:rsidP="002534A7">
      <w:pPr>
        <w:pStyle w:val="ACMATableHeader"/>
        <w:keepNext/>
      </w:pPr>
      <w:r w:rsidRPr="00F33E90">
        <w:lastRenderedPageBreak/>
        <w:t xml:space="preserve">The ACMA’s component at </w:t>
      </w:r>
      <w:r w:rsidR="00FD404F">
        <w:t>output level, 2015–16</w:t>
      </w:r>
    </w:p>
    <w:tbl>
      <w:tblPr>
        <w:tblW w:w="48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Caption w:val="The ACMA’s component at output level, 2015–16"/>
        <w:tblDescription w:val="Includes direct, support and total costs of outputs."/>
      </w:tblPr>
      <w:tblGrid>
        <w:gridCol w:w="2987"/>
        <w:gridCol w:w="1465"/>
        <w:gridCol w:w="1465"/>
        <w:gridCol w:w="1465"/>
      </w:tblGrid>
      <w:tr w:rsidR="00192225" w:rsidRPr="00B4771B" w14:paraId="41FAFECF" w14:textId="77777777" w:rsidTr="00192225">
        <w:trPr>
          <w:trHeight w:val="361"/>
          <w:tblHeader/>
        </w:trPr>
        <w:tc>
          <w:tcPr>
            <w:tcW w:w="2023" w:type="pct"/>
            <w:shd w:val="clear" w:color="auto" w:fill="404040" w:themeFill="text1" w:themeFillTint="BF"/>
            <w:vAlign w:val="center"/>
          </w:tcPr>
          <w:p w14:paraId="1D8875AA" w14:textId="77777777" w:rsidR="00192225" w:rsidRPr="00B64534" w:rsidRDefault="00192225" w:rsidP="00B64534">
            <w:pPr>
              <w:pStyle w:val="TableHeading"/>
              <w:rPr>
                <w:b w:val="0"/>
                <w:color w:val="FFFFFF" w:themeColor="background1"/>
              </w:rPr>
            </w:pPr>
            <w:r w:rsidRPr="00B64534">
              <w:rPr>
                <w:color w:val="FFFFFF" w:themeColor="background1"/>
              </w:rPr>
              <w:t>Output</w:t>
            </w:r>
          </w:p>
        </w:tc>
        <w:tc>
          <w:tcPr>
            <w:tcW w:w="992" w:type="pct"/>
            <w:tcBorders>
              <w:top w:val="single" w:sz="8" w:space="0" w:color="auto"/>
              <w:left w:val="nil"/>
              <w:bottom w:val="single" w:sz="8" w:space="0" w:color="auto"/>
              <w:right w:val="single" w:sz="8" w:space="0" w:color="auto"/>
            </w:tcBorders>
            <w:shd w:val="clear" w:color="000000" w:fill="404040"/>
            <w:vAlign w:val="center"/>
          </w:tcPr>
          <w:p w14:paraId="1716CA56" w14:textId="77777777" w:rsidR="00192225" w:rsidRPr="00B64534" w:rsidRDefault="00192225" w:rsidP="00B64534">
            <w:pPr>
              <w:pStyle w:val="TableHeading"/>
              <w:jc w:val="right"/>
              <w:rPr>
                <w:b w:val="0"/>
                <w:color w:val="FFFFFF" w:themeColor="background1"/>
              </w:rPr>
            </w:pPr>
            <w:r w:rsidRPr="00B64534">
              <w:rPr>
                <w:bCs/>
                <w:color w:val="FFFFFF" w:themeColor="background1"/>
              </w:rPr>
              <w:t>Direct cost</w:t>
            </w:r>
          </w:p>
        </w:tc>
        <w:tc>
          <w:tcPr>
            <w:tcW w:w="992" w:type="pct"/>
            <w:tcBorders>
              <w:top w:val="single" w:sz="8" w:space="0" w:color="auto"/>
              <w:left w:val="nil"/>
              <w:bottom w:val="single" w:sz="8" w:space="0" w:color="auto"/>
              <w:right w:val="single" w:sz="8" w:space="0" w:color="auto"/>
            </w:tcBorders>
            <w:shd w:val="clear" w:color="000000" w:fill="404040"/>
            <w:vAlign w:val="center"/>
          </w:tcPr>
          <w:p w14:paraId="605CF4F8" w14:textId="77777777" w:rsidR="00192225" w:rsidRPr="00B64534" w:rsidRDefault="00192225" w:rsidP="00B64534">
            <w:pPr>
              <w:pStyle w:val="TableHeading"/>
              <w:jc w:val="right"/>
              <w:rPr>
                <w:b w:val="0"/>
                <w:color w:val="FFFFFF" w:themeColor="background1"/>
              </w:rPr>
            </w:pPr>
            <w:r w:rsidRPr="00B64534">
              <w:rPr>
                <w:bCs/>
                <w:color w:val="FFFFFF" w:themeColor="background1"/>
              </w:rPr>
              <w:t>Support cost</w:t>
            </w:r>
          </w:p>
        </w:tc>
        <w:tc>
          <w:tcPr>
            <w:tcW w:w="992" w:type="pct"/>
            <w:tcBorders>
              <w:top w:val="single" w:sz="8" w:space="0" w:color="auto"/>
              <w:left w:val="nil"/>
              <w:bottom w:val="single" w:sz="8" w:space="0" w:color="auto"/>
              <w:right w:val="single" w:sz="8" w:space="0" w:color="auto"/>
            </w:tcBorders>
            <w:shd w:val="clear" w:color="000000" w:fill="404040"/>
            <w:vAlign w:val="center"/>
          </w:tcPr>
          <w:p w14:paraId="692EC2FB" w14:textId="77777777" w:rsidR="00192225" w:rsidRPr="00B64534" w:rsidRDefault="00192225" w:rsidP="00B64534">
            <w:pPr>
              <w:pStyle w:val="TableHeading"/>
              <w:jc w:val="right"/>
              <w:rPr>
                <w:b w:val="0"/>
                <w:color w:val="FFFFFF" w:themeColor="background1"/>
              </w:rPr>
            </w:pPr>
            <w:r w:rsidRPr="00B64534">
              <w:rPr>
                <w:bCs/>
                <w:color w:val="FFFFFF" w:themeColor="background1"/>
              </w:rPr>
              <w:t>Total cost</w:t>
            </w:r>
          </w:p>
        </w:tc>
      </w:tr>
      <w:tr w:rsidR="00192225" w:rsidRPr="00B4771B" w14:paraId="1D41966C" w14:textId="77777777" w:rsidTr="00192225">
        <w:trPr>
          <w:trHeight w:val="408"/>
        </w:trPr>
        <w:tc>
          <w:tcPr>
            <w:tcW w:w="2023" w:type="pct"/>
            <w:vAlign w:val="center"/>
          </w:tcPr>
          <w:p w14:paraId="550E2D0E" w14:textId="77777777" w:rsidR="00192225" w:rsidRPr="00F45CD9" w:rsidRDefault="00192225" w:rsidP="00192225">
            <w:pPr>
              <w:keepNext/>
              <w:spacing w:after="0"/>
              <w:ind w:right="-142"/>
              <w:rPr>
                <w:rFonts w:cs="Arial"/>
                <w:szCs w:val="20"/>
              </w:rPr>
            </w:pPr>
            <w:r w:rsidRPr="00F45CD9">
              <w:rPr>
                <w:rFonts w:cs="Arial"/>
                <w:szCs w:val="20"/>
              </w:rPr>
              <w:t>Regulat</w:t>
            </w:r>
            <w:r>
              <w:rPr>
                <w:rFonts w:cs="Arial"/>
                <w:szCs w:val="20"/>
              </w:rPr>
              <w:t xml:space="preserve">ion development  </w:t>
            </w:r>
          </w:p>
        </w:tc>
        <w:tc>
          <w:tcPr>
            <w:tcW w:w="992" w:type="pct"/>
            <w:tcBorders>
              <w:top w:val="nil"/>
              <w:left w:val="nil"/>
              <w:bottom w:val="single" w:sz="8" w:space="0" w:color="auto"/>
              <w:right w:val="single" w:sz="8" w:space="0" w:color="auto"/>
            </w:tcBorders>
            <w:shd w:val="clear" w:color="auto" w:fill="auto"/>
            <w:vAlign w:val="center"/>
          </w:tcPr>
          <w:p w14:paraId="1BE35478" w14:textId="77777777" w:rsidR="00192225" w:rsidRDefault="00434461" w:rsidP="00192225">
            <w:pPr>
              <w:keepNext/>
              <w:spacing w:after="0"/>
              <w:jc w:val="right"/>
              <w:rPr>
                <w:rFonts w:cs="Arial"/>
                <w:color w:val="000000"/>
                <w:szCs w:val="20"/>
              </w:rPr>
            </w:pPr>
            <w:r>
              <w:rPr>
                <w:rFonts w:cs="Arial"/>
                <w:color w:val="000000"/>
                <w:szCs w:val="20"/>
              </w:rPr>
              <w:t>$3,030,209</w:t>
            </w:r>
          </w:p>
        </w:tc>
        <w:tc>
          <w:tcPr>
            <w:tcW w:w="992" w:type="pct"/>
            <w:tcBorders>
              <w:top w:val="nil"/>
              <w:left w:val="nil"/>
              <w:bottom w:val="single" w:sz="8" w:space="0" w:color="auto"/>
              <w:right w:val="single" w:sz="8" w:space="0" w:color="auto"/>
            </w:tcBorders>
            <w:shd w:val="clear" w:color="auto" w:fill="auto"/>
            <w:vAlign w:val="center"/>
          </w:tcPr>
          <w:p w14:paraId="7B2C4606" w14:textId="77777777" w:rsidR="00192225" w:rsidRDefault="00434461" w:rsidP="00192225">
            <w:pPr>
              <w:keepNext/>
              <w:spacing w:after="0"/>
              <w:jc w:val="right"/>
              <w:rPr>
                <w:rFonts w:cs="Arial"/>
                <w:color w:val="000000"/>
                <w:szCs w:val="20"/>
              </w:rPr>
            </w:pPr>
            <w:r>
              <w:rPr>
                <w:rFonts w:cs="Arial"/>
                <w:color w:val="000000"/>
                <w:szCs w:val="20"/>
              </w:rPr>
              <w:t>$4,301,535</w:t>
            </w:r>
          </w:p>
        </w:tc>
        <w:tc>
          <w:tcPr>
            <w:tcW w:w="992" w:type="pct"/>
            <w:tcBorders>
              <w:top w:val="nil"/>
              <w:left w:val="nil"/>
              <w:bottom w:val="single" w:sz="8" w:space="0" w:color="auto"/>
              <w:right w:val="single" w:sz="8" w:space="0" w:color="auto"/>
            </w:tcBorders>
            <w:shd w:val="clear" w:color="auto" w:fill="auto"/>
            <w:vAlign w:val="center"/>
          </w:tcPr>
          <w:p w14:paraId="6C874A7D" w14:textId="77777777" w:rsidR="00192225" w:rsidRDefault="00434461" w:rsidP="00192225">
            <w:pPr>
              <w:keepNext/>
              <w:spacing w:after="0"/>
              <w:jc w:val="right"/>
              <w:rPr>
                <w:rFonts w:cs="Arial"/>
                <w:color w:val="000000"/>
                <w:szCs w:val="20"/>
              </w:rPr>
            </w:pPr>
            <w:r>
              <w:rPr>
                <w:rFonts w:cs="Arial"/>
                <w:color w:val="000000"/>
                <w:szCs w:val="20"/>
              </w:rPr>
              <w:t>$7,331,744</w:t>
            </w:r>
          </w:p>
        </w:tc>
      </w:tr>
      <w:tr w:rsidR="00192225" w:rsidRPr="00B4771B" w14:paraId="5D64BF7C" w14:textId="77777777" w:rsidTr="00192225">
        <w:trPr>
          <w:trHeight w:val="414"/>
        </w:trPr>
        <w:tc>
          <w:tcPr>
            <w:tcW w:w="2023" w:type="pct"/>
            <w:vAlign w:val="center"/>
          </w:tcPr>
          <w:p w14:paraId="78346E32" w14:textId="77777777" w:rsidR="00192225" w:rsidRPr="00F45CD9" w:rsidRDefault="00192225" w:rsidP="00192225">
            <w:pPr>
              <w:keepNext/>
              <w:spacing w:after="0"/>
              <w:ind w:right="-142"/>
              <w:rPr>
                <w:rFonts w:cs="Arial"/>
                <w:szCs w:val="20"/>
              </w:rPr>
            </w:pPr>
            <w:r w:rsidRPr="00F45CD9">
              <w:rPr>
                <w:rFonts w:cs="Arial"/>
                <w:szCs w:val="20"/>
              </w:rPr>
              <w:t>Industry monitoring and NBN</w:t>
            </w:r>
          </w:p>
        </w:tc>
        <w:tc>
          <w:tcPr>
            <w:tcW w:w="992" w:type="pct"/>
            <w:tcBorders>
              <w:top w:val="nil"/>
              <w:left w:val="nil"/>
              <w:bottom w:val="single" w:sz="8" w:space="0" w:color="auto"/>
              <w:right w:val="single" w:sz="8" w:space="0" w:color="auto"/>
            </w:tcBorders>
            <w:shd w:val="clear" w:color="auto" w:fill="auto"/>
            <w:vAlign w:val="center"/>
          </w:tcPr>
          <w:p w14:paraId="0E746084" w14:textId="77777777" w:rsidR="00192225" w:rsidRDefault="00192225" w:rsidP="00192225">
            <w:pPr>
              <w:keepNext/>
              <w:spacing w:after="0"/>
              <w:jc w:val="right"/>
              <w:rPr>
                <w:rFonts w:cs="Arial"/>
                <w:color w:val="000000"/>
                <w:szCs w:val="20"/>
              </w:rPr>
            </w:pPr>
            <w:r>
              <w:rPr>
                <w:rFonts w:cs="Arial"/>
                <w:color w:val="000000"/>
                <w:szCs w:val="20"/>
              </w:rPr>
              <w:t>$1,137,871</w:t>
            </w:r>
          </w:p>
        </w:tc>
        <w:tc>
          <w:tcPr>
            <w:tcW w:w="992" w:type="pct"/>
            <w:tcBorders>
              <w:top w:val="nil"/>
              <w:left w:val="nil"/>
              <w:bottom w:val="single" w:sz="8" w:space="0" w:color="auto"/>
              <w:right w:val="single" w:sz="8" w:space="0" w:color="auto"/>
            </w:tcBorders>
            <w:shd w:val="clear" w:color="auto" w:fill="auto"/>
            <w:vAlign w:val="center"/>
          </w:tcPr>
          <w:p w14:paraId="21A74E3E" w14:textId="77777777" w:rsidR="00192225" w:rsidRDefault="00192225" w:rsidP="00192225">
            <w:pPr>
              <w:keepNext/>
              <w:spacing w:after="0"/>
              <w:jc w:val="right"/>
              <w:rPr>
                <w:rFonts w:cs="Arial"/>
                <w:color w:val="000000"/>
                <w:szCs w:val="20"/>
              </w:rPr>
            </w:pPr>
            <w:r>
              <w:rPr>
                <w:rFonts w:cs="Arial"/>
                <w:color w:val="000000"/>
                <w:szCs w:val="20"/>
              </w:rPr>
              <w:t>$1,325,083</w:t>
            </w:r>
          </w:p>
        </w:tc>
        <w:tc>
          <w:tcPr>
            <w:tcW w:w="992" w:type="pct"/>
            <w:tcBorders>
              <w:top w:val="nil"/>
              <w:left w:val="nil"/>
              <w:bottom w:val="single" w:sz="8" w:space="0" w:color="auto"/>
              <w:right w:val="single" w:sz="8" w:space="0" w:color="auto"/>
            </w:tcBorders>
            <w:shd w:val="clear" w:color="auto" w:fill="auto"/>
            <w:vAlign w:val="center"/>
          </w:tcPr>
          <w:p w14:paraId="2A717365" w14:textId="77777777" w:rsidR="00192225" w:rsidRDefault="00192225" w:rsidP="00192225">
            <w:pPr>
              <w:keepNext/>
              <w:spacing w:after="0"/>
              <w:jc w:val="right"/>
              <w:rPr>
                <w:rFonts w:cs="Arial"/>
                <w:color w:val="000000"/>
                <w:szCs w:val="20"/>
              </w:rPr>
            </w:pPr>
            <w:r>
              <w:rPr>
                <w:rFonts w:cs="Arial"/>
                <w:color w:val="000000"/>
                <w:szCs w:val="20"/>
              </w:rPr>
              <w:t>$2,462,954</w:t>
            </w:r>
          </w:p>
        </w:tc>
      </w:tr>
      <w:tr w:rsidR="00192225" w:rsidRPr="00B4771B" w14:paraId="6A6126DA" w14:textId="77777777" w:rsidTr="00192225">
        <w:trPr>
          <w:trHeight w:val="420"/>
        </w:trPr>
        <w:tc>
          <w:tcPr>
            <w:tcW w:w="2023" w:type="pct"/>
            <w:vAlign w:val="center"/>
          </w:tcPr>
          <w:p w14:paraId="7D12D10F" w14:textId="77777777" w:rsidR="00192225" w:rsidRPr="00F45CD9" w:rsidRDefault="00192225" w:rsidP="00192225">
            <w:pPr>
              <w:keepNext/>
              <w:spacing w:after="0"/>
              <w:ind w:right="-142"/>
              <w:rPr>
                <w:rFonts w:cs="Arial"/>
                <w:szCs w:val="20"/>
              </w:rPr>
            </w:pPr>
            <w:r w:rsidRPr="00F45CD9">
              <w:rPr>
                <w:rFonts w:cs="Arial"/>
                <w:szCs w:val="20"/>
              </w:rPr>
              <w:t>Compliance</w:t>
            </w:r>
            <w:r>
              <w:rPr>
                <w:rFonts w:cs="Arial"/>
                <w:szCs w:val="20"/>
              </w:rPr>
              <w:t xml:space="preserve"> and</w:t>
            </w:r>
            <w:r w:rsidRPr="00F45CD9">
              <w:rPr>
                <w:rFonts w:cs="Arial"/>
                <w:szCs w:val="20"/>
              </w:rPr>
              <w:t xml:space="preserve"> </w:t>
            </w:r>
            <w:r>
              <w:rPr>
                <w:rFonts w:cs="Arial"/>
                <w:szCs w:val="20"/>
              </w:rPr>
              <w:t>enforcement</w:t>
            </w:r>
          </w:p>
        </w:tc>
        <w:tc>
          <w:tcPr>
            <w:tcW w:w="992" w:type="pct"/>
            <w:tcBorders>
              <w:top w:val="nil"/>
              <w:left w:val="nil"/>
              <w:bottom w:val="single" w:sz="8" w:space="0" w:color="auto"/>
              <w:right w:val="single" w:sz="8" w:space="0" w:color="auto"/>
            </w:tcBorders>
            <w:shd w:val="clear" w:color="auto" w:fill="auto"/>
            <w:vAlign w:val="center"/>
          </w:tcPr>
          <w:p w14:paraId="55EB248F" w14:textId="77777777" w:rsidR="00192225" w:rsidRDefault="00192225" w:rsidP="00192225">
            <w:pPr>
              <w:keepNext/>
              <w:spacing w:after="0"/>
              <w:jc w:val="right"/>
              <w:rPr>
                <w:rFonts w:cs="Arial"/>
                <w:color w:val="000000"/>
                <w:szCs w:val="20"/>
              </w:rPr>
            </w:pPr>
            <w:r>
              <w:rPr>
                <w:rFonts w:cs="Arial"/>
                <w:color w:val="000000"/>
                <w:szCs w:val="20"/>
              </w:rPr>
              <w:t>$2,377,044</w:t>
            </w:r>
          </w:p>
        </w:tc>
        <w:tc>
          <w:tcPr>
            <w:tcW w:w="992" w:type="pct"/>
            <w:tcBorders>
              <w:top w:val="nil"/>
              <w:left w:val="nil"/>
              <w:bottom w:val="single" w:sz="8" w:space="0" w:color="auto"/>
              <w:right w:val="single" w:sz="8" w:space="0" w:color="auto"/>
            </w:tcBorders>
            <w:shd w:val="clear" w:color="auto" w:fill="auto"/>
            <w:vAlign w:val="center"/>
          </w:tcPr>
          <w:p w14:paraId="38E66262" w14:textId="77777777" w:rsidR="00192225" w:rsidRDefault="00192225" w:rsidP="00192225">
            <w:pPr>
              <w:keepNext/>
              <w:spacing w:after="0"/>
              <w:jc w:val="right"/>
              <w:rPr>
                <w:rFonts w:cs="Arial"/>
                <w:color w:val="000000"/>
                <w:szCs w:val="20"/>
              </w:rPr>
            </w:pPr>
            <w:r>
              <w:rPr>
                <w:rFonts w:cs="Arial"/>
                <w:color w:val="000000"/>
                <w:szCs w:val="20"/>
              </w:rPr>
              <w:t>$2,865,583</w:t>
            </w:r>
          </w:p>
        </w:tc>
        <w:tc>
          <w:tcPr>
            <w:tcW w:w="992" w:type="pct"/>
            <w:tcBorders>
              <w:top w:val="nil"/>
              <w:left w:val="nil"/>
              <w:bottom w:val="single" w:sz="8" w:space="0" w:color="auto"/>
              <w:right w:val="single" w:sz="8" w:space="0" w:color="auto"/>
            </w:tcBorders>
            <w:shd w:val="clear" w:color="auto" w:fill="auto"/>
            <w:vAlign w:val="center"/>
          </w:tcPr>
          <w:p w14:paraId="79591AAC" w14:textId="77777777" w:rsidR="00192225" w:rsidRDefault="00434461" w:rsidP="00192225">
            <w:pPr>
              <w:keepNext/>
              <w:spacing w:after="0"/>
              <w:jc w:val="right"/>
              <w:rPr>
                <w:rFonts w:cs="Arial"/>
                <w:color w:val="000000"/>
                <w:szCs w:val="20"/>
              </w:rPr>
            </w:pPr>
            <w:r>
              <w:rPr>
                <w:rFonts w:cs="Arial"/>
                <w:color w:val="000000"/>
                <w:szCs w:val="20"/>
              </w:rPr>
              <w:t>$5,242,627</w:t>
            </w:r>
          </w:p>
        </w:tc>
      </w:tr>
      <w:tr w:rsidR="00192225" w:rsidRPr="00B4771B" w14:paraId="2E2D5394" w14:textId="77777777" w:rsidTr="00192225">
        <w:trPr>
          <w:trHeight w:val="420"/>
        </w:trPr>
        <w:tc>
          <w:tcPr>
            <w:tcW w:w="2023" w:type="pct"/>
            <w:vAlign w:val="center"/>
          </w:tcPr>
          <w:p w14:paraId="2C1C6877" w14:textId="77777777" w:rsidR="00192225" w:rsidRPr="00F45CD9" w:rsidRDefault="00192225" w:rsidP="00192225">
            <w:pPr>
              <w:keepNext/>
              <w:spacing w:after="0"/>
              <w:ind w:right="-142"/>
              <w:rPr>
                <w:rFonts w:cs="Arial"/>
                <w:szCs w:val="20"/>
              </w:rPr>
            </w:pPr>
            <w:r w:rsidRPr="00F45CD9">
              <w:rPr>
                <w:rFonts w:cs="Arial"/>
                <w:szCs w:val="20"/>
              </w:rPr>
              <w:t>Licensing and allocation</w:t>
            </w:r>
          </w:p>
        </w:tc>
        <w:tc>
          <w:tcPr>
            <w:tcW w:w="992" w:type="pct"/>
            <w:tcBorders>
              <w:top w:val="nil"/>
              <w:left w:val="nil"/>
              <w:bottom w:val="single" w:sz="8" w:space="0" w:color="auto"/>
              <w:right w:val="single" w:sz="8" w:space="0" w:color="auto"/>
            </w:tcBorders>
            <w:shd w:val="clear" w:color="auto" w:fill="auto"/>
            <w:vAlign w:val="center"/>
          </w:tcPr>
          <w:p w14:paraId="58E06CF4" w14:textId="77777777" w:rsidR="00192225" w:rsidRDefault="00434461" w:rsidP="00192225">
            <w:pPr>
              <w:keepNext/>
              <w:spacing w:after="0"/>
              <w:jc w:val="right"/>
              <w:rPr>
                <w:rFonts w:cs="Arial"/>
                <w:color w:val="000000"/>
                <w:szCs w:val="20"/>
              </w:rPr>
            </w:pPr>
            <w:r>
              <w:rPr>
                <w:rFonts w:cs="Arial"/>
                <w:color w:val="000000"/>
                <w:szCs w:val="20"/>
              </w:rPr>
              <w:t>$1,312,464</w:t>
            </w:r>
          </w:p>
        </w:tc>
        <w:tc>
          <w:tcPr>
            <w:tcW w:w="992" w:type="pct"/>
            <w:tcBorders>
              <w:top w:val="nil"/>
              <w:left w:val="nil"/>
              <w:bottom w:val="single" w:sz="8" w:space="0" w:color="auto"/>
              <w:right w:val="single" w:sz="8" w:space="0" w:color="auto"/>
            </w:tcBorders>
            <w:shd w:val="clear" w:color="auto" w:fill="auto"/>
            <w:vAlign w:val="center"/>
          </w:tcPr>
          <w:p w14:paraId="34C0B0AC" w14:textId="77777777" w:rsidR="00192225" w:rsidRDefault="00434461" w:rsidP="00192225">
            <w:pPr>
              <w:keepNext/>
              <w:spacing w:after="0"/>
              <w:jc w:val="right"/>
              <w:rPr>
                <w:rFonts w:cs="Arial"/>
                <w:color w:val="000000"/>
                <w:szCs w:val="20"/>
              </w:rPr>
            </w:pPr>
            <w:r>
              <w:rPr>
                <w:rFonts w:cs="Arial"/>
                <w:color w:val="000000"/>
                <w:szCs w:val="20"/>
              </w:rPr>
              <w:t>$1,031,325</w:t>
            </w:r>
          </w:p>
        </w:tc>
        <w:tc>
          <w:tcPr>
            <w:tcW w:w="992" w:type="pct"/>
            <w:tcBorders>
              <w:top w:val="nil"/>
              <w:left w:val="nil"/>
              <w:bottom w:val="single" w:sz="8" w:space="0" w:color="auto"/>
              <w:right w:val="single" w:sz="8" w:space="0" w:color="auto"/>
            </w:tcBorders>
            <w:shd w:val="clear" w:color="auto" w:fill="auto"/>
            <w:vAlign w:val="center"/>
          </w:tcPr>
          <w:p w14:paraId="5F467CC4" w14:textId="77777777" w:rsidR="00192225" w:rsidRDefault="00434461" w:rsidP="00192225">
            <w:pPr>
              <w:keepNext/>
              <w:spacing w:after="0"/>
              <w:jc w:val="right"/>
              <w:rPr>
                <w:rFonts w:cs="Arial"/>
                <w:color w:val="000000"/>
                <w:szCs w:val="20"/>
              </w:rPr>
            </w:pPr>
            <w:r>
              <w:rPr>
                <w:rFonts w:cs="Arial"/>
                <w:color w:val="000000"/>
                <w:szCs w:val="20"/>
              </w:rPr>
              <w:t>$2,343,789</w:t>
            </w:r>
          </w:p>
        </w:tc>
      </w:tr>
      <w:tr w:rsidR="00192225" w:rsidRPr="00B4771B" w14:paraId="71F1A809" w14:textId="77777777" w:rsidTr="00192225">
        <w:trPr>
          <w:trHeight w:val="411"/>
        </w:trPr>
        <w:tc>
          <w:tcPr>
            <w:tcW w:w="2023" w:type="pct"/>
            <w:tcBorders>
              <w:bottom w:val="single" w:sz="6" w:space="0" w:color="auto"/>
            </w:tcBorders>
            <w:vAlign w:val="center"/>
          </w:tcPr>
          <w:p w14:paraId="1BEC2F95" w14:textId="77777777" w:rsidR="00192225" w:rsidRPr="00F45CD9" w:rsidRDefault="00192225" w:rsidP="00192225">
            <w:pPr>
              <w:keepNext/>
              <w:spacing w:after="0"/>
              <w:ind w:right="-142"/>
              <w:rPr>
                <w:rFonts w:cs="Arial"/>
                <w:szCs w:val="20"/>
              </w:rPr>
            </w:pPr>
            <w:r w:rsidRPr="00F45CD9">
              <w:rPr>
                <w:rFonts w:cs="Arial"/>
                <w:szCs w:val="20"/>
              </w:rPr>
              <w:t xml:space="preserve">Other </w:t>
            </w:r>
            <w:r>
              <w:rPr>
                <w:rFonts w:cs="Arial"/>
                <w:szCs w:val="20"/>
              </w:rPr>
              <w:t>outputs</w:t>
            </w:r>
          </w:p>
        </w:tc>
        <w:tc>
          <w:tcPr>
            <w:tcW w:w="992" w:type="pct"/>
            <w:tcBorders>
              <w:top w:val="nil"/>
              <w:left w:val="nil"/>
              <w:bottom w:val="single" w:sz="8" w:space="0" w:color="auto"/>
              <w:right w:val="single" w:sz="8" w:space="0" w:color="auto"/>
            </w:tcBorders>
            <w:shd w:val="clear" w:color="auto" w:fill="auto"/>
            <w:vAlign w:val="center"/>
          </w:tcPr>
          <w:p w14:paraId="4EEA204C" w14:textId="77777777" w:rsidR="00192225" w:rsidRDefault="00434461" w:rsidP="00192225">
            <w:pPr>
              <w:keepNext/>
              <w:spacing w:after="0"/>
              <w:jc w:val="right"/>
              <w:rPr>
                <w:rFonts w:cs="Arial"/>
                <w:color w:val="000000"/>
                <w:szCs w:val="20"/>
              </w:rPr>
            </w:pPr>
            <w:r>
              <w:rPr>
                <w:rFonts w:cs="Arial"/>
                <w:color w:val="000000"/>
                <w:szCs w:val="20"/>
              </w:rPr>
              <w:t>$90,714</w:t>
            </w:r>
          </w:p>
        </w:tc>
        <w:tc>
          <w:tcPr>
            <w:tcW w:w="992" w:type="pct"/>
            <w:tcBorders>
              <w:top w:val="nil"/>
              <w:left w:val="nil"/>
              <w:bottom w:val="single" w:sz="8" w:space="0" w:color="auto"/>
              <w:right w:val="single" w:sz="8" w:space="0" w:color="auto"/>
            </w:tcBorders>
            <w:shd w:val="clear" w:color="auto" w:fill="auto"/>
            <w:vAlign w:val="center"/>
          </w:tcPr>
          <w:p w14:paraId="06E5F428" w14:textId="77777777" w:rsidR="00192225" w:rsidRDefault="00434461" w:rsidP="00192225">
            <w:pPr>
              <w:keepNext/>
              <w:spacing w:after="0"/>
              <w:jc w:val="right"/>
              <w:rPr>
                <w:rFonts w:cs="Arial"/>
                <w:color w:val="000000"/>
                <w:szCs w:val="20"/>
              </w:rPr>
            </w:pPr>
            <w:r>
              <w:rPr>
                <w:rFonts w:cs="Arial"/>
                <w:color w:val="000000"/>
                <w:szCs w:val="20"/>
              </w:rPr>
              <w:t>$100,290</w:t>
            </w:r>
          </w:p>
        </w:tc>
        <w:tc>
          <w:tcPr>
            <w:tcW w:w="992" w:type="pct"/>
            <w:tcBorders>
              <w:top w:val="nil"/>
              <w:left w:val="nil"/>
              <w:bottom w:val="single" w:sz="8" w:space="0" w:color="auto"/>
              <w:right w:val="single" w:sz="8" w:space="0" w:color="auto"/>
            </w:tcBorders>
            <w:shd w:val="clear" w:color="auto" w:fill="auto"/>
            <w:vAlign w:val="center"/>
          </w:tcPr>
          <w:p w14:paraId="3ED44F44" w14:textId="77777777" w:rsidR="00192225" w:rsidRDefault="00434461" w:rsidP="00192225">
            <w:pPr>
              <w:keepNext/>
              <w:spacing w:after="0"/>
              <w:jc w:val="right"/>
              <w:rPr>
                <w:rFonts w:cs="Arial"/>
                <w:color w:val="000000"/>
                <w:szCs w:val="20"/>
              </w:rPr>
            </w:pPr>
            <w:r>
              <w:rPr>
                <w:rFonts w:cs="Arial"/>
                <w:color w:val="000000"/>
                <w:szCs w:val="20"/>
              </w:rPr>
              <w:t>$191,004</w:t>
            </w:r>
          </w:p>
        </w:tc>
      </w:tr>
      <w:tr w:rsidR="00A37EF7" w:rsidRPr="00B4771B" w14:paraId="597BD0D1" w14:textId="77777777" w:rsidTr="00192225">
        <w:trPr>
          <w:trHeight w:val="411"/>
        </w:trPr>
        <w:tc>
          <w:tcPr>
            <w:tcW w:w="2023" w:type="pct"/>
            <w:shd w:val="clear" w:color="auto" w:fill="D9D9D9" w:themeFill="background1" w:themeFillShade="D9"/>
            <w:vAlign w:val="center"/>
          </w:tcPr>
          <w:p w14:paraId="5EC85448" w14:textId="77777777" w:rsidR="00A37EF7" w:rsidRPr="00F45CD9" w:rsidRDefault="00A37EF7" w:rsidP="006174BB">
            <w:pPr>
              <w:keepNext/>
              <w:spacing w:after="0"/>
              <w:rPr>
                <w:rFonts w:cs="Arial"/>
                <w:b/>
                <w:iCs/>
                <w:color w:val="000000" w:themeColor="text1"/>
                <w:szCs w:val="20"/>
              </w:rPr>
            </w:pPr>
            <w:r w:rsidRPr="00F45CD9">
              <w:rPr>
                <w:rFonts w:cs="Arial"/>
                <w:b/>
                <w:iCs/>
                <w:color w:val="000000" w:themeColor="text1"/>
                <w:szCs w:val="20"/>
              </w:rPr>
              <w:t>Total costs</w:t>
            </w:r>
          </w:p>
        </w:tc>
        <w:tc>
          <w:tcPr>
            <w:tcW w:w="992" w:type="pct"/>
            <w:shd w:val="clear" w:color="auto" w:fill="D9D9D9" w:themeFill="background1" w:themeFillShade="D9"/>
            <w:vAlign w:val="center"/>
          </w:tcPr>
          <w:p w14:paraId="46564777" w14:textId="77777777" w:rsidR="00A37EF7" w:rsidRDefault="00434461" w:rsidP="006174BB">
            <w:pPr>
              <w:keepNext/>
              <w:spacing w:after="0"/>
              <w:jc w:val="right"/>
              <w:rPr>
                <w:rFonts w:cs="Arial"/>
                <w:b/>
                <w:bCs/>
                <w:color w:val="000000"/>
                <w:szCs w:val="20"/>
              </w:rPr>
            </w:pPr>
            <w:r>
              <w:rPr>
                <w:rFonts w:cs="Arial"/>
                <w:b/>
                <w:bCs/>
                <w:color w:val="000000"/>
                <w:szCs w:val="20"/>
              </w:rPr>
              <w:t>$7,948,302</w:t>
            </w:r>
          </w:p>
        </w:tc>
        <w:tc>
          <w:tcPr>
            <w:tcW w:w="992" w:type="pct"/>
            <w:shd w:val="clear" w:color="auto" w:fill="D9D9D9" w:themeFill="background1" w:themeFillShade="D9"/>
            <w:vAlign w:val="center"/>
          </w:tcPr>
          <w:p w14:paraId="77007CFD" w14:textId="77777777" w:rsidR="00A37EF7" w:rsidRDefault="00434461" w:rsidP="006174BB">
            <w:pPr>
              <w:keepNext/>
              <w:spacing w:after="0"/>
              <w:jc w:val="right"/>
              <w:rPr>
                <w:rFonts w:cs="Arial"/>
                <w:b/>
                <w:bCs/>
                <w:color w:val="000000"/>
                <w:szCs w:val="20"/>
              </w:rPr>
            </w:pPr>
            <w:r>
              <w:rPr>
                <w:rFonts w:cs="Arial"/>
                <w:b/>
                <w:bCs/>
                <w:color w:val="000000"/>
                <w:szCs w:val="20"/>
              </w:rPr>
              <w:t>$9,623,816</w:t>
            </w:r>
          </w:p>
        </w:tc>
        <w:tc>
          <w:tcPr>
            <w:tcW w:w="992" w:type="pct"/>
            <w:shd w:val="clear" w:color="auto" w:fill="D9D9D9" w:themeFill="background1" w:themeFillShade="D9"/>
            <w:vAlign w:val="center"/>
          </w:tcPr>
          <w:p w14:paraId="68C7F12A" w14:textId="77777777" w:rsidR="00A37EF7" w:rsidRDefault="00434461" w:rsidP="006174BB">
            <w:pPr>
              <w:keepNext/>
              <w:spacing w:after="0"/>
              <w:jc w:val="right"/>
              <w:rPr>
                <w:rFonts w:cs="Arial"/>
                <w:b/>
                <w:bCs/>
                <w:color w:val="000000"/>
                <w:szCs w:val="20"/>
              </w:rPr>
            </w:pPr>
            <w:r w:rsidRPr="00005B6A">
              <w:rPr>
                <w:rFonts w:cs="Arial"/>
                <w:b/>
                <w:bCs/>
                <w:color w:val="000000"/>
                <w:szCs w:val="20"/>
              </w:rPr>
              <w:t>$17,572,118</w:t>
            </w:r>
          </w:p>
        </w:tc>
      </w:tr>
    </w:tbl>
    <w:p w14:paraId="38AD21B8" w14:textId="77777777" w:rsidR="00E87055" w:rsidRDefault="00E87055" w:rsidP="00B64534">
      <w:pPr>
        <w:pStyle w:val="ACMASpaceaftertable"/>
      </w:pPr>
    </w:p>
    <w:p w14:paraId="7E06C5BA" w14:textId="17C34DC1" w:rsidR="009E783D" w:rsidRPr="005D0BC8" w:rsidRDefault="009E783D" w:rsidP="003F7E3A">
      <w:pPr>
        <w:spacing w:before="240"/>
      </w:pPr>
      <w:r w:rsidRPr="00A84CBD">
        <w:t xml:space="preserve">Direct costs are the costs directly incurred by the relevant </w:t>
      </w:r>
      <w:r>
        <w:t>operational</w:t>
      </w:r>
      <w:r w:rsidRPr="00A84CBD">
        <w:t xml:space="preserve"> areas.</w:t>
      </w:r>
      <w:r w:rsidRPr="000E0EFD">
        <w:rPr>
          <w:rStyle w:val="FootnoteReference"/>
          <w:rFonts w:cs="Arial"/>
          <w:szCs w:val="20"/>
        </w:rPr>
        <w:footnoteReference w:id="7"/>
      </w:r>
      <w:r w:rsidRPr="00A37EF7">
        <w:t xml:space="preserve"> </w:t>
      </w:r>
      <w:r w:rsidRPr="00A84CBD">
        <w:t>These costs are attributed to their activities bas</w:t>
      </w:r>
      <w:r w:rsidR="00E87055">
        <w:t>ed on</w:t>
      </w:r>
      <w:r w:rsidRPr="00A84CBD">
        <w:t xml:space="preserve"> information provided via the agency</w:t>
      </w:r>
      <w:r w:rsidR="00A37EF7">
        <w:t>-</w:t>
      </w:r>
      <w:r w:rsidRPr="00A84CBD">
        <w:t>wide survey</w:t>
      </w:r>
      <w:r w:rsidR="00E87055">
        <w:t>,</w:t>
      </w:r>
      <w:r w:rsidRPr="00A84CBD">
        <w:t xml:space="preserve"> which reflects the consumption of resources relevant to telecommunications functions and powers. Direct costs include direct staff salaries, and other expenses (for example, contractors, consultants, suppliers, office consumables, travel) in relation to the </w:t>
      </w:r>
      <w:r>
        <w:t>operational</w:t>
      </w:r>
      <w:r w:rsidRPr="00A84CBD">
        <w:t xml:space="preserve"> areas carrying out telecommunications activities. </w:t>
      </w:r>
    </w:p>
    <w:p w14:paraId="64DC6EAC" w14:textId="3A8A924C" w:rsidR="00CD6E7B" w:rsidRDefault="009E783D" w:rsidP="003F7E3A">
      <w:r>
        <w:t>T</w:t>
      </w:r>
      <w:r w:rsidRPr="00A84CBD">
        <w:t xml:space="preserve">he support costs are </w:t>
      </w:r>
      <w:r w:rsidR="00E87055">
        <w:t>those</w:t>
      </w:r>
      <w:r w:rsidRPr="00A84CBD">
        <w:t xml:space="preserve"> incurred by the </w:t>
      </w:r>
      <w:r>
        <w:t>ACMA’s support services such as information technology (</w:t>
      </w:r>
      <w:r w:rsidRPr="00A84CBD">
        <w:t>IT</w:t>
      </w:r>
      <w:r>
        <w:t>)</w:t>
      </w:r>
      <w:r w:rsidRPr="00A84CBD">
        <w:t>, finance, human resources, facilities, legal</w:t>
      </w:r>
      <w:r w:rsidR="007A7B4C">
        <w:t>, Authority</w:t>
      </w:r>
      <w:r w:rsidRPr="00A84CBD">
        <w:t xml:space="preserve"> and other corporate services. </w:t>
      </w:r>
      <w:r w:rsidR="00CD6E7B">
        <w:t>As t</w:t>
      </w:r>
      <w:r w:rsidRPr="00A84CBD">
        <w:t xml:space="preserve">hese costs </w:t>
      </w:r>
      <w:r w:rsidR="00CD6E7B">
        <w:t xml:space="preserve">cannot be directly attributed to an output, they </w:t>
      </w:r>
      <w:r w:rsidRPr="00A84CBD">
        <w:t>are allocated to activities using a number of cost drivers</w:t>
      </w:r>
      <w:r w:rsidR="00E87055">
        <w:t>,</w:t>
      </w:r>
      <w:r w:rsidRPr="00A84CBD">
        <w:t xml:space="preserve"> which include average staffing levels, the number of desks, the value of assets and an estimation of consumption of resources to reflect the appropriate support costs. The costs include all support staff salaries and other expenses</w:t>
      </w:r>
      <w:r w:rsidR="007A7B4C">
        <w:t xml:space="preserve">, such as </w:t>
      </w:r>
      <w:r w:rsidRPr="00A84CBD">
        <w:t xml:space="preserve">contractors, consultants, suppliers, depreciation, </w:t>
      </w:r>
      <w:r w:rsidR="007A7B4C">
        <w:t>write-offs</w:t>
      </w:r>
      <w:r w:rsidR="002237C2">
        <w:t xml:space="preserve"> and</w:t>
      </w:r>
      <w:r w:rsidR="007A7B4C">
        <w:t xml:space="preserve"> </w:t>
      </w:r>
      <w:r w:rsidRPr="00A84CBD">
        <w:t>occupancy</w:t>
      </w:r>
      <w:r w:rsidR="007A7B4C">
        <w:t>.</w:t>
      </w:r>
    </w:p>
    <w:p w14:paraId="778EB14B" w14:textId="641726A0" w:rsidR="009E783D" w:rsidRDefault="00CD6E7B" w:rsidP="003F7E3A">
      <w:r w:rsidRPr="00285099">
        <w:t xml:space="preserve">The table below outlines </w:t>
      </w:r>
      <w:r w:rsidR="000648BF" w:rsidRPr="00285099">
        <w:t xml:space="preserve">a </w:t>
      </w:r>
      <w:r w:rsidR="00A80792" w:rsidRPr="00285099">
        <w:t>breakdown</w:t>
      </w:r>
      <w:r w:rsidR="000648BF" w:rsidRPr="00285099">
        <w:t xml:space="preserve"> o</w:t>
      </w:r>
      <w:r w:rsidR="004D642B" w:rsidRPr="00285099">
        <w:t>f expenses</w:t>
      </w:r>
      <w:r w:rsidR="002F33E4" w:rsidRPr="00285099">
        <w:t xml:space="preserve"> for the ACMA’s component for the 2014</w:t>
      </w:r>
      <w:r w:rsidR="00E87055">
        <w:t>–</w:t>
      </w:r>
      <w:r w:rsidR="002F33E4" w:rsidRPr="00285099">
        <w:t>15 financial year</w:t>
      </w:r>
      <w:r w:rsidR="00F47C96" w:rsidRPr="00285099">
        <w:t xml:space="preserve"> with comparison to the </w:t>
      </w:r>
      <w:r w:rsidR="00285099" w:rsidRPr="00285099">
        <w:t>previous</w:t>
      </w:r>
      <w:r w:rsidR="00851BD7" w:rsidRPr="00285099">
        <w:t xml:space="preserve"> year</w:t>
      </w:r>
      <w:r w:rsidR="00F47C96" w:rsidRPr="00285099">
        <w:t xml:space="preserve">. </w:t>
      </w:r>
      <w:r w:rsidR="004D642B" w:rsidRPr="00285099">
        <w:t xml:space="preserve">The </w:t>
      </w:r>
      <w:r w:rsidR="00F47C96" w:rsidRPr="00285099">
        <w:t>employee costs incl</w:t>
      </w:r>
      <w:r w:rsidR="00851BD7" w:rsidRPr="00285099">
        <w:t>ude salaries and staff on-costs and</w:t>
      </w:r>
      <w:r w:rsidR="00F47C96" w:rsidRPr="00285099">
        <w:t xml:space="preserve"> the operating costs essentially relate to </w:t>
      </w:r>
      <w:r w:rsidR="00851BD7" w:rsidRPr="00285099">
        <w:t>expenses incurred</w:t>
      </w:r>
      <w:r w:rsidR="0082468A">
        <w:t>,</w:t>
      </w:r>
      <w:r w:rsidR="00851BD7" w:rsidRPr="00285099">
        <w:t xml:space="preserve"> </w:t>
      </w:r>
      <w:r w:rsidR="00E87055">
        <w:t xml:space="preserve">including </w:t>
      </w:r>
      <w:r w:rsidR="00F47C96" w:rsidRPr="00285099">
        <w:t>contractors, consultants, travel, supplies, occupancy</w:t>
      </w:r>
      <w:r w:rsidR="003751CA" w:rsidRPr="00285099">
        <w:t>. Depreciation and write-offs</w:t>
      </w:r>
      <w:r w:rsidR="00A75447" w:rsidRPr="00285099">
        <w:t xml:space="preserve"> of non-financial assets represent the </w:t>
      </w:r>
      <w:r w:rsidR="00851BD7" w:rsidRPr="00285099">
        <w:t>loss of service</w:t>
      </w:r>
      <w:r w:rsidR="00BC77EA" w:rsidRPr="00285099">
        <w:t xml:space="preserve"> potential </w:t>
      </w:r>
      <w:r w:rsidR="009A378C" w:rsidRPr="00285099">
        <w:t>of assets attributable to the tel</w:t>
      </w:r>
      <w:r w:rsidR="00A80792" w:rsidRPr="00285099">
        <w:t xml:space="preserve">ecommunications services </w:t>
      </w:r>
      <w:r w:rsidR="00E22916" w:rsidRPr="00285099">
        <w:t xml:space="preserve">in relation to </w:t>
      </w:r>
      <w:r w:rsidR="00AB0869" w:rsidRPr="00285099">
        <w:t>the ACLC</w:t>
      </w:r>
      <w:r w:rsidR="003751CA" w:rsidRPr="00285099">
        <w:t>.</w:t>
      </w:r>
      <w:r w:rsidR="009A378C" w:rsidRPr="00285099">
        <w:t xml:space="preserve"> T</w:t>
      </w:r>
      <w:r w:rsidR="00A75447" w:rsidRPr="00285099">
        <w:t xml:space="preserve">hese costs are subsets of both the direct and indirect costs </w:t>
      </w:r>
      <w:r w:rsidR="009A378C" w:rsidRPr="00285099">
        <w:t xml:space="preserve">disclosed </w:t>
      </w:r>
      <w:r w:rsidR="00A75447" w:rsidRPr="00285099">
        <w:t>in Table 3</w:t>
      </w:r>
      <w:r w:rsidR="009A378C" w:rsidRPr="00285099">
        <w:t xml:space="preserve"> above</w:t>
      </w:r>
      <w:r w:rsidR="00A75447" w:rsidRPr="00285099">
        <w:t xml:space="preserve">. </w:t>
      </w:r>
      <w:r w:rsidR="0082468A" w:rsidRPr="00285099">
        <w:t>Because</w:t>
      </w:r>
      <w:r w:rsidR="00A80792" w:rsidRPr="00285099">
        <w:t xml:space="preserve"> of the implementation of the new ABC system, the expense categories</w:t>
      </w:r>
      <w:r w:rsidR="00285099" w:rsidRPr="00285099">
        <w:t xml:space="preserve"> have been changed</w:t>
      </w:r>
      <w:r w:rsidR="0082468A">
        <w:t>,</w:t>
      </w:r>
      <w:r w:rsidR="00285099" w:rsidRPr="00285099">
        <w:t xml:space="preserve"> and the previous</w:t>
      </w:r>
      <w:r w:rsidR="00A80792" w:rsidRPr="00285099">
        <w:t xml:space="preserve"> year</w:t>
      </w:r>
      <w:r w:rsidR="00285099" w:rsidRPr="00285099">
        <w:t>’s</w:t>
      </w:r>
      <w:r w:rsidR="00A80792" w:rsidRPr="00285099">
        <w:t xml:space="preserve"> figures have been adjusted to reflect the new expense categories.</w:t>
      </w:r>
    </w:p>
    <w:p w14:paraId="53B5C3D4" w14:textId="77777777" w:rsidR="00CD6E7B" w:rsidRDefault="009A378C" w:rsidP="009A378C">
      <w:pPr>
        <w:pStyle w:val="ACMATableHeader"/>
        <w:keepNext/>
        <w:numPr>
          <w:ilvl w:val="0"/>
          <w:numId w:val="0"/>
        </w:numPr>
      </w:pPr>
      <w:r>
        <w:lastRenderedPageBreak/>
        <w:t>Table 4:</w:t>
      </w:r>
      <w:r>
        <w:tab/>
      </w:r>
      <w:r w:rsidR="00CD6E7B" w:rsidRPr="00F33E90">
        <w:t>The ACMA’s cost component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Caption w:val="The ACMA’s cost component"/>
        <w:tblDescription w:val="Includes ACMA employee, operating and depreciation and write-off costs, less revenue received from activities on a fee-for-service basis.  "/>
      </w:tblPr>
      <w:tblGrid>
        <w:gridCol w:w="3111"/>
        <w:gridCol w:w="1701"/>
        <w:gridCol w:w="1701"/>
        <w:gridCol w:w="1142"/>
      </w:tblGrid>
      <w:tr w:rsidR="00CD6E7B" w:rsidRPr="004B029D" w14:paraId="70A7BF90" w14:textId="77777777" w:rsidTr="00AC0CFF">
        <w:trPr>
          <w:cantSplit/>
          <w:trHeight w:val="377"/>
          <w:tblHeader/>
        </w:trPr>
        <w:tc>
          <w:tcPr>
            <w:tcW w:w="2032" w:type="pct"/>
            <w:shd w:val="clear" w:color="auto" w:fill="404040" w:themeFill="text1" w:themeFillTint="BF"/>
            <w:vAlign w:val="center"/>
          </w:tcPr>
          <w:p w14:paraId="7F268BF4" w14:textId="77777777" w:rsidR="00CD6E7B" w:rsidRPr="001A3BDB" w:rsidRDefault="00CD6E7B" w:rsidP="001A3BDB">
            <w:pPr>
              <w:pStyle w:val="TableHeading"/>
              <w:rPr>
                <w:b w:val="0"/>
                <w:color w:val="FFFFFF" w:themeColor="background1"/>
              </w:rPr>
            </w:pPr>
            <w:r w:rsidRPr="001A3BDB">
              <w:rPr>
                <w:color w:val="FFFFFF" w:themeColor="background1"/>
              </w:rPr>
              <w:t>Costs</w:t>
            </w:r>
          </w:p>
        </w:tc>
        <w:tc>
          <w:tcPr>
            <w:tcW w:w="1111" w:type="pct"/>
            <w:shd w:val="clear" w:color="auto" w:fill="404040" w:themeFill="text1" w:themeFillTint="BF"/>
            <w:vAlign w:val="center"/>
          </w:tcPr>
          <w:p w14:paraId="04D41E15" w14:textId="77777777" w:rsidR="00CD6E7B" w:rsidRPr="001A3BDB" w:rsidRDefault="00CD6E7B" w:rsidP="001A3BDB">
            <w:pPr>
              <w:pStyle w:val="TableHeading"/>
              <w:jc w:val="right"/>
              <w:rPr>
                <w:b w:val="0"/>
                <w:color w:val="FFFFFF" w:themeColor="background1"/>
              </w:rPr>
            </w:pPr>
            <w:r w:rsidRPr="001A3BDB">
              <w:rPr>
                <w:color w:val="FFFFFF" w:themeColor="background1"/>
              </w:rPr>
              <w:t>2015–16</w:t>
            </w:r>
          </w:p>
          <w:p w14:paraId="5892CAA4" w14:textId="617E7EFC" w:rsidR="00CD6E7B" w:rsidRPr="001A3BDB" w:rsidRDefault="0047093B" w:rsidP="001A3BDB">
            <w:pPr>
              <w:pStyle w:val="TableHeading"/>
              <w:jc w:val="right"/>
              <w:rPr>
                <w:b w:val="0"/>
                <w:color w:val="FFFFFF" w:themeColor="background1"/>
              </w:rPr>
            </w:pPr>
            <w:r>
              <w:rPr>
                <w:color w:val="FFFFFF" w:themeColor="background1"/>
              </w:rPr>
              <w:t>(b</w:t>
            </w:r>
            <w:r w:rsidR="00CD6E7B" w:rsidRPr="001A3BDB">
              <w:rPr>
                <w:color w:val="FFFFFF" w:themeColor="background1"/>
              </w:rPr>
              <w:t>ased on 2014–15 costs</w:t>
            </w:r>
            <w:r>
              <w:rPr>
                <w:color w:val="FFFFFF" w:themeColor="background1"/>
              </w:rPr>
              <w:t>)</w:t>
            </w:r>
          </w:p>
        </w:tc>
        <w:tc>
          <w:tcPr>
            <w:tcW w:w="1111" w:type="pct"/>
            <w:tcBorders>
              <w:top w:val="single" w:sz="6" w:space="0" w:color="auto"/>
            </w:tcBorders>
            <w:shd w:val="clear" w:color="auto" w:fill="404040" w:themeFill="text1" w:themeFillTint="BF"/>
            <w:vAlign w:val="center"/>
          </w:tcPr>
          <w:p w14:paraId="1274EC91" w14:textId="77777777" w:rsidR="00CD6E7B" w:rsidRPr="001A3BDB" w:rsidRDefault="00CD6E7B" w:rsidP="001A3BDB">
            <w:pPr>
              <w:pStyle w:val="TableHeading"/>
              <w:jc w:val="right"/>
              <w:rPr>
                <w:b w:val="0"/>
                <w:color w:val="FFFFFF" w:themeColor="background1"/>
              </w:rPr>
            </w:pPr>
            <w:r w:rsidRPr="001A3BDB">
              <w:rPr>
                <w:color w:val="FFFFFF" w:themeColor="background1"/>
              </w:rPr>
              <w:t>2014–15</w:t>
            </w:r>
          </w:p>
          <w:p w14:paraId="2AA43B3D" w14:textId="4CDA6E7A" w:rsidR="00CD6E7B" w:rsidRPr="001A3BDB" w:rsidRDefault="0047093B" w:rsidP="001A3BDB">
            <w:pPr>
              <w:pStyle w:val="TableHeading"/>
              <w:jc w:val="right"/>
              <w:rPr>
                <w:b w:val="0"/>
                <w:color w:val="FFFFFF" w:themeColor="background1"/>
              </w:rPr>
            </w:pPr>
            <w:r>
              <w:rPr>
                <w:color w:val="FFFFFF" w:themeColor="background1"/>
              </w:rPr>
              <w:t>(b</w:t>
            </w:r>
            <w:r w:rsidR="00CD6E7B" w:rsidRPr="001A3BDB">
              <w:rPr>
                <w:color w:val="FFFFFF" w:themeColor="background1"/>
              </w:rPr>
              <w:t>ased on 2013–14 costs</w:t>
            </w:r>
            <w:r>
              <w:rPr>
                <w:color w:val="FFFFFF" w:themeColor="background1"/>
              </w:rPr>
              <w:t>)</w:t>
            </w:r>
          </w:p>
        </w:tc>
        <w:tc>
          <w:tcPr>
            <w:tcW w:w="746" w:type="pct"/>
            <w:tcBorders>
              <w:top w:val="single" w:sz="6" w:space="0" w:color="auto"/>
            </w:tcBorders>
            <w:shd w:val="clear" w:color="auto" w:fill="404040" w:themeFill="text1" w:themeFillTint="BF"/>
            <w:vAlign w:val="center"/>
          </w:tcPr>
          <w:p w14:paraId="79814E5A" w14:textId="77777777" w:rsidR="00CD6E7B" w:rsidRPr="001A3BDB" w:rsidRDefault="00CD6E7B" w:rsidP="001A3BDB">
            <w:pPr>
              <w:pStyle w:val="TableHeading"/>
              <w:jc w:val="right"/>
              <w:rPr>
                <w:b w:val="0"/>
                <w:color w:val="FFFFFF" w:themeColor="background1"/>
              </w:rPr>
            </w:pPr>
            <w:r w:rsidRPr="001A3BDB">
              <w:rPr>
                <w:color w:val="FFFFFF" w:themeColor="background1"/>
              </w:rPr>
              <w:t>% change*</w:t>
            </w:r>
          </w:p>
        </w:tc>
      </w:tr>
      <w:tr w:rsidR="00726F21" w:rsidRPr="004B029D" w14:paraId="27133F89" w14:textId="77777777" w:rsidTr="000C38F8">
        <w:trPr>
          <w:cantSplit/>
          <w:trHeight w:val="408"/>
          <w:tblHeader/>
        </w:trPr>
        <w:tc>
          <w:tcPr>
            <w:tcW w:w="2032" w:type="pct"/>
            <w:vAlign w:val="center"/>
          </w:tcPr>
          <w:p w14:paraId="6E6CF4AA" w14:textId="77777777" w:rsidR="00726F21" w:rsidRDefault="00726F21" w:rsidP="00726F21">
            <w:pPr>
              <w:spacing w:after="0"/>
              <w:rPr>
                <w:rFonts w:cs="Arial"/>
                <w:color w:val="000000"/>
                <w:szCs w:val="20"/>
              </w:rPr>
            </w:pPr>
            <w:r>
              <w:rPr>
                <w:rFonts w:cs="Arial"/>
                <w:color w:val="000000"/>
                <w:szCs w:val="20"/>
              </w:rPr>
              <w:t>Employees</w:t>
            </w:r>
          </w:p>
        </w:tc>
        <w:tc>
          <w:tcPr>
            <w:tcW w:w="1111" w:type="pct"/>
            <w:vAlign w:val="center"/>
          </w:tcPr>
          <w:p w14:paraId="64F3199D" w14:textId="77777777" w:rsidR="00726F21" w:rsidRDefault="00726F21" w:rsidP="00726F21">
            <w:pPr>
              <w:spacing w:after="0"/>
              <w:jc w:val="right"/>
              <w:rPr>
                <w:rFonts w:cs="Arial"/>
                <w:color w:val="000000"/>
                <w:szCs w:val="20"/>
              </w:rPr>
            </w:pPr>
            <w:r>
              <w:rPr>
                <w:rFonts w:cs="Arial"/>
                <w:color w:val="000000"/>
                <w:szCs w:val="20"/>
              </w:rPr>
              <w:t>$12,208,704</w:t>
            </w:r>
          </w:p>
        </w:tc>
        <w:tc>
          <w:tcPr>
            <w:tcW w:w="1111" w:type="pct"/>
            <w:tcBorders>
              <w:top w:val="single" w:sz="8" w:space="0" w:color="auto"/>
              <w:left w:val="nil"/>
              <w:bottom w:val="single" w:sz="8" w:space="0" w:color="auto"/>
              <w:right w:val="single" w:sz="8" w:space="0" w:color="auto"/>
            </w:tcBorders>
            <w:shd w:val="clear" w:color="auto" w:fill="auto"/>
            <w:vAlign w:val="center"/>
          </w:tcPr>
          <w:p w14:paraId="5D2A7F9D" w14:textId="77777777" w:rsidR="00726F21" w:rsidRPr="00A261CF" w:rsidRDefault="00726F21" w:rsidP="00726F21">
            <w:pPr>
              <w:spacing w:after="0"/>
              <w:jc w:val="right"/>
              <w:rPr>
                <w:rFonts w:cs="Arial"/>
                <w:color w:val="000000"/>
                <w:szCs w:val="20"/>
                <w:highlight w:val="yellow"/>
              </w:rPr>
            </w:pPr>
            <w:r>
              <w:rPr>
                <w:rFonts w:cs="Arial"/>
                <w:color w:val="000000"/>
                <w:szCs w:val="20"/>
              </w:rPr>
              <w:t>$12,940,868</w:t>
            </w:r>
          </w:p>
        </w:tc>
        <w:tc>
          <w:tcPr>
            <w:tcW w:w="746" w:type="pct"/>
            <w:tcBorders>
              <w:top w:val="single" w:sz="8" w:space="0" w:color="auto"/>
              <w:left w:val="nil"/>
              <w:bottom w:val="single" w:sz="8" w:space="0" w:color="auto"/>
              <w:right w:val="single" w:sz="8" w:space="0" w:color="auto"/>
            </w:tcBorders>
            <w:shd w:val="clear" w:color="auto" w:fill="auto"/>
            <w:vAlign w:val="center"/>
          </w:tcPr>
          <w:p w14:paraId="426E933C" w14:textId="77777777" w:rsidR="00726F21" w:rsidRDefault="00B86433" w:rsidP="00726F21">
            <w:pPr>
              <w:spacing w:after="0"/>
              <w:jc w:val="right"/>
              <w:rPr>
                <w:rFonts w:cs="Arial"/>
                <w:color w:val="000000"/>
                <w:szCs w:val="20"/>
              </w:rPr>
            </w:pPr>
            <w:r>
              <w:rPr>
                <w:rFonts w:cs="Arial"/>
                <w:color w:val="000000"/>
                <w:szCs w:val="20"/>
              </w:rPr>
              <w:t>(5.7</w:t>
            </w:r>
            <w:r w:rsidR="00726F21">
              <w:rPr>
                <w:rFonts w:cs="Arial"/>
                <w:color w:val="000000"/>
                <w:szCs w:val="20"/>
              </w:rPr>
              <w:t>%)</w:t>
            </w:r>
          </w:p>
        </w:tc>
      </w:tr>
      <w:tr w:rsidR="00726F21" w:rsidRPr="004B029D" w14:paraId="06C1C8CA" w14:textId="77777777" w:rsidTr="000C38F8">
        <w:trPr>
          <w:cantSplit/>
          <w:trHeight w:val="414"/>
          <w:tblHeader/>
        </w:trPr>
        <w:tc>
          <w:tcPr>
            <w:tcW w:w="2032" w:type="pct"/>
            <w:tcBorders>
              <w:bottom w:val="single" w:sz="6" w:space="0" w:color="auto"/>
            </w:tcBorders>
            <w:vAlign w:val="center"/>
          </w:tcPr>
          <w:p w14:paraId="28794356" w14:textId="77777777" w:rsidR="00726F21" w:rsidRDefault="00726F21" w:rsidP="00726F21">
            <w:pPr>
              <w:spacing w:after="0"/>
              <w:rPr>
                <w:rFonts w:cs="Arial"/>
                <w:color w:val="000000"/>
                <w:szCs w:val="20"/>
              </w:rPr>
            </w:pPr>
            <w:r>
              <w:rPr>
                <w:rFonts w:cs="Arial"/>
                <w:color w:val="000000"/>
                <w:szCs w:val="20"/>
              </w:rPr>
              <w:t>Operating</w:t>
            </w:r>
          </w:p>
        </w:tc>
        <w:tc>
          <w:tcPr>
            <w:tcW w:w="1111" w:type="pct"/>
            <w:tcBorders>
              <w:bottom w:val="single" w:sz="6" w:space="0" w:color="auto"/>
            </w:tcBorders>
            <w:vAlign w:val="center"/>
          </w:tcPr>
          <w:p w14:paraId="4F19088B" w14:textId="77777777" w:rsidR="00726F21" w:rsidRDefault="00726F21" w:rsidP="00726F21">
            <w:pPr>
              <w:spacing w:after="0"/>
              <w:jc w:val="right"/>
              <w:rPr>
                <w:rFonts w:cs="Arial"/>
                <w:color w:val="000000"/>
                <w:szCs w:val="20"/>
              </w:rPr>
            </w:pPr>
            <w:r>
              <w:rPr>
                <w:rFonts w:cs="Arial"/>
                <w:color w:val="000000"/>
                <w:szCs w:val="20"/>
              </w:rPr>
              <w:t>$3,316,149</w:t>
            </w:r>
          </w:p>
        </w:tc>
        <w:tc>
          <w:tcPr>
            <w:tcW w:w="1111" w:type="pct"/>
            <w:tcBorders>
              <w:top w:val="nil"/>
              <w:left w:val="nil"/>
              <w:bottom w:val="single" w:sz="8" w:space="0" w:color="auto"/>
              <w:right w:val="single" w:sz="8" w:space="0" w:color="auto"/>
            </w:tcBorders>
            <w:shd w:val="clear" w:color="auto" w:fill="auto"/>
            <w:vAlign w:val="center"/>
          </w:tcPr>
          <w:p w14:paraId="0E698F38" w14:textId="77777777" w:rsidR="00726F21" w:rsidRPr="00CB6DEB" w:rsidRDefault="00726F21" w:rsidP="00726F21">
            <w:pPr>
              <w:spacing w:after="0"/>
              <w:jc w:val="right"/>
              <w:rPr>
                <w:rFonts w:cs="Arial"/>
                <w:color w:val="000000"/>
                <w:szCs w:val="20"/>
              </w:rPr>
            </w:pPr>
            <w:r>
              <w:rPr>
                <w:rFonts w:cs="Arial"/>
                <w:color w:val="000000"/>
                <w:szCs w:val="20"/>
              </w:rPr>
              <w:t>$5,084,698</w:t>
            </w:r>
          </w:p>
        </w:tc>
        <w:tc>
          <w:tcPr>
            <w:tcW w:w="746" w:type="pct"/>
            <w:tcBorders>
              <w:top w:val="nil"/>
              <w:left w:val="nil"/>
              <w:bottom w:val="single" w:sz="8" w:space="0" w:color="auto"/>
              <w:right w:val="single" w:sz="8" w:space="0" w:color="auto"/>
            </w:tcBorders>
            <w:shd w:val="clear" w:color="auto" w:fill="auto"/>
            <w:vAlign w:val="center"/>
          </w:tcPr>
          <w:p w14:paraId="02A81F34" w14:textId="77777777" w:rsidR="00726F21" w:rsidRDefault="00B86433" w:rsidP="00726F21">
            <w:pPr>
              <w:spacing w:after="0"/>
              <w:jc w:val="right"/>
              <w:rPr>
                <w:rFonts w:cs="Arial"/>
                <w:color w:val="000000"/>
                <w:szCs w:val="20"/>
              </w:rPr>
            </w:pPr>
            <w:r>
              <w:rPr>
                <w:rFonts w:cs="Arial"/>
                <w:color w:val="000000"/>
                <w:szCs w:val="20"/>
              </w:rPr>
              <w:t>(34.8</w:t>
            </w:r>
            <w:r w:rsidR="00726F21">
              <w:rPr>
                <w:rFonts w:cs="Arial"/>
                <w:color w:val="000000"/>
                <w:szCs w:val="20"/>
              </w:rPr>
              <w:t>%)</w:t>
            </w:r>
          </w:p>
        </w:tc>
      </w:tr>
      <w:tr w:rsidR="00726F21" w:rsidRPr="004B029D" w14:paraId="2EF2DD06" w14:textId="77777777" w:rsidTr="000C38F8">
        <w:trPr>
          <w:cantSplit/>
          <w:trHeight w:val="420"/>
          <w:tblHeader/>
        </w:trPr>
        <w:tc>
          <w:tcPr>
            <w:tcW w:w="2032" w:type="pct"/>
            <w:tcBorders>
              <w:bottom w:val="single" w:sz="6" w:space="0" w:color="auto"/>
            </w:tcBorders>
            <w:vAlign w:val="center"/>
          </w:tcPr>
          <w:p w14:paraId="53409805" w14:textId="77777777" w:rsidR="00726F21" w:rsidRDefault="00726F21" w:rsidP="00726F21">
            <w:pPr>
              <w:spacing w:after="0"/>
              <w:rPr>
                <w:rFonts w:cs="Arial"/>
                <w:color w:val="000000"/>
                <w:szCs w:val="20"/>
              </w:rPr>
            </w:pPr>
            <w:r>
              <w:rPr>
                <w:rFonts w:cs="Arial"/>
                <w:color w:val="000000"/>
                <w:szCs w:val="20"/>
              </w:rPr>
              <w:t>Depreciation and write-off</w:t>
            </w:r>
          </w:p>
        </w:tc>
        <w:tc>
          <w:tcPr>
            <w:tcW w:w="1111" w:type="pct"/>
            <w:tcBorders>
              <w:bottom w:val="single" w:sz="6" w:space="0" w:color="auto"/>
            </w:tcBorders>
            <w:vAlign w:val="center"/>
          </w:tcPr>
          <w:p w14:paraId="7014CFD8" w14:textId="77777777" w:rsidR="00726F21" w:rsidRDefault="00726F21" w:rsidP="00726F21">
            <w:pPr>
              <w:spacing w:after="0"/>
              <w:jc w:val="right"/>
              <w:rPr>
                <w:rFonts w:cs="Arial"/>
                <w:color w:val="000000"/>
                <w:szCs w:val="20"/>
              </w:rPr>
            </w:pPr>
            <w:r>
              <w:rPr>
                <w:rFonts w:cs="Arial"/>
                <w:color w:val="000000"/>
                <w:szCs w:val="20"/>
              </w:rPr>
              <w:t>$2,190,100</w:t>
            </w:r>
          </w:p>
        </w:tc>
        <w:tc>
          <w:tcPr>
            <w:tcW w:w="1111" w:type="pct"/>
            <w:tcBorders>
              <w:top w:val="nil"/>
              <w:left w:val="nil"/>
              <w:bottom w:val="single" w:sz="8" w:space="0" w:color="auto"/>
              <w:right w:val="single" w:sz="8" w:space="0" w:color="auto"/>
            </w:tcBorders>
            <w:shd w:val="clear" w:color="auto" w:fill="auto"/>
            <w:vAlign w:val="center"/>
          </w:tcPr>
          <w:p w14:paraId="697692CB" w14:textId="77777777" w:rsidR="00726F21" w:rsidRPr="00CB6DEB" w:rsidRDefault="00726F21" w:rsidP="00726F21">
            <w:pPr>
              <w:spacing w:after="0"/>
              <w:jc w:val="right"/>
              <w:rPr>
                <w:rFonts w:cs="Arial"/>
                <w:color w:val="000000"/>
                <w:szCs w:val="20"/>
              </w:rPr>
            </w:pPr>
            <w:r>
              <w:rPr>
                <w:rFonts w:cs="Arial"/>
                <w:color w:val="000000"/>
                <w:szCs w:val="20"/>
              </w:rPr>
              <w:t>$1,739,977</w:t>
            </w:r>
          </w:p>
        </w:tc>
        <w:tc>
          <w:tcPr>
            <w:tcW w:w="746" w:type="pct"/>
            <w:tcBorders>
              <w:top w:val="nil"/>
              <w:left w:val="nil"/>
              <w:bottom w:val="single" w:sz="8" w:space="0" w:color="auto"/>
              <w:right w:val="single" w:sz="8" w:space="0" w:color="auto"/>
            </w:tcBorders>
            <w:shd w:val="clear" w:color="auto" w:fill="auto"/>
            <w:vAlign w:val="center"/>
          </w:tcPr>
          <w:p w14:paraId="04EA635F" w14:textId="77777777" w:rsidR="00726F21" w:rsidRDefault="00B86433" w:rsidP="00726F21">
            <w:pPr>
              <w:spacing w:after="0"/>
              <w:jc w:val="right"/>
              <w:rPr>
                <w:rFonts w:cs="Arial"/>
                <w:color w:val="000000"/>
                <w:szCs w:val="20"/>
              </w:rPr>
            </w:pPr>
            <w:r>
              <w:rPr>
                <w:rFonts w:cs="Arial"/>
                <w:color w:val="000000"/>
                <w:szCs w:val="20"/>
              </w:rPr>
              <w:t>25.9</w:t>
            </w:r>
            <w:r w:rsidR="00726F21">
              <w:rPr>
                <w:rFonts w:cs="Arial"/>
                <w:color w:val="000000"/>
                <w:szCs w:val="20"/>
              </w:rPr>
              <w:t>%</w:t>
            </w:r>
          </w:p>
        </w:tc>
      </w:tr>
      <w:tr w:rsidR="00726F21" w:rsidRPr="004B029D" w14:paraId="55B2D6AB" w14:textId="77777777" w:rsidTr="000C38F8">
        <w:trPr>
          <w:cantSplit/>
          <w:trHeight w:val="411"/>
          <w:tblHeader/>
        </w:trPr>
        <w:tc>
          <w:tcPr>
            <w:tcW w:w="2032" w:type="pct"/>
            <w:tcBorders>
              <w:bottom w:val="single" w:sz="6" w:space="0" w:color="auto"/>
            </w:tcBorders>
            <w:shd w:val="clear" w:color="auto" w:fill="D9D9D9" w:themeFill="background1" w:themeFillShade="D9"/>
            <w:vAlign w:val="center"/>
          </w:tcPr>
          <w:p w14:paraId="3615FAC9" w14:textId="77777777" w:rsidR="00726F21" w:rsidRDefault="00726F21" w:rsidP="00726F21">
            <w:pPr>
              <w:spacing w:after="0"/>
              <w:rPr>
                <w:rFonts w:cs="Arial"/>
                <w:b/>
                <w:bCs/>
                <w:color w:val="000000"/>
                <w:szCs w:val="20"/>
              </w:rPr>
            </w:pPr>
            <w:r>
              <w:rPr>
                <w:rFonts w:cs="Arial"/>
                <w:b/>
                <w:bCs/>
                <w:color w:val="000000"/>
                <w:szCs w:val="20"/>
              </w:rPr>
              <w:t>Total ACMA costs</w:t>
            </w:r>
          </w:p>
        </w:tc>
        <w:tc>
          <w:tcPr>
            <w:tcW w:w="1111" w:type="pct"/>
            <w:tcBorders>
              <w:bottom w:val="single" w:sz="6" w:space="0" w:color="auto"/>
            </w:tcBorders>
            <w:shd w:val="clear" w:color="auto" w:fill="D9D9D9" w:themeFill="background1" w:themeFillShade="D9"/>
            <w:vAlign w:val="center"/>
          </w:tcPr>
          <w:p w14:paraId="0442AF10" w14:textId="77777777" w:rsidR="00726F21" w:rsidRDefault="00726F21" w:rsidP="00726F21">
            <w:pPr>
              <w:spacing w:after="0"/>
              <w:jc w:val="right"/>
              <w:rPr>
                <w:rFonts w:cs="Arial"/>
                <w:b/>
                <w:bCs/>
                <w:color w:val="000000"/>
                <w:szCs w:val="20"/>
              </w:rPr>
            </w:pPr>
            <w:r>
              <w:rPr>
                <w:rFonts w:cs="Arial"/>
                <w:b/>
                <w:bCs/>
                <w:color w:val="000000"/>
                <w:szCs w:val="20"/>
              </w:rPr>
              <w:t>$17,714,953</w:t>
            </w:r>
          </w:p>
        </w:tc>
        <w:tc>
          <w:tcPr>
            <w:tcW w:w="1111" w:type="pct"/>
            <w:tcBorders>
              <w:top w:val="nil"/>
              <w:left w:val="nil"/>
              <w:bottom w:val="single" w:sz="8" w:space="0" w:color="auto"/>
              <w:right w:val="single" w:sz="8" w:space="0" w:color="auto"/>
            </w:tcBorders>
            <w:shd w:val="clear" w:color="000000" w:fill="D9D9D9"/>
            <w:vAlign w:val="center"/>
          </w:tcPr>
          <w:p w14:paraId="0D42BB94" w14:textId="77777777" w:rsidR="00726F21" w:rsidRPr="00A261CF" w:rsidRDefault="00726F21" w:rsidP="00726F21">
            <w:pPr>
              <w:spacing w:after="0"/>
              <w:jc w:val="right"/>
              <w:rPr>
                <w:rFonts w:cs="Arial"/>
                <w:b/>
                <w:bCs/>
                <w:color w:val="000000"/>
                <w:szCs w:val="20"/>
              </w:rPr>
            </w:pPr>
            <w:r>
              <w:rPr>
                <w:rFonts w:cs="Arial"/>
                <w:b/>
                <w:bCs/>
                <w:color w:val="000000"/>
                <w:szCs w:val="20"/>
              </w:rPr>
              <w:t>$19,765,543</w:t>
            </w:r>
          </w:p>
        </w:tc>
        <w:tc>
          <w:tcPr>
            <w:tcW w:w="746" w:type="pct"/>
            <w:shd w:val="clear" w:color="auto" w:fill="D9D9D9" w:themeFill="background1" w:themeFillShade="D9"/>
            <w:vAlign w:val="center"/>
          </w:tcPr>
          <w:p w14:paraId="5422CA2C" w14:textId="77777777" w:rsidR="00726F21" w:rsidRDefault="00B86433" w:rsidP="00726F21">
            <w:pPr>
              <w:spacing w:after="0"/>
              <w:jc w:val="right"/>
              <w:rPr>
                <w:rFonts w:cs="Arial"/>
                <w:color w:val="000000"/>
                <w:szCs w:val="20"/>
              </w:rPr>
            </w:pPr>
            <w:r>
              <w:rPr>
                <w:rFonts w:cs="Arial"/>
                <w:color w:val="000000"/>
                <w:szCs w:val="20"/>
              </w:rPr>
              <w:t>(10.4</w:t>
            </w:r>
            <w:r w:rsidR="00726F21">
              <w:rPr>
                <w:rFonts w:cs="Arial"/>
                <w:color w:val="000000"/>
                <w:szCs w:val="20"/>
              </w:rPr>
              <w:t>%)</w:t>
            </w:r>
          </w:p>
        </w:tc>
      </w:tr>
      <w:tr w:rsidR="00CD6E7B" w:rsidRPr="004B029D" w14:paraId="5310F1CA" w14:textId="77777777" w:rsidTr="00AC0CFF">
        <w:trPr>
          <w:cantSplit/>
          <w:trHeight w:val="411"/>
          <w:tblHeader/>
        </w:trPr>
        <w:tc>
          <w:tcPr>
            <w:tcW w:w="2032" w:type="pct"/>
            <w:tcBorders>
              <w:bottom w:val="single" w:sz="6" w:space="0" w:color="auto"/>
            </w:tcBorders>
            <w:shd w:val="clear" w:color="auto" w:fill="auto"/>
            <w:vAlign w:val="center"/>
          </w:tcPr>
          <w:p w14:paraId="48E25269" w14:textId="777BAA00" w:rsidR="00CD6E7B" w:rsidRPr="00A261CF" w:rsidRDefault="00CD6E7B" w:rsidP="00AC0CFF">
            <w:pPr>
              <w:spacing w:after="0"/>
              <w:rPr>
                <w:rFonts w:cs="Arial"/>
                <w:bCs/>
                <w:color w:val="000000"/>
                <w:szCs w:val="20"/>
              </w:rPr>
            </w:pPr>
            <w:r w:rsidRPr="00A261CF">
              <w:rPr>
                <w:rFonts w:cs="Arial"/>
                <w:bCs/>
                <w:color w:val="000000"/>
                <w:szCs w:val="20"/>
              </w:rPr>
              <w:t xml:space="preserve">Less: Revenue received </w:t>
            </w:r>
            <w:r>
              <w:rPr>
                <w:rFonts w:cs="Arial"/>
                <w:bCs/>
                <w:color w:val="000000"/>
                <w:szCs w:val="20"/>
              </w:rPr>
              <w:t xml:space="preserve">from </w:t>
            </w:r>
            <w:r w:rsidRPr="00A261CF">
              <w:rPr>
                <w:rFonts w:cs="Arial"/>
              </w:rPr>
              <w:t>activities delivered on a fee-for-service basis</w:t>
            </w:r>
            <w:r w:rsidR="00A75447">
              <w:rPr>
                <w:rFonts w:cs="Arial"/>
              </w:rPr>
              <w:t xml:space="preserve"> (see Attachment B</w:t>
            </w:r>
            <w:r w:rsidR="004E2F7E">
              <w:rPr>
                <w:rFonts w:cs="Arial"/>
              </w:rPr>
              <w:t>—</w:t>
            </w:r>
            <w:r w:rsidR="004E2F7E" w:rsidRPr="004E2F7E">
              <w:rPr>
                <w:rFonts w:cs="Arial"/>
              </w:rPr>
              <w:t>Telecommunications activities not included in the ACLC</w:t>
            </w:r>
            <w:r w:rsidR="00A75447">
              <w:rPr>
                <w:rFonts w:cs="Arial"/>
              </w:rPr>
              <w:t>)</w:t>
            </w:r>
          </w:p>
        </w:tc>
        <w:tc>
          <w:tcPr>
            <w:tcW w:w="1111" w:type="pct"/>
            <w:tcBorders>
              <w:bottom w:val="single" w:sz="6" w:space="0" w:color="auto"/>
            </w:tcBorders>
            <w:shd w:val="clear" w:color="auto" w:fill="auto"/>
            <w:vAlign w:val="center"/>
          </w:tcPr>
          <w:p w14:paraId="2D805C63" w14:textId="77777777" w:rsidR="00CD6E7B" w:rsidRPr="00A261CF" w:rsidRDefault="00CD6E7B" w:rsidP="00AC0CFF">
            <w:pPr>
              <w:spacing w:after="0"/>
              <w:jc w:val="right"/>
              <w:rPr>
                <w:rFonts w:cs="Arial"/>
                <w:bCs/>
                <w:color w:val="000000"/>
                <w:szCs w:val="20"/>
              </w:rPr>
            </w:pPr>
            <w:r w:rsidRPr="00A261CF">
              <w:rPr>
                <w:rFonts w:cs="Arial"/>
                <w:bCs/>
                <w:color w:val="000000"/>
                <w:szCs w:val="20"/>
              </w:rPr>
              <w:t>$142,835</w:t>
            </w:r>
          </w:p>
        </w:tc>
        <w:tc>
          <w:tcPr>
            <w:tcW w:w="1111" w:type="pct"/>
            <w:tcBorders>
              <w:bottom w:val="single" w:sz="6" w:space="0" w:color="auto"/>
            </w:tcBorders>
            <w:shd w:val="clear" w:color="auto" w:fill="auto"/>
            <w:vAlign w:val="center"/>
          </w:tcPr>
          <w:p w14:paraId="30651E6D" w14:textId="77777777" w:rsidR="00CD6E7B" w:rsidRPr="00A261CF" w:rsidRDefault="00CD6E7B" w:rsidP="00AC0CFF">
            <w:pPr>
              <w:spacing w:after="0"/>
              <w:jc w:val="right"/>
              <w:rPr>
                <w:rFonts w:cs="Arial"/>
                <w:bCs/>
                <w:color w:val="000000"/>
                <w:szCs w:val="20"/>
              </w:rPr>
            </w:pPr>
            <w:r w:rsidRPr="00A261CF">
              <w:rPr>
                <w:rFonts w:cs="Arial"/>
                <w:bCs/>
                <w:color w:val="000000"/>
                <w:szCs w:val="20"/>
              </w:rPr>
              <w:t>$</w:t>
            </w:r>
            <w:r>
              <w:rPr>
                <w:rFonts w:cs="Arial"/>
                <w:bCs/>
                <w:color w:val="000000"/>
                <w:szCs w:val="20"/>
              </w:rPr>
              <w:t>111,497</w:t>
            </w:r>
          </w:p>
        </w:tc>
        <w:tc>
          <w:tcPr>
            <w:tcW w:w="746" w:type="pct"/>
            <w:tcBorders>
              <w:bottom w:val="single" w:sz="6" w:space="0" w:color="auto"/>
            </w:tcBorders>
            <w:shd w:val="clear" w:color="auto" w:fill="auto"/>
            <w:vAlign w:val="center"/>
          </w:tcPr>
          <w:p w14:paraId="324D1AFC" w14:textId="77777777" w:rsidR="00CD6E7B" w:rsidRPr="00A261CF" w:rsidRDefault="00726F21" w:rsidP="00AC0CFF">
            <w:pPr>
              <w:spacing w:after="0"/>
              <w:jc w:val="right"/>
              <w:rPr>
                <w:rFonts w:cs="Arial"/>
                <w:color w:val="000000"/>
                <w:szCs w:val="20"/>
              </w:rPr>
            </w:pPr>
            <w:r>
              <w:rPr>
                <w:rFonts w:cs="Arial"/>
                <w:color w:val="000000"/>
                <w:szCs w:val="20"/>
              </w:rPr>
              <w:t>28.1%</w:t>
            </w:r>
          </w:p>
        </w:tc>
      </w:tr>
      <w:tr w:rsidR="00CD6E7B" w:rsidRPr="004B029D" w14:paraId="2DF4AB9D" w14:textId="77777777" w:rsidTr="00AC0CFF">
        <w:trPr>
          <w:cantSplit/>
          <w:trHeight w:val="411"/>
          <w:tblHeader/>
        </w:trPr>
        <w:tc>
          <w:tcPr>
            <w:tcW w:w="2032" w:type="pct"/>
            <w:shd w:val="clear" w:color="auto" w:fill="D9D9D9" w:themeFill="background1" w:themeFillShade="D9"/>
            <w:vAlign w:val="center"/>
          </w:tcPr>
          <w:p w14:paraId="4C18ADB8" w14:textId="77777777" w:rsidR="00CD6E7B" w:rsidRDefault="00CD6E7B" w:rsidP="00AC0CFF">
            <w:pPr>
              <w:spacing w:after="0"/>
              <w:rPr>
                <w:rFonts w:cs="Arial"/>
                <w:b/>
                <w:bCs/>
                <w:color w:val="000000"/>
                <w:szCs w:val="20"/>
              </w:rPr>
            </w:pPr>
            <w:r>
              <w:rPr>
                <w:rFonts w:cs="Arial"/>
                <w:b/>
                <w:bCs/>
                <w:color w:val="000000"/>
                <w:szCs w:val="20"/>
              </w:rPr>
              <w:t>Total costs for ACLC</w:t>
            </w:r>
          </w:p>
        </w:tc>
        <w:tc>
          <w:tcPr>
            <w:tcW w:w="1111" w:type="pct"/>
            <w:shd w:val="clear" w:color="auto" w:fill="D9D9D9" w:themeFill="background1" w:themeFillShade="D9"/>
            <w:vAlign w:val="center"/>
          </w:tcPr>
          <w:p w14:paraId="69CD55CA" w14:textId="77777777" w:rsidR="00CD6E7B" w:rsidRDefault="00CD6E7B" w:rsidP="00AC0CFF">
            <w:pPr>
              <w:spacing w:after="0"/>
              <w:jc w:val="right"/>
              <w:rPr>
                <w:rFonts w:cs="Arial"/>
                <w:b/>
                <w:bCs/>
                <w:color w:val="000000"/>
                <w:szCs w:val="20"/>
              </w:rPr>
            </w:pPr>
            <w:r>
              <w:rPr>
                <w:rFonts w:cs="Arial"/>
                <w:b/>
                <w:bCs/>
                <w:color w:val="000000"/>
                <w:szCs w:val="20"/>
              </w:rPr>
              <w:t>$17,572,118</w:t>
            </w:r>
          </w:p>
        </w:tc>
        <w:tc>
          <w:tcPr>
            <w:tcW w:w="1111" w:type="pct"/>
            <w:shd w:val="clear" w:color="auto" w:fill="D9D9D9" w:themeFill="background1" w:themeFillShade="D9"/>
            <w:vAlign w:val="center"/>
          </w:tcPr>
          <w:p w14:paraId="05612072" w14:textId="77777777" w:rsidR="00CD6E7B" w:rsidRPr="00A261CF" w:rsidRDefault="00CD6E7B" w:rsidP="00AC0CFF">
            <w:pPr>
              <w:spacing w:after="0"/>
              <w:jc w:val="right"/>
              <w:rPr>
                <w:rFonts w:cs="Arial"/>
                <w:b/>
                <w:bCs/>
                <w:color w:val="000000"/>
                <w:szCs w:val="20"/>
              </w:rPr>
            </w:pPr>
            <w:r w:rsidRPr="00A261CF">
              <w:rPr>
                <w:rFonts w:cs="Arial"/>
                <w:b/>
                <w:bCs/>
                <w:color w:val="000000"/>
                <w:szCs w:val="20"/>
              </w:rPr>
              <w:t>$19,654,046</w:t>
            </w:r>
          </w:p>
        </w:tc>
        <w:tc>
          <w:tcPr>
            <w:tcW w:w="746" w:type="pct"/>
            <w:shd w:val="clear" w:color="auto" w:fill="D9D9D9" w:themeFill="background1" w:themeFillShade="D9"/>
            <w:vAlign w:val="center"/>
          </w:tcPr>
          <w:p w14:paraId="7A2664C4" w14:textId="77777777" w:rsidR="00CD6E7B" w:rsidRDefault="00726F21" w:rsidP="00AC0CFF">
            <w:pPr>
              <w:spacing w:after="0"/>
              <w:jc w:val="right"/>
              <w:rPr>
                <w:rFonts w:cs="Arial"/>
                <w:color w:val="000000"/>
                <w:szCs w:val="20"/>
              </w:rPr>
            </w:pPr>
            <w:r>
              <w:rPr>
                <w:rFonts w:cs="Arial"/>
                <w:color w:val="000000"/>
                <w:szCs w:val="20"/>
              </w:rPr>
              <w:t>(10.6%)</w:t>
            </w:r>
          </w:p>
        </w:tc>
      </w:tr>
    </w:tbl>
    <w:p w14:paraId="1E687BFB" w14:textId="77777777" w:rsidR="00CD6E7B" w:rsidRDefault="00CD6E7B" w:rsidP="001A3BDB">
      <w:pPr>
        <w:pStyle w:val="ACMASpaceaftertable"/>
      </w:pPr>
      <w:r w:rsidRPr="001A3BDB">
        <w:rPr>
          <w:i/>
          <w:sz w:val="16"/>
          <w:szCs w:val="16"/>
        </w:rPr>
        <w:t>*increase/(decrease</w:t>
      </w:r>
      <w:r w:rsidRPr="00F7198B">
        <w:t>)</w:t>
      </w:r>
    </w:p>
    <w:p w14:paraId="29690CC6" w14:textId="77777777" w:rsidR="009E783D" w:rsidRDefault="009E783D" w:rsidP="00A37EF7">
      <w:r w:rsidRPr="00D972FA">
        <w:t xml:space="preserve">The ACMA’s cost component has </w:t>
      </w:r>
      <w:r w:rsidR="00514762" w:rsidRPr="00D972FA">
        <w:t>de</w:t>
      </w:r>
      <w:r w:rsidRPr="00D972FA">
        <w:t xml:space="preserve">creased </w:t>
      </w:r>
      <w:r w:rsidR="00514762" w:rsidRPr="00D972FA">
        <w:t xml:space="preserve">by </w:t>
      </w:r>
      <w:r w:rsidR="0039435F" w:rsidRPr="008C13EF">
        <w:t>10.6</w:t>
      </w:r>
      <w:r w:rsidR="0039435F">
        <w:t xml:space="preserve"> per cent</w:t>
      </w:r>
      <w:r w:rsidR="00B90EBA" w:rsidRPr="00D972FA">
        <w:t xml:space="preserve"> (</w:t>
      </w:r>
      <w:r w:rsidR="00514762" w:rsidRPr="00D972FA">
        <w:t>$2.1</w:t>
      </w:r>
      <w:r w:rsidR="00B90EBA" w:rsidRPr="00D972FA">
        <w:t xml:space="preserve"> </w:t>
      </w:r>
      <w:r w:rsidR="00514762" w:rsidRPr="00D972FA">
        <w:t>million</w:t>
      </w:r>
      <w:r w:rsidR="00B90EBA" w:rsidRPr="00D972FA">
        <w:t>)</w:t>
      </w:r>
      <w:r w:rsidR="00514762" w:rsidRPr="00D972FA">
        <w:t xml:space="preserve"> </w:t>
      </w:r>
      <w:r w:rsidRPr="00D972FA">
        <w:t>from the previous</w:t>
      </w:r>
      <w:r w:rsidRPr="00D35E14">
        <w:t xml:space="preserve"> financial year. Th</w:t>
      </w:r>
      <w:r w:rsidR="00514762" w:rsidRPr="00D35E14">
        <w:t xml:space="preserve">e decrease </w:t>
      </w:r>
      <w:r w:rsidRPr="00D35E14">
        <w:t xml:space="preserve">is mainly </w:t>
      </w:r>
      <w:r w:rsidR="00514762" w:rsidRPr="00D35E14">
        <w:t xml:space="preserve">attributable to </w:t>
      </w:r>
      <w:r w:rsidR="005F0356">
        <w:t>a</w:t>
      </w:r>
      <w:r w:rsidR="005F0356" w:rsidRPr="00D35E14">
        <w:t xml:space="preserve"> </w:t>
      </w:r>
      <w:r w:rsidR="00285099" w:rsidRPr="00D35E14">
        <w:t xml:space="preserve">$3.1 million </w:t>
      </w:r>
      <w:r w:rsidR="00514762" w:rsidRPr="00D35E14">
        <w:t xml:space="preserve">reduction in </w:t>
      </w:r>
      <w:r w:rsidR="00903992" w:rsidRPr="00D35E14">
        <w:t xml:space="preserve">annual </w:t>
      </w:r>
      <w:r w:rsidR="00514762" w:rsidRPr="00D35E14">
        <w:t>appropriation</w:t>
      </w:r>
      <w:r w:rsidR="005F0356">
        <w:t xml:space="preserve">, which has influenced an organisational change and is now reflected in the reduction in </w:t>
      </w:r>
      <w:r w:rsidR="00CD0711" w:rsidRPr="00D35E14">
        <w:t xml:space="preserve">telecommunications </w:t>
      </w:r>
      <w:r w:rsidR="00280208" w:rsidRPr="00D35E14">
        <w:t>costs</w:t>
      </w:r>
      <w:r w:rsidR="005F0356">
        <w:t xml:space="preserve"> to be recovered from industry</w:t>
      </w:r>
      <w:r w:rsidR="00280208" w:rsidRPr="00D35E14">
        <w:t xml:space="preserve">. </w:t>
      </w:r>
      <w:r w:rsidR="004643B8" w:rsidRPr="00D35E14">
        <w:t>Further</w:t>
      </w:r>
      <w:r w:rsidR="00514762" w:rsidRPr="00D35E14">
        <w:t xml:space="preserve">, the </w:t>
      </w:r>
      <w:r w:rsidR="00B435F0" w:rsidRPr="00D35E14">
        <w:t xml:space="preserve">adoption of </w:t>
      </w:r>
      <w:r w:rsidR="004643B8" w:rsidRPr="00D35E14">
        <w:t xml:space="preserve">the </w:t>
      </w:r>
      <w:r w:rsidR="00D57A1B" w:rsidRPr="00D35E14">
        <w:t>gove</w:t>
      </w:r>
      <w:r w:rsidR="00CD0711" w:rsidRPr="00D35E14">
        <w:t>r</w:t>
      </w:r>
      <w:r w:rsidR="00D57A1B" w:rsidRPr="00D35E14">
        <w:t xml:space="preserve">nment’s </w:t>
      </w:r>
      <w:r w:rsidR="00113856" w:rsidRPr="00D35E14">
        <w:t xml:space="preserve">deregulation policy </w:t>
      </w:r>
      <w:r w:rsidR="00CD0711" w:rsidRPr="00D35E14">
        <w:t xml:space="preserve">has also </w:t>
      </w:r>
      <w:r w:rsidR="00113856" w:rsidRPr="00D35E14">
        <w:t>contributed to</w:t>
      </w:r>
      <w:r w:rsidR="00CD0711" w:rsidRPr="00D35E14">
        <w:t>wards</w:t>
      </w:r>
      <w:r w:rsidR="00113856" w:rsidRPr="00D35E14">
        <w:t xml:space="preserve"> the </w:t>
      </w:r>
      <w:r w:rsidR="005F0356">
        <w:t>reduced cost of</w:t>
      </w:r>
      <w:r w:rsidR="00113856" w:rsidRPr="00D35E14">
        <w:t xml:space="preserve"> telecommunications services.</w:t>
      </w:r>
    </w:p>
    <w:p w14:paraId="3E1BD16F" w14:textId="77777777" w:rsidR="00DC5161" w:rsidRDefault="00DC5161" w:rsidP="00DC5161">
      <w:r w:rsidRPr="001C2D87">
        <w:t xml:space="preserve">The ACLC does not include the costs associated with the telecommunications </w:t>
      </w:r>
      <w:r>
        <w:t>services</w:t>
      </w:r>
      <w:r w:rsidRPr="001C2D87">
        <w:t xml:space="preserve"> listed in Attachment B, as they are either budget-funded or delivered on a fee-for-service basis.</w:t>
      </w:r>
    </w:p>
    <w:p w14:paraId="4C3E706E" w14:textId="77777777" w:rsidR="009E783D" w:rsidRPr="0039521A" w:rsidRDefault="009E783D" w:rsidP="003F7E3A">
      <w:pPr>
        <w:pStyle w:val="Heading2"/>
        <w:spacing w:after="240"/>
      </w:pPr>
      <w:bookmarkStart w:id="41" w:name="_Toc417990949"/>
      <w:bookmarkStart w:id="42" w:name="_Toc454268365"/>
      <w:r w:rsidRPr="003F7E3A">
        <w:t>3.2</w:t>
      </w:r>
      <w:r w:rsidRPr="003F7E3A">
        <w:tab/>
        <w:t xml:space="preserve">Determination of cost component under paragraph 15(1)(b) of the Act—the ACCC’s </w:t>
      </w:r>
      <w:bookmarkEnd w:id="41"/>
      <w:r w:rsidRPr="003F7E3A">
        <w:t>activity</w:t>
      </w:r>
      <w:bookmarkEnd w:id="42"/>
    </w:p>
    <w:p w14:paraId="126C1563" w14:textId="77777777" w:rsidR="009E783D" w:rsidRPr="003F7E3A" w:rsidRDefault="009E783D" w:rsidP="003F7E3A">
      <w:pPr>
        <w:pStyle w:val="Heading3"/>
      </w:pPr>
      <w:bookmarkStart w:id="43" w:name="_Toc417990950"/>
      <w:bookmarkStart w:id="44" w:name="_Toc454268366"/>
      <w:r w:rsidRPr="003F7E3A">
        <w:t>3.2.1</w:t>
      </w:r>
      <w:r w:rsidRPr="003F7E3A">
        <w:tab/>
        <w:t>Outputs and business processes of the activity</w:t>
      </w:r>
      <w:bookmarkEnd w:id="43"/>
      <w:bookmarkEnd w:id="44"/>
    </w:p>
    <w:p w14:paraId="577D403E" w14:textId="77777777" w:rsidR="009E783D" w:rsidRPr="00E3629B" w:rsidRDefault="009E783D" w:rsidP="003F7E3A">
      <w:r w:rsidRPr="00E3629B">
        <w:t>This component represents the AC</w:t>
      </w:r>
      <w:r>
        <w:t>CC’</w:t>
      </w:r>
      <w:r w:rsidR="00372EAE">
        <w:t>s costs incurred during 2014–15</w:t>
      </w:r>
      <w:r w:rsidRPr="00E3629B">
        <w:t xml:space="preserve"> in exercising its telecommunications functions and powers.</w:t>
      </w:r>
    </w:p>
    <w:p w14:paraId="7B167D16" w14:textId="77777777" w:rsidR="00372EAE" w:rsidRPr="009A2EB4" w:rsidRDefault="00372EAE" w:rsidP="00372EAE">
      <w:pPr>
        <w:spacing w:after="80"/>
        <w:rPr>
          <w:iCs/>
          <w:lang w:eastAsia="en-US"/>
        </w:rPr>
      </w:pPr>
      <w:r w:rsidRPr="009A2EB4">
        <w:rPr>
          <w:iCs/>
          <w:lang w:eastAsia="en-US"/>
        </w:rPr>
        <w:t xml:space="preserve">Part XIC of the </w:t>
      </w:r>
      <w:r w:rsidR="00B1182A" w:rsidRPr="00400A7F">
        <w:rPr>
          <w:i/>
          <w:iCs/>
          <w:lang w:eastAsia="en-US"/>
        </w:rPr>
        <w:t>Competition and Consumer Act 2010</w:t>
      </w:r>
      <w:r w:rsidR="00F071C8">
        <w:rPr>
          <w:iCs/>
          <w:lang w:eastAsia="en-US"/>
        </w:rPr>
        <w:t xml:space="preserve"> </w:t>
      </w:r>
      <w:r w:rsidRPr="009A2EB4">
        <w:rPr>
          <w:iCs/>
          <w:lang w:eastAsia="en-US"/>
        </w:rPr>
        <w:t>contains the framework for economic regulation of the communications industry. The ACCC is responsible for:</w:t>
      </w:r>
    </w:p>
    <w:p w14:paraId="28C9AAC8" w14:textId="77777777" w:rsidR="00372EAE" w:rsidRPr="009A2EB4" w:rsidRDefault="00372EAE" w:rsidP="00372EAE">
      <w:pPr>
        <w:pStyle w:val="ListBullet"/>
        <w:rPr>
          <w:rFonts w:eastAsia="SimSun"/>
          <w:lang w:eastAsia="en-US"/>
        </w:rPr>
      </w:pPr>
      <w:r w:rsidRPr="009A2EB4">
        <w:rPr>
          <w:rFonts w:eastAsia="SimSun"/>
          <w:lang w:eastAsia="en-US"/>
        </w:rPr>
        <w:t>conducting inquiries into which communications services should be regulated</w:t>
      </w:r>
    </w:p>
    <w:p w14:paraId="5BA982D0" w14:textId="12C80226" w:rsidR="00372EAE" w:rsidRPr="009A2EB4" w:rsidRDefault="00372EAE" w:rsidP="00372EAE">
      <w:pPr>
        <w:pStyle w:val="ListBullet"/>
        <w:rPr>
          <w:rFonts w:eastAsia="SimSun"/>
          <w:lang w:eastAsia="en-US"/>
        </w:rPr>
      </w:pPr>
      <w:r w:rsidRPr="009A2EB4">
        <w:rPr>
          <w:rFonts w:eastAsia="SimSun"/>
          <w:lang w:eastAsia="en-US"/>
        </w:rPr>
        <w:t xml:space="preserve">conducting inquiries into the making of access determinations for regulated services </w:t>
      </w:r>
      <w:r w:rsidR="0047093B">
        <w:rPr>
          <w:rFonts w:eastAsia="SimSun"/>
          <w:lang w:eastAsia="en-US"/>
        </w:rPr>
        <w:t>that</w:t>
      </w:r>
      <w:r w:rsidR="0047093B" w:rsidRPr="009A2EB4">
        <w:rPr>
          <w:rFonts w:eastAsia="SimSun"/>
          <w:lang w:eastAsia="en-US"/>
        </w:rPr>
        <w:t xml:space="preserve"> </w:t>
      </w:r>
      <w:r w:rsidRPr="009A2EB4">
        <w:rPr>
          <w:rFonts w:eastAsia="SimSun"/>
          <w:lang w:eastAsia="en-US"/>
        </w:rPr>
        <w:t>will contain price (or a method of ascertaining price) and non-price terms and conditions of access</w:t>
      </w:r>
    </w:p>
    <w:p w14:paraId="110C3C55" w14:textId="77777777" w:rsidR="00372EAE" w:rsidRPr="009A2EB4" w:rsidRDefault="00372EAE" w:rsidP="00372EAE">
      <w:pPr>
        <w:pStyle w:val="ListBullet"/>
        <w:rPr>
          <w:rFonts w:eastAsia="SimSun"/>
          <w:lang w:eastAsia="en-US"/>
        </w:rPr>
      </w:pPr>
      <w:r w:rsidRPr="009A2EB4">
        <w:rPr>
          <w:rFonts w:eastAsia="SimSun"/>
          <w:lang w:eastAsia="en-US"/>
        </w:rPr>
        <w:t>making binding rules of conduct (if needed) to address specific competition issues</w:t>
      </w:r>
    </w:p>
    <w:p w14:paraId="1D734965" w14:textId="77777777" w:rsidR="00372EAE" w:rsidRPr="009A2EB4" w:rsidRDefault="00372EAE" w:rsidP="00372EAE">
      <w:pPr>
        <w:pStyle w:val="ListBullet"/>
        <w:rPr>
          <w:rFonts w:eastAsia="SimSun"/>
          <w:lang w:eastAsia="en-US"/>
        </w:rPr>
      </w:pPr>
      <w:r w:rsidRPr="009A2EB4">
        <w:rPr>
          <w:rFonts w:eastAsia="SimSun"/>
          <w:lang w:eastAsia="en-US"/>
        </w:rPr>
        <w:t xml:space="preserve">investigating allegations of access providers failing to comply with the standard access obligations and/or non-discrimination obligations in the </w:t>
      </w:r>
      <w:r w:rsidR="00B1182A" w:rsidRPr="00400A7F">
        <w:rPr>
          <w:rFonts w:eastAsia="SimSun"/>
          <w:i/>
          <w:lang w:eastAsia="en-US"/>
        </w:rPr>
        <w:t>Competition and Consumer Act 2010</w:t>
      </w:r>
    </w:p>
    <w:p w14:paraId="6AD36A3A" w14:textId="77777777" w:rsidR="00372EAE" w:rsidRPr="009A2EB4" w:rsidRDefault="00372EAE" w:rsidP="00372EAE">
      <w:pPr>
        <w:pStyle w:val="ListBulletLast"/>
        <w:rPr>
          <w:rFonts w:eastAsia="SimSun"/>
          <w:lang w:eastAsia="en-US"/>
        </w:rPr>
      </w:pPr>
      <w:r w:rsidRPr="009A2EB4">
        <w:rPr>
          <w:rFonts w:eastAsia="SimSun"/>
          <w:lang w:eastAsia="en-US"/>
        </w:rPr>
        <w:lastRenderedPageBreak/>
        <w:t xml:space="preserve">assessing special access undertakings (SAUs), which if accepted by the ACCC, will provide terms and conditions for access to regulated services. </w:t>
      </w:r>
    </w:p>
    <w:p w14:paraId="4B9F184C" w14:textId="4E0FD6F8" w:rsidR="00372EAE" w:rsidRPr="009A2EB4" w:rsidRDefault="00372EAE" w:rsidP="00372EAE">
      <w:pPr>
        <w:spacing w:after="80" w:line="240" w:lineRule="auto"/>
        <w:rPr>
          <w:rFonts w:cs="Arial"/>
          <w:iCs/>
          <w:szCs w:val="20"/>
          <w:lang w:eastAsia="en-US"/>
        </w:rPr>
      </w:pPr>
      <w:r w:rsidRPr="009A2EB4">
        <w:rPr>
          <w:rFonts w:cs="Arial"/>
          <w:iCs/>
          <w:szCs w:val="20"/>
          <w:lang w:eastAsia="en-US"/>
        </w:rPr>
        <w:t xml:space="preserve">Part XIB of the </w:t>
      </w:r>
      <w:r w:rsidR="00B1182A" w:rsidRPr="00400A7F">
        <w:rPr>
          <w:rFonts w:cs="Arial"/>
          <w:i/>
          <w:iCs/>
          <w:szCs w:val="20"/>
          <w:lang w:eastAsia="en-US"/>
        </w:rPr>
        <w:t>Competition and Consumer Act 2010</w:t>
      </w:r>
      <w:r w:rsidR="00F071C8">
        <w:rPr>
          <w:rFonts w:cs="Arial"/>
          <w:iCs/>
          <w:szCs w:val="20"/>
          <w:lang w:eastAsia="en-US"/>
        </w:rPr>
        <w:t xml:space="preserve"> </w:t>
      </w:r>
      <w:r w:rsidRPr="009A2EB4">
        <w:rPr>
          <w:rFonts w:cs="Arial"/>
          <w:iCs/>
          <w:szCs w:val="20"/>
          <w:lang w:eastAsia="en-US"/>
        </w:rPr>
        <w:t>enables a quick response to instances of anti-competitive conduct in the communications industry, and allows the ACCC to impose specific information</w:t>
      </w:r>
      <w:r w:rsidR="0047093B">
        <w:rPr>
          <w:rFonts w:cs="Arial"/>
          <w:iCs/>
          <w:szCs w:val="20"/>
          <w:lang w:eastAsia="en-US"/>
        </w:rPr>
        <w:t>-</w:t>
      </w:r>
      <w:r w:rsidRPr="009A2EB4">
        <w:rPr>
          <w:rFonts w:cs="Arial"/>
          <w:iCs/>
          <w:szCs w:val="20"/>
          <w:lang w:eastAsia="en-US"/>
        </w:rPr>
        <w:t xml:space="preserve">gathering obligations on industry participants to assist with the ACCC’s administration and enforcement of the </w:t>
      </w:r>
      <w:r w:rsidR="00B1182A" w:rsidRPr="00400A7F">
        <w:rPr>
          <w:rFonts w:cs="Arial"/>
          <w:i/>
          <w:iCs/>
          <w:szCs w:val="20"/>
          <w:lang w:eastAsia="en-US"/>
        </w:rPr>
        <w:t>Competition and Consumer Act 2010</w:t>
      </w:r>
      <w:r w:rsidRPr="009A2EB4">
        <w:rPr>
          <w:rFonts w:cs="Arial"/>
          <w:iCs/>
          <w:szCs w:val="20"/>
          <w:lang w:eastAsia="en-US"/>
        </w:rPr>
        <w:t>. The ACCC’s responsibilities under Part XIB include:</w:t>
      </w:r>
    </w:p>
    <w:p w14:paraId="317404BC" w14:textId="77777777" w:rsidR="00372EAE" w:rsidRPr="009A2EB4" w:rsidRDefault="00372EAE" w:rsidP="00372EAE">
      <w:pPr>
        <w:pStyle w:val="ListBullet"/>
        <w:rPr>
          <w:rFonts w:eastAsia="SimSun"/>
          <w:lang w:eastAsia="en-US"/>
        </w:rPr>
      </w:pPr>
      <w:r w:rsidRPr="009A2EB4">
        <w:rPr>
          <w:rFonts w:eastAsia="SimSun"/>
          <w:lang w:eastAsia="en-US"/>
        </w:rPr>
        <w:t>investigating allegations of anti-competitive conduct</w:t>
      </w:r>
    </w:p>
    <w:p w14:paraId="4AE67411" w14:textId="77777777" w:rsidR="00372EAE" w:rsidRPr="009A2EB4" w:rsidRDefault="00372EAE" w:rsidP="00372EAE">
      <w:pPr>
        <w:pStyle w:val="ListBullet"/>
        <w:rPr>
          <w:rFonts w:eastAsia="SimSun"/>
          <w:lang w:eastAsia="en-US"/>
        </w:rPr>
      </w:pPr>
      <w:r w:rsidRPr="009A2EB4">
        <w:rPr>
          <w:rFonts w:eastAsia="SimSun"/>
          <w:lang w:eastAsia="en-US"/>
        </w:rPr>
        <w:t>considering exemption applications for anti-competitive conduct</w:t>
      </w:r>
    </w:p>
    <w:p w14:paraId="05FF8CDE" w14:textId="77777777" w:rsidR="00372EAE" w:rsidRPr="009A2EB4" w:rsidRDefault="00372EAE" w:rsidP="00372EAE">
      <w:pPr>
        <w:pStyle w:val="ListBullet"/>
        <w:rPr>
          <w:rFonts w:eastAsia="SimSun"/>
          <w:lang w:eastAsia="en-US"/>
        </w:rPr>
      </w:pPr>
      <w:r w:rsidRPr="009A2EB4">
        <w:rPr>
          <w:rFonts w:eastAsia="SimSun"/>
          <w:lang w:eastAsia="en-US"/>
        </w:rPr>
        <w:t>reporting as part of the Group’s mandatory and discretionary reporting requirements</w:t>
      </w:r>
    </w:p>
    <w:p w14:paraId="37CBC836" w14:textId="77777777" w:rsidR="00372EAE" w:rsidRPr="009A2EB4" w:rsidRDefault="00372EAE" w:rsidP="00372EAE">
      <w:pPr>
        <w:pStyle w:val="ListBulletLast"/>
        <w:rPr>
          <w:rFonts w:eastAsia="SimSun"/>
          <w:lang w:eastAsia="en-US"/>
        </w:rPr>
      </w:pPr>
      <w:r w:rsidRPr="009A2EB4">
        <w:rPr>
          <w:rFonts w:eastAsia="SimSun"/>
          <w:lang w:eastAsia="en-US"/>
        </w:rPr>
        <w:t>industry monitoring, including the ‘Regulatory Accounting Framework’, enhanced accounting separation reporting, retail tariff filings, and bundling of residential services.</w:t>
      </w:r>
    </w:p>
    <w:p w14:paraId="1FCC95DD" w14:textId="77777777" w:rsidR="00372EAE" w:rsidRPr="009A2EB4" w:rsidRDefault="00372EAE" w:rsidP="00372EAE">
      <w:pPr>
        <w:spacing w:after="80"/>
        <w:rPr>
          <w:rFonts w:cs="Arial"/>
          <w:iCs/>
          <w:lang w:eastAsia="en-US"/>
        </w:rPr>
      </w:pPr>
      <w:r w:rsidRPr="009A2EB4">
        <w:rPr>
          <w:rFonts w:cs="Arial"/>
          <w:iCs/>
          <w:szCs w:val="20"/>
          <w:lang w:eastAsia="en-US"/>
        </w:rPr>
        <w:t xml:space="preserve">The ACCC also has responsibilities under the </w:t>
      </w:r>
      <w:r w:rsidRPr="009A2EB4">
        <w:rPr>
          <w:rFonts w:cs="Arial"/>
          <w:i/>
          <w:iCs/>
          <w:szCs w:val="20"/>
          <w:lang w:eastAsia="en-US"/>
        </w:rPr>
        <w:t>Telecommunications Act 1997</w:t>
      </w:r>
      <w:r w:rsidRPr="009A2EB4">
        <w:rPr>
          <w:rFonts w:cs="Arial"/>
          <w:iCs/>
          <w:szCs w:val="20"/>
          <w:lang w:eastAsia="en-US"/>
        </w:rPr>
        <w:t xml:space="preserve"> in relation to facilities access and structural reform. This includes </w:t>
      </w:r>
      <w:r w:rsidRPr="009A2EB4">
        <w:t>monitoring Telstra’s</w:t>
      </w:r>
      <w:r w:rsidRPr="009A2EB4">
        <w:rPr>
          <w:rFonts w:asciiTheme="minorHAnsi" w:hAnsiTheme="minorHAnsi"/>
          <w:iCs/>
          <w:sz w:val="24"/>
          <w:lang w:eastAsia="en-US"/>
        </w:rPr>
        <w:t xml:space="preserve"> </w:t>
      </w:r>
      <w:r w:rsidRPr="009A2EB4">
        <w:rPr>
          <w:rFonts w:cs="Arial"/>
          <w:iCs/>
          <w:lang w:eastAsia="en-US"/>
        </w:rPr>
        <w:t>compliance with its structural separation undertaking (SSU) and plan for migrating services to the NBN. As well as the ACCC’s specific statutory obligations, it also has resources dedicated to:</w:t>
      </w:r>
    </w:p>
    <w:p w14:paraId="069DF563" w14:textId="77777777" w:rsidR="00372EAE" w:rsidRPr="009A2EB4" w:rsidRDefault="00372EAE" w:rsidP="00372EAE">
      <w:pPr>
        <w:pStyle w:val="ListBullet"/>
        <w:rPr>
          <w:rFonts w:eastAsia="SimSun"/>
          <w:lang w:eastAsia="en-US"/>
        </w:rPr>
      </w:pPr>
      <w:r w:rsidRPr="009A2EB4">
        <w:rPr>
          <w:rFonts w:eastAsia="SimSun"/>
          <w:lang w:eastAsia="en-US"/>
        </w:rPr>
        <w:t>market and competition analysis and investigations (especially under Part IV</w:t>
      </w:r>
      <w:r w:rsidR="00B53E20">
        <w:rPr>
          <w:rFonts w:eastAsia="SimSun"/>
          <w:lang w:eastAsia="en-US"/>
        </w:rPr>
        <w:t xml:space="preserve"> of the </w:t>
      </w:r>
      <w:r w:rsidR="00B1182A" w:rsidRPr="00400A7F">
        <w:rPr>
          <w:rFonts w:eastAsia="SimSun"/>
          <w:i/>
          <w:lang w:eastAsia="en-US"/>
        </w:rPr>
        <w:t>Competition and Consumer Act 2010</w:t>
      </w:r>
      <w:r w:rsidRPr="009A2EB4">
        <w:rPr>
          <w:rFonts w:eastAsia="SimSun"/>
          <w:lang w:eastAsia="en-US"/>
        </w:rPr>
        <w:t>) in relation to content, media and application services delivered over communications networks</w:t>
      </w:r>
    </w:p>
    <w:p w14:paraId="74DB8FFB" w14:textId="77777777" w:rsidR="00372EAE" w:rsidRPr="009A2EB4" w:rsidRDefault="00372EAE" w:rsidP="00372EAE">
      <w:pPr>
        <w:pStyle w:val="ListBullet"/>
        <w:rPr>
          <w:rFonts w:eastAsia="SimSun"/>
          <w:lang w:eastAsia="en-US"/>
        </w:rPr>
      </w:pPr>
      <w:r w:rsidRPr="009A2EB4">
        <w:rPr>
          <w:rFonts w:eastAsia="SimSun"/>
          <w:lang w:eastAsia="en-US"/>
        </w:rPr>
        <w:t>providing technical engineering advice</w:t>
      </w:r>
    </w:p>
    <w:p w14:paraId="262F9928" w14:textId="77777777" w:rsidR="00372EAE" w:rsidRPr="009A2EB4" w:rsidRDefault="00372EAE" w:rsidP="00372EAE">
      <w:pPr>
        <w:pStyle w:val="ListBullet"/>
        <w:rPr>
          <w:rFonts w:eastAsia="SimSun"/>
          <w:lang w:eastAsia="en-US"/>
        </w:rPr>
      </w:pPr>
      <w:r w:rsidRPr="009A2EB4">
        <w:rPr>
          <w:rFonts w:eastAsia="SimSun"/>
          <w:lang w:eastAsia="en-US"/>
        </w:rPr>
        <w:t>advising other areas of the ACCC on implications of convergent technologies in the context of mergers, adjudication and enforcement activities</w:t>
      </w:r>
    </w:p>
    <w:p w14:paraId="0B134882" w14:textId="77777777" w:rsidR="00372EAE" w:rsidRPr="009A2EB4" w:rsidRDefault="00372EAE" w:rsidP="00372EAE">
      <w:pPr>
        <w:pStyle w:val="ListBullet"/>
        <w:rPr>
          <w:rFonts w:eastAsia="SimSun"/>
          <w:lang w:eastAsia="en-US"/>
        </w:rPr>
      </w:pPr>
      <w:r w:rsidRPr="009A2EB4">
        <w:rPr>
          <w:rFonts w:eastAsia="SimSun"/>
          <w:lang w:eastAsia="en-US"/>
        </w:rPr>
        <w:t>formulating briefing material and submissions to major government reviews, such as inquiries regarding the NBN, Senate estimates and other public inquiries</w:t>
      </w:r>
    </w:p>
    <w:p w14:paraId="7DD166CF" w14:textId="77777777" w:rsidR="00372EAE" w:rsidRDefault="00372EAE" w:rsidP="00372EAE">
      <w:pPr>
        <w:pStyle w:val="ListBulletLast"/>
        <w:rPr>
          <w:rFonts w:eastAsia="SimSun"/>
          <w:lang w:eastAsia="en-US"/>
        </w:rPr>
      </w:pPr>
      <w:r w:rsidRPr="009A2EB4">
        <w:rPr>
          <w:rFonts w:eastAsia="SimSun"/>
          <w:lang w:eastAsia="en-US"/>
        </w:rPr>
        <w:t>drafting speeches and public presentations for commissioners and senior managers.</w:t>
      </w:r>
    </w:p>
    <w:p w14:paraId="65620D41" w14:textId="77777777" w:rsidR="00372EAE" w:rsidRDefault="00372EAE" w:rsidP="00372EAE">
      <w:pPr>
        <w:rPr>
          <w:rFonts w:cs="Arial"/>
          <w:szCs w:val="20"/>
          <w:lang w:eastAsia="en-US"/>
        </w:rPr>
      </w:pPr>
      <w:r w:rsidRPr="007E73E2">
        <w:rPr>
          <w:rFonts w:cs="Arial"/>
          <w:szCs w:val="20"/>
          <w:lang w:eastAsia="en-US"/>
        </w:rPr>
        <w:t>The key communications outputs include:</w:t>
      </w:r>
    </w:p>
    <w:p w14:paraId="7DA372C4" w14:textId="35F624CC" w:rsidR="00372EAE" w:rsidRPr="007E73E2" w:rsidRDefault="00372EAE" w:rsidP="00372EAE">
      <w:pPr>
        <w:spacing w:after="80" w:line="240" w:lineRule="auto"/>
        <w:rPr>
          <w:rFonts w:cs="Arial"/>
          <w:b/>
          <w:szCs w:val="20"/>
          <w:lang w:eastAsia="en-US"/>
        </w:rPr>
      </w:pPr>
      <w:r w:rsidRPr="007E73E2">
        <w:rPr>
          <w:rFonts w:cs="Arial"/>
          <w:b/>
          <w:szCs w:val="20"/>
          <w:lang w:eastAsia="en-US"/>
        </w:rPr>
        <w:t xml:space="preserve">Industry </w:t>
      </w:r>
      <w:r w:rsidR="001A3BDB">
        <w:rPr>
          <w:rFonts w:cs="Arial"/>
          <w:b/>
          <w:szCs w:val="20"/>
          <w:lang w:eastAsia="en-US"/>
        </w:rPr>
        <w:t>s</w:t>
      </w:r>
      <w:r w:rsidRPr="007E73E2">
        <w:rPr>
          <w:rFonts w:cs="Arial"/>
          <w:b/>
          <w:szCs w:val="20"/>
          <w:lang w:eastAsia="en-US"/>
        </w:rPr>
        <w:t>truc</w:t>
      </w:r>
      <w:r w:rsidR="001A3BDB">
        <w:rPr>
          <w:rFonts w:cs="Arial"/>
          <w:b/>
          <w:szCs w:val="20"/>
          <w:lang w:eastAsia="en-US"/>
        </w:rPr>
        <w:t>ture and</w:t>
      </w:r>
      <w:r w:rsidRPr="007E73E2">
        <w:rPr>
          <w:rFonts w:cs="Arial"/>
          <w:b/>
          <w:szCs w:val="20"/>
          <w:lang w:eastAsia="en-US"/>
        </w:rPr>
        <w:t xml:space="preserve"> </w:t>
      </w:r>
      <w:r w:rsidR="001A3BDB">
        <w:rPr>
          <w:rFonts w:cs="Arial"/>
          <w:b/>
          <w:szCs w:val="20"/>
          <w:lang w:eastAsia="en-US"/>
        </w:rPr>
        <w:t>c</w:t>
      </w:r>
      <w:r w:rsidRPr="007E73E2">
        <w:rPr>
          <w:rFonts w:cs="Arial"/>
          <w:b/>
          <w:szCs w:val="20"/>
          <w:lang w:eastAsia="en-US"/>
        </w:rPr>
        <w:t>ompliance</w:t>
      </w:r>
    </w:p>
    <w:p w14:paraId="0276C896" w14:textId="5FDB25F2" w:rsidR="00372EAE" w:rsidRPr="007E73E2" w:rsidRDefault="0047093B" w:rsidP="00372EAE">
      <w:pPr>
        <w:pStyle w:val="ListBullet"/>
        <w:rPr>
          <w:rFonts w:eastAsia="SimSun"/>
          <w:lang w:eastAsia="en-US"/>
        </w:rPr>
      </w:pPr>
      <w:r>
        <w:rPr>
          <w:rFonts w:eastAsia="SimSun"/>
          <w:lang w:eastAsia="en-US"/>
        </w:rPr>
        <w:t>R</w:t>
      </w:r>
      <w:r w:rsidR="00372EAE" w:rsidRPr="007E73E2">
        <w:rPr>
          <w:rFonts w:eastAsia="SimSun"/>
          <w:lang w:eastAsia="en-US"/>
        </w:rPr>
        <w:t xml:space="preserve">eporting to the Minister for Communications </w:t>
      </w:r>
      <w:r w:rsidR="00B53E20">
        <w:rPr>
          <w:rFonts w:eastAsia="SimSun"/>
          <w:lang w:eastAsia="en-US"/>
        </w:rPr>
        <w:t xml:space="preserve">and the Arts </w:t>
      </w:r>
      <w:r w:rsidR="00372EAE" w:rsidRPr="007E73E2">
        <w:rPr>
          <w:rFonts w:eastAsia="SimSun"/>
          <w:lang w:eastAsia="en-US"/>
        </w:rPr>
        <w:t>annually on Telstra’s compliance with its SSU while</w:t>
      </w:r>
      <w:r w:rsidR="00372EAE" w:rsidRPr="007E73E2">
        <w:rPr>
          <w:rFonts w:eastAsia="SimSun"/>
          <w:i/>
          <w:iCs/>
          <w:lang w:eastAsia="en-US"/>
        </w:rPr>
        <w:t xml:space="preserve"> </w:t>
      </w:r>
      <w:r w:rsidR="00372EAE" w:rsidRPr="007E73E2">
        <w:rPr>
          <w:rFonts w:eastAsia="SimSun"/>
          <w:lang w:eastAsia="en-US"/>
        </w:rPr>
        <w:t>continuing to monitor Telstra’s compliance with the SSU and investigating potential breaches of the SSU by Telstra</w:t>
      </w:r>
      <w:r>
        <w:rPr>
          <w:rFonts w:eastAsia="SimSun"/>
          <w:lang w:eastAsia="en-US"/>
        </w:rPr>
        <w:t>.</w:t>
      </w:r>
    </w:p>
    <w:p w14:paraId="21F9CDE1" w14:textId="5383AFD6" w:rsidR="00372EAE" w:rsidRDefault="001A3BDB" w:rsidP="00372EAE">
      <w:pPr>
        <w:pStyle w:val="ListBullet"/>
        <w:rPr>
          <w:rFonts w:eastAsia="SimSun"/>
          <w:lang w:eastAsia="en-US"/>
        </w:rPr>
      </w:pPr>
      <w:r>
        <w:rPr>
          <w:rFonts w:eastAsia="SimSun"/>
          <w:lang w:eastAsia="en-US"/>
        </w:rPr>
        <w:t>R</w:t>
      </w:r>
      <w:r w:rsidR="00372EAE" w:rsidRPr="00264DAD">
        <w:rPr>
          <w:rFonts w:eastAsia="SimSun"/>
          <w:lang w:eastAsia="en-US"/>
        </w:rPr>
        <w:t xml:space="preserve">eporting the test results from the broadband performance monitoring pilot program, with a view </w:t>
      </w:r>
      <w:r w:rsidR="00372EAE">
        <w:rPr>
          <w:rFonts w:eastAsia="SimSun"/>
          <w:lang w:eastAsia="en-US"/>
        </w:rPr>
        <w:t>to full deployment if supported</w:t>
      </w:r>
      <w:r w:rsidR="0047093B">
        <w:rPr>
          <w:rFonts w:eastAsia="SimSun"/>
          <w:lang w:eastAsia="en-US"/>
        </w:rPr>
        <w:t>.</w:t>
      </w:r>
    </w:p>
    <w:p w14:paraId="075BEABD" w14:textId="7F9120A7" w:rsidR="00372EAE" w:rsidRPr="007E73E2" w:rsidRDefault="0047093B" w:rsidP="00372EAE">
      <w:pPr>
        <w:pStyle w:val="ListBullet"/>
        <w:rPr>
          <w:rFonts w:eastAsia="SimSun"/>
          <w:lang w:eastAsia="en-US"/>
        </w:rPr>
      </w:pPr>
      <w:r>
        <w:rPr>
          <w:rFonts w:eastAsia="SimSun"/>
          <w:lang w:eastAsia="en-US"/>
        </w:rPr>
        <w:t>P</w:t>
      </w:r>
      <w:r w:rsidR="00372EAE" w:rsidRPr="007E73E2">
        <w:rPr>
          <w:rFonts w:eastAsia="SimSun"/>
          <w:lang w:eastAsia="en-US"/>
        </w:rPr>
        <w:t>roviding advice to other areas on matters such as mergers or telecommunications</w:t>
      </w:r>
      <w:r>
        <w:rPr>
          <w:rFonts w:eastAsia="SimSun"/>
          <w:lang w:eastAsia="en-US"/>
        </w:rPr>
        <w:t>-</w:t>
      </w:r>
      <w:r w:rsidR="00372EAE" w:rsidRPr="007E73E2">
        <w:rPr>
          <w:rFonts w:eastAsia="SimSun"/>
          <w:lang w:eastAsia="en-US"/>
        </w:rPr>
        <w:t>related authorisation applications</w:t>
      </w:r>
      <w:r>
        <w:rPr>
          <w:rFonts w:eastAsia="SimSun"/>
          <w:lang w:eastAsia="en-US"/>
        </w:rPr>
        <w:t>.</w:t>
      </w:r>
    </w:p>
    <w:p w14:paraId="6C490F67" w14:textId="48246566" w:rsidR="00372EAE" w:rsidRPr="007E73E2" w:rsidRDefault="0047093B" w:rsidP="00372EAE">
      <w:pPr>
        <w:pStyle w:val="ListBullet"/>
        <w:rPr>
          <w:rFonts w:eastAsia="SimSun"/>
          <w:lang w:eastAsia="en-US"/>
        </w:rPr>
      </w:pPr>
      <w:r>
        <w:rPr>
          <w:rFonts w:eastAsia="SimSun"/>
          <w:lang w:eastAsia="en-US"/>
        </w:rPr>
        <w:t>P</w:t>
      </w:r>
      <w:r w:rsidR="00372EAE" w:rsidRPr="007E73E2">
        <w:rPr>
          <w:rFonts w:eastAsia="SimSun"/>
          <w:lang w:eastAsia="en-US"/>
        </w:rPr>
        <w:t>roviding advice to other government agencies and departments on request (</w:t>
      </w:r>
      <w:r w:rsidR="00B53E20">
        <w:rPr>
          <w:rFonts w:eastAsia="SimSun"/>
          <w:lang w:eastAsia="en-US"/>
        </w:rPr>
        <w:t xml:space="preserve">such as </w:t>
      </w:r>
      <w:r w:rsidR="00372EAE" w:rsidRPr="007E73E2">
        <w:rPr>
          <w:rFonts w:eastAsia="SimSun"/>
          <w:lang w:eastAsia="en-US"/>
        </w:rPr>
        <w:t xml:space="preserve">the proposed imposing </w:t>
      </w:r>
      <w:r w:rsidR="00B53E20">
        <w:rPr>
          <w:rFonts w:eastAsia="SimSun"/>
          <w:lang w:eastAsia="en-US"/>
        </w:rPr>
        <w:t xml:space="preserve">of </w:t>
      </w:r>
      <w:r w:rsidR="00372EAE" w:rsidRPr="007E73E2">
        <w:rPr>
          <w:rFonts w:eastAsia="SimSun"/>
          <w:lang w:eastAsia="en-US"/>
        </w:rPr>
        <w:t xml:space="preserve">a carrier licence condition on </w:t>
      </w:r>
      <w:r w:rsidRPr="00FC040B">
        <w:rPr>
          <w:rStyle w:val="Hyperlink"/>
        </w:rPr>
        <w:t>NBN Co Limited</w:t>
      </w:r>
      <w:r w:rsidRPr="00FC040B">
        <w:rPr>
          <w:color w:val="1F497D"/>
        </w:rPr>
        <w:t xml:space="preserve"> (NBN Co</w:t>
      </w:r>
      <w:r w:rsidRPr="00FC040B">
        <w:rPr>
          <w:rFonts w:eastAsia="SimSun"/>
          <w:lang w:eastAsia="en-US"/>
        </w:rPr>
        <w:t xml:space="preserve">) </w:t>
      </w:r>
      <w:r w:rsidR="00372EAE" w:rsidRPr="007E73E2">
        <w:rPr>
          <w:rFonts w:eastAsia="SimSun"/>
          <w:lang w:eastAsia="en-US"/>
        </w:rPr>
        <w:t>requiring it to disclose information about the rollout of its network)</w:t>
      </w:r>
      <w:r>
        <w:rPr>
          <w:rFonts w:eastAsia="SimSun"/>
          <w:lang w:eastAsia="en-US"/>
        </w:rPr>
        <w:t>.</w:t>
      </w:r>
    </w:p>
    <w:p w14:paraId="49E0CBD8" w14:textId="3752DF6F" w:rsidR="00372EAE" w:rsidRPr="007E73E2" w:rsidRDefault="00FC040B" w:rsidP="00372EAE">
      <w:pPr>
        <w:pStyle w:val="ListBullet"/>
        <w:rPr>
          <w:rFonts w:eastAsia="SimSun"/>
          <w:lang w:eastAsia="en-US"/>
        </w:rPr>
      </w:pPr>
      <w:r>
        <w:rPr>
          <w:rFonts w:eastAsia="SimSun"/>
          <w:lang w:eastAsia="en-US"/>
        </w:rPr>
        <w:t>C</w:t>
      </w:r>
      <w:r w:rsidR="00372EAE" w:rsidRPr="007E73E2">
        <w:rPr>
          <w:rFonts w:eastAsia="SimSun"/>
          <w:lang w:eastAsia="en-US"/>
        </w:rPr>
        <w:t xml:space="preserve">ompliance and enforcement regarding the </w:t>
      </w:r>
      <w:r w:rsidR="00B1182A" w:rsidRPr="00400A7F">
        <w:rPr>
          <w:rFonts w:eastAsia="SimSun"/>
          <w:i/>
          <w:lang w:eastAsia="en-US"/>
        </w:rPr>
        <w:t>Competition and Consumer Act 2010</w:t>
      </w:r>
      <w:r w:rsidR="00B53E20">
        <w:rPr>
          <w:rFonts w:eastAsia="SimSun"/>
          <w:lang w:eastAsia="en-US"/>
        </w:rPr>
        <w:t xml:space="preserve"> </w:t>
      </w:r>
      <w:r w:rsidR="005822FA">
        <w:rPr>
          <w:rFonts w:eastAsia="SimSun"/>
          <w:lang w:eastAsia="en-US"/>
        </w:rPr>
        <w:t>and wholesale telecommunications</w:t>
      </w:r>
      <w:r w:rsidR="00372EAE" w:rsidRPr="007E73E2">
        <w:rPr>
          <w:rFonts w:eastAsia="SimSun"/>
          <w:lang w:eastAsia="en-US"/>
        </w:rPr>
        <w:t xml:space="preserve"> markets (Part IV, Part XIB, NBN SAU and Telstra SSU)</w:t>
      </w:r>
      <w:r>
        <w:rPr>
          <w:rFonts w:eastAsia="SimSun"/>
          <w:lang w:eastAsia="en-US"/>
        </w:rPr>
        <w:t>.</w:t>
      </w:r>
    </w:p>
    <w:p w14:paraId="4FF8E6D3" w14:textId="021609F3" w:rsidR="00372EAE" w:rsidRPr="007E73E2" w:rsidRDefault="00FC040B" w:rsidP="00372EAE">
      <w:pPr>
        <w:pStyle w:val="ListBullet"/>
        <w:spacing w:after="240"/>
        <w:rPr>
          <w:rFonts w:eastAsia="SimSun"/>
          <w:lang w:eastAsia="en-US"/>
        </w:rPr>
      </w:pPr>
      <w:r>
        <w:rPr>
          <w:rFonts w:eastAsia="SimSun"/>
          <w:lang w:eastAsia="en-US"/>
        </w:rPr>
        <w:lastRenderedPageBreak/>
        <w:t>C</w:t>
      </w:r>
      <w:r w:rsidR="00372EAE" w:rsidRPr="007E73E2">
        <w:rPr>
          <w:rFonts w:eastAsia="SimSun"/>
          <w:lang w:eastAsia="en-US"/>
        </w:rPr>
        <w:t>onsult</w:t>
      </w:r>
      <w:r>
        <w:rPr>
          <w:rFonts w:eastAsia="SimSun"/>
          <w:lang w:eastAsia="en-US"/>
        </w:rPr>
        <w:t xml:space="preserve">ation </w:t>
      </w:r>
      <w:r w:rsidR="00372EAE" w:rsidRPr="007E73E2">
        <w:rPr>
          <w:rFonts w:eastAsia="SimSun"/>
          <w:lang w:eastAsia="en-US"/>
        </w:rPr>
        <w:t>and industry engagement on a range of regulatory matters, including potential declaration inquiries, promoting competition through regulation of the NBN and encouraging transparency and appropriate consumer safeguards in the migration to the NBN</w:t>
      </w:r>
      <w:r>
        <w:rPr>
          <w:rFonts w:eastAsia="SimSun"/>
          <w:lang w:eastAsia="en-US"/>
        </w:rPr>
        <w:t>,</w:t>
      </w:r>
      <w:r w:rsidR="00372EAE" w:rsidRPr="007E73E2">
        <w:rPr>
          <w:rFonts w:eastAsia="SimSun"/>
          <w:lang w:eastAsia="en-US"/>
        </w:rPr>
        <w:t xml:space="preserve"> and monitoring industry consolidation and the impact on competition within the communications market.</w:t>
      </w:r>
    </w:p>
    <w:p w14:paraId="1ABBFFD3" w14:textId="63A36A69" w:rsidR="00372EAE" w:rsidRPr="007E73E2" w:rsidRDefault="00372EAE" w:rsidP="001A3BDB">
      <w:pPr>
        <w:keepNext/>
        <w:spacing w:after="80" w:line="240" w:lineRule="auto"/>
        <w:rPr>
          <w:rFonts w:cs="Arial"/>
          <w:b/>
          <w:szCs w:val="20"/>
          <w:lang w:eastAsia="en-US"/>
        </w:rPr>
      </w:pPr>
      <w:r w:rsidRPr="007E73E2">
        <w:rPr>
          <w:rFonts w:cs="Arial"/>
          <w:b/>
          <w:szCs w:val="20"/>
          <w:lang w:eastAsia="en-US"/>
        </w:rPr>
        <w:t xml:space="preserve">Mobiles, </w:t>
      </w:r>
      <w:r w:rsidR="00FC040B">
        <w:rPr>
          <w:rFonts w:cs="Arial"/>
          <w:b/>
          <w:szCs w:val="20"/>
          <w:lang w:eastAsia="en-US"/>
        </w:rPr>
        <w:t>t</w:t>
      </w:r>
      <w:r w:rsidRPr="007E73E2">
        <w:rPr>
          <w:rFonts w:cs="Arial"/>
          <w:b/>
          <w:szCs w:val="20"/>
          <w:lang w:eastAsia="en-US"/>
        </w:rPr>
        <w:t xml:space="preserve">ransmission and </w:t>
      </w:r>
      <w:r w:rsidR="00FC040B">
        <w:rPr>
          <w:rFonts w:cs="Arial"/>
          <w:b/>
          <w:szCs w:val="20"/>
          <w:lang w:eastAsia="en-US"/>
        </w:rPr>
        <w:t>c</w:t>
      </w:r>
      <w:r w:rsidRPr="007E73E2">
        <w:rPr>
          <w:rFonts w:cs="Arial"/>
          <w:b/>
          <w:szCs w:val="20"/>
          <w:lang w:eastAsia="en-US"/>
        </w:rPr>
        <w:t>onsumer (including NBN)</w:t>
      </w:r>
    </w:p>
    <w:p w14:paraId="39520CF5" w14:textId="0F361A29" w:rsidR="00372EAE" w:rsidRPr="007E73E2" w:rsidRDefault="00FC040B" w:rsidP="00372EAE">
      <w:pPr>
        <w:pStyle w:val="ListBullet"/>
        <w:rPr>
          <w:rFonts w:eastAsia="SimSun"/>
          <w:lang w:eastAsia="en-US"/>
        </w:rPr>
      </w:pPr>
      <w:r>
        <w:rPr>
          <w:rFonts w:eastAsia="SimSun"/>
          <w:lang w:eastAsia="en-US"/>
        </w:rPr>
        <w:t>M</w:t>
      </w:r>
      <w:r w:rsidR="00372EAE" w:rsidRPr="007E73E2">
        <w:rPr>
          <w:rFonts w:eastAsia="SimSun"/>
          <w:lang w:eastAsia="en-US"/>
        </w:rPr>
        <w:t>onitoring NBN Co’s compliance with, and performing other functions under, NBN Co’s SAU (given by NBN Co and accepted by the ACCC in late 2013)</w:t>
      </w:r>
      <w:r>
        <w:rPr>
          <w:rFonts w:eastAsia="SimSun"/>
          <w:lang w:eastAsia="en-US"/>
        </w:rPr>
        <w:t>,</w:t>
      </w:r>
      <w:r w:rsidR="00372EAE" w:rsidRPr="007E73E2">
        <w:rPr>
          <w:rFonts w:eastAsia="SimSun"/>
          <w:lang w:eastAsia="en-US"/>
        </w:rPr>
        <w:t xml:space="preserve"> which sets out price and non-price terms of access to the NBN</w:t>
      </w:r>
      <w:r>
        <w:rPr>
          <w:rFonts w:eastAsia="SimSun"/>
          <w:lang w:eastAsia="en-US"/>
        </w:rPr>
        <w:t>.</w:t>
      </w:r>
    </w:p>
    <w:p w14:paraId="1BC7DB89" w14:textId="29964C78" w:rsidR="00372EAE" w:rsidRPr="007E73E2" w:rsidRDefault="00FC040B" w:rsidP="00372EAE">
      <w:pPr>
        <w:pStyle w:val="ListBullet"/>
        <w:rPr>
          <w:rFonts w:eastAsia="SimSun"/>
          <w:lang w:eastAsia="en-US"/>
        </w:rPr>
      </w:pPr>
      <w:r>
        <w:rPr>
          <w:rFonts w:eastAsia="SimSun"/>
          <w:lang w:eastAsia="en-US"/>
        </w:rPr>
        <w:t>C</w:t>
      </w:r>
      <w:r w:rsidR="00372EAE" w:rsidRPr="007E73E2">
        <w:rPr>
          <w:rFonts w:eastAsia="SimSun"/>
          <w:lang w:eastAsia="en-US"/>
        </w:rPr>
        <w:t xml:space="preserve">onsidering an application for revocation of the ACCC’s 2012 authorisation of arrangements between NBN Co and Optus regarding Optus’ </w:t>
      </w:r>
      <w:r w:rsidR="00B53E20" w:rsidRPr="0071508A">
        <w:rPr>
          <w:rFonts w:cs="Arial"/>
          <w:szCs w:val="20"/>
        </w:rPr>
        <w:t>Hybrid Fiber-Coaxial</w:t>
      </w:r>
      <w:r w:rsidR="00B53E20" w:rsidRPr="007E73E2">
        <w:rPr>
          <w:rFonts w:eastAsia="SimSun"/>
          <w:lang w:eastAsia="en-US"/>
        </w:rPr>
        <w:t xml:space="preserve"> </w:t>
      </w:r>
      <w:r w:rsidR="00B53E20">
        <w:rPr>
          <w:rFonts w:eastAsia="SimSun"/>
          <w:lang w:eastAsia="en-US"/>
        </w:rPr>
        <w:t>(</w:t>
      </w:r>
      <w:r w:rsidR="00372EAE" w:rsidRPr="007E73E2">
        <w:rPr>
          <w:rFonts w:eastAsia="SimSun"/>
          <w:lang w:eastAsia="en-US"/>
        </w:rPr>
        <w:t>HFC</w:t>
      </w:r>
      <w:r w:rsidR="00B53E20">
        <w:rPr>
          <w:rFonts w:eastAsia="SimSun"/>
          <w:lang w:eastAsia="en-US"/>
        </w:rPr>
        <w:t>)</w:t>
      </w:r>
      <w:r w:rsidR="00372EAE" w:rsidRPr="007E73E2">
        <w:rPr>
          <w:rFonts w:eastAsia="SimSun"/>
          <w:lang w:eastAsia="en-US"/>
        </w:rPr>
        <w:t xml:space="preserve"> network and considering authorisation of the non-acquisition aspects of the revised arrangements</w:t>
      </w:r>
      <w:r>
        <w:rPr>
          <w:rFonts w:eastAsia="SimSun"/>
          <w:lang w:eastAsia="en-US"/>
        </w:rPr>
        <w:t>.</w:t>
      </w:r>
    </w:p>
    <w:p w14:paraId="5D3DEA03" w14:textId="5951A967" w:rsidR="00372EAE" w:rsidRPr="007E73E2" w:rsidRDefault="00FC040B" w:rsidP="00372EAE">
      <w:pPr>
        <w:pStyle w:val="ListBullet"/>
        <w:rPr>
          <w:rFonts w:eastAsia="SimSun"/>
          <w:lang w:eastAsia="en-US"/>
        </w:rPr>
      </w:pPr>
      <w:r>
        <w:rPr>
          <w:rFonts w:eastAsia="SimSun"/>
          <w:lang w:eastAsia="en-US"/>
        </w:rPr>
        <w:t>I</w:t>
      </w:r>
      <w:r w:rsidR="00372EAE" w:rsidRPr="007E73E2">
        <w:rPr>
          <w:rFonts w:eastAsia="SimSun"/>
          <w:lang w:eastAsia="en-US"/>
        </w:rPr>
        <w:t>ssuing final determinations on Telstra’s revised Migration Plan (which it submitted in March 2015 following a period of consultation) to reflect the multi-technology model NBN</w:t>
      </w:r>
      <w:r>
        <w:rPr>
          <w:rFonts w:eastAsia="SimSun"/>
          <w:lang w:eastAsia="en-US"/>
        </w:rPr>
        <w:t>.</w:t>
      </w:r>
    </w:p>
    <w:p w14:paraId="2B476DBA" w14:textId="2CDCAD22" w:rsidR="00372EAE" w:rsidRPr="007E73E2" w:rsidRDefault="00FC040B" w:rsidP="00372EAE">
      <w:pPr>
        <w:pStyle w:val="ListBullet"/>
        <w:rPr>
          <w:rFonts w:eastAsia="SimSun"/>
          <w:lang w:eastAsia="en-US"/>
        </w:rPr>
      </w:pPr>
      <w:r>
        <w:rPr>
          <w:rFonts w:eastAsia="SimSun"/>
          <w:lang w:eastAsia="en-US"/>
        </w:rPr>
        <w:t>P</w:t>
      </w:r>
      <w:r w:rsidR="00372EAE" w:rsidRPr="007E73E2">
        <w:rPr>
          <w:rFonts w:eastAsia="SimSun"/>
          <w:lang w:eastAsia="en-US"/>
        </w:rPr>
        <w:t>rogress on making an access determination setting out the access terms and conditions for the domestic transmission capacity service and the mobile terminating access service</w:t>
      </w:r>
      <w:r>
        <w:rPr>
          <w:rFonts w:eastAsia="SimSun"/>
          <w:lang w:eastAsia="en-US"/>
        </w:rPr>
        <w:t>.</w:t>
      </w:r>
    </w:p>
    <w:p w14:paraId="6E493CFA" w14:textId="45086A60" w:rsidR="00372EAE" w:rsidRPr="007E73E2" w:rsidRDefault="00223DBD" w:rsidP="00372EAE">
      <w:pPr>
        <w:pStyle w:val="ListBullet"/>
        <w:rPr>
          <w:rFonts w:eastAsia="SimSun"/>
          <w:lang w:eastAsia="en-US"/>
        </w:rPr>
      </w:pPr>
      <w:r>
        <w:rPr>
          <w:rFonts w:eastAsia="SimSun"/>
          <w:lang w:eastAsia="en-US"/>
        </w:rPr>
        <w:t>I</w:t>
      </w:r>
      <w:r w:rsidR="00372EAE" w:rsidRPr="007E73E2">
        <w:rPr>
          <w:rFonts w:eastAsia="SimSun"/>
          <w:lang w:eastAsia="en-US"/>
        </w:rPr>
        <w:t>ssuing telecommunications annual report</w:t>
      </w:r>
      <w:r>
        <w:rPr>
          <w:rFonts w:eastAsia="SimSun"/>
          <w:lang w:eastAsia="en-US"/>
        </w:rPr>
        <w:t xml:space="preserve">, </w:t>
      </w:r>
      <w:r w:rsidR="00372EAE" w:rsidRPr="00806A36">
        <w:rPr>
          <w:rFonts w:eastAsia="SimSun"/>
          <w:lang w:eastAsia="en-US"/>
        </w:rPr>
        <w:t xml:space="preserve">Telecommunications </w:t>
      </w:r>
      <w:r w:rsidR="00B53E20" w:rsidRPr="00806A36">
        <w:rPr>
          <w:rFonts w:eastAsia="SimSun"/>
          <w:lang w:eastAsia="en-US"/>
        </w:rPr>
        <w:t>C</w:t>
      </w:r>
      <w:r w:rsidR="00372EAE" w:rsidRPr="00806A36">
        <w:rPr>
          <w:rFonts w:eastAsia="SimSun"/>
          <w:lang w:eastAsia="en-US"/>
        </w:rPr>
        <w:t xml:space="preserve">ompetitive </w:t>
      </w:r>
      <w:r w:rsidR="00B53E20" w:rsidRPr="00806A36">
        <w:rPr>
          <w:rFonts w:eastAsia="SimSun"/>
          <w:lang w:eastAsia="en-US"/>
        </w:rPr>
        <w:t>S</w:t>
      </w:r>
      <w:r w:rsidR="00372EAE" w:rsidRPr="00806A36">
        <w:rPr>
          <w:rFonts w:eastAsia="SimSun"/>
          <w:lang w:eastAsia="en-US"/>
        </w:rPr>
        <w:t>afeguards for 2013</w:t>
      </w:r>
      <w:r w:rsidRPr="00806A36">
        <w:rPr>
          <w:rFonts w:eastAsia="SimSun"/>
          <w:lang w:eastAsia="en-US"/>
        </w:rPr>
        <w:t>–</w:t>
      </w:r>
      <w:r w:rsidR="00372EAE" w:rsidRPr="00806A36">
        <w:rPr>
          <w:rFonts w:eastAsia="SimSun"/>
          <w:lang w:eastAsia="en-US"/>
        </w:rPr>
        <w:t>14</w:t>
      </w:r>
      <w:r w:rsidRPr="00806A36">
        <w:rPr>
          <w:rFonts w:eastAsia="SimSun"/>
          <w:lang w:eastAsia="en-US"/>
        </w:rPr>
        <w:t>.</w:t>
      </w:r>
      <w:r w:rsidR="00372EAE" w:rsidRPr="007E73E2">
        <w:rPr>
          <w:rFonts w:eastAsia="SimSun"/>
          <w:lang w:eastAsia="en-US"/>
        </w:rPr>
        <w:t xml:space="preserve"> </w:t>
      </w:r>
    </w:p>
    <w:p w14:paraId="0AB53CCF" w14:textId="6EE5B4F9" w:rsidR="00372EAE" w:rsidRPr="007E73E2" w:rsidRDefault="00372EAE" w:rsidP="00372EAE">
      <w:pPr>
        <w:pStyle w:val="ListBullet"/>
        <w:rPr>
          <w:rFonts w:eastAsia="SimSun"/>
          <w:lang w:eastAsia="en-US"/>
        </w:rPr>
      </w:pPr>
      <w:r w:rsidRPr="007E73E2">
        <w:rPr>
          <w:rFonts w:eastAsia="SimSun"/>
          <w:lang w:eastAsia="en-US"/>
        </w:rPr>
        <w:t>NBN pricing and SAU financial/pricing compliance</w:t>
      </w:r>
      <w:r w:rsidR="00223DBD">
        <w:rPr>
          <w:rFonts w:eastAsia="SimSun"/>
          <w:lang w:eastAsia="en-US"/>
        </w:rPr>
        <w:t>.</w:t>
      </w:r>
    </w:p>
    <w:p w14:paraId="65EA7995" w14:textId="63CB9FC5" w:rsidR="00372EAE" w:rsidRPr="007E73E2" w:rsidRDefault="00223DBD" w:rsidP="00372EAE">
      <w:pPr>
        <w:pStyle w:val="ListBullet"/>
        <w:rPr>
          <w:rFonts w:eastAsia="SimSun"/>
          <w:lang w:eastAsia="en-US"/>
        </w:rPr>
      </w:pPr>
      <w:r>
        <w:rPr>
          <w:rFonts w:eastAsia="SimSun"/>
          <w:lang w:eastAsia="en-US"/>
        </w:rPr>
        <w:t>I</w:t>
      </w:r>
      <w:r w:rsidR="00372EAE" w:rsidRPr="007E73E2">
        <w:rPr>
          <w:rFonts w:eastAsia="SimSun"/>
          <w:lang w:eastAsia="en-US"/>
        </w:rPr>
        <w:t>ssuing final determinations on the NBN Co SAU annual revenue determination (Long Term Revenue Constraint Methodology determination) for 2013</w:t>
      </w:r>
      <w:r>
        <w:rPr>
          <w:rFonts w:eastAsia="SimSun"/>
          <w:lang w:eastAsia="en-US"/>
        </w:rPr>
        <w:t>–</w:t>
      </w:r>
      <w:r w:rsidR="00372EAE" w:rsidRPr="007E73E2">
        <w:rPr>
          <w:rFonts w:eastAsia="SimSun"/>
          <w:lang w:eastAsia="en-US"/>
        </w:rPr>
        <w:t>14 (first annual report required during the first 10 years of NBN Co’s SAU)</w:t>
      </w:r>
    </w:p>
    <w:p w14:paraId="6F4745A8" w14:textId="15BD32E4" w:rsidR="00372EAE" w:rsidRPr="007E73E2" w:rsidRDefault="00223DBD" w:rsidP="00372EAE">
      <w:pPr>
        <w:pStyle w:val="ListBullet"/>
        <w:rPr>
          <w:rFonts w:eastAsia="SimSun"/>
          <w:lang w:eastAsia="en-US"/>
        </w:rPr>
      </w:pPr>
      <w:r>
        <w:rPr>
          <w:rFonts w:eastAsia="SimSun"/>
          <w:lang w:eastAsia="en-US"/>
        </w:rPr>
        <w:t>P</w:t>
      </w:r>
      <w:r w:rsidR="00372EAE" w:rsidRPr="007E73E2">
        <w:rPr>
          <w:rFonts w:eastAsia="SimSun"/>
          <w:lang w:eastAsia="en-US"/>
        </w:rPr>
        <w:t>roviding advice to other government agencies and departments on request (on NBN non-commercial funding options, competition limits for the allocation of spectrum licenses to use 1800 M</w:t>
      </w:r>
      <w:r w:rsidR="00B53E20">
        <w:rPr>
          <w:rFonts w:eastAsia="SimSun"/>
          <w:lang w:eastAsia="en-US"/>
        </w:rPr>
        <w:t>H</w:t>
      </w:r>
      <w:r w:rsidR="00372EAE" w:rsidRPr="007E73E2">
        <w:rPr>
          <w:rFonts w:eastAsia="SimSun"/>
          <w:lang w:eastAsia="en-US"/>
        </w:rPr>
        <w:t>z spectrum in regional Australia and market developments)</w:t>
      </w:r>
      <w:r>
        <w:rPr>
          <w:rFonts w:eastAsia="SimSun"/>
          <w:lang w:eastAsia="en-US"/>
        </w:rPr>
        <w:t>.</w:t>
      </w:r>
    </w:p>
    <w:p w14:paraId="1C4839E4" w14:textId="16562501" w:rsidR="00372EAE" w:rsidRPr="007E73E2" w:rsidRDefault="00223DBD" w:rsidP="00372EAE">
      <w:pPr>
        <w:pStyle w:val="ListBullet"/>
        <w:rPr>
          <w:rFonts w:eastAsia="SimSun"/>
          <w:lang w:eastAsia="en-US"/>
        </w:rPr>
      </w:pPr>
      <w:r>
        <w:rPr>
          <w:rFonts w:eastAsia="SimSun"/>
          <w:lang w:eastAsia="en-US"/>
        </w:rPr>
        <w:t>M</w:t>
      </w:r>
      <w:r w:rsidR="00372EAE" w:rsidRPr="007E73E2">
        <w:rPr>
          <w:rFonts w:eastAsia="SimSun"/>
          <w:lang w:eastAsia="en-US"/>
        </w:rPr>
        <w:t>aintaining and collecting data through the Infrastructure and Exchange Facilities Record Keeping Rules</w:t>
      </w:r>
      <w:r>
        <w:rPr>
          <w:rFonts w:eastAsia="SimSun"/>
          <w:lang w:eastAsia="en-US"/>
        </w:rPr>
        <w:t>.</w:t>
      </w:r>
    </w:p>
    <w:p w14:paraId="19E19D0C" w14:textId="01D6587B" w:rsidR="00372EAE" w:rsidRPr="007E73E2" w:rsidRDefault="00223DBD" w:rsidP="00372EAE">
      <w:pPr>
        <w:pStyle w:val="ListBullet"/>
        <w:rPr>
          <w:rFonts w:eastAsia="SimSun"/>
          <w:lang w:eastAsia="en-US"/>
        </w:rPr>
      </w:pPr>
      <w:r>
        <w:rPr>
          <w:rFonts w:eastAsia="SimSun"/>
          <w:lang w:eastAsia="en-US"/>
        </w:rPr>
        <w:t>P</w:t>
      </w:r>
      <w:r w:rsidR="00372EAE" w:rsidRPr="007E73E2">
        <w:rPr>
          <w:rFonts w:eastAsia="SimSun"/>
          <w:lang w:eastAsia="en-US"/>
        </w:rPr>
        <w:t>rogressing related issues regarding facilities access service and points of interconnection (POIs)</w:t>
      </w:r>
      <w:r>
        <w:rPr>
          <w:rFonts w:eastAsia="SimSun"/>
          <w:lang w:eastAsia="en-US"/>
        </w:rPr>
        <w:t>.</w:t>
      </w:r>
    </w:p>
    <w:p w14:paraId="7F529831" w14:textId="170D143E" w:rsidR="00372EAE" w:rsidRPr="007E73E2" w:rsidRDefault="00223DBD" w:rsidP="00372EAE">
      <w:pPr>
        <w:pStyle w:val="ListBullet"/>
        <w:spacing w:after="240"/>
        <w:rPr>
          <w:rFonts w:eastAsia="SimSun"/>
          <w:lang w:eastAsia="en-US"/>
        </w:rPr>
      </w:pPr>
      <w:r>
        <w:rPr>
          <w:rFonts w:eastAsia="SimSun"/>
          <w:lang w:eastAsia="en-US"/>
        </w:rPr>
        <w:t>C</w:t>
      </w:r>
      <w:r w:rsidRPr="007E73E2">
        <w:rPr>
          <w:rFonts w:eastAsia="SimSun"/>
          <w:lang w:eastAsia="en-US"/>
        </w:rPr>
        <w:t>onsult</w:t>
      </w:r>
      <w:r>
        <w:rPr>
          <w:rFonts w:eastAsia="SimSun"/>
          <w:lang w:eastAsia="en-US"/>
        </w:rPr>
        <w:t>ation</w:t>
      </w:r>
      <w:r w:rsidRPr="007E73E2">
        <w:rPr>
          <w:rFonts w:eastAsia="SimSun"/>
          <w:lang w:eastAsia="en-US"/>
        </w:rPr>
        <w:t xml:space="preserve"> </w:t>
      </w:r>
      <w:r w:rsidR="00372EAE" w:rsidRPr="007E73E2">
        <w:rPr>
          <w:rFonts w:eastAsia="SimSun"/>
          <w:lang w:eastAsia="en-US"/>
        </w:rPr>
        <w:t>and industry engagement on a range of regulatory matters, including telecommunications consumer issues, numbering, NBN migration consumer issues, mobiles and transmission markets</w:t>
      </w:r>
      <w:r>
        <w:rPr>
          <w:rFonts w:eastAsia="SimSun"/>
          <w:lang w:eastAsia="en-US"/>
        </w:rPr>
        <w:t>,</w:t>
      </w:r>
      <w:r w:rsidR="00372EAE" w:rsidRPr="007E73E2">
        <w:rPr>
          <w:rFonts w:eastAsia="SimSun"/>
          <w:lang w:eastAsia="en-US"/>
        </w:rPr>
        <w:t xml:space="preserve"> while transitioning to the NBN and promoting competition to ensure an efficiently functioning communications market.</w:t>
      </w:r>
    </w:p>
    <w:p w14:paraId="1EA590E8" w14:textId="6383338B" w:rsidR="00372EAE" w:rsidRPr="007E73E2" w:rsidRDefault="00372EAE" w:rsidP="00372EAE">
      <w:pPr>
        <w:spacing w:after="80" w:line="240" w:lineRule="auto"/>
        <w:rPr>
          <w:rFonts w:cs="Arial"/>
          <w:b/>
          <w:szCs w:val="20"/>
          <w:lang w:eastAsia="en-US"/>
        </w:rPr>
      </w:pPr>
      <w:r w:rsidRPr="007E73E2">
        <w:rPr>
          <w:rFonts w:cs="Arial"/>
          <w:b/>
          <w:szCs w:val="20"/>
          <w:lang w:eastAsia="en-US"/>
        </w:rPr>
        <w:t xml:space="preserve">Wireline </w:t>
      </w:r>
      <w:r w:rsidR="00223DBD">
        <w:rPr>
          <w:rFonts w:cs="Arial"/>
          <w:b/>
          <w:szCs w:val="20"/>
          <w:lang w:eastAsia="en-US"/>
        </w:rPr>
        <w:t>m</w:t>
      </w:r>
      <w:r w:rsidRPr="007E73E2">
        <w:rPr>
          <w:rFonts w:cs="Arial"/>
          <w:b/>
          <w:szCs w:val="20"/>
          <w:lang w:eastAsia="en-US"/>
        </w:rPr>
        <w:t>arkets</w:t>
      </w:r>
    </w:p>
    <w:p w14:paraId="50B4C68F" w14:textId="045AB8D2" w:rsidR="00372EAE" w:rsidRPr="007E73E2" w:rsidRDefault="00223DBD" w:rsidP="00372EAE">
      <w:pPr>
        <w:pStyle w:val="ListBullet"/>
        <w:rPr>
          <w:rFonts w:eastAsia="SimSun"/>
          <w:lang w:eastAsia="en-US"/>
        </w:rPr>
      </w:pPr>
      <w:r>
        <w:rPr>
          <w:rFonts w:eastAsia="SimSun"/>
          <w:lang w:eastAsia="en-US"/>
        </w:rPr>
        <w:t>E</w:t>
      </w:r>
      <w:r w:rsidR="00372EAE" w:rsidRPr="007E73E2">
        <w:rPr>
          <w:rFonts w:eastAsia="SimSun"/>
          <w:lang w:eastAsia="en-US"/>
        </w:rPr>
        <w:t>conomic analysis, pricing structure and calculations for the fixed</w:t>
      </w:r>
      <w:r>
        <w:rPr>
          <w:rFonts w:eastAsia="SimSun"/>
          <w:lang w:eastAsia="en-US"/>
        </w:rPr>
        <w:t>-</w:t>
      </w:r>
      <w:r w:rsidR="00372EAE" w:rsidRPr="007E73E2">
        <w:rPr>
          <w:rFonts w:eastAsia="SimSun"/>
          <w:lang w:eastAsia="en-US"/>
        </w:rPr>
        <w:t>line services (u</w:t>
      </w:r>
      <w:r w:rsidR="0071508A">
        <w:rPr>
          <w:rFonts w:eastAsia="SimSun"/>
          <w:lang w:eastAsia="en-US"/>
        </w:rPr>
        <w:t>nconditioned local loop service, line sharing service</w:t>
      </w:r>
      <w:r w:rsidR="00372EAE" w:rsidRPr="007E73E2">
        <w:rPr>
          <w:rFonts w:eastAsia="SimSun"/>
          <w:lang w:eastAsia="en-US"/>
        </w:rPr>
        <w:t>, public switched telephone ne</w:t>
      </w:r>
      <w:r w:rsidR="0071508A">
        <w:rPr>
          <w:rFonts w:eastAsia="SimSun"/>
          <w:lang w:eastAsia="en-US"/>
        </w:rPr>
        <w:t>twork operating access</w:t>
      </w:r>
      <w:r w:rsidR="00372EAE" w:rsidRPr="007E73E2">
        <w:rPr>
          <w:rFonts w:eastAsia="SimSun"/>
          <w:lang w:eastAsia="en-US"/>
        </w:rPr>
        <w:t>, public switched telephone netw</w:t>
      </w:r>
      <w:r w:rsidR="0071508A">
        <w:rPr>
          <w:rFonts w:eastAsia="SimSun"/>
          <w:lang w:eastAsia="en-US"/>
        </w:rPr>
        <w:t>ork terminating access, wholesale line rental</w:t>
      </w:r>
      <w:r w:rsidR="00372EAE" w:rsidRPr="007E73E2">
        <w:rPr>
          <w:rFonts w:eastAsia="SimSun"/>
          <w:lang w:eastAsia="en-US"/>
        </w:rPr>
        <w:t>, a</w:t>
      </w:r>
      <w:r w:rsidR="0071508A">
        <w:rPr>
          <w:rFonts w:eastAsia="SimSun"/>
          <w:lang w:eastAsia="en-US"/>
        </w:rPr>
        <w:t>nd local carriage services</w:t>
      </w:r>
      <w:r w:rsidR="00372EAE" w:rsidRPr="007E73E2">
        <w:rPr>
          <w:rFonts w:eastAsia="SimSun"/>
          <w:lang w:eastAsia="en-US"/>
        </w:rPr>
        <w:t>).</w:t>
      </w:r>
    </w:p>
    <w:p w14:paraId="42323138" w14:textId="2770FCCC" w:rsidR="00372EAE" w:rsidRPr="007E73E2" w:rsidRDefault="00223DBD" w:rsidP="00372EAE">
      <w:pPr>
        <w:pStyle w:val="ListBullet"/>
        <w:rPr>
          <w:rFonts w:eastAsia="SimSun"/>
          <w:lang w:eastAsia="en-US"/>
        </w:rPr>
      </w:pPr>
      <w:r>
        <w:rPr>
          <w:rFonts w:eastAsia="SimSun"/>
          <w:lang w:eastAsia="en-US"/>
        </w:rPr>
        <w:t>P</w:t>
      </w:r>
      <w:r w:rsidR="00372EAE" w:rsidRPr="007E73E2">
        <w:rPr>
          <w:rFonts w:eastAsia="SimSun"/>
          <w:lang w:eastAsia="en-US"/>
        </w:rPr>
        <w:t>rogress on making an access determination setting out the access terms and conditions for fixed line services, which include price and non-price terms and conditions</w:t>
      </w:r>
      <w:r>
        <w:rPr>
          <w:rFonts w:eastAsia="SimSun"/>
          <w:lang w:eastAsia="en-US"/>
        </w:rPr>
        <w:t>.</w:t>
      </w:r>
      <w:r w:rsidR="00372EAE" w:rsidRPr="007E73E2">
        <w:rPr>
          <w:rFonts w:eastAsia="SimSun"/>
          <w:lang w:eastAsia="en-US"/>
        </w:rPr>
        <w:t xml:space="preserve"> </w:t>
      </w:r>
    </w:p>
    <w:p w14:paraId="1A96FFF2" w14:textId="349EF3E7" w:rsidR="00372EAE" w:rsidRPr="007E73E2" w:rsidRDefault="00223DBD" w:rsidP="00372EAE">
      <w:pPr>
        <w:pStyle w:val="ListBullet"/>
        <w:rPr>
          <w:rFonts w:eastAsia="SimSun"/>
          <w:lang w:eastAsia="en-US"/>
        </w:rPr>
      </w:pPr>
      <w:r>
        <w:rPr>
          <w:rFonts w:eastAsia="SimSun"/>
          <w:lang w:eastAsia="en-US"/>
        </w:rPr>
        <w:lastRenderedPageBreak/>
        <w:t>C</w:t>
      </w:r>
      <w:r w:rsidR="00372EAE" w:rsidRPr="007E73E2">
        <w:rPr>
          <w:rFonts w:eastAsia="SimSun"/>
          <w:lang w:eastAsia="en-US"/>
        </w:rPr>
        <w:t>ontinuing an inquiry into whether a superfast</w:t>
      </w:r>
      <w:r w:rsidR="0071508A">
        <w:rPr>
          <w:rFonts w:eastAsia="SimSun"/>
          <w:lang w:eastAsia="en-US"/>
        </w:rPr>
        <w:t xml:space="preserve"> broadband access service</w:t>
      </w:r>
      <w:r>
        <w:rPr>
          <w:rFonts w:eastAsia="SimSun"/>
          <w:lang w:eastAsia="en-US"/>
        </w:rPr>
        <w:t>,</w:t>
      </w:r>
      <w:r w:rsidR="00372EAE" w:rsidRPr="007E73E2">
        <w:rPr>
          <w:rFonts w:eastAsia="SimSun"/>
          <w:lang w:eastAsia="en-US"/>
        </w:rPr>
        <w:t xml:space="preserve"> such as the very-high-bit-rat</w:t>
      </w:r>
      <w:r w:rsidR="0071508A">
        <w:rPr>
          <w:rFonts w:eastAsia="SimSun"/>
          <w:lang w:eastAsia="en-US"/>
        </w:rPr>
        <w:t>e digital subscriber line</w:t>
      </w:r>
      <w:r w:rsidR="00372EAE" w:rsidRPr="007E73E2">
        <w:rPr>
          <w:rFonts w:eastAsia="SimSun"/>
          <w:lang w:eastAsia="en-US"/>
        </w:rPr>
        <w:t xml:space="preserve"> service</w:t>
      </w:r>
      <w:r>
        <w:rPr>
          <w:rFonts w:eastAsia="SimSun"/>
          <w:lang w:eastAsia="en-US"/>
        </w:rPr>
        <w:t>,</w:t>
      </w:r>
      <w:r w:rsidR="00372EAE" w:rsidRPr="007E73E2">
        <w:rPr>
          <w:rFonts w:eastAsia="SimSun"/>
          <w:lang w:eastAsia="en-US"/>
        </w:rPr>
        <w:t xml:space="preserve"> should</w:t>
      </w:r>
      <w:r w:rsidR="0071508A">
        <w:rPr>
          <w:rFonts w:eastAsia="SimSun"/>
          <w:lang w:eastAsia="en-US"/>
        </w:rPr>
        <w:t xml:space="preserve"> be declared and regulated</w:t>
      </w:r>
      <w:r w:rsidR="00372EAE" w:rsidRPr="007E73E2">
        <w:rPr>
          <w:rFonts w:eastAsia="SimSun"/>
          <w:lang w:eastAsia="en-US"/>
        </w:rPr>
        <w:t>.</w:t>
      </w:r>
    </w:p>
    <w:p w14:paraId="2DE5AF25" w14:textId="387BCE67" w:rsidR="00372EAE" w:rsidRPr="007E73E2" w:rsidRDefault="00372EAE" w:rsidP="00372EAE">
      <w:pPr>
        <w:pStyle w:val="ListBullet"/>
        <w:rPr>
          <w:rFonts w:eastAsia="SimSun"/>
          <w:lang w:eastAsia="en-US"/>
        </w:rPr>
      </w:pPr>
      <w:r w:rsidRPr="007E73E2">
        <w:rPr>
          <w:rFonts w:eastAsia="SimSun"/>
          <w:lang w:eastAsia="en-US"/>
        </w:rPr>
        <w:t>Issuing telecommunications annual report</w:t>
      </w:r>
      <w:r w:rsidR="00223DBD">
        <w:rPr>
          <w:rFonts w:eastAsia="SimSun"/>
          <w:lang w:eastAsia="en-US"/>
        </w:rPr>
        <w:t>,</w:t>
      </w:r>
      <w:r w:rsidRPr="007E73E2">
        <w:rPr>
          <w:rFonts w:eastAsia="SimSun"/>
          <w:lang w:eastAsia="en-US"/>
        </w:rPr>
        <w:t xml:space="preserve"> </w:t>
      </w:r>
      <w:r w:rsidRPr="00AE2FD7">
        <w:rPr>
          <w:rFonts w:eastAsia="SimSun"/>
          <w:lang w:eastAsia="en-US"/>
        </w:rPr>
        <w:t>Changes in the prices paid for telecommunications services in Australia 2013–14</w:t>
      </w:r>
      <w:r w:rsidR="00223DBD" w:rsidRPr="00AE2FD7">
        <w:rPr>
          <w:rFonts w:eastAsia="SimSun"/>
          <w:lang w:eastAsia="en-US"/>
        </w:rPr>
        <w:t>.</w:t>
      </w:r>
    </w:p>
    <w:p w14:paraId="5F7CFC2D" w14:textId="00AA196B" w:rsidR="00372EAE" w:rsidRPr="007E73E2" w:rsidRDefault="00223DBD" w:rsidP="00372EAE">
      <w:pPr>
        <w:pStyle w:val="ListBullet"/>
        <w:rPr>
          <w:rFonts w:eastAsia="SimSun"/>
          <w:lang w:eastAsia="en-US"/>
        </w:rPr>
      </w:pPr>
      <w:r>
        <w:rPr>
          <w:rFonts w:eastAsia="SimSun"/>
          <w:lang w:eastAsia="en-US"/>
        </w:rPr>
        <w:t>P</w:t>
      </w:r>
      <w:r w:rsidR="00372EAE" w:rsidRPr="007E73E2">
        <w:rPr>
          <w:rFonts w:eastAsia="SimSun"/>
          <w:lang w:eastAsia="en-US"/>
        </w:rPr>
        <w:t xml:space="preserve">roviding advice to other government agencies and departments on request. </w:t>
      </w:r>
    </w:p>
    <w:p w14:paraId="58E32D1A" w14:textId="189DC2BD" w:rsidR="00372EAE" w:rsidRPr="007E73E2" w:rsidRDefault="00223DBD" w:rsidP="00372EAE">
      <w:pPr>
        <w:pStyle w:val="ListBullet"/>
        <w:rPr>
          <w:rFonts w:eastAsia="SimSun"/>
          <w:lang w:eastAsia="en-US"/>
        </w:rPr>
      </w:pPr>
      <w:r>
        <w:rPr>
          <w:rFonts w:eastAsia="SimSun"/>
          <w:lang w:eastAsia="en-US"/>
        </w:rPr>
        <w:t>C</w:t>
      </w:r>
      <w:r w:rsidRPr="007E73E2">
        <w:rPr>
          <w:rFonts w:eastAsia="SimSun"/>
          <w:lang w:eastAsia="en-US"/>
        </w:rPr>
        <w:t>onsult</w:t>
      </w:r>
      <w:r>
        <w:rPr>
          <w:rFonts w:eastAsia="SimSun"/>
          <w:lang w:eastAsia="en-US"/>
        </w:rPr>
        <w:t>ation</w:t>
      </w:r>
      <w:r w:rsidRPr="007E73E2">
        <w:rPr>
          <w:rFonts w:eastAsia="SimSun"/>
          <w:lang w:eastAsia="en-US"/>
        </w:rPr>
        <w:t xml:space="preserve"> </w:t>
      </w:r>
      <w:r w:rsidR="00372EAE" w:rsidRPr="007E73E2">
        <w:rPr>
          <w:rFonts w:eastAsia="SimSun"/>
          <w:lang w:eastAsia="en-US"/>
        </w:rPr>
        <w:t xml:space="preserve">and industry engagement on a range of regulatory matters, including regulating access to infrastructure to support continuing competition and efficient investment in fixed line, the </w:t>
      </w:r>
      <w:r w:rsidR="0071508A">
        <w:rPr>
          <w:rFonts w:eastAsia="SimSun"/>
          <w:lang w:eastAsia="en-US"/>
        </w:rPr>
        <w:t>Fixed Line Services Model</w:t>
      </w:r>
      <w:r w:rsidR="00372EAE" w:rsidRPr="007E73E2">
        <w:rPr>
          <w:rFonts w:eastAsia="SimSun"/>
          <w:lang w:eastAsia="en-US"/>
        </w:rPr>
        <w:t>, Building Block Model (BBM), Customer Access Network, regulatory accounting framework, BBM data analysis and Weighte</w:t>
      </w:r>
      <w:r w:rsidR="0071508A">
        <w:rPr>
          <w:rFonts w:eastAsia="SimSun"/>
          <w:lang w:eastAsia="en-US"/>
        </w:rPr>
        <w:t>d Average Cost of Capital</w:t>
      </w:r>
      <w:r w:rsidR="00372EAE" w:rsidRPr="007E73E2">
        <w:rPr>
          <w:rFonts w:eastAsia="SimSun"/>
          <w:lang w:eastAsia="en-US"/>
        </w:rPr>
        <w:t xml:space="preserve"> coordination</w:t>
      </w:r>
      <w:r>
        <w:rPr>
          <w:rFonts w:eastAsia="SimSun"/>
          <w:lang w:eastAsia="en-US"/>
        </w:rPr>
        <w:t>.</w:t>
      </w:r>
    </w:p>
    <w:p w14:paraId="1E4627B9" w14:textId="1C110394" w:rsidR="00372EAE" w:rsidRPr="007E73E2" w:rsidRDefault="00223DBD" w:rsidP="00372EAE">
      <w:pPr>
        <w:pStyle w:val="ListBullet"/>
        <w:rPr>
          <w:rFonts w:eastAsia="SimSun"/>
          <w:lang w:eastAsia="en-US"/>
        </w:rPr>
      </w:pPr>
      <w:r>
        <w:rPr>
          <w:rFonts w:eastAsia="SimSun"/>
          <w:lang w:eastAsia="en-US"/>
        </w:rPr>
        <w:t>M</w:t>
      </w:r>
      <w:r w:rsidR="00372EAE" w:rsidRPr="007E73E2">
        <w:rPr>
          <w:rFonts w:eastAsia="SimSun"/>
          <w:lang w:eastAsia="en-US"/>
        </w:rPr>
        <w:t xml:space="preserve">aintaining and collecting data through the Regulatory Accounting Framework </w:t>
      </w:r>
      <w:r>
        <w:rPr>
          <w:rFonts w:eastAsia="SimSun"/>
          <w:lang w:eastAsia="en-US"/>
        </w:rPr>
        <w:t>R</w:t>
      </w:r>
      <w:r w:rsidR="00372EAE" w:rsidRPr="007E73E2">
        <w:rPr>
          <w:rFonts w:eastAsia="SimSun"/>
          <w:lang w:eastAsia="en-US"/>
        </w:rPr>
        <w:t>ecord Keeping Rules</w:t>
      </w:r>
      <w:r>
        <w:rPr>
          <w:rFonts w:eastAsia="SimSun"/>
          <w:lang w:eastAsia="en-US"/>
        </w:rPr>
        <w:t>.</w:t>
      </w:r>
    </w:p>
    <w:p w14:paraId="22EBB8AB" w14:textId="53C2FEFC" w:rsidR="00372EAE" w:rsidRPr="00AE2FD7" w:rsidRDefault="00372EAE" w:rsidP="00AE2FD7">
      <w:pPr>
        <w:pStyle w:val="ListBulletLast"/>
        <w:rPr>
          <w:b/>
          <w:szCs w:val="20"/>
          <w:lang w:eastAsia="en-US"/>
        </w:rPr>
      </w:pPr>
      <w:r w:rsidRPr="007E73E2">
        <w:rPr>
          <w:rFonts w:eastAsia="SimSun"/>
          <w:lang w:eastAsia="en-US"/>
        </w:rPr>
        <w:t>Access Agreements quarterly report lodgement</w:t>
      </w:r>
      <w:r w:rsidR="00223DBD">
        <w:rPr>
          <w:rFonts w:eastAsia="SimSun"/>
          <w:lang w:eastAsia="en-US"/>
        </w:rPr>
        <w:t>.</w:t>
      </w:r>
    </w:p>
    <w:p w14:paraId="481846CC" w14:textId="7ABCE88D" w:rsidR="00372EAE" w:rsidRPr="00597F90" w:rsidRDefault="00372EAE" w:rsidP="00372EAE">
      <w:pPr>
        <w:spacing w:after="80" w:line="240" w:lineRule="auto"/>
        <w:rPr>
          <w:rFonts w:cs="Arial"/>
          <w:b/>
          <w:szCs w:val="20"/>
          <w:lang w:eastAsia="en-US"/>
        </w:rPr>
      </w:pPr>
      <w:r w:rsidRPr="00597F90">
        <w:rPr>
          <w:rFonts w:cs="Arial"/>
          <w:b/>
          <w:szCs w:val="20"/>
          <w:lang w:eastAsia="en-US"/>
        </w:rPr>
        <w:t xml:space="preserve">Other </w:t>
      </w:r>
      <w:r w:rsidR="00223DBD">
        <w:rPr>
          <w:rFonts w:cs="Arial"/>
          <w:b/>
          <w:szCs w:val="20"/>
          <w:lang w:eastAsia="en-US"/>
        </w:rPr>
        <w:t>o</w:t>
      </w:r>
      <w:r w:rsidRPr="00597F90">
        <w:rPr>
          <w:rFonts w:cs="Arial"/>
          <w:b/>
          <w:szCs w:val="20"/>
          <w:lang w:eastAsia="en-US"/>
        </w:rPr>
        <w:t>utputs</w:t>
      </w:r>
    </w:p>
    <w:p w14:paraId="6660CF4E" w14:textId="3C3275B7" w:rsidR="00372EAE" w:rsidRPr="00597F90" w:rsidRDefault="00372EAE" w:rsidP="00372EAE">
      <w:pPr>
        <w:pStyle w:val="ListBullet"/>
        <w:spacing w:after="240"/>
        <w:rPr>
          <w:rFonts w:eastAsia="SimSun"/>
          <w:lang w:eastAsia="en-US"/>
        </w:rPr>
      </w:pPr>
      <w:r w:rsidRPr="00597F90">
        <w:rPr>
          <w:rFonts w:eastAsia="SimSun"/>
          <w:lang w:eastAsia="en-US"/>
        </w:rPr>
        <w:t>All other outputs in relation to the ACCC’s telecommunications functions and powers are considered in this category</w:t>
      </w:r>
      <w:r w:rsidR="00223DBD">
        <w:rPr>
          <w:rFonts w:eastAsia="SimSun"/>
          <w:lang w:eastAsia="en-US"/>
        </w:rPr>
        <w:t>,</w:t>
      </w:r>
      <w:r w:rsidRPr="00597F90">
        <w:rPr>
          <w:rFonts w:eastAsia="SimSun"/>
          <w:lang w:eastAsia="en-US"/>
        </w:rPr>
        <w:t xml:space="preserve"> including strategic liaison and coordination of regulatory affairs.  </w:t>
      </w:r>
    </w:p>
    <w:p w14:paraId="2AFDE351" w14:textId="77777777" w:rsidR="009E783D" w:rsidRPr="003F7E3A" w:rsidRDefault="009E783D" w:rsidP="003F7E3A">
      <w:pPr>
        <w:pStyle w:val="Heading3"/>
      </w:pPr>
      <w:bookmarkStart w:id="45" w:name="_Toc417990951"/>
      <w:bookmarkStart w:id="46" w:name="_Toc454268367"/>
      <w:r w:rsidRPr="003F7E3A">
        <w:t>3.2.2</w:t>
      </w:r>
      <w:r w:rsidRPr="003F7E3A">
        <w:tab/>
        <w:t>Costs of the activity</w:t>
      </w:r>
      <w:bookmarkEnd w:id="45"/>
      <w:bookmarkEnd w:id="46"/>
    </w:p>
    <w:p w14:paraId="69065731" w14:textId="3FB08265" w:rsidR="00A0125E" w:rsidRPr="009A2EB4" w:rsidRDefault="00A0125E" w:rsidP="00A0125E">
      <w:r w:rsidRPr="009A2EB4">
        <w:t xml:space="preserve">The determination of the ACCC’s costs to be recovered under the ACLC is based on a cost allocation model. There has been no change in the methodology used to determine the costs from the previous financial year. Both direct and support (indirect) costs incurred by the ACCC in exercising its telecommunications functions and powers are captured by the model. Telecommunication activities are aligned to discrete cost centres to capture direct costs. Support costs are allocated using an appropriate cost driver (further detail </w:t>
      </w:r>
      <w:r>
        <w:t>on support costs is provided later in this section</w:t>
      </w:r>
      <w:r w:rsidRPr="009A2EB4">
        <w:t xml:space="preserve">). </w:t>
      </w:r>
    </w:p>
    <w:p w14:paraId="334BD88E" w14:textId="6C634425" w:rsidR="00A0125E" w:rsidRDefault="00A0125E" w:rsidP="00A0125E">
      <w:r w:rsidRPr="009A2EB4">
        <w:t>The activity costs produced by the ACCC’s cost allocation model for 2014</w:t>
      </w:r>
      <w:r w:rsidR="00223DBD">
        <w:t>–</w:t>
      </w:r>
      <w:r w:rsidRPr="009A2EB4">
        <w:t xml:space="preserve">15 are based on the cost of services </w:t>
      </w:r>
      <w:r w:rsidR="008779EF">
        <w:t xml:space="preserve">in accordance with </w:t>
      </w:r>
      <w:r w:rsidRPr="009A2EB4">
        <w:t>the ACCC’s 2014</w:t>
      </w:r>
      <w:r w:rsidR="00223DBD">
        <w:t>–</w:t>
      </w:r>
      <w:r w:rsidRPr="009A2EB4">
        <w:t>15 audited financial statements</w:t>
      </w:r>
      <w:r w:rsidR="00223DBD">
        <w:t>.</w:t>
      </w:r>
    </w:p>
    <w:p w14:paraId="7FBF8CAF" w14:textId="373A22DF" w:rsidR="00A0125E" w:rsidRDefault="00A0125E" w:rsidP="00A0125E">
      <w:r w:rsidRPr="00083A83">
        <w:t xml:space="preserve">Table </w:t>
      </w:r>
      <w:r>
        <w:t>5</w:t>
      </w:r>
      <w:r w:rsidRPr="00083A83">
        <w:t xml:space="preserve"> below provides details for the direct costs and support costs of the ACCC’s</w:t>
      </w:r>
      <w:r w:rsidRPr="00AD4C5D">
        <w:t xml:space="preserve"> component at a</w:t>
      </w:r>
      <w:r>
        <w:t>n</w:t>
      </w:r>
      <w:r w:rsidRPr="00AD4C5D">
        <w:t xml:space="preserve"> </w:t>
      </w:r>
      <w:r>
        <w:t>output</w:t>
      </w:r>
      <w:r w:rsidRPr="00AD4C5D">
        <w:t xml:space="preserve"> level</w:t>
      </w:r>
      <w:r w:rsidR="00223DBD">
        <w:t>.</w:t>
      </w:r>
    </w:p>
    <w:p w14:paraId="72851241" w14:textId="77777777" w:rsidR="00A0125E" w:rsidRDefault="00D866D4" w:rsidP="00D866D4">
      <w:pPr>
        <w:pStyle w:val="ACMATableHeader"/>
        <w:keepNext/>
        <w:numPr>
          <w:ilvl w:val="0"/>
          <w:numId w:val="0"/>
        </w:numPr>
      </w:pPr>
      <w:r>
        <w:t>Table 5:</w:t>
      </w:r>
      <w:r>
        <w:tab/>
      </w:r>
      <w:r w:rsidR="00A0125E" w:rsidRPr="00F33E90">
        <w:t>The AC</w:t>
      </w:r>
      <w:r w:rsidR="00A0125E">
        <w:t>CC</w:t>
      </w:r>
      <w:r w:rsidR="00A0125E" w:rsidRPr="00F33E90">
        <w:t xml:space="preserve">’s component at </w:t>
      </w:r>
      <w:r w:rsidR="00A0125E">
        <w:t>output level, 201</w:t>
      </w:r>
      <w:r w:rsidR="00323846">
        <w:t>5</w:t>
      </w:r>
      <w:r w:rsidR="00A0125E">
        <w:t>–1</w:t>
      </w:r>
      <w:r w:rsidR="00323846">
        <w:t>6</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Caption w:val="The ACCC’s component at output level, 2015–16"/>
        <w:tblDescription w:val="Includes the  direct, support and total costs for output activities."/>
      </w:tblPr>
      <w:tblGrid>
        <w:gridCol w:w="4009"/>
        <w:gridCol w:w="1138"/>
        <w:gridCol w:w="1281"/>
        <w:gridCol w:w="1227"/>
      </w:tblGrid>
      <w:tr w:rsidR="00A0125E" w:rsidRPr="00B4771B" w14:paraId="199DB3BA" w14:textId="77777777" w:rsidTr="00AE2FD7">
        <w:trPr>
          <w:trHeight w:val="361"/>
          <w:tblHeader/>
        </w:trPr>
        <w:tc>
          <w:tcPr>
            <w:tcW w:w="4009" w:type="dxa"/>
            <w:shd w:val="clear" w:color="auto" w:fill="404040" w:themeFill="text1" w:themeFillTint="BF"/>
            <w:vAlign w:val="center"/>
          </w:tcPr>
          <w:p w14:paraId="761A2B0A" w14:textId="4C58A059" w:rsidR="00A0125E" w:rsidRPr="00AE2FD7" w:rsidRDefault="00A0125E" w:rsidP="00AE2FD7">
            <w:pPr>
              <w:pStyle w:val="TableHeading"/>
              <w:rPr>
                <w:b w:val="0"/>
                <w:color w:val="FFFFFF" w:themeColor="background1"/>
              </w:rPr>
            </w:pPr>
            <w:r w:rsidRPr="00AE2FD7">
              <w:rPr>
                <w:color w:val="FFFFFF" w:themeColor="background1"/>
              </w:rPr>
              <w:t xml:space="preserve">Output </w:t>
            </w:r>
            <w:r w:rsidR="00223DBD" w:rsidRPr="00AE2FD7">
              <w:rPr>
                <w:color w:val="FFFFFF" w:themeColor="background1"/>
              </w:rPr>
              <w:t>a</w:t>
            </w:r>
            <w:r w:rsidRPr="00AE2FD7">
              <w:rPr>
                <w:color w:val="FFFFFF" w:themeColor="background1"/>
              </w:rPr>
              <w:t>ctivity</w:t>
            </w:r>
          </w:p>
        </w:tc>
        <w:tc>
          <w:tcPr>
            <w:tcW w:w="1138" w:type="dxa"/>
            <w:shd w:val="clear" w:color="auto" w:fill="404040" w:themeFill="text1" w:themeFillTint="BF"/>
            <w:vAlign w:val="center"/>
          </w:tcPr>
          <w:p w14:paraId="64F22055" w14:textId="77777777" w:rsidR="00A0125E" w:rsidRPr="00AE2FD7" w:rsidRDefault="00A0125E" w:rsidP="00AE2FD7">
            <w:pPr>
              <w:pStyle w:val="TableHeading"/>
              <w:jc w:val="right"/>
              <w:rPr>
                <w:b w:val="0"/>
                <w:color w:val="FFFFFF" w:themeColor="background1"/>
              </w:rPr>
            </w:pPr>
            <w:r w:rsidRPr="00AE2FD7">
              <w:rPr>
                <w:color w:val="FFFFFF" w:themeColor="background1"/>
              </w:rPr>
              <w:t>Direct cost</w:t>
            </w:r>
          </w:p>
        </w:tc>
        <w:tc>
          <w:tcPr>
            <w:tcW w:w="1281" w:type="dxa"/>
            <w:shd w:val="clear" w:color="auto" w:fill="404040" w:themeFill="text1" w:themeFillTint="BF"/>
            <w:vAlign w:val="center"/>
          </w:tcPr>
          <w:p w14:paraId="37CF46E7" w14:textId="77777777" w:rsidR="00A0125E" w:rsidRPr="00AE2FD7" w:rsidRDefault="00A0125E" w:rsidP="00AE2FD7">
            <w:pPr>
              <w:pStyle w:val="TableHeading"/>
              <w:jc w:val="right"/>
              <w:rPr>
                <w:b w:val="0"/>
                <w:color w:val="FFFFFF" w:themeColor="background1"/>
              </w:rPr>
            </w:pPr>
            <w:r w:rsidRPr="00AE2FD7">
              <w:rPr>
                <w:color w:val="FFFFFF" w:themeColor="background1"/>
              </w:rPr>
              <w:t>Support cost</w:t>
            </w:r>
          </w:p>
        </w:tc>
        <w:tc>
          <w:tcPr>
            <w:tcW w:w="1227" w:type="dxa"/>
            <w:tcBorders>
              <w:top w:val="single" w:sz="6" w:space="0" w:color="auto"/>
            </w:tcBorders>
            <w:shd w:val="clear" w:color="auto" w:fill="404040" w:themeFill="text1" w:themeFillTint="BF"/>
            <w:vAlign w:val="center"/>
          </w:tcPr>
          <w:p w14:paraId="25DFE695" w14:textId="70905623" w:rsidR="00A0125E" w:rsidRPr="00AE2FD7" w:rsidRDefault="00A0125E" w:rsidP="00AE2FD7">
            <w:pPr>
              <w:pStyle w:val="TableHeading"/>
              <w:jc w:val="right"/>
              <w:rPr>
                <w:b w:val="0"/>
                <w:color w:val="FFFFFF" w:themeColor="background1"/>
              </w:rPr>
            </w:pPr>
            <w:r w:rsidRPr="00AE2FD7">
              <w:rPr>
                <w:color w:val="FFFFFF" w:themeColor="background1"/>
              </w:rPr>
              <w:t xml:space="preserve">Total </w:t>
            </w:r>
            <w:r w:rsidR="00223DBD">
              <w:rPr>
                <w:color w:val="FFFFFF" w:themeColor="background1"/>
              </w:rPr>
              <w:br/>
            </w:r>
            <w:r w:rsidRPr="00AE2FD7">
              <w:rPr>
                <w:color w:val="FFFFFF" w:themeColor="background1"/>
              </w:rPr>
              <w:t>cost</w:t>
            </w:r>
          </w:p>
        </w:tc>
      </w:tr>
      <w:tr w:rsidR="00A0125E" w:rsidRPr="00B4771B" w14:paraId="090C59E5" w14:textId="77777777" w:rsidTr="00AE2FD7">
        <w:trPr>
          <w:trHeight w:val="408"/>
        </w:trPr>
        <w:tc>
          <w:tcPr>
            <w:tcW w:w="4009" w:type="dxa"/>
            <w:vAlign w:val="center"/>
          </w:tcPr>
          <w:p w14:paraId="5204B8FE" w14:textId="3114D51F" w:rsidR="00A0125E" w:rsidRPr="00F45CD9" w:rsidRDefault="00A0125E" w:rsidP="00223DBD">
            <w:pPr>
              <w:keepNext/>
              <w:spacing w:after="0"/>
              <w:ind w:right="-142"/>
              <w:rPr>
                <w:rFonts w:cs="Arial"/>
                <w:szCs w:val="20"/>
              </w:rPr>
            </w:pPr>
            <w:r w:rsidRPr="00F70BD3">
              <w:rPr>
                <w:rFonts w:cs="Arial"/>
                <w:szCs w:val="20"/>
              </w:rPr>
              <w:t xml:space="preserve">Industry </w:t>
            </w:r>
            <w:r w:rsidR="00223DBD">
              <w:rPr>
                <w:rFonts w:cs="Arial"/>
                <w:szCs w:val="20"/>
              </w:rPr>
              <w:t>s</w:t>
            </w:r>
            <w:r w:rsidRPr="00F70BD3">
              <w:rPr>
                <w:rFonts w:cs="Arial"/>
                <w:szCs w:val="20"/>
              </w:rPr>
              <w:t xml:space="preserve">tructure </w:t>
            </w:r>
            <w:r w:rsidR="00223DBD">
              <w:rPr>
                <w:rFonts w:cs="Arial"/>
                <w:szCs w:val="20"/>
              </w:rPr>
              <w:t>and</w:t>
            </w:r>
            <w:r w:rsidR="00223DBD" w:rsidRPr="00F70BD3">
              <w:rPr>
                <w:rFonts w:cs="Arial"/>
                <w:szCs w:val="20"/>
              </w:rPr>
              <w:t xml:space="preserve"> </w:t>
            </w:r>
            <w:r w:rsidR="00223DBD">
              <w:rPr>
                <w:rFonts w:cs="Arial"/>
                <w:szCs w:val="20"/>
              </w:rPr>
              <w:t>c</w:t>
            </w:r>
            <w:r w:rsidRPr="00F70BD3">
              <w:rPr>
                <w:rFonts w:cs="Arial"/>
                <w:szCs w:val="20"/>
              </w:rPr>
              <w:t>ompliance</w:t>
            </w:r>
          </w:p>
        </w:tc>
        <w:tc>
          <w:tcPr>
            <w:tcW w:w="1138" w:type="dxa"/>
            <w:vAlign w:val="center"/>
          </w:tcPr>
          <w:p w14:paraId="1A39BA9F" w14:textId="77777777" w:rsidR="00A0125E" w:rsidRDefault="00A0125E" w:rsidP="0090217E">
            <w:pPr>
              <w:keepNext/>
              <w:spacing w:after="0"/>
              <w:jc w:val="right"/>
              <w:rPr>
                <w:rFonts w:cs="Arial"/>
                <w:color w:val="000000"/>
                <w:szCs w:val="20"/>
              </w:rPr>
            </w:pPr>
            <w:r>
              <w:t>$</w:t>
            </w:r>
            <w:r w:rsidRPr="00F6403C">
              <w:t>2</w:t>
            </w:r>
            <w:r>
              <w:t>,</w:t>
            </w:r>
            <w:r w:rsidRPr="00F6403C">
              <w:t>446</w:t>
            </w:r>
            <w:r>
              <w:t>,</w:t>
            </w:r>
            <w:r w:rsidRPr="00F6403C">
              <w:t>829</w:t>
            </w:r>
          </w:p>
        </w:tc>
        <w:tc>
          <w:tcPr>
            <w:tcW w:w="1281" w:type="dxa"/>
            <w:vAlign w:val="center"/>
          </w:tcPr>
          <w:p w14:paraId="33B93124" w14:textId="77777777" w:rsidR="00A0125E" w:rsidRDefault="00A0125E" w:rsidP="0090217E">
            <w:pPr>
              <w:keepNext/>
              <w:spacing w:after="0"/>
              <w:jc w:val="right"/>
              <w:rPr>
                <w:rFonts w:cs="Arial"/>
                <w:color w:val="000000"/>
                <w:szCs w:val="20"/>
              </w:rPr>
            </w:pPr>
            <w:r>
              <w:t>$</w:t>
            </w:r>
            <w:r w:rsidRPr="00C1396C">
              <w:t>1</w:t>
            </w:r>
            <w:r>
              <w:t>,</w:t>
            </w:r>
            <w:r w:rsidRPr="00C1396C">
              <w:t>865</w:t>
            </w:r>
            <w:r>
              <w:t>,</w:t>
            </w:r>
            <w:r w:rsidRPr="00C1396C">
              <w:t>871</w:t>
            </w:r>
          </w:p>
        </w:tc>
        <w:tc>
          <w:tcPr>
            <w:tcW w:w="1227" w:type="dxa"/>
            <w:vAlign w:val="center"/>
          </w:tcPr>
          <w:p w14:paraId="629F0193" w14:textId="77777777" w:rsidR="00A0125E" w:rsidRDefault="00A0125E" w:rsidP="0090217E">
            <w:pPr>
              <w:keepNext/>
              <w:spacing w:after="0"/>
              <w:jc w:val="right"/>
              <w:rPr>
                <w:rFonts w:cs="Arial"/>
                <w:color w:val="000000"/>
                <w:szCs w:val="20"/>
              </w:rPr>
            </w:pPr>
            <w:r>
              <w:t>$</w:t>
            </w:r>
            <w:r w:rsidRPr="00DE5D6A">
              <w:t>4</w:t>
            </w:r>
            <w:r>
              <w:t>,</w:t>
            </w:r>
            <w:r w:rsidRPr="00DE5D6A">
              <w:t>312</w:t>
            </w:r>
            <w:r>
              <w:t>,</w:t>
            </w:r>
            <w:r w:rsidRPr="00DE5D6A">
              <w:t>700</w:t>
            </w:r>
          </w:p>
        </w:tc>
      </w:tr>
      <w:tr w:rsidR="00A0125E" w:rsidRPr="00B4771B" w14:paraId="22F18CE2" w14:textId="77777777" w:rsidTr="00AE2FD7">
        <w:trPr>
          <w:trHeight w:val="414"/>
        </w:trPr>
        <w:tc>
          <w:tcPr>
            <w:tcW w:w="4009" w:type="dxa"/>
            <w:vAlign w:val="center"/>
          </w:tcPr>
          <w:p w14:paraId="39E1527A" w14:textId="5672F78D" w:rsidR="00A0125E" w:rsidRPr="00F45CD9" w:rsidRDefault="00A0125E" w:rsidP="0090217E">
            <w:pPr>
              <w:keepNext/>
              <w:spacing w:after="0"/>
              <w:ind w:right="-142"/>
              <w:rPr>
                <w:rFonts w:cs="Arial"/>
                <w:szCs w:val="20"/>
              </w:rPr>
            </w:pPr>
            <w:r w:rsidRPr="00F70BD3">
              <w:rPr>
                <w:rFonts w:cs="Arial"/>
                <w:szCs w:val="20"/>
              </w:rPr>
              <w:t xml:space="preserve">Mobiles, </w:t>
            </w:r>
            <w:r w:rsidR="00223DBD">
              <w:rPr>
                <w:rFonts w:cs="Arial"/>
                <w:szCs w:val="20"/>
              </w:rPr>
              <w:t>t</w:t>
            </w:r>
            <w:r w:rsidRPr="00F70BD3">
              <w:rPr>
                <w:rFonts w:cs="Arial"/>
                <w:szCs w:val="20"/>
              </w:rPr>
              <w:t xml:space="preserve">ransmission and </w:t>
            </w:r>
            <w:r w:rsidR="00223DBD">
              <w:rPr>
                <w:rFonts w:cs="Arial"/>
                <w:szCs w:val="20"/>
              </w:rPr>
              <w:t>c</w:t>
            </w:r>
            <w:r w:rsidRPr="00F70BD3">
              <w:rPr>
                <w:rFonts w:cs="Arial"/>
                <w:szCs w:val="20"/>
              </w:rPr>
              <w:t>onsumer</w:t>
            </w:r>
            <w:r>
              <w:rPr>
                <w:rFonts w:cs="Arial"/>
                <w:szCs w:val="20"/>
              </w:rPr>
              <w:t xml:space="preserve"> (including NBN)</w:t>
            </w:r>
          </w:p>
        </w:tc>
        <w:tc>
          <w:tcPr>
            <w:tcW w:w="1138" w:type="dxa"/>
            <w:vAlign w:val="center"/>
          </w:tcPr>
          <w:p w14:paraId="1425D336" w14:textId="77777777" w:rsidR="00A0125E" w:rsidRDefault="00A0125E" w:rsidP="0090217E">
            <w:pPr>
              <w:keepNext/>
              <w:spacing w:after="0"/>
              <w:jc w:val="right"/>
              <w:rPr>
                <w:rFonts w:cs="Arial"/>
                <w:color w:val="000000"/>
                <w:szCs w:val="20"/>
              </w:rPr>
            </w:pPr>
            <w:r>
              <w:t>$</w:t>
            </w:r>
            <w:r w:rsidRPr="00F6403C">
              <w:t>2</w:t>
            </w:r>
            <w:r>
              <w:t>,</w:t>
            </w:r>
            <w:r w:rsidRPr="00F6403C">
              <w:t>667</w:t>
            </w:r>
            <w:r>
              <w:t>,</w:t>
            </w:r>
            <w:r w:rsidRPr="00F6403C">
              <w:t>278</w:t>
            </w:r>
          </w:p>
        </w:tc>
        <w:tc>
          <w:tcPr>
            <w:tcW w:w="1281" w:type="dxa"/>
            <w:vAlign w:val="center"/>
          </w:tcPr>
          <w:p w14:paraId="0A247DA3" w14:textId="77777777" w:rsidR="00A0125E" w:rsidRDefault="00A0125E" w:rsidP="0090217E">
            <w:pPr>
              <w:keepNext/>
              <w:spacing w:after="0"/>
              <w:jc w:val="right"/>
              <w:rPr>
                <w:rFonts w:cs="Arial"/>
                <w:color w:val="000000"/>
                <w:szCs w:val="20"/>
              </w:rPr>
            </w:pPr>
            <w:r>
              <w:t>$</w:t>
            </w:r>
            <w:r w:rsidRPr="00C1396C">
              <w:t>2</w:t>
            </w:r>
            <w:r>
              <w:t>,</w:t>
            </w:r>
            <w:r w:rsidRPr="00C1396C">
              <w:t>033</w:t>
            </w:r>
            <w:r>
              <w:t>,</w:t>
            </w:r>
            <w:r w:rsidRPr="00C1396C">
              <w:t>977</w:t>
            </w:r>
          </w:p>
        </w:tc>
        <w:tc>
          <w:tcPr>
            <w:tcW w:w="1227" w:type="dxa"/>
            <w:vAlign w:val="center"/>
          </w:tcPr>
          <w:p w14:paraId="34F4807A" w14:textId="77777777" w:rsidR="00A0125E" w:rsidRDefault="00A0125E" w:rsidP="0090217E">
            <w:pPr>
              <w:keepNext/>
              <w:spacing w:after="0"/>
              <w:jc w:val="right"/>
              <w:rPr>
                <w:rFonts w:cs="Arial"/>
                <w:color w:val="000000"/>
                <w:szCs w:val="20"/>
              </w:rPr>
            </w:pPr>
            <w:r>
              <w:t>$</w:t>
            </w:r>
            <w:r w:rsidRPr="00DE5D6A">
              <w:t>4</w:t>
            </w:r>
            <w:r>
              <w:t>,</w:t>
            </w:r>
            <w:r w:rsidRPr="00DE5D6A">
              <w:t>701</w:t>
            </w:r>
            <w:r>
              <w:t>,</w:t>
            </w:r>
            <w:r w:rsidRPr="00DE5D6A">
              <w:t>255</w:t>
            </w:r>
          </w:p>
        </w:tc>
      </w:tr>
      <w:tr w:rsidR="00A0125E" w:rsidRPr="00B4771B" w14:paraId="7990F788" w14:textId="77777777" w:rsidTr="00AE2FD7">
        <w:trPr>
          <w:trHeight w:val="420"/>
        </w:trPr>
        <w:tc>
          <w:tcPr>
            <w:tcW w:w="4009" w:type="dxa"/>
            <w:vAlign w:val="center"/>
          </w:tcPr>
          <w:p w14:paraId="27B6754C" w14:textId="53AFBC3C" w:rsidR="00A0125E" w:rsidRPr="00F45CD9" w:rsidRDefault="00A0125E" w:rsidP="0090217E">
            <w:pPr>
              <w:keepNext/>
              <w:spacing w:after="0"/>
              <w:ind w:right="-142"/>
              <w:rPr>
                <w:rFonts w:cs="Arial"/>
                <w:szCs w:val="20"/>
              </w:rPr>
            </w:pPr>
            <w:r w:rsidRPr="00F70BD3">
              <w:rPr>
                <w:rFonts w:cs="Arial"/>
                <w:szCs w:val="20"/>
              </w:rPr>
              <w:t xml:space="preserve">Wireline </w:t>
            </w:r>
            <w:r w:rsidR="00223DBD">
              <w:rPr>
                <w:rFonts w:cs="Arial"/>
                <w:szCs w:val="20"/>
              </w:rPr>
              <w:t>m</w:t>
            </w:r>
            <w:r w:rsidRPr="00F70BD3">
              <w:rPr>
                <w:rFonts w:cs="Arial"/>
                <w:szCs w:val="20"/>
              </w:rPr>
              <w:t>arkets</w:t>
            </w:r>
          </w:p>
        </w:tc>
        <w:tc>
          <w:tcPr>
            <w:tcW w:w="1138" w:type="dxa"/>
            <w:vAlign w:val="center"/>
          </w:tcPr>
          <w:p w14:paraId="1DBEAB1F" w14:textId="77777777" w:rsidR="00A0125E" w:rsidRDefault="00A0125E" w:rsidP="0090217E">
            <w:pPr>
              <w:keepNext/>
              <w:spacing w:after="0"/>
              <w:jc w:val="right"/>
              <w:rPr>
                <w:rFonts w:cs="Arial"/>
                <w:color w:val="000000"/>
                <w:szCs w:val="20"/>
              </w:rPr>
            </w:pPr>
            <w:r>
              <w:t>$</w:t>
            </w:r>
            <w:r w:rsidRPr="00F6403C">
              <w:t>2</w:t>
            </w:r>
            <w:r>
              <w:t>,</w:t>
            </w:r>
            <w:r w:rsidRPr="00F6403C">
              <w:t>535</w:t>
            </w:r>
            <w:r>
              <w:t>,</w:t>
            </w:r>
            <w:r w:rsidRPr="00F6403C">
              <w:t>947</w:t>
            </w:r>
          </w:p>
        </w:tc>
        <w:tc>
          <w:tcPr>
            <w:tcW w:w="1281" w:type="dxa"/>
            <w:vAlign w:val="center"/>
          </w:tcPr>
          <w:p w14:paraId="36B774D1" w14:textId="77777777" w:rsidR="00A0125E" w:rsidRDefault="00A0125E" w:rsidP="0090217E">
            <w:pPr>
              <w:keepNext/>
              <w:spacing w:after="0"/>
              <w:jc w:val="right"/>
              <w:rPr>
                <w:rFonts w:cs="Arial"/>
                <w:color w:val="000000"/>
                <w:szCs w:val="20"/>
              </w:rPr>
            </w:pPr>
            <w:r>
              <w:t>$</w:t>
            </w:r>
            <w:r w:rsidRPr="00C1396C">
              <w:t>1</w:t>
            </w:r>
            <w:r>
              <w:t>,</w:t>
            </w:r>
            <w:r w:rsidRPr="00C1396C">
              <w:t>933</w:t>
            </w:r>
            <w:r>
              <w:t>,</w:t>
            </w:r>
            <w:r w:rsidRPr="00C1396C">
              <w:t>829</w:t>
            </w:r>
          </w:p>
        </w:tc>
        <w:tc>
          <w:tcPr>
            <w:tcW w:w="1227" w:type="dxa"/>
            <w:vAlign w:val="center"/>
          </w:tcPr>
          <w:p w14:paraId="37094460" w14:textId="77777777" w:rsidR="00A0125E" w:rsidRDefault="00A0125E" w:rsidP="0090217E">
            <w:pPr>
              <w:keepNext/>
              <w:spacing w:after="0"/>
              <w:jc w:val="right"/>
              <w:rPr>
                <w:rFonts w:cs="Arial"/>
                <w:color w:val="000000"/>
                <w:szCs w:val="20"/>
              </w:rPr>
            </w:pPr>
            <w:r>
              <w:t>$</w:t>
            </w:r>
            <w:r w:rsidRPr="00DE5D6A">
              <w:t>4</w:t>
            </w:r>
            <w:r>
              <w:t>,</w:t>
            </w:r>
            <w:r w:rsidRPr="00DE5D6A">
              <w:t>469</w:t>
            </w:r>
            <w:r>
              <w:t>,</w:t>
            </w:r>
            <w:r w:rsidRPr="00DE5D6A">
              <w:t>776</w:t>
            </w:r>
          </w:p>
        </w:tc>
      </w:tr>
      <w:tr w:rsidR="00A0125E" w:rsidRPr="00B4771B" w14:paraId="2C594B1D" w14:textId="77777777" w:rsidTr="00AE2FD7">
        <w:trPr>
          <w:trHeight w:val="411"/>
        </w:trPr>
        <w:tc>
          <w:tcPr>
            <w:tcW w:w="4009" w:type="dxa"/>
            <w:tcBorders>
              <w:bottom w:val="single" w:sz="6" w:space="0" w:color="auto"/>
            </w:tcBorders>
            <w:vAlign w:val="center"/>
          </w:tcPr>
          <w:p w14:paraId="49750262" w14:textId="77777777" w:rsidR="00A0125E" w:rsidRPr="00F45CD9" w:rsidRDefault="00A0125E" w:rsidP="0090217E">
            <w:pPr>
              <w:keepNext/>
              <w:spacing w:after="0"/>
              <w:ind w:right="-142"/>
              <w:rPr>
                <w:rFonts w:cs="Arial"/>
                <w:szCs w:val="20"/>
              </w:rPr>
            </w:pPr>
            <w:r w:rsidRPr="00F45CD9">
              <w:rPr>
                <w:rFonts w:cs="Arial"/>
                <w:szCs w:val="20"/>
              </w:rPr>
              <w:t xml:space="preserve">Other </w:t>
            </w:r>
            <w:r>
              <w:rPr>
                <w:rFonts w:cs="Arial"/>
                <w:szCs w:val="20"/>
              </w:rPr>
              <w:t>outputs</w:t>
            </w:r>
          </w:p>
        </w:tc>
        <w:tc>
          <w:tcPr>
            <w:tcW w:w="1138" w:type="dxa"/>
            <w:tcBorders>
              <w:bottom w:val="single" w:sz="6" w:space="0" w:color="auto"/>
            </w:tcBorders>
            <w:vAlign w:val="center"/>
          </w:tcPr>
          <w:p w14:paraId="28E94BAF" w14:textId="77777777" w:rsidR="00A0125E" w:rsidRDefault="00A0125E" w:rsidP="0090217E">
            <w:pPr>
              <w:keepNext/>
              <w:spacing w:after="0"/>
              <w:jc w:val="right"/>
              <w:rPr>
                <w:rFonts w:cs="Arial"/>
                <w:color w:val="000000"/>
                <w:szCs w:val="20"/>
              </w:rPr>
            </w:pPr>
            <w:r>
              <w:t>$</w:t>
            </w:r>
            <w:r w:rsidRPr="00F6403C">
              <w:t>920</w:t>
            </w:r>
            <w:r>
              <w:t>,</w:t>
            </w:r>
            <w:r w:rsidRPr="00F6403C">
              <w:t>777</w:t>
            </w:r>
          </w:p>
        </w:tc>
        <w:tc>
          <w:tcPr>
            <w:tcW w:w="1281" w:type="dxa"/>
            <w:tcBorders>
              <w:bottom w:val="single" w:sz="6" w:space="0" w:color="auto"/>
            </w:tcBorders>
            <w:vAlign w:val="center"/>
          </w:tcPr>
          <w:p w14:paraId="19094980" w14:textId="77777777" w:rsidR="00A0125E" w:rsidRDefault="00A0125E" w:rsidP="0090217E">
            <w:pPr>
              <w:keepNext/>
              <w:spacing w:after="0"/>
              <w:jc w:val="right"/>
              <w:rPr>
                <w:rFonts w:cs="Arial"/>
                <w:color w:val="000000"/>
                <w:szCs w:val="20"/>
              </w:rPr>
            </w:pPr>
            <w:r>
              <w:t>$</w:t>
            </w:r>
            <w:r w:rsidRPr="00C1396C">
              <w:t>702</w:t>
            </w:r>
            <w:r>
              <w:t>,</w:t>
            </w:r>
            <w:r w:rsidRPr="00C1396C">
              <w:t>154</w:t>
            </w:r>
          </w:p>
        </w:tc>
        <w:tc>
          <w:tcPr>
            <w:tcW w:w="1227" w:type="dxa"/>
            <w:tcBorders>
              <w:bottom w:val="single" w:sz="6" w:space="0" w:color="auto"/>
            </w:tcBorders>
            <w:vAlign w:val="center"/>
          </w:tcPr>
          <w:p w14:paraId="14556D93" w14:textId="77777777" w:rsidR="00A0125E" w:rsidRDefault="00A0125E" w:rsidP="0090217E">
            <w:pPr>
              <w:keepNext/>
              <w:spacing w:after="0"/>
              <w:jc w:val="right"/>
              <w:rPr>
                <w:rFonts w:cs="Arial"/>
                <w:color w:val="000000"/>
                <w:szCs w:val="20"/>
              </w:rPr>
            </w:pPr>
            <w:r>
              <w:t>$</w:t>
            </w:r>
            <w:r w:rsidRPr="00DE5D6A">
              <w:t>1</w:t>
            </w:r>
            <w:r>
              <w:t>,</w:t>
            </w:r>
            <w:r w:rsidRPr="00DE5D6A">
              <w:t>622</w:t>
            </w:r>
            <w:r>
              <w:t>,</w:t>
            </w:r>
            <w:r w:rsidRPr="00DE5D6A">
              <w:t>931</w:t>
            </w:r>
          </w:p>
        </w:tc>
      </w:tr>
      <w:tr w:rsidR="00A0125E" w:rsidRPr="00B4771B" w14:paraId="12D94441" w14:textId="77777777" w:rsidTr="00AE2FD7">
        <w:trPr>
          <w:trHeight w:val="411"/>
        </w:trPr>
        <w:tc>
          <w:tcPr>
            <w:tcW w:w="4009" w:type="dxa"/>
            <w:shd w:val="clear" w:color="auto" w:fill="D9D9D9" w:themeFill="background1" w:themeFillShade="D9"/>
            <w:vAlign w:val="center"/>
          </w:tcPr>
          <w:p w14:paraId="78A35F8A" w14:textId="77777777" w:rsidR="00A0125E" w:rsidRPr="00F45CD9" w:rsidRDefault="00A0125E" w:rsidP="0090217E">
            <w:pPr>
              <w:keepNext/>
              <w:spacing w:after="0"/>
              <w:rPr>
                <w:rFonts w:cs="Arial"/>
                <w:b/>
                <w:iCs/>
                <w:color w:val="000000" w:themeColor="text1"/>
                <w:szCs w:val="20"/>
              </w:rPr>
            </w:pPr>
            <w:r w:rsidRPr="00F45CD9">
              <w:rPr>
                <w:rFonts w:cs="Arial"/>
                <w:b/>
                <w:iCs/>
                <w:color w:val="000000" w:themeColor="text1"/>
                <w:szCs w:val="20"/>
              </w:rPr>
              <w:t>Total costs</w:t>
            </w:r>
          </w:p>
        </w:tc>
        <w:tc>
          <w:tcPr>
            <w:tcW w:w="1138" w:type="dxa"/>
            <w:shd w:val="clear" w:color="auto" w:fill="D9D9D9" w:themeFill="background1" w:themeFillShade="D9"/>
            <w:vAlign w:val="center"/>
          </w:tcPr>
          <w:p w14:paraId="2E952054" w14:textId="77777777" w:rsidR="00A0125E" w:rsidRPr="009A2EB4" w:rsidRDefault="00A0125E" w:rsidP="0090217E">
            <w:pPr>
              <w:keepNext/>
              <w:spacing w:after="0"/>
              <w:jc w:val="right"/>
              <w:rPr>
                <w:rFonts w:cs="Arial"/>
                <w:b/>
                <w:bCs/>
                <w:color w:val="000000"/>
                <w:szCs w:val="20"/>
              </w:rPr>
            </w:pPr>
            <w:r>
              <w:rPr>
                <w:b/>
              </w:rPr>
              <w:t>$</w:t>
            </w:r>
            <w:r w:rsidRPr="009A2EB4">
              <w:rPr>
                <w:b/>
              </w:rPr>
              <w:t>8</w:t>
            </w:r>
            <w:r>
              <w:rPr>
                <w:b/>
              </w:rPr>
              <w:t>,</w:t>
            </w:r>
            <w:r w:rsidRPr="009A2EB4">
              <w:rPr>
                <w:b/>
              </w:rPr>
              <w:t>570</w:t>
            </w:r>
            <w:r>
              <w:rPr>
                <w:b/>
              </w:rPr>
              <w:t>,</w:t>
            </w:r>
            <w:r w:rsidRPr="009A2EB4">
              <w:rPr>
                <w:b/>
              </w:rPr>
              <w:t>831</w:t>
            </w:r>
          </w:p>
        </w:tc>
        <w:tc>
          <w:tcPr>
            <w:tcW w:w="1281" w:type="dxa"/>
            <w:shd w:val="clear" w:color="auto" w:fill="D9D9D9" w:themeFill="background1" w:themeFillShade="D9"/>
            <w:vAlign w:val="center"/>
          </w:tcPr>
          <w:p w14:paraId="2A05FF46" w14:textId="77777777" w:rsidR="00A0125E" w:rsidRPr="009A2EB4" w:rsidRDefault="00A0125E" w:rsidP="0090217E">
            <w:pPr>
              <w:keepNext/>
              <w:spacing w:after="0"/>
              <w:jc w:val="right"/>
              <w:rPr>
                <w:rFonts w:cs="Arial"/>
                <w:b/>
                <w:bCs/>
                <w:color w:val="000000"/>
                <w:szCs w:val="20"/>
              </w:rPr>
            </w:pPr>
            <w:r>
              <w:rPr>
                <w:b/>
              </w:rPr>
              <w:t>$</w:t>
            </w:r>
            <w:r w:rsidRPr="009A2EB4">
              <w:rPr>
                <w:b/>
              </w:rPr>
              <w:t>6</w:t>
            </w:r>
            <w:r>
              <w:rPr>
                <w:b/>
              </w:rPr>
              <w:t>,</w:t>
            </w:r>
            <w:r w:rsidRPr="009A2EB4">
              <w:rPr>
                <w:b/>
              </w:rPr>
              <w:t>535</w:t>
            </w:r>
            <w:r>
              <w:rPr>
                <w:b/>
              </w:rPr>
              <w:t>,</w:t>
            </w:r>
            <w:r w:rsidRPr="009A2EB4">
              <w:rPr>
                <w:b/>
              </w:rPr>
              <w:t>831</w:t>
            </w:r>
          </w:p>
        </w:tc>
        <w:tc>
          <w:tcPr>
            <w:tcW w:w="1227" w:type="dxa"/>
            <w:shd w:val="clear" w:color="auto" w:fill="D9D9D9" w:themeFill="background1" w:themeFillShade="D9"/>
            <w:vAlign w:val="center"/>
          </w:tcPr>
          <w:p w14:paraId="431EE238" w14:textId="77777777" w:rsidR="00A0125E" w:rsidRPr="009A2EB4" w:rsidRDefault="00A0125E" w:rsidP="0090217E">
            <w:pPr>
              <w:keepNext/>
              <w:spacing w:after="0"/>
              <w:jc w:val="right"/>
              <w:rPr>
                <w:rFonts w:cs="Arial"/>
                <w:b/>
                <w:bCs/>
                <w:color w:val="000000"/>
                <w:szCs w:val="20"/>
              </w:rPr>
            </w:pPr>
            <w:r>
              <w:rPr>
                <w:b/>
              </w:rPr>
              <w:t>$</w:t>
            </w:r>
            <w:r w:rsidRPr="009A2EB4">
              <w:rPr>
                <w:b/>
              </w:rPr>
              <w:t>15</w:t>
            </w:r>
            <w:r>
              <w:rPr>
                <w:b/>
              </w:rPr>
              <w:t>,</w:t>
            </w:r>
            <w:r w:rsidRPr="009A2EB4">
              <w:rPr>
                <w:b/>
              </w:rPr>
              <w:t>106</w:t>
            </w:r>
            <w:r>
              <w:rPr>
                <w:b/>
              </w:rPr>
              <w:t>,</w:t>
            </w:r>
            <w:r w:rsidRPr="009A2EB4">
              <w:rPr>
                <w:b/>
              </w:rPr>
              <w:t>662</w:t>
            </w:r>
          </w:p>
        </w:tc>
      </w:tr>
    </w:tbl>
    <w:p w14:paraId="341C3726" w14:textId="77777777" w:rsidR="00A0125E" w:rsidRPr="009A2EB4" w:rsidRDefault="00A0125E" w:rsidP="00AE2FD7">
      <w:pPr>
        <w:pStyle w:val="ACMASpaceaftertable"/>
        <w:rPr>
          <w:rFonts w:eastAsia="SimSun"/>
          <w:lang w:eastAsia="en-US"/>
        </w:rPr>
      </w:pPr>
    </w:p>
    <w:p w14:paraId="397C75DC" w14:textId="4A3D3B45" w:rsidR="00A0125E" w:rsidRDefault="00A0125E" w:rsidP="00A0125E">
      <w:pPr>
        <w:rPr>
          <w:rFonts w:eastAsia="SimSun" w:cs="Arial"/>
          <w:szCs w:val="20"/>
          <w:lang w:eastAsia="en-US"/>
        </w:rPr>
      </w:pPr>
      <w:r w:rsidRPr="009A2EB4">
        <w:rPr>
          <w:rFonts w:eastAsia="SimSun" w:cs="Arial"/>
          <w:szCs w:val="20"/>
          <w:lang w:eastAsia="en-US"/>
        </w:rPr>
        <w:lastRenderedPageBreak/>
        <w:t xml:space="preserve">Direct costs are the costs incurred directly by the ACCC’s </w:t>
      </w:r>
      <w:r w:rsidR="00223DBD">
        <w:rPr>
          <w:rFonts w:eastAsia="SimSun" w:cs="Arial"/>
          <w:szCs w:val="20"/>
          <w:lang w:eastAsia="en-US"/>
        </w:rPr>
        <w:t>c</w:t>
      </w:r>
      <w:r w:rsidRPr="009A2EB4">
        <w:rPr>
          <w:rFonts w:eastAsia="SimSun" w:cs="Arial"/>
          <w:szCs w:val="20"/>
          <w:lang w:eastAsia="en-US"/>
        </w:rPr>
        <w:t xml:space="preserve">ommunications function housed within the ACCC’s Infrastructure Regulation Division. These costs are </w:t>
      </w:r>
      <w:r>
        <w:rPr>
          <w:rFonts w:eastAsia="SimSun" w:cs="Arial"/>
          <w:szCs w:val="20"/>
          <w:lang w:eastAsia="en-US"/>
        </w:rPr>
        <w:t xml:space="preserve">attributed to </w:t>
      </w:r>
      <w:r w:rsidRPr="009A2EB4">
        <w:rPr>
          <w:rFonts w:eastAsia="SimSun" w:cs="Arial"/>
          <w:szCs w:val="20"/>
          <w:lang w:eastAsia="en-US"/>
        </w:rPr>
        <w:t xml:space="preserve">discrete cost centres aligned with the </w:t>
      </w:r>
      <w:r>
        <w:rPr>
          <w:rFonts w:eastAsia="SimSun" w:cs="Arial"/>
          <w:szCs w:val="20"/>
          <w:lang w:eastAsia="en-US"/>
        </w:rPr>
        <w:t xml:space="preserve">telecommunication </w:t>
      </w:r>
      <w:r w:rsidRPr="009A2EB4">
        <w:rPr>
          <w:rFonts w:eastAsia="SimSun" w:cs="Arial"/>
          <w:szCs w:val="20"/>
          <w:lang w:eastAsia="en-US"/>
        </w:rPr>
        <w:t>output activities</w:t>
      </w:r>
      <w:r>
        <w:rPr>
          <w:rFonts w:eastAsia="SimSun" w:cs="Arial"/>
          <w:szCs w:val="20"/>
          <w:lang w:eastAsia="en-US"/>
        </w:rPr>
        <w:t xml:space="preserve">. </w:t>
      </w:r>
      <w:r w:rsidRPr="009A2EB4">
        <w:rPr>
          <w:rFonts w:eastAsia="SimSun" w:cs="Arial"/>
          <w:szCs w:val="20"/>
          <w:lang w:eastAsia="en-US"/>
        </w:rPr>
        <w:t>The</w:t>
      </w:r>
      <w:r w:rsidR="00DA5037">
        <w:rPr>
          <w:rFonts w:eastAsia="SimSun" w:cs="Arial"/>
          <w:szCs w:val="20"/>
          <w:lang w:eastAsia="en-US"/>
        </w:rPr>
        <w:t xml:space="preserve">y </w:t>
      </w:r>
      <w:r w:rsidRPr="009A2EB4">
        <w:rPr>
          <w:rFonts w:eastAsia="SimSun" w:cs="Arial"/>
          <w:szCs w:val="20"/>
          <w:lang w:eastAsia="en-US"/>
        </w:rPr>
        <w:t xml:space="preserve">include staff salaries and other expenses in relation to the </w:t>
      </w:r>
      <w:r w:rsidR="00DA5037">
        <w:rPr>
          <w:rFonts w:eastAsia="SimSun" w:cs="Arial"/>
          <w:szCs w:val="20"/>
          <w:lang w:eastAsia="en-US"/>
        </w:rPr>
        <w:t>c</w:t>
      </w:r>
      <w:r w:rsidRPr="009A2EB4">
        <w:rPr>
          <w:rFonts w:eastAsia="SimSun" w:cs="Arial"/>
          <w:szCs w:val="20"/>
          <w:lang w:eastAsia="en-US"/>
        </w:rPr>
        <w:t>ommunications function carrying out their activities (for example, contractors, consultants, suppliers,</w:t>
      </w:r>
      <w:r>
        <w:rPr>
          <w:rFonts w:eastAsia="SimSun" w:cs="Arial"/>
          <w:szCs w:val="20"/>
          <w:lang w:eastAsia="en-US"/>
        </w:rPr>
        <w:t xml:space="preserve"> travel and office consumables). An annual review of </w:t>
      </w:r>
      <w:r w:rsidR="00DA5037">
        <w:rPr>
          <w:rFonts w:eastAsia="SimSun" w:cs="Arial"/>
          <w:szCs w:val="20"/>
          <w:lang w:eastAsia="en-US"/>
        </w:rPr>
        <w:t>e</w:t>
      </w:r>
      <w:r w:rsidRPr="009A2EB4">
        <w:rPr>
          <w:rFonts w:eastAsia="SimSun" w:cs="Arial"/>
          <w:szCs w:val="20"/>
          <w:lang w:eastAsia="en-US"/>
        </w:rPr>
        <w:t>xecutive effort</w:t>
      </w:r>
      <w:r>
        <w:rPr>
          <w:rFonts w:eastAsia="SimSun" w:cs="Arial"/>
          <w:szCs w:val="20"/>
          <w:lang w:eastAsia="en-US"/>
        </w:rPr>
        <w:t xml:space="preserve"> related to the telecommunication function provides a consistent approach for capturing costs into allocation model.</w:t>
      </w:r>
    </w:p>
    <w:p w14:paraId="76C25694" w14:textId="21696821" w:rsidR="00A0125E" w:rsidRDefault="00A0125E" w:rsidP="000C50DA">
      <w:pPr>
        <w:spacing w:after="80"/>
        <w:rPr>
          <w:rFonts w:eastAsia="SimSun" w:cs="Arial"/>
          <w:szCs w:val="20"/>
          <w:lang w:eastAsia="en-US"/>
        </w:rPr>
      </w:pPr>
      <w:r w:rsidRPr="009A2EB4">
        <w:rPr>
          <w:rFonts w:eastAsia="SimSun" w:cs="Arial"/>
          <w:szCs w:val="20"/>
          <w:lang w:eastAsia="en-US"/>
        </w:rPr>
        <w:t xml:space="preserve">The support costs are the costs incurred by the ACCC’s </w:t>
      </w:r>
      <w:r>
        <w:rPr>
          <w:rFonts w:eastAsia="SimSun" w:cs="Arial"/>
          <w:szCs w:val="20"/>
          <w:lang w:eastAsia="en-US"/>
        </w:rPr>
        <w:t>corporate divisions</w:t>
      </w:r>
      <w:r w:rsidRPr="00136822">
        <w:rPr>
          <w:rFonts w:cs="Arial"/>
          <w:lang w:eastAsia="en-US"/>
        </w:rPr>
        <w:t xml:space="preserve"> </w:t>
      </w:r>
      <w:r w:rsidRPr="009A2EB4">
        <w:rPr>
          <w:rFonts w:cs="Arial"/>
          <w:lang w:eastAsia="en-US"/>
        </w:rPr>
        <w:t>including finance, human resources, legal, property, IT, and regulatory.</w:t>
      </w:r>
      <w:r w:rsidRPr="00136822">
        <w:rPr>
          <w:rFonts w:cs="Arial"/>
          <w:lang w:eastAsia="en-US"/>
        </w:rPr>
        <w:t xml:space="preserve"> </w:t>
      </w:r>
      <w:r w:rsidRPr="009A2EB4">
        <w:rPr>
          <w:rFonts w:eastAsia="SimSun" w:cs="Arial"/>
          <w:szCs w:val="20"/>
          <w:lang w:eastAsia="en-US"/>
        </w:rPr>
        <w:t>The costs include all support staff salaries and other expenses in relation to corporate support services (for example</w:t>
      </w:r>
      <w:r w:rsidR="00DA5037">
        <w:rPr>
          <w:rFonts w:eastAsia="SimSun" w:cs="Arial"/>
          <w:szCs w:val="20"/>
          <w:lang w:eastAsia="en-US"/>
        </w:rPr>
        <w:t>,</w:t>
      </w:r>
      <w:r w:rsidRPr="009A2EB4">
        <w:rPr>
          <w:rFonts w:eastAsia="SimSun" w:cs="Arial"/>
          <w:szCs w:val="20"/>
          <w:lang w:eastAsia="en-US"/>
        </w:rPr>
        <w:t xml:space="preserve"> consultancies, suppliers, depreciation and property</w:t>
      </w:r>
      <w:r>
        <w:rPr>
          <w:rFonts w:eastAsia="SimSun" w:cs="Arial"/>
          <w:szCs w:val="20"/>
          <w:lang w:eastAsia="en-US"/>
        </w:rPr>
        <w:t>/accommodation</w:t>
      </w:r>
      <w:r w:rsidRPr="009A2EB4">
        <w:rPr>
          <w:rFonts w:eastAsia="SimSun" w:cs="Arial"/>
          <w:szCs w:val="20"/>
          <w:lang w:eastAsia="en-US"/>
        </w:rPr>
        <w:t>).</w:t>
      </w:r>
      <w:r>
        <w:rPr>
          <w:rFonts w:eastAsia="SimSun" w:cs="Arial"/>
          <w:szCs w:val="20"/>
          <w:lang w:eastAsia="en-US"/>
        </w:rPr>
        <w:t xml:space="preserve"> </w:t>
      </w:r>
      <w:r w:rsidRPr="009A2EB4">
        <w:rPr>
          <w:rFonts w:eastAsia="SimSun" w:cs="Arial"/>
          <w:szCs w:val="20"/>
          <w:lang w:eastAsia="en-US"/>
        </w:rPr>
        <w:t>These costs are allocated to activities using three cost drivers: non-legal expenditure, legal expenditure and average staff levels (ASL</w:t>
      </w:r>
      <w:r w:rsidR="00DA5037" w:rsidRPr="009A2EB4">
        <w:rPr>
          <w:rFonts w:eastAsia="SimSun" w:cs="Arial"/>
          <w:szCs w:val="20"/>
          <w:lang w:eastAsia="en-US"/>
        </w:rPr>
        <w:t>)</w:t>
      </w:r>
      <w:r w:rsidR="00DA5037">
        <w:rPr>
          <w:rFonts w:eastAsia="SimSun" w:cs="Arial"/>
          <w:szCs w:val="20"/>
          <w:lang w:eastAsia="en-US"/>
        </w:rPr>
        <w:t>:</w:t>
      </w:r>
      <w:r w:rsidR="00DA5037" w:rsidRPr="009A2EB4">
        <w:rPr>
          <w:rFonts w:eastAsia="SimSun" w:cs="Arial"/>
          <w:szCs w:val="20"/>
          <w:lang w:eastAsia="en-US"/>
        </w:rPr>
        <w:t xml:space="preserve"> </w:t>
      </w:r>
      <w:r w:rsidR="00DA5037">
        <w:rPr>
          <w:rFonts w:eastAsia="SimSun" w:cs="Arial"/>
          <w:szCs w:val="20"/>
          <w:lang w:eastAsia="en-US"/>
        </w:rPr>
        <w:t xml:space="preserve"> </w:t>
      </w:r>
    </w:p>
    <w:p w14:paraId="18806DEB" w14:textId="77777777" w:rsidR="00A0125E" w:rsidRDefault="00A0125E" w:rsidP="000C50DA">
      <w:pPr>
        <w:pStyle w:val="ListBullet"/>
        <w:rPr>
          <w:rFonts w:eastAsia="SimSun"/>
          <w:lang w:eastAsia="en-US"/>
        </w:rPr>
      </w:pPr>
      <w:r>
        <w:rPr>
          <w:rFonts w:eastAsia="SimSun"/>
          <w:lang w:eastAsia="en-US"/>
        </w:rPr>
        <w:t>The non-legal expenditure driver is used to allocate corporate costs not easily attributed to usage or headcount (for example, executive governance, assurance and strategic support).</w:t>
      </w:r>
    </w:p>
    <w:p w14:paraId="1205977B" w14:textId="77777777" w:rsidR="00A0125E" w:rsidRDefault="00A0125E" w:rsidP="000C50DA">
      <w:pPr>
        <w:pStyle w:val="ListBullet"/>
        <w:rPr>
          <w:rFonts w:eastAsia="SimSun"/>
          <w:lang w:eastAsia="en-US"/>
        </w:rPr>
      </w:pPr>
      <w:r w:rsidRPr="007A0FC8">
        <w:rPr>
          <w:rFonts w:eastAsia="SimSun"/>
          <w:lang w:eastAsia="en-US"/>
        </w:rPr>
        <w:t>The ASL driver is used to allocate overhead costs that are driven more by staffing than expenditure (</w:t>
      </w:r>
      <w:r w:rsidR="0071508A">
        <w:rPr>
          <w:rFonts w:eastAsia="SimSun"/>
          <w:lang w:eastAsia="en-US"/>
        </w:rPr>
        <w:t>for example, human resources, I</w:t>
      </w:r>
      <w:r w:rsidRPr="007A0FC8">
        <w:rPr>
          <w:rFonts w:eastAsia="SimSun"/>
          <w:lang w:eastAsia="en-US"/>
        </w:rPr>
        <w:t xml:space="preserve">T support and property costs). </w:t>
      </w:r>
    </w:p>
    <w:p w14:paraId="7B910B9E" w14:textId="77777777" w:rsidR="00A0125E" w:rsidRDefault="00A0125E" w:rsidP="000C50DA">
      <w:pPr>
        <w:pStyle w:val="ListBulletLast"/>
        <w:rPr>
          <w:rFonts w:eastAsia="SimSun"/>
          <w:lang w:eastAsia="en-US"/>
        </w:rPr>
      </w:pPr>
      <w:r>
        <w:rPr>
          <w:rFonts w:eastAsia="SimSun"/>
          <w:lang w:eastAsia="en-US"/>
        </w:rPr>
        <w:t>The legal driver is used to allocate the in-house legal support function based on a proportion of usage.</w:t>
      </w:r>
      <w:r w:rsidRPr="003E11AA">
        <w:rPr>
          <w:rFonts w:eastAsia="SimSun"/>
          <w:lang w:eastAsia="en-US"/>
        </w:rPr>
        <w:t xml:space="preserve"> </w:t>
      </w:r>
    </w:p>
    <w:p w14:paraId="0677A69C" w14:textId="77777777" w:rsidR="00A0125E" w:rsidRDefault="00A0125E" w:rsidP="00A0125E">
      <w:pPr>
        <w:rPr>
          <w:rFonts w:cs="Arial"/>
          <w:lang w:eastAsia="en-US"/>
        </w:rPr>
      </w:pPr>
      <w:r>
        <w:rPr>
          <w:rFonts w:cs="Arial"/>
          <w:lang w:eastAsia="en-US"/>
        </w:rPr>
        <w:t>Table 6</w:t>
      </w:r>
      <w:r w:rsidRPr="00083A83">
        <w:rPr>
          <w:rFonts w:cs="Arial"/>
          <w:lang w:eastAsia="en-US"/>
        </w:rPr>
        <w:t xml:space="preserve"> below sets out the allocation method applied to each of the corporate</w:t>
      </w:r>
      <w:r>
        <w:rPr>
          <w:rFonts w:cs="Arial"/>
          <w:lang w:eastAsia="en-US"/>
        </w:rPr>
        <w:t xml:space="preserve"> categories</w:t>
      </w:r>
      <w:r w:rsidRPr="009A2EB4">
        <w:rPr>
          <w:rFonts w:cs="Arial"/>
          <w:lang w:eastAsia="en-US"/>
        </w:rPr>
        <w:t>.</w:t>
      </w:r>
    </w:p>
    <w:p w14:paraId="373F6C0A" w14:textId="77777777" w:rsidR="00A0125E" w:rsidRPr="009A2EB4" w:rsidRDefault="00D866D4" w:rsidP="00D866D4">
      <w:pPr>
        <w:pStyle w:val="ACMATableHeader"/>
        <w:numPr>
          <w:ilvl w:val="0"/>
          <w:numId w:val="0"/>
        </w:numPr>
        <w:rPr>
          <w:rFonts w:cs="Arial"/>
          <w:color w:val="auto"/>
          <w:lang w:eastAsia="en-US"/>
        </w:rPr>
      </w:pPr>
      <w:r>
        <w:rPr>
          <w:color w:val="auto"/>
        </w:rPr>
        <w:t>Table 6:</w:t>
      </w:r>
      <w:r>
        <w:rPr>
          <w:color w:val="auto"/>
        </w:rPr>
        <w:tab/>
      </w:r>
      <w:r w:rsidR="00A0125E" w:rsidRPr="009A2EB4">
        <w:rPr>
          <w:color w:val="auto"/>
        </w:rPr>
        <w:t>Allocation of ACCC’s support costs</w:t>
      </w:r>
    </w:p>
    <w:tbl>
      <w:tblPr>
        <w:tblStyle w:val="TableGrid"/>
        <w:tblW w:w="7513" w:type="dxa"/>
        <w:tblInd w:w="-5" w:type="dxa"/>
        <w:tblLayout w:type="fixed"/>
        <w:tblCellMar>
          <w:top w:w="57" w:type="dxa"/>
          <w:bottom w:w="57" w:type="dxa"/>
        </w:tblCellMar>
        <w:tblLook w:val="04A0" w:firstRow="1" w:lastRow="0" w:firstColumn="1" w:lastColumn="0" w:noHBand="0" w:noVBand="1"/>
        <w:tblCaption w:val="Allocation of ACCC’s support costs"/>
        <w:tblDescription w:val="Includes categories, cost drivers and allocation methods."/>
      </w:tblPr>
      <w:tblGrid>
        <w:gridCol w:w="2835"/>
        <w:gridCol w:w="1418"/>
        <w:gridCol w:w="3260"/>
      </w:tblGrid>
      <w:tr w:rsidR="00A0125E" w:rsidRPr="009A2EB4" w14:paraId="0E3FC66F" w14:textId="77777777" w:rsidTr="00451B25">
        <w:trPr>
          <w:tblHeader/>
        </w:trPr>
        <w:tc>
          <w:tcPr>
            <w:tcW w:w="2835" w:type="dxa"/>
            <w:shd w:val="clear" w:color="auto" w:fill="404040" w:themeFill="text1" w:themeFillTint="BF"/>
          </w:tcPr>
          <w:p w14:paraId="17208C69" w14:textId="77777777" w:rsidR="00A0125E" w:rsidRPr="00451B25" w:rsidRDefault="00A0125E" w:rsidP="00451B25">
            <w:pPr>
              <w:pStyle w:val="TableHeading"/>
              <w:rPr>
                <w:rFonts w:eastAsia="SimSun"/>
                <w:b w:val="0"/>
                <w:color w:val="FFFFFF" w:themeColor="background1"/>
                <w:lang w:eastAsia="en-US"/>
              </w:rPr>
            </w:pPr>
            <w:r w:rsidRPr="00451B25">
              <w:rPr>
                <w:rFonts w:eastAsia="SimSun"/>
                <w:color w:val="FFFFFF" w:themeColor="background1"/>
                <w:lang w:eastAsia="en-US"/>
              </w:rPr>
              <w:t>Category</w:t>
            </w:r>
          </w:p>
        </w:tc>
        <w:tc>
          <w:tcPr>
            <w:tcW w:w="1418" w:type="dxa"/>
            <w:shd w:val="clear" w:color="auto" w:fill="404040" w:themeFill="text1" w:themeFillTint="BF"/>
          </w:tcPr>
          <w:p w14:paraId="56B74447" w14:textId="1063AD90" w:rsidR="00A0125E" w:rsidRPr="00451B25" w:rsidRDefault="00A0125E" w:rsidP="00451B25">
            <w:pPr>
              <w:pStyle w:val="TableHeading"/>
              <w:rPr>
                <w:rFonts w:eastAsia="SimSun"/>
                <w:b w:val="0"/>
                <w:color w:val="FFFFFF" w:themeColor="background1"/>
                <w:lang w:eastAsia="en-US"/>
              </w:rPr>
            </w:pPr>
            <w:r w:rsidRPr="00451B25">
              <w:rPr>
                <w:rFonts w:eastAsia="SimSun"/>
                <w:color w:val="FFFFFF" w:themeColor="background1"/>
                <w:lang w:eastAsia="en-US"/>
              </w:rPr>
              <w:t xml:space="preserve">Cost </w:t>
            </w:r>
            <w:r w:rsidR="00DA5037" w:rsidRPr="00451B25">
              <w:rPr>
                <w:rFonts w:eastAsia="SimSun"/>
                <w:color w:val="FFFFFF" w:themeColor="background1"/>
                <w:lang w:eastAsia="en-US"/>
              </w:rPr>
              <w:t>d</w:t>
            </w:r>
            <w:r w:rsidRPr="00451B25">
              <w:rPr>
                <w:rFonts w:eastAsia="SimSun"/>
                <w:color w:val="FFFFFF" w:themeColor="background1"/>
                <w:lang w:eastAsia="en-US"/>
              </w:rPr>
              <w:t>river</w:t>
            </w:r>
          </w:p>
        </w:tc>
        <w:tc>
          <w:tcPr>
            <w:tcW w:w="3260" w:type="dxa"/>
            <w:shd w:val="clear" w:color="auto" w:fill="404040" w:themeFill="text1" w:themeFillTint="BF"/>
          </w:tcPr>
          <w:p w14:paraId="4FC3311B" w14:textId="5B06170C" w:rsidR="00A0125E" w:rsidRPr="00451B25" w:rsidRDefault="00A0125E" w:rsidP="00451B25">
            <w:pPr>
              <w:pStyle w:val="TableHeading"/>
              <w:jc w:val="center"/>
              <w:rPr>
                <w:rFonts w:eastAsia="SimSun"/>
                <w:b w:val="0"/>
                <w:color w:val="FFFFFF" w:themeColor="background1"/>
                <w:lang w:eastAsia="en-US"/>
              </w:rPr>
            </w:pPr>
            <w:r w:rsidRPr="00451B25">
              <w:rPr>
                <w:rFonts w:eastAsia="SimSun"/>
                <w:color w:val="FFFFFF" w:themeColor="background1"/>
                <w:lang w:eastAsia="en-US"/>
              </w:rPr>
              <w:t xml:space="preserve">Allocation </w:t>
            </w:r>
            <w:r w:rsidR="00DA5037" w:rsidRPr="00451B25">
              <w:rPr>
                <w:rFonts w:eastAsia="SimSun"/>
                <w:color w:val="FFFFFF" w:themeColor="background1"/>
                <w:lang w:eastAsia="en-US"/>
              </w:rPr>
              <w:t>m</w:t>
            </w:r>
            <w:r w:rsidRPr="00451B25">
              <w:rPr>
                <w:rFonts w:eastAsia="SimSun"/>
                <w:color w:val="FFFFFF" w:themeColor="background1"/>
                <w:lang w:eastAsia="en-US"/>
              </w:rPr>
              <w:t>ethod</w:t>
            </w:r>
          </w:p>
        </w:tc>
      </w:tr>
      <w:tr w:rsidR="00A0125E" w:rsidRPr="009A2EB4" w14:paraId="70D40BA2" w14:textId="77777777" w:rsidTr="00451B25">
        <w:tc>
          <w:tcPr>
            <w:tcW w:w="2835" w:type="dxa"/>
            <w:vAlign w:val="center"/>
          </w:tcPr>
          <w:p w14:paraId="3FAC39D6" w14:textId="77777777" w:rsidR="00A0125E" w:rsidRPr="009A2EB4" w:rsidRDefault="00A0125E" w:rsidP="0090217E">
            <w:pPr>
              <w:spacing w:after="0"/>
              <w:rPr>
                <w:rFonts w:eastAsia="SimSun" w:cs="Arial"/>
                <w:szCs w:val="20"/>
                <w:lang w:eastAsia="en-US"/>
              </w:rPr>
            </w:pPr>
            <w:r w:rsidRPr="009A2EB4">
              <w:rPr>
                <w:rFonts w:cs="Arial"/>
              </w:rPr>
              <w:t>Executive</w:t>
            </w:r>
          </w:p>
        </w:tc>
        <w:tc>
          <w:tcPr>
            <w:tcW w:w="1418" w:type="dxa"/>
            <w:vMerge w:val="restart"/>
            <w:vAlign w:val="center"/>
          </w:tcPr>
          <w:p w14:paraId="4D339258" w14:textId="7818FBA4" w:rsidR="00A0125E" w:rsidRPr="009A2EB4" w:rsidRDefault="00A0125E" w:rsidP="0090217E">
            <w:pPr>
              <w:spacing w:after="0"/>
              <w:jc w:val="center"/>
              <w:rPr>
                <w:rFonts w:eastAsia="SimSun" w:cs="Arial"/>
                <w:szCs w:val="20"/>
                <w:lang w:eastAsia="en-US"/>
              </w:rPr>
            </w:pPr>
            <w:r>
              <w:rPr>
                <w:rFonts w:eastAsia="SimSun" w:cs="Arial"/>
                <w:szCs w:val="20"/>
                <w:lang w:eastAsia="en-US"/>
              </w:rPr>
              <w:t>Non-</w:t>
            </w:r>
            <w:r w:rsidR="00DA5037">
              <w:rPr>
                <w:rFonts w:eastAsia="SimSun" w:cs="Arial"/>
                <w:szCs w:val="20"/>
                <w:lang w:eastAsia="en-US"/>
              </w:rPr>
              <w:t>l</w:t>
            </w:r>
            <w:r>
              <w:rPr>
                <w:rFonts w:eastAsia="SimSun" w:cs="Arial"/>
                <w:szCs w:val="20"/>
                <w:lang w:eastAsia="en-US"/>
              </w:rPr>
              <w:t xml:space="preserve">egal </w:t>
            </w:r>
            <w:r w:rsidR="00DA5037">
              <w:rPr>
                <w:rFonts w:eastAsia="SimSun" w:cs="Arial"/>
                <w:szCs w:val="20"/>
                <w:lang w:eastAsia="en-US"/>
              </w:rPr>
              <w:t>c</w:t>
            </w:r>
            <w:r>
              <w:rPr>
                <w:rFonts w:eastAsia="SimSun" w:cs="Arial"/>
                <w:szCs w:val="20"/>
                <w:lang w:eastAsia="en-US"/>
              </w:rPr>
              <w:t>osts</w:t>
            </w:r>
          </w:p>
        </w:tc>
        <w:tc>
          <w:tcPr>
            <w:tcW w:w="3260" w:type="dxa"/>
            <w:vMerge w:val="restart"/>
            <w:vAlign w:val="center"/>
          </w:tcPr>
          <w:p w14:paraId="4E821E5F" w14:textId="0A78C7E5" w:rsidR="00A0125E" w:rsidRPr="009A2EB4" w:rsidRDefault="00A0125E" w:rsidP="00DA5037">
            <w:pPr>
              <w:spacing w:after="0"/>
              <w:jc w:val="center"/>
              <w:rPr>
                <w:rFonts w:eastAsia="SimSun" w:cs="Arial"/>
                <w:szCs w:val="20"/>
                <w:lang w:eastAsia="en-US"/>
              </w:rPr>
            </w:pPr>
            <w:r>
              <w:rPr>
                <w:rFonts w:eastAsia="SimSun" w:cs="Arial"/>
                <w:szCs w:val="20"/>
                <w:lang w:eastAsia="en-US"/>
              </w:rPr>
              <w:t>Percentage allocation based on the p</w:t>
            </w:r>
            <w:r w:rsidRPr="00A464F6">
              <w:rPr>
                <w:rFonts w:eastAsia="SimSun" w:cs="Arial"/>
                <w:szCs w:val="20"/>
                <w:lang w:eastAsia="en-US"/>
              </w:rPr>
              <w:t xml:space="preserve">roportion of the </w:t>
            </w:r>
            <w:r w:rsidR="00DA5037">
              <w:rPr>
                <w:rFonts w:eastAsia="SimSun" w:cs="Arial"/>
                <w:szCs w:val="20"/>
                <w:lang w:eastAsia="en-US"/>
              </w:rPr>
              <w:t>c</w:t>
            </w:r>
            <w:r w:rsidRPr="00A464F6">
              <w:rPr>
                <w:rFonts w:eastAsia="SimSun" w:cs="Arial"/>
                <w:szCs w:val="20"/>
                <w:lang w:eastAsia="en-US"/>
              </w:rPr>
              <w:t xml:space="preserve">ommunications function </w:t>
            </w:r>
            <w:r>
              <w:rPr>
                <w:rFonts w:eastAsia="SimSun" w:cs="Arial"/>
                <w:szCs w:val="20"/>
                <w:lang w:eastAsia="en-US"/>
              </w:rPr>
              <w:t xml:space="preserve">component </w:t>
            </w:r>
            <w:r w:rsidRPr="00A464F6">
              <w:rPr>
                <w:rFonts w:eastAsia="SimSun" w:cs="Arial"/>
                <w:szCs w:val="20"/>
                <w:lang w:eastAsia="en-US"/>
              </w:rPr>
              <w:t xml:space="preserve">to the ACCC’s operational </w:t>
            </w:r>
            <w:r w:rsidR="00DA5037">
              <w:rPr>
                <w:rFonts w:eastAsia="SimSun" w:cs="Arial"/>
                <w:szCs w:val="20"/>
                <w:lang w:eastAsia="en-US"/>
              </w:rPr>
              <w:t>d</w:t>
            </w:r>
            <w:r w:rsidRPr="00A464F6">
              <w:rPr>
                <w:rFonts w:eastAsia="SimSun" w:cs="Arial"/>
                <w:szCs w:val="20"/>
                <w:lang w:eastAsia="en-US"/>
              </w:rPr>
              <w:t>ivisions</w:t>
            </w:r>
            <w:r>
              <w:rPr>
                <w:rFonts w:eastAsia="SimSun" w:cs="Arial"/>
                <w:szCs w:val="20"/>
                <w:lang w:eastAsia="en-US"/>
              </w:rPr>
              <w:t>* component.</w:t>
            </w:r>
          </w:p>
        </w:tc>
      </w:tr>
      <w:tr w:rsidR="00A0125E" w:rsidRPr="009A2EB4" w14:paraId="54E5FD3B" w14:textId="77777777" w:rsidTr="00451B25">
        <w:tc>
          <w:tcPr>
            <w:tcW w:w="2835" w:type="dxa"/>
            <w:vAlign w:val="center"/>
          </w:tcPr>
          <w:p w14:paraId="11CF3FFD" w14:textId="77777777" w:rsidR="00A0125E" w:rsidRPr="009A2EB4" w:rsidRDefault="00A0125E" w:rsidP="0090217E">
            <w:pPr>
              <w:spacing w:after="0"/>
              <w:rPr>
                <w:rFonts w:eastAsia="SimSun" w:cs="Arial"/>
                <w:szCs w:val="20"/>
                <w:lang w:eastAsia="en-US"/>
              </w:rPr>
            </w:pPr>
            <w:r w:rsidRPr="009A2EB4">
              <w:rPr>
                <w:rFonts w:cs="Arial"/>
              </w:rPr>
              <w:t>Corporate management</w:t>
            </w:r>
          </w:p>
        </w:tc>
        <w:tc>
          <w:tcPr>
            <w:tcW w:w="1418" w:type="dxa"/>
            <w:vMerge/>
            <w:vAlign w:val="center"/>
          </w:tcPr>
          <w:p w14:paraId="56D68362" w14:textId="77777777" w:rsidR="00A0125E" w:rsidRPr="009A2EB4" w:rsidRDefault="00A0125E" w:rsidP="0090217E">
            <w:pPr>
              <w:spacing w:after="0"/>
              <w:jc w:val="right"/>
              <w:rPr>
                <w:rFonts w:eastAsia="SimSun" w:cs="Arial"/>
                <w:szCs w:val="20"/>
                <w:lang w:eastAsia="en-US"/>
              </w:rPr>
            </w:pPr>
          </w:p>
        </w:tc>
        <w:tc>
          <w:tcPr>
            <w:tcW w:w="3260" w:type="dxa"/>
            <w:vMerge/>
            <w:vAlign w:val="center"/>
          </w:tcPr>
          <w:p w14:paraId="7E7B2276" w14:textId="77777777" w:rsidR="00A0125E" w:rsidRPr="009A2EB4" w:rsidRDefault="00A0125E" w:rsidP="0090217E">
            <w:pPr>
              <w:spacing w:after="0"/>
              <w:jc w:val="right"/>
              <w:rPr>
                <w:rFonts w:eastAsia="SimSun" w:cs="Arial"/>
                <w:szCs w:val="20"/>
                <w:lang w:eastAsia="en-US"/>
              </w:rPr>
            </w:pPr>
          </w:p>
        </w:tc>
      </w:tr>
      <w:tr w:rsidR="00A0125E" w:rsidRPr="009A2EB4" w14:paraId="450F584B" w14:textId="77777777" w:rsidTr="00451B25">
        <w:tc>
          <w:tcPr>
            <w:tcW w:w="2835" w:type="dxa"/>
            <w:vAlign w:val="center"/>
          </w:tcPr>
          <w:p w14:paraId="16309DB9" w14:textId="77777777" w:rsidR="00A0125E" w:rsidRPr="009A2EB4" w:rsidRDefault="00A0125E" w:rsidP="0090217E">
            <w:pPr>
              <w:spacing w:after="0"/>
              <w:rPr>
                <w:rFonts w:eastAsia="SimSun" w:cs="Arial"/>
                <w:szCs w:val="20"/>
                <w:lang w:eastAsia="en-US"/>
              </w:rPr>
            </w:pPr>
            <w:r w:rsidRPr="009A2EB4">
              <w:rPr>
                <w:rFonts w:cs="Arial"/>
              </w:rPr>
              <w:t>Corporate services</w:t>
            </w:r>
          </w:p>
        </w:tc>
        <w:tc>
          <w:tcPr>
            <w:tcW w:w="1418" w:type="dxa"/>
            <w:vMerge/>
            <w:vAlign w:val="center"/>
          </w:tcPr>
          <w:p w14:paraId="621F7B27" w14:textId="77777777" w:rsidR="00A0125E" w:rsidRPr="009A2EB4" w:rsidRDefault="00A0125E" w:rsidP="0090217E">
            <w:pPr>
              <w:spacing w:after="0"/>
              <w:jc w:val="right"/>
              <w:rPr>
                <w:rFonts w:eastAsia="SimSun" w:cs="Arial"/>
                <w:szCs w:val="20"/>
                <w:lang w:eastAsia="en-US"/>
              </w:rPr>
            </w:pPr>
          </w:p>
        </w:tc>
        <w:tc>
          <w:tcPr>
            <w:tcW w:w="3260" w:type="dxa"/>
            <w:vMerge/>
            <w:vAlign w:val="center"/>
          </w:tcPr>
          <w:p w14:paraId="6CC462CE" w14:textId="77777777" w:rsidR="00A0125E" w:rsidRPr="009A2EB4" w:rsidRDefault="00A0125E" w:rsidP="0090217E">
            <w:pPr>
              <w:spacing w:after="0"/>
              <w:jc w:val="right"/>
              <w:rPr>
                <w:rFonts w:eastAsia="SimSun" w:cs="Arial"/>
                <w:szCs w:val="20"/>
                <w:lang w:eastAsia="en-US"/>
              </w:rPr>
            </w:pPr>
          </w:p>
        </w:tc>
      </w:tr>
      <w:tr w:rsidR="00A0125E" w:rsidRPr="009A2EB4" w14:paraId="07F7E1C3" w14:textId="77777777" w:rsidTr="00451B25">
        <w:tc>
          <w:tcPr>
            <w:tcW w:w="2835" w:type="dxa"/>
            <w:vAlign w:val="center"/>
          </w:tcPr>
          <w:p w14:paraId="78BB1EF7" w14:textId="77777777" w:rsidR="00A0125E" w:rsidRPr="009A2EB4" w:rsidRDefault="00A0125E" w:rsidP="0090217E">
            <w:pPr>
              <w:spacing w:after="0"/>
              <w:rPr>
                <w:rFonts w:eastAsia="SimSun" w:cs="Arial"/>
                <w:szCs w:val="20"/>
                <w:lang w:eastAsia="en-US"/>
              </w:rPr>
            </w:pPr>
            <w:r w:rsidRPr="009A2EB4">
              <w:rPr>
                <w:rFonts w:cs="Arial"/>
              </w:rPr>
              <w:t>Finance</w:t>
            </w:r>
          </w:p>
        </w:tc>
        <w:tc>
          <w:tcPr>
            <w:tcW w:w="1418" w:type="dxa"/>
            <w:vMerge/>
            <w:vAlign w:val="center"/>
          </w:tcPr>
          <w:p w14:paraId="3D9FF53F" w14:textId="77777777" w:rsidR="00A0125E" w:rsidRPr="009A2EB4" w:rsidRDefault="00A0125E" w:rsidP="0090217E">
            <w:pPr>
              <w:spacing w:after="0"/>
              <w:jc w:val="right"/>
              <w:rPr>
                <w:rFonts w:eastAsia="SimSun" w:cs="Arial"/>
                <w:szCs w:val="20"/>
                <w:lang w:eastAsia="en-US"/>
              </w:rPr>
            </w:pPr>
          </w:p>
        </w:tc>
        <w:tc>
          <w:tcPr>
            <w:tcW w:w="3260" w:type="dxa"/>
            <w:vMerge/>
            <w:vAlign w:val="center"/>
          </w:tcPr>
          <w:p w14:paraId="3C90541E" w14:textId="77777777" w:rsidR="00A0125E" w:rsidRPr="009A2EB4" w:rsidRDefault="00A0125E" w:rsidP="0090217E">
            <w:pPr>
              <w:spacing w:after="0"/>
              <w:jc w:val="right"/>
              <w:rPr>
                <w:rFonts w:eastAsia="SimSun" w:cs="Arial"/>
                <w:szCs w:val="20"/>
                <w:lang w:eastAsia="en-US"/>
              </w:rPr>
            </w:pPr>
          </w:p>
        </w:tc>
      </w:tr>
      <w:tr w:rsidR="00A0125E" w:rsidRPr="009A2EB4" w14:paraId="45B7EDB9" w14:textId="77777777" w:rsidTr="00451B25">
        <w:tc>
          <w:tcPr>
            <w:tcW w:w="2835" w:type="dxa"/>
            <w:vAlign w:val="center"/>
          </w:tcPr>
          <w:p w14:paraId="4B9CA7AB" w14:textId="77777777" w:rsidR="00A0125E" w:rsidRPr="009A2EB4" w:rsidRDefault="00A0125E" w:rsidP="0090217E">
            <w:pPr>
              <w:spacing w:after="0"/>
              <w:rPr>
                <w:rFonts w:eastAsia="SimSun" w:cs="Arial"/>
                <w:szCs w:val="20"/>
                <w:lang w:eastAsia="en-US"/>
              </w:rPr>
            </w:pPr>
            <w:r w:rsidRPr="009A2EB4">
              <w:rPr>
                <w:rFonts w:cs="Arial"/>
              </w:rPr>
              <w:t>Strategic communications</w:t>
            </w:r>
          </w:p>
        </w:tc>
        <w:tc>
          <w:tcPr>
            <w:tcW w:w="1418" w:type="dxa"/>
            <w:vMerge/>
            <w:vAlign w:val="center"/>
          </w:tcPr>
          <w:p w14:paraId="53D91CF1" w14:textId="77777777" w:rsidR="00A0125E" w:rsidRPr="009A2EB4" w:rsidRDefault="00A0125E" w:rsidP="0090217E">
            <w:pPr>
              <w:spacing w:after="0"/>
              <w:jc w:val="right"/>
              <w:rPr>
                <w:rFonts w:eastAsia="SimSun" w:cs="Arial"/>
                <w:szCs w:val="20"/>
                <w:lang w:eastAsia="en-US"/>
              </w:rPr>
            </w:pPr>
          </w:p>
        </w:tc>
        <w:tc>
          <w:tcPr>
            <w:tcW w:w="3260" w:type="dxa"/>
            <w:vMerge/>
            <w:vAlign w:val="center"/>
          </w:tcPr>
          <w:p w14:paraId="4B3830E0" w14:textId="77777777" w:rsidR="00A0125E" w:rsidRPr="009A2EB4" w:rsidRDefault="00A0125E" w:rsidP="0090217E">
            <w:pPr>
              <w:spacing w:after="0"/>
              <w:jc w:val="right"/>
              <w:rPr>
                <w:rFonts w:eastAsia="SimSun" w:cs="Arial"/>
                <w:szCs w:val="20"/>
                <w:lang w:eastAsia="en-US"/>
              </w:rPr>
            </w:pPr>
          </w:p>
        </w:tc>
      </w:tr>
      <w:tr w:rsidR="00A0125E" w:rsidRPr="009A2EB4" w14:paraId="143133BF" w14:textId="77777777" w:rsidTr="00451B25">
        <w:tc>
          <w:tcPr>
            <w:tcW w:w="2835" w:type="dxa"/>
            <w:vAlign w:val="center"/>
          </w:tcPr>
          <w:p w14:paraId="3C279EB6" w14:textId="77777777" w:rsidR="00A0125E" w:rsidRPr="009A2EB4" w:rsidRDefault="00A0125E" w:rsidP="0090217E">
            <w:pPr>
              <w:spacing w:after="0"/>
              <w:rPr>
                <w:rFonts w:eastAsia="SimSun" w:cs="Arial"/>
                <w:szCs w:val="20"/>
                <w:lang w:eastAsia="en-US"/>
              </w:rPr>
            </w:pPr>
            <w:r w:rsidRPr="009A2EB4">
              <w:rPr>
                <w:rFonts w:cs="Arial"/>
              </w:rPr>
              <w:t>Information and technology</w:t>
            </w:r>
          </w:p>
        </w:tc>
        <w:tc>
          <w:tcPr>
            <w:tcW w:w="1418" w:type="dxa"/>
            <w:vMerge w:val="restart"/>
            <w:vAlign w:val="center"/>
          </w:tcPr>
          <w:p w14:paraId="5700710D" w14:textId="77777777" w:rsidR="00A0125E" w:rsidRPr="009A2EB4" w:rsidRDefault="00A0125E" w:rsidP="0090217E">
            <w:pPr>
              <w:spacing w:after="0"/>
              <w:jc w:val="center"/>
              <w:rPr>
                <w:rFonts w:eastAsia="SimSun" w:cs="Arial"/>
                <w:szCs w:val="20"/>
                <w:lang w:eastAsia="en-US"/>
              </w:rPr>
            </w:pPr>
            <w:r>
              <w:rPr>
                <w:rFonts w:eastAsia="SimSun" w:cs="Arial"/>
                <w:szCs w:val="20"/>
                <w:lang w:eastAsia="en-US"/>
              </w:rPr>
              <w:t>ASL</w:t>
            </w:r>
          </w:p>
        </w:tc>
        <w:tc>
          <w:tcPr>
            <w:tcW w:w="3260" w:type="dxa"/>
            <w:vMerge/>
            <w:vAlign w:val="center"/>
          </w:tcPr>
          <w:p w14:paraId="46FDDDC2" w14:textId="77777777" w:rsidR="00A0125E" w:rsidRPr="009A2EB4" w:rsidRDefault="00A0125E" w:rsidP="0090217E">
            <w:pPr>
              <w:spacing w:after="0"/>
              <w:jc w:val="center"/>
              <w:rPr>
                <w:rFonts w:eastAsia="SimSun" w:cs="Arial"/>
                <w:szCs w:val="20"/>
                <w:lang w:eastAsia="en-US"/>
              </w:rPr>
            </w:pPr>
          </w:p>
        </w:tc>
      </w:tr>
      <w:tr w:rsidR="00A0125E" w:rsidRPr="009A2EB4" w14:paraId="4862C214" w14:textId="77777777" w:rsidTr="00451B25">
        <w:tc>
          <w:tcPr>
            <w:tcW w:w="2835" w:type="dxa"/>
            <w:vAlign w:val="center"/>
          </w:tcPr>
          <w:p w14:paraId="3E9AD8D0" w14:textId="77777777" w:rsidR="00A0125E" w:rsidRPr="009A2EB4" w:rsidRDefault="00A0125E" w:rsidP="0090217E">
            <w:pPr>
              <w:spacing w:after="0"/>
              <w:rPr>
                <w:rFonts w:eastAsia="SimSun" w:cs="Arial"/>
                <w:szCs w:val="20"/>
                <w:lang w:eastAsia="en-US"/>
              </w:rPr>
            </w:pPr>
            <w:r w:rsidRPr="009A2EB4">
              <w:rPr>
                <w:rFonts w:cs="Arial"/>
              </w:rPr>
              <w:t>Human resources</w:t>
            </w:r>
          </w:p>
        </w:tc>
        <w:tc>
          <w:tcPr>
            <w:tcW w:w="1418" w:type="dxa"/>
            <w:vMerge/>
            <w:vAlign w:val="center"/>
          </w:tcPr>
          <w:p w14:paraId="557C86C4" w14:textId="77777777" w:rsidR="00A0125E" w:rsidRPr="009A2EB4" w:rsidRDefault="00A0125E" w:rsidP="0090217E">
            <w:pPr>
              <w:spacing w:after="0"/>
              <w:jc w:val="right"/>
              <w:rPr>
                <w:rFonts w:eastAsia="SimSun" w:cs="Arial"/>
                <w:szCs w:val="20"/>
                <w:lang w:eastAsia="en-US"/>
              </w:rPr>
            </w:pPr>
          </w:p>
        </w:tc>
        <w:tc>
          <w:tcPr>
            <w:tcW w:w="3260" w:type="dxa"/>
            <w:vMerge/>
            <w:vAlign w:val="center"/>
          </w:tcPr>
          <w:p w14:paraId="254AF9ED" w14:textId="77777777" w:rsidR="00A0125E" w:rsidRPr="009A2EB4" w:rsidRDefault="00A0125E" w:rsidP="0090217E">
            <w:pPr>
              <w:spacing w:after="0"/>
              <w:jc w:val="center"/>
              <w:rPr>
                <w:rFonts w:eastAsia="SimSun" w:cs="Arial"/>
                <w:szCs w:val="20"/>
                <w:lang w:eastAsia="en-US"/>
              </w:rPr>
            </w:pPr>
          </w:p>
        </w:tc>
      </w:tr>
      <w:tr w:rsidR="00A0125E" w:rsidRPr="009A2EB4" w14:paraId="7E83CA9C" w14:textId="77777777" w:rsidTr="00451B25">
        <w:tc>
          <w:tcPr>
            <w:tcW w:w="2835" w:type="dxa"/>
            <w:vAlign w:val="center"/>
          </w:tcPr>
          <w:p w14:paraId="0FBC4FF6" w14:textId="77777777" w:rsidR="00A0125E" w:rsidRPr="009A2EB4" w:rsidRDefault="00A0125E" w:rsidP="0090217E">
            <w:pPr>
              <w:spacing w:after="0"/>
              <w:rPr>
                <w:rFonts w:eastAsia="SimSun" w:cs="Arial"/>
                <w:szCs w:val="20"/>
                <w:lang w:eastAsia="en-US"/>
              </w:rPr>
            </w:pPr>
            <w:r w:rsidRPr="009A2EB4">
              <w:rPr>
                <w:rFonts w:cs="Arial"/>
              </w:rPr>
              <w:t>Property</w:t>
            </w:r>
          </w:p>
        </w:tc>
        <w:tc>
          <w:tcPr>
            <w:tcW w:w="1418" w:type="dxa"/>
            <w:vMerge/>
            <w:vAlign w:val="center"/>
          </w:tcPr>
          <w:p w14:paraId="465449E9" w14:textId="77777777" w:rsidR="00A0125E" w:rsidRPr="009A2EB4" w:rsidRDefault="00A0125E" w:rsidP="0090217E">
            <w:pPr>
              <w:spacing w:after="0"/>
              <w:jc w:val="right"/>
              <w:rPr>
                <w:rFonts w:eastAsia="SimSun" w:cs="Arial"/>
                <w:szCs w:val="20"/>
                <w:lang w:eastAsia="en-US"/>
              </w:rPr>
            </w:pPr>
          </w:p>
        </w:tc>
        <w:tc>
          <w:tcPr>
            <w:tcW w:w="3260" w:type="dxa"/>
            <w:vMerge/>
            <w:vAlign w:val="center"/>
          </w:tcPr>
          <w:p w14:paraId="2AA45CAB" w14:textId="77777777" w:rsidR="00A0125E" w:rsidRPr="009A2EB4" w:rsidRDefault="00A0125E" w:rsidP="0090217E">
            <w:pPr>
              <w:spacing w:after="0"/>
              <w:jc w:val="center"/>
              <w:rPr>
                <w:rFonts w:eastAsia="SimSun" w:cs="Arial"/>
                <w:szCs w:val="20"/>
                <w:lang w:eastAsia="en-US"/>
              </w:rPr>
            </w:pPr>
          </w:p>
        </w:tc>
      </w:tr>
      <w:tr w:rsidR="00A0125E" w:rsidRPr="009A2EB4" w14:paraId="403C5EBE" w14:textId="77777777" w:rsidTr="00451B25">
        <w:tc>
          <w:tcPr>
            <w:tcW w:w="2835" w:type="dxa"/>
            <w:vAlign w:val="center"/>
          </w:tcPr>
          <w:p w14:paraId="2100AF3F" w14:textId="77777777" w:rsidR="00A0125E" w:rsidRPr="009A2EB4" w:rsidRDefault="00A0125E" w:rsidP="0090217E">
            <w:pPr>
              <w:spacing w:after="0"/>
              <w:rPr>
                <w:rFonts w:eastAsia="SimSun" w:cs="Arial"/>
                <w:szCs w:val="20"/>
                <w:lang w:eastAsia="en-US"/>
              </w:rPr>
            </w:pPr>
            <w:r w:rsidRPr="009A2EB4">
              <w:rPr>
                <w:rFonts w:cs="Arial"/>
              </w:rPr>
              <w:t>Asset usage</w:t>
            </w:r>
          </w:p>
        </w:tc>
        <w:tc>
          <w:tcPr>
            <w:tcW w:w="1418" w:type="dxa"/>
            <w:vMerge/>
            <w:vAlign w:val="center"/>
          </w:tcPr>
          <w:p w14:paraId="324FBF02" w14:textId="77777777" w:rsidR="00A0125E" w:rsidRPr="009A2EB4" w:rsidRDefault="00A0125E" w:rsidP="0090217E">
            <w:pPr>
              <w:spacing w:after="0"/>
              <w:jc w:val="right"/>
              <w:rPr>
                <w:rFonts w:eastAsia="SimSun" w:cs="Arial"/>
                <w:szCs w:val="20"/>
                <w:lang w:eastAsia="en-US"/>
              </w:rPr>
            </w:pPr>
          </w:p>
        </w:tc>
        <w:tc>
          <w:tcPr>
            <w:tcW w:w="3260" w:type="dxa"/>
            <w:vMerge/>
            <w:vAlign w:val="center"/>
          </w:tcPr>
          <w:p w14:paraId="385F6F44" w14:textId="77777777" w:rsidR="00A0125E" w:rsidRPr="009A2EB4" w:rsidRDefault="00A0125E" w:rsidP="0090217E">
            <w:pPr>
              <w:spacing w:after="0"/>
              <w:jc w:val="center"/>
              <w:rPr>
                <w:rFonts w:eastAsia="SimSun" w:cs="Arial"/>
                <w:szCs w:val="20"/>
                <w:lang w:eastAsia="en-US"/>
              </w:rPr>
            </w:pPr>
          </w:p>
        </w:tc>
      </w:tr>
      <w:tr w:rsidR="00A0125E" w:rsidRPr="009A2EB4" w14:paraId="442D1015" w14:textId="77777777" w:rsidTr="00451B25">
        <w:tc>
          <w:tcPr>
            <w:tcW w:w="2835" w:type="dxa"/>
            <w:vAlign w:val="center"/>
          </w:tcPr>
          <w:p w14:paraId="670B6D19" w14:textId="77777777" w:rsidR="00A0125E" w:rsidRPr="009A2EB4" w:rsidRDefault="00A0125E" w:rsidP="0090217E">
            <w:pPr>
              <w:spacing w:after="0"/>
              <w:rPr>
                <w:rFonts w:cs="Arial"/>
              </w:rPr>
            </w:pPr>
            <w:r>
              <w:rPr>
                <w:rFonts w:cs="Arial"/>
              </w:rPr>
              <w:t>Legal</w:t>
            </w:r>
          </w:p>
        </w:tc>
        <w:tc>
          <w:tcPr>
            <w:tcW w:w="1418" w:type="dxa"/>
            <w:vAlign w:val="center"/>
          </w:tcPr>
          <w:p w14:paraId="3C653C43" w14:textId="6176F668" w:rsidR="00A0125E" w:rsidRPr="009A2EB4" w:rsidRDefault="00A0125E" w:rsidP="0090217E">
            <w:pPr>
              <w:spacing w:after="0"/>
              <w:jc w:val="center"/>
              <w:rPr>
                <w:rFonts w:eastAsia="SimSun" w:cs="Arial"/>
                <w:szCs w:val="20"/>
                <w:lang w:eastAsia="en-US"/>
              </w:rPr>
            </w:pPr>
            <w:r>
              <w:rPr>
                <w:rFonts w:eastAsia="SimSun" w:cs="Arial"/>
                <w:szCs w:val="20"/>
                <w:lang w:eastAsia="en-US"/>
              </w:rPr>
              <w:t xml:space="preserve">Legal </w:t>
            </w:r>
            <w:r w:rsidR="00DA5037">
              <w:rPr>
                <w:rFonts w:eastAsia="SimSun" w:cs="Arial"/>
                <w:szCs w:val="20"/>
                <w:lang w:eastAsia="en-US"/>
              </w:rPr>
              <w:t>c</w:t>
            </w:r>
            <w:r>
              <w:rPr>
                <w:rFonts w:eastAsia="SimSun" w:cs="Arial"/>
                <w:szCs w:val="20"/>
                <w:lang w:eastAsia="en-US"/>
              </w:rPr>
              <w:t>osts</w:t>
            </w:r>
          </w:p>
        </w:tc>
        <w:tc>
          <w:tcPr>
            <w:tcW w:w="3260" w:type="dxa"/>
            <w:vMerge/>
            <w:vAlign w:val="center"/>
          </w:tcPr>
          <w:p w14:paraId="12C5AA90" w14:textId="77777777" w:rsidR="00A0125E" w:rsidRPr="009A2EB4" w:rsidRDefault="00A0125E" w:rsidP="0090217E">
            <w:pPr>
              <w:spacing w:after="0"/>
              <w:jc w:val="center"/>
              <w:rPr>
                <w:rFonts w:eastAsia="SimSun" w:cs="Arial"/>
                <w:szCs w:val="20"/>
                <w:lang w:eastAsia="en-US"/>
              </w:rPr>
            </w:pPr>
          </w:p>
        </w:tc>
      </w:tr>
    </w:tbl>
    <w:p w14:paraId="26127869" w14:textId="16F09101" w:rsidR="00400A7F" w:rsidRDefault="00A0125E" w:rsidP="00451B25">
      <w:pPr>
        <w:pStyle w:val="ACMASpaceaftertable"/>
        <w:rPr>
          <w:rFonts w:eastAsia="SimSun"/>
          <w:lang w:eastAsia="en-US"/>
        </w:rPr>
      </w:pPr>
      <w:r>
        <w:rPr>
          <w:i/>
          <w:sz w:val="16"/>
          <w:szCs w:val="16"/>
        </w:rPr>
        <w:t xml:space="preserve">*ACCC’s operational </w:t>
      </w:r>
      <w:r w:rsidR="00DA5037">
        <w:rPr>
          <w:i/>
          <w:sz w:val="16"/>
          <w:szCs w:val="16"/>
        </w:rPr>
        <w:t>d</w:t>
      </w:r>
      <w:r>
        <w:rPr>
          <w:i/>
          <w:sz w:val="16"/>
          <w:szCs w:val="16"/>
        </w:rPr>
        <w:t>ivisions perform consumer and competition regulatory and enforcement functions.</w:t>
      </w:r>
    </w:p>
    <w:p w14:paraId="0F882689" w14:textId="0872D5F5" w:rsidR="00451B25" w:rsidRPr="00B60F85" w:rsidRDefault="00A0125E" w:rsidP="00B60F85">
      <w:pPr>
        <w:spacing w:line="240" w:lineRule="auto"/>
        <w:rPr>
          <w:rFonts w:eastAsia="SimSun" w:cs="Arial"/>
          <w:szCs w:val="20"/>
          <w:lang w:eastAsia="en-US"/>
        </w:rPr>
      </w:pPr>
      <w:r w:rsidRPr="00EE5DBD">
        <w:rPr>
          <w:rFonts w:eastAsia="SimSun" w:cs="Arial"/>
          <w:szCs w:val="20"/>
          <w:lang w:eastAsia="en-US"/>
        </w:rPr>
        <w:t xml:space="preserve">The ACCC’s component for 2015–16 has been calculated at $15,106,662. This </w:t>
      </w:r>
      <w:r w:rsidR="00EA782A">
        <w:rPr>
          <w:rFonts w:eastAsia="SimSun" w:cs="Arial"/>
          <w:szCs w:val="20"/>
          <w:lang w:eastAsia="en-US"/>
        </w:rPr>
        <w:t>represents a $131,986 (0.9</w:t>
      </w:r>
      <w:r w:rsidR="0039435F">
        <w:rPr>
          <w:rFonts w:eastAsia="SimSun" w:cs="Arial"/>
          <w:szCs w:val="20"/>
          <w:lang w:eastAsia="en-US"/>
        </w:rPr>
        <w:t xml:space="preserve"> per cent</w:t>
      </w:r>
      <w:r w:rsidRPr="007974E2">
        <w:rPr>
          <w:rFonts w:eastAsia="SimSun" w:cs="Arial"/>
          <w:szCs w:val="20"/>
          <w:lang w:eastAsia="en-US"/>
        </w:rPr>
        <w:t xml:space="preserve">) increase from the </w:t>
      </w:r>
      <w:r w:rsidR="00DA5037">
        <w:rPr>
          <w:rFonts w:eastAsia="SimSun" w:cs="Arial"/>
          <w:szCs w:val="20"/>
          <w:lang w:eastAsia="en-US"/>
        </w:rPr>
        <w:t>previous</w:t>
      </w:r>
      <w:r w:rsidR="00DA5037" w:rsidRPr="007974E2">
        <w:rPr>
          <w:rFonts w:eastAsia="SimSun" w:cs="Arial"/>
          <w:szCs w:val="20"/>
          <w:lang w:eastAsia="en-US"/>
        </w:rPr>
        <w:t xml:space="preserve"> </w:t>
      </w:r>
      <w:r w:rsidRPr="007974E2">
        <w:rPr>
          <w:rFonts w:eastAsia="SimSun" w:cs="Arial"/>
          <w:szCs w:val="20"/>
          <w:lang w:eastAsia="en-US"/>
        </w:rPr>
        <w:t>year.</w:t>
      </w:r>
    </w:p>
    <w:p w14:paraId="427F6851" w14:textId="77777777" w:rsidR="007C722C" w:rsidRDefault="007C722C" w:rsidP="00D866D4">
      <w:pPr>
        <w:pStyle w:val="ACMATableHeader"/>
        <w:numPr>
          <w:ilvl w:val="0"/>
          <w:numId w:val="0"/>
        </w:numPr>
        <w:rPr>
          <w:color w:val="auto"/>
        </w:rPr>
      </w:pPr>
    </w:p>
    <w:p w14:paraId="5B678226" w14:textId="77777777" w:rsidR="007C722C" w:rsidRDefault="007C722C" w:rsidP="00D866D4">
      <w:pPr>
        <w:pStyle w:val="ACMATableHeader"/>
        <w:numPr>
          <w:ilvl w:val="0"/>
          <w:numId w:val="0"/>
        </w:numPr>
        <w:rPr>
          <w:color w:val="auto"/>
        </w:rPr>
      </w:pPr>
    </w:p>
    <w:p w14:paraId="2CF8D17C" w14:textId="77777777" w:rsidR="007C722C" w:rsidRDefault="007C722C" w:rsidP="00D866D4">
      <w:pPr>
        <w:pStyle w:val="ACMATableHeader"/>
        <w:numPr>
          <w:ilvl w:val="0"/>
          <w:numId w:val="0"/>
        </w:numPr>
        <w:rPr>
          <w:color w:val="auto"/>
        </w:rPr>
      </w:pPr>
    </w:p>
    <w:p w14:paraId="6089482E" w14:textId="77777777" w:rsidR="007C722C" w:rsidRDefault="007C722C" w:rsidP="00D866D4">
      <w:pPr>
        <w:pStyle w:val="ACMATableHeader"/>
        <w:numPr>
          <w:ilvl w:val="0"/>
          <w:numId w:val="0"/>
        </w:numPr>
        <w:rPr>
          <w:color w:val="auto"/>
        </w:rPr>
      </w:pPr>
    </w:p>
    <w:p w14:paraId="3DD9FB9D" w14:textId="77777777" w:rsidR="00A0125E" w:rsidRPr="009A2EB4" w:rsidRDefault="00D866D4" w:rsidP="00D866D4">
      <w:pPr>
        <w:pStyle w:val="ACMATableHeader"/>
        <w:numPr>
          <w:ilvl w:val="0"/>
          <w:numId w:val="0"/>
        </w:numPr>
        <w:rPr>
          <w:rFonts w:eastAsia="SimSun" w:cs="Arial"/>
          <w:color w:val="auto"/>
          <w:lang w:eastAsia="en-US"/>
        </w:rPr>
      </w:pPr>
      <w:r>
        <w:rPr>
          <w:color w:val="auto"/>
        </w:rPr>
        <w:lastRenderedPageBreak/>
        <w:t>Table 7:</w:t>
      </w:r>
      <w:r>
        <w:rPr>
          <w:color w:val="auto"/>
        </w:rPr>
        <w:tab/>
      </w:r>
      <w:r w:rsidR="00A0125E" w:rsidRPr="009A2EB4">
        <w:rPr>
          <w:color w:val="auto"/>
        </w:rPr>
        <w:t>The ACCC’s cost component</w:t>
      </w:r>
    </w:p>
    <w:tbl>
      <w:tblPr>
        <w:tblStyle w:val="TableGrid"/>
        <w:tblW w:w="7513" w:type="dxa"/>
        <w:tblInd w:w="-5" w:type="dxa"/>
        <w:tblLayout w:type="fixed"/>
        <w:tblCellMar>
          <w:top w:w="57" w:type="dxa"/>
          <w:bottom w:w="57" w:type="dxa"/>
        </w:tblCellMar>
        <w:tblLook w:val="04A0" w:firstRow="1" w:lastRow="0" w:firstColumn="1" w:lastColumn="0" w:noHBand="0" w:noVBand="1"/>
        <w:tblCaption w:val="The ACCC’s cost component"/>
        <w:tblDescription w:val="Includes costs for employees, consultancy and travel, and overheads as well as percentage change."/>
      </w:tblPr>
      <w:tblGrid>
        <w:gridCol w:w="2089"/>
        <w:gridCol w:w="1880"/>
        <w:gridCol w:w="1985"/>
        <w:gridCol w:w="1559"/>
      </w:tblGrid>
      <w:tr w:rsidR="00A0125E" w:rsidRPr="009A2EB4" w14:paraId="17B4143E" w14:textId="77777777" w:rsidTr="00451B25">
        <w:trPr>
          <w:tblHeader/>
        </w:trPr>
        <w:tc>
          <w:tcPr>
            <w:tcW w:w="2089" w:type="dxa"/>
            <w:shd w:val="clear" w:color="auto" w:fill="404040" w:themeFill="text1" w:themeFillTint="BF"/>
          </w:tcPr>
          <w:p w14:paraId="6E96841C" w14:textId="77777777" w:rsidR="00A0125E" w:rsidRPr="00451B25" w:rsidRDefault="00A0125E" w:rsidP="00451B25">
            <w:pPr>
              <w:pStyle w:val="TableHeading"/>
              <w:rPr>
                <w:rFonts w:eastAsia="SimSun"/>
                <w:b w:val="0"/>
                <w:color w:val="FFFFFF" w:themeColor="background1"/>
                <w:lang w:eastAsia="en-US"/>
              </w:rPr>
            </w:pPr>
            <w:r w:rsidRPr="00451B25">
              <w:rPr>
                <w:rFonts w:eastAsia="SimSun"/>
                <w:color w:val="FFFFFF" w:themeColor="background1"/>
                <w:lang w:eastAsia="en-US"/>
              </w:rPr>
              <w:t>Costs</w:t>
            </w:r>
          </w:p>
        </w:tc>
        <w:tc>
          <w:tcPr>
            <w:tcW w:w="1880" w:type="dxa"/>
            <w:shd w:val="clear" w:color="auto" w:fill="404040" w:themeFill="text1" w:themeFillTint="BF"/>
          </w:tcPr>
          <w:p w14:paraId="1F570A5A" w14:textId="77777777" w:rsidR="00A0125E" w:rsidRPr="00451B25" w:rsidRDefault="00A0125E" w:rsidP="00451B25">
            <w:pPr>
              <w:pStyle w:val="TableHeading"/>
              <w:jc w:val="right"/>
              <w:rPr>
                <w:rFonts w:eastAsia="SimSun"/>
                <w:b w:val="0"/>
                <w:color w:val="FFFFFF" w:themeColor="background1"/>
                <w:lang w:eastAsia="en-US"/>
              </w:rPr>
            </w:pPr>
            <w:r w:rsidRPr="00451B25">
              <w:rPr>
                <w:rFonts w:eastAsia="SimSun"/>
                <w:color w:val="FFFFFF" w:themeColor="background1"/>
                <w:lang w:eastAsia="en-US"/>
              </w:rPr>
              <w:t>2015–16</w:t>
            </w:r>
          </w:p>
          <w:p w14:paraId="6934F2FD" w14:textId="304CFE7A" w:rsidR="00A0125E" w:rsidRPr="00451B25" w:rsidRDefault="00DA5037" w:rsidP="00451B25">
            <w:pPr>
              <w:pStyle w:val="TableHeading"/>
              <w:jc w:val="right"/>
              <w:rPr>
                <w:rFonts w:eastAsia="SimSun"/>
                <w:b w:val="0"/>
                <w:color w:val="FFFFFF" w:themeColor="background1"/>
                <w:lang w:eastAsia="en-US"/>
              </w:rPr>
            </w:pPr>
            <w:r w:rsidRPr="00451B25">
              <w:rPr>
                <w:rFonts w:eastAsia="SimSun"/>
                <w:color w:val="FFFFFF" w:themeColor="background1"/>
                <w:lang w:eastAsia="en-US"/>
              </w:rPr>
              <w:t>(b</w:t>
            </w:r>
            <w:r w:rsidR="00A0125E" w:rsidRPr="00451B25">
              <w:rPr>
                <w:rFonts w:eastAsia="SimSun"/>
                <w:color w:val="FFFFFF" w:themeColor="background1"/>
                <w:lang w:eastAsia="en-US"/>
              </w:rPr>
              <w:t xml:space="preserve">ased on </w:t>
            </w:r>
            <w:r w:rsidR="00A0125E" w:rsidRPr="00451B25">
              <w:rPr>
                <w:rFonts w:eastAsia="SimSun"/>
                <w:color w:val="FFFFFF" w:themeColor="background1"/>
                <w:lang w:eastAsia="en-US"/>
              </w:rPr>
              <w:br/>
              <w:t>2014–15 costs</w:t>
            </w:r>
            <w:r w:rsidRPr="00451B25">
              <w:rPr>
                <w:rFonts w:eastAsia="SimSun"/>
                <w:color w:val="FFFFFF" w:themeColor="background1"/>
                <w:lang w:eastAsia="en-US"/>
              </w:rPr>
              <w:t>)</w:t>
            </w:r>
          </w:p>
        </w:tc>
        <w:tc>
          <w:tcPr>
            <w:tcW w:w="1985" w:type="dxa"/>
            <w:shd w:val="clear" w:color="auto" w:fill="404040" w:themeFill="text1" w:themeFillTint="BF"/>
          </w:tcPr>
          <w:p w14:paraId="2F5ABB03" w14:textId="77777777" w:rsidR="00A0125E" w:rsidRPr="00451B25" w:rsidRDefault="00A0125E" w:rsidP="00451B25">
            <w:pPr>
              <w:pStyle w:val="TableHeading"/>
              <w:jc w:val="right"/>
              <w:rPr>
                <w:rFonts w:eastAsia="SimSun"/>
                <w:b w:val="0"/>
                <w:color w:val="FFFFFF" w:themeColor="background1"/>
                <w:lang w:eastAsia="en-US"/>
              </w:rPr>
            </w:pPr>
            <w:r w:rsidRPr="00451B25">
              <w:rPr>
                <w:rFonts w:eastAsia="SimSun"/>
                <w:color w:val="FFFFFF" w:themeColor="background1"/>
                <w:lang w:eastAsia="en-US"/>
              </w:rPr>
              <w:t>2014–15</w:t>
            </w:r>
          </w:p>
          <w:p w14:paraId="46C53988" w14:textId="14CB5415" w:rsidR="00A0125E" w:rsidRPr="00451B25" w:rsidRDefault="00DA5037" w:rsidP="00451B25">
            <w:pPr>
              <w:pStyle w:val="TableHeading"/>
              <w:jc w:val="right"/>
              <w:rPr>
                <w:rFonts w:eastAsia="SimSun"/>
                <w:b w:val="0"/>
                <w:color w:val="FFFFFF" w:themeColor="background1"/>
                <w:lang w:eastAsia="en-US"/>
              </w:rPr>
            </w:pPr>
            <w:r w:rsidRPr="00451B25">
              <w:rPr>
                <w:rFonts w:eastAsia="SimSun"/>
                <w:color w:val="FFFFFF" w:themeColor="background1"/>
                <w:lang w:eastAsia="en-US"/>
              </w:rPr>
              <w:t>(b</w:t>
            </w:r>
            <w:r w:rsidR="00A0125E" w:rsidRPr="00451B25">
              <w:rPr>
                <w:rFonts w:eastAsia="SimSun"/>
                <w:color w:val="FFFFFF" w:themeColor="background1"/>
                <w:lang w:eastAsia="en-US"/>
              </w:rPr>
              <w:t xml:space="preserve">ased on </w:t>
            </w:r>
            <w:r w:rsidR="00A0125E" w:rsidRPr="00451B25">
              <w:rPr>
                <w:rFonts w:eastAsia="SimSun"/>
                <w:color w:val="FFFFFF" w:themeColor="background1"/>
                <w:lang w:eastAsia="en-US"/>
              </w:rPr>
              <w:br/>
              <w:t>2013–14 costs</w:t>
            </w:r>
            <w:r w:rsidRPr="00451B25">
              <w:rPr>
                <w:rFonts w:eastAsia="SimSun"/>
                <w:color w:val="FFFFFF" w:themeColor="background1"/>
                <w:lang w:eastAsia="en-US"/>
              </w:rPr>
              <w:t>)</w:t>
            </w:r>
          </w:p>
        </w:tc>
        <w:tc>
          <w:tcPr>
            <w:tcW w:w="1559" w:type="dxa"/>
            <w:shd w:val="clear" w:color="auto" w:fill="404040" w:themeFill="text1" w:themeFillTint="BF"/>
          </w:tcPr>
          <w:p w14:paraId="173CEF46" w14:textId="77777777" w:rsidR="00A0125E" w:rsidRPr="00451B25" w:rsidRDefault="00A0125E" w:rsidP="00451B25">
            <w:pPr>
              <w:pStyle w:val="TableHeading"/>
              <w:jc w:val="right"/>
              <w:rPr>
                <w:rFonts w:eastAsia="SimSun"/>
                <w:b w:val="0"/>
                <w:color w:val="FFFFFF" w:themeColor="background1"/>
                <w:lang w:eastAsia="en-US"/>
              </w:rPr>
            </w:pPr>
            <w:r w:rsidRPr="00451B25">
              <w:rPr>
                <w:rFonts w:eastAsia="SimSun"/>
                <w:color w:val="FFFFFF" w:themeColor="background1"/>
                <w:lang w:eastAsia="en-US"/>
              </w:rPr>
              <w:t>% change*</w:t>
            </w:r>
          </w:p>
        </w:tc>
      </w:tr>
      <w:tr w:rsidR="00A0125E" w:rsidRPr="009A2EB4" w14:paraId="26ED5648" w14:textId="77777777" w:rsidTr="00451B25">
        <w:tc>
          <w:tcPr>
            <w:tcW w:w="2089" w:type="dxa"/>
            <w:vAlign w:val="center"/>
          </w:tcPr>
          <w:p w14:paraId="727950C2" w14:textId="77777777" w:rsidR="00A0125E" w:rsidRPr="009A2EB4" w:rsidRDefault="00A0125E" w:rsidP="0090217E">
            <w:pPr>
              <w:spacing w:after="0"/>
              <w:rPr>
                <w:rFonts w:eastAsia="SimSun" w:cs="Arial"/>
                <w:szCs w:val="20"/>
                <w:lang w:eastAsia="en-US"/>
              </w:rPr>
            </w:pPr>
            <w:r w:rsidRPr="009A2EB4">
              <w:rPr>
                <w:rFonts w:eastAsia="Calibri" w:cs="Arial"/>
                <w:szCs w:val="20"/>
              </w:rPr>
              <w:t>Employees</w:t>
            </w:r>
          </w:p>
        </w:tc>
        <w:tc>
          <w:tcPr>
            <w:tcW w:w="1880" w:type="dxa"/>
            <w:vAlign w:val="center"/>
          </w:tcPr>
          <w:p w14:paraId="331C1232" w14:textId="77777777" w:rsidR="00A0125E" w:rsidRPr="009A2EB4" w:rsidRDefault="00A0125E" w:rsidP="0090217E">
            <w:pPr>
              <w:spacing w:after="0"/>
              <w:jc w:val="right"/>
              <w:rPr>
                <w:rFonts w:eastAsia="SimSun" w:cs="Arial"/>
                <w:szCs w:val="20"/>
                <w:lang w:eastAsia="en-US"/>
              </w:rPr>
            </w:pPr>
            <w:r w:rsidRPr="009A2EB4">
              <w:rPr>
                <w:rFonts w:eastAsia="Calibri" w:cs="Arial"/>
                <w:szCs w:val="20"/>
              </w:rPr>
              <w:t>$9,883,495</w:t>
            </w:r>
          </w:p>
        </w:tc>
        <w:tc>
          <w:tcPr>
            <w:tcW w:w="1985" w:type="dxa"/>
            <w:vAlign w:val="center"/>
          </w:tcPr>
          <w:p w14:paraId="56F2DB69" w14:textId="77777777" w:rsidR="00A0125E" w:rsidRPr="009A2EB4" w:rsidRDefault="00A0125E" w:rsidP="0090217E">
            <w:pPr>
              <w:spacing w:after="0"/>
              <w:jc w:val="right"/>
              <w:rPr>
                <w:rFonts w:eastAsia="SimSun" w:cs="Arial"/>
                <w:szCs w:val="20"/>
                <w:lang w:eastAsia="en-US"/>
              </w:rPr>
            </w:pPr>
            <w:r w:rsidRPr="009A2EB4">
              <w:rPr>
                <w:rFonts w:eastAsia="Calibri" w:cs="Arial"/>
                <w:szCs w:val="20"/>
              </w:rPr>
              <w:t>$10,615,246</w:t>
            </w:r>
          </w:p>
        </w:tc>
        <w:tc>
          <w:tcPr>
            <w:tcW w:w="1559" w:type="dxa"/>
            <w:vAlign w:val="center"/>
          </w:tcPr>
          <w:p w14:paraId="3DD81D6B" w14:textId="77777777" w:rsidR="00A0125E" w:rsidRPr="009A2EB4" w:rsidRDefault="00EA782A" w:rsidP="0090217E">
            <w:pPr>
              <w:spacing w:after="0"/>
              <w:jc w:val="right"/>
              <w:rPr>
                <w:rFonts w:eastAsia="SimSun" w:cs="Arial"/>
                <w:szCs w:val="20"/>
                <w:lang w:eastAsia="en-US"/>
              </w:rPr>
            </w:pPr>
            <w:r>
              <w:rPr>
                <w:rFonts w:eastAsia="Calibri" w:cs="Arial"/>
                <w:szCs w:val="20"/>
              </w:rPr>
              <w:t>(6.9</w:t>
            </w:r>
            <w:r w:rsidR="00A0125E" w:rsidRPr="009A2EB4">
              <w:rPr>
                <w:rFonts w:eastAsia="Calibri" w:cs="Arial"/>
                <w:szCs w:val="20"/>
              </w:rPr>
              <w:t>%)</w:t>
            </w:r>
          </w:p>
        </w:tc>
      </w:tr>
      <w:tr w:rsidR="00A0125E" w:rsidRPr="009A2EB4" w14:paraId="39FDFF25" w14:textId="77777777" w:rsidTr="00451B25">
        <w:tc>
          <w:tcPr>
            <w:tcW w:w="2089" w:type="dxa"/>
            <w:vAlign w:val="center"/>
          </w:tcPr>
          <w:p w14:paraId="7A13DBC6" w14:textId="77777777" w:rsidR="00A0125E" w:rsidRPr="009A2EB4" w:rsidRDefault="00A0125E" w:rsidP="0090217E">
            <w:pPr>
              <w:spacing w:after="0"/>
              <w:rPr>
                <w:rFonts w:eastAsia="SimSun" w:cs="Arial"/>
                <w:szCs w:val="20"/>
                <w:lang w:eastAsia="en-US"/>
              </w:rPr>
            </w:pPr>
            <w:r w:rsidRPr="009A2EB4">
              <w:rPr>
                <w:rFonts w:eastAsia="Calibri" w:cs="Arial"/>
                <w:szCs w:val="20"/>
              </w:rPr>
              <w:t>Consultancy and travel</w:t>
            </w:r>
          </w:p>
        </w:tc>
        <w:tc>
          <w:tcPr>
            <w:tcW w:w="1880" w:type="dxa"/>
            <w:vAlign w:val="center"/>
          </w:tcPr>
          <w:p w14:paraId="66E3300A" w14:textId="77777777" w:rsidR="00A0125E" w:rsidRPr="009A2EB4" w:rsidRDefault="00A0125E" w:rsidP="0090217E">
            <w:pPr>
              <w:spacing w:after="0"/>
              <w:jc w:val="right"/>
              <w:rPr>
                <w:rFonts w:eastAsia="SimSun" w:cs="Arial"/>
                <w:szCs w:val="20"/>
                <w:lang w:eastAsia="en-US"/>
              </w:rPr>
            </w:pPr>
            <w:r w:rsidRPr="009A2EB4">
              <w:rPr>
                <w:rFonts w:eastAsia="Calibri" w:cs="Arial"/>
                <w:szCs w:val="20"/>
              </w:rPr>
              <w:t>$907,387</w:t>
            </w:r>
          </w:p>
        </w:tc>
        <w:tc>
          <w:tcPr>
            <w:tcW w:w="1985" w:type="dxa"/>
            <w:vAlign w:val="center"/>
          </w:tcPr>
          <w:p w14:paraId="34B6EC3D" w14:textId="77777777" w:rsidR="00A0125E" w:rsidRPr="009A2EB4" w:rsidRDefault="00A0125E" w:rsidP="0090217E">
            <w:pPr>
              <w:spacing w:after="0"/>
              <w:jc w:val="right"/>
              <w:rPr>
                <w:rFonts w:eastAsia="SimSun" w:cs="Arial"/>
                <w:szCs w:val="20"/>
                <w:lang w:eastAsia="en-US"/>
              </w:rPr>
            </w:pPr>
            <w:r w:rsidRPr="009A2EB4">
              <w:rPr>
                <w:rFonts w:eastAsia="Calibri" w:cs="Arial"/>
                <w:szCs w:val="20"/>
              </w:rPr>
              <w:t>$219,177</w:t>
            </w:r>
          </w:p>
        </w:tc>
        <w:tc>
          <w:tcPr>
            <w:tcW w:w="1559" w:type="dxa"/>
            <w:vAlign w:val="center"/>
          </w:tcPr>
          <w:p w14:paraId="6891BC9F" w14:textId="77777777" w:rsidR="00A0125E" w:rsidRPr="009A2EB4" w:rsidRDefault="00A0125E" w:rsidP="0090217E">
            <w:pPr>
              <w:spacing w:after="0"/>
              <w:jc w:val="right"/>
              <w:rPr>
                <w:rFonts w:eastAsia="SimSun" w:cs="Arial"/>
                <w:szCs w:val="20"/>
                <w:lang w:eastAsia="en-US"/>
              </w:rPr>
            </w:pPr>
            <w:r w:rsidRPr="009A2EB4">
              <w:rPr>
                <w:rFonts w:eastAsia="Calibri" w:cs="Arial"/>
                <w:szCs w:val="20"/>
              </w:rPr>
              <w:t>314</w:t>
            </w:r>
            <w:r w:rsidR="00EA782A">
              <w:rPr>
                <w:rFonts w:eastAsia="Calibri" w:cs="Arial"/>
                <w:szCs w:val="20"/>
              </w:rPr>
              <w:t>.0</w:t>
            </w:r>
            <w:r w:rsidRPr="009A2EB4">
              <w:rPr>
                <w:rFonts w:eastAsia="Calibri" w:cs="Arial"/>
                <w:szCs w:val="20"/>
              </w:rPr>
              <w:t>%</w:t>
            </w:r>
          </w:p>
        </w:tc>
      </w:tr>
      <w:tr w:rsidR="00A0125E" w:rsidRPr="009A2EB4" w14:paraId="3F0A3765" w14:textId="77777777" w:rsidTr="00451B25">
        <w:tc>
          <w:tcPr>
            <w:tcW w:w="2089" w:type="dxa"/>
            <w:vAlign w:val="center"/>
          </w:tcPr>
          <w:p w14:paraId="6032110C" w14:textId="77777777" w:rsidR="00A0125E" w:rsidRPr="009A2EB4" w:rsidRDefault="00A0125E" w:rsidP="0090217E">
            <w:pPr>
              <w:spacing w:after="0"/>
              <w:rPr>
                <w:rFonts w:eastAsia="SimSun" w:cs="Arial"/>
                <w:szCs w:val="20"/>
                <w:lang w:eastAsia="en-US"/>
              </w:rPr>
            </w:pPr>
            <w:r w:rsidRPr="009A2EB4">
              <w:rPr>
                <w:rFonts w:eastAsia="Calibri" w:cs="Arial"/>
                <w:szCs w:val="20"/>
              </w:rPr>
              <w:t xml:space="preserve">Overheads </w:t>
            </w:r>
          </w:p>
        </w:tc>
        <w:tc>
          <w:tcPr>
            <w:tcW w:w="1880" w:type="dxa"/>
            <w:vAlign w:val="center"/>
          </w:tcPr>
          <w:p w14:paraId="7BC4D4B2" w14:textId="77777777" w:rsidR="00A0125E" w:rsidRPr="009A2EB4" w:rsidRDefault="00A0125E" w:rsidP="0090217E">
            <w:pPr>
              <w:spacing w:after="0"/>
              <w:jc w:val="right"/>
              <w:rPr>
                <w:rFonts w:eastAsia="SimSun" w:cs="Arial"/>
                <w:szCs w:val="20"/>
                <w:lang w:eastAsia="en-US"/>
              </w:rPr>
            </w:pPr>
            <w:r w:rsidRPr="009A2EB4">
              <w:rPr>
                <w:rFonts w:eastAsia="Calibri" w:cs="Arial"/>
                <w:szCs w:val="20"/>
              </w:rPr>
              <w:t>$4,315,780</w:t>
            </w:r>
          </w:p>
        </w:tc>
        <w:tc>
          <w:tcPr>
            <w:tcW w:w="1985" w:type="dxa"/>
            <w:vAlign w:val="center"/>
          </w:tcPr>
          <w:p w14:paraId="49209A9D" w14:textId="77777777" w:rsidR="00A0125E" w:rsidRPr="009A2EB4" w:rsidRDefault="00A0125E" w:rsidP="0090217E">
            <w:pPr>
              <w:spacing w:after="0"/>
              <w:jc w:val="right"/>
              <w:rPr>
                <w:rFonts w:eastAsia="SimSun" w:cs="Arial"/>
                <w:szCs w:val="20"/>
                <w:lang w:eastAsia="en-US"/>
              </w:rPr>
            </w:pPr>
            <w:r w:rsidRPr="009A2EB4">
              <w:rPr>
                <w:rFonts w:eastAsia="Calibri" w:cs="Arial"/>
                <w:szCs w:val="20"/>
              </w:rPr>
              <w:t>$4,140,253</w:t>
            </w:r>
          </w:p>
        </w:tc>
        <w:tc>
          <w:tcPr>
            <w:tcW w:w="1559" w:type="dxa"/>
            <w:vAlign w:val="center"/>
          </w:tcPr>
          <w:p w14:paraId="02D84CE2" w14:textId="77777777" w:rsidR="00A0125E" w:rsidRPr="009A2EB4" w:rsidRDefault="00EA782A" w:rsidP="0090217E">
            <w:pPr>
              <w:spacing w:after="0"/>
              <w:jc w:val="right"/>
              <w:rPr>
                <w:rFonts w:eastAsia="SimSun" w:cs="Arial"/>
                <w:szCs w:val="20"/>
                <w:lang w:eastAsia="en-US"/>
              </w:rPr>
            </w:pPr>
            <w:r>
              <w:rPr>
                <w:rFonts w:eastAsia="Calibri" w:cs="Arial"/>
                <w:szCs w:val="20"/>
              </w:rPr>
              <w:t>4.2</w:t>
            </w:r>
            <w:r w:rsidR="00A0125E" w:rsidRPr="009A2EB4">
              <w:rPr>
                <w:rFonts w:eastAsia="Calibri" w:cs="Arial"/>
                <w:szCs w:val="20"/>
              </w:rPr>
              <w:t>%</w:t>
            </w:r>
          </w:p>
        </w:tc>
      </w:tr>
      <w:tr w:rsidR="00A0125E" w:rsidRPr="009A2EB4" w14:paraId="42B14203" w14:textId="77777777" w:rsidTr="00451B25">
        <w:tc>
          <w:tcPr>
            <w:tcW w:w="2089" w:type="dxa"/>
            <w:shd w:val="clear" w:color="auto" w:fill="D9D9D9" w:themeFill="background1" w:themeFillShade="D9"/>
            <w:vAlign w:val="center"/>
          </w:tcPr>
          <w:p w14:paraId="05FBE781" w14:textId="77777777" w:rsidR="00A0125E" w:rsidRPr="009A2EB4" w:rsidRDefault="00A0125E" w:rsidP="0090217E">
            <w:pPr>
              <w:spacing w:after="0"/>
              <w:rPr>
                <w:rFonts w:eastAsia="SimSun" w:cs="Arial"/>
                <w:szCs w:val="20"/>
                <w:lang w:eastAsia="en-US"/>
              </w:rPr>
            </w:pPr>
            <w:r w:rsidRPr="009A2EB4">
              <w:rPr>
                <w:rFonts w:eastAsia="Calibri" w:cs="Arial"/>
                <w:b/>
                <w:bCs/>
                <w:szCs w:val="20"/>
              </w:rPr>
              <w:t>Total costs</w:t>
            </w:r>
          </w:p>
        </w:tc>
        <w:tc>
          <w:tcPr>
            <w:tcW w:w="1880" w:type="dxa"/>
            <w:shd w:val="clear" w:color="auto" w:fill="D9D9D9" w:themeFill="background1" w:themeFillShade="D9"/>
            <w:vAlign w:val="center"/>
          </w:tcPr>
          <w:p w14:paraId="2BECE0C2" w14:textId="77777777" w:rsidR="00A0125E" w:rsidRPr="009A2EB4" w:rsidRDefault="00A0125E" w:rsidP="0090217E">
            <w:pPr>
              <w:spacing w:after="0"/>
              <w:jc w:val="right"/>
              <w:rPr>
                <w:rFonts w:eastAsia="SimSun" w:cs="Arial"/>
                <w:szCs w:val="20"/>
                <w:lang w:eastAsia="en-US"/>
              </w:rPr>
            </w:pPr>
            <w:r w:rsidRPr="009A2EB4">
              <w:rPr>
                <w:rFonts w:eastAsia="Calibri" w:cs="Arial"/>
                <w:b/>
                <w:bCs/>
                <w:szCs w:val="20"/>
              </w:rPr>
              <w:t>$15,106,662</w:t>
            </w:r>
          </w:p>
        </w:tc>
        <w:tc>
          <w:tcPr>
            <w:tcW w:w="1985" w:type="dxa"/>
            <w:shd w:val="clear" w:color="auto" w:fill="D9D9D9" w:themeFill="background1" w:themeFillShade="D9"/>
            <w:vAlign w:val="center"/>
          </w:tcPr>
          <w:p w14:paraId="3977425A" w14:textId="77777777" w:rsidR="00A0125E" w:rsidRPr="009A2EB4" w:rsidRDefault="00A0125E" w:rsidP="0090217E">
            <w:pPr>
              <w:spacing w:after="0"/>
              <w:jc w:val="right"/>
              <w:rPr>
                <w:rFonts w:eastAsia="SimSun" w:cs="Arial"/>
                <w:szCs w:val="20"/>
                <w:lang w:eastAsia="en-US"/>
              </w:rPr>
            </w:pPr>
            <w:r w:rsidRPr="009A2EB4">
              <w:rPr>
                <w:rFonts w:eastAsia="Calibri" w:cs="Arial"/>
                <w:b/>
                <w:bCs/>
                <w:szCs w:val="20"/>
              </w:rPr>
              <w:t>$14,974,676</w:t>
            </w:r>
          </w:p>
        </w:tc>
        <w:tc>
          <w:tcPr>
            <w:tcW w:w="1559" w:type="dxa"/>
            <w:vAlign w:val="center"/>
          </w:tcPr>
          <w:p w14:paraId="2F39424D" w14:textId="77777777" w:rsidR="00A0125E" w:rsidRPr="009A2EB4" w:rsidRDefault="00EA782A" w:rsidP="0090217E">
            <w:pPr>
              <w:spacing w:after="0"/>
              <w:jc w:val="right"/>
              <w:rPr>
                <w:rFonts w:eastAsia="SimSun" w:cs="Arial"/>
                <w:szCs w:val="20"/>
                <w:lang w:eastAsia="en-US"/>
              </w:rPr>
            </w:pPr>
            <w:r>
              <w:rPr>
                <w:rFonts w:eastAsia="Calibri" w:cs="Arial"/>
                <w:szCs w:val="20"/>
              </w:rPr>
              <w:t>0.9</w:t>
            </w:r>
            <w:r w:rsidR="00A0125E" w:rsidRPr="009A2EB4">
              <w:rPr>
                <w:rFonts w:eastAsia="Calibri" w:cs="Arial"/>
                <w:szCs w:val="20"/>
              </w:rPr>
              <w:t>%</w:t>
            </w:r>
          </w:p>
        </w:tc>
      </w:tr>
    </w:tbl>
    <w:p w14:paraId="253E5637" w14:textId="77777777" w:rsidR="00A0125E" w:rsidRPr="00451B25" w:rsidRDefault="00A0125E" w:rsidP="00451B25">
      <w:pPr>
        <w:pStyle w:val="ACMASpaceaftertable"/>
        <w:rPr>
          <w:i/>
          <w:sz w:val="16"/>
          <w:szCs w:val="16"/>
        </w:rPr>
      </w:pPr>
      <w:r w:rsidRPr="00451B25">
        <w:rPr>
          <w:i/>
          <w:sz w:val="16"/>
          <w:szCs w:val="16"/>
        </w:rPr>
        <w:t>*increase/(decrease)</w:t>
      </w:r>
    </w:p>
    <w:p w14:paraId="637E4FC0" w14:textId="77777777" w:rsidR="009E783D" w:rsidRPr="0039521A" w:rsidRDefault="009E783D" w:rsidP="003F7E3A">
      <w:pPr>
        <w:pStyle w:val="Heading2"/>
        <w:spacing w:after="240"/>
      </w:pPr>
      <w:bookmarkStart w:id="47" w:name="_Toc417990952"/>
      <w:bookmarkStart w:id="48" w:name="_Toc454268368"/>
      <w:r w:rsidRPr="003F7E3A">
        <w:t>3.3</w:t>
      </w:r>
      <w:r w:rsidRPr="003F7E3A">
        <w:tab/>
        <w:t xml:space="preserve">Determination of cost component under paragraph 15(1)(c) of the Act—the ITU </w:t>
      </w:r>
      <w:bookmarkEnd w:id="47"/>
      <w:r w:rsidRPr="003F7E3A">
        <w:t>activity</w:t>
      </w:r>
      <w:bookmarkEnd w:id="48"/>
    </w:p>
    <w:p w14:paraId="7FC6556F" w14:textId="77777777" w:rsidR="009E783D" w:rsidRPr="003F7E3A" w:rsidRDefault="009E783D" w:rsidP="003F7E3A">
      <w:pPr>
        <w:pStyle w:val="Heading3"/>
      </w:pPr>
      <w:bookmarkStart w:id="49" w:name="_Toc417990953"/>
      <w:bookmarkStart w:id="50" w:name="_Toc454268369"/>
      <w:r w:rsidRPr="003F7E3A">
        <w:t>3.3.1</w:t>
      </w:r>
      <w:r w:rsidRPr="003F7E3A">
        <w:tab/>
        <w:t>Outputs and business processes of the activity</w:t>
      </w:r>
      <w:bookmarkEnd w:id="49"/>
      <w:bookmarkEnd w:id="50"/>
    </w:p>
    <w:p w14:paraId="76C8779C" w14:textId="77777777" w:rsidR="009E783D" w:rsidRPr="003F7E3A" w:rsidRDefault="009E783D" w:rsidP="009E783D">
      <w:pPr>
        <w:rPr>
          <w:rFonts w:ascii="Calibri" w:hAnsi="Calibri"/>
          <w:szCs w:val="22"/>
        </w:rPr>
      </w:pPr>
      <w:r>
        <w:t>This cost component relates to the Commonwealth’s annual contribution to the budget of the ITU associated with telecommunications for the calendar year 201</w:t>
      </w:r>
      <w:r w:rsidR="005822FA">
        <w:t>5</w:t>
      </w:r>
      <w:r>
        <w:t xml:space="preserve">. The amount prescribed in the determination is calculated by </w:t>
      </w:r>
      <w:r w:rsidRPr="004E2F7E">
        <w:t>the</w:t>
      </w:r>
      <w:r>
        <w:t xml:space="preserve"> DoC</w:t>
      </w:r>
      <w:r w:rsidR="005822FA">
        <w:t>A</w:t>
      </w:r>
      <w:r>
        <w:t xml:space="preserve">. </w:t>
      </w:r>
    </w:p>
    <w:p w14:paraId="03A19848" w14:textId="77777777" w:rsidR="005822FA" w:rsidRDefault="009E783D" w:rsidP="009E783D">
      <w:r w:rsidRPr="004C43A7">
        <w:t xml:space="preserve">The ITU is the specialised United Nations agency responsible for international cooperation in the use of telecommunications and the radiofrequency spectrum. It establishes treaty agreements and recommends standards for telecommunications and radiocommunications (including satellite) services. </w:t>
      </w:r>
      <w:r w:rsidR="005822FA">
        <w:t>There are 193 m</w:t>
      </w:r>
      <w:r w:rsidRPr="004C43A7">
        <w:t>ember</w:t>
      </w:r>
      <w:r w:rsidR="005822FA">
        <w:t xml:space="preserve"> states</w:t>
      </w:r>
      <w:r w:rsidRPr="004C43A7">
        <w:t xml:space="preserve"> of the ITU and </w:t>
      </w:r>
      <w:r w:rsidR="005822FA">
        <w:t xml:space="preserve">more than </w:t>
      </w:r>
      <w:r w:rsidRPr="004C43A7">
        <w:t xml:space="preserve">700 non-government </w:t>
      </w:r>
      <w:r w:rsidR="005822FA">
        <w:t>members</w:t>
      </w:r>
      <w:r w:rsidRPr="004C43A7">
        <w:t>. The D</w:t>
      </w:r>
      <w:r>
        <w:t>oC</w:t>
      </w:r>
      <w:r w:rsidR="005822FA">
        <w:t>A</w:t>
      </w:r>
      <w:r w:rsidRPr="004C43A7">
        <w:t xml:space="preserve"> manages Australia's membershi</w:t>
      </w:r>
      <w:r>
        <w:t xml:space="preserve">p and </w:t>
      </w:r>
      <w:r w:rsidR="005822FA">
        <w:t>engagement</w:t>
      </w:r>
      <w:r>
        <w:t xml:space="preserve"> in the ITU.</w:t>
      </w:r>
      <w:r w:rsidRPr="0058511A">
        <w:t xml:space="preserve"> </w:t>
      </w:r>
      <w:r>
        <w:t xml:space="preserve">Australian organisations, both government and private, </w:t>
      </w:r>
      <w:r w:rsidR="005822FA">
        <w:t xml:space="preserve">engage with the </w:t>
      </w:r>
      <w:r>
        <w:t>ITU</w:t>
      </w:r>
      <w:r w:rsidR="005822FA">
        <w:t xml:space="preserve">. </w:t>
      </w:r>
      <w:r w:rsidR="001B038E">
        <w:t xml:space="preserve">As the ITU forms part of the regulatory framework, it </w:t>
      </w:r>
      <w:r w:rsidR="00400A7F">
        <w:t xml:space="preserve">is </w:t>
      </w:r>
      <w:r w:rsidR="001B038E">
        <w:t>appropriate to attribute ITU costs to the licensed carriers through the ACLC.</w:t>
      </w:r>
    </w:p>
    <w:p w14:paraId="695BB854" w14:textId="09BD3EC9" w:rsidR="005822FA" w:rsidRDefault="005822FA" w:rsidP="005822FA">
      <w:r w:rsidRPr="004C43A7">
        <w:t>The ITU’s work is carried out by three sectors</w:t>
      </w:r>
      <w:r>
        <w:t>—</w:t>
      </w:r>
      <w:r w:rsidRPr="004C43A7">
        <w:t>the Radiocommunication Sector (ITU-R)</w:t>
      </w:r>
      <w:r>
        <w:t>,</w:t>
      </w:r>
      <w:r w:rsidRPr="004C43A7">
        <w:t xml:space="preserve"> the Development Sector (ITU-D)</w:t>
      </w:r>
      <w:r>
        <w:t xml:space="preserve"> and the </w:t>
      </w:r>
      <w:r w:rsidRPr="004C43A7">
        <w:t>Telecommunicati</w:t>
      </w:r>
      <w:r>
        <w:t>on Standardi</w:t>
      </w:r>
      <w:r w:rsidR="00347085">
        <w:t>z</w:t>
      </w:r>
      <w:r>
        <w:t>ation Sector (ITU-T).</w:t>
      </w:r>
      <w:r w:rsidRPr="004C43A7">
        <w:t xml:space="preserve"> ITU-R has an important role in managing the finite natural resources of radiofrequency spectrum and satellite orbits. ITU-D assist</w:t>
      </w:r>
      <w:r>
        <w:t>s</w:t>
      </w:r>
      <w:r w:rsidRPr="004C43A7">
        <w:t xml:space="preserve"> developing countries in the field of information and communication technologies (ICTs), including promoting access to ICTs and actions that narrow the digital divide.</w:t>
      </w:r>
      <w:r w:rsidRPr="004F57FE">
        <w:t xml:space="preserve"> </w:t>
      </w:r>
      <w:r w:rsidRPr="004C43A7">
        <w:t>ITU-T develops voluntary standards called ITU-T Recommendations.</w:t>
      </w:r>
    </w:p>
    <w:p w14:paraId="7EBB54DD" w14:textId="77777777" w:rsidR="005822FA" w:rsidRDefault="005822FA" w:rsidP="005822FA">
      <w:pPr>
        <w:spacing w:after="80"/>
      </w:pPr>
      <w:r>
        <w:t>The ITU is responsible for a number of treaties, including</w:t>
      </w:r>
    </w:p>
    <w:p w14:paraId="73B3A721" w14:textId="3C1E4F94" w:rsidR="005822FA" w:rsidRPr="00AC6621" w:rsidRDefault="00347085" w:rsidP="00451B25">
      <w:pPr>
        <w:pStyle w:val="ListBullet"/>
        <w:rPr>
          <w:rFonts w:ascii="Calibri" w:hAnsi="Calibri"/>
          <w:szCs w:val="22"/>
        </w:rPr>
      </w:pPr>
      <w:r>
        <w:t>t</w:t>
      </w:r>
      <w:r w:rsidR="005822FA">
        <w:t>he ITU Constitution and Convention, which governs the organisation and engagement in it</w:t>
      </w:r>
    </w:p>
    <w:p w14:paraId="4E1F9F23" w14:textId="71DFC132" w:rsidR="005822FA" w:rsidRPr="00AC6621" w:rsidRDefault="00347085" w:rsidP="00451B25">
      <w:pPr>
        <w:pStyle w:val="ListBullet"/>
        <w:rPr>
          <w:rFonts w:ascii="Calibri" w:hAnsi="Calibri"/>
          <w:szCs w:val="22"/>
        </w:rPr>
      </w:pPr>
      <w:r>
        <w:t>t</w:t>
      </w:r>
      <w:r w:rsidR="005822FA">
        <w:t>he Radio Regulations, governing the use of radiofrequency spectrum</w:t>
      </w:r>
    </w:p>
    <w:p w14:paraId="2E28EF30" w14:textId="3003929A" w:rsidR="005822FA" w:rsidRPr="00AC6621" w:rsidRDefault="00347085" w:rsidP="00451B25">
      <w:pPr>
        <w:pStyle w:val="ListBulletLast"/>
        <w:rPr>
          <w:rFonts w:ascii="Calibri" w:hAnsi="Calibri"/>
          <w:szCs w:val="22"/>
        </w:rPr>
      </w:pPr>
      <w:r>
        <w:t>t</w:t>
      </w:r>
      <w:r w:rsidR="005822FA">
        <w:t xml:space="preserve">he </w:t>
      </w:r>
      <w:r w:rsidR="005822FA" w:rsidRPr="00596F9C">
        <w:t>International Telecommunication Regulations</w:t>
      </w:r>
      <w:r w:rsidR="005822FA">
        <w:t xml:space="preserve">, </w:t>
      </w:r>
      <w:r w:rsidR="005822FA" w:rsidRPr="00596F9C">
        <w:t>facilitat</w:t>
      </w:r>
      <w:r w:rsidR="008779EF">
        <w:t>ing</w:t>
      </w:r>
      <w:r w:rsidR="005822FA" w:rsidRPr="00596F9C">
        <w:t xml:space="preserve"> the interconnection of international telecommunication services. </w:t>
      </w:r>
    </w:p>
    <w:p w14:paraId="736CC65F" w14:textId="77777777" w:rsidR="009E783D" w:rsidRDefault="009E783D" w:rsidP="003F7E3A">
      <w:pPr>
        <w:pStyle w:val="Heading3"/>
      </w:pPr>
      <w:bookmarkStart w:id="51" w:name="_Toc417990954"/>
      <w:bookmarkStart w:id="52" w:name="_Toc454268370"/>
      <w:r w:rsidRPr="003F7E3A">
        <w:t>3.3.2</w:t>
      </w:r>
      <w:r w:rsidRPr="003F7E3A">
        <w:tab/>
        <w:t>Costs of the activity</w:t>
      </w:r>
      <w:bookmarkEnd w:id="51"/>
      <w:bookmarkEnd w:id="52"/>
    </w:p>
    <w:p w14:paraId="2F0324B9" w14:textId="141BE61B" w:rsidR="009E783D" w:rsidRDefault="009E783D" w:rsidP="009E783D">
      <w:r>
        <w:t>The Commonwealth contributions to the ITU, amounting to 4,725,000 Swiss Francs</w:t>
      </w:r>
      <w:r w:rsidR="00291F05">
        <w:t xml:space="preserve"> annually</w:t>
      </w:r>
      <w:r>
        <w:t>, are made by the DoC</w:t>
      </w:r>
      <w:r w:rsidR="00291F05">
        <w:t>A</w:t>
      </w:r>
      <w:r>
        <w:t xml:space="preserve"> each year as appropriated in the budget process, covering both the telecommunication and radiocommunication sectors. The same level of contribution is expected to be made </w:t>
      </w:r>
      <w:r w:rsidRPr="00F02F40">
        <w:t xml:space="preserve">each </w:t>
      </w:r>
      <w:r>
        <w:t xml:space="preserve">year. However, the equivalent amount in </w:t>
      </w:r>
      <w:r>
        <w:lastRenderedPageBreak/>
        <w:t xml:space="preserve">Australian </w:t>
      </w:r>
      <w:r w:rsidR="0094737E">
        <w:t>d</w:t>
      </w:r>
      <w:r>
        <w:t xml:space="preserve">ollars </w:t>
      </w:r>
      <w:r w:rsidR="00291F05">
        <w:t>varies</w:t>
      </w:r>
      <w:r>
        <w:t xml:space="preserve"> depending on the exchange rate at t</w:t>
      </w:r>
      <w:r w:rsidR="00291F05">
        <w:t>he time of payment. For the 2015</w:t>
      </w:r>
      <w:r>
        <w:t xml:space="preserve"> calenda</w:t>
      </w:r>
      <w:r w:rsidR="003F7E3A">
        <w:t>r year</w:t>
      </w:r>
      <w:r w:rsidR="0094737E">
        <w:t>,</w:t>
      </w:r>
      <w:r w:rsidR="00291F05">
        <w:t xml:space="preserve"> it was AUD 6,186,905</w:t>
      </w:r>
      <w:r w:rsidR="003F7E3A">
        <w:t>.</w:t>
      </w:r>
    </w:p>
    <w:p w14:paraId="26A48A93" w14:textId="0D574A37" w:rsidR="009E783D" w:rsidRDefault="009E783D" w:rsidP="009E783D">
      <w:r>
        <w:t xml:space="preserve">The ITU has provided the actual output costs in Swiss Francs by </w:t>
      </w:r>
      <w:r w:rsidR="00291F05">
        <w:t>sector for the years 2014 and 2015 as disclosed in the Table 8</w:t>
      </w:r>
      <w:r>
        <w:t xml:space="preserve"> below. The output costs were ascertained from </w:t>
      </w:r>
      <w:r w:rsidR="008779EF">
        <w:t xml:space="preserve">the </w:t>
      </w:r>
      <w:r>
        <w:t>ITU’s activity</w:t>
      </w:r>
      <w:r w:rsidR="00347085">
        <w:t>-</w:t>
      </w:r>
      <w:r>
        <w:t>based costing model. In order to separate the costs in AUD that are relevant to the telecommunications sector, the DoC</w:t>
      </w:r>
      <w:r w:rsidR="00291F05">
        <w:t>A</w:t>
      </w:r>
      <w:r>
        <w:t xml:space="preserve"> has applied the ratio established for the split between each sector in Swiss Franc</w:t>
      </w:r>
      <w:r w:rsidR="00291F05">
        <w:t>s for 2015</w:t>
      </w:r>
      <w:r w:rsidR="003F7E3A">
        <w:t>.</w:t>
      </w:r>
    </w:p>
    <w:p w14:paraId="1164FA2E" w14:textId="77777777" w:rsidR="009E783D" w:rsidRDefault="00291F05" w:rsidP="009E783D">
      <w:r>
        <w:t>Table 8</w:t>
      </w:r>
      <w:r w:rsidR="009E783D" w:rsidRPr="00A84CBD">
        <w:t xml:space="preserve"> provides the comparison of ITU contribut</w:t>
      </w:r>
      <w:r>
        <w:t>ions for the calendar years 2014 and 2015</w:t>
      </w:r>
      <w:r w:rsidR="00462477">
        <w:t>.</w:t>
      </w:r>
    </w:p>
    <w:p w14:paraId="69DE62D7" w14:textId="77777777" w:rsidR="00291F05" w:rsidRDefault="00D866D4" w:rsidP="00451B25">
      <w:pPr>
        <w:pStyle w:val="ACMATableHeader"/>
        <w:keepNext/>
        <w:numPr>
          <w:ilvl w:val="0"/>
          <w:numId w:val="0"/>
        </w:numPr>
      </w:pPr>
      <w:r>
        <w:t>Table 8:</w:t>
      </w:r>
      <w:r>
        <w:tab/>
      </w:r>
      <w:r w:rsidR="00291F05" w:rsidRPr="00551EC3">
        <w:t>ITU component</w:t>
      </w:r>
    </w:p>
    <w:tbl>
      <w:tblPr>
        <w:tblW w:w="8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1E0" w:firstRow="1" w:lastRow="1" w:firstColumn="1" w:lastColumn="1" w:noHBand="0" w:noVBand="0"/>
      </w:tblPr>
      <w:tblGrid>
        <w:gridCol w:w="1411"/>
        <w:gridCol w:w="2687"/>
        <w:gridCol w:w="2386"/>
        <w:gridCol w:w="1872"/>
      </w:tblGrid>
      <w:tr w:rsidR="00291F05" w:rsidRPr="00E11BCD" w14:paraId="5BB9E69C" w14:textId="77777777" w:rsidTr="00291F05">
        <w:trPr>
          <w:trHeight w:val="410"/>
        </w:trPr>
        <w:tc>
          <w:tcPr>
            <w:tcW w:w="844" w:type="pct"/>
            <w:tcBorders>
              <w:bottom w:val="single" w:sz="6" w:space="0" w:color="auto"/>
            </w:tcBorders>
            <w:shd w:val="clear" w:color="auto" w:fill="404040" w:themeFill="text1" w:themeFillTint="BF"/>
            <w:vAlign w:val="center"/>
          </w:tcPr>
          <w:p w14:paraId="1382D1C9" w14:textId="77777777" w:rsidR="00291F05" w:rsidRPr="003A1B6D" w:rsidRDefault="00291F05" w:rsidP="0090217E">
            <w:pPr>
              <w:keepNext/>
              <w:keepLines/>
              <w:spacing w:after="0" w:line="280" w:lineRule="exact"/>
              <w:jc w:val="center"/>
              <w:rPr>
                <w:rFonts w:cs="Arial"/>
                <w:b/>
                <w:bCs/>
                <w:color w:val="FFFFFF" w:themeColor="background1"/>
                <w:szCs w:val="20"/>
              </w:rPr>
            </w:pPr>
          </w:p>
        </w:tc>
        <w:tc>
          <w:tcPr>
            <w:tcW w:w="1608" w:type="pct"/>
            <w:tcBorders>
              <w:bottom w:val="single" w:sz="6" w:space="0" w:color="auto"/>
            </w:tcBorders>
            <w:shd w:val="clear" w:color="auto" w:fill="404040" w:themeFill="text1" w:themeFillTint="BF"/>
            <w:tcMar>
              <w:left w:w="0" w:type="dxa"/>
              <w:right w:w="0" w:type="dxa"/>
            </w:tcMar>
            <w:vAlign w:val="center"/>
          </w:tcPr>
          <w:p w14:paraId="1CB6D347" w14:textId="77777777" w:rsidR="00291F05" w:rsidRDefault="00291F05" w:rsidP="0090217E">
            <w:pPr>
              <w:keepNext/>
              <w:keepLines/>
              <w:spacing w:after="0" w:line="280" w:lineRule="exact"/>
              <w:jc w:val="right"/>
              <w:rPr>
                <w:rFonts w:cs="Arial"/>
                <w:b/>
                <w:bCs/>
                <w:color w:val="FFFFFF" w:themeColor="background1"/>
                <w:szCs w:val="20"/>
              </w:rPr>
            </w:pPr>
            <w:r w:rsidRPr="00A84CBD">
              <w:rPr>
                <w:rFonts w:cs="Arial"/>
                <w:b/>
                <w:bCs/>
                <w:color w:val="FFFFFF" w:themeColor="background1"/>
                <w:szCs w:val="20"/>
              </w:rPr>
              <w:t>Telecommunication sector</w:t>
            </w:r>
          </w:p>
        </w:tc>
        <w:tc>
          <w:tcPr>
            <w:tcW w:w="1428" w:type="pct"/>
            <w:tcBorders>
              <w:bottom w:val="single" w:sz="6" w:space="0" w:color="auto"/>
            </w:tcBorders>
            <w:shd w:val="clear" w:color="auto" w:fill="404040" w:themeFill="text1" w:themeFillTint="BF"/>
            <w:vAlign w:val="center"/>
          </w:tcPr>
          <w:p w14:paraId="2CD41AAB" w14:textId="77777777" w:rsidR="00291F05" w:rsidRDefault="00291F05" w:rsidP="0090217E">
            <w:pPr>
              <w:keepNext/>
              <w:keepLines/>
              <w:spacing w:after="0" w:line="280" w:lineRule="exact"/>
              <w:jc w:val="right"/>
              <w:rPr>
                <w:rFonts w:cs="Arial"/>
                <w:b/>
                <w:bCs/>
                <w:color w:val="FFFFFF" w:themeColor="background1"/>
                <w:szCs w:val="20"/>
              </w:rPr>
            </w:pPr>
            <w:r w:rsidRPr="00A84CBD">
              <w:rPr>
                <w:rFonts w:cs="Arial"/>
                <w:b/>
                <w:bCs/>
                <w:color w:val="FFFFFF" w:themeColor="background1"/>
                <w:szCs w:val="20"/>
              </w:rPr>
              <w:t>Radiocommunication sector</w:t>
            </w:r>
          </w:p>
        </w:tc>
        <w:tc>
          <w:tcPr>
            <w:tcW w:w="1120" w:type="pct"/>
            <w:tcBorders>
              <w:bottom w:val="single" w:sz="6" w:space="0" w:color="auto"/>
            </w:tcBorders>
            <w:shd w:val="clear" w:color="auto" w:fill="404040" w:themeFill="text1" w:themeFillTint="BF"/>
            <w:vAlign w:val="center"/>
          </w:tcPr>
          <w:p w14:paraId="600FDDB9" w14:textId="77777777" w:rsidR="00291F05" w:rsidRDefault="00291F05" w:rsidP="0090217E">
            <w:pPr>
              <w:keepNext/>
              <w:keepLines/>
              <w:spacing w:after="0" w:line="280" w:lineRule="exact"/>
              <w:jc w:val="right"/>
              <w:rPr>
                <w:rFonts w:cs="Arial"/>
                <w:b/>
                <w:bCs/>
                <w:color w:val="FFFFFF" w:themeColor="background1"/>
                <w:szCs w:val="20"/>
              </w:rPr>
            </w:pPr>
            <w:r w:rsidRPr="00A84CBD">
              <w:rPr>
                <w:rFonts w:cs="Arial"/>
                <w:b/>
                <w:bCs/>
                <w:color w:val="FFFFFF" w:themeColor="background1"/>
                <w:szCs w:val="20"/>
              </w:rPr>
              <w:t>Total</w:t>
            </w:r>
          </w:p>
        </w:tc>
      </w:tr>
      <w:tr w:rsidR="00291F05" w:rsidRPr="00E11BCD" w14:paraId="428055EC" w14:textId="77777777" w:rsidTr="00291F05">
        <w:trPr>
          <w:trHeight w:hRule="exact" w:val="386"/>
        </w:trPr>
        <w:tc>
          <w:tcPr>
            <w:tcW w:w="844" w:type="pct"/>
            <w:shd w:val="clear" w:color="auto" w:fill="D9D9D9" w:themeFill="background1" w:themeFillShade="D9"/>
            <w:vAlign w:val="center"/>
          </w:tcPr>
          <w:p w14:paraId="05D0D7CD" w14:textId="77777777" w:rsidR="00291F05" w:rsidRPr="000D6F80" w:rsidRDefault="00291F05" w:rsidP="0090217E">
            <w:pPr>
              <w:keepNext/>
              <w:keepLines/>
              <w:spacing w:after="0"/>
              <w:jc w:val="center"/>
              <w:rPr>
                <w:rFonts w:cs="Arial"/>
                <w:b/>
                <w:szCs w:val="20"/>
              </w:rPr>
            </w:pPr>
          </w:p>
        </w:tc>
        <w:tc>
          <w:tcPr>
            <w:tcW w:w="1608" w:type="pct"/>
            <w:shd w:val="clear" w:color="auto" w:fill="D9D9D9" w:themeFill="background1" w:themeFillShade="D9"/>
            <w:vAlign w:val="center"/>
          </w:tcPr>
          <w:p w14:paraId="37F380E1" w14:textId="77777777" w:rsidR="00291F05" w:rsidRDefault="00291F05" w:rsidP="0090217E">
            <w:pPr>
              <w:keepNext/>
              <w:keepLines/>
              <w:spacing w:after="0"/>
              <w:jc w:val="right"/>
              <w:rPr>
                <w:rFonts w:cs="Arial"/>
                <w:b/>
                <w:szCs w:val="20"/>
              </w:rPr>
            </w:pPr>
            <w:r w:rsidRPr="000D6F80">
              <w:rPr>
                <w:rFonts w:cs="Arial"/>
                <w:b/>
                <w:szCs w:val="20"/>
              </w:rPr>
              <w:t>AUD</w:t>
            </w:r>
          </w:p>
        </w:tc>
        <w:tc>
          <w:tcPr>
            <w:tcW w:w="1428" w:type="pct"/>
            <w:shd w:val="clear" w:color="auto" w:fill="D9D9D9" w:themeFill="background1" w:themeFillShade="D9"/>
            <w:vAlign w:val="center"/>
          </w:tcPr>
          <w:p w14:paraId="13A4146D" w14:textId="77777777" w:rsidR="00291F05" w:rsidRDefault="00291F05" w:rsidP="0090217E">
            <w:pPr>
              <w:keepNext/>
              <w:keepLines/>
              <w:spacing w:after="0"/>
              <w:jc w:val="right"/>
              <w:rPr>
                <w:rFonts w:cs="Arial"/>
                <w:b/>
                <w:szCs w:val="20"/>
              </w:rPr>
            </w:pPr>
            <w:r w:rsidRPr="000D6F80">
              <w:rPr>
                <w:rFonts w:cs="Arial"/>
                <w:b/>
                <w:szCs w:val="20"/>
              </w:rPr>
              <w:t>AUD</w:t>
            </w:r>
          </w:p>
        </w:tc>
        <w:tc>
          <w:tcPr>
            <w:tcW w:w="1120" w:type="pct"/>
            <w:shd w:val="clear" w:color="auto" w:fill="D9D9D9" w:themeFill="background1" w:themeFillShade="D9"/>
            <w:vAlign w:val="center"/>
          </w:tcPr>
          <w:p w14:paraId="18B06787" w14:textId="77777777" w:rsidR="00291F05" w:rsidRDefault="00291F05" w:rsidP="0090217E">
            <w:pPr>
              <w:keepNext/>
              <w:keepLines/>
              <w:spacing w:after="0"/>
              <w:jc w:val="right"/>
              <w:rPr>
                <w:rFonts w:cs="Arial"/>
                <w:b/>
                <w:szCs w:val="20"/>
              </w:rPr>
            </w:pPr>
            <w:r w:rsidRPr="000D6F80">
              <w:rPr>
                <w:rFonts w:cs="Arial"/>
                <w:b/>
                <w:szCs w:val="20"/>
              </w:rPr>
              <w:t>AUD</w:t>
            </w:r>
          </w:p>
        </w:tc>
      </w:tr>
      <w:tr w:rsidR="00291F05" w:rsidRPr="00E11BCD" w14:paraId="3A25F5A0" w14:textId="77777777" w:rsidTr="00291F05">
        <w:trPr>
          <w:trHeight w:hRule="exact" w:val="386"/>
        </w:trPr>
        <w:tc>
          <w:tcPr>
            <w:tcW w:w="844" w:type="pct"/>
            <w:vAlign w:val="center"/>
          </w:tcPr>
          <w:p w14:paraId="506D1B32" w14:textId="77777777" w:rsidR="00291F05" w:rsidRPr="00E11BCD" w:rsidRDefault="00291F05" w:rsidP="0090217E">
            <w:pPr>
              <w:keepNext/>
              <w:keepLines/>
              <w:spacing w:after="0"/>
              <w:ind w:right="-142"/>
              <w:rPr>
                <w:rFonts w:cs="Arial"/>
                <w:bCs/>
                <w:szCs w:val="20"/>
              </w:rPr>
            </w:pPr>
            <w:r w:rsidRPr="00E11BCD">
              <w:rPr>
                <w:rFonts w:cs="Arial"/>
                <w:bCs/>
                <w:szCs w:val="20"/>
              </w:rPr>
              <w:t>201</w:t>
            </w:r>
            <w:r>
              <w:rPr>
                <w:rFonts w:cs="Arial"/>
                <w:bCs/>
                <w:szCs w:val="20"/>
              </w:rPr>
              <w:t>5</w:t>
            </w:r>
          </w:p>
        </w:tc>
        <w:tc>
          <w:tcPr>
            <w:tcW w:w="1608" w:type="pct"/>
            <w:vAlign w:val="center"/>
          </w:tcPr>
          <w:p w14:paraId="04B92C8D" w14:textId="77777777" w:rsidR="00291F05" w:rsidRDefault="00291F05" w:rsidP="0090217E">
            <w:pPr>
              <w:keepNext/>
              <w:keepLines/>
              <w:spacing w:after="0"/>
              <w:jc w:val="right"/>
              <w:rPr>
                <w:rFonts w:cs="Arial"/>
                <w:bCs/>
                <w:szCs w:val="20"/>
              </w:rPr>
            </w:pPr>
            <w:r w:rsidRPr="004F57FE">
              <w:t>1,861,021</w:t>
            </w:r>
          </w:p>
        </w:tc>
        <w:tc>
          <w:tcPr>
            <w:tcW w:w="1428" w:type="pct"/>
            <w:vAlign w:val="center"/>
          </w:tcPr>
          <w:p w14:paraId="4EEED977" w14:textId="77777777" w:rsidR="00291F05" w:rsidRDefault="00291F05" w:rsidP="0090217E">
            <w:pPr>
              <w:keepNext/>
              <w:keepLines/>
              <w:spacing w:after="0"/>
              <w:ind w:right="34"/>
              <w:jc w:val="right"/>
              <w:rPr>
                <w:rFonts w:cs="Arial"/>
                <w:bCs/>
                <w:szCs w:val="20"/>
              </w:rPr>
            </w:pPr>
            <w:r w:rsidRPr="004F57FE">
              <w:t>4,325,884</w:t>
            </w:r>
          </w:p>
        </w:tc>
        <w:tc>
          <w:tcPr>
            <w:tcW w:w="1120" w:type="pct"/>
            <w:vAlign w:val="center"/>
          </w:tcPr>
          <w:p w14:paraId="3C198592" w14:textId="77777777" w:rsidR="00291F05" w:rsidRDefault="00291F05" w:rsidP="0090217E">
            <w:pPr>
              <w:keepNext/>
              <w:keepLines/>
              <w:spacing w:after="0"/>
              <w:jc w:val="right"/>
              <w:rPr>
                <w:rFonts w:cs="Arial"/>
                <w:bCs/>
                <w:szCs w:val="20"/>
              </w:rPr>
            </w:pPr>
            <w:r>
              <w:t>6,186,905</w:t>
            </w:r>
          </w:p>
        </w:tc>
      </w:tr>
      <w:tr w:rsidR="00291F05" w:rsidRPr="009C16DA" w14:paraId="58989117" w14:textId="77777777" w:rsidTr="00291F05">
        <w:trPr>
          <w:trHeight w:hRule="exact" w:val="386"/>
        </w:trPr>
        <w:tc>
          <w:tcPr>
            <w:tcW w:w="844" w:type="pct"/>
            <w:vAlign w:val="center"/>
          </w:tcPr>
          <w:p w14:paraId="5D4CCED2" w14:textId="77777777" w:rsidR="00291F05" w:rsidRPr="00E11BCD" w:rsidRDefault="00291F05" w:rsidP="0090217E">
            <w:pPr>
              <w:keepNext/>
              <w:keepLines/>
              <w:spacing w:after="0"/>
              <w:ind w:right="-142"/>
              <w:rPr>
                <w:rFonts w:cs="Arial"/>
                <w:bCs/>
                <w:szCs w:val="20"/>
              </w:rPr>
            </w:pPr>
            <w:r>
              <w:rPr>
                <w:rFonts w:cs="Arial"/>
                <w:bCs/>
                <w:szCs w:val="20"/>
              </w:rPr>
              <w:t>2014</w:t>
            </w:r>
          </w:p>
        </w:tc>
        <w:tc>
          <w:tcPr>
            <w:tcW w:w="1608" w:type="pct"/>
            <w:vAlign w:val="center"/>
          </w:tcPr>
          <w:p w14:paraId="66A72401" w14:textId="77777777" w:rsidR="00291F05" w:rsidRDefault="00291F05" w:rsidP="0090217E">
            <w:pPr>
              <w:keepNext/>
              <w:keepLines/>
              <w:spacing w:after="0"/>
              <w:jc w:val="right"/>
              <w:rPr>
                <w:rFonts w:cs="Arial"/>
                <w:bCs/>
                <w:szCs w:val="20"/>
              </w:rPr>
            </w:pPr>
            <w:r>
              <w:rPr>
                <w:rFonts w:cs="Arial"/>
                <w:bCs/>
                <w:szCs w:val="20"/>
              </w:rPr>
              <w:t>1,860,447</w:t>
            </w:r>
          </w:p>
        </w:tc>
        <w:tc>
          <w:tcPr>
            <w:tcW w:w="1428" w:type="pct"/>
            <w:vAlign w:val="center"/>
          </w:tcPr>
          <w:p w14:paraId="351D32C6" w14:textId="77777777" w:rsidR="00291F05" w:rsidRDefault="00291F05" w:rsidP="0090217E">
            <w:pPr>
              <w:keepNext/>
              <w:keepLines/>
              <w:spacing w:after="0"/>
              <w:ind w:right="34"/>
              <w:jc w:val="right"/>
              <w:rPr>
                <w:rFonts w:cs="Arial"/>
                <w:bCs/>
                <w:szCs w:val="20"/>
              </w:rPr>
            </w:pPr>
            <w:r>
              <w:rPr>
                <w:rFonts w:cs="Arial"/>
                <w:bCs/>
                <w:szCs w:val="20"/>
              </w:rPr>
              <w:t>4,040,113</w:t>
            </w:r>
          </w:p>
        </w:tc>
        <w:tc>
          <w:tcPr>
            <w:tcW w:w="1120" w:type="pct"/>
            <w:vAlign w:val="center"/>
          </w:tcPr>
          <w:p w14:paraId="3C31ABCC" w14:textId="77777777" w:rsidR="00291F05" w:rsidRDefault="00291F05" w:rsidP="0090217E">
            <w:pPr>
              <w:keepNext/>
              <w:keepLines/>
              <w:spacing w:after="0"/>
              <w:jc w:val="right"/>
              <w:rPr>
                <w:rFonts w:cs="Arial"/>
                <w:bCs/>
                <w:szCs w:val="20"/>
              </w:rPr>
            </w:pPr>
            <w:r>
              <w:rPr>
                <w:rFonts w:cs="Arial"/>
                <w:bCs/>
                <w:szCs w:val="20"/>
              </w:rPr>
              <w:t>5,900,560</w:t>
            </w:r>
          </w:p>
        </w:tc>
      </w:tr>
      <w:tr w:rsidR="00291F05" w:rsidRPr="00E11BCD" w14:paraId="2BD0E431" w14:textId="77777777" w:rsidTr="00291F05">
        <w:trPr>
          <w:trHeight w:hRule="exact" w:val="386"/>
        </w:trPr>
        <w:tc>
          <w:tcPr>
            <w:tcW w:w="844" w:type="pct"/>
            <w:vAlign w:val="center"/>
          </w:tcPr>
          <w:p w14:paraId="70031358" w14:textId="77777777" w:rsidR="00291F05" w:rsidRPr="00E11BCD" w:rsidRDefault="00291F05" w:rsidP="0090217E">
            <w:pPr>
              <w:keepNext/>
              <w:keepLines/>
              <w:spacing w:after="0"/>
              <w:ind w:right="-142"/>
              <w:rPr>
                <w:rFonts w:cs="Arial"/>
                <w:bCs/>
                <w:szCs w:val="20"/>
              </w:rPr>
            </w:pPr>
            <w:r>
              <w:rPr>
                <w:rFonts w:cs="Arial"/>
                <w:bCs/>
                <w:szCs w:val="20"/>
              </w:rPr>
              <w:t>Increase</w:t>
            </w:r>
          </w:p>
        </w:tc>
        <w:tc>
          <w:tcPr>
            <w:tcW w:w="1608" w:type="pct"/>
            <w:vAlign w:val="center"/>
          </w:tcPr>
          <w:p w14:paraId="4109F7B4" w14:textId="77777777" w:rsidR="00291F05" w:rsidRDefault="00291F05" w:rsidP="0090217E">
            <w:pPr>
              <w:keepNext/>
              <w:keepLines/>
              <w:spacing w:after="0"/>
              <w:jc w:val="right"/>
              <w:rPr>
                <w:rFonts w:cs="Arial"/>
                <w:bCs/>
                <w:szCs w:val="20"/>
              </w:rPr>
            </w:pPr>
            <w:r>
              <w:rPr>
                <w:rFonts w:cs="Arial"/>
                <w:bCs/>
                <w:szCs w:val="20"/>
              </w:rPr>
              <w:t>0.03%</w:t>
            </w:r>
          </w:p>
        </w:tc>
        <w:tc>
          <w:tcPr>
            <w:tcW w:w="1428" w:type="pct"/>
            <w:vAlign w:val="center"/>
          </w:tcPr>
          <w:p w14:paraId="36707B0D" w14:textId="77777777" w:rsidR="00291F05" w:rsidRDefault="00291F05" w:rsidP="0090217E">
            <w:pPr>
              <w:keepNext/>
              <w:keepLines/>
              <w:spacing w:after="0"/>
              <w:jc w:val="right"/>
              <w:rPr>
                <w:rFonts w:cs="Arial"/>
                <w:bCs/>
                <w:szCs w:val="20"/>
              </w:rPr>
            </w:pPr>
            <w:r>
              <w:rPr>
                <w:rFonts w:cs="Arial"/>
                <w:bCs/>
                <w:szCs w:val="20"/>
              </w:rPr>
              <w:t>7.07%</w:t>
            </w:r>
          </w:p>
        </w:tc>
        <w:tc>
          <w:tcPr>
            <w:tcW w:w="1120" w:type="pct"/>
            <w:vAlign w:val="center"/>
          </w:tcPr>
          <w:p w14:paraId="142D6037" w14:textId="77777777" w:rsidR="00291F05" w:rsidRDefault="00291F05" w:rsidP="0090217E">
            <w:pPr>
              <w:keepNext/>
              <w:keepLines/>
              <w:spacing w:after="0"/>
              <w:jc w:val="right"/>
              <w:rPr>
                <w:rFonts w:cs="Arial"/>
                <w:bCs/>
                <w:szCs w:val="20"/>
              </w:rPr>
            </w:pPr>
            <w:r>
              <w:rPr>
                <w:rFonts w:cs="Arial"/>
                <w:bCs/>
                <w:szCs w:val="20"/>
              </w:rPr>
              <w:t>4.85%</w:t>
            </w:r>
          </w:p>
        </w:tc>
      </w:tr>
      <w:tr w:rsidR="00291F05" w:rsidRPr="00E11BCD" w14:paraId="0DE320EF" w14:textId="77777777" w:rsidTr="00291F05">
        <w:trPr>
          <w:trHeight w:hRule="exact" w:val="386"/>
        </w:trPr>
        <w:tc>
          <w:tcPr>
            <w:tcW w:w="844" w:type="pct"/>
            <w:vAlign w:val="center"/>
          </w:tcPr>
          <w:p w14:paraId="07CEE6D9" w14:textId="77777777" w:rsidR="00291F05" w:rsidRPr="00E11BCD" w:rsidRDefault="00291F05" w:rsidP="0090217E">
            <w:pPr>
              <w:keepNext/>
              <w:keepLines/>
              <w:spacing w:after="0"/>
              <w:ind w:right="-142"/>
              <w:rPr>
                <w:rFonts w:cs="Arial"/>
                <w:bCs/>
                <w:szCs w:val="20"/>
              </w:rPr>
            </w:pPr>
            <w:r>
              <w:rPr>
                <w:rFonts w:cs="Arial"/>
                <w:bCs/>
                <w:szCs w:val="20"/>
              </w:rPr>
              <w:t>Ratio 2015</w:t>
            </w:r>
          </w:p>
        </w:tc>
        <w:tc>
          <w:tcPr>
            <w:tcW w:w="1608" w:type="pct"/>
            <w:vAlign w:val="center"/>
          </w:tcPr>
          <w:p w14:paraId="277ACB68" w14:textId="77777777" w:rsidR="00291F05" w:rsidRDefault="00291F05" w:rsidP="0090217E">
            <w:pPr>
              <w:keepNext/>
              <w:keepLines/>
              <w:spacing w:after="0"/>
              <w:jc w:val="right"/>
              <w:rPr>
                <w:rFonts w:cs="Arial"/>
                <w:bCs/>
                <w:szCs w:val="20"/>
              </w:rPr>
            </w:pPr>
            <w:r>
              <w:rPr>
                <w:rFonts w:cs="Arial"/>
                <w:bCs/>
                <w:szCs w:val="20"/>
              </w:rPr>
              <w:t>30.08%</w:t>
            </w:r>
          </w:p>
        </w:tc>
        <w:tc>
          <w:tcPr>
            <w:tcW w:w="1428" w:type="pct"/>
            <w:vAlign w:val="center"/>
          </w:tcPr>
          <w:p w14:paraId="2CDA0D94" w14:textId="77777777" w:rsidR="00291F05" w:rsidRDefault="00291F05" w:rsidP="0090217E">
            <w:pPr>
              <w:keepNext/>
              <w:keepLines/>
              <w:spacing w:after="0"/>
              <w:ind w:right="34"/>
              <w:jc w:val="right"/>
              <w:rPr>
                <w:rFonts w:cs="Arial"/>
                <w:bCs/>
                <w:szCs w:val="20"/>
              </w:rPr>
            </w:pPr>
            <w:r>
              <w:rPr>
                <w:rFonts w:cs="Arial"/>
                <w:bCs/>
                <w:szCs w:val="20"/>
              </w:rPr>
              <w:t>69.92%</w:t>
            </w:r>
          </w:p>
        </w:tc>
        <w:tc>
          <w:tcPr>
            <w:tcW w:w="1120" w:type="pct"/>
            <w:vAlign w:val="center"/>
          </w:tcPr>
          <w:p w14:paraId="4447B477" w14:textId="77777777" w:rsidR="00291F05" w:rsidRPr="00E11BCD" w:rsidRDefault="00291F05" w:rsidP="0090217E">
            <w:pPr>
              <w:keepNext/>
              <w:keepLines/>
              <w:spacing w:after="0"/>
              <w:jc w:val="right"/>
              <w:rPr>
                <w:rFonts w:cs="Arial"/>
                <w:bCs/>
                <w:szCs w:val="20"/>
              </w:rPr>
            </w:pPr>
            <w:r w:rsidRPr="00E11BCD">
              <w:rPr>
                <w:rFonts w:cs="Arial"/>
                <w:bCs/>
                <w:szCs w:val="20"/>
              </w:rPr>
              <w:t> </w:t>
            </w:r>
          </w:p>
        </w:tc>
      </w:tr>
      <w:tr w:rsidR="00291F05" w:rsidRPr="00E11BCD" w14:paraId="54B82E5C" w14:textId="77777777" w:rsidTr="00291F05">
        <w:trPr>
          <w:trHeight w:hRule="exact" w:val="386"/>
        </w:trPr>
        <w:tc>
          <w:tcPr>
            <w:tcW w:w="844" w:type="pct"/>
            <w:tcBorders>
              <w:bottom w:val="single" w:sz="6" w:space="0" w:color="auto"/>
            </w:tcBorders>
            <w:vAlign w:val="center"/>
          </w:tcPr>
          <w:p w14:paraId="5D733349" w14:textId="77777777" w:rsidR="00291F05" w:rsidRPr="00E11BCD" w:rsidRDefault="00291F05" w:rsidP="0090217E">
            <w:pPr>
              <w:keepNext/>
              <w:keepLines/>
              <w:spacing w:after="0"/>
              <w:ind w:right="-142"/>
              <w:rPr>
                <w:rFonts w:cs="Arial"/>
                <w:bCs/>
                <w:szCs w:val="20"/>
              </w:rPr>
            </w:pPr>
            <w:r>
              <w:rPr>
                <w:rFonts w:cs="Arial"/>
                <w:bCs/>
                <w:szCs w:val="20"/>
              </w:rPr>
              <w:t>Ratio 2014</w:t>
            </w:r>
          </w:p>
        </w:tc>
        <w:tc>
          <w:tcPr>
            <w:tcW w:w="1608" w:type="pct"/>
            <w:tcBorders>
              <w:bottom w:val="single" w:sz="6" w:space="0" w:color="auto"/>
            </w:tcBorders>
            <w:vAlign w:val="center"/>
          </w:tcPr>
          <w:p w14:paraId="278355C8" w14:textId="77777777" w:rsidR="00291F05" w:rsidRDefault="00291F05" w:rsidP="0090217E">
            <w:pPr>
              <w:keepNext/>
              <w:keepLines/>
              <w:spacing w:after="0"/>
              <w:jc w:val="right"/>
              <w:rPr>
                <w:rFonts w:cs="Arial"/>
                <w:bCs/>
                <w:szCs w:val="20"/>
              </w:rPr>
            </w:pPr>
            <w:r>
              <w:rPr>
                <w:rFonts w:cs="Arial"/>
                <w:bCs/>
                <w:szCs w:val="20"/>
              </w:rPr>
              <w:t>31.53</w:t>
            </w:r>
            <w:r w:rsidRPr="00E11BCD">
              <w:rPr>
                <w:rFonts w:cs="Arial"/>
                <w:bCs/>
                <w:szCs w:val="20"/>
              </w:rPr>
              <w:t>%</w:t>
            </w:r>
          </w:p>
        </w:tc>
        <w:tc>
          <w:tcPr>
            <w:tcW w:w="1428" w:type="pct"/>
            <w:tcBorders>
              <w:bottom w:val="single" w:sz="6" w:space="0" w:color="auto"/>
            </w:tcBorders>
            <w:vAlign w:val="center"/>
          </w:tcPr>
          <w:p w14:paraId="747EA076" w14:textId="77777777" w:rsidR="00291F05" w:rsidRDefault="00291F05" w:rsidP="0090217E">
            <w:pPr>
              <w:keepNext/>
              <w:keepLines/>
              <w:spacing w:after="0"/>
              <w:ind w:right="34"/>
              <w:jc w:val="right"/>
              <w:rPr>
                <w:rFonts w:cs="Arial"/>
                <w:bCs/>
                <w:szCs w:val="20"/>
              </w:rPr>
            </w:pPr>
            <w:r>
              <w:rPr>
                <w:rFonts w:cs="Arial"/>
                <w:bCs/>
                <w:szCs w:val="20"/>
              </w:rPr>
              <w:t>68.47</w:t>
            </w:r>
            <w:r w:rsidRPr="00E11BCD">
              <w:rPr>
                <w:rFonts w:cs="Arial"/>
                <w:bCs/>
                <w:szCs w:val="20"/>
              </w:rPr>
              <w:t>%</w:t>
            </w:r>
          </w:p>
        </w:tc>
        <w:tc>
          <w:tcPr>
            <w:tcW w:w="1120" w:type="pct"/>
            <w:tcBorders>
              <w:bottom w:val="single" w:sz="6" w:space="0" w:color="auto"/>
            </w:tcBorders>
            <w:vAlign w:val="center"/>
          </w:tcPr>
          <w:p w14:paraId="38DEC1A8" w14:textId="77777777" w:rsidR="00291F05" w:rsidRPr="00E11BCD" w:rsidRDefault="00291F05" w:rsidP="0090217E">
            <w:pPr>
              <w:keepNext/>
              <w:keepLines/>
              <w:spacing w:after="0"/>
              <w:jc w:val="right"/>
              <w:rPr>
                <w:rFonts w:cs="Arial"/>
                <w:bCs/>
                <w:szCs w:val="20"/>
              </w:rPr>
            </w:pPr>
            <w:r w:rsidRPr="00E11BCD">
              <w:rPr>
                <w:rFonts w:cs="Arial"/>
                <w:bCs/>
                <w:szCs w:val="20"/>
              </w:rPr>
              <w:t> </w:t>
            </w:r>
          </w:p>
        </w:tc>
      </w:tr>
      <w:tr w:rsidR="00291F05" w:rsidRPr="00E11BCD" w14:paraId="1EAB855C" w14:textId="77777777" w:rsidTr="00291F05">
        <w:trPr>
          <w:trHeight w:hRule="exact" w:val="386"/>
        </w:trPr>
        <w:tc>
          <w:tcPr>
            <w:tcW w:w="844" w:type="pct"/>
            <w:shd w:val="clear" w:color="auto" w:fill="D9D9D9" w:themeFill="background1" w:themeFillShade="D9"/>
            <w:vAlign w:val="center"/>
          </w:tcPr>
          <w:p w14:paraId="38D76194" w14:textId="77777777" w:rsidR="00291F05" w:rsidRPr="000D6F80" w:rsidRDefault="00291F05" w:rsidP="0090217E">
            <w:pPr>
              <w:keepNext/>
              <w:keepLines/>
              <w:spacing w:after="0"/>
              <w:ind w:right="-142"/>
              <w:jc w:val="center"/>
              <w:rPr>
                <w:rFonts w:cs="Arial"/>
                <w:b/>
                <w:szCs w:val="20"/>
              </w:rPr>
            </w:pPr>
          </w:p>
        </w:tc>
        <w:tc>
          <w:tcPr>
            <w:tcW w:w="1608" w:type="pct"/>
            <w:shd w:val="clear" w:color="auto" w:fill="D9D9D9" w:themeFill="background1" w:themeFillShade="D9"/>
            <w:vAlign w:val="center"/>
          </w:tcPr>
          <w:p w14:paraId="39C742A8" w14:textId="77777777" w:rsidR="00291F05" w:rsidRDefault="00291F05" w:rsidP="0090217E">
            <w:pPr>
              <w:keepNext/>
              <w:keepLines/>
              <w:spacing w:after="0"/>
              <w:jc w:val="right"/>
              <w:rPr>
                <w:rFonts w:cs="Arial"/>
                <w:b/>
                <w:szCs w:val="20"/>
              </w:rPr>
            </w:pPr>
            <w:r w:rsidRPr="000D6F80">
              <w:rPr>
                <w:rFonts w:cs="Arial"/>
                <w:b/>
                <w:szCs w:val="20"/>
              </w:rPr>
              <w:t>SWISS FRANCS</w:t>
            </w:r>
          </w:p>
        </w:tc>
        <w:tc>
          <w:tcPr>
            <w:tcW w:w="1428" w:type="pct"/>
            <w:shd w:val="clear" w:color="auto" w:fill="D9D9D9" w:themeFill="background1" w:themeFillShade="D9"/>
            <w:vAlign w:val="center"/>
          </w:tcPr>
          <w:p w14:paraId="2C550358" w14:textId="77777777" w:rsidR="00291F05" w:rsidRDefault="00291F05" w:rsidP="0090217E">
            <w:pPr>
              <w:keepNext/>
              <w:keepLines/>
              <w:spacing w:after="0"/>
              <w:ind w:right="34"/>
              <w:jc w:val="right"/>
              <w:rPr>
                <w:rFonts w:cs="Arial"/>
                <w:b/>
                <w:szCs w:val="20"/>
              </w:rPr>
            </w:pPr>
            <w:r w:rsidRPr="000D6F80">
              <w:rPr>
                <w:rFonts w:cs="Arial"/>
                <w:b/>
                <w:szCs w:val="20"/>
              </w:rPr>
              <w:t>SWISS FRANCS</w:t>
            </w:r>
          </w:p>
        </w:tc>
        <w:tc>
          <w:tcPr>
            <w:tcW w:w="1120" w:type="pct"/>
            <w:shd w:val="clear" w:color="auto" w:fill="D9D9D9" w:themeFill="background1" w:themeFillShade="D9"/>
            <w:vAlign w:val="center"/>
          </w:tcPr>
          <w:p w14:paraId="546E186A" w14:textId="77777777" w:rsidR="00291F05" w:rsidRDefault="00291F05" w:rsidP="0090217E">
            <w:pPr>
              <w:keepNext/>
              <w:keepLines/>
              <w:spacing w:after="0"/>
              <w:jc w:val="right"/>
              <w:rPr>
                <w:rFonts w:cs="Arial"/>
                <w:b/>
                <w:szCs w:val="20"/>
              </w:rPr>
            </w:pPr>
            <w:r w:rsidRPr="000D6F80">
              <w:rPr>
                <w:rFonts w:cs="Arial"/>
                <w:b/>
                <w:szCs w:val="20"/>
              </w:rPr>
              <w:t>SWISS FRANCS</w:t>
            </w:r>
          </w:p>
        </w:tc>
      </w:tr>
      <w:tr w:rsidR="00291F05" w:rsidRPr="00E11BCD" w14:paraId="0BB35B2A" w14:textId="77777777" w:rsidTr="00291F05">
        <w:trPr>
          <w:trHeight w:hRule="exact" w:val="386"/>
        </w:trPr>
        <w:tc>
          <w:tcPr>
            <w:tcW w:w="844" w:type="pct"/>
            <w:vAlign w:val="center"/>
          </w:tcPr>
          <w:p w14:paraId="3527CEA6" w14:textId="77777777" w:rsidR="00291F05" w:rsidRPr="00E11BCD" w:rsidRDefault="00291F05" w:rsidP="0090217E">
            <w:pPr>
              <w:keepLines/>
              <w:spacing w:after="0"/>
              <w:ind w:right="-142"/>
              <w:rPr>
                <w:rFonts w:cs="Arial"/>
                <w:bCs/>
                <w:szCs w:val="20"/>
              </w:rPr>
            </w:pPr>
            <w:r>
              <w:rPr>
                <w:rFonts w:cs="Arial"/>
                <w:bCs/>
                <w:szCs w:val="20"/>
              </w:rPr>
              <w:t>2015</w:t>
            </w:r>
          </w:p>
        </w:tc>
        <w:tc>
          <w:tcPr>
            <w:tcW w:w="1608" w:type="pct"/>
            <w:vAlign w:val="center"/>
          </w:tcPr>
          <w:p w14:paraId="532F80EF" w14:textId="77777777" w:rsidR="00291F05" w:rsidRDefault="00291F05" w:rsidP="0090217E">
            <w:pPr>
              <w:keepLines/>
              <w:spacing w:after="0"/>
              <w:jc w:val="right"/>
              <w:rPr>
                <w:rFonts w:cs="Arial"/>
                <w:bCs/>
                <w:szCs w:val="20"/>
              </w:rPr>
            </w:pPr>
            <w:r>
              <w:rPr>
                <w:rFonts w:cs="Arial"/>
                <w:bCs/>
                <w:szCs w:val="20"/>
              </w:rPr>
              <w:t>1,421,280</w:t>
            </w:r>
          </w:p>
        </w:tc>
        <w:tc>
          <w:tcPr>
            <w:tcW w:w="1428" w:type="pct"/>
            <w:vAlign w:val="center"/>
          </w:tcPr>
          <w:p w14:paraId="6072275D" w14:textId="77777777" w:rsidR="00291F05" w:rsidRDefault="00291F05" w:rsidP="0090217E">
            <w:pPr>
              <w:keepLines/>
              <w:spacing w:after="0"/>
              <w:ind w:right="34"/>
              <w:jc w:val="right"/>
              <w:rPr>
                <w:rFonts w:cs="Arial"/>
                <w:bCs/>
                <w:szCs w:val="20"/>
              </w:rPr>
            </w:pPr>
            <w:r>
              <w:rPr>
                <w:rFonts w:cs="Arial"/>
                <w:bCs/>
                <w:szCs w:val="20"/>
              </w:rPr>
              <w:t>3,303,720</w:t>
            </w:r>
          </w:p>
        </w:tc>
        <w:tc>
          <w:tcPr>
            <w:tcW w:w="1120" w:type="pct"/>
            <w:vAlign w:val="center"/>
          </w:tcPr>
          <w:p w14:paraId="165D131F" w14:textId="77777777" w:rsidR="00291F05" w:rsidRDefault="00291F05" w:rsidP="0090217E">
            <w:pPr>
              <w:keepLines/>
              <w:spacing w:after="0"/>
              <w:jc w:val="right"/>
              <w:rPr>
                <w:rFonts w:cs="Arial"/>
                <w:bCs/>
                <w:szCs w:val="20"/>
              </w:rPr>
            </w:pPr>
            <w:r w:rsidRPr="00E11BCD">
              <w:rPr>
                <w:rFonts w:cs="Arial"/>
                <w:bCs/>
                <w:szCs w:val="20"/>
              </w:rPr>
              <w:t>4,725,000</w:t>
            </w:r>
          </w:p>
        </w:tc>
      </w:tr>
      <w:tr w:rsidR="00291F05" w:rsidRPr="00E11BCD" w14:paraId="150CD4A1" w14:textId="77777777" w:rsidTr="00291F05">
        <w:trPr>
          <w:trHeight w:hRule="exact" w:val="386"/>
        </w:trPr>
        <w:tc>
          <w:tcPr>
            <w:tcW w:w="844" w:type="pct"/>
            <w:vAlign w:val="center"/>
          </w:tcPr>
          <w:p w14:paraId="7ABD17FF" w14:textId="77777777" w:rsidR="00291F05" w:rsidRPr="00E11BCD" w:rsidRDefault="00291F05" w:rsidP="0090217E">
            <w:pPr>
              <w:keepLines/>
              <w:spacing w:after="0"/>
              <w:ind w:right="-142"/>
              <w:rPr>
                <w:rFonts w:cs="Arial"/>
                <w:bCs/>
                <w:szCs w:val="20"/>
              </w:rPr>
            </w:pPr>
            <w:r>
              <w:rPr>
                <w:rFonts w:cs="Arial"/>
                <w:bCs/>
                <w:szCs w:val="20"/>
              </w:rPr>
              <w:t>2014</w:t>
            </w:r>
          </w:p>
        </w:tc>
        <w:tc>
          <w:tcPr>
            <w:tcW w:w="1608" w:type="pct"/>
            <w:vAlign w:val="center"/>
          </w:tcPr>
          <w:p w14:paraId="434E8540" w14:textId="77777777" w:rsidR="00291F05" w:rsidRDefault="00291F05" w:rsidP="0090217E">
            <w:pPr>
              <w:keepLines/>
              <w:spacing w:after="0"/>
              <w:jc w:val="right"/>
              <w:rPr>
                <w:rFonts w:cs="Arial"/>
                <w:bCs/>
                <w:szCs w:val="20"/>
              </w:rPr>
            </w:pPr>
            <w:r>
              <w:rPr>
                <w:rFonts w:cs="Arial"/>
                <w:bCs/>
                <w:szCs w:val="20"/>
              </w:rPr>
              <w:t>1,489,793</w:t>
            </w:r>
          </w:p>
        </w:tc>
        <w:tc>
          <w:tcPr>
            <w:tcW w:w="1428" w:type="pct"/>
            <w:vAlign w:val="center"/>
          </w:tcPr>
          <w:p w14:paraId="365ACC94" w14:textId="77777777" w:rsidR="00291F05" w:rsidRDefault="00291F05" w:rsidP="0090217E">
            <w:pPr>
              <w:keepLines/>
              <w:spacing w:after="0"/>
              <w:ind w:right="34"/>
              <w:jc w:val="right"/>
              <w:rPr>
                <w:rFonts w:cs="Arial"/>
                <w:bCs/>
                <w:szCs w:val="20"/>
              </w:rPr>
            </w:pPr>
            <w:r>
              <w:rPr>
                <w:rFonts w:cs="Arial"/>
                <w:bCs/>
                <w:szCs w:val="20"/>
              </w:rPr>
              <w:t>3,235,207</w:t>
            </w:r>
          </w:p>
        </w:tc>
        <w:tc>
          <w:tcPr>
            <w:tcW w:w="1120" w:type="pct"/>
            <w:vAlign w:val="center"/>
          </w:tcPr>
          <w:p w14:paraId="54672BEC" w14:textId="77777777" w:rsidR="00291F05" w:rsidRDefault="00291F05" w:rsidP="0090217E">
            <w:pPr>
              <w:keepLines/>
              <w:spacing w:after="0"/>
              <w:jc w:val="right"/>
              <w:rPr>
                <w:rFonts w:cs="Arial"/>
                <w:bCs/>
                <w:szCs w:val="20"/>
              </w:rPr>
            </w:pPr>
            <w:r w:rsidRPr="00E11BCD">
              <w:rPr>
                <w:rFonts w:cs="Arial"/>
                <w:bCs/>
                <w:szCs w:val="20"/>
              </w:rPr>
              <w:t>4,725,000</w:t>
            </w:r>
          </w:p>
        </w:tc>
      </w:tr>
      <w:tr w:rsidR="00291F05" w:rsidRPr="00E11BCD" w14:paraId="1859C388" w14:textId="77777777" w:rsidTr="00291F05">
        <w:trPr>
          <w:trHeight w:hRule="exact" w:val="386"/>
        </w:trPr>
        <w:tc>
          <w:tcPr>
            <w:tcW w:w="844" w:type="pct"/>
            <w:vAlign w:val="center"/>
          </w:tcPr>
          <w:p w14:paraId="2845DA70" w14:textId="77777777" w:rsidR="00291F05" w:rsidRPr="00E11BCD" w:rsidRDefault="00291F05" w:rsidP="0090217E">
            <w:pPr>
              <w:keepLines/>
              <w:spacing w:after="0"/>
              <w:ind w:right="-142"/>
              <w:rPr>
                <w:rFonts w:cs="Arial"/>
                <w:bCs/>
                <w:szCs w:val="20"/>
              </w:rPr>
            </w:pPr>
            <w:r w:rsidRPr="00E11BCD">
              <w:rPr>
                <w:rFonts w:cs="Arial"/>
                <w:bCs/>
                <w:szCs w:val="20"/>
              </w:rPr>
              <w:t>Increase/(</w:t>
            </w:r>
            <w:r>
              <w:rPr>
                <w:rFonts w:cs="Arial"/>
                <w:bCs/>
                <w:szCs w:val="20"/>
              </w:rPr>
              <w:t>d</w:t>
            </w:r>
            <w:r w:rsidRPr="00E11BCD">
              <w:rPr>
                <w:rFonts w:cs="Arial"/>
                <w:bCs/>
                <w:szCs w:val="20"/>
              </w:rPr>
              <w:t>ecrease)</w:t>
            </w:r>
            <w:r>
              <w:rPr>
                <w:rFonts w:cs="Arial"/>
                <w:bCs/>
                <w:szCs w:val="20"/>
              </w:rPr>
              <w:t>*</w:t>
            </w:r>
          </w:p>
        </w:tc>
        <w:tc>
          <w:tcPr>
            <w:tcW w:w="1608" w:type="pct"/>
            <w:vAlign w:val="center"/>
          </w:tcPr>
          <w:p w14:paraId="1AD9CC23" w14:textId="77777777" w:rsidR="00291F05" w:rsidRDefault="00291F05" w:rsidP="0090217E">
            <w:pPr>
              <w:keepLines/>
              <w:spacing w:after="0"/>
              <w:jc w:val="right"/>
              <w:rPr>
                <w:rFonts w:cs="Arial"/>
                <w:bCs/>
                <w:szCs w:val="20"/>
              </w:rPr>
            </w:pPr>
            <w:r>
              <w:rPr>
                <w:rFonts w:cs="Arial"/>
                <w:bCs/>
                <w:szCs w:val="20"/>
              </w:rPr>
              <w:t>(</w:t>
            </w:r>
            <w:r w:rsidR="00AB6C70">
              <w:rPr>
                <w:rFonts w:cs="Arial"/>
                <w:bCs/>
                <w:szCs w:val="20"/>
              </w:rPr>
              <w:t>4.60</w:t>
            </w:r>
            <w:r>
              <w:rPr>
                <w:rFonts w:cs="Arial"/>
                <w:bCs/>
                <w:szCs w:val="20"/>
              </w:rPr>
              <w:t>)%</w:t>
            </w:r>
          </w:p>
        </w:tc>
        <w:tc>
          <w:tcPr>
            <w:tcW w:w="1428" w:type="pct"/>
            <w:vAlign w:val="center"/>
          </w:tcPr>
          <w:p w14:paraId="30791F33" w14:textId="77777777" w:rsidR="00291F05" w:rsidRDefault="00AB6C70" w:rsidP="0090217E">
            <w:pPr>
              <w:keepLines/>
              <w:spacing w:after="0"/>
              <w:ind w:right="34"/>
              <w:jc w:val="right"/>
              <w:rPr>
                <w:rFonts w:cs="Arial"/>
                <w:bCs/>
                <w:szCs w:val="20"/>
              </w:rPr>
            </w:pPr>
            <w:r>
              <w:rPr>
                <w:rFonts w:cs="Arial"/>
                <w:bCs/>
                <w:szCs w:val="20"/>
              </w:rPr>
              <w:t>2.1</w:t>
            </w:r>
            <w:r w:rsidR="00291F05">
              <w:rPr>
                <w:rFonts w:cs="Arial"/>
                <w:bCs/>
                <w:szCs w:val="20"/>
              </w:rPr>
              <w:t>%</w:t>
            </w:r>
          </w:p>
        </w:tc>
        <w:tc>
          <w:tcPr>
            <w:tcW w:w="1120" w:type="pct"/>
            <w:vAlign w:val="center"/>
          </w:tcPr>
          <w:p w14:paraId="31AEC21E" w14:textId="77777777" w:rsidR="00291F05" w:rsidRPr="00E11BCD" w:rsidRDefault="00291F05" w:rsidP="0090217E">
            <w:pPr>
              <w:keepLines/>
              <w:spacing w:after="0"/>
              <w:jc w:val="right"/>
              <w:rPr>
                <w:rFonts w:cs="Arial"/>
                <w:bCs/>
                <w:szCs w:val="20"/>
              </w:rPr>
            </w:pPr>
            <w:r w:rsidRPr="00E11BCD">
              <w:rPr>
                <w:rFonts w:cs="Arial"/>
                <w:bCs/>
                <w:szCs w:val="20"/>
              </w:rPr>
              <w:t> </w:t>
            </w:r>
          </w:p>
        </w:tc>
      </w:tr>
      <w:tr w:rsidR="00291F05" w:rsidRPr="00E11BCD" w14:paraId="2FA5CBF9" w14:textId="77777777" w:rsidTr="00291F05">
        <w:trPr>
          <w:trHeight w:hRule="exact" w:val="386"/>
        </w:trPr>
        <w:tc>
          <w:tcPr>
            <w:tcW w:w="844" w:type="pct"/>
            <w:vAlign w:val="center"/>
          </w:tcPr>
          <w:p w14:paraId="46AEE896" w14:textId="77777777" w:rsidR="00291F05" w:rsidRPr="00E11BCD" w:rsidRDefault="00291F05" w:rsidP="0090217E">
            <w:pPr>
              <w:keepLines/>
              <w:spacing w:after="0"/>
              <w:ind w:right="-142"/>
              <w:rPr>
                <w:rFonts w:cs="Arial"/>
                <w:bCs/>
                <w:szCs w:val="20"/>
              </w:rPr>
            </w:pPr>
            <w:r w:rsidRPr="00E11BCD">
              <w:rPr>
                <w:rFonts w:cs="Arial"/>
                <w:bCs/>
                <w:szCs w:val="20"/>
              </w:rPr>
              <w:t>Ratio 201</w:t>
            </w:r>
            <w:r>
              <w:rPr>
                <w:rFonts w:cs="Arial"/>
                <w:bCs/>
                <w:szCs w:val="20"/>
              </w:rPr>
              <w:t>5</w:t>
            </w:r>
          </w:p>
        </w:tc>
        <w:tc>
          <w:tcPr>
            <w:tcW w:w="1608" w:type="pct"/>
            <w:vAlign w:val="center"/>
          </w:tcPr>
          <w:p w14:paraId="3F1D9477" w14:textId="77777777" w:rsidR="00291F05" w:rsidRDefault="00291F05" w:rsidP="0090217E">
            <w:pPr>
              <w:keepLines/>
              <w:spacing w:after="0"/>
              <w:jc w:val="right"/>
              <w:rPr>
                <w:rFonts w:cs="Arial"/>
                <w:bCs/>
                <w:szCs w:val="20"/>
              </w:rPr>
            </w:pPr>
            <w:r>
              <w:rPr>
                <w:rFonts w:cs="Arial"/>
                <w:bCs/>
                <w:szCs w:val="20"/>
              </w:rPr>
              <w:t>30.08%</w:t>
            </w:r>
          </w:p>
        </w:tc>
        <w:tc>
          <w:tcPr>
            <w:tcW w:w="1428" w:type="pct"/>
            <w:vAlign w:val="center"/>
          </w:tcPr>
          <w:p w14:paraId="6CD56821" w14:textId="77777777" w:rsidR="00291F05" w:rsidRDefault="00291F05" w:rsidP="0090217E">
            <w:pPr>
              <w:keepLines/>
              <w:spacing w:after="0"/>
              <w:ind w:right="34"/>
              <w:jc w:val="right"/>
              <w:rPr>
                <w:rFonts w:cs="Arial"/>
                <w:bCs/>
                <w:szCs w:val="20"/>
              </w:rPr>
            </w:pPr>
            <w:r>
              <w:rPr>
                <w:rFonts w:cs="Arial"/>
                <w:bCs/>
                <w:szCs w:val="20"/>
              </w:rPr>
              <w:t>69.92%</w:t>
            </w:r>
          </w:p>
        </w:tc>
        <w:tc>
          <w:tcPr>
            <w:tcW w:w="1120" w:type="pct"/>
            <w:vAlign w:val="center"/>
          </w:tcPr>
          <w:p w14:paraId="52089E17" w14:textId="77777777" w:rsidR="00291F05" w:rsidRPr="00E11BCD" w:rsidRDefault="00291F05" w:rsidP="0090217E">
            <w:pPr>
              <w:keepLines/>
              <w:spacing w:after="0"/>
              <w:jc w:val="right"/>
              <w:rPr>
                <w:rFonts w:cs="Arial"/>
                <w:bCs/>
                <w:szCs w:val="20"/>
              </w:rPr>
            </w:pPr>
            <w:r w:rsidRPr="00E11BCD">
              <w:rPr>
                <w:rFonts w:cs="Arial"/>
                <w:bCs/>
                <w:szCs w:val="20"/>
              </w:rPr>
              <w:t> </w:t>
            </w:r>
          </w:p>
        </w:tc>
      </w:tr>
      <w:tr w:rsidR="00291F05" w:rsidRPr="00E11BCD" w14:paraId="42048D1C" w14:textId="77777777" w:rsidTr="00291F05">
        <w:trPr>
          <w:trHeight w:hRule="exact" w:val="386"/>
        </w:trPr>
        <w:tc>
          <w:tcPr>
            <w:tcW w:w="844" w:type="pct"/>
            <w:vAlign w:val="center"/>
          </w:tcPr>
          <w:p w14:paraId="068ECD5A" w14:textId="77777777" w:rsidR="00291F05" w:rsidRPr="00E11BCD" w:rsidRDefault="00291F05" w:rsidP="0090217E">
            <w:pPr>
              <w:keepLines/>
              <w:spacing w:after="0"/>
              <w:ind w:right="-142"/>
              <w:rPr>
                <w:rFonts w:cs="Arial"/>
                <w:bCs/>
                <w:szCs w:val="20"/>
              </w:rPr>
            </w:pPr>
            <w:r>
              <w:rPr>
                <w:rFonts w:cs="Arial"/>
                <w:bCs/>
                <w:szCs w:val="20"/>
              </w:rPr>
              <w:t>Ratio 2014</w:t>
            </w:r>
          </w:p>
        </w:tc>
        <w:tc>
          <w:tcPr>
            <w:tcW w:w="1608" w:type="pct"/>
            <w:vAlign w:val="center"/>
          </w:tcPr>
          <w:p w14:paraId="2F68AA85" w14:textId="77777777" w:rsidR="00291F05" w:rsidRDefault="00291F05" w:rsidP="0090217E">
            <w:pPr>
              <w:keepLines/>
              <w:spacing w:after="0"/>
              <w:jc w:val="right"/>
              <w:rPr>
                <w:rFonts w:cs="Arial"/>
                <w:bCs/>
                <w:szCs w:val="20"/>
              </w:rPr>
            </w:pPr>
            <w:r>
              <w:rPr>
                <w:rFonts w:cs="Arial"/>
                <w:bCs/>
                <w:szCs w:val="20"/>
              </w:rPr>
              <w:t>31.53</w:t>
            </w:r>
            <w:r w:rsidRPr="00E11BCD">
              <w:rPr>
                <w:rFonts w:cs="Arial"/>
                <w:bCs/>
                <w:szCs w:val="20"/>
              </w:rPr>
              <w:t>%</w:t>
            </w:r>
          </w:p>
        </w:tc>
        <w:tc>
          <w:tcPr>
            <w:tcW w:w="1428" w:type="pct"/>
            <w:vAlign w:val="center"/>
          </w:tcPr>
          <w:p w14:paraId="5D628C54" w14:textId="77777777" w:rsidR="00291F05" w:rsidRDefault="00291F05" w:rsidP="0090217E">
            <w:pPr>
              <w:keepLines/>
              <w:spacing w:after="0"/>
              <w:ind w:right="34"/>
              <w:jc w:val="right"/>
              <w:rPr>
                <w:rFonts w:cs="Arial"/>
                <w:bCs/>
                <w:szCs w:val="20"/>
              </w:rPr>
            </w:pPr>
            <w:r>
              <w:rPr>
                <w:rFonts w:cs="Arial"/>
                <w:bCs/>
                <w:szCs w:val="20"/>
              </w:rPr>
              <w:t>68.47</w:t>
            </w:r>
            <w:r w:rsidRPr="00E11BCD">
              <w:rPr>
                <w:rFonts w:cs="Arial"/>
                <w:bCs/>
                <w:szCs w:val="20"/>
              </w:rPr>
              <w:t>%</w:t>
            </w:r>
          </w:p>
        </w:tc>
        <w:tc>
          <w:tcPr>
            <w:tcW w:w="1120" w:type="pct"/>
            <w:vAlign w:val="center"/>
          </w:tcPr>
          <w:p w14:paraId="28AE4E74" w14:textId="77777777" w:rsidR="00291F05" w:rsidRPr="00E11BCD" w:rsidRDefault="00291F05" w:rsidP="0090217E">
            <w:pPr>
              <w:keepLines/>
              <w:spacing w:after="0"/>
              <w:jc w:val="right"/>
              <w:rPr>
                <w:rFonts w:cs="Arial"/>
                <w:bCs/>
                <w:szCs w:val="20"/>
              </w:rPr>
            </w:pPr>
            <w:r w:rsidRPr="00E11BCD">
              <w:rPr>
                <w:rFonts w:cs="Arial"/>
                <w:bCs/>
                <w:szCs w:val="20"/>
              </w:rPr>
              <w:t> </w:t>
            </w:r>
          </w:p>
        </w:tc>
      </w:tr>
    </w:tbl>
    <w:p w14:paraId="43A64443" w14:textId="77777777" w:rsidR="00291F05" w:rsidRPr="00451B25" w:rsidRDefault="00291F05" w:rsidP="00451B25">
      <w:pPr>
        <w:pStyle w:val="ACMASpaceaftertable"/>
        <w:rPr>
          <w:i/>
          <w:sz w:val="16"/>
          <w:szCs w:val="16"/>
        </w:rPr>
      </w:pPr>
      <w:r w:rsidRPr="00451B25">
        <w:rPr>
          <w:i/>
          <w:sz w:val="16"/>
          <w:szCs w:val="16"/>
        </w:rPr>
        <w:t>*increase/(decrease)</w:t>
      </w:r>
    </w:p>
    <w:p w14:paraId="5C95970E" w14:textId="309F2AAD" w:rsidR="009E783D" w:rsidRPr="003F7E3A" w:rsidRDefault="009E783D" w:rsidP="000E0EFD">
      <w:r w:rsidRPr="000B47BC">
        <w:t>Although the expense for the telecommunicat</w:t>
      </w:r>
      <w:r w:rsidR="00D172BB">
        <w:t xml:space="preserve">ions sector has decreased </w:t>
      </w:r>
      <w:r w:rsidR="00D172BB" w:rsidRPr="00D372CC">
        <w:t xml:space="preserve">by </w:t>
      </w:r>
      <w:r w:rsidR="00AB6C70" w:rsidRPr="00D372CC">
        <w:t>4.6</w:t>
      </w:r>
      <w:r w:rsidRPr="00D372CC">
        <w:t xml:space="preserve"> per</w:t>
      </w:r>
      <w:r w:rsidRPr="000B47BC">
        <w:t xml:space="preserve"> cent in Swiss Francs, the </w:t>
      </w:r>
      <w:r w:rsidR="00347085">
        <w:t>AUD</w:t>
      </w:r>
      <w:r w:rsidR="00D172BB">
        <w:t xml:space="preserve"> amount has increased by 0.03</w:t>
      </w:r>
      <w:r w:rsidRPr="000B47BC">
        <w:t xml:space="preserve"> per cent from the previous year due to the exchange rate at the time of payment.</w:t>
      </w:r>
      <w:r w:rsidRPr="00094042">
        <w:t xml:space="preserve"> </w:t>
      </w:r>
    </w:p>
    <w:p w14:paraId="71D0D052" w14:textId="77777777" w:rsidR="009E783D" w:rsidRPr="0039521A" w:rsidRDefault="009E783D" w:rsidP="003F7E3A">
      <w:pPr>
        <w:pStyle w:val="Heading2"/>
        <w:spacing w:after="240"/>
      </w:pPr>
      <w:bookmarkStart w:id="53" w:name="_Toc417990955"/>
      <w:bookmarkStart w:id="54" w:name="_Toc454268371"/>
      <w:r w:rsidRPr="003F7E3A">
        <w:t>3.4</w:t>
      </w:r>
      <w:r w:rsidRPr="003F7E3A">
        <w:tab/>
        <w:t xml:space="preserve">Determination of cost component under paragraph 15(1)(ca) of the Act—Development </w:t>
      </w:r>
      <w:r w:rsidR="008779EF">
        <w:t xml:space="preserve">or variation </w:t>
      </w:r>
      <w:r w:rsidRPr="003F7E3A">
        <w:t>of consumer protection codes</w:t>
      </w:r>
      <w:bookmarkEnd w:id="53"/>
      <w:bookmarkEnd w:id="54"/>
    </w:p>
    <w:p w14:paraId="72D4CAA1" w14:textId="77777777" w:rsidR="009E783D" w:rsidRPr="005D0BC8" w:rsidRDefault="009E783D" w:rsidP="003F7E3A">
      <w:pPr>
        <w:pStyle w:val="Heading3"/>
      </w:pPr>
      <w:bookmarkStart w:id="55" w:name="_Toc417990956"/>
      <w:bookmarkStart w:id="56" w:name="_Toc454268372"/>
      <w:r w:rsidRPr="003F7E3A">
        <w:t>3.4.1</w:t>
      </w:r>
      <w:r w:rsidRPr="003F7E3A">
        <w:tab/>
        <w:t>Outputs and business processes of the activity</w:t>
      </w:r>
      <w:bookmarkEnd w:id="55"/>
      <w:bookmarkEnd w:id="56"/>
    </w:p>
    <w:p w14:paraId="686E719B" w14:textId="20547D8E" w:rsidR="009E783D" w:rsidRDefault="009E783D" w:rsidP="009E783D">
      <w:r w:rsidRPr="00A84CBD">
        <w:t xml:space="preserve">This component represents the sum of the amounts paid under section 136C of the </w:t>
      </w:r>
      <w:r w:rsidRPr="00094042">
        <w:rPr>
          <w:i/>
        </w:rPr>
        <w:t>Telecommunications Act 1997</w:t>
      </w:r>
      <w:r w:rsidRPr="00A84CBD">
        <w:t xml:space="preserve"> for the immediately preceding financial year (that is, </w:t>
      </w:r>
      <w:r w:rsidR="00D172BB">
        <w:t>the 2014–15</w:t>
      </w:r>
      <w:r w:rsidRPr="00A84CBD">
        <w:t xml:space="preserve"> financial year). Section 136C of the </w:t>
      </w:r>
      <w:r w:rsidRPr="00094042">
        <w:rPr>
          <w:i/>
        </w:rPr>
        <w:t>Telecommunications Act 1997</w:t>
      </w:r>
      <w:r w:rsidRPr="00A84CBD">
        <w:t xml:space="preserve"> </w:t>
      </w:r>
      <w:r w:rsidR="00F25B6A">
        <w:t>requires</w:t>
      </w:r>
      <w:r w:rsidRPr="00A84CBD">
        <w:t xml:space="preserve"> the ACMA, </w:t>
      </w:r>
      <w:r w:rsidR="00F25B6A">
        <w:t>providing certain statutory preconditions are met</w:t>
      </w:r>
      <w:r w:rsidRPr="00A84CBD">
        <w:t xml:space="preserve">, to make </w:t>
      </w:r>
      <w:r w:rsidR="00F25B6A">
        <w:t xml:space="preserve">a </w:t>
      </w:r>
      <w:r w:rsidRPr="00A84CBD">
        <w:t xml:space="preserve">payment on behalf of the Commonwealth </w:t>
      </w:r>
      <w:r w:rsidR="00F25B6A">
        <w:t xml:space="preserve">to reimburse the costs incurred by a telecommunications industry body or association </w:t>
      </w:r>
      <w:r w:rsidRPr="00A84CBD">
        <w:t xml:space="preserve">for the development </w:t>
      </w:r>
      <w:r w:rsidR="00F25B6A">
        <w:t xml:space="preserve">or variation </w:t>
      </w:r>
      <w:r w:rsidRPr="00A84CBD">
        <w:t xml:space="preserve">of </w:t>
      </w:r>
      <w:r w:rsidR="00F25B6A">
        <w:t xml:space="preserve">an </w:t>
      </w:r>
      <w:r w:rsidRPr="00A84CBD">
        <w:t xml:space="preserve">industry code </w:t>
      </w:r>
      <w:r>
        <w:t xml:space="preserve">(the </w:t>
      </w:r>
      <w:r>
        <w:lastRenderedPageBreak/>
        <w:t>output of this activity)</w:t>
      </w:r>
      <w:r w:rsidR="00F25B6A">
        <w:t>.</w:t>
      </w:r>
      <w:r w:rsidR="00462477">
        <w:t xml:space="preserve"> </w:t>
      </w:r>
      <w:r w:rsidR="00F25B6A">
        <w:t xml:space="preserve">The industry body or association must first have obtained declaration from </w:t>
      </w:r>
      <w:r w:rsidRPr="00A84CBD">
        <w:t xml:space="preserve">the ACMA </w:t>
      </w:r>
      <w:r w:rsidR="00F25B6A">
        <w:t xml:space="preserve">under section 136B of </w:t>
      </w:r>
      <w:r w:rsidR="00F25B6A" w:rsidRPr="00A84CBD">
        <w:t xml:space="preserve">the </w:t>
      </w:r>
      <w:r w:rsidR="00F25B6A" w:rsidRPr="00094042">
        <w:rPr>
          <w:i/>
        </w:rPr>
        <w:t>Telecommunications Act 1997</w:t>
      </w:r>
      <w:r w:rsidR="00F25B6A" w:rsidRPr="00A84CBD">
        <w:t xml:space="preserve"> </w:t>
      </w:r>
      <w:r>
        <w:t xml:space="preserve">to </w:t>
      </w:r>
      <w:r w:rsidR="00F25B6A">
        <w:t xml:space="preserve">be eligible </w:t>
      </w:r>
      <w:r>
        <w:t xml:space="preserve">for a cost claim and, within two years, provide a detailed claim in relation </w:t>
      </w:r>
      <w:r w:rsidR="00D866D4">
        <w:t xml:space="preserve">to </w:t>
      </w:r>
      <w:r>
        <w:t xml:space="preserve">the code development </w:t>
      </w:r>
      <w:r w:rsidR="00F25B6A">
        <w:t xml:space="preserve">or variation </w:t>
      </w:r>
      <w:r>
        <w:t>costs</w:t>
      </w:r>
      <w:r w:rsidRPr="00A84CBD">
        <w:t xml:space="preserve">. </w:t>
      </w:r>
      <w:r>
        <w:t xml:space="preserve">The </w:t>
      </w:r>
      <w:r w:rsidR="003E5D16">
        <w:t xml:space="preserve">cost of </w:t>
      </w:r>
      <w:r>
        <w:t xml:space="preserve">the development </w:t>
      </w:r>
      <w:r w:rsidR="003E5D16">
        <w:t xml:space="preserve">or variation </w:t>
      </w:r>
      <w:r>
        <w:t xml:space="preserve">of </w:t>
      </w:r>
      <w:r w:rsidR="003E5D16">
        <w:t xml:space="preserve">an industry </w:t>
      </w:r>
      <w:r>
        <w:t xml:space="preserve">code </w:t>
      </w:r>
      <w:r w:rsidR="003E5D16">
        <w:t>is</w:t>
      </w:r>
      <w:r>
        <w:t xml:space="preserve"> </w:t>
      </w:r>
      <w:r w:rsidR="003E5D16">
        <w:t xml:space="preserve">required to be </w:t>
      </w:r>
      <w:r>
        <w:t xml:space="preserve">verified by an independent </w:t>
      </w:r>
      <w:r w:rsidR="00462477">
        <w:t>a</w:t>
      </w:r>
      <w:r>
        <w:t xml:space="preserve">uditor </w:t>
      </w:r>
      <w:r w:rsidR="003E5D16">
        <w:t>at the time the code or variation is submitted to the ACMA</w:t>
      </w:r>
      <w:r w:rsidR="00347085">
        <w:t>,</w:t>
      </w:r>
      <w:r>
        <w:t xml:space="preserve"> and </w:t>
      </w:r>
      <w:r w:rsidR="003E5D16">
        <w:t xml:space="preserve">must be </w:t>
      </w:r>
      <w:r>
        <w:t xml:space="preserve">assessed by the ACMA </w:t>
      </w:r>
      <w:r w:rsidR="003E5D16">
        <w:t xml:space="preserve">as a refundable cost </w:t>
      </w:r>
      <w:r>
        <w:t>pr</w:t>
      </w:r>
      <w:r w:rsidR="003F7E3A">
        <w:t>ior to any payment being made.</w:t>
      </w:r>
    </w:p>
    <w:p w14:paraId="70092F88" w14:textId="703984C8" w:rsidR="009E783D" w:rsidRDefault="009E783D" w:rsidP="009E783D">
      <w:r>
        <w:t xml:space="preserve">The Communications Alliance </w:t>
      </w:r>
      <w:r w:rsidR="00462477">
        <w:t>L</w:t>
      </w:r>
      <w:r>
        <w:t xml:space="preserve">imited </w:t>
      </w:r>
      <w:r w:rsidR="00451B25">
        <w:t xml:space="preserve">(CA) </w:t>
      </w:r>
      <w:r>
        <w:t xml:space="preserve">is an industry body </w:t>
      </w:r>
      <w:r w:rsidR="00462477">
        <w:t xml:space="preserve">that </w:t>
      </w:r>
      <w:r>
        <w:t xml:space="preserve">represents the telecommunications industry and develops codes as required. The codes </w:t>
      </w:r>
      <w:r w:rsidR="00451B25">
        <w:t>CA</w:t>
      </w:r>
      <w:r>
        <w:t xml:space="preserve"> develops for the purpose of reimbursement must deal with one or more matters relating to the relationship between carriage service providers and their retail customers. The industry codes are a key component of the self-regulatory approach to regulation in the telecommunications sector and provide consumer protection in an efficient manner with a low regulatory burden on the industry.</w:t>
      </w:r>
      <w:r w:rsidR="001B038E">
        <w:t xml:space="preserve"> Industry codes, as a form of self regulation, form part of the telecommunications regulatory framework and it is appropriate to attribute these costs to the licensed carriers through the ACLC.</w:t>
      </w:r>
    </w:p>
    <w:p w14:paraId="2B7167A6" w14:textId="77777777" w:rsidR="009E783D" w:rsidRPr="005D0BC8" w:rsidRDefault="009E783D" w:rsidP="003F7E3A">
      <w:pPr>
        <w:pStyle w:val="Heading3"/>
      </w:pPr>
      <w:bookmarkStart w:id="57" w:name="_Toc417990957"/>
      <w:bookmarkStart w:id="58" w:name="_Toc454268373"/>
      <w:r w:rsidRPr="003F7E3A">
        <w:t>3.4.2</w:t>
      </w:r>
      <w:r w:rsidRPr="003F7E3A">
        <w:tab/>
        <w:t>Costs of the activity</w:t>
      </w:r>
      <w:bookmarkEnd w:id="57"/>
      <w:bookmarkEnd w:id="58"/>
    </w:p>
    <w:p w14:paraId="38A20CDE" w14:textId="69A7D51B" w:rsidR="009E783D" w:rsidRPr="003F7E3A" w:rsidRDefault="009E783D" w:rsidP="003F7E3A">
      <w:r w:rsidRPr="00D35E14">
        <w:t>No payment was</w:t>
      </w:r>
      <w:r w:rsidR="00D172BB" w:rsidRPr="00D35E14">
        <w:t xml:space="preserve"> made </w:t>
      </w:r>
      <w:r w:rsidR="00D866D4" w:rsidRPr="00D35E14">
        <w:t xml:space="preserve">by the ACMA </w:t>
      </w:r>
      <w:r w:rsidR="00D172BB" w:rsidRPr="00D35E14">
        <w:t>for the 2014</w:t>
      </w:r>
      <w:r w:rsidR="00462477" w:rsidRPr="00D35E14">
        <w:t>–</w:t>
      </w:r>
      <w:r w:rsidR="00D172BB" w:rsidRPr="00D35E14">
        <w:t>15</w:t>
      </w:r>
      <w:r w:rsidRPr="00D35E14">
        <w:t xml:space="preserve"> financial year, as no </w:t>
      </w:r>
      <w:r w:rsidR="00D866D4" w:rsidRPr="00D35E14">
        <w:t>claim for reimbursement was received from C</w:t>
      </w:r>
      <w:r w:rsidR="00451B25">
        <w:t>A</w:t>
      </w:r>
      <w:r w:rsidRPr="00D35E14">
        <w:t>. The funding for this</w:t>
      </w:r>
      <w:r w:rsidRPr="00D866D4">
        <w:t xml:space="preserve"> activity is provided through a special budget appropriation, which does </w:t>
      </w:r>
      <w:r w:rsidR="003F7E3A" w:rsidRPr="00D866D4">
        <w:t>not exceed $300,000 per annum.</w:t>
      </w:r>
      <w:r w:rsidR="003F7E3A">
        <w:t xml:space="preserve"> </w:t>
      </w:r>
    </w:p>
    <w:p w14:paraId="3BD47804" w14:textId="66A74EBD" w:rsidR="009E783D" w:rsidRPr="0039521A" w:rsidRDefault="009E783D" w:rsidP="003F7E3A">
      <w:pPr>
        <w:pStyle w:val="Heading2"/>
        <w:spacing w:after="240"/>
      </w:pPr>
      <w:bookmarkStart w:id="59" w:name="_Toc417990958"/>
      <w:bookmarkStart w:id="60" w:name="_Toc454268374"/>
      <w:r w:rsidRPr="003F7E3A">
        <w:t>3.5</w:t>
      </w:r>
      <w:r w:rsidRPr="003F7E3A">
        <w:tab/>
        <w:t>Determination of cost component under paragraph 15(1)(d) of the Act—</w:t>
      </w:r>
      <w:r w:rsidR="00347085">
        <w:t>g</w:t>
      </w:r>
      <w:r w:rsidRPr="003F7E3A">
        <w:t>overnment grant for consumer representation program</w:t>
      </w:r>
      <w:bookmarkEnd w:id="59"/>
      <w:bookmarkEnd w:id="60"/>
    </w:p>
    <w:p w14:paraId="610D0359" w14:textId="77777777" w:rsidR="009E783D" w:rsidRPr="003F7E3A" w:rsidRDefault="009E783D" w:rsidP="003F7E3A">
      <w:pPr>
        <w:pStyle w:val="Heading3"/>
      </w:pPr>
      <w:bookmarkStart w:id="61" w:name="_Toc417990959"/>
      <w:bookmarkStart w:id="62" w:name="_Toc454268375"/>
      <w:r w:rsidRPr="003F7E3A">
        <w:t>3.5.1</w:t>
      </w:r>
      <w:r w:rsidRPr="003F7E3A">
        <w:tab/>
        <w:t>Outputs and business processes of the activity</w:t>
      </w:r>
      <w:bookmarkEnd w:id="61"/>
      <w:bookmarkEnd w:id="62"/>
    </w:p>
    <w:p w14:paraId="4B465BA0" w14:textId="77777777" w:rsidR="009E783D" w:rsidRPr="003F7E3A" w:rsidRDefault="009E783D" w:rsidP="009E783D">
      <w:pPr>
        <w:rPr>
          <w:rFonts w:ascii="Calibri" w:hAnsi="Calibri"/>
          <w:szCs w:val="22"/>
        </w:rPr>
      </w:pPr>
      <w:r w:rsidRPr="00596F9C">
        <w:t xml:space="preserve">Section 593 of the </w:t>
      </w:r>
      <w:r w:rsidRPr="00596F9C">
        <w:rPr>
          <w:i/>
          <w:iCs/>
        </w:rPr>
        <w:t>Telecommunications Act 1997</w:t>
      </w:r>
      <w:r w:rsidRPr="00596F9C">
        <w:t xml:space="preserve"> provides </w:t>
      </w:r>
      <w:r w:rsidR="003E5D16">
        <w:t xml:space="preserve">that </w:t>
      </w:r>
      <w:r w:rsidRPr="00596F9C">
        <w:t xml:space="preserve">the </w:t>
      </w:r>
      <w:r w:rsidR="00462477">
        <w:t>m</w:t>
      </w:r>
      <w:r w:rsidRPr="00596F9C">
        <w:t>inister, on behalf of the Commonwealth, the power to ‘make a grant of financial assistance to a consumer body for purposes in connection with the representation of the interests of consumers in relation to telecommunications issues’. This grant relates to the 201</w:t>
      </w:r>
      <w:r w:rsidR="00D172BB">
        <w:t>5</w:t>
      </w:r>
      <w:r w:rsidR="00462477">
        <w:t>–</w:t>
      </w:r>
      <w:r w:rsidR="00D172BB">
        <w:t>16</w:t>
      </w:r>
      <w:r w:rsidRPr="00596F9C">
        <w:t xml:space="preserve"> financial year.</w:t>
      </w:r>
    </w:p>
    <w:p w14:paraId="6535F159" w14:textId="348746E6" w:rsidR="009E783D" w:rsidRPr="00596F9C" w:rsidRDefault="009E783D" w:rsidP="009E783D">
      <w:r w:rsidRPr="00596F9C">
        <w:t>Since 2009</w:t>
      </w:r>
      <w:r w:rsidR="00347085">
        <w:t>–</w:t>
      </w:r>
      <w:r w:rsidRPr="00596F9C">
        <w:t xml:space="preserve">10, this grant has been provided to </w:t>
      </w:r>
      <w:r w:rsidR="004E2F7E" w:rsidRPr="00C320F6">
        <w:rPr>
          <w:rFonts w:cs="Arial"/>
          <w:szCs w:val="20"/>
        </w:rPr>
        <w:t xml:space="preserve">Australian Communications Consumer Action </w:t>
      </w:r>
      <w:r w:rsidR="004E2F7E" w:rsidRPr="004E2F7E">
        <w:rPr>
          <w:rFonts w:cs="Arial"/>
          <w:szCs w:val="20"/>
        </w:rPr>
        <w:t>Network</w:t>
      </w:r>
      <w:r w:rsidR="004E2F7E" w:rsidRPr="004E2F7E">
        <w:t xml:space="preserve"> (</w:t>
      </w:r>
      <w:r w:rsidRPr="004E2F7E">
        <w:t>ACCAN</w:t>
      </w:r>
      <w:r w:rsidR="004E2F7E">
        <w:t>)</w:t>
      </w:r>
      <w:r w:rsidRPr="00596F9C">
        <w:t xml:space="preserve"> as the peak body representing consumers of telecommunications services. ACCAN is provided </w:t>
      </w:r>
      <w:r>
        <w:t xml:space="preserve">with </w:t>
      </w:r>
      <w:r w:rsidRPr="00596F9C">
        <w:t xml:space="preserve">around </w:t>
      </w:r>
      <w:r w:rsidR="001071EB">
        <w:t>$2</w:t>
      </w:r>
      <w:r w:rsidR="001071EB" w:rsidRPr="001071EB">
        <w:t xml:space="preserve"> </w:t>
      </w:r>
      <w:r w:rsidRPr="001071EB">
        <w:t xml:space="preserve">million </w:t>
      </w:r>
      <w:r w:rsidRPr="00596F9C">
        <w:t xml:space="preserve">per annum as part of a second multi-year </w:t>
      </w:r>
      <w:r w:rsidR="00347085">
        <w:t>f</w:t>
      </w:r>
      <w:r w:rsidRPr="00596F9C">
        <w:t xml:space="preserve">unding </w:t>
      </w:r>
      <w:r w:rsidR="00347085">
        <w:t>a</w:t>
      </w:r>
      <w:r w:rsidRPr="00596F9C">
        <w:t xml:space="preserve">greement until 2017. Milestone payments under this </w:t>
      </w:r>
      <w:r w:rsidR="00462477">
        <w:t>a</w:t>
      </w:r>
      <w:r w:rsidRPr="00596F9C">
        <w:t xml:space="preserve">greement are made directly by the </w:t>
      </w:r>
      <w:r w:rsidRPr="001071EB">
        <w:t>DoC</w:t>
      </w:r>
      <w:r w:rsidR="00D172BB" w:rsidRPr="001071EB">
        <w:t>A</w:t>
      </w:r>
      <w:r w:rsidR="003F7E3A">
        <w:t xml:space="preserve"> as the Commonwealth delegate. </w:t>
      </w:r>
    </w:p>
    <w:p w14:paraId="6178D692" w14:textId="44B7B880" w:rsidR="009E783D" w:rsidRPr="003F7E3A" w:rsidRDefault="009E783D" w:rsidP="003F7E3A">
      <w:pPr>
        <w:rPr>
          <w:rFonts w:ascii="Calibri" w:hAnsi="Calibri"/>
          <w:szCs w:val="22"/>
        </w:rPr>
      </w:pPr>
      <w:r w:rsidRPr="00596F9C">
        <w:t xml:space="preserve">ACCAN represents consumer interests in telecommunications, </w:t>
      </w:r>
      <w:r w:rsidR="00D172BB">
        <w:t xml:space="preserve">conducts research on current and emerging issues and </w:t>
      </w:r>
      <w:r w:rsidRPr="00596F9C">
        <w:t xml:space="preserve">disseminates </w:t>
      </w:r>
      <w:r w:rsidR="00D172BB">
        <w:t>educational material t</w:t>
      </w:r>
      <w:r w:rsidRPr="00596F9C">
        <w:t>o consumers through the internet and publications</w:t>
      </w:r>
      <w:r w:rsidR="00D172BB">
        <w:t>. ACCAN also</w:t>
      </w:r>
      <w:r w:rsidRPr="00596F9C">
        <w:t xml:space="preserve"> engages and trains volunteer consumer advocates, coordinates responses to government</w:t>
      </w:r>
      <w:r w:rsidR="00347085">
        <w:t>-</w:t>
      </w:r>
      <w:r w:rsidRPr="00596F9C">
        <w:t xml:space="preserve">initiated processes, and conducts conferences and workshops. </w:t>
      </w:r>
      <w:r w:rsidR="008B1F63">
        <w:t>Consumer education and advocacy forms part of the telecommunications regulatory framework and it is appropriate to attribute these costs to the licensed carriers through the ACLC.</w:t>
      </w:r>
    </w:p>
    <w:p w14:paraId="73CC86D0" w14:textId="77777777" w:rsidR="009E783D" w:rsidRPr="00596F9C" w:rsidRDefault="009E783D" w:rsidP="009E783D">
      <w:r w:rsidRPr="00596F9C">
        <w:t xml:space="preserve">ACCAN operates a competitive Independent Grants Scheme, which allows individuals and organisations to undertake research or representation projects in the interest of the telecommunications consumer. Further information can be obtained from ACCAN’s website at </w:t>
      </w:r>
      <w:hyperlink r:id="rId23" w:history="1">
        <w:r w:rsidRPr="00462477">
          <w:rPr>
            <w:rStyle w:val="Hyperlink"/>
          </w:rPr>
          <w:t>www.accan.org.au</w:t>
        </w:r>
      </w:hyperlink>
      <w:r w:rsidRPr="00596F9C">
        <w:t>.</w:t>
      </w:r>
    </w:p>
    <w:p w14:paraId="085CC95C" w14:textId="77777777" w:rsidR="009E783D" w:rsidRDefault="009E783D" w:rsidP="003F7E3A">
      <w:pPr>
        <w:pStyle w:val="Heading3"/>
      </w:pPr>
      <w:bookmarkStart w:id="63" w:name="_Toc417990960"/>
      <w:bookmarkStart w:id="64" w:name="_Toc454268376"/>
      <w:r w:rsidRPr="003F7E3A">
        <w:lastRenderedPageBreak/>
        <w:t>3.5.2</w:t>
      </w:r>
      <w:r w:rsidRPr="003F7E3A">
        <w:tab/>
        <w:t>Costs of the activity</w:t>
      </w:r>
      <w:bookmarkEnd w:id="63"/>
      <w:bookmarkEnd w:id="64"/>
    </w:p>
    <w:p w14:paraId="6AA58232" w14:textId="77777777" w:rsidR="000109E0" w:rsidRDefault="009E783D" w:rsidP="009E783D">
      <w:r>
        <w:t>The DoC</w:t>
      </w:r>
      <w:r w:rsidR="00D172BB">
        <w:t>A estimates that for the 2015</w:t>
      </w:r>
      <w:r w:rsidR="00462477">
        <w:t>–</w:t>
      </w:r>
      <w:r w:rsidR="00D172BB">
        <w:t>16</w:t>
      </w:r>
      <w:r>
        <w:t xml:space="preserve"> financial year, the total amount of grants likely to be made under section 593 of the </w:t>
      </w:r>
      <w:r w:rsidRPr="002B591F">
        <w:rPr>
          <w:i/>
        </w:rPr>
        <w:t>Telecommunications Act 1997</w:t>
      </w:r>
      <w:r>
        <w:t xml:space="preserve"> will be $2.</w:t>
      </w:r>
      <w:r w:rsidR="00D172BB">
        <w:t>196</w:t>
      </w:r>
      <w:r w:rsidR="00462477">
        <w:t> </w:t>
      </w:r>
      <w:r>
        <w:t xml:space="preserve">million as set out in </w:t>
      </w:r>
      <w:r w:rsidR="000109E0">
        <w:t>T</w:t>
      </w:r>
      <w:r w:rsidR="003F7E3A">
        <w:t xml:space="preserve">able </w:t>
      </w:r>
      <w:r w:rsidR="00D172BB">
        <w:t>9</w:t>
      </w:r>
      <w:r w:rsidR="000109E0">
        <w:t xml:space="preserve"> </w:t>
      </w:r>
      <w:r w:rsidR="003F7E3A">
        <w:t>below</w:t>
      </w:r>
      <w:r w:rsidR="000109E0">
        <w:t>.</w:t>
      </w:r>
    </w:p>
    <w:p w14:paraId="6A80A5B5" w14:textId="77777777" w:rsidR="000109E0" w:rsidRDefault="00D866D4" w:rsidP="00347085">
      <w:pPr>
        <w:pStyle w:val="ACMATableHeader"/>
        <w:keepNext/>
        <w:numPr>
          <w:ilvl w:val="0"/>
          <w:numId w:val="0"/>
        </w:numPr>
      </w:pPr>
      <w:r>
        <w:t>Table 9:</w:t>
      </w:r>
      <w:r>
        <w:tab/>
      </w:r>
      <w:r w:rsidR="000109E0">
        <w:t>Consumer representation grant program</w:t>
      </w:r>
    </w:p>
    <w:tbl>
      <w:tblPr>
        <w:tblStyle w:val="TableGrid"/>
        <w:tblW w:w="0" w:type="auto"/>
        <w:tblCellMar>
          <w:top w:w="57" w:type="dxa"/>
          <w:bottom w:w="57" w:type="dxa"/>
        </w:tblCellMar>
        <w:tblLook w:val="04A0" w:firstRow="1" w:lastRow="0" w:firstColumn="1" w:lastColumn="0" w:noHBand="0" w:noVBand="1"/>
        <w:tblCaption w:val="Consumer representation grant program"/>
        <w:tblDescription w:val="Includes expenses and costs."/>
      </w:tblPr>
      <w:tblGrid>
        <w:gridCol w:w="5949"/>
        <w:gridCol w:w="1712"/>
      </w:tblGrid>
      <w:tr w:rsidR="000109E0" w14:paraId="22FA42F3" w14:textId="77777777" w:rsidTr="00CE6BED">
        <w:trPr>
          <w:tblHeader/>
        </w:trPr>
        <w:tc>
          <w:tcPr>
            <w:tcW w:w="5949" w:type="dxa"/>
            <w:shd w:val="clear" w:color="auto" w:fill="404040" w:themeFill="text1" w:themeFillTint="BF"/>
          </w:tcPr>
          <w:p w14:paraId="64620005" w14:textId="77777777" w:rsidR="000109E0" w:rsidRPr="00CE6BED" w:rsidRDefault="00EA782A" w:rsidP="00CE6BED">
            <w:pPr>
              <w:pStyle w:val="TableHeading"/>
              <w:keepNext/>
              <w:rPr>
                <w:b w:val="0"/>
                <w:color w:val="FFFFFF" w:themeColor="background1"/>
              </w:rPr>
            </w:pPr>
            <w:r w:rsidRPr="00CE6BED">
              <w:rPr>
                <w:color w:val="FFFFFF" w:themeColor="background1"/>
              </w:rPr>
              <w:t>Expense</w:t>
            </w:r>
          </w:p>
        </w:tc>
        <w:tc>
          <w:tcPr>
            <w:tcW w:w="1712" w:type="dxa"/>
            <w:shd w:val="clear" w:color="auto" w:fill="404040" w:themeFill="text1" w:themeFillTint="BF"/>
          </w:tcPr>
          <w:p w14:paraId="1EA7B5E8" w14:textId="77777777" w:rsidR="000109E0" w:rsidRPr="00CE6BED" w:rsidRDefault="000109E0" w:rsidP="00CE6BED">
            <w:pPr>
              <w:pStyle w:val="TableHeading"/>
              <w:keepNext/>
              <w:jc w:val="right"/>
              <w:rPr>
                <w:b w:val="0"/>
                <w:color w:val="FFFFFF" w:themeColor="background1"/>
              </w:rPr>
            </w:pPr>
            <w:r w:rsidRPr="00CE6BED">
              <w:rPr>
                <w:color w:val="FFFFFF" w:themeColor="background1"/>
              </w:rPr>
              <w:t>Cost ($m</w:t>
            </w:r>
            <w:r w:rsidR="00EA782A" w:rsidRPr="00CE6BED">
              <w:rPr>
                <w:color w:val="FFFFFF" w:themeColor="background1"/>
              </w:rPr>
              <w:t>illion</w:t>
            </w:r>
            <w:r w:rsidRPr="00CE6BED">
              <w:rPr>
                <w:color w:val="FFFFFF" w:themeColor="background1"/>
              </w:rPr>
              <w:t>)</w:t>
            </w:r>
          </w:p>
        </w:tc>
      </w:tr>
      <w:tr w:rsidR="000109E0" w14:paraId="21D8830B" w14:textId="77777777" w:rsidTr="00CE6BED">
        <w:tc>
          <w:tcPr>
            <w:tcW w:w="5949" w:type="dxa"/>
            <w:vAlign w:val="center"/>
          </w:tcPr>
          <w:p w14:paraId="75E72A8F" w14:textId="77777777" w:rsidR="000109E0" w:rsidRDefault="000109E0" w:rsidP="00CE6BED">
            <w:pPr>
              <w:keepNext/>
              <w:spacing w:after="0"/>
            </w:pPr>
            <w:r>
              <w:t>Employee</w:t>
            </w:r>
          </w:p>
        </w:tc>
        <w:tc>
          <w:tcPr>
            <w:tcW w:w="1712" w:type="dxa"/>
            <w:vAlign w:val="center"/>
          </w:tcPr>
          <w:p w14:paraId="40589853" w14:textId="77777777" w:rsidR="000109E0" w:rsidRDefault="00D172BB" w:rsidP="00CE6BED">
            <w:pPr>
              <w:keepNext/>
              <w:spacing w:after="0"/>
              <w:jc w:val="right"/>
            </w:pPr>
            <w:r>
              <w:t>1.310</w:t>
            </w:r>
          </w:p>
        </w:tc>
      </w:tr>
      <w:tr w:rsidR="000109E0" w14:paraId="5F7C9866" w14:textId="77777777" w:rsidTr="00CE6BED">
        <w:tc>
          <w:tcPr>
            <w:tcW w:w="5949" w:type="dxa"/>
            <w:vAlign w:val="center"/>
          </w:tcPr>
          <w:p w14:paraId="0A27FD23" w14:textId="77777777" w:rsidR="000109E0" w:rsidRDefault="000109E0" w:rsidP="00CE6BED">
            <w:pPr>
              <w:keepNext/>
              <w:spacing w:after="0"/>
            </w:pPr>
            <w:r>
              <w:t>Administration expenses</w:t>
            </w:r>
          </w:p>
        </w:tc>
        <w:tc>
          <w:tcPr>
            <w:tcW w:w="1712" w:type="dxa"/>
            <w:vAlign w:val="center"/>
          </w:tcPr>
          <w:p w14:paraId="3B26EDC6" w14:textId="77777777" w:rsidR="000109E0" w:rsidRDefault="00D172BB" w:rsidP="00CE6BED">
            <w:pPr>
              <w:keepNext/>
              <w:spacing w:after="0"/>
              <w:jc w:val="right"/>
            </w:pPr>
            <w:r>
              <w:t>0.462</w:t>
            </w:r>
          </w:p>
        </w:tc>
      </w:tr>
      <w:tr w:rsidR="000109E0" w14:paraId="0FAE9C37" w14:textId="77777777" w:rsidTr="00CE6BED">
        <w:tc>
          <w:tcPr>
            <w:tcW w:w="5949" w:type="dxa"/>
            <w:vAlign w:val="center"/>
          </w:tcPr>
          <w:p w14:paraId="49EF683B" w14:textId="77777777" w:rsidR="000109E0" w:rsidRDefault="000109E0" w:rsidP="00CE6BED">
            <w:pPr>
              <w:keepNext/>
              <w:spacing w:after="0"/>
            </w:pPr>
            <w:r>
              <w:t>Independent Grants Program Research Projects</w:t>
            </w:r>
          </w:p>
        </w:tc>
        <w:tc>
          <w:tcPr>
            <w:tcW w:w="1712" w:type="dxa"/>
            <w:vAlign w:val="center"/>
          </w:tcPr>
          <w:p w14:paraId="007E7DD9" w14:textId="77777777" w:rsidR="000109E0" w:rsidRDefault="00D172BB" w:rsidP="00CE6BED">
            <w:pPr>
              <w:keepNext/>
              <w:spacing w:after="0"/>
              <w:jc w:val="right"/>
            </w:pPr>
            <w:r>
              <w:t>0.360</w:t>
            </w:r>
          </w:p>
        </w:tc>
      </w:tr>
      <w:tr w:rsidR="000109E0" w14:paraId="5C2D088A" w14:textId="77777777" w:rsidTr="00CE6BED">
        <w:tc>
          <w:tcPr>
            <w:tcW w:w="5949" w:type="dxa"/>
            <w:vAlign w:val="center"/>
          </w:tcPr>
          <w:p w14:paraId="38ABAE2B" w14:textId="77777777" w:rsidR="000109E0" w:rsidRDefault="000109E0" w:rsidP="00CE6BED">
            <w:pPr>
              <w:keepNext/>
              <w:spacing w:after="0"/>
            </w:pPr>
            <w:r>
              <w:t>Committee expenses, travel, accommodation</w:t>
            </w:r>
          </w:p>
        </w:tc>
        <w:tc>
          <w:tcPr>
            <w:tcW w:w="1712" w:type="dxa"/>
            <w:vAlign w:val="center"/>
          </w:tcPr>
          <w:p w14:paraId="2D4571D7" w14:textId="77777777" w:rsidR="000109E0" w:rsidRDefault="00D172BB" w:rsidP="00CE6BED">
            <w:pPr>
              <w:keepNext/>
              <w:spacing w:after="0"/>
              <w:jc w:val="right"/>
            </w:pPr>
            <w:r>
              <w:t>0.064</w:t>
            </w:r>
          </w:p>
        </w:tc>
      </w:tr>
      <w:tr w:rsidR="000109E0" w14:paraId="629039B3" w14:textId="77777777" w:rsidTr="00CE6BED">
        <w:tc>
          <w:tcPr>
            <w:tcW w:w="5949" w:type="dxa"/>
            <w:vAlign w:val="center"/>
          </w:tcPr>
          <w:p w14:paraId="46AD8241" w14:textId="77777777" w:rsidR="000109E0" w:rsidRDefault="000109E0" w:rsidP="00CE6BED">
            <w:pPr>
              <w:keepNext/>
              <w:spacing w:after="0"/>
            </w:pPr>
            <w:r>
              <w:rPr>
                <w:b/>
                <w:bCs/>
              </w:rPr>
              <w:t>Total</w:t>
            </w:r>
          </w:p>
        </w:tc>
        <w:tc>
          <w:tcPr>
            <w:tcW w:w="1712" w:type="dxa"/>
            <w:vAlign w:val="center"/>
          </w:tcPr>
          <w:p w14:paraId="096AD594" w14:textId="77777777" w:rsidR="000109E0" w:rsidRDefault="00D172BB" w:rsidP="00CE6BED">
            <w:pPr>
              <w:keepNext/>
              <w:spacing w:after="0"/>
              <w:jc w:val="right"/>
            </w:pPr>
            <w:r>
              <w:rPr>
                <w:b/>
                <w:bCs/>
              </w:rPr>
              <w:t>2.196</w:t>
            </w:r>
          </w:p>
        </w:tc>
      </w:tr>
    </w:tbl>
    <w:p w14:paraId="520264F0" w14:textId="41FB5527" w:rsidR="009E783D" w:rsidRPr="000D6F80" w:rsidRDefault="009E783D" w:rsidP="003F7E3A">
      <w:pPr>
        <w:spacing w:before="240"/>
      </w:pPr>
      <w:r>
        <w:t xml:space="preserve">These cost estimates were provided by ACCAN as part of the </w:t>
      </w:r>
      <w:r w:rsidR="00347085">
        <w:t>f</w:t>
      </w:r>
      <w:r>
        <w:t xml:space="preserve">unding </w:t>
      </w:r>
      <w:r w:rsidR="00347085">
        <w:t>a</w:t>
      </w:r>
      <w:r>
        <w:t>greement. These amounts have been independently verified.</w:t>
      </w:r>
      <w:bookmarkStart w:id="65" w:name="calculationofcosts"/>
      <w:bookmarkEnd w:id="32"/>
    </w:p>
    <w:p w14:paraId="40E72E05" w14:textId="77777777" w:rsidR="009E783D" w:rsidRDefault="009E783D" w:rsidP="003F7E3A">
      <w:pPr>
        <w:pStyle w:val="Heading2"/>
      </w:pPr>
      <w:bookmarkStart w:id="66" w:name="_Toc355953991"/>
      <w:bookmarkStart w:id="67" w:name="_Toc385256320"/>
      <w:bookmarkStart w:id="68" w:name="_Toc417990961"/>
      <w:bookmarkStart w:id="69" w:name="_Toc454268377"/>
      <w:r w:rsidRPr="003F7E3A">
        <w:t>3.6</w:t>
      </w:r>
      <w:r w:rsidRPr="003F7E3A">
        <w:tab/>
      </w:r>
      <w:bookmarkEnd w:id="66"/>
      <w:bookmarkEnd w:id="67"/>
      <w:r w:rsidRPr="003F7E3A">
        <w:t>Design of cost recovery charges</w:t>
      </w:r>
      <w:bookmarkEnd w:id="68"/>
      <w:bookmarkEnd w:id="69"/>
    </w:p>
    <w:p w14:paraId="7FDD3FB1" w14:textId="77777777" w:rsidR="009E783D" w:rsidRPr="005D0BC8" w:rsidRDefault="009E783D" w:rsidP="009E783D">
      <w:r w:rsidRPr="00A84CBD">
        <w:t>The ACLC is imposed as a levy</w:t>
      </w:r>
      <w:r>
        <w:t xml:space="preserve">, which </w:t>
      </w:r>
      <w:r w:rsidRPr="00A84CBD">
        <w:t>is considered appropriate as it encompasses a number of regulatory and other activities that may not be easily or cost effectively attributed to individual licensed carriers and hence translated into direct fees, but can be attributed to the telecommunications industry as a group</w:t>
      </w:r>
      <w:r w:rsidR="00B46902">
        <w:t>. Eligible revenue provides a reasonable reflection of effort and costs, and industry understands and accepts this methodology. Furthermore, eligible revenue of licensed carriers is utilised for the calculation of the Telecommunications Industry Levy</w:t>
      </w:r>
      <w:r w:rsidRPr="00A84CBD">
        <w:t>.</w:t>
      </w:r>
    </w:p>
    <w:p w14:paraId="65E16D3F" w14:textId="77777777" w:rsidR="009E783D" w:rsidRPr="005D0BC8" w:rsidRDefault="009E783D" w:rsidP="003F7E3A">
      <w:pPr>
        <w:pStyle w:val="Bodysubheader0"/>
      </w:pPr>
      <w:bookmarkStart w:id="70" w:name="OLE_LINK13"/>
      <w:bookmarkStart w:id="71" w:name="OLE_LINK14"/>
      <w:r w:rsidRPr="00A84CBD">
        <w:rPr>
          <w:lang w:eastAsia="en-US"/>
        </w:rPr>
        <w:t>Establishment of individual levy amounts</w:t>
      </w:r>
    </w:p>
    <w:p w14:paraId="14290526" w14:textId="77777777" w:rsidR="009E783D" w:rsidRPr="003F7E3A" w:rsidRDefault="009E783D" w:rsidP="009E783D">
      <w:r w:rsidRPr="00A84CBD">
        <w:t xml:space="preserve">For the purpose of ascertaining the levy for liable individual licensed carriers, their ‘eligible revenue’, as assessed by the ACMA, is used as a basis for allocating the total ACLC. There has been no change in the method for the </w:t>
      </w:r>
      <w:r>
        <w:t>calculation</w:t>
      </w:r>
      <w:r w:rsidRPr="00A84CBD">
        <w:t xml:space="preserve"> of individual charges</w:t>
      </w:r>
      <w:r>
        <w:t xml:space="preserve"> from Determination of the ACLC made by the ACMA in the previous year</w:t>
      </w:r>
      <w:r w:rsidRPr="00A84CBD">
        <w:t>.</w:t>
      </w:r>
    </w:p>
    <w:p w14:paraId="04B72E91" w14:textId="77777777" w:rsidR="009E783D" w:rsidRPr="003F7E3A" w:rsidRDefault="009E783D" w:rsidP="009E783D">
      <w:r w:rsidRPr="00A84CBD">
        <w:t>In accordance with the Direction 2013, non-participating persons (that is, the smaller carriers) are exempted from</w:t>
      </w:r>
      <w:r>
        <w:t xml:space="preserve"> the liability to pay the ACLC. </w:t>
      </w:r>
      <w:r w:rsidRPr="00A84CBD">
        <w:t>This</w:t>
      </w:r>
      <w:r>
        <w:t>, in effect,</w:t>
      </w:r>
      <w:r w:rsidRPr="00A84CBD">
        <w:t xml:space="preserve"> remove</w:t>
      </w:r>
      <w:r>
        <w:t>s</w:t>
      </w:r>
      <w:r w:rsidRPr="00A84CBD">
        <w:t xml:space="preserve"> unnecessary red tape in telecommunications regulation.</w:t>
      </w:r>
      <w:r>
        <w:t xml:space="preserve"> </w:t>
      </w:r>
      <w:r w:rsidRPr="00A84CBD">
        <w:t>While the total ACLC include</w:t>
      </w:r>
      <w:r>
        <w:t>s</w:t>
      </w:r>
      <w:r w:rsidRPr="00A84CBD">
        <w:t xml:space="preserve"> costs that may be incurred by the ACMA in regulating non-participating persons, the ACMA estimates that the </w:t>
      </w:r>
      <w:r>
        <w:t xml:space="preserve">financial </w:t>
      </w:r>
      <w:r w:rsidRPr="00A84CBD">
        <w:t xml:space="preserve">impact of exempting non-participating persons from the liability to pay the ACLC is insignificant. </w:t>
      </w:r>
    </w:p>
    <w:p w14:paraId="02822727" w14:textId="77777777" w:rsidR="009E783D" w:rsidRDefault="009E783D" w:rsidP="009E783D">
      <w:r w:rsidRPr="00D972FA">
        <w:t>The ACMA collects financial information from the telecommunications industry annually in the form of a written eligible revenue return to assess the eligible revenue of each participating person</w:t>
      </w:r>
      <w:r w:rsidR="00821566" w:rsidRPr="00D972FA">
        <w:t xml:space="preserve"> (as defined in the </w:t>
      </w:r>
      <w:r w:rsidR="00821566" w:rsidRPr="00D972FA">
        <w:rPr>
          <w:i/>
        </w:rPr>
        <w:t>Telecommunications (</w:t>
      </w:r>
      <w:r w:rsidR="00DB3E21">
        <w:rPr>
          <w:i/>
        </w:rPr>
        <w:t>C</w:t>
      </w:r>
      <w:r w:rsidR="00821566" w:rsidRPr="00D972FA">
        <w:rPr>
          <w:i/>
        </w:rPr>
        <w:t xml:space="preserve">onsumer Protection and </w:t>
      </w:r>
      <w:r w:rsidR="00DB3E21">
        <w:rPr>
          <w:i/>
        </w:rPr>
        <w:t>S</w:t>
      </w:r>
      <w:r w:rsidR="00821566" w:rsidRPr="00D972FA">
        <w:rPr>
          <w:i/>
        </w:rPr>
        <w:t>ervice Standards) Act 1999</w:t>
      </w:r>
      <w:r w:rsidR="00DB3E21">
        <w:rPr>
          <w:rStyle w:val="FootnoteReference"/>
          <w:i/>
        </w:rPr>
        <w:footnoteReference w:id="8"/>
      </w:r>
      <w:r w:rsidR="00821566" w:rsidRPr="00D972FA">
        <w:t>)</w:t>
      </w:r>
      <w:r w:rsidRPr="00D972FA">
        <w:t>. The applicable eligible revenue amounts for the purposes of calculating the ACLC for 201</w:t>
      </w:r>
      <w:r w:rsidR="000D4779" w:rsidRPr="00D972FA">
        <w:t>5–16</w:t>
      </w:r>
      <w:r w:rsidRPr="00D972FA">
        <w:t xml:space="preserve"> relate to the preceding financial year (</w:t>
      </w:r>
      <w:r w:rsidR="000D4779" w:rsidRPr="00D972FA">
        <w:t>2014–15</w:t>
      </w:r>
      <w:r w:rsidRPr="00D972FA">
        <w:t>).</w:t>
      </w:r>
      <w:r w:rsidRPr="00A84CBD">
        <w:t xml:space="preserve"> </w:t>
      </w:r>
    </w:p>
    <w:p w14:paraId="5624B8AA" w14:textId="77777777" w:rsidR="009E783D" w:rsidRPr="003F7E3A" w:rsidRDefault="009E783D" w:rsidP="006D3409">
      <w:pPr>
        <w:keepNext/>
        <w:keepLines/>
      </w:pPr>
      <w:bookmarkStart w:id="72" w:name="_Toc260128315"/>
      <w:bookmarkStart w:id="73" w:name="_Toc261431684"/>
      <w:bookmarkStart w:id="74" w:name="_Toc261431816"/>
      <w:bookmarkStart w:id="75" w:name="_Toc316465934"/>
      <w:r w:rsidRPr="00A84CBD">
        <w:lastRenderedPageBreak/>
        <w:t>The following formula is used for allocating the total charge to liable individual carriers:</w:t>
      </w:r>
      <w:bookmarkEnd w:id="72"/>
      <w:bookmarkEnd w:id="73"/>
      <w:bookmarkEnd w:id="74"/>
      <w:bookmarkEnd w:id="75"/>
    </w:p>
    <w:p w14:paraId="59CD461F" w14:textId="77777777" w:rsidR="009E783D" w:rsidRPr="005D0BC8" w:rsidRDefault="007E76AB" w:rsidP="006D3409">
      <w:pPr>
        <w:pStyle w:val="BodyText"/>
        <w:keepNext/>
        <w:keepLines/>
        <w:spacing w:line="240" w:lineRule="atLeast"/>
        <w:ind w:right="-142"/>
        <w:rPr>
          <w:rFonts w:cs="Arial"/>
          <w:i w:val="0"/>
          <w:color w:val="auto"/>
          <w:szCs w:val="20"/>
        </w:rPr>
      </w:pPr>
      <m:oMathPara>
        <m:oMathParaPr>
          <m:jc m:val="left"/>
        </m:oMathParaPr>
        <m:oMath>
          <m:d>
            <m:dPr>
              <m:ctrlPr>
                <w:rPr>
                  <w:rFonts w:ascii="Cambria Math" w:hAnsi="Cambria Math" w:cs="Arial"/>
                  <w:color w:val="auto"/>
                  <w:szCs w:val="20"/>
                </w:rPr>
              </m:ctrlPr>
            </m:dPr>
            <m:e>
              <m:r>
                <w:rPr>
                  <w:rFonts w:ascii="Cambria Math" w:hAnsi="Cambria Math" w:cs="Arial"/>
                  <w:color w:val="auto"/>
                  <w:szCs w:val="20"/>
                </w:rPr>
                <m:t>MCA-OTC</m:t>
              </m:r>
            </m:e>
          </m:d>
          <m:r>
            <w:rPr>
              <w:rFonts w:ascii="Cambria Math" w:hAnsi="Cambria Math" w:cs="Arial"/>
              <w:color w:val="auto"/>
              <w:szCs w:val="20"/>
            </w:rPr>
            <m:t>×</m:t>
          </m:r>
          <m:f>
            <m:fPr>
              <m:ctrlPr>
                <w:rPr>
                  <w:rFonts w:ascii="Cambria Math" w:hAnsi="Cambria Math" w:cs="Arial"/>
                  <w:color w:val="auto"/>
                  <w:szCs w:val="20"/>
                </w:rPr>
              </m:ctrlPr>
            </m:fPr>
            <m:num>
              <m:r>
                <w:rPr>
                  <w:rFonts w:ascii="Cambria Math" w:hAnsi="Cambria Math" w:cs="Arial"/>
                  <w:color w:val="auto"/>
                  <w:szCs w:val="20"/>
                </w:rPr>
                <m:t>ER</m:t>
              </m:r>
            </m:num>
            <m:den>
              <m:r>
                <w:rPr>
                  <w:rFonts w:ascii="Cambria Math" w:hAnsi="Cambria Math" w:cs="Arial"/>
                  <w:color w:val="auto"/>
                  <w:szCs w:val="20"/>
                </w:rPr>
                <m:t>TER</m:t>
              </m:r>
            </m:den>
          </m:f>
        </m:oMath>
      </m:oMathPara>
    </w:p>
    <w:p w14:paraId="3308077A" w14:textId="77777777" w:rsidR="009E783D" w:rsidRPr="005D0BC8" w:rsidRDefault="009E783D" w:rsidP="006D3409">
      <w:pPr>
        <w:keepNext/>
        <w:keepLines/>
        <w:spacing w:before="240" w:after="80"/>
      </w:pPr>
      <w:r w:rsidRPr="00A84CBD">
        <w:t>Where:</w:t>
      </w:r>
    </w:p>
    <w:p w14:paraId="5613A298" w14:textId="77777777" w:rsidR="009E783D" w:rsidRPr="003F7E3A" w:rsidRDefault="009E783D" w:rsidP="006D3409">
      <w:pPr>
        <w:pStyle w:val="ListBullet"/>
        <w:keepNext/>
        <w:keepLines/>
      </w:pPr>
      <w:r w:rsidRPr="003F7E3A">
        <w:t>MCA is the maximum charge amount</w:t>
      </w:r>
    </w:p>
    <w:p w14:paraId="4A5181CD" w14:textId="77777777" w:rsidR="009E783D" w:rsidRPr="003F7E3A" w:rsidRDefault="009E783D" w:rsidP="006D3409">
      <w:pPr>
        <w:pStyle w:val="ListBullet"/>
        <w:keepNext/>
        <w:keepLines/>
      </w:pPr>
      <w:r w:rsidRPr="003F7E3A">
        <w:t>OTC is the other telecommunications charges</w:t>
      </w:r>
      <w:r w:rsidRPr="000E0EFD">
        <w:rPr>
          <w:vertAlign w:val="superscript"/>
        </w:rPr>
        <w:footnoteReference w:id="9"/>
      </w:r>
    </w:p>
    <w:p w14:paraId="33ED747C" w14:textId="77777777" w:rsidR="009E783D" w:rsidRDefault="009E783D" w:rsidP="006D3409">
      <w:pPr>
        <w:pStyle w:val="ListBullet"/>
        <w:keepNext/>
        <w:keepLines/>
      </w:pPr>
      <w:r w:rsidRPr="003F7E3A">
        <w:t>ER is the individual carrier’s eligible revenue</w:t>
      </w:r>
    </w:p>
    <w:p w14:paraId="379A78D0" w14:textId="77777777" w:rsidR="009E783D" w:rsidRDefault="009E783D" w:rsidP="006D3409">
      <w:pPr>
        <w:pStyle w:val="ListBulletLast"/>
        <w:keepNext/>
        <w:keepLines/>
      </w:pPr>
      <w:r w:rsidRPr="00A84CBD">
        <w:t>TER is the total eligible revenue.</w:t>
      </w:r>
    </w:p>
    <w:p w14:paraId="3C198D25" w14:textId="77777777" w:rsidR="009E783D" w:rsidRDefault="009E783D" w:rsidP="009E783D">
      <w:r w:rsidRPr="00A84CBD">
        <w:t xml:space="preserve">The ‘ER/TER’ determines the individual proportion of the carrier’s assessed eligible revenue relative to the total assessed eligible revenue for those carriers who are liable to pay the ACLC. In summary, the formula allocates the total ACLC to the individual carriers, in the same proportion as their assessed eligible revenue relates to the total assessed eligible revenue. </w:t>
      </w:r>
      <w:bookmarkEnd w:id="70"/>
      <w:bookmarkEnd w:id="71"/>
    </w:p>
    <w:p w14:paraId="3B488627" w14:textId="77777777" w:rsidR="005A5B87" w:rsidRDefault="009E783D" w:rsidP="009E783D">
      <w:r w:rsidRPr="00A84CBD">
        <w:t xml:space="preserve">The summary of all components identified </w:t>
      </w:r>
      <w:r>
        <w:t xml:space="preserve">in </w:t>
      </w:r>
      <w:r w:rsidRPr="00A84CBD">
        <w:t xml:space="preserve">paragraphs 15(1)(a) to 15(1)(d) of the Act </w:t>
      </w:r>
      <w:r w:rsidRPr="0039435F">
        <w:t>(that is, sections 3.1.2, 3.2.2, 3.3.2, 3.4.2 and 3.5.2 in this CRIS) is provided in</w:t>
      </w:r>
      <w:r w:rsidRPr="00A84CBD">
        <w:t xml:space="preserve"> T</w:t>
      </w:r>
      <w:r w:rsidR="003F7E3A">
        <w:t>able</w:t>
      </w:r>
      <w:r w:rsidR="006D3409">
        <w:t> </w:t>
      </w:r>
      <w:r w:rsidR="000D4779">
        <w:t>10</w:t>
      </w:r>
      <w:r w:rsidR="005A5B87">
        <w:t>.</w:t>
      </w:r>
    </w:p>
    <w:p w14:paraId="684F6B78" w14:textId="77777777" w:rsidR="005A5B87" w:rsidRDefault="00D866D4" w:rsidP="00D866D4">
      <w:pPr>
        <w:pStyle w:val="ACMATableHeader"/>
        <w:numPr>
          <w:ilvl w:val="0"/>
          <w:numId w:val="0"/>
        </w:numPr>
      </w:pPr>
      <w:r>
        <w:t>Table 10:</w:t>
      </w:r>
      <w:r>
        <w:tab/>
      </w:r>
      <w:r w:rsidR="005A5B87" w:rsidRPr="005A1AF4">
        <w:t>ACLC summary by cost component</w:t>
      </w:r>
    </w:p>
    <w:tbl>
      <w:tblPr>
        <w:tblW w:w="478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1440"/>
        <w:gridCol w:w="4124"/>
        <w:gridCol w:w="1768"/>
      </w:tblGrid>
      <w:tr w:rsidR="005A5B87" w:rsidRPr="000D6F80" w14:paraId="41D34B8B" w14:textId="77777777" w:rsidTr="00C46D75">
        <w:trPr>
          <w:cantSplit/>
          <w:trHeight w:val="325"/>
          <w:tblHeader/>
        </w:trPr>
        <w:tc>
          <w:tcPr>
            <w:tcW w:w="982" w:type="pct"/>
            <w:shd w:val="clear" w:color="auto" w:fill="404040" w:themeFill="text1" w:themeFillTint="BF"/>
            <w:vAlign w:val="center"/>
          </w:tcPr>
          <w:p w14:paraId="49DACA9C" w14:textId="77777777" w:rsidR="005A5B87" w:rsidRPr="00CE6BED" w:rsidRDefault="005A5B87" w:rsidP="00CE6BED">
            <w:pPr>
              <w:pStyle w:val="TableHeading"/>
              <w:rPr>
                <w:b w:val="0"/>
                <w:color w:val="FFFFFF" w:themeColor="background1"/>
              </w:rPr>
            </w:pPr>
            <w:r w:rsidRPr="00CE6BED">
              <w:rPr>
                <w:color w:val="FFFFFF" w:themeColor="background1"/>
              </w:rPr>
              <w:t>Reference in the Act</w:t>
            </w:r>
          </w:p>
        </w:tc>
        <w:tc>
          <w:tcPr>
            <w:tcW w:w="2812" w:type="pct"/>
            <w:shd w:val="clear" w:color="auto" w:fill="404040" w:themeFill="text1" w:themeFillTint="BF"/>
            <w:vAlign w:val="center"/>
          </w:tcPr>
          <w:p w14:paraId="699BB1B7" w14:textId="77777777" w:rsidR="005A5B87" w:rsidRPr="00CE6BED" w:rsidRDefault="005A5B87" w:rsidP="00CE6BED">
            <w:pPr>
              <w:pStyle w:val="TableHeading"/>
              <w:rPr>
                <w:b w:val="0"/>
                <w:color w:val="FFFFFF" w:themeColor="background1"/>
                <w:highlight w:val="yellow"/>
              </w:rPr>
            </w:pPr>
            <w:r w:rsidRPr="00CE6BED">
              <w:rPr>
                <w:color w:val="FFFFFF" w:themeColor="background1"/>
              </w:rPr>
              <w:t>Cost component</w:t>
            </w:r>
          </w:p>
        </w:tc>
        <w:tc>
          <w:tcPr>
            <w:tcW w:w="1206" w:type="pct"/>
            <w:tcBorders>
              <w:top w:val="single" w:sz="6" w:space="0" w:color="auto"/>
            </w:tcBorders>
            <w:shd w:val="clear" w:color="auto" w:fill="404040" w:themeFill="text1" w:themeFillTint="BF"/>
            <w:vAlign w:val="center"/>
          </w:tcPr>
          <w:p w14:paraId="14FD9AAA" w14:textId="77777777" w:rsidR="005A5B87" w:rsidRPr="00CE6BED" w:rsidRDefault="000D4779" w:rsidP="00CE6BED">
            <w:pPr>
              <w:pStyle w:val="TableHeading"/>
              <w:rPr>
                <w:b w:val="0"/>
                <w:color w:val="FFFFFF" w:themeColor="background1"/>
              </w:rPr>
            </w:pPr>
            <w:r w:rsidRPr="00CE6BED">
              <w:rPr>
                <w:color w:val="FFFFFF" w:themeColor="background1"/>
              </w:rPr>
              <w:t>2015–16</w:t>
            </w:r>
            <w:r w:rsidR="005A5B87" w:rsidRPr="00CE6BED">
              <w:rPr>
                <w:color w:val="FFFFFF" w:themeColor="background1"/>
              </w:rPr>
              <w:t xml:space="preserve"> ACLC</w:t>
            </w:r>
          </w:p>
          <w:p w14:paraId="602335C9" w14:textId="77777777" w:rsidR="005A5B87" w:rsidRPr="00CE6BED" w:rsidRDefault="005A5B87" w:rsidP="00CE6BED">
            <w:pPr>
              <w:pStyle w:val="TableHeading"/>
              <w:rPr>
                <w:b w:val="0"/>
                <w:color w:val="FFFFFF" w:themeColor="background1"/>
                <w:highlight w:val="yellow"/>
              </w:rPr>
            </w:pPr>
            <w:r w:rsidRPr="00CE6BED">
              <w:rPr>
                <w:color w:val="FFFFFF" w:themeColor="background1"/>
              </w:rPr>
              <w:t>Actual</w:t>
            </w:r>
            <w:r w:rsidR="00194FDF" w:rsidRPr="001F572C">
              <w:rPr>
                <w:rStyle w:val="FootnoteReference"/>
                <w:rFonts w:cs="Arial"/>
                <w:b w:val="0"/>
                <w:iCs/>
                <w:color w:val="FFFFFF" w:themeColor="background1"/>
                <w:szCs w:val="20"/>
              </w:rPr>
              <w:footnoteReference w:id="10"/>
            </w:r>
          </w:p>
        </w:tc>
      </w:tr>
      <w:tr w:rsidR="005A5B87" w:rsidRPr="000D6F80" w14:paraId="3FD49A64" w14:textId="77777777" w:rsidTr="00C46D75">
        <w:trPr>
          <w:cantSplit/>
          <w:trHeight w:val="245"/>
          <w:tblHeader/>
        </w:trPr>
        <w:tc>
          <w:tcPr>
            <w:tcW w:w="982" w:type="pct"/>
            <w:vAlign w:val="center"/>
          </w:tcPr>
          <w:p w14:paraId="6205E012" w14:textId="77777777" w:rsidR="005A5B87" w:rsidRPr="000D6F80" w:rsidRDefault="005A5B87" w:rsidP="006174BB">
            <w:pPr>
              <w:spacing w:after="0"/>
              <w:rPr>
                <w:rFonts w:cs="Arial"/>
                <w:szCs w:val="20"/>
              </w:rPr>
            </w:pPr>
            <w:r w:rsidRPr="000D6F80">
              <w:rPr>
                <w:rFonts w:cs="Arial"/>
                <w:szCs w:val="20"/>
              </w:rPr>
              <w:t>15(1)(a)</w:t>
            </w:r>
          </w:p>
        </w:tc>
        <w:tc>
          <w:tcPr>
            <w:tcW w:w="2812" w:type="pct"/>
            <w:vAlign w:val="center"/>
          </w:tcPr>
          <w:p w14:paraId="167204CF" w14:textId="77777777" w:rsidR="005A5B87" w:rsidRPr="000D6F80" w:rsidRDefault="005A5B87" w:rsidP="006174BB">
            <w:pPr>
              <w:spacing w:after="0"/>
              <w:ind w:right="-142"/>
              <w:rPr>
                <w:rFonts w:cs="Arial"/>
                <w:szCs w:val="20"/>
              </w:rPr>
            </w:pPr>
            <w:r w:rsidRPr="000D6F80">
              <w:rPr>
                <w:rFonts w:cs="Arial"/>
                <w:szCs w:val="20"/>
              </w:rPr>
              <w:t>ACMA’s cost component</w:t>
            </w:r>
          </w:p>
        </w:tc>
        <w:tc>
          <w:tcPr>
            <w:tcW w:w="1206" w:type="pct"/>
            <w:vAlign w:val="center"/>
          </w:tcPr>
          <w:p w14:paraId="2F2F2CC0" w14:textId="77777777" w:rsidR="005A5B87" w:rsidRDefault="005A5B87" w:rsidP="006174BB">
            <w:pPr>
              <w:spacing w:after="0"/>
              <w:ind w:right="35"/>
              <w:jc w:val="right"/>
              <w:rPr>
                <w:rFonts w:cs="Arial"/>
                <w:szCs w:val="20"/>
              </w:rPr>
            </w:pPr>
            <w:r w:rsidRPr="00EA782A">
              <w:rPr>
                <w:rFonts w:cs="Arial"/>
                <w:szCs w:val="20"/>
              </w:rPr>
              <w:t>$</w:t>
            </w:r>
            <w:r w:rsidR="00EA782A" w:rsidRPr="00EA782A">
              <w:rPr>
                <w:rFonts w:cs="Arial"/>
                <w:szCs w:val="20"/>
              </w:rPr>
              <w:t>17,572,118</w:t>
            </w:r>
          </w:p>
        </w:tc>
      </w:tr>
      <w:tr w:rsidR="005A5B87" w:rsidRPr="000D6F80" w14:paraId="43D3A012" w14:textId="77777777" w:rsidTr="00C46D75">
        <w:trPr>
          <w:cantSplit/>
          <w:trHeight w:val="293"/>
          <w:tblHeader/>
        </w:trPr>
        <w:tc>
          <w:tcPr>
            <w:tcW w:w="982" w:type="pct"/>
            <w:vAlign w:val="center"/>
          </w:tcPr>
          <w:p w14:paraId="5A33C398" w14:textId="77777777" w:rsidR="005A5B87" w:rsidRPr="000D6F80" w:rsidRDefault="005A5B87" w:rsidP="006174BB">
            <w:pPr>
              <w:spacing w:after="0"/>
              <w:rPr>
                <w:rFonts w:cs="Arial"/>
                <w:szCs w:val="20"/>
              </w:rPr>
            </w:pPr>
            <w:r w:rsidRPr="000D6F80">
              <w:rPr>
                <w:rFonts w:cs="Arial"/>
                <w:szCs w:val="20"/>
              </w:rPr>
              <w:t>15(1)(b)</w:t>
            </w:r>
          </w:p>
        </w:tc>
        <w:tc>
          <w:tcPr>
            <w:tcW w:w="2812" w:type="pct"/>
            <w:vAlign w:val="center"/>
          </w:tcPr>
          <w:p w14:paraId="0EE3932F" w14:textId="77777777" w:rsidR="005A5B87" w:rsidRPr="000D6F80" w:rsidRDefault="005A5B87" w:rsidP="006174BB">
            <w:pPr>
              <w:spacing w:after="0"/>
              <w:ind w:right="-142"/>
              <w:rPr>
                <w:rFonts w:cs="Arial"/>
                <w:szCs w:val="20"/>
              </w:rPr>
            </w:pPr>
            <w:r w:rsidRPr="000D6F80">
              <w:rPr>
                <w:rFonts w:cs="Arial"/>
                <w:szCs w:val="20"/>
              </w:rPr>
              <w:t>ACCC’s cost component</w:t>
            </w:r>
          </w:p>
        </w:tc>
        <w:tc>
          <w:tcPr>
            <w:tcW w:w="1206" w:type="pct"/>
            <w:vAlign w:val="center"/>
          </w:tcPr>
          <w:p w14:paraId="4B923A4E" w14:textId="77777777" w:rsidR="005A5B87" w:rsidRDefault="000D4779" w:rsidP="006174BB">
            <w:pPr>
              <w:spacing w:after="0"/>
              <w:ind w:right="35"/>
              <w:jc w:val="right"/>
              <w:rPr>
                <w:rFonts w:cs="Arial"/>
                <w:szCs w:val="20"/>
              </w:rPr>
            </w:pPr>
            <w:r>
              <w:rPr>
                <w:rFonts w:cs="Arial"/>
                <w:szCs w:val="20"/>
              </w:rPr>
              <w:t>$15,106,662</w:t>
            </w:r>
          </w:p>
        </w:tc>
      </w:tr>
      <w:tr w:rsidR="005A5B87" w:rsidRPr="000D6F80" w14:paraId="50B8A9A0" w14:textId="77777777" w:rsidTr="00C46D75">
        <w:trPr>
          <w:cantSplit/>
          <w:trHeight w:val="157"/>
          <w:tblHeader/>
        </w:trPr>
        <w:tc>
          <w:tcPr>
            <w:tcW w:w="982" w:type="pct"/>
            <w:vAlign w:val="center"/>
          </w:tcPr>
          <w:p w14:paraId="28B0B54C" w14:textId="77777777" w:rsidR="005A5B87" w:rsidRPr="000D6F80" w:rsidRDefault="005A5B87" w:rsidP="006174BB">
            <w:pPr>
              <w:spacing w:after="0"/>
              <w:rPr>
                <w:rFonts w:cs="Arial"/>
                <w:szCs w:val="20"/>
              </w:rPr>
            </w:pPr>
            <w:r w:rsidRPr="000D6F80">
              <w:rPr>
                <w:rFonts w:cs="Arial"/>
                <w:szCs w:val="20"/>
              </w:rPr>
              <w:t>15(1)(c)</w:t>
            </w:r>
          </w:p>
        </w:tc>
        <w:tc>
          <w:tcPr>
            <w:tcW w:w="2812" w:type="pct"/>
            <w:vAlign w:val="center"/>
          </w:tcPr>
          <w:p w14:paraId="1E27E786" w14:textId="77777777" w:rsidR="005A5B87" w:rsidRPr="000D6F80" w:rsidRDefault="005A5B87" w:rsidP="006174BB">
            <w:pPr>
              <w:spacing w:after="0"/>
              <w:ind w:right="-142"/>
              <w:rPr>
                <w:rFonts w:cs="Arial"/>
                <w:szCs w:val="20"/>
              </w:rPr>
            </w:pPr>
            <w:r w:rsidRPr="000D6F80">
              <w:rPr>
                <w:rFonts w:cs="Arial"/>
                <w:szCs w:val="20"/>
              </w:rPr>
              <w:t>ITU contribution</w:t>
            </w:r>
          </w:p>
        </w:tc>
        <w:tc>
          <w:tcPr>
            <w:tcW w:w="1206" w:type="pct"/>
            <w:vAlign w:val="center"/>
          </w:tcPr>
          <w:p w14:paraId="7BE9BB05" w14:textId="77777777" w:rsidR="005A5B87" w:rsidRDefault="000D4779" w:rsidP="006174BB">
            <w:pPr>
              <w:spacing w:after="0"/>
              <w:ind w:right="35"/>
              <w:jc w:val="right"/>
              <w:rPr>
                <w:rFonts w:cs="Arial"/>
                <w:szCs w:val="20"/>
              </w:rPr>
            </w:pPr>
            <w:r>
              <w:rPr>
                <w:rFonts w:cs="Arial"/>
                <w:szCs w:val="20"/>
              </w:rPr>
              <w:t>$1,861,021</w:t>
            </w:r>
          </w:p>
        </w:tc>
      </w:tr>
      <w:tr w:rsidR="005A5B87" w:rsidRPr="000D6F80" w14:paraId="56B5F26A" w14:textId="77777777" w:rsidTr="00C46D75">
        <w:trPr>
          <w:cantSplit/>
          <w:trHeight w:val="63"/>
          <w:tblHeader/>
        </w:trPr>
        <w:tc>
          <w:tcPr>
            <w:tcW w:w="982" w:type="pct"/>
            <w:vAlign w:val="center"/>
          </w:tcPr>
          <w:p w14:paraId="57502DE0" w14:textId="77777777" w:rsidR="005A5B87" w:rsidRPr="000D6F80" w:rsidRDefault="005A5B87" w:rsidP="006174BB">
            <w:pPr>
              <w:spacing w:after="0"/>
              <w:rPr>
                <w:rFonts w:cs="Arial"/>
                <w:szCs w:val="20"/>
              </w:rPr>
            </w:pPr>
            <w:r w:rsidRPr="000D6F80">
              <w:rPr>
                <w:rFonts w:cs="Arial"/>
                <w:szCs w:val="20"/>
              </w:rPr>
              <w:t>15(1)(ca)</w:t>
            </w:r>
          </w:p>
        </w:tc>
        <w:tc>
          <w:tcPr>
            <w:tcW w:w="2812" w:type="pct"/>
            <w:vAlign w:val="center"/>
          </w:tcPr>
          <w:p w14:paraId="39FCC08B" w14:textId="77777777" w:rsidR="005A5B87" w:rsidRPr="000D6F80" w:rsidRDefault="005A5B87" w:rsidP="006174BB">
            <w:pPr>
              <w:spacing w:after="0"/>
              <w:ind w:right="-142"/>
              <w:rPr>
                <w:rFonts w:cs="Arial"/>
                <w:szCs w:val="20"/>
              </w:rPr>
            </w:pPr>
            <w:r w:rsidRPr="000D6F80">
              <w:rPr>
                <w:rFonts w:cs="Arial"/>
                <w:szCs w:val="20"/>
              </w:rPr>
              <w:t xml:space="preserve">Development of consumer protection related industry codes </w:t>
            </w:r>
          </w:p>
        </w:tc>
        <w:tc>
          <w:tcPr>
            <w:tcW w:w="1206" w:type="pct"/>
            <w:vAlign w:val="center"/>
          </w:tcPr>
          <w:p w14:paraId="307369FE" w14:textId="77777777" w:rsidR="005A5B87" w:rsidRDefault="005A5B87" w:rsidP="006174BB">
            <w:pPr>
              <w:spacing w:after="0"/>
              <w:ind w:right="35"/>
              <w:jc w:val="right"/>
              <w:rPr>
                <w:rFonts w:cs="Arial"/>
                <w:szCs w:val="20"/>
              </w:rPr>
            </w:pPr>
            <w:r>
              <w:rPr>
                <w:rFonts w:cs="Arial"/>
                <w:szCs w:val="20"/>
              </w:rPr>
              <w:t>$0</w:t>
            </w:r>
          </w:p>
        </w:tc>
      </w:tr>
      <w:tr w:rsidR="005A5B87" w:rsidRPr="000D6F80" w14:paraId="6A891A0C" w14:textId="77777777" w:rsidTr="00C46D75">
        <w:trPr>
          <w:cantSplit/>
          <w:trHeight w:val="25"/>
          <w:tblHeader/>
        </w:trPr>
        <w:tc>
          <w:tcPr>
            <w:tcW w:w="982" w:type="pct"/>
            <w:vAlign w:val="center"/>
          </w:tcPr>
          <w:p w14:paraId="1D21AEBE" w14:textId="77777777" w:rsidR="005A5B87" w:rsidRPr="000D6F80" w:rsidRDefault="005A5B87" w:rsidP="006174BB">
            <w:pPr>
              <w:spacing w:after="0"/>
              <w:rPr>
                <w:rFonts w:cs="Arial"/>
                <w:szCs w:val="20"/>
              </w:rPr>
            </w:pPr>
            <w:r w:rsidRPr="000D6F80">
              <w:rPr>
                <w:rFonts w:cs="Arial"/>
                <w:szCs w:val="20"/>
              </w:rPr>
              <w:t>15(1)(d)</w:t>
            </w:r>
          </w:p>
        </w:tc>
        <w:tc>
          <w:tcPr>
            <w:tcW w:w="2812" w:type="pct"/>
            <w:vAlign w:val="center"/>
          </w:tcPr>
          <w:p w14:paraId="30396785" w14:textId="0557F9B6" w:rsidR="005A5B87" w:rsidRPr="000D6F80" w:rsidRDefault="005A5B87" w:rsidP="006174BB">
            <w:pPr>
              <w:spacing w:after="0"/>
              <w:ind w:right="-142"/>
              <w:rPr>
                <w:rFonts w:cs="Arial"/>
                <w:szCs w:val="20"/>
              </w:rPr>
            </w:pPr>
            <w:r w:rsidRPr="000D6F80">
              <w:rPr>
                <w:rFonts w:cs="Arial"/>
                <w:szCs w:val="20"/>
              </w:rPr>
              <w:t xml:space="preserve">Government </w:t>
            </w:r>
            <w:r w:rsidR="004E3361">
              <w:rPr>
                <w:rFonts w:cs="Arial"/>
                <w:szCs w:val="20"/>
              </w:rPr>
              <w:t>g</w:t>
            </w:r>
            <w:r w:rsidRPr="000D6F80">
              <w:rPr>
                <w:rFonts w:cs="Arial"/>
                <w:szCs w:val="20"/>
              </w:rPr>
              <w:t>rants</w:t>
            </w:r>
            <w:r>
              <w:rPr>
                <w:rFonts w:cs="Arial"/>
                <w:szCs w:val="20"/>
              </w:rPr>
              <w:t>—</w:t>
            </w:r>
            <w:r w:rsidR="00136A92">
              <w:rPr>
                <w:rFonts w:cs="Arial"/>
                <w:szCs w:val="20"/>
              </w:rPr>
              <w:t>c</w:t>
            </w:r>
            <w:r w:rsidRPr="000D6F80">
              <w:rPr>
                <w:rFonts w:cs="Arial"/>
                <w:szCs w:val="20"/>
              </w:rPr>
              <w:t xml:space="preserve">onsumer </w:t>
            </w:r>
            <w:r w:rsidR="00136A92">
              <w:rPr>
                <w:rFonts w:cs="Arial"/>
                <w:szCs w:val="20"/>
              </w:rPr>
              <w:t>r</w:t>
            </w:r>
            <w:r w:rsidRPr="000D6F80">
              <w:rPr>
                <w:rFonts w:cs="Arial"/>
                <w:szCs w:val="20"/>
              </w:rPr>
              <w:t xml:space="preserve">epresentation and </w:t>
            </w:r>
            <w:r w:rsidR="00136A92">
              <w:rPr>
                <w:rFonts w:cs="Arial"/>
                <w:szCs w:val="20"/>
              </w:rPr>
              <w:t>r</w:t>
            </w:r>
            <w:r w:rsidRPr="000D6F80">
              <w:rPr>
                <w:rFonts w:cs="Arial"/>
                <w:szCs w:val="20"/>
              </w:rPr>
              <w:t>esearch</w:t>
            </w:r>
          </w:p>
        </w:tc>
        <w:tc>
          <w:tcPr>
            <w:tcW w:w="1206" w:type="pct"/>
            <w:vAlign w:val="center"/>
          </w:tcPr>
          <w:p w14:paraId="25453182" w14:textId="77777777" w:rsidR="005A5B87" w:rsidRDefault="000D4779" w:rsidP="006174BB">
            <w:pPr>
              <w:spacing w:after="0"/>
              <w:ind w:right="35"/>
              <w:jc w:val="right"/>
              <w:rPr>
                <w:rFonts w:cs="Arial"/>
                <w:szCs w:val="20"/>
              </w:rPr>
            </w:pPr>
            <w:r>
              <w:rPr>
                <w:rFonts w:cs="Arial"/>
                <w:szCs w:val="20"/>
              </w:rPr>
              <w:t>$2,196,000</w:t>
            </w:r>
          </w:p>
        </w:tc>
      </w:tr>
      <w:tr w:rsidR="005A5B87" w:rsidRPr="000D6F80" w14:paraId="0C95A83D" w14:textId="77777777" w:rsidTr="00C46D75">
        <w:trPr>
          <w:cantSplit/>
          <w:trHeight w:val="25"/>
          <w:tblHeader/>
        </w:trPr>
        <w:tc>
          <w:tcPr>
            <w:tcW w:w="3794" w:type="pct"/>
            <w:gridSpan w:val="2"/>
            <w:shd w:val="clear" w:color="auto" w:fill="D9D9D9" w:themeFill="background1" w:themeFillShade="D9"/>
            <w:vAlign w:val="center"/>
          </w:tcPr>
          <w:p w14:paraId="28B925B0" w14:textId="77777777" w:rsidR="005A5B87" w:rsidRPr="000D6F80" w:rsidRDefault="005A5B87" w:rsidP="006174BB">
            <w:pPr>
              <w:spacing w:after="0"/>
              <w:ind w:right="-142"/>
              <w:rPr>
                <w:rFonts w:cs="Arial"/>
                <w:b/>
                <w:szCs w:val="20"/>
              </w:rPr>
            </w:pPr>
            <w:r w:rsidRPr="000D6F80">
              <w:rPr>
                <w:rFonts w:cs="Arial"/>
                <w:b/>
                <w:szCs w:val="20"/>
              </w:rPr>
              <w:t>Total</w:t>
            </w:r>
          </w:p>
        </w:tc>
        <w:tc>
          <w:tcPr>
            <w:tcW w:w="1206" w:type="pct"/>
            <w:shd w:val="clear" w:color="auto" w:fill="D9D9D9" w:themeFill="background1" w:themeFillShade="D9"/>
            <w:vAlign w:val="center"/>
          </w:tcPr>
          <w:p w14:paraId="61E796EB" w14:textId="77777777" w:rsidR="005A5B87" w:rsidRDefault="0039435F" w:rsidP="006174BB">
            <w:pPr>
              <w:spacing w:after="0"/>
              <w:ind w:right="35"/>
              <w:jc w:val="right"/>
              <w:rPr>
                <w:rFonts w:cs="Arial"/>
                <w:b/>
                <w:szCs w:val="20"/>
              </w:rPr>
            </w:pPr>
            <w:r>
              <w:rPr>
                <w:rFonts w:cs="Arial"/>
                <w:b/>
                <w:szCs w:val="20"/>
              </w:rPr>
              <w:t>$36,735,801</w:t>
            </w:r>
          </w:p>
        </w:tc>
      </w:tr>
    </w:tbl>
    <w:p w14:paraId="6463F118" w14:textId="77777777" w:rsidR="009E783D" w:rsidRPr="005D0BC8" w:rsidRDefault="009E783D" w:rsidP="005A5B87">
      <w:pPr>
        <w:spacing w:before="240"/>
      </w:pPr>
      <w:r w:rsidRPr="00A84CBD">
        <w:t>The ACLC amounts payable by carrier lice</w:t>
      </w:r>
      <w:r w:rsidR="000D4779">
        <w:t>nsees for the period 1 July 2015 to 30 June 2016</w:t>
      </w:r>
      <w:r w:rsidRPr="00A84CBD">
        <w:t xml:space="preserve"> are </w:t>
      </w:r>
      <w:r>
        <w:t>set out</w:t>
      </w:r>
      <w:r w:rsidRPr="00A84CBD">
        <w:t xml:space="preserve"> in </w:t>
      </w:r>
      <w:r w:rsidRPr="000B47BC">
        <w:t>Attachment A with relevant calculations.</w:t>
      </w:r>
    </w:p>
    <w:p w14:paraId="692503C0" w14:textId="77777777" w:rsidR="009E783D" w:rsidRDefault="009E783D" w:rsidP="009E783D">
      <w:pPr>
        <w:pStyle w:val="Heading1"/>
      </w:pPr>
      <w:bookmarkStart w:id="76" w:name="_Toc355953993"/>
      <w:bookmarkStart w:id="77" w:name="_Toc385256321"/>
      <w:bookmarkStart w:id="78" w:name="_Toc417990962"/>
      <w:bookmarkStart w:id="79" w:name="_Toc454268378"/>
      <w:r w:rsidRPr="00CC3F4B">
        <w:lastRenderedPageBreak/>
        <w:t xml:space="preserve">4. </w:t>
      </w:r>
      <w:r w:rsidRPr="00CC3F4B">
        <w:tab/>
      </w:r>
      <w:bookmarkEnd w:id="76"/>
      <w:bookmarkEnd w:id="77"/>
      <w:r>
        <w:t>Risk assessment</w:t>
      </w:r>
      <w:bookmarkEnd w:id="78"/>
      <w:bookmarkEnd w:id="79"/>
    </w:p>
    <w:p w14:paraId="4C0DDB61" w14:textId="511058DA" w:rsidR="005A5B87" w:rsidRDefault="009E783D" w:rsidP="009E783D">
      <w:pPr>
        <w:autoSpaceDE w:val="0"/>
        <w:autoSpaceDN w:val="0"/>
        <w:adjustRightInd w:val="0"/>
        <w:rPr>
          <w:rFonts w:eastAsia="Calibri" w:cs="Arial"/>
          <w:color w:val="000000"/>
          <w:szCs w:val="20"/>
          <w:lang w:eastAsia="en-US"/>
        </w:rPr>
      </w:pPr>
      <w:r>
        <w:rPr>
          <w:rFonts w:eastAsia="Calibri" w:cs="Arial"/>
          <w:color w:val="000000"/>
          <w:szCs w:val="20"/>
          <w:lang w:eastAsia="en-US"/>
        </w:rPr>
        <w:t>The ACMA has carried out a</w:t>
      </w:r>
      <w:r w:rsidRPr="00AA3240">
        <w:rPr>
          <w:rFonts w:eastAsia="Calibri" w:cs="Arial"/>
          <w:color w:val="000000"/>
          <w:szCs w:val="20"/>
          <w:lang w:eastAsia="en-US"/>
        </w:rPr>
        <w:t xml:space="preserve"> risk assessment for</w:t>
      </w:r>
      <w:r w:rsidR="000D4779">
        <w:rPr>
          <w:rFonts w:eastAsia="Calibri" w:cs="Arial"/>
          <w:color w:val="000000"/>
          <w:szCs w:val="20"/>
          <w:lang w:eastAsia="en-US"/>
        </w:rPr>
        <w:t xml:space="preserve"> each component of the 2015</w:t>
      </w:r>
      <w:r w:rsidR="004E3361">
        <w:rPr>
          <w:rFonts w:eastAsia="Calibri" w:cs="Arial"/>
          <w:color w:val="000000"/>
          <w:szCs w:val="20"/>
          <w:lang w:eastAsia="en-US"/>
        </w:rPr>
        <w:t>–</w:t>
      </w:r>
      <w:r w:rsidR="000D4779">
        <w:rPr>
          <w:rFonts w:eastAsia="Calibri" w:cs="Arial"/>
          <w:color w:val="000000"/>
          <w:szCs w:val="20"/>
          <w:lang w:eastAsia="en-US"/>
        </w:rPr>
        <w:t>16</w:t>
      </w:r>
      <w:r>
        <w:rPr>
          <w:rFonts w:eastAsia="Calibri" w:cs="Arial"/>
          <w:color w:val="000000"/>
          <w:szCs w:val="20"/>
          <w:lang w:eastAsia="en-US"/>
        </w:rPr>
        <w:t xml:space="preserve"> ACLC</w:t>
      </w:r>
      <w:r w:rsidR="004E3361">
        <w:rPr>
          <w:rFonts w:eastAsia="Calibri" w:cs="Arial"/>
          <w:color w:val="000000"/>
          <w:szCs w:val="20"/>
          <w:lang w:eastAsia="en-US"/>
        </w:rPr>
        <w:t>,</w:t>
      </w:r>
      <w:r>
        <w:rPr>
          <w:rFonts w:eastAsia="Calibri" w:cs="Arial"/>
          <w:color w:val="000000"/>
          <w:szCs w:val="20"/>
          <w:lang w:eastAsia="en-US"/>
        </w:rPr>
        <w:t xml:space="preserve"> resulting in an overall rating of medium risk</w:t>
      </w:r>
      <w:r w:rsidR="004E3361">
        <w:rPr>
          <w:rFonts w:eastAsia="Calibri" w:cs="Arial"/>
          <w:color w:val="000000"/>
          <w:szCs w:val="20"/>
          <w:lang w:eastAsia="en-US"/>
        </w:rPr>
        <w:t>,</w:t>
      </w:r>
      <w:r>
        <w:rPr>
          <w:rFonts w:eastAsia="Calibri" w:cs="Arial"/>
          <w:color w:val="000000"/>
          <w:szCs w:val="20"/>
          <w:lang w:eastAsia="en-US"/>
        </w:rPr>
        <w:t xml:space="preserve"> with the following individual </w:t>
      </w:r>
      <w:r w:rsidR="003F7E3A">
        <w:rPr>
          <w:rFonts w:eastAsia="Calibri" w:cs="Arial"/>
          <w:color w:val="000000"/>
          <w:szCs w:val="20"/>
          <w:lang w:eastAsia="en-US"/>
        </w:rPr>
        <w:t>rating for each cost component</w:t>
      </w:r>
      <w:r w:rsidR="005A5B87">
        <w:rPr>
          <w:rFonts w:eastAsia="Calibri" w:cs="Arial"/>
          <w:color w:val="000000"/>
          <w:szCs w:val="20"/>
          <w:lang w:eastAsia="en-US"/>
        </w:rPr>
        <w:t>.</w:t>
      </w:r>
    </w:p>
    <w:p w14:paraId="4AA5F107" w14:textId="77777777" w:rsidR="005A5B87" w:rsidRPr="00821566" w:rsidRDefault="00D866D4" w:rsidP="00D866D4">
      <w:pPr>
        <w:pStyle w:val="ACMATableHeader"/>
        <w:numPr>
          <w:ilvl w:val="0"/>
          <w:numId w:val="0"/>
        </w:numPr>
        <w:rPr>
          <w:rFonts w:eastAsia="Calibri" w:cs="Arial"/>
          <w:color w:val="000000"/>
          <w:lang w:eastAsia="en-US"/>
        </w:rPr>
      </w:pPr>
      <w:r>
        <w:t>Table 11:</w:t>
      </w:r>
      <w:r>
        <w:tab/>
      </w:r>
      <w:r w:rsidR="005A5B87" w:rsidRPr="00821566">
        <w:t>Risk rating for ACLC components</w:t>
      </w:r>
    </w:p>
    <w:tbl>
      <w:tblPr>
        <w:tblStyle w:val="TableGrid"/>
        <w:tblW w:w="0" w:type="auto"/>
        <w:tblCellMar>
          <w:top w:w="57" w:type="dxa"/>
          <w:bottom w:w="57" w:type="dxa"/>
        </w:tblCellMar>
        <w:tblLook w:val="04A0" w:firstRow="1" w:lastRow="0" w:firstColumn="1" w:lastColumn="0" w:noHBand="0" w:noVBand="1"/>
        <w:tblCaption w:val="Risk rating for ACLC components"/>
        <w:tblDescription w:val="Includes the reference in the Act, cost component and risk rating."/>
      </w:tblPr>
      <w:tblGrid>
        <w:gridCol w:w="2553"/>
        <w:gridCol w:w="2554"/>
        <w:gridCol w:w="2554"/>
      </w:tblGrid>
      <w:tr w:rsidR="005A5B87" w14:paraId="25E93603" w14:textId="77777777" w:rsidTr="00593B36">
        <w:trPr>
          <w:cantSplit/>
          <w:tblHeader/>
        </w:trPr>
        <w:tc>
          <w:tcPr>
            <w:tcW w:w="2553" w:type="dxa"/>
            <w:shd w:val="clear" w:color="auto" w:fill="404040" w:themeFill="text1" w:themeFillTint="BF"/>
          </w:tcPr>
          <w:p w14:paraId="5B1C7CBF" w14:textId="77777777" w:rsidR="005A5B87" w:rsidRPr="00CE6BED" w:rsidRDefault="005A5B87" w:rsidP="00CE6BED">
            <w:pPr>
              <w:pStyle w:val="TableHeading"/>
              <w:rPr>
                <w:rFonts w:eastAsia="Calibri"/>
                <w:color w:val="FFFFFF" w:themeColor="background1"/>
                <w:lang w:eastAsia="en-US"/>
              </w:rPr>
            </w:pPr>
            <w:r w:rsidRPr="00CE6BED">
              <w:rPr>
                <w:color w:val="FFFFFF" w:themeColor="background1"/>
              </w:rPr>
              <w:t>Reference in the Act</w:t>
            </w:r>
          </w:p>
        </w:tc>
        <w:tc>
          <w:tcPr>
            <w:tcW w:w="2554" w:type="dxa"/>
            <w:shd w:val="clear" w:color="auto" w:fill="404040" w:themeFill="text1" w:themeFillTint="BF"/>
          </w:tcPr>
          <w:p w14:paraId="6EEA981B" w14:textId="77777777" w:rsidR="005A5B87" w:rsidRPr="00CE6BED" w:rsidRDefault="005A5B87" w:rsidP="00CE6BED">
            <w:pPr>
              <w:pStyle w:val="TableHeading"/>
              <w:rPr>
                <w:rFonts w:eastAsia="Calibri"/>
                <w:color w:val="FFFFFF" w:themeColor="background1"/>
                <w:lang w:eastAsia="en-US"/>
              </w:rPr>
            </w:pPr>
            <w:r w:rsidRPr="00CE6BED">
              <w:rPr>
                <w:color w:val="FFFFFF" w:themeColor="background1"/>
              </w:rPr>
              <w:t>Cost component</w:t>
            </w:r>
          </w:p>
        </w:tc>
        <w:tc>
          <w:tcPr>
            <w:tcW w:w="2554" w:type="dxa"/>
            <w:shd w:val="clear" w:color="auto" w:fill="404040" w:themeFill="text1" w:themeFillTint="BF"/>
          </w:tcPr>
          <w:p w14:paraId="38DA3327" w14:textId="77777777" w:rsidR="005A5B87" w:rsidRPr="00CE6BED" w:rsidRDefault="005A5B87" w:rsidP="00CE6BED">
            <w:pPr>
              <w:pStyle w:val="TableHeading"/>
              <w:rPr>
                <w:rFonts w:eastAsia="Calibri"/>
                <w:color w:val="FFFFFF" w:themeColor="background1"/>
                <w:lang w:eastAsia="en-US"/>
              </w:rPr>
            </w:pPr>
            <w:r w:rsidRPr="00CE6BED">
              <w:rPr>
                <w:color w:val="FFFFFF" w:themeColor="background1"/>
              </w:rPr>
              <w:t>Risk rating</w:t>
            </w:r>
          </w:p>
        </w:tc>
      </w:tr>
      <w:tr w:rsidR="005A5B87" w14:paraId="31CCE071" w14:textId="77777777" w:rsidTr="00593B36">
        <w:trPr>
          <w:cantSplit/>
          <w:tblHeader/>
        </w:trPr>
        <w:tc>
          <w:tcPr>
            <w:tcW w:w="2553" w:type="dxa"/>
          </w:tcPr>
          <w:p w14:paraId="7EC9D891" w14:textId="77777777"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15(1)(a)</w:t>
            </w:r>
          </w:p>
        </w:tc>
        <w:tc>
          <w:tcPr>
            <w:tcW w:w="2554" w:type="dxa"/>
          </w:tcPr>
          <w:p w14:paraId="20863DD2" w14:textId="77777777"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ACMA’s cost component</w:t>
            </w:r>
          </w:p>
        </w:tc>
        <w:tc>
          <w:tcPr>
            <w:tcW w:w="2554" w:type="dxa"/>
          </w:tcPr>
          <w:p w14:paraId="58FE609A" w14:textId="77777777" w:rsidR="005A5B87" w:rsidRDefault="005A5B87" w:rsidP="00593B36">
            <w:pPr>
              <w:autoSpaceDE w:val="0"/>
              <w:autoSpaceDN w:val="0"/>
              <w:adjustRightInd w:val="0"/>
              <w:spacing w:after="0"/>
              <w:rPr>
                <w:rFonts w:eastAsia="Calibri" w:cs="Arial"/>
                <w:color w:val="000000"/>
                <w:szCs w:val="20"/>
                <w:lang w:eastAsia="en-US"/>
              </w:rPr>
            </w:pPr>
            <w:r>
              <w:rPr>
                <w:rFonts w:cs="Arial"/>
                <w:szCs w:val="20"/>
              </w:rPr>
              <w:t>Medium</w:t>
            </w:r>
          </w:p>
        </w:tc>
      </w:tr>
      <w:tr w:rsidR="005A5B87" w14:paraId="1765A9AE" w14:textId="77777777" w:rsidTr="00593B36">
        <w:trPr>
          <w:cantSplit/>
          <w:tblHeader/>
        </w:trPr>
        <w:tc>
          <w:tcPr>
            <w:tcW w:w="2553" w:type="dxa"/>
          </w:tcPr>
          <w:p w14:paraId="1BCB297E" w14:textId="77777777"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15(1)(b)</w:t>
            </w:r>
          </w:p>
        </w:tc>
        <w:tc>
          <w:tcPr>
            <w:tcW w:w="2554" w:type="dxa"/>
          </w:tcPr>
          <w:p w14:paraId="5C038377" w14:textId="77777777"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ACCC’s cost component</w:t>
            </w:r>
          </w:p>
        </w:tc>
        <w:tc>
          <w:tcPr>
            <w:tcW w:w="2554" w:type="dxa"/>
          </w:tcPr>
          <w:p w14:paraId="0DD74B05" w14:textId="77777777" w:rsidR="005A5B87" w:rsidRDefault="005A5B87" w:rsidP="00593B36">
            <w:pPr>
              <w:autoSpaceDE w:val="0"/>
              <w:autoSpaceDN w:val="0"/>
              <w:adjustRightInd w:val="0"/>
              <w:spacing w:after="0"/>
              <w:rPr>
                <w:rFonts w:eastAsia="Calibri" w:cs="Arial"/>
                <w:color w:val="000000"/>
                <w:szCs w:val="20"/>
                <w:lang w:eastAsia="en-US"/>
              </w:rPr>
            </w:pPr>
            <w:r>
              <w:rPr>
                <w:rFonts w:cs="Arial"/>
                <w:szCs w:val="20"/>
              </w:rPr>
              <w:t>Medium</w:t>
            </w:r>
          </w:p>
        </w:tc>
      </w:tr>
      <w:tr w:rsidR="005A5B87" w14:paraId="21B64B7F" w14:textId="77777777" w:rsidTr="00593B36">
        <w:trPr>
          <w:cantSplit/>
          <w:tblHeader/>
        </w:trPr>
        <w:tc>
          <w:tcPr>
            <w:tcW w:w="2553" w:type="dxa"/>
          </w:tcPr>
          <w:p w14:paraId="322B27CB" w14:textId="77777777"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15(1)(c)</w:t>
            </w:r>
          </w:p>
        </w:tc>
        <w:tc>
          <w:tcPr>
            <w:tcW w:w="2554" w:type="dxa"/>
          </w:tcPr>
          <w:p w14:paraId="3CA25756" w14:textId="77777777"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ITU contribution</w:t>
            </w:r>
          </w:p>
        </w:tc>
        <w:tc>
          <w:tcPr>
            <w:tcW w:w="2554" w:type="dxa"/>
          </w:tcPr>
          <w:p w14:paraId="3AFD47BF" w14:textId="77777777" w:rsidR="005A5B87" w:rsidRDefault="005A5B87" w:rsidP="00593B36">
            <w:pPr>
              <w:autoSpaceDE w:val="0"/>
              <w:autoSpaceDN w:val="0"/>
              <w:adjustRightInd w:val="0"/>
              <w:spacing w:after="0"/>
              <w:rPr>
                <w:rFonts w:eastAsia="Calibri" w:cs="Arial"/>
                <w:color w:val="000000"/>
                <w:szCs w:val="20"/>
                <w:lang w:eastAsia="en-US"/>
              </w:rPr>
            </w:pPr>
            <w:r>
              <w:rPr>
                <w:rFonts w:cs="Arial"/>
                <w:szCs w:val="20"/>
              </w:rPr>
              <w:t>Medium</w:t>
            </w:r>
          </w:p>
        </w:tc>
      </w:tr>
      <w:tr w:rsidR="005A5B87" w14:paraId="12C6F2D8" w14:textId="77777777" w:rsidTr="00593B36">
        <w:trPr>
          <w:cantSplit/>
          <w:tblHeader/>
        </w:trPr>
        <w:tc>
          <w:tcPr>
            <w:tcW w:w="2553" w:type="dxa"/>
          </w:tcPr>
          <w:p w14:paraId="697B0A32" w14:textId="77777777"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15(1)(ca)</w:t>
            </w:r>
          </w:p>
        </w:tc>
        <w:tc>
          <w:tcPr>
            <w:tcW w:w="2554" w:type="dxa"/>
          </w:tcPr>
          <w:p w14:paraId="30430FCF" w14:textId="77777777"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 xml:space="preserve">Development of consumer protection related industry codes </w:t>
            </w:r>
          </w:p>
        </w:tc>
        <w:tc>
          <w:tcPr>
            <w:tcW w:w="2554" w:type="dxa"/>
          </w:tcPr>
          <w:p w14:paraId="17C24467" w14:textId="77777777" w:rsidR="005A5B87" w:rsidRDefault="005A5B87" w:rsidP="00593B36">
            <w:pPr>
              <w:autoSpaceDE w:val="0"/>
              <w:autoSpaceDN w:val="0"/>
              <w:adjustRightInd w:val="0"/>
              <w:spacing w:after="0"/>
              <w:rPr>
                <w:rFonts w:eastAsia="Calibri" w:cs="Arial"/>
                <w:color w:val="000000"/>
                <w:szCs w:val="20"/>
                <w:lang w:eastAsia="en-US"/>
              </w:rPr>
            </w:pPr>
            <w:r>
              <w:rPr>
                <w:rFonts w:cs="Arial"/>
                <w:szCs w:val="20"/>
              </w:rPr>
              <w:t>Medium</w:t>
            </w:r>
          </w:p>
        </w:tc>
      </w:tr>
      <w:tr w:rsidR="005A5B87" w14:paraId="649F6F08" w14:textId="77777777" w:rsidTr="00593B36">
        <w:trPr>
          <w:cantSplit/>
          <w:tblHeader/>
        </w:trPr>
        <w:tc>
          <w:tcPr>
            <w:tcW w:w="2553" w:type="dxa"/>
          </w:tcPr>
          <w:p w14:paraId="755F109F" w14:textId="77777777"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15(1)(d)</w:t>
            </w:r>
          </w:p>
        </w:tc>
        <w:tc>
          <w:tcPr>
            <w:tcW w:w="2554" w:type="dxa"/>
          </w:tcPr>
          <w:p w14:paraId="5B0DA0E4" w14:textId="628308CA"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 xml:space="preserve">Government </w:t>
            </w:r>
            <w:r w:rsidR="004E3361">
              <w:rPr>
                <w:rFonts w:cs="Arial"/>
                <w:szCs w:val="20"/>
              </w:rPr>
              <w:t>g</w:t>
            </w:r>
            <w:r w:rsidRPr="000D6F80">
              <w:rPr>
                <w:rFonts w:cs="Arial"/>
                <w:szCs w:val="20"/>
              </w:rPr>
              <w:t>rants</w:t>
            </w:r>
            <w:r>
              <w:rPr>
                <w:rFonts w:cs="Arial"/>
                <w:szCs w:val="20"/>
              </w:rPr>
              <w:t>—</w:t>
            </w:r>
            <w:r w:rsidR="00136A92">
              <w:rPr>
                <w:rFonts w:cs="Arial"/>
                <w:szCs w:val="20"/>
              </w:rPr>
              <w:t>c</w:t>
            </w:r>
            <w:r w:rsidRPr="000D6F80">
              <w:rPr>
                <w:rFonts w:cs="Arial"/>
                <w:szCs w:val="20"/>
              </w:rPr>
              <w:t xml:space="preserve">onsumer </w:t>
            </w:r>
            <w:r w:rsidR="00136A92">
              <w:rPr>
                <w:rFonts w:cs="Arial"/>
                <w:szCs w:val="20"/>
              </w:rPr>
              <w:t>r</w:t>
            </w:r>
            <w:r w:rsidRPr="000D6F80">
              <w:rPr>
                <w:rFonts w:cs="Arial"/>
                <w:szCs w:val="20"/>
              </w:rPr>
              <w:t xml:space="preserve">epresentation and </w:t>
            </w:r>
            <w:r w:rsidR="00136A92">
              <w:rPr>
                <w:rFonts w:cs="Arial"/>
                <w:szCs w:val="20"/>
              </w:rPr>
              <w:t>r</w:t>
            </w:r>
            <w:r w:rsidRPr="000D6F80">
              <w:rPr>
                <w:rFonts w:cs="Arial"/>
                <w:szCs w:val="20"/>
              </w:rPr>
              <w:t>esearch</w:t>
            </w:r>
          </w:p>
        </w:tc>
        <w:tc>
          <w:tcPr>
            <w:tcW w:w="2554" w:type="dxa"/>
          </w:tcPr>
          <w:p w14:paraId="34E231DB" w14:textId="77777777" w:rsidR="005A5B87" w:rsidRDefault="005A5B87" w:rsidP="00593B36">
            <w:pPr>
              <w:autoSpaceDE w:val="0"/>
              <w:autoSpaceDN w:val="0"/>
              <w:adjustRightInd w:val="0"/>
              <w:spacing w:after="0"/>
              <w:rPr>
                <w:rFonts w:eastAsia="Calibri" w:cs="Arial"/>
                <w:color w:val="000000"/>
                <w:szCs w:val="20"/>
                <w:lang w:eastAsia="en-US"/>
              </w:rPr>
            </w:pPr>
            <w:r>
              <w:rPr>
                <w:rFonts w:cs="Arial"/>
                <w:szCs w:val="20"/>
              </w:rPr>
              <w:t>Medium</w:t>
            </w:r>
          </w:p>
        </w:tc>
      </w:tr>
      <w:tr w:rsidR="005A5B87" w14:paraId="4B291C3F" w14:textId="77777777" w:rsidTr="00C46D75">
        <w:trPr>
          <w:cantSplit/>
          <w:tblHeader/>
        </w:trPr>
        <w:tc>
          <w:tcPr>
            <w:tcW w:w="5107" w:type="dxa"/>
            <w:gridSpan w:val="2"/>
            <w:shd w:val="clear" w:color="auto" w:fill="D9D9D9" w:themeFill="background1" w:themeFillShade="D9"/>
          </w:tcPr>
          <w:p w14:paraId="537362E4" w14:textId="77777777" w:rsidR="005A5B87" w:rsidRDefault="005A5B87" w:rsidP="00593B36">
            <w:pPr>
              <w:autoSpaceDE w:val="0"/>
              <w:autoSpaceDN w:val="0"/>
              <w:adjustRightInd w:val="0"/>
              <w:spacing w:after="0"/>
              <w:rPr>
                <w:rFonts w:eastAsia="Calibri" w:cs="Arial"/>
                <w:color w:val="000000"/>
                <w:szCs w:val="20"/>
                <w:lang w:eastAsia="en-US"/>
              </w:rPr>
            </w:pPr>
            <w:r>
              <w:rPr>
                <w:rFonts w:cs="Arial"/>
                <w:b/>
                <w:szCs w:val="20"/>
              </w:rPr>
              <w:t>Overall rating</w:t>
            </w:r>
          </w:p>
        </w:tc>
        <w:tc>
          <w:tcPr>
            <w:tcW w:w="2554" w:type="dxa"/>
            <w:shd w:val="clear" w:color="auto" w:fill="D9D9D9" w:themeFill="background1" w:themeFillShade="D9"/>
          </w:tcPr>
          <w:p w14:paraId="0CA5AEA1" w14:textId="77777777" w:rsidR="005A5B87" w:rsidRPr="00593B36" w:rsidRDefault="005A5B87" w:rsidP="00593B36">
            <w:pPr>
              <w:autoSpaceDE w:val="0"/>
              <w:autoSpaceDN w:val="0"/>
              <w:adjustRightInd w:val="0"/>
              <w:spacing w:after="0"/>
              <w:rPr>
                <w:rFonts w:eastAsia="Calibri" w:cs="Arial"/>
                <w:b/>
                <w:color w:val="000000"/>
                <w:szCs w:val="20"/>
                <w:lang w:eastAsia="en-US"/>
              </w:rPr>
            </w:pPr>
            <w:r w:rsidRPr="00593B36">
              <w:rPr>
                <w:rFonts w:cs="Arial"/>
                <w:b/>
                <w:szCs w:val="20"/>
              </w:rPr>
              <w:t>Medium</w:t>
            </w:r>
          </w:p>
        </w:tc>
      </w:tr>
    </w:tbl>
    <w:p w14:paraId="59EA8AB8" w14:textId="77777777" w:rsidR="004E3361" w:rsidRDefault="004E3361" w:rsidP="00CE6BED">
      <w:pPr>
        <w:pStyle w:val="ACMASpaceaftertable"/>
      </w:pPr>
    </w:p>
    <w:p w14:paraId="032D7ADA" w14:textId="77777777" w:rsidR="00A945DA" w:rsidRDefault="00A945DA" w:rsidP="00D567BE">
      <w:pPr>
        <w:autoSpaceDE w:val="0"/>
        <w:autoSpaceDN w:val="0"/>
        <w:adjustRightInd w:val="0"/>
        <w:spacing w:before="240"/>
        <w:ind w:right="140"/>
        <w:rPr>
          <w:szCs w:val="20"/>
        </w:rPr>
      </w:pPr>
      <w:r>
        <w:rPr>
          <w:szCs w:val="20"/>
        </w:rPr>
        <w:t xml:space="preserve">The above risk rating is based </w:t>
      </w:r>
      <w:r w:rsidR="00A95E6B">
        <w:rPr>
          <w:szCs w:val="20"/>
        </w:rPr>
        <w:t xml:space="preserve">on assessment of the criteria </w:t>
      </w:r>
      <w:r w:rsidR="00E25B3D">
        <w:rPr>
          <w:szCs w:val="20"/>
        </w:rPr>
        <w:t>in</w:t>
      </w:r>
      <w:r w:rsidR="00A95E6B">
        <w:rPr>
          <w:szCs w:val="20"/>
        </w:rPr>
        <w:t xml:space="preserve"> the </w:t>
      </w:r>
      <w:r w:rsidR="00E25B3D">
        <w:rPr>
          <w:szCs w:val="20"/>
        </w:rPr>
        <w:t xml:space="preserve">Charging </w:t>
      </w:r>
      <w:r w:rsidR="00A95E6B">
        <w:rPr>
          <w:szCs w:val="20"/>
        </w:rPr>
        <w:t>Risk Assessment</w:t>
      </w:r>
      <w:r w:rsidR="00E25B3D">
        <w:rPr>
          <w:szCs w:val="20"/>
        </w:rPr>
        <w:t>.</w:t>
      </w:r>
      <w:r w:rsidR="00A95E6B">
        <w:rPr>
          <w:rStyle w:val="FootnoteReference"/>
          <w:szCs w:val="20"/>
        </w:rPr>
        <w:footnoteReference w:id="11"/>
      </w:r>
    </w:p>
    <w:p w14:paraId="02CEA822" w14:textId="430CBE0D" w:rsidR="009E783D" w:rsidRDefault="009E783D" w:rsidP="00D567BE">
      <w:pPr>
        <w:autoSpaceDE w:val="0"/>
        <w:autoSpaceDN w:val="0"/>
        <w:adjustRightInd w:val="0"/>
        <w:spacing w:before="240"/>
        <w:ind w:right="140"/>
        <w:rPr>
          <w:rFonts w:cs="Arial"/>
        </w:rPr>
      </w:pPr>
      <w:r w:rsidRPr="006C0E2E">
        <w:rPr>
          <w:szCs w:val="20"/>
        </w:rPr>
        <w:t xml:space="preserve">The overall risk rating of medium was derived mainly due to the amount involved in this cost recovery arrangement, which exceeded $10 million and no </w:t>
      </w:r>
      <w:r w:rsidR="00A945DA">
        <w:rPr>
          <w:szCs w:val="20"/>
        </w:rPr>
        <w:t xml:space="preserve">specific </w:t>
      </w:r>
      <w:r w:rsidRPr="006C0E2E">
        <w:rPr>
          <w:szCs w:val="20"/>
        </w:rPr>
        <w:t>consultation occurre</w:t>
      </w:r>
      <w:r w:rsidR="000D4779">
        <w:rPr>
          <w:szCs w:val="20"/>
        </w:rPr>
        <w:t xml:space="preserve">d with stakeholders </w:t>
      </w:r>
      <w:r w:rsidR="004E3361">
        <w:rPr>
          <w:szCs w:val="20"/>
        </w:rPr>
        <w:t>for</w:t>
      </w:r>
      <w:r w:rsidR="003D1412">
        <w:rPr>
          <w:szCs w:val="20"/>
        </w:rPr>
        <w:t xml:space="preserve"> the </w:t>
      </w:r>
      <w:r w:rsidR="000D4779">
        <w:rPr>
          <w:szCs w:val="20"/>
        </w:rPr>
        <w:t>2015</w:t>
      </w:r>
      <w:r w:rsidR="005A5B87">
        <w:rPr>
          <w:szCs w:val="20"/>
        </w:rPr>
        <w:t>–</w:t>
      </w:r>
      <w:r w:rsidR="000D4779">
        <w:rPr>
          <w:szCs w:val="20"/>
        </w:rPr>
        <w:t>16</w:t>
      </w:r>
      <w:r w:rsidRPr="006C0E2E">
        <w:rPr>
          <w:szCs w:val="20"/>
        </w:rPr>
        <w:t xml:space="preserve"> ACLC</w:t>
      </w:r>
      <w:r w:rsidR="003D1412">
        <w:rPr>
          <w:szCs w:val="20"/>
        </w:rPr>
        <w:t xml:space="preserve"> amount</w:t>
      </w:r>
      <w:r w:rsidRPr="006C0E2E">
        <w:rPr>
          <w:szCs w:val="20"/>
        </w:rPr>
        <w:t>. However, t</w:t>
      </w:r>
      <w:r w:rsidRPr="006C0E2E">
        <w:rPr>
          <w:rFonts w:cs="Arial"/>
        </w:rPr>
        <w:t xml:space="preserve">here are no complexities associated with this charging </w:t>
      </w:r>
      <w:r w:rsidR="004E3361" w:rsidRPr="006C0E2E">
        <w:rPr>
          <w:rFonts w:cs="Arial"/>
        </w:rPr>
        <w:t>regime,</w:t>
      </w:r>
      <w:r w:rsidRPr="006C0E2E">
        <w:rPr>
          <w:rFonts w:cs="Arial"/>
        </w:rPr>
        <w:t xml:space="preserve"> as there are no changes to the existing cost recovery arrangement from the previous year. The ACLC is being charged as a levy and does not require any legislation to be passed by the </w:t>
      </w:r>
      <w:r w:rsidR="001071EB">
        <w:rPr>
          <w:rFonts w:cs="Arial"/>
        </w:rPr>
        <w:t>p</w:t>
      </w:r>
      <w:r w:rsidRPr="001071EB">
        <w:rPr>
          <w:rFonts w:cs="Arial"/>
        </w:rPr>
        <w:t>arliament</w:t>
      </w:r>
      <w:r w:rsidR="004E3361">
        <w:rPr>
          <w:rFonts w:cs="Arial"/>
        </w:rPr>
        <w:t>,</w:t>
      </w:r>
      <w:r w:rsidRPr="006C0E2E">
        <w:rPr>
          <w:rFonts w:cs="Arial"/>
        </w:rPr>
        <w:t xml:space="preserve"> nor does it involve working with </w:t>
      </w:r>
      <w:r w:rsidRPr="006C0E2E">
        <w:rPr>
          <w:rFonts w:eastAsia="Calibri" w:cs="Arial"/>
          <w:color w:val="000000"/>
          <w:szCs w:val="20"/>
          <w:lang w:eastAsia="en-US"/>
        </w:rPr>
        <w:t>state, territory or local government entities</w:t>
      </w:r>
      <w:r w:rsidRPr="006C0E2E">
        <w:rPr>
          <w:rFonts w:cs="Arial"/>
        </w:rPr>
        <w:t xml:space="preserve">. </w:t>
      </w:r>
    </w:p>
    <w:p w14:paraId="4D14D6E7" w14:textId="77777777" w:rsidR="009E783D" w:rsidRPr="006E7651" w:rsidRDefault="009E783D" w:rsidP="009E783D">
      <w:pPr>
        <w:pStyle w:val="Heading1"/>
      </w:pPr>
      <w:bookmarkStart w:id="80" w:name="_Toc417990963"/>
      <w:bookmarkStart w:id="81" w:name="_Toc454268379"/>
      <w:r>
        <w:lastRenderedPageBreak/>
        <w:t>5</w:t>
      </w:r>
      <w:r w:rsidRPr="00CC3F4B">
        <w:t xml:space="preserve">. </w:t>
      </w:r>
      <w:r w:rsidRPr="00CC3F4B">
        <w:tab/>
        <w:t>Stakeholder engagement</w:t>
      </w:r>
      <w:bookmarkEnd w:id="80"/>
      <w:bookmarkEnd w:id="81"/>
    </w:p>
    <w:p w14:paraId="0B4CE9C2" w14:textId="77777777" w:rsidR="004E3361" w:rsidRDefault="00626841" w:rsidP="009E783D">
      <w:r>
        <w:t>T</w:t>
      </w:r>
      <w:r w:rsidRPr="00E4568B">
        <w:t xml:space="preserve">he ACMA considered that consultation </w:t>
      </w:r>
      <w:r>
        <w:t xml:space="preserve">about </w:t>
      </w:r>
      <w:r w:rsidR="009E783D">
        <w:t>the</w:t>
      </w:r>
      <w:r w:rsidR="009E783D" w:rsidRPr="00E4568B">
        <w:t xml:space="preserve"> Telecommunications (Annual Carrier Licence Charge) Determination 201</w:t>
      </w:r>
      <w:r w:rsidR="00821566">
        <w:t>6</w:t>
      </w:r>
      <w:r w:rsidR="009E783D" w:rsidRPr="00E4568B">
        <w:t xml:space="preserve"> was unnecessar</w:t>
      </w:r>
      <w:r w:rsidR="009E783D">
        <w:t>y on the basis that the</w:t>
      </w:r>
      <w:r w:rsidR="009E783D" w:rsidRPr="00E4568B">
        <w:t xml:space="preserve"> </w:t>
      </w:r>
      <w:r w:rsidR="006D6ED5">
        <w:t>methodology used by the ACMA to calculate the ACLC payable by each carrier has not changed</w:t>
      </w:r>
      <w:r w:rsidR="009E783D">
        <w:t xml:space="preserve">. </w:t>
      </w:r>
    </w:p>
    <w:p w14:paraId="33852F62" w14:textId="7DA159A9" w:rsidR="009E783D" w:rsidRPr="005D0BC8" w:rsidRDefault="009E783D" w:rsidP="009E783D">
      <w:r>
        <w:t>The</w:t>
      </w:r>
      <w:r w:rsidRPr="00E4568B">
        <w:t xml:space="preserve"> Determination impose</w:t>
      </w:r>
      <w:r>
        <w:t>s</w:t>
      </w:r>
      <w:r w:rsidRPr="00E4568B">
        <w:t xml:space="preserve"> an ACLC of $0 on certain carrier licences in accordance with the Direction 2013</w:t>
      </w:r>
      <w:r>
        <w:t>. The</w:t>
      </w:r>
      <w:r w:rsidRPr="00E4568B">
        <w:t xml:space="preserve"> Determination also set</w:t>
      </w:r>
      <w:r>
        <w:t>s</w:t>
      </w:r>
      <w:r w:rsidRPr="00E4568B">
        <w:t xml:space="preserve"> out a method for ascertaining the</w:t>
      </w:r>
      <w:r w:rsidRPr="00A84CBD">
        <w:t xml:space="preserve"> amount of ACLC imposed on other carrier licences</w:t>
      </w:r>
      <w:r w:rsidR="00B60F85">
        <w:t>.</w:t>
      </w:r>
      <w:r w:rsidR="00B60F85" w:rsidRPr="00A84CBD">
        <w:t xml:space="preserve"> </w:t>
      </w:r>
      <w:r w:rsidR="00B60F85">
        <w:t>This</w:t>
      </w:r>
      <w:r w:rsidR="00B60F85" w:rsidRPr="00A84CBD">
        <w:t xml:space="preserve"> </w:t>
      </w:r>
      <w:r w:rsidRPr="00A84CBD">
        <w:t>is substantially the same as the method set out in the Telecommunications (Annual Carrier Licence Charge) Determination 2012 (that applied to carrier licences in force at the beginning of the 2011–12 financial year) and the Telecommunications (Annual Carrier Licence Charge) Determination 2013 (that applied to carrier licences in force at the beginning of the 2012–13 financial year). The method was the subject of consultation as part of a review of the ACMA’s cost recovery arrangements undertaken in late 2011.</w:t>
      </w:r>
      <w:r w:rsidR="00295CB7">
        <w:t xml:space="preserve"> However, a stakeholder consultation is expected to be conducted in the 2016</w:t>
      </w:r>
      <w:r w:rsidR="004E3361">
        <w:t>–</w:t>
      </w:r>
      <w:r w:rsidR="00295CB7">
        <w:t>17 financial year</w:t>
      </w:r>
      <w:r w:rsidR="00121F33">
        <w:t xml:space="preserve"> w</w:t>
      </w:r>
      <w:r w:rsidR="00C95AC0">
        <w:t xml:space="preserve">ith </w:t>
      </w:r>
      <w:r w:rsidR="00372371">
        <w:t>a</w:t>
      </w:r>
      <w:r w:rsidR="00C95AC0">
        <w:t xml:space="preserve"> view to incorporate any </w:t>
      </w:r>
      <w:r w:rsidR="00121F33">
        <w:t>matters</w:t>
      </w:r>
      <w:r w:rsidR="00C95AC0">
        <w:t xml:space="preserve"> relating to the ACLC </w:t>
      </w:r>
      <w:r w:rsidR="00372371">
        <w:t>once</w:t>
      </w:r>
      <w:r w:rsidR="00C95AC0">
        <w:t xml:space="preserve"> the DoCA completes its review</w:t>
      </w:r>
      <w:r w:rsidR="009B2786">
        <w:rPr>
          <w:rStyle w:val="FootnoteReference"/>
        </w:rPr>
        <w:footnoteReference w:id="12"/>
      </w:r>
      <w:r w:rsidR="00C95AC0">
        <w:t xml:space="preserve"> </w:t>
      </w:r>
      <w:r w:rsidR="00626841">
        <w:t xml:space="preserve">of </w:t>
      </w:r>
      <w:r w:rsidR="00C95AC0">
        <w:t xml:space="preserve">the ACMA. </w:t>
      </w:r>
      <w:r w:rsidR="00C05F92">
        <w:t>Th</w:t>
      </w:r>
      <w:r w:rsidR="00372371">
        <w:t>is</w:t>
      </w:r>
      <w:r w:rsidR="00784F7A">
        <w:t xml:space="preserve"> CRIS will be updated </w:t>
      </w:r>
      <w:r w:rsidR="009B2786">
        <w:t xml:space="preserve">on an ongoing basis </w:t>
      </w:r>
      <w:r w:rsidR="00C05F92">
        <w:t>with any changes that occur before imposing the ACLC for the next financial year.</w:t>
      </w:r>
    </w:p>
    <w:p w14:paraId="1777A223" w14:textId="2D45CE51" w:rsidR="00157B12" w:rsidRPr="00D35E14" w:rsidRDefault="009E783D" w:rsidP="00CE6BED">
      <w:pPr>
        <w:pStyle w:val="BodyText"/>
        <w:spacing w:after="80" w:line="240" w:lineRule="atLeast"/>
        <w:ind w:right="-142"/>
        <w:rPr>
          <w:rFonts w:cs="Arial"/>
          <w:i w:val="0"/>
          <w:color w:val="auto"/>
          <w:szCs w:val="20"/>
        </w:rPr>
      </w:pPr>
      <w:r w:rsidRPr="00D35E14">
        <w:rPr>
          <w:rFonts w:cs="Arial"/>
          <w:i w:val="0"/>
          <w:color w:val="auto"/>
          <w:szCs w:val="20"/>
        </w:rPr>
        <w:t>The ACMA regularly consults with stakeholders in relation to telecommunications regulatory matters</w:t>
      </w:r>
      <w:r w:rsidR="007C3E84" w:rsidRPr="00D35E14">
        <w:rPr>
          <w:rFonts w:cs="Arial"/>
          <w:i w:val="0"/>
          <w:color w:val="auto"/>
          <w:szCs w:val="20"/>
        </w:rPr>
        <w:t>. In 2014</w:t>
      </w:r>
      <w:r w:rsidR="004E3361">
        <w:rPr>
          <w:rFonts w:cs="Arial"/>
          <w:i w:val="0"/>
          <w:color w:val="auto"/>
          <w:szCs w:val="20"/>
        </w:rPr>
        <w:t>–</w:t>
      </w:r>
      <w:r w:rsidR="007C3E84" w:rsidRPr="00D35E14">
        <w:rPr>
          <w:rFonts w:cs="Arial"/>
          <w:i w:val="0"/>
          <w:color w:val="auto"/>
          <w:szCs w:val="20"/>
        </w:rPr>
        <w:t xml:space="preserve">15 the ACMA consulted on a </w:t>
      </w:r>
      <w:r w:rsidR="00796908" w:rsidRPr="00D35E14">
        <w:rPr>
          <w:rFonts w:cs="Arial"/>
          <w:i w:val="0"/>
          <w:color w:val="auto"/>
          <w:szCs w:val="20"/>
        </w:rPr>
        <w:t>number</w:t>
      </w:r>
      <w:r w:rsidR="00796908">
        <w:rPr>
          <w:rFonts w:cs="Arial"/>
          <w:i w:val="0"/>
          <w:color w:val="auto"/>
          <w:szCs w:val="20"/>
        </w:rPr>
        <w:t xml:space="preserve"> of</w:t>
      </w:r>
      <w:r w:rsidR="00796908" w:rsidRPr="00D35E14">
        <w:rPr>
          <w:rFonts w:cs="Arial"/>
          <w:i w:val="0"/>
          <w:color w:val="auto"/>
          <w:szCs w:val="20"/>
        </w:rPr>
        <w:t xml:space="preserve"> </w:t>
      </w:r>
      <w:r w:rsidR="007C3E84" w:rsidRPr="00D35E14">
        <w:rPr>
          <w:rFonts w:cs="Arial"/>
          <w:i w:val="0"/>
          <w:color w:val="auto"/>
          <w:szCs w:val="20"/>
        </w:rPr>
        <w:t>matters</w:t>
      </w:r>
      <w:r w:rsidR="004E3361">
        <w:rPr>
          <w:rFonts w:cs="Arial"/>
          <w:i w:val="0"/>
          <w:color w:val="auto"/>
          <w:szCs w:val="20"/>
        </w:rPr>
        <w:t>,</w:t>
      </w:r>
      <w:r w:rsidR="007C3E84" w:rsidRPr="00D35E14">
        <w:rPr>
          <w:rFonts w:cs="Arial"/>
          <w:i w:val="0"/>
          <w:color w:val="auto"/>
          <w:szCs w:val="20"/>
        </w:rPr>
        <w:t xml:space="preserve"> </w:t>
      </w:r>
      <w:r w:rsidR="00157B12" w:rsidRPr="00D35E14">
        <w:rPr>
          <w:rFonts w:cs="Arial"/>
          <w:i w:val="0"/>
          <w:color w:val="auto"/>
          <w:szCs w:val="20"/>
        </w:rPr>
        <w:t>including:</w:t>
      </w:r>
    </w:p>
    <w:p w14:paraId="6393E2E4" w14:textId="77777777" w:rsidR="00157B12" w:rsidRPr="00D35E14" w:rsidRDefault="00157B12" w:rsidP="00CE6BED">
      <w:pPr>
        <w:pStyle w:val="ListBullet"/>
      </w:pPr>
      <w:r w:rsidRPr="00D35E14">
        <w:t xml:space="preserve">numbering reform activities </w:t>
      </w:r>
    </w:p>
    <w:p w14:paraId="3B743E4A" w14:textId="77777777" w:rsidR="00157B12" w:rsidRPr="00D35E14" w:rsidRDefault="009E783D" w:rsidP="00CE6BED">
      <w:pPr>
        <w:pStyle w:val="ListBullet"/>
      </w:pPr>
      <w:r w:rsidRPr="00D35E14">
        <w:t>deregulation initiatives</w:t>
      </w:r>
    </w:p>
    <w:p w14:paraId="75866137" w14:textId="77777777" w:rsidR="00157B12" w:rsidRPr="00D35E14" w:rsidRDefault="009E783D" w:rsidP="00CE6BED">
      <w:pPr>
        <w:pStyle w:val="ListBullet"/>
      </w:pPr>
      <w:r w:rsidRPr="00D35E14">
        <w:t>administration of existing legislative and regulatory arrangements</w:t>
      </w:r>
    </w:p>
    <w:p w14:paraId="3F4C6DFF" w14:textId="77777777" w:rsidR="00157B12" w:rsidRPr="00D35E14" w:rsidRDefault="00DB3415" w:rsidP="00CE6BED">
      <w:pPr>
        <w:pStyle w:val="ListBullet"/>
      </w:pPr>
      <w:r w:rsidRPr="00D35E14">
        <w:t xml:space="preserve">remaking </w:t>
      </w:r>
      <w:r w:rsidR="00157B12" w:rsidRPr="00D35E14">
        <w:t xml:space="preserve">of </w:t>
      </w:r>
      <w:r w:rsidRPr="00D35E14">
        <w:t>a number of telecommunications legal instruments</w:t>
      </w:r>
    </w:p>
    <w:p w14:paraId="7224A294" w14:textId="77777777" w:rsidR="00157B12" w:rsidRPr="00D35E14" w:rsidRDefault="00DB3415" w:rsidP="00CE6BED">
      <w:pPr>
        <w:pStyle w:val="ListBulletLast"/>
      </w:pPr>
      <w:r w:rsidRPr="00D35E14">
        <w:t>identity verificat</w:t>
      </w:r>
      <w:r w:rsidR="007C3E84" w:rsidRPr="00D35E14">
        <w:t>ion for prepaid mobile services</w:t>
      </w:r>
    </w:p>
    <w:p w14:paraId="3874A1DF" w14:textId="77777777" w:rsidR="009E783D" w:rsidRDefault="007C3E84" w:rsidP="00CE6BED">
      <w:r w:rsidRPr="00D35E14">
        <w:t xml:space="preserve">The consultation </w:t>
      </w:r>
      <w:r w:rsidR="006C23CD" w:rsidRPr="00D35E14">
        <w:t xml:space="preserve">that was conducted as part of the numbering reform activities </w:t>
      </w:r>
      <w:r w:rsidR="00C36801" w:rsidRPr="00D35E14">
        <w:t xml:space="preserve">in April 2015 </w:t>
      </w:r>
      <w:r w:rsidR="000D2EE7" w:rsidRPr="00D35E14">
        <w:t>in relation to legal</w:t>
      </w:r>
      <w:r w:rsidR="006C23CD" w:rsidRPr="00D35E14">
        <w:t xml:space="preserve"> instruments that set</w:t>
      </w:r>
      <w:r w:rsidR="004A38F0" w:rsidRPr="00D35E14">
        <w:t xml:space="preserve"> charges for n</w:t>
      </w:r>
      <w:r w:rsidR="00C36801" w:rsidRPr="00D35E14">
        <w:t>umbering services, included the ACLC and its impact on future years.</w:t>
      </w:r>
    </w:p>
    <w:p w14:paraId="67724622" w14:textId="6BE9140D" w:rsidR="00821566" w:rsidRPr="00231A0F" w:rsidRDefault="00821566" w:rsidP="00CE6BED">
      <w:pPr>
        <w:spacing w:after="80"/>
      </w:pPr>
      <w:r w:rsidRPr="00231A0F">
        <w:t>The ACCC has engaged with stakeholders through price setting consultations and regulatory matters. The key areas of consultation in 2014</w:t>
      </w:r>
      <w:r w:rsidR="004E3361">
        <w:t>–</w:t>
      </w:r>
      <w:r w:rsidRPr="00231A0F">
        <w:t xml:space="preserve">15 included:  </w:t>
      </w:r>
    </w:p>
    <w:p w14:paraId="25F98043" w14:textId="77777777" w:rsidR="00821566" w:rsidRPr="004E3361" w:rsidRDefault="00821566" w:rsidP="004E3361">
      <w:pPr>
        <w:pStyle w:val="ListBullet"/>
      </w:pPr>
      <w:r w:rsidRPr="004E3361">
        <w:t>promoting competition to ensure an efficiently functioning communications market</w:t>
      </w:r>
    </w:p>
    <w:p w14:paraId="6FBA521E" w14:textId="77777777" w:rsidR="00821566" w:rsidRPr="004E3361" w:rsidRDefault="00821566" w:rsidP="004E3361">
      <w:pPr>
        <w:pStyle w:val="ListBullet"/>
      </w:pPr>
      <w:r w:rsidRPr="004E3361">
        <w:t xml:space="preserve">regulating access to infrastructure to support continuing competition and efficient investment in fixed line, mobiles and transmission markets while transitioning to the NBN  </w:t>
      </w:r>
    </w:p>
    <w:p w14:paraId="59ED498D" w14:textId="77777777" w:rsidR="00821566" w:rsidRPr="00534F91" w:rsidRDefault="00821566" w:rsidP="004E3361">
      <w:pPr>
        <w:pStyle w:val="ListBullet"/>
      </w:pPr>
      <w:r w:rsidRPr="004E3361">
        <w:t>promoting competition through our regulation of the NBN and encouraging transparency and</w:t>
      </w:r>
      <w:r w:rsidRPr="00534F91">
        <w:t xml:space="preserve"> appropriate consumer safeguards in the migration to the NBN </w:t>
      </w:r>
    </w:p>
    <w:p w14:paraId="422A7F81" w14:textId="67B32158" w:rsidR="00821566" w:rsidRPr="004E3361" w:rsidRDefault="00821566" w:rsidP="00CE6BED">
      <w:pPr>
        <w:pStyle w:val="ListBulletLast"/>
        <w:rPr>
          <w:szCs w:val="20"/>
        </w:rPr>
      </w:pPr>
      <w:r w:rsidRPr="00534F91">
        <w:t>monitoring industry consolidation and the impact on competition within the communications market</w:t>
      </w:r>
      <w:r w:rsidR="004E3361">
        <w:t>.</w:t>
      </w:r>
    </w:p>
    <w:p w14:paraId="736A4436" w14:textId="77777777" w:rsidR="009E783D" w:rsidRPr="00CC3F4B" w:rsidRDefault="009E783D" w:rsidP="009E783D">
      <w:pPr>
        <w:pStyle w:val="Heading1"/>
      </w:pPr>
      <w:bookmarkStart w:id="82" w:name="_Toc355953992"/>
      <w:bookmarkStart w:id="83" w:name="_Toc385256322"/>
      <w:bookmarkStart w:id="84" w:name="_Toc417990964"/>
      <w:bookmarkStart w:id="85" w:name="_Toc454268380"/>
      <w:r>
        <w:lastRenderedPageBreak/>
        <w:t>6</w:t>
      </w:r>
      <w:r w:rsidRPr="00CC3F4B">
        <w:t xml:space="preserve">. </w:t>
      </w:r>
      <w:r w:rsidRPr="00CC3F4B">
        <w:tab/>
        <w:t>F</w:t>
      </w:r>
      <w:bookmarkEnd w:id="82"/>
      <w:r w:rsidRPr="00CC3F4B">
        <w:t xml:space="preserve">inancial </w:t>
      </w:r>
      <w:bookmarkEnd w:id="83"/>
      <w:r>
        <w:t>estimates</w:t>
      </w:r>
      <w:bookmarkEnd w:id="84"/>
      <w:bookmarkEnd w:id="85"/>
    </w:p>
    <w:p w14:paraId="4EC7CF57" w14:textId="77777777" w:rsidR="009E783D" w:rsidRDefault="009E783D" w:rsidP="009E783D">
      <w:pPr>
        <w:rPr>
          <w:rFonts w:cs="Arial"/>
          <w:iCs/>
        </w:rPr>
      </w:pPr>
      <w:r w:rsidRPr="00D201AF">
        <w:rPr>
          <w:rFonts w:cs="Arial"/>
          <w:iCs/>
        </w:rPr>
        <w:t xml:space="preserve">Financial estimates for </w:t>
      </w:r>
      <w:r>
        <w:rPr>
          <w:rFonts w:cs="Arial"/>
          <w:iCs/>
        </w:rPr>
        <w:t xml:space="preserve">each component of the ACLC </w:t>
      </w:r>
      <w:r w:rsidRPr="00D201AF">
        <w:rPr>
          <w:rFonts w:cs="Arial"/>
          <w:iCs/>
        </w:rPr>
        <w:t xml:space="preserve">for </w:t>
      </w:r>
      <w:r>
        <w:rPr>
          <w:rFonts w:cs="Arial"/>
          <w:iCs/>
        </w:rPr>
        <w:t>the financial year 2</w:t>
      </w:r>
      <w:r w:rsidR="00603395">
        <w:rPr>
          <w:rFonts w:cs="Arial"/>
          <w:iCs/>
        </w:rPr>
        <w:t>015</w:t>
      </w:r>
      <w:r w:rsidR="005A5B87">
        <w:rPr>
          <w:rFonts w:cs="Arial"/>
          <w:iCs/>
        </w:rPr>
        <w:t>–</w:t>
      </w:r>
      <w:r w:rsidR="00603395">
        <w:rPr>
          <w:rFonts w:cs="Arial"/>
          <w:iCs/>
        </w:rPr>
        <w:t>16</w:t>
      </w:r>
      <w:r w:rsidRPr="00D201AF">
        <w:rPr>
          <w:rFonts w:cs="Arial"/>
          <w:iCs/>
        </w:rPr>
        <w:t xml:space="preserve"> and three forward years are </w:t>
      </w:r>
      <w:r w:rsidR="00603395">
        <w:rPr>
          <w:rFonts w:cs="Arial"/>
          <w:iCs/>
        </w:rPr>
        <w:t>provided in Table 12</w:t>
      </w:r>
      <w:r w:rsidR="00D567BE">
        <w:rPr>
          <w:rFonts w:cs="Arial"/>
          <w:iCs/>
        </w:rPr>
        <w:t xml:space="preserve"> below. </w:t>
      </w:r>
    </w:p>
    <w:p w14:paraId="626A2308" w14:textId="77777777" w:rsidR="000D5F25" w:rsidRDefault="00D866D4" w:rsidP="00D866D4">
      <w:pPr>
        <w:pStyle w:val="ACMATableHeader"/>
        <w:numPr>
          <w:ilvl w:val="0"/>
          <w:numId w:val="0"/>
        </w:numPr>
        <w:rPr>
          <w:rFonts w:cs="Arial"/>
          <w:iCs/>
        </w:rPr>
      </w:pPr>
      <w:r>
        <w:t>Table 12:</w:t>
      </w:r>
      <w:r>
        <w:tab/>
      </w:r>
      <w:r w:rsidR="006174BB">
        <w:t>Financial estimates</w:t>
      </w:r>
      <w:r w:rsidR="006174BB" w:rsidRPr="005A1AF4">
        <w:t xml:space="preserve"> by </w:t>
      </w:r>
      <w:r w:rsidR="006174BB">
        <w:t>activity</w:t>
      </w:r>
    </w:p>
    <w:tbl>
      <w:tblPr>
        <w:tblW w:w="9062" w:type="dxa"/>
        <w:tblLayout w:type="fixed"/>
        <w:tblCellMar>
          <w:top w:w="57" w:type="dxa"/>
          <w:left w:w="57" w:type="dxa"/>
          <w:bottom w:w="57" w:type="dxa"/>
          <w:right w:w="57" w:type="dxa"/>
        </w:tblCellMar>
        <w:tblLook w:val="04A0" w:firstRow="1" w:lastRow="0" w:firstColumn="1" w:lastColumn="0" w:noHBand="0" w:noVBand="1"/>
      </w:tblPr>
      <w:tblGrid>
        <w:gridCol w:w="964"/>
        <w:gridCol w:w="2287"/>
        <w:gridCol w:w="1162"/>
        <w:gridCol w:w="1162"/>
        <w:gridCol w:w="1162"/>
        <w:gridCol w:w="1162"/>
        <w:gridCol w:w="1163"/>
      </w:tblGrid>
      <w:tr w:rsidR="006174BB" w:rsidRPr="005A5B87" w14:paraId="6E4BE027" w14:textId="77777777" w:rsidTr="00593B36">
        <w:trPr>
          <w:trHeight w:val="649"/>
          <w:tblHeader/>
        </w:trPr>
        <w:tc>
          <w:tcPr>
            <w:tcW w:w="964" w:type="dxa"/>
            <w:vMerge w:val="restart"/>
            <w:tcBorders>
              <w:top w:val="single" w:sz="8" w:space="0" w:color="auto"/>
              <w:left w:val="single" w:sz="8" w:space="0" w:color="auto"/>
              <w:bottom w:val="single" w:sz="8" w:space="0" w:color="000000"/>
              <w:right w:val="single" w:sz="8" w:space="0" w:color="auto"/>
            </w:tcBorders>
            <w:shd w:val="clear" w:color="000000" w:fill="404040"/>
            <w:hideMark/>
          </w:tcPr>
          <w:p w14:paraId="1CCECF5D" w14:textId="77777777" w:rsidR="006174BB" w:rsidRPr="00CE6BED" w:rsidRDefault="006174BB" w:rsidP="00CE6BED">
            <w:pPr>
              <w:pStyle w:val="TableHeading"/>
              <w:rPr>
                <w:b w:val="0"/>
                <w:color w:val="FFFFFF" w:themeColor="background1"/>
              </w:rPr>
            </w:pPr>
            <w:r w:rsidRPr="00CE6BED">
              <w:rPr>
                <w:color w:val="FFFFFF" w:themeColor="background1"/>
              </w:rPr>
              <w:t>Ref</w:t>
            </w:r>
            <w:r w:rsidR="003F4664" w:rsidRPr="00CE6BED">
              <w:rPr>
                <w:color w:val="FFFFFF" w:themeColor="background1"/>
              </w:rPr>
              <w:t>.</w:t>
            </w:r>
            <w:r w:rsidRPr="00CE6BED">
              <w:rPr>
                <w:color w:val="FFFFFF" w:themeColor="background1"/>
              </w:rPr>
              <w:t xml:space="preserve"> in the Act</w:t>
            </w:r>
          </w:p>
        </w:tc>
        <w:tc>
          <w:tcPr>
            <w:tcW w:w="2287" w:type="dxa"/>
            <w:vMerge w:val="restart"/>
            <w:tcBorders>
              <w:top w:val="single" w:sz="8" w:space="0" w:color="auto"/>
              <w:left w:val="single" w:sz="8" w:space="0" w:color="auto"/>
              <w:bottom w:val="single" w:sz="8" w:space="0" w:color="000000"/>
              <w:right w:val="single" w:sz="8" w:space="0" w:color="auto"/>
            </w:tcBorders>
            <w:shd w:val="clear" w:color="000000" w:fill="404040"/>
            <w:hideMark/>
          </w:tcPr>
          <w:p w14:paraId="44F5D403" w14:textId="77777777" w:rsidR="006174BB" w:rsidRPr="00CE6BED" w:rsidRDefault="009737B2" w:rsidP="00CE6BED">
            <w:pPr>
              <w:pStyle w:val="TableHeading"/>
              <w:rPr>
                <w:b w:val="0"/>
                <w:color w:val="FFFFFF" w:themeColor="background1"/>
              </w:rPr>
            </w:pPr>
            <w:r w:rsidRPr="00CE6BED">
              <w:rPr>
                <w:color w:val="FFFFFF" w:themeColor="background1"/>
              </w:rPr>
              <w:t>Component</w:t>
            </w:r>
          </w:p>
        </w:tc>
        <w:tc>
          <w:tcPr>
            <w:tcW w:w="1162" w:type="dxa"/>
            <w:tcBorders>
              <w:top w:val="single" w:sz="8" w:space="0" w:color="auto"/>
              <w:left w:val="nil"/>
              <w:bottom w:val="nil"/>
              <w:right w:val="single" w:sz="8" w:space="0" w:color="auto"/>
            </w:tcBorders>
            <w:shd w:val="clear" w:color="000000" w:fill="404040"/>
            <w:hideMark/>
          </w:tcPr>
          <w:p w14:paraId="25D35DE5" w14:textId="77777777" w:rsidR="006174BB" w:rsidRPr="00CE6BED" w:rsidRDefault="00603395" w:rsidP="00CE6BED">
            <w:pPr>
              <w:pStyle w:val="TableHeading"/>
              <w:rPr>
                <w:b w:val="0"/>
                <w:color w:val="FFFFFF" w:themeColor="background1"/>
              </w:rPr>
            </w:pPr>
            <w:r w:rsidRPr="00CE6BED">
              <w:rPr>
                <w:color w:val="FFFFFF" w:themeColor="background1"/>
              </w:rPr>
              <w:t>2015</w:t>
            </w:r>
            <w:r w:rsidR="006174BB" w:rsidRPr="00CE6BED">
              <w:rPr>
                <w:color w:val="FFFFFF" w:themeColor="background1"/>
              </w:rPr>
              <w:t>–</w:t>
            </w:r>
            <w:r w:rsidRPr="00CE6BED">
              <w:rPr>
                <w:color w:val="FFFFFF" w:themeColor="background1"/>
              </w:rPr>
              <w:t>16</w:t>
            </w:r>
            <w:r w:rsidR="006174BB" w:rsidRPr="00CE6BED">
              <w:rPr>
                <w:color w:val="FFFFFF" w:themeColor="background1"/>
              </w:rPr>
              <w:t xml:space="preserve"> Budget</w:t>
            </w:r>
          </w:p>
        </w:tc>
        <w:tc>
          <w:tcPr>
            <w:tcW w:w="1162" w:type="dxa"/>
            <w:tcBorders>
              <w:top w:val="single" w:sz="8" w:space="0" w:color="auto"/>
              <w:left w:val="nil"/>
              <w:bottom w:val="nil"/>
              <w:right w:val="single" w:sz="8" w:space="0" w:color="auto"/>
            </w:tcBorders>
            <w:shd w:val="clear" w:color="000000" w:fill="404040"/>
            <w:hideMark/>
          </w:tcPr>
          <w:p w14:paraId="38C5D5C3" w14:textId="77777777" w:rsidR="006174BB" w:rsidRPr="00CE6BED" w:rsidRDefault="006174BB" w:rsidP="00CE6BED">
            <w:pPr>
              <w:pStyle w:val="TableHeading"/>
              <w:rPr>
                <w:b w:val="0"/>
                <w:color w:val="FFFFFF" w:themeColor="background1"/>
              </w:rPr>
            </w:pPr>
            <w:r w:rsidRPr="00CE6BED">
              <w:rPr>
                <w:color w:val="FFFFFF" w:themeColor="background1"/>
              </w:rPr>
              <w:t>2</w:t>
            </w:r>
            <w:r w:rsidR="00603395" w:rsidRPr="00CE6BED">
              <w:rPr>
                <w:color w:val="FFFFFF" w:themeColor="background1"/>
              </w:rPr>
              <w:t>015–16</w:t>
            </w:r>
            <w:r w:rsidRPr="00CE6BED">
              <w:rPr>
                <w:color w:val="FFFFFF" w:themeColor="background1"/>
              </w:rPr>
              <w:t xml:space="preserve"> revised Budget</w:t>
            </w:r>
          </w:p>
        </w:tc>
        <w:tc>
          <w:tcPr>
            <w:tcW w:w="1162" w:type="dxa"/>
            <w:tcBorders>
              <w:top w:val="single" w:sz="8" w:space="0" w:color="auto"/>
              <w:left w:val="nil"/>
              <w:bottom w:val="nil"/>
              <w:right w:val="single" w:sz="8" w:space="0" w:color="auto"/>
            </w:tcBorders>
            <w:shd w:val="clear" w:color="000000" w:fill="404040"/>
            <w:hideMark/>
          </w:tcPr>
          <w:p w14:paraId="18A65CD4" w14:textId="77777777" w:rsidR="006174BB" w:rsidRPr="00CE6BED" w:rsidRDefault="00603395" w:rsidP="00CE6BED">
            <w:pPr>
              <w:pStyle w:val="TableHeading"/>
              <w:rPr>
                <w:b w:val="0"/>
                <w:color w:val="FFFFFF" w:themeColor="background1"/>
              </w:rPr>
            </w:pPr>
            <w:r w:rsidRPr="00CE6BED">
              <w:rPr>
                <w:color w:val="FFFFFF" w:themeColor="background1"/>
              </w:rPr>
              <w:t>2016</w:t>
            </w:r>
            <w:r w:rsidR="006174BB" w:rsidRPr="00CE6BED">
              <w:rPr>
                <w:color w:val="FFFFFF" w:themeColor="background1"/>
              </w:rPr>
              <w:t>–</w:t>
            </w:r>
            <w:r w:rsidRPr="00CE6BED">
              <w:rPr>
                <w:color w:val="FFFFFF" w:themeColor="background1"/>
              </w:rPr>
              <w:t>17</w:t>
            </w:r>
            <w:r w:rsidR="006174BB" w:rsidRPr="00CE6BED">
              <w:rPr>
                <w:color w:val="FFFFFF" w:themeColor="background1"/>
              </w:rPr>
              <w:t xml:space="preserve"> Budget</w:t>
            </w:r>
          </w:p>
        </w:tc>
        <w:tc>
          <w:tcPr>
            <w:tcW w:w="1162" w:type="dxa"/>
            <w:tcBorders>
              <w:top w:val="single" w:sz="8" w:space="0" w:color="auto"/>
              <w:left w:val="nil"/>
              <w:bottom w:val="nil"/>
              <w:right w:val="single" w:sz="8" w:space="0" w:color="auto"/>
            </w:tcBorders>
            <w:shd w:val="clear" w:color="000000" w:fill="404040"/>
            <w:hideMark/>
          </w:tcPr>
          <w:p w14:paraId="4143F354" w14:textId="77777777" w:rsidR="006174BB" w:rsidRPr="00CE6BED" w:rsidRDefault="006174BB" w:rsidP="00CE6BED">
            <w:pPr>
              <w:pStyle w:val="TableHeading"/>
              <w:rPr>
                <w:b w:val="0"/>
                <w:color w:val="FFFFFF" w:themeColor="background1"/>
              </w:rPr>
            </w:pPr>
            <w:r w:rsidRPr="00CE6BED">
              <w:rPr>
                <w:color w:val="FFFFFF" w:themeColor="background1"/>
              </w:rPr>
              <w:t>2</w:t>
            </w:r>
            <w:r w:rsidR="00603395" w:rsidRPr="00CE6BED">
              <w:rPr>
                <w:color w:val="FFFFFF" w:themeColor="background1"/>
              </w:rPr>
              <w:t>017</w:t>
            </w:r>
            <w:r w:rsidRPr="00CE6BED">
              <w:rPr>
                <w:color w:val="FFFFFF" w:themeColor="background1"/>
              </w:rPr>
              <w:t>–</w:t>
            </w:r>
            <w:r w:rsidR="00603395" w:rsidRPr="00CE6BED">
              <w:rPr>
                <w:color w:val="FFFFFF" w:themeColor="background1"/>
              </w:rPr>
              <w:t>18</w:t>
            </w:r>
            <w:r w:rsidRPr="00CE6BED">
              <w:rPr>
                <w:color w:val="FFFFFF" w:themeColor="background1"/>
              </w:rPr>
              <w:t xml:space="preserve"> Budget</w:t>
            </w:r>
          </w:p>
        </w:tc>
        <w:tc>
          <w:tcPr>
            <w:tcW w:w="1163" w:type="dxa"/>
            <w:tcBorders>
              <w:top w:val="single" w:sz="8" w:space="0" w:color="auto"/>
              <w:left w:val="nil"/>
              <w:bottom w:val="nil"/>
              <w:right w:val="single" w:sz="8" w:space="0" w:color="auto"/>
            </w:tcBorders>
            <w:shd w:val="clear" w:color="000000" w:fill="404040"/>
            <w:hideMark/>
          </w:tcPr>
          <w:p w14:paraId="66DAADD6" w14:textId="77777777" w:rsidR="006174BB" w:rsidRPr="00CE6BED" w:rsidRDefault="00603395" w:rsidP="00CE6BED">
            <w:pPr>
              <w:pStyle w:val="TableHeading"/>
              <w:rPr>
                <w:b w:val="0"/>
                <w:color w:val="FFFFFF" w:themeColor="background1"/>
              </w:rPr>
            </w:pPr>
            <w:r w:rsidRPr="00CE6BED">
              <w:rPr>
                <w:color w:val="FFFFFF" w:themeColor="background1"/>
              </w:rPr>
              <w:t>2018</w:t>
            </w:r>
            <w:r w:rsidR="006174BB" w:rsidRPr="00CE6BED">
              <w:rPr>
                <w:color w:val="FFFFFF" w:themeColor="background1"/>
              </w:rPr>
              <w:t>–</w:t>
            </w:r>
            <w:r w:rsidRPr="00CE6BED">
              <w:rPr>
                <w:color w:val="FFFFFF" w:themeColor="background1"/>
              </w:rPr>
              <w:t>19</w:t>
            </w:r>
            <w:r w:rsidR="006174BB" w:rsidRPr="00CE6BED">
              <w:rPr>
                <w:color w:val="FFFFFF" w:themeColor="background1"/>
              </w:rPr>
              <w:t xml:space="preserve"> Budget</w:t>
            </w:r>
          </w:p>
        </w:tc>
      </w:tr>
      <w:tr w:rsidR="006174BB" w:rsidRPr="005A5B87" w14:paraId="6A635E84" w14:textId="77777777" w:rsidTr="00593B36">
        <w:trPr>
          <w:trHeight w:val="106"/>
          <w:tblHeader/>
        </w:trPr>
        <w:tc>
          <w:tcPr>
            <w:tcW w:w="964" w:type="dxa"/>
            <w:vMerge/>
            <w:tcBorders>
              <w:top w:val="single" w:sz="8" w:space="0" w:color="auto"/>
              <w:left w:val="single" w:sz="8" w:space="0" w:color="auto"/>
              <w:bottom w:val="single" w:sz="8" w:space="0" w:color="000000"/>
              <w:right w:val="single" w:sz="8" w:space="0" w:color="auto"/>
            </w:tcBorders>
            <w:hideMark/>
          </w:tcPr>
          <w:p w14:paraId="6FE32A35" w14:textId="77777777" w:rsidR="006174BB" w:rsidRPr="00CE6BED" w:rsidRDefault="006174BB" w:rsidP="00CE6BED">
            <w:pPr>
              <w:pStyle w:val="TableHeading"/>
              <w:rPr>
                <w:b w:val="0"/>
                <w:color w:val="FFFFFF" w:themeColor="background1"/>
              </w:rPr>
            </w:pPr>
          </w:p>
        </w:tc>
        <w:tc>
          <w:tcPr>
            <w:tcW w:w="2287" w:type="dxa"/>
            <w:vMerge/>
            <w:tcBorders>
              <w:top w:val="single" w:sz="8" w:space="0" w:color="auto"/>
              <w:left w:val="single" w:sz="8" w:space="0" w:color="auto"/>
              <w:bottom w:val="single" w:sz="8" w:space="0" w:color="000000"/>
              <w:right w:val="single" w:sz="8" w:space="0" w:color="auto"/>
            </w:tcBorders>
            <w:hideMark/>
          </w:tcPr>
          <w:p w14:paraId="78D71EC6" w14:textId="77777777" w:rsidR="006174BB" w:rsidRPr="00CE6BED" w:rsidRDefault="006174BB" w:rsidP="00CE6BED">
            <w:pPr>
              <w:pStyle w:val="TableHeading"/>
              <w:rPr>
                <w:b w:val="0"/>
                <w:color w:val="FFFFFF" w:themeColor="background1"/>
              </w:rPr>
            </w:pPr>
          </w:p>
        </w:tc>
        <w:tc>
          <w:tcPr>
            <w:tcW w:w="1162" w:type="dxa"/>
            <w:tcBorders>
              <w:top w:val="nil"/>
              <w:left w:val="nil"/>
              <w:bottom w:val="single" w:sz="8" w:space="0" w:color="auto"/>
              <w:right w:val="single" w:sz="8" w:space="0" w:color="auto"/>
            </w:tcBorders>
            <w:shd w:val="clear" w:color="000000" w:fill="404040"/>
            <w:hideMark/>
          </w:tcPr>
          <w:p w14:paraId="6FC484F1" w14:textId="77777777" w:rsidR="006174BB" w:rsidRPr="00CE6BED" w:rsidRDefault="006174BB" w:rsidP="00CE6BED">
            <w:pPr>
              <w:pStyle w:val="TableHeading"/>
              <w:rPr>
                <w:b w:val="0"/>
                <w:color w:val="FFFFFF" w:themeColor="background1"/>
              </w:rPr>
            </w:pPr>
            <w:r w:rsidRPr="00CE6BED">
              <w:rPr>
                <w:color w:val="FFFFFF" w:themeColor="background1"/>
              </w:rPr>
              <w:t>($million)</w:t>
            </w:r>
          </w:p>
        </w:tc>
        <w:tc>
          <w:tcPr>
            <w:tcW w:w="1162" w:type="dxa"/>
            <w:tcBorders>
              <w:top w:val="nil"/>
              <w:left w:val="nil"/>
              <w:bottom w:val="single" w:sz="8" w:space="0" w:color="auto"/>
              <w:right w:val="single" w:sz="8" w:space="0" w:color="auto"/>
            </w:tcBorders>
            <w:shd w:val="clear" w:color="000000" w:fill="404040"/>
            <w:hideMark/>
          </w:tcPr>
          <w:p w14:paraId="612D0ADC" w14:textId="77777777" w:rsidR="006174BB" w:rsidRPr="00CE6BED" w:rsidRDefault="006174BB" w:rsidP="00CE6BED">
            <w:pPr>
              <w:pStyle w:val="TableHeading"/>
              <w:rPr>
                <w:b w:val="0"/>
                <w:color w:val="FFFFFF" w:themeColor="background1"/>
              </w:rPr>
            </w:pPr>
            <w:r w:rsidRPr="00CE6BED">
              <w:rPr>
                <w:color w:val="FFFFFF" w:themeColor="background1"/>
              </w:rPr>
              <w:t>($million)</w:t>
            </w:r>
          </w:p>
        </w:tc>
        <w:tc>
          <w:tcPr>
            <w:tcW w:w="1162" w:type="dxa"/>
            <w:tcBorders>
              <w:top w:val="nil"/>
              <w:left w:val="nil"/>
              <w:bottom w:val="single" w:sz="8" w:space="0" w:color="auto"/>
              <w:right w:val="single" w:sz="8" w:space="0" w:color="auto"/>
            </w:tcBorders>
            <w:shd w:val="clear" w:color="000000" w:fill="404040"/>
            <w:hideMark/>
          </w:tcPr>
          <w:p w14:paraId="180676C3" w14:textId="77777777" w:rsidR="006174BB" w:rsidRPr="00CE6BED" w:rsidRDefault="006174BB" w:rsidP="00CE6BED">
            <w:pPr>
              <w:pStyle w:val="TableHeading"/>
              <w:rPr>
                <w:b w:val="0"/>
                <w:color w:val="FFFFFF" w:themeColor="background1"/>
              </w:rPr>
            </w:pPr>
            <w:r w:rsidRPr="00CE6BED">
              <w:rPr>
                <w:color w:val="FFFFFF" w:themeColor="background1"/>
              </w:rPr>
              <w:t>($million)</w:t>
            </w:r>
          </w:p>
        </w:tc>
        <w:tc>
          <w:tcPr>
            <w:tcW w:w="1162" w:type="dxa"/>
            <w:tcBorders>
              <w:top w:val="nil"/>
              <w:left w:val="nil"/>
              <w:bottom w:val="single" w:sz="8" w:space="0" w:color="auto"/>
              <w:right w:val="single" w:sz="8" w:space="0" w:color="auto"/>
            </w:tcBorders>
            <w:shd w:val="clear" w:color="000000" w:fill="404040"/>
            <w:hideMark/>
          </w:tcPr>
          <w:p w14:paraId="4B06CC57" w14:textId="77777777" w:rsidR="006174BB" w:rsidRPr="00CE6BED" w:rsidRDefault="006174BB" w:rsidP="00CE6BED">
            <w:pPr>
              <w:pStyle w:val="TableHeading"/>
              <w:rPr>
                <w:b w:val="0"/>
                <w:color w:val="FFFFFF" w:themeColor="background1"/>
              </w:rPr>
            </w:pPr>
            <w:r w:rsidRPr="00CE6BED">
              <w:rPr>
                <w:color w:val="FFFFFF" w:themeColor="background1"/>
              </w:rPr>
              <w:t>($million)</w:t>
            </w:r>
          </w:p>
        </w:tc>
        <w:tc>
          <w:tcPr>
            <w:tcW w:w="1163" w:type="dxa"/>
            <w:tcBorders>
              <w:top w:val="nil"/>
              <w:left w:val="nil"/>
              <w:bottom w:val="single" w:sz="8" w:space="0" w:color="auto"/>
              <w:right w:val="single" w:sz="8" w:space="0" w:color="auto"/>
            </w:tcBorders>
            <w:shd w:val="clear" w:color="000000" w:fill="404040"/>
            <w:hideMark/>
          </w:tcPr>
          <w:p w14:paraId="5ED9F39B" w14:textId="77777777" w:rsidR="006174BB" w:rsidRPr="00CE6BED" w:rsidRDefault="006174BB" w:rsidP="00CE6BED">
            <w:pPr>
              <w:pStyle w:val="TableHeading"/>
              <w:rPr>
                <w:b w:val="0"/>
                <w:color w:val="FFFFFF" w:themeColor="background1"/>
              </w:rPr>
            </w:pPr>
            <w:r w:rsidRPr="00CE6BED">
              <w:rPr>
                <w:color w:val="FFFFFF" w:themeColor="background1"/>
              </w:rPr>
              <w:t>($million)</w:t>
            </w:r>
          </w:p>
        </w:tc>
      </w:tr>
      <w:tr w:rsidR="00780026" w:rsidRPr="005A5B87" w14:paraId="341A43D5" w14:textId="77777777" w:rsidTr="00593B36">
        <w:trPr>
          <w:trHeight w:val="315"/>
          <w:tblHeader/>
        </w:trPr>
        <w:tc>
          <w:tcPr>
            <w:tcW w:w="964" w:type="dxa"/>
            <w:tcBorders>
              <w:top w:val="nil"/>
              <w:left w:val="single" w:sz="8" w:space="0" w:color="auto"/>
              <w:bottom w:val="single" w:sz="8" w:space="0" w:color="auto"/>
              <w:right w:val="single" w:sz="8" w:space="0" w:color="auto"/>
            </w:tcBorders>
            <w:shd w:val="clear" w:color="auto" w:fill="auto"/>
            <w:hideMark/>
          </w:tcPr>
          <w:p w14:paraId="012DECA9" w14:textId="77777777" w:rsidR="00780026" w:rsidRPr="00687A04" w:rsidRDefault="00780026" w:rsidP="00780026">
            <w:pPr>
              <w:spacing w:after="0" w:line="240" w:lineRule="auto"/>
              <w:rPr>
                <w:rFonts w:cs="Arial"/>
                <w:color w:val="000000"/>
                <w:szCs w:val="20"/>
              </w:rPr>
            </w:pPr>
            <w:r w:rsidRPr="00687A04">
              <w:rPr>
                <w:rFonts w:cs="Arial"/>
                <w:color w:val="000000"/>
                <w:szCs w:val="20"/>
              </w:rPr>
              <w:t>15(1)(a)</w:t>
            </w:r>
          </w:p>
        </w:tc>
        <w:tc>
          <w:tcPr>
            <w:tcW w:w="2287" w:type="dxa"/>
            <w:tcBorders>
              <w:top w:val="nil"/>
              <w:left w:val="nil"/>
              <w:bottom w:val="single" w:sz="8" w:space="0" w:color="auto"/>
              <w:right w:val="single" w:sz="8" w:space="0" w:color="auto"/>
            </w:tcBorders>
            <w:shd w:val="clear" w:color="auto" w:fill="auto"/>
            <w:hideMark/>
          </w:tcPr>
          <w:p w14:paraId="59DCC8CA" w14:textId="77777777" w:rsidR="00780026" w:rsidRPr="00687A04" w:rsidRDefault="00780026" w:rsidP="00780026">
            <w:pPr>
              <w:spacing w:after="0" w:line="240" w:lineRule="auto"/>
              <w:rPr>
                <w:rFonts w:cs="Arial"/>
                <w:color w:val="000000"/>
                <w:szCs w:val="20"/>
              </w:rPr>
            </w:pPr>
            <w:r w:rsidRPr="00687A04">
              <w:rPr>
                <w:rFonts w:cs="Arial"/>
                <w:color w:val="000000"/>
                <w:szCs w:val="20"/>
              </w:rPr>
              <w:t>ACMA expenses</w:t>
            </w:r>
          </w:p>
        </w:tc>
        <w:tc>
          <w:tcPr>
            <w:tcW w:w="1162" w:type="dxa"/>
            <w:tcBorders>
              <w:top w:val="nil"/>
              <w:left w:val="nil"/>
              <w:bottom w:val="single" w:sz="8" w:space="0" w:color="auto"/>
              <w:right w:val="single" w:sz="8" w:space="0" w:color="auto"/>
            </w:tcBorders>
            <w:shd w:val="clear" w:color="auto" w:fill="auto"/>
            <w:hideMark/>
          </w:tcPr>
          <w:p w14:paraId="060FCC79" w14:textId="77777777" w:rsidR="00780026" w:rsidRPr="00687A04" w:rsidRDefault="00780026" w:rsidP="00780026">
            <w:pPr>
              <w:spacing w:after="0" w:line="240" w:lineRule="auto"/>
              <w:jc w:val="right"/>
              <w:rPr>
                <w:rFonts w:cs="Arial"/>
                <w:color w:val="000000"/>
                <w:szCs w:val="20"/>
              </w:rPr>
            </w:pPr>
            <w:r w:rsidRPr="001F42C9">
              <w:t>19.654</w:t>
            </w:r>
          </w:p>
        </w:tc>
        <w:tc>
          <w:tcPr>
            <w:tcW w:w="1162" w:type="dxa"/>
            <w:tcBorders>
              <w:top w:val="nil"/>
              <w:left w:val="nil"/>
              <w:bottom w:val="single" w:sz="8" w:space="0" w:color="auto"/>
              <w:right w:val="single" w:sz="8" w:space="0" w:color="auto"/>
            </w:tcBorders>
            <w:shd w:val="clear" w:color="auto" w:fill="auto"/>
            <w:hideMark/>
          </w:tcPr>
          <w:p w14:paraId="2723E9CB" w14:textId="77777777" w:rsidR="00780026" w:rsidRPr="00687A04" w:rsidRDefault="00780026" w:rsidP="00780026">
            <w:pPr>
              <w:spacing w:after="0" w:line="240" w:lineRule="auto"/>
              <w:jc w:val="right"/>
              <w:rPr>
                <w:rFonts w:cs="Arial"/>
                <w:color w:val="000000"/>
                <w:szCs w:val="20"/>
              </w:rPr>
            </w:pPr>
            <w:r w:rsidRPr="001F42C9">
              <w:t>17.572</w:t>
            </w:r>
          </w:p>
        </w:tc>
        <w:tc>
          <w:tcPr>
            <w:tcW w:w="1162" w:type="dxa"/>
            <w:tcBorders>
              <w:top w:val="nil"/>
              <w:left w:val="nil"/>
              <w:bottom w:val="single" w:sz="8" w:space="0" w:color="auto"/>
              <w:right w:val="single" w:sz="8" w:space="0" w:color="auto"/>
            </w:tcBorders>
            <w:shd w:val="clear" w:color="auto" w:fill="auto"/>
            <w:hideMark/>
          </w:tcPr>
          <w:p w14:paraId="27CCCE30" w14:textId="77777777" w:rsidR="00780026" w:rsidRPr="00687A04" w:rsidRDefault="00780026" w:rsidP="00780026">
            <w:pPr>
              <w:spacing w:after="0" w:line="240" w:lineRule="auto"/>
              <w:jc w:val="right"/>
              <w:rPr>
                <w:rFonts w:cs="Arial"/>
                <w:color w:val="000000"/>
                <w:szCs w:val="20"/>
              </w:rPr>
            </w:pPr>
            <w:r w:rsidRPr="001F42C9">
              <w:t>17.572</w:t>
            </w:r>
          </w:p>
        </w:tc>
        <w:tc>
          <w:tcPr>
            <w:tcW w:w="1162" w:type="dxa"/>
            <w:tcBorders>
              <w:top w:val="nil"/>
              <w:left w:val="nil"/>
              <w:bottom w:val="single" w:sz="8" w:space="0" w:color="auto"/>
              <w:right w:val="single" w:sz="8" w:space="0" w:color="auto"/>
            </w:tcBorders>
            <w:shd w:val="clear" w:color="auto" w:fill="auto"/>
            <w:hideMark/>
          </w:tcPr>
          <w:p w14:paraId="770EDF2D" w14:textId="77777777" w:rsidR="00780026" w:rsidRPr="00687A04" w:rsidRDefault="00780026" w:rsidP="00780026">
            <w:pPr>
              <w:spacing w:after="0" w:line="240" w:lineRule="auto"/>
              <w:jc w:val="right"/>
              <w:rPr>
                <w:rFonts w:cs="Arial"/>
                <w:color w:val="000000"/>
                <w:szCs w:val="20"/>
              </w:rPr>
            </w:pPr>
            <w:r w:rsidRPr="001F42C9">
              <w:t>17.572</w:t>
            </w:r>
          </w:p>
        </w:tc>
        <w:tc>
          <w:tcPr>
            <w:tcW w:w="1163" w:type="dxa"/>
            <w:tcBorders>
              <w:top w:val="nil"/>
              <w:left w:val="nil"/>
              <w:bottom w:val="single" w:sz="8" w:space="0" w:color="auto"/>
              <w:right w:val="single" w:sz="8" w:space="0" w:color="auto"/>
            </w:tcBorders>
            <w:shd w:val="clear" w:color="auto" w:fill="auto"/>
            <w:hideMark/>
          </w:tcPr>
          <w:p w14:paraId="1094B617" w14:textId="77777777" w:rsidR="00780026" w:rsidRPr="00687A04" w:rsidRDefault="00780026" w:rsidP="00780026">
            <w:pPr>
              <w:spacing w:after="0" w:line="240" w:lineRule="auto"/>
              <w:jc w:val="right"/>
              <w:rPr>
                <w:rFonts w:cs="Arial"/>
                <w:color w:val="000000"/>
                <w:szCs w:val="20"/>
              </w:rPr>
            </w:pPr>
            <w:r w:rsidRPr="001F42C9">
              <w:t>17.572</w:t>
            </w:r>
          </w:p>
        </w:tc>
      </w:tr>
      <w:tr w:rsidR="00780026" w:rsidRPr="005A5B87" w14:paraId="043E73CB" w14:textId="77777777" w:rsidTr="00593B36">
        <w:trPr>
          <w:trHeight w:val="315"/>
          <w:tblHeader/>
        </w:trPr>
        <w:tc>
          <w:tcPr>
            <w:tcW w:w="964" w:type="dxa"/>
            <w:tcBorders>
              <w:top w:val="nil"/>
              <w:left w:val="single" w:sz="8" w:space="0" w:color="auto"/>
              <w:bottom w:val="single" w:sz="8" w:space="0" w:color="auto"/>
              <w:right w:val="single" w:sz="8" w:space="0" w:color="auto"/>
            </w:tcBorders>
            <w:shd w:val="clear" w:color="auto" w:fill="auto"/>
            <w:hideMark/>
          </w:tcPr>
          <w:p w14:paraId="6EA9140C" w14:textId="77777777" w:rsidR="00780026" w:rsidRPr="00687A04" w:rsidRDefault="00780026" w:rsidP="00780026">
            <w:pPr>
              <w:spacing w:after="0" w:line="240" w:lineRule="auto"/>
              <w:rPr>
                <w:rFonts w:cs="Arial"/>
                <w:color w:val="000000"/>
                <w:szCs w:val="20"/>
              </w:rPr>
            </w:pPr>
            <w:r w:rsidRPr="00687A04">
              <w:rPr>
                <w:rFonts w:cs="Arial"/>
                <w:color w:val="000000"/>
                <w:szCs w:val="20"/>
              </w:rPr>
              <w:t>15(1)(b)</w:t>
            </w:r>
          </w:p>
        </w:tc>
        <w:tc>
          <w:tcPr>
            <w:tcW w:w="2287" w:type="dxa"/>
            <w:tcBorders>
              <w:top w:val="nil"/>
              <w:left w:val="nil"/>
              <w:bottom w:val="single" w:sz="8" w:space="0" w:color="auto"/>
              <w:right w:val="single" w:sz="8" w:space="0" w:color="auto"/>
            </w:tcBorders>
            <w:shd w:val="clear" w:color="auto" w:fill="auto"/>
            <w:hideMark/>
          </w:tcPr>
          <w:p w14:paraId="6773101C" w14:textId="77777777" w:rsidR="00780026" w:rsidRPr="00687A04" w:rsidRDefault="00780026" w:rsidP="00780026">
            <w:pPr>
              <w:spacing w:after="0" w:line="240" w:lineRule="auto"/>
              <w:rPr>
                <w:rFonts w:cs="Arial"/>
                <w:color w:val="000000"/>
                <w:szCs w:val="20"/>
              </w:rPr>
            </w:pPr>
            <w:r w:rsidRPr="00687A04">
              <w:rPr>
                <w:rFonts w:cs="Arial"/>
                <w:color w:val="000000"/>
                <w:szCs w:val="20"/>
              </w:rPr>
              <w:t xml:space="preserve">ACCC expenses </w:t>
            </w:r>
          </w:p>
        </w:tc>
        <w:tc>
          <w:tcPr>
            <w:tcW w:w="1162" w:type="dxa"/>
            <w:tcBorders>
              <w:top w:val="nil"/>
              <w:left w:val="nil"/>
              <w:bottom w:val="single" w:sz="8" w:space="0" w:color="auto"/>
              <w:right w:val="single" w:sz="8" w:space="0" w:color="auto"/>
            </w:tcBorders>
            <w:shd w:val="clear" w:color="auto" w:fill="auto"/>
            <w:hideMark/>
          </w:tcPr>
          <w:p w14:paraId="443DF6D6" w14:textId="77777777" w:rsidR="00780026" w:rsidRPr="00687A04" w:rsidRDefault="00780026" w:rsidP="00780026">
            <w:pPr>
              <w:spacing w:after="0" w:line="240" w:lineRule="auto"/>
              <w:jc w:val="right"/>
              <w:rPr>
                <w:rFonts w:cs="Arial"/>
                <w:color w:val="000000"/>
                <w:szCs w:val="20"/>
              </w:rPr>
            </w:pPr>
            <w:r w:rsidRPr="001F42C9">
              <w:t>14.953</w:t>
            </w:r>
          </w:p>
        </w:tc>
        <w:tc>
          <w:tcPr>
            <w:tcW w:w="1162" w:type="dxa"/>
            <w:tcBorders>
              <w:top w:val="nil"/>
              <w:left w:val="nil"/>
              <w:bottom w:val="single" w:sz="8" w:space="0" w:color="auto"/>
              <w:right w:val="single" w:sz="8" w:space="0" w:color="auto"/>
            </w:tcBorders>
            <w:shd w:val="clear" w:color="auto" w:fill="auto"/>
            <w:hideMark/>
          </w:tcPr>
          <w:p w14:paraId="18334277" w14:textId="77777777" w:rsidR="00780026" w:rsidRPr="00687A04" w:rsidRDefault="00780026" w:rsidP="00780026">
            <w:pPr>
              <w:spacing w:after="0" w:line="240" w:lineRule="auto"/>
              <w:jc w:val="right"/>
              <w:rPr>
                <w:rFonts w:cs="Arial"/>
                <w:color w:val="000000"/>
                <w:szCs w:val="20"/>
              </w:rPr>
            </w:pPr>
            <w:r w:rsidRPr="001F42C9">
              <w:t>13.798</w:t>
            </w:r>
          </w:p>
        </w:tc>
        <w:tc>
          <w:tcPr>
            <w:tcW w:w="1162" w:type="dxa"/>
            <w:tcBorders>
              <w:top w:val="nil"/>
              <w:left w:val="nil"/>
              <w:bottom w:val="single" w:sz="8" w:space="0" w:color="auto"/>
              <w:right w:val="single" w:sz="8" w:space="0" w:color="auto"/>
            </w:tcBorders>
            <w:shd w:val="clear" w:color="auto" w:fill="auto"/>
            <w:hideMark/>
          </w:tcPr>
          <w:p w14:paraId="01899717" w14:textId="77777777" w:rsidR="00780026" w:rsidRPr="00687A04" w:rsidRDefault="00780026" w:rsidP="00780026">
            <w:pPr>
              <w:spacing w:after="0" w:line="240" w:lineRule="auto"/>
              <w:jc w:val="right"/>
              <w:rPr>
                <w:rFonts w:cs="Arial"/>
                <w:color w:val="000000"/>
                <w:szCs w:val="20"/>
              </w:rPr>
            </w:pPr>
            <w:r w:rsidRPr="001F42C9">
              <w:t>13.798</w:t>
            </w:r>
          </w:p>
        </w:tc>
        <w:tc>
          <w:tcPr>
            <w:tcW w:w="1162" w:type="dxa"/>
            <w:tcBorders>
              <w:top w:val="nil"/>
              <w:left w:val="nil"/>
              <w:bottom w:val="single" w:sz="8" w:space="0" w:color="auto"/>
              <w:right w:val="single" w:sz="8" w:space="0" w:color="auto"/>
            </w:tcBorders>
            <w:shd w:val="clear" w:color="auto" w:fill="auto"/>
            <w:hideMark/>
          </w:tcPr>
          <w:p w14:paraId="16760841" w14:textId="77777777" w:rsidR="00780026" w:rsidRPr="00687A04" w:rsidRDefault="00780026" w:rsidP="00780026">
            <w:pPr>
              <w:spacing w:after="0" w:line="240" w:lineRule="auto"/>
              <w:jc w:val="right"/>
              <w:rPr>
                <w:rFonts w:cs="Arial"/>
                <w:color w:val="000000"/>
                <w:szCs w:val="20"/>
              </w:rPr>
            </w:pPr>
            <w:r w:rsidRPr="001F42C9">
              <w:t>13.798</w:t>
            </w:r>
          </w:p>
        </w:tc>
        <w:tc>
          <w:tcPr>
            <w:tcW w:w="1163" w:type="dxa"/>
            <w:tcBorders>
              <w:top w:val="nil"/>
              <w:left w:val="nil"/>
              <w:bottom w:val="single" w:sz="8" w:space="0" w:color="auto"/>
              <w:right w:val="single" w:sz="8" w:space="0" w:color="auto"/>
            </w:tcBorders>
            <w:shd w:val="clear" w:color="auto" w:fill="auto"/>
            <w:hideMark/>
          </w:tcPr>
          <w:p w14:paraId="49275040" w14:textId="77777777" w:rsidR="00780026" w:rsidRPr="00687A04" w:rsidRDefault="00780026" w:rsidP="00780026">
            <w:pPr>
              <w:spacing w:after="0" w:line="240" w:lineRule="auto"/>
              <w:jc w:val="right"/>
              <w:rPr>
                <w:rFonts w:cs="Arial"/>
                <w:color w:val="000000"/>
                <w:szCs w:val="20"/>
              </w:rPr>
            </w:pPr>
            <w:r w:rsidRPr="001F42C9">
              <w:t>13.798</w:t>
            </w:r>
          </w:p>
        </w:tc>
      </w:tr>
      <w:tr w:rsidR="00780026" w:rsidRPr="005A5B87" w14:paraId="7EBF32F5" w14:textId="77777777" w:rsidTr="00593B36">
        <w:trPr>
          <w:trHeight w:val="315"/>
          <w:tblHeader/>
        </w:trPr>
        <w:tc>
          <w:tcPr>
            <w:tcW w:w="964" w:type="dxa"/>
            <w:tcBorders>
              <w:top w:val="nil"/>
              <w:left w:val="single" w:sz="8" w:space="0" w:color="auto"/>
              <w:bottom w:val="single" w:sz="8" w:space="0" w:color="auto"/>
              <w:right w:val="single" w:sz="8" w:space="0" w:color="auto"/>
            </w:tcBorders>
            <w:shd w:val="clear" w:color="auto" w:fill="auto"/>
            <w:hideMark/>
          </w:tcPr>
          <w:p w14:paraId="6AECE7F1" w14:textId="77777777" w:rsidR="00780026" w:rsidRPr="00687A04" w:rsidRDefault="00780026" w:rsidP="00780026">
            <w:pPr>
              <w:spacing w:after="0" w:line="240" w:lineRule="auto"/>
              <w:rPr>
                <w:rFonts w:cs="Arial"/>
                <w:color w:val="000000"/>
                <w:szCs w:val="20"/>
              </w:rPr>
            </w:pPr>
            <w:r w:rsidRPr="00687A04">
              <w:rPr>
                <w:rFonts w:cs="Arial"/>
                <w:color w:val="000000"/>
                <w:szCs w:val="20"/>
              </w:rPr>
              <w:t>15(1)(c)</w:t>
            </w:r>
          </w:p>
        </w:tc>
        <w:tc>
          <w:tcPr>
            <w:tcW w:w="2287" w:type="dxa"/>
            <w:tcBorders>
              <w:top w:val="nil"/>
              <w:left w:val="nil"/>
              <w:bottom w:val="single" w:sz="8" w:space="0" w:color="auto"/>
              <w:right w:val="single" w:sz="8" w:space="0" w:color="auto"/>
            </w:tcBorders>
            <w:shd w:val="clear" w:color="auto" w:fill="auto"/>
            <w:hideMark/>
          </w:tcPr>
          <w:p w14:paraId="1D8B0768" w14:textId="77777777" w:rsidR="00780026" w:rsidRPr="00687A04" w:rsidRDefault="00780026" w:rsidP="00780026">
            <w:pPr>
              <w:spacing w:after="0" w:line="240" w:lineRule="auto"/>
              <w:rPr>
                <w:rFonts w:cs="Arial"/>
                <w:color w:val="000000"/>
                <w:szCs w:val="20"/>
              </w:rPr>
            </w:pPr>
            <w:r w:rsidRPr="00687A04">
              <w:rPr>
                <w:rFonts w:cs="Arial"/>
                <w:color w:val="000000"/>
                <w:szCs w:val="20"/>
              </w:rPr>
              <w:t>ITU contribution</w:t>
            </w:r>
          </w:p>
        </w:tc>
        <w:tc>
          <w:tcPr>
            <w:tcW w:w="1162" w:type="dxa"/>
            <w:tcBorders>
              <w:top w:val="nil"/>
              <w:left w:val="nil"/>
              <w:bottom w:val="single" w:sz="8" w:space="0" w:color="auto"/>
              <w:right w:val="single" w:sz="8" w:space="0" w:color="auto"/>
            </w:tcBorders>
            <w:shd w:val="clear" w:color="auto" w:fill="auto"/>
            <w:hideMark/>
          </w:tcPr>
          <w:p w14:paraId="79A7E82F" w14:textId="77777777" w:rsidR="00780026" w:rsidRPr="00E94F6D" w:rsidRDefault="00780026" w:rsidP="00780026">
            <w:pPr>
              <w:spacing w:after="0" w:line="240" w:lineRule="auto"/>
              <w:jc w:val="right"/>
              <w:rPr>
                <w:rFonts w:cs="Arial"/>
                <w:color w:val="000000"/>
                <w:szCs w:val="20"/>
              </w:rPr>
            </w:pPr>
            <w:r w:rsidRPr="001F42C9">
              <w:t>1.600</w:t>
            </w:r>
          </w:p>
        </w:tc>
        <w:tc>
          <w:tcPr>
            <w:tcW w:w="1162" w:type="dxa"/>
            <w:tcBorders>
              <w:top w:val="nil"/>
              <w:left w:val="nil"/>
              <w:bottom w:val="single" w:sz="8" w:space="0" w:color="auto"/>
              <w:right w:val="single" w:sz="8" w:space="0" w:color="auto"/>
            </w:tcBorders>
            <w:shd w:val="clear" w:color="auto" w:fill="auto"/>
            <w:hideMark/>
          </w:tcPr>
          <w:p w14:paraId="39835740" w14:textId="77777777" w:rsidR="00780026" w:rsidRPr="00E94F6D" w:rsidRDefault="00780026" w:rsidP="00780026">
            <w:pPr>
              <w:spacing w:after="0" w:line="240" w:lineRule="auto"/>
              <w:jc w:val="right"/>
              <w:rPr>
                <w:rFonts w:cs="Arial"/>
                <w:color w:val="000000"/>
                <w:szCs w:val="20"/>
              </w:rPr>
            </w:pPr>
            <w:r w:rsidRPr="001F42C9">
              <w:t>1.731</w:t>
            </w:r>
          </w:p>
        </w:tc>
        <w:tc>
          <w:tcPr>
            <w:tcW w:w="1162" w:type="dxa"/>
            <w:tcBorders>
              <w:top w:val="nil"/>
              <w:left w:val="nil"/>
              <w:bottom w:val="single" w:sz="8" w:space="0" w:color="auto"/>
              <w:right w:val="single" w:sz="8" w:space="0" w:color="auto"/>
            </w:tcBorders>
            <w:shd w:val="clear" w:color="auto" w:fill="auto"/>
            <w:hideMark/>
          </w:tcPr>
          <w:p w14:paraId="7EB6F59B" w14:textId="77777777" w:rsidR="00780026" w:rsidRPr="00E94F6D" w:rsidRDefault="00780026" w:rsidP="00780026">
            <w:pPr>
              <w:spacing w:after="0" w:line="240" w:lineRule="auto"/>
              <w:jc w:val="right"/>
              <w:rPr>
                <w:rFonts w:cs="Arial"/>
                <w:color w:val="000000"/>
                <w:szCs w:val="20"/>
              </w:rPr>
            </w:pPr>
            <w:r w:rsidRPr="001F42C9">
              <w:t>1.600</w:t>
            </w:r>
          </w:p>
        </w:tc>
        <w:tc>
          <w:tcPr>
            <w:tcW w:w="1162" w:type="dxa"/>
            <w:tcBorders>
              <w:top w:val="nil"/>
              <w:left w:val="nil"/>
              <w:bottom w:val="single" w:sz="8" w:space="0" w:color="auto"/>
              <w:right w:val="single" w:sz="8" w:space="0" w:color="auto"/>
            </w:tcBorders>
            <w:shd w:val="clear" w:color="auto" w:fill="auto"/>
            <w:hideMark/>
          </w:tcPr>
          <w:p w14:paraId="4BF946D3" w14:textId="77777777" w:rsidR="00780026" w:rsidRPr="00E94F6D" w:rsidRDefault="00780026" w:rsidP="00780026">
            <w:pPr>
              <w:spacing w:after="0" w:line="240" w:lineRule="auto"/>
              <w:jc w:val="right"/>
              <w:rPr>
                <w:rFonts w:cs="Arial"/>
                <w:color w:val="000000"/>
                <w:szCs w:val="20"/>
              </w:rPr>
            </w:pPr>
            <w:r w:rsidRPr="001F42C9">
              <w:t>1.600</w:t>
            </w:r>
          </w:p>
        </w:tc>
        <w:tc>
          <w:tcPr>
            <w:tcW w:w="1163" w:type="dxa"/>
            <w:tcBorders>
              <w:top w:val="nil"/>
              <w:left w:val="nil"/>
              <w:bottom w:val="single" w:sz="8" w:space="0" w:color="auto"/>
              <w:right w:val="single" w:sz="8" w:space="0" w:color="auto"/>
            </w:tcBorders>
            <w:shd w:val="clear" w:color="auto" w:fill="auto"/>
            <w:hideMark/>
          </w:tcPr>
          <w:p w14:paraId="351EEEE2" w14:textId="77777777" w:rsidR="00780026" w:rsidRPr="00E94F6D" w:rsidRDefault="00780026" w:rsidP="00780026">
            <w:pPr>
              <w:spacing w:after="0" w:line="240" w:lineRule="auto"/>
              <w:jc w:val="right"/>
              <w:rPr>
                <w:rFonts w:cs="Arial"/>
                <w:color w:val="000000"/>
                <w:szCs w:val="20"/>
              </w:rPr>
            </w:pPr>
            <w:r w:rsidRPr="001F42C9">
              <w:t>1.600</w:t>
            </w:r>
          </w:p>
        </w:tc>
      </w:tr>
      <w:tr w:rsidR="00780026" w:rsidRPr="005A5B87" w14:paraId="52C79940" w14:textId="77777777" w:rsidTr="00593B36">
        <w:trPr>
          <w:trHeight w:val="525"/>
          <w:tblHeader/>
        </w:trPr>
        <w:tc>
          <w:tcPr>
            <w:tcW w:w="964" w:type="dxa"/>
            <w:tcBorders>
              <w:top w:val="nil"/>
              <w:left w:val="single" w:sz="8" w:space="0" w:color="auto"/>
              <w:bottom w:val="single" w:sz="8" w:space="0" w:color="auto"/>
              <w:right w:val="single" w:sz="8" w:space="0" w:color="auto"/>
            </w:tcBorders>
            <w:shd w:val="clear" w:color="auto" w:fill="auto"/>
          </w:tcPr>
          <w:p w14:paraId="0812DF90" w14:textId="77777777" w:rsidR="00780026" w:rsidRPr="00687A04" w:rsidRDefault="00780026" w:rsidP="00780026">
            <w:pPr>
              <w:spacing w:after="0" w:line="240" w:lineRule="auto"/>
              <w:rPr>
                <w:rFonts w:cs="Arial"/>
                <w:color w:val="000000"/>
                <w:szCs w:val="20"/>
              </w:rPr>
            </w:pPr>
            <w:r w:rsidRPr="00687A04">
              <w:rPr>
                <w:rFonts w:cs="Arial"/>
                <w:color w:val="000000"/>
                <w:szCs w:val="20"/>
              </w:rPr>
              <w:t>15(1)(ca)</w:t>
            </w:r>
          </w:p>
        </w:tc>
        <w:tc>
          <w:tcPr>
            <w:tcW w:w="2287" w:type="dxa"/>
            <w:tcBorders>
              <w:top w:val="nil"/>
              <w:left w:val="nil"/>
              <w:bottom w:val="single" w:sz="8" w:space="0" w:color="auto"/>
              <w:right w:val="single" w:sz="8" w:space="0" w:color="auto"/>
            </w:tcBorders>
            <w:shd w:val="clear" w:color="auto" w:fill="auto"/>
          </w:tcPr>
          <w:p w14:paraId="571742D8" w14:textId="77777777" w:rsidR="00780026" w:rsidRPr="00687A04" w:rsidRDefault="00780026" w:rsidP="00780026">
            <w:pPr>
              <w:spacing w:after="0" w:line="240" w:lineRule="auto"/>
              <w:rPr>
                <w:rFonts w:cs="Arial"/>
                <w:color w:val="000000"/>
                <w:szCs w:val="20"/>
              </w:rPr>
            </w:pPr>
            <w:r w:rsidRPr="00687A04">
              <w:rPr>
                <w:rFonts w:cs="Arial"/>
                <w:color w:val="000000"/>
                <w:szCs w:val="20"/>
              </w:rPr>
              <w:t>Development of consumer protection related industry codes</w:t>
            </w:r>
          </w:p>
        </w:tc>
        <w:tc>
          <w:tcPr>
            <w:tcW w:w="1162" w:type="dxa"/>
            <w:tcBorders>
              <w:top w:val="nil"/>
              <w:left w:val="nil"/>
              <w:bottom w:val="single" w:sz="8" w:space="0" w:color="auto"/>
              <w:right w:val="single" w:sz="8" w:space="0" w:color="auto"/>
            </w:tcBorders>
            <w:shd w:val="clear" w:color="auto" w:fill="auto"/>
          </w:tcPr>
          <w:p w14:paraId="326C46C4" w14:textId="77777777" w:rsidR="00780026" w:rsidRPr="006C513A" w:rsidRDefault="005741DB" w:rsidP="005741DB">
            <w:pPr>
              <w:spacing w:after="0" w:line="240" w:lineRule="auto"/>
              <w:jc w:val="right"/>
              <w:rPr>
                <w:rFonts w:cs="Arial"/>
                <w:color w:val="000000"/>
                <w:szCs w:val="20"/>
              </w:rPr>
            </w:pPr>
            <w:r>
              <w:rPr>
                <w:rFonts w:cs="Arial"/>
                <w:color w:val="000000"/>
                <w:szCs w:val="20"/>
              </w:rPr>
              <w:t>0.300</w:t>
            </w:r>
          </w:p>
        </w:tc>
        <w:tc>
          <w:tcPr>
            <w:tcW w:w="1162" w:type="dxa"/>
            <w:tcBorders>
              <w:top w:val="nil"/>
              <w:left w:val="nil"/>
              <w:bottom w:val="single" w:sz="8" w:space="0" w:color="auto"/>
              <w:right w:val="single" w:sz="8" w:space="0" w:color="auto"/>
            </w:tcBorders>
            <w:shd w:val="clear" w:color="auto" w:fill="auto"/>
          </w:tcPr>
          <w:p w14:paraId="7EE38F10" w14:textId="77777777" w:rsidR="00780026" w:rsidRPr="006C513A" w:rsidRDefault="005741DB" w:rsidP="005741DB">
            <w:pPr>
              <w:spacing w:after="0" w:line="240" w:lineRule="auto"/>
              <w:jc w:val="right"/>
              <w:rPr>
                <w:rFonts w:cs="Arial"/>
                <w:color w:val="000000"/>
                <w:szCs w:val="20"/>
              </w:rPr>
            </w:pPr>
            <w:r>
              <w:rPr>
                <w:rFonts w:cs="Arial"/>
                <w:color w:val="000000"/>
                <w:szCs w:val="20"/>
              </w:rPr>
              <w:t>0.300</w:t>
            </w:r>
          </w:p>
        </w:tc>
        <w:tc>
          <w:tcPr>
            <w:tcW w:w="1162" w:type="dxa"/>
            <w:tcBorders>
              <w:top w:val="nil"/>
              <w:left w:val="nil"/>
              <w:bottom w:val="single" w:sz="8" w:space="0" w:color="auto"/>
              <w:right w:val="single" w:sz="8" w:space="0" w:color="auto"/>
            </w:tcBorders>
            <w:shd w:val="clear" w:color="auto" w:fill="auto"/>
          </w:tcPr>
          <w:p w14:paraId="7AF44C0D" w14:textId="77777777" w:rsidR="00780026" w:rsidRPr="006C513A" w:rsidRDefault="005741DB" w:rsidP="005741DB">
            <w:pPr>
              <w:spacing w:after="0" w:line="240" w:lineRule="auto"/>
              <w:jc w:val="right"/>
              <w:rPr>
                <w:rFonts w:cs="Arial"/>
                <w:color w:val="000000"/>
                <w:szCs w:val="20"/>
              </w:rPr>
            </w:pPr>
            <w:r>
              <w:rPr>
                <w:rFonts w:cs="Arial"/>
                <w:color w:val="000000"/>
                <w:szCs w:val="20"/>
              </w:rPr>
              <w:t>0.300</w:t>
            </w:r>
          </w:p>
        </w:tc>
        <w:tc>
          <w:tcPr>
            <w:tcW w:w="1162" w:type="dxa"/>
            <w:tcBorders>
              <w:top w:val="nil"/>
              <w:left w:val="nil"/>
              <w:bottom w:val="single" w:sz="8" w:space="0" w:color="auto"/>
              <w:right w:val="single" w:sz="8" w:space="0" w:color="auto"/>
            </w:tcBorders>
            <w:shd w:val="clear" w:color="auto" w:fill="auto"/>
          </w:tcPr>
          <w:p w14:paraId="091676A7" w14:textId="77777777" w:rsidR="00780026" w:rsidRPr="006C513A" w:rsidRDefault="005741DB" w:rsidP="005741DB">
            <w:pPr>
              <w:spacing w:after="0" w:line="240" w:lineRule="auto"/>
              <w:jc w:val="right"/>
              <w:rPr>
                <w:rFonts w:cs="Arial"/>
                <w:color w:val="000000"/>
                <w:szCs w:val="20"/>
              </w:rPr>
            </w:pPr>
            <w:r>
              <w:rPr>
                <w:rFonts w:cs="Arial"/>
                <w:color w:val="000000"/>
                <w:szCs w:val="20"/>
              </w:rPr>
              <w:t>0.300</w:t>
            </w:r>
          </w:p>
        </w:tc>
        <w:tc>
          <w:tcPr>
            <w:tcW w:w="1163" w:type="dxa"/>
            <w:tcBorders>
              <w:top w:val="nil"/>
              <w:left w:val="nil"/>
              <w:bottom w:val="single" w:sz="8" w:space="0" w:color="auto"/>
              <w:right w:val="single" w:sz="8" w:space="0" w:color="auto"/>
            </w:tcBorders>
            <w:shd w:val="clear" w:color="auto" w:fill="auto"/>
          </w:tcPr>
          <w:p w14:paraId="3DD295BF" w14:textId="77777777" w:rsidR="00780026" w:rsidRPr="006C513A" w:rsidRDefault="005741DB" w:rsidP="005741DB">
            <w:pPr>
              <w:spacing w:after="0" w:line="240" w:lineRule="auto"/>
              <w:jc w:val="right"/>
              <w:rPr>
                <w:rFonts w:cs="Arial"/>
                <w:color w:val="000000"/>
                <w:szCs w:val="20"/>
              </w:rPr>
            </w:pPr>
            <w:r>
              <w:rPr>
                <w:rFonts w:cs="Arial"/>
                <w:color w:val="000000"/>
                <w:szCs w:val="20"/>
              </w:rPr>
              <w:t>0.300</w:t>
            </w:r>
          </w:p>
        </w:tc>
      </w:tr>
      <w:tr w:rsidR="005741DB" w:rsidRPr="005A5B87" w14:paraId="529B5FB2" w14:textId="77777777" w:rsidTr="00593B36">
        <w:trPr>
          <w:trHeight w:val="525"/>
          <w:tblHeader/>
        </w:trPr>
        <w:tc>
          <w:tcPr>
            <w:tcW w:w="964" w:type="dxa"/>
            <w:tcBorders>
              <w:top w:val="nil"/>
              <w:left w:val="single" w:sz="8" w:space="0" w:color="auto"/>
              <w:bottom w:val="single" w:sz="8" w:space="0" w:color="auto"/>
              <w:right w:val="single" w:sz="8" w:space="0" w:color="auto"/>
            </w:tcBorders>
            <w:shd w:val="clear" w:color="auto" w:fill="auto"/>
            <w:hideMark/>
          </w:tcPr>
          <w:p w14:paraId="4E4F166C" w14:textId="77777777" w:rsidR="005741DB" w:rsidRPr="00687A04" w:rsidRDefault="005741DB" w:rsidP="005741DB">
            <w:pPr>
              <w:spacing w:after="0" w:line="240" w:lineRule="auto"/>
              <w:rPr>
                <w:rFonts w:cs="Arial"/>
                <w:color w:val="000000"/>
                <w:szCs w:val="20"/>
              </w:rPr>
            </w:pPr>
            <w:r w:rsidRPr="00687A04">
              <w:rPr>
                <w:rFonts w:cs="Arial"/>
                <w:color w:val="000000"/>
                <w:szCs w:val="20"/>
              </w:rPr>
              <w:t>15(1)(d)</w:t>
            </w:r>
          </w:p>
        </w:tc>
        <w:tc>
          <w:tcPr>
            <w:tcW w:w="2287" w:type="dxa"/>
            <w:tcBorders>
              <w:top w:val="nil"/>
              <w:left w:val="nil"/>
              <w:bottom w:val="single" w:sz="8" w:space="0" w:color="auto"/>
              <w:right w:val="single" w:sz="8" w:space="0" w:color="auto"/>
            </w:tcBorders>
            <w:shd w:val="clear" w:color="auto" w:fill="auto"/>
            <w:hideMark/>
          </w:tcPr>
          <w:p w14:paraId="4B1C15D5" w14:textId="6B4A8566" w:rsidR="005741DB" w:rsidRPr="00687A04" w:rsidRDefault="005741DB" w:rsidP="005741DB">
            <w:pPr>
              <w:spacing w:after="0" w:line="240" w:lineRule="auto"/>
              <w:rPr>
                <w:rFonts w:cs="Arial"/>
                <w:color w:val="000000"/>
                <w:szCs w:val="20"/>
              </w:rPr>
            </w:pPr>
            <w:r w:rsidRPr="00687A04">
              <w:rPr>
                <w:rFonts w:cs="Arial"/>
                <w:color w:val="000000"/>
                <w:szCs w:val="20"/>
              </w:rPr>
              <w:t xml:space="preserve">Government </w:t>
            </w:r>
            <w:r w:rsidR="004E3361">
              <w:rPr>
                <w:rFonts w:cs="Arial"/>
                <w:color w:val="000000"/>
                <w:szCs w:val="20"/>
              </w:rPr>
              <w:t>g</w:t>
            </w:r>
            <w:r w:rsidRPr="00687A04">
              <w:rPr>
                <w:rFonts w:cs="Arial"/>
                <w:color w:val="000000"/>
                <w:szCs w:val="20"/>
              </w:rPr>
              <w:t>rants—</w:t>
            </w:r>
            <w:r w:rsidR="00136A92">
              <w:rPr>
                <w:rFonts w:cs="Arial"/>
                <w:color w:val="000000"/>
                <w:szCs w:val="20"/>
              </w:rPr>
              <w:t>c</w:t>
            </w:r>
            <w:r w:rsidRPr="00687A04">
              <w:rPr>
                <w:rFonts w:cs="Arial"/>
                <w:color w:val="000000"/>
                <w:szCs w:val="20"/>
              </w:rPr>
              <w:t xml:space="preserve">onsumer </w:t>
            </w:r>
            <w:r w:rsidR="00136A92">
              <w:rPr>
                <w:rFonts w:cs="Arial"/>
                <w:color w:val="000000"/>
                <w:szCs w:val="20"/>
              </w:rPr>
              <w:t>r</w:t>
            </w:r>
            <w:r w:rsidRPr="00687A04">
              <w:rPr>
                <w:rFonts w:cs="Arial"/>
                <w:color w:val="000000"/>
                <w:szCs w:val="20"/>
              </w:rPr>
              <w:t xml:space="preserve">epresentation and </w:t>
            </w:r>
            <w:r w:rsidR="00136A92">
              <w:rPr>
                <w:rFonts w:cs="Arial"/>
                <w:color w:val="000000"/>
                <w:szCs w:val="20"/>
              </w:rPr>
              <w:t>r</w:t>
            </w:r>
            <w:r w:rsidRPr="00687A04">
              <w:rPr>
                <w:rFonts w:cs="Arial"/>
                <w:color w:val="000000"/>
                <w:szCs w:val="20"/>
              </w:rPr>
              <w:t>esearch</w:t>
            </w:r>
          </w:p>
        </w:tc>
        <w:tc>
          <w:tcPr>
            <w:tcW w:w="1162" w:type="dxa"/>
            <w:tcBorders>
              <w:top w:val="nil"/>
              <w:left w:val="nil"/>
              <w:bottom w:val="single" w:sz="8" w:space="0" w:color="auto"/>
              <w:right w:val="single" w:sz="8" w:space="0" w:color="auto"/>
            </w:tcBorders>
            <w:shd w:val="clear" w:color="auto" w:fill="auto"/>
            <w:hideMark/>
          </w:tcPr>
          <w:p w14:paraId="0F7E7C1A" w14:textId="77777777" w:rsidR="005741DB" w:rsidRPr="00687A04" w:rsidRDefault="005741DB" w:rsidP="005741DB">
            <w:pPr>
              <w:spacing w:after="0" w:line="240" w:lineRule="auto"/>
              <w:jc w:val="right"/>
              <w:rPr>
                <w:rFonts w:cs="Arial"/>
                <w:color w:val="000000"/>
                <w:szCs w:val="20"/>
              </w:rPr>
            </w:pPr>
            <w:r w:rsidRPr="001F42C9">
              <w:t>2.164</w:t>
            </w:r>
          </w:p>
        </w:tc>
        <w:tc>
          <w:tcPr>
            <w:tcW w:w="1162" w:type="dxa"/>
            <w:tcBorders>
              <w:top w:val="nil"/>
              <w:left w:val="nil"/>
              <w:bottom w:val="single" w:sz="8" w:space="0" w:color="auto"/>
              <w:right w:val="single" w:sz="8" w:space="0" w:color="auto"/>
            </w:tcBorders>
            <w:shd w:val="clear" w:color="auto" w:fill="auto"/>
            <w:hideMark/>
          </w:tcPr>
          <w:p w14:paraId="026B9E42" w14:textId="77777777" w:rsidR="005741DB" w:rsidRPr="00687A04" w:rsidRDefault="005741DB" w:rsidP="005741DB">
            <w:pPr>
              <w:spacing w:after="0" w:line="240" w:lineRule="auto"/>
              <w:jc w:val="right"/>
              <w:rPr>
                <w:rFonts w:cs="Arial"/>
                <w:color w:val="000000"/>
                <w:szCs w:val="20"/>
              </w:rPr>
            </w:pPr>
            <w:r w:rsidRPr="001F42C9">
              <w:t>2.196</w:t>
            </w:r>
          </w:p>
        </w:tc>
        <w:tc>
          <w:tcPr>
            <w:tcW w:w="1162" w:type="dxa"/>
            <w:tcBorders>
              <w:top w:val="nil"/>
              <w:left w:val="nil"/>
              <w:bottom w:val="single" w:sz="8" w:space="0" w:color="auto"/>
              <w:right w:val="single" w:sz="8" w:space="0" w:color="auto"/>
            </w:tcBorders>
            <w:shd w:val="clear" w:color="auto" w:fill="auto"/>
            <w:hideMark/>
          </w:tcPr>
          <w:p w14:paraId="75A2EEEA" w14:textId="77777777" w:rsidR="005741DB" w:rsidRPr="00687A04" w:rsidRDefault="005741DB" w:rsidP="005741DB">
            <w:pPr>
              <w:spacing w:after="0" w:line="240" w:lineRule="auto"/>
              <w:jc w:val="right"/>
              <w:rPr>
                <w:rFonts w:cs="Arial"/>
                <w:color w:val="000000"/>
                <w:szCs w:val="20"/>
              </w:rPr>
            </w:pPr>
            <w:r w:rsidRPr="001F42C9">
              <w:t>2.237</w:t>
            </w:r>
          </w:p>
        </w:tc>
        <w:tc>
          <w:tcPr>
            <w:tcW w:w="1162" w:type="dxa"/>
            <w:tcBorders>
              <w:top w:val="nil"/>
              <w:left w:val="nil"/>
              <w:bottom w:val="single" w:sz="8" w:space="0" w:color="auto"/>
              <w:right w:val="single" w:sz="8" w:space="0" w:color="auto"/>
            </w:tcBorders>
            <w:shd w:val="clear" w:color="auto" w:fill="auto"/>
            <w:hideMark/>
          </w:tcPr>
          <w:p w14:paraId="06B475E8" w14:textId="77777777" w:rsidR="005741DB" w:rsidRPr="00687A04" w:rsidRDefault="005741DB" w:rsidP="005741DB">
            <w:pPr>
              <w:spacing w:after="0" w:line="240" w:lineRule="auto"/>
              <w:jc w:val="right"/>
              <w:rPr>
                <w:rFonts w:cs="Arial"/>
                <w:color w:val="000000"/>
                <w:szCs w:val="20"/>
              </w:rPr>
            </w:pPr>
            <w:r w:rsidRPr="001F42C9">
              <w:t>2.278</w:t>
            </w:r>
          </w:p>
        </w:tc>
        <w:tc>
          <w:tcPr>
            <w:tcW w:w="1163" w:type="dxa"/>
            <w:tcBorders>
              <w:top w:val="nil"/>
              <w:left w:val="nil"/>
              <w:bottom w:val="single" w:sz="8" w:space="0" w:color="auto"/>
              <w:right w:val="single" w:sz="8" w:space="0" w:color="auto"/>
            </w:tcBorders>
            <w:shd w:val="clear" w:color="auto" w:fill="auto"/>
            <w:hideMark/>
          </w:tcPr>
          <w:p w14:paraId="541C093E" w14:textId="77777777" w:rsidR="005741DB" w:rsidRPr="00687A04" w:rsidRDefault="005741DB" w:rsidP="005741DB">
            <w:pPr>
              <w:spacing w:after="0" w:line="240" w:lineRule="auto"/>
              <w:jc w:val="right"/>
              <w:rPr>
                <w:rFonts w:cs="Arial"/>
                <w:color w:val="000000"/>
                <w:szCs w:val="20"/>
              </w:rPr>
            </w:pPr>
            <w:r w:rsidRPr="001F42C9">
              <w:t>2.318</w:t>
            </w:r>
          </w:p>
        </w:tc>
      </w:tr>
      <w:tr w:rsidR="00780026" w:rsidRPr="005A5B87" w14:paraId="56CD61F4" w14:textId="77777777" w:rsidTr="00433B9E">
        <w:trPr>
          <w:trHeight w:val="315"/>
          <w:tblHeader/>
        </w:trPr>
        <w:tc>
          <w:tcPr>
            <w:tcW w:w="3251" w:type="dxa"/>
            <w:gridSpan w:val="2"/>
            <w:tcBorders>
              <w:top w:val="single" w:sz="8" w:space="0" w:color="auto"/>
              <w:left w:val="single" w:sz="8" w:space="0" w:color="auto"/>
              <w:bottom w:val="single" w:sz="8" w:space="0" w:color="auto"/>
              <w:right w:val="single" w:sz="8" w:space="0" w:color="000000"/>
            </w:tcBorders>
            <w:shd w:val="clear" w:color="000000" w:fill="D9D9D9"/>
            <w:hideMark/>
          </w:tcPr>
          <w:p w14:paraId="2DB31724" w14:textId="77777777" w:rsidR="00780026" w:rsidRPr="00687A04" w:rsidRDefault="00780026" w:rsidP="00780026">
            <w:pPr>
              <w:spacing w:after="0" w:line="240" w:lineRule="auto"/>
              <w:rPr>
                <w:rFonts w:cs="Arial"/>
                <w:b/>
                <w:bCs/>
                <w:color w:val="000000"/>
                <w:szCs w:val="20"/>
              </w:rPr>
            </w:pPr>
            <w:r w:rsidRPr="00687A04">
              <w:rPr>
                <w:rFonts w:cs="Arial"/>
                <w:b/>
                <w:bCs/>
                <w:color w:val="000000"/>
                <w:szCs w:val="20"/>
              </w:rPr>
              <w:t>Total expenses</w:t>
            </w:r>
          </w:p>
        </w:tc>
        <w:tc>
          <w:tcPr>
            <w:tcW w:w="1162" w:type="dxa"/>
            <w:tcBorders>
              <w:top w:val="nil"/>
              <w:left w:val="nil"/>
              <w:bottom w:val="single" w:sz="8" w:space="0" w:color="auto"/>
              <w:right w:val="single" w:sz="8" w:space="0" w:color="auto"/>
            </w:tcBorders>
            <w:shd w:val="clear" w:color="000000" w:fill="D9D9D9"/>
          </w:tcPr>
          <w:p w14:paraId="4A8B93FF" w14:textId="77777777" w:rsidR="00780026" w:rsidRPr="00E94F6D" w:rsidRDefault="00780026" w:rsidP="00780026">
            <w:pPr>
              <w:spacing w:after="0" w:line="240" w:lineRule="auto"/>
              <w:jc w:val="right"/>
              <w:rPr>
                <w:rFonts w:cs="Arial"/>
                <w:b/>
                <w:bCs/>
                <w:color w:val="000000"/>
                <w:szCs w:val="20"/>
              </w:rPr>
            </w:pPr>
            <w:r w:rsidRPr="006010C2">
              <w:t>38.671</w:t>
            </w:r>
          </w:p>
        </w:tc>
        <w:tc>
          <w:tcPr>
            <w:tcW w:w="1162" w:type="dxa"/>
            <w:tcBorders>
              <w:top w:val="nil"/>
              <w:left w:val="nil"/>
              <w:bottom w:val="single" w:sz="8" w:space="0" w:color="auto"/>
              <w:right w:val="single" w:sz="8" w:space="0" w:color="auto"/>
            </w:tcBorders>
            <w:shd w:val="clear" w:color="000000" w:fill="D9D9D9"/>
          </w:tcPr>
          <w:p w14:paraId="67B98842" w14:textId="77777777" w:rsidR="00780026" w:rsidRPr="00E94F6D" w:rsidRDefault="00780026" w:rsidP="00780026">
            <w:pPr>
              <w:spacing w:after="0" w:line="240" w:lineRule="auto"/>
              <w:jc w:val="right"/>
              <w:rPr>
                <w:rFonts w:cs="Arial"/>
                <w:b/>
                <w:bCs/>
                <w:color w:val="000000"/>
                <w:szCs w:val="20"/>
              </w:rPr>
            </w:pPr>
            <w:r w:rsidRPr="006010C2">
              <w:t>35.597</w:t>
            </w:r>
          </w:p>
        </w:tc>
        <w:tc>
          <w:tcPr>
            <w:tcW w:w="1162" w:type="dxa"/>
            <w:tcBorders>
              <w:top w:val="nil"/>
              <w:left w:val="nil"/>
              <w:bottom w:val="single" w:sz="8" w:space="0" w:color="auto"/>
              <w:right w:val="single" w:sz="8" w:space="0" w:color="auto"/>
            </w:tcBorders>
            <w:shd w:val="clear" w:color="000000" w:fill="D9D9D9"/>
          </w:tcPr>
          <w:p w14:paraId="53AD3806" w14:textId="77777777" w:rsidR="00780026" w:rsidRPr="00E94F6D" w:rsidRDefault="00780026" w:rsidP="00780026">
            <w:pPr>
              <w:spacing w:after="0" w:line="240" w:lineRule="auto"/>
              <w:jc w:val="right"/>
              <w:rPr>
                <w:rFonts w:cs="Arial"/>
                <w:b/>
                <w:bCs/>
                <w:color w:val="000000"/>
                <w:szCs w:val="20"/>
              </w:rPr>
            </w:pPr>
            <w:r w:rsidRPr="006010C2">
              <w:t>35.507</w:t>
            </w:r>
          </w:p>
        </w:tc>
        <w:tc>
          <w:tcPr>
            <w:tcW w:w="1162" w:type="dxa"/>
            <w:tcBorders>
              <w:top w:val="nil"/>
              <w:left w:val="nil"/>
              <w:bottom w:val="single" w:sz="8" w:space="0" w:color="auto"/>
              <w:right w:val="single" w:sz="8" w:space="0" w:color="auto"/>
            </w:tcBorders>
            <w:shd w:val="clear" w:color="000000" w:fill="D9D9D9"/>
          </w:tcPr>
          <w:p w14:paraId="374B152C" w14:textId="77777777" w:rsidR="00780026" w:rsidRPr="00E94F6D" w:rsidRDefault="00780026" w:rsidP="00780026">
            <w:pPr>
              <w:spacing w:after="0" w:line="240" w:lineRule="auto"/>
              <w:jc w:val="right"/>
              <w:rPr>
                <w:rFonts w:cs="Arial"/>
                <w:b/>
                <w:bCs/>
                <w:color w:val="000000"/>
                <w:szCs w:val="20"/>
              </w:rPr>
            </w:pPr>
            <w:r w:rsidRPr="006010C2">
              <w:t>35.548</w:t>
            </w:r>
          </w:p>
        </w:tc>
        <w:tc>
          <w:tcPr>
            <w:tcW w:w="1163" w:type="dxa"/>
            <w:tcBorders>
              <w:top w:val="nil"/>
              <w:left w:val="nil"/>
              <w:bottom w:val="single" w:sz="8" w:space="0" w:color="auto"/>
              <w:right w:val="single" w:sz="8" w:space="0" w:color="auto"/>
            </w:tcBorders>
            <w:shd w:val="clear" w:color="000000" w:fill="D9D9D9"/>
          </w:tcPr>
          <w:p w14:paraId="56780E67" w14:textId="77777777" w:rsidR="00780026" w:rsidRPr="00E94F6D" w:rsidRDefault="00780026" w:rsidP="00780026">
            <w:pPr>
              <w:spacing w:after="0" w:line="240" w:lineRule="auto"/>
              <w:jc w:val="right"/>
              <w:rPr>
                <w:rFonts w:cs="Arial"/>
                <w:b/>
                <w:bCs/>
                <w:color w:val="000000"/>
                <w:szCs w:val="20"/>
              </w:rPr>
            </w:pPr>
            <w:r>
              <w:t>35.588</w:t>
            </w:r>
          </w:p>
        </w:tc>
      </w:tr>
      <w:tr w:rsidR="00780026" w:rsidRPr="005A5B87" w14:paraId="5695ADA7" w14:textId="77777777" w:rsidTr="00593B36">
        <w:trPr>
          <w:trHeight w:val="315"/>
          <w:tblHeader/>
        </w:trPr>
        <w:tc>
          <w:tcPr>
            <w:tcW w:w="964" w:type="dxa"/>
            <w:tcBorders>
              <w:top w:val="nil"/>
              <w:left w:val="single" w:sz="8" w:space="0" w:color="auto"/>
              <w:bottom w:val="single" w:sz="8" w:space="0" w:color="auto"/>
              <w:right w:val="single" w:sz="8" w:space="0" w:color="auto"/>
            </w:tcBorders>
            <w:shd w:val="clear" w:color="auto" w:fill="auto"/>
            <w:hideMark/>
          </w:tcPr>
          <w:p w14:paraId="2033B3FF" w14:textId="77777777" w:rsidR="00780026" w:rsidRPr="00687A04" w:rsidRDefault="00780026" w:rsidP="00780026">
            <w:pPr>
              <w:spacing w:after="0" w:line="240" w:lineRule="auto"/>
              <w:rPr>
                <w:rFonts w:cs="Arial"/>
                <w:color w:val="000000"/>
                <w:szCs w:val="20"/>
              </w:rPr>
            </w:pPr>
            <w:r w:rsidRPr="00687A04">
              <w:rPr>
                <w:rFonts w:cs="Arial"/>
                <w:color w:val="000000"/>
                <w:szCs w:val="20"/>
              </w:rPr>
              <w:t>15(1)(a)</w:t>
            </w:r>
          </w:p>
        </w:tc>
        <w:tc>
          <w:tcPr>
            <w:tcW w:w="2287" w:type="dxa"/>
            <w:tcBorders>
              <w:top w:val="nil"/>
              <w:left w:val="nil"/>
              <w:bottom w:val="single" w:sz="8" w:space="0" w:color="auto"/>
              <w:right w:val="single" w:sz="8" w:space="0" w:color="auto"/>
            </w:tcBorders>
            <w:shd w:val="clear" w:color="auto" w:fill="auto"/>
            <w:hideMark/>
          </w:tcPr>
          <w:p w14:paraId="7A8CF5C1" w14:textId="77777777" w:rsidR="00780026" w:rsidRPr="00687A04" w:rsidRDefault="00780026" w:rsidP="00780026">
            <w:pPr>
              <w:spacing w:after="0" w:line="240" w:lineRule="auto"/>
              <w:rPr>
                <w:rFonts w:cs="Arial"/>
                <w:color w:val="000000"/>
                <w:szCs w:val="20"/>
              </w:rPr>
            </w:pPr>
            <w:r w:rsidRPr="00687A04">
              <w:rPr>
                <w:rFonts w:cs="Arial"/>
                <w:color w:val="000000"/>
                <w:szCs w:val="20"/>
              </w:rPr>
              <w:t>ACMA revenue</w:t>
            </w:r>
          </w:p>
        </w:tc>
        <w:tc>
          <w:tcPr>
            <w:tcW w:w="1162" w:type="dxa"/>
            <w:tcBorders>
              <w:top w:val="nil"/>
              <w:left w:val="nil"/>
              <w:bottom w:val="single" w:sz="8" w:space="0" w:color="auto"/>
              <w:right w:val="single" w:sz="8" w:space="0" w:color="auto"/>
            </w:tcBorders>
            <w:shd w:val="clear" w:color="auto" w:fill="auto"/>
            <w:hideMark/>
          </w:tcPr>
          <w:p w14:paraId="0CBCEF31" w14:textId="77777777" w:rsidR="00780026" w:rsidRPr="00687A04" w:rsidRDefault="00780026" w:rsidP="00780026">
            <w:pPr>
              <w:spacing w:after="0" w:line="240" w:lineRule="auto"/>
              <w:jc w:val="right"/>
              <w:rPr>
                <w:rFonts w:cs="Arial"/>
                <w:color w:val="000000"/>
                <w:szCs w:val="20"/>
              </w:rPr>
            </w:pPr>
            <w:r w:rsidRPr="001F42C9">
              <w:t>19.654</w:t>
            </w:r>
          </w:p>
        </w:tc>
        <w:tc>
          <w:tcPr>
            <w:tcW w:w="1162" w:type="dxa"/>
            <w:tcBorders>
              <w:top w:val="nil"/>
              <w:left w:val="nil"/>
              <w:bottom w:val="single" w:sz="8" w:space="0" w:color="auto"/>
              <w:right w:val="single" w:sz="8" w:space="0" w:color="auto"/>
            </w:tcBorders>
            <w:shd w:val="clear" w:color="auto" w:fill="auto"/>
            <w:hideMark/>
          </w:tcPr>
          <w:p w14:paraId="4730EADD" w14:textId="77777777" w:rsidR="00780026" w:rsidRPr="00687A04" w:rsidRDefault="00780026" w:rsidP="00780026">
            <w:pPr>
              <w:spacing w:after="0" w:line="240" w:lineRule="auto"/>
              <w:jc w:val="right"/>
              <w:rPr>
                <w:rFonts w:cs="Arial"/>
                <w:color w:val="000000"/>
                <w:szCs w:val="20"/>
              </w:rPr>
            </w:pPr>
            <w:r w:rsidRPr="001F42C9">
              <w:t>17.572</w:t>
            </w:r>
          </w:p>
        </w:tc>
        <w:tc>
          <w:tcPr>
            <w:tcW w:w="1162" w:type="dxa"/>
            <w:tcBorders>
              <w:top w:val="nil"/>
              <w:left w:val="nil"/>
              <w:bottom w:val="single" w:sz="8" w:space="0" w:color="auto"/>
              <w:right w:val="single" w:sz="8" w:space="0" w:color="auto"/>
            </w:tcBorders>
            <w:shd w:val="clear" w:color="auto" w:fill="auto"/>
            <w:hideMark/>
          </w:tcPr>
          <w:p w14:paraId="3AAF05BD" w14:textId="77777777" w:rsidR="00780026" w:rsidRPr="00687A04" w:rsidRDefault="00780026" w:rsidP="00780026">
            <w:pPr>
              <w:spacing w:after="0" w:line="240" w:lineRule="auto"/>
              <w:jc w:val="right"/>
              <w:rPr>
                <w:rFonts w:cs="Arial"/>
                <w:color w:val="000000"/>
                <w:szCs w:val="20"/>
              </w:rPr>
            </w:pPr>
            <w:r w:rsidRPr="001F42C9">
              <w:t>17.572</w:t>
            </w:r>
          </w:p>
        </w:tc>
        <w:tc>
          <w:tcPr>
            <w:tcW w:w="1162" w:type="dxa"/>
            <w:tcBorders>
              <w:top w:val="nil"/>
              <w:left w:val="nil"/>
              <w:bottom w:val="single" w:sz="8" w:space="0" w:color="auto"/>
              <w:right w:val="single" w:sz="8" w:space="0" w:color="auto"/>
            </w:tcBorders>
            <w:shd w:val="clear" w:color="auto" w:fill="auto"/>
            <w:hideMark/>
          </w:tcPr>
          <w:p w14:paraId="677BFB40" w14:textId="77777777" w:rsidR="00780026" w:rsidRPr="00687A04" w:rsidRDefault="00780026" w:rsidP="00780026">
            <w:pPr>
              <w:spacing w:after="0" w:line="240" w:lineRule="auto"/>
              <w:jc w:val="right"/>
              <w:rPr>
                <w:rFonts w:cs="Arial"/>
                <w:color w:val="000000"/>
                <w:szCs w:val="20"/>
              </w:rPr>
            </w:pPr>
            <w:r w:rsidRPr="001F42C9">
              <w:t>17.572</w:t>
            </w:r>
          </w:p>
        </w:tc>
        <w:tc>
          <w:tcPr>
            <w:tcW w:w="1163" w:type="dxa"/>
            <w:tcBorders>
              <w:top w:val="nil"/>
              <w:left w:val="nil"/>
              <w:bottom w:val="single" w:sz="8" w:space="0" w:color="auto"/>
              <w:right w:val="single" w:sz="8" w:space="0" w:color="auto"/>
            </w:tcBorders>
            <w:shd w:val="clear" w:color="auto" w:fill="auto"/>
            <w:hideMark/>
          </w:tcPr>
          <w:p w14:paraId="1A62AD0E" w14:textId="77777777" w:rsidR="00780026" w:rsidRPr="00687A04" w:rsidRDefault="00780026" w:rsidP="00780026">
            <w:pPr>
              <w:spacing w:after="0" w:line="240" w:lineRule="auto"/>
              <w:jc w:val="right"/>
              <w:rPr>
                <w:rFonts w:cs="Arial"/>
                <w:color w:val="000000"/>
                <w:szCs w:val="20"/>
              </w:rPr>
            </w:pPr>
            <w:r w:rsidRPr="001F42C9">
              <w:t>17.572</w:t>
            </w:r>
          </w:p>
        </w:tc>
      </w:tr>
      <w:tr w:rsidR="00780026" w:rsidRPr="005A5B87" w14:paraId="6C1A5626" w14:textId="77777777" w:rsidTr="00593B36">
        <w:trPr>
          <w:trHeight w:val="315"/>
          <w:tblHeader/>
        </w:trPr>
        <w:tc>
          <w:tcPr>
            <w:tcW w:w="964" w:type="dxa"/>
            <w:tcBorders>
              <w:top w:val="nil"/>
              <w:left w:val="single" w:sz="8" w:space="0" w:color="auto"/>
              <w:bottom w:val="single" w:sz="8" w:space="0" w:color="auto"/>
              <w:right w:val="single" w:sz="8" w:space="0" w:color="auto"/>
            </w:tcBorders>
            <w:shd w:val="clear" w:color="auto" w:fill="auto"/>
            <w:hideMark/>
          </w:tcPr>
          <w:p w14:paraId="4733C904" w14:textId="77777777" w:rsidR="00780026" w:rsidRPr="00687A04" w:rsidRDefault="00780026" w:rsidP="00780026">
            <w:pPr>
              <w:spacing w:after="0" w:line="240" w:lineRule="auto"/>
              <w:rPr>
                <w:rFonts w:cs="Arial"/>
                <w:color w:val="000000"/>
                <w:szCs w:val="20"/>
              </w:rPr>
            </w:pPr>
            <w:r w:rsidRPr="00687A04">
              <w:rPr>
                <w:rFonts w:cs="Arial"/>
                <w:color w:val="000000"/>
                <w:szCs w:val="20"/>
              </w:rPr>
              <w:t>15(1)(b)</w:t>
            </w:r>
          </w:p>
        </w:tc>
        <w:tc>
          <w:tcPr>
            <w:tcW w:w="2287" w:type="dxa"/>
            <w:tcBorders>
              <w:top w:val="nil"/>
              <w:left w:val="nil"/>
              <w:bottom w:val="single" w:sz="8" w:space="0" w:color="auto"/>
              <w:right w:val="single" w:sz="8" w:space="0" w:color="auto"/>
            </w:tcBorders>
            <w:shd w:val="clear" w:color="auto" w:fill="auto"/>
            <w:hideMark/>
          </w:tcPr>
          <w:p w14:paraId="28B38721" w14:textId="77777777" w:rsidR="00780026" w:rsidRPr="00687A04" w:rsidRDefault="00780026" w:rsidP="00780026">
            <w:pPr>
              <w:spacing w:after="0" w:line="240" w:lineRule="auto"/>
              <w:rPr>
                <w:rFonts w:cs="Arial"/>
                <w:color w:val="000000"/>
                <w:szCs w:val="20"/>
              </w:rPr>
            </w:pPr>
            <w:r w:rsidRPr="00687A04">
              <w:rPr>
                <w:rFonts w:cs="Arial"/>
                <w:color w:val="000000"/>
                <w:szCs w:val="20"/>
              </w:rPr>
              <w:t>ACCC revenue</w:t>
            </w:r>
          </w:p>
        </w:tc>
        <w:tc>
          <w:tcPr>
            <w:tcW w:w="1162" w:type="dxa"/>
            <w:tcBorders>
              <w:top w:val="nil"/>
              <w:left w:val="nil"/>
              <w:bottom w:val="single" w:sz="8" w:space="0" w:color="auto"/>
              <w:right w:val="single" w:sz="8" w:space="0" w:color="auto"/>
            </w:tcBorders>
            <w:shd w:val="clear" w:color="auto" w:fill="auto"/>
            <w:hideMark/>
          </w:tcPr>
          <w:p w14:paraId="0A53CD51" w14:textId="77777777" w:rsidR="00780026" w:rsidRPr="00687A04" w:rsidRDefault="00780026" w:rsidP="00780026">
            <w:pPr>
              <w:spacing w:after="0" w:line="240" w:lineRule="auto"/>
              <w:jc w:val="right"/>
              <w:rPr>
                <w:rFonts w:cs="Arial"/>
                <w:color w:val="000000"/>
                <w:szCs w:val="20"/>
              </w:rPr>
            </w:pPr>
            <w:r w:rsidRPr="001F42C9">
              <w:t>14.953</w:t>
            </w:r>
          </w:p>
        </w:tc>
        <w:tc>
          <w:tcPr>
            <w:tcW w:w="1162" w:type="dxa"/>
            <w:tcBorders>
              <w:top w:val="nil"/>
              <w:left w:val="nil"/>
              <w:bottom w:val="single" w:sz="8" w:space="0" w:color="auto"/>
              <w:right w:val="single" w:sz="8" w:space="0" w:color="auto"/>
            </w:tcBorders>
            <w:shd w:val="clear" w:color="auto" w:fill="auto"/>
            <w:hideMark/>
          </w:tcPr>
          <w:p w14:paraId="4BF8451D" w14:textId="77777777" w:rsidR="00780026" w:rsidRPr="00687A04" w:rsidRDefault="00780026" w:rsidP="00780026">
            <w:pPr>
              <w:spacing w:after="0" w:line="240" w:lineRule="auto"/>
              <w:jc w:val="right"/>
              <w:rPr>
                <w:rFonts w:cs="Arial"/>
                <w:color w:val="000000"/>
                <w:szCs w:val="20"/>
              </w:rPr>
            </w:pPr>
            <w:r w:rsidRPr="001F42C9">
              <w:t>15.107</w:t>
            </w:r>
          </w:p>
        </w:tc>
        <w:tc>
          <w:tcPr>
            <w:tcW w:w="1162" w:type="dxa"/>
            <w:tcBorders>
              <w:top w:val="nil"/>
              <w:left w:val="nil"/>
              <w:bottom w:val="single" w:sz="8" w:space="0" w:color="auto"/>
              <w:right w:val="single" w:sz="8" w:space="0" w:color="auto"/>
            </w:tcBorders>
            <w:shd w:val="clear" w:color="auto" w:fill="auto"/>
            <w:hideMark/>
          </w:tcPr>
          <w:p w14:paraId="0E803537" w14:textId="77777777" w:rsidR="00780026" w:rsidRPr="00687A04" w:rsidRDefault="00780026" w:rsidP="00780026">
            <w:pPr>
              <w:spacing w:after="0" w:line="240" w:lineRule="auto"/>
              <w:jc w:val="right"/>
              <w:rPr>
                <w:rFonts w:cs="Arial"/>
                <w:color w:val="000000"/>
                <w:szCs w:val="20"/>
              </w:rPr>
            </w:pPr>
            <w:r w:rsidRPr="001F42C9">
              <w:t>13.798</w:t>
            </w:r>
          </w:p>
        </w:tc>
        <w:tc>
          <w:tcPr>
            <w:tcW w:w="1162" w:type="dxa"/>
            <w:tcBorders>
              <w:top w:val="nil"/>
              <w:left w:val="nil"/>
              <w:bottom w:val="single" w:sz="8" w:space="0" w:color="auto"/>
              <w:right w:val="single" w:sz="8" w:space="0" w:color="auto"/>
            </w:tcBorders>
            <w:shd w:val="clear" w:color="auto" w:fill="auto"/>
            <w:hideMark/>
          </w:tcPr>
          <w:p w14:paraId="678643FD" w14:textId="77777777" w:rsidR="00780026" w:rsidRPr="00687A04" w:rsidRDefault="00780026" w:rsidP="00780026">
            <w:pPr>
              <w:spacing w:after="0" w:line="240" w:lineRule="auto"/>
              <w:jc w:val="right"/>
              <w:rPr>
                <w:rFonts w:cs="Arial"/>
                <w:color w:val="000000"/>
                <w:szCs w:val="20"/>
              </w:rPr>
            </w:pPr>
            <w:r w:rsidRPr="001F42C9">
              <w:t>13.798</w:t>
            </w:r>
          </w:p>
        </w:tc>
        <w:tc>
          <w:tcPr>
            <w:tcW w:w="1163" w:type="dxa"/>
            <w:tcBorders>
              <w:top w:val="nil"/>
              <w:left w:val="nil"/>
              <w:bottom w:val="single" w:sz="8" w:space="0" w:color="auto"/>
              <w:right w:val="single" w:sz="8" w:space="0" w:color="auto"/>
            </w:tcBorders>
            <w:shd w:val="clear" w:color="auto" w:fill="auto"/>
            <w:hideMark/>
          </w:tcPr>
          <w:p w14:paraId="24EB25EA" w14:textId="77777777" w:rsidR="00780026" w:rsidRPr="00687A04" w:rsidRDefault="00780026" w:rsidP="00780026">
            <w:pPr>
              <w:spacing w:after="0" w:line="240" w:lineRule="auto"/>
              <w:jc w:val="right"/>
              <w:rPr>
                <w:rFonts w:cs="Arial"/>
                <w:color w:val="000000"/>
                <w:szCs w:val="20"/>
              </w:rPr>
            </w:pPr>
            <w:r w:rsidRPr="001F42C9">
              <w:t>13.798</w:t>
            </w:r>
          </w:p>
        </w:tc>
      </w:tr>
      <w:tr w:rsidR="00780026" w:rsidRPr="005A5B87" w14:paraId="1B7037C7" w14:textId="77777777" w:rsidTr="00593B36">
        <w:trPr>
          <w:trHeight w:val="315"/>
          <w:tblHeader/>
        </w:trPr>
        <w:tc>
          <w:tcPr>
            <w:tcW w:w="964" w:type="dxa"/>
            <w:tcBorders>
              <w:top w:val="nil"/>
              <w:left w:val="single" w:sz="8" w:space="0" w:color="auto"/>
              <w:bottom w:val="single" w:sz="8" w:space="0" w:color="auto"/>
              <w:right w:val="single" w:sz="8" w:space="0" w:color="auto"/>
            </w:tcBorders>
            <w:shd w:val="clear" w:color="auto" w:fill="auto"/>
            <w:hideMark/>
          </w:tcPr>
          <w:p w14:paraId="4967EF55" w14:textId="77777777" w:rsidR="00780026" w:rsidRPr="00687A04" w:rsidRDefault="00780026" w:rsidP="00780026">
            <w:pPr>
              <w:spacing w:after="0" w:line="240" w:lineRule="auto"/>
              <w:rPr>
                <w:rFonts w:cs="Arial"/>
                <w:color w:val="000000"/>
                <w:szCs w:val="20"/>
              </w:rPr>
            </w:pPr>
            <w:r w:rsidRPr="00687A04">
              <w:rPr>
                <w:rFonts w:cs="Arial"/>
                <w:color w:val="000000"/>
                <w:szCs w:val="20"/>
              </w:rPr>
              <w:t>15(1)(c)</w:t>
            </w:r>
          </w:p>
        </w:tc>
        <w:tc>
          <w:tcPr>
            <w:tcW w:w="2287" w:type="dxa"/>
            <w:tcBorders>
              <w:top w:val="nil"/>
              <w:left w:val="nil"/>
              <w:bottom w:val="single" w:sz="8" w:space="0" w:color="auto"/>
              <w:right w:val="single" w:sz="8" w:space="0" w:color="auto"/>
            </w:tcBorders>
            <w:shd w:val="clear" w:color="auto" w:fill="auto"/>
            <w:hideMark/>
          </w:tcPr>
          <w:p w14:paraId="33556FB7" w14:textId="77777777" w:rsidR="00780026" w:rsidRPr="00687A04" w:rsidRDefault="00780026" w:rsidP="00780026">
            <w:pPr>
              <w:spacing w:after="0" w:line="240" w:lineRule="auto"/>
              <w:rPr>
                <w:rFonts w:cs="Arial"/>
                <w:color w:val="000000"/>
                <w:szCs w:val="20"/>
              </w:rPr>
            </w:pPr>
            <w:r w:rsidRPr="00687A04">
              <w:rPr>
                <w:rFonts w:cs="Arial"/>
                <w:color w:val="000000"/>
                <w:szCs w:val="20"/>
              </w:rPr>
              <w:t>ITU contribution</w:t>
            </w:r>
          </w:p>
        </w:tc>
        <w:tc>
          <w:tcPr>
            <w:tcW w:w="1162" w:type="dxa"/>
            <w:tcBorders>
              <w:top w:val="nil"/>
              <w:left w:val="nil"/>
              <w:bottom w:val="single" w:sz="8" w:space="0" w:color="auto"/>
              <w:right w:val="single" w:sz="8" w:space="0" w:color="auto"/>
            </w:tcBorders>
            <w:shd w:val="clear" w:color="auto" w:fill="auto"/>
            <w:hideMark/>
          </w:tcPr>
          <w:p w14:paraId="6FAB7F2B" w14:textId="77777777" w:rsidR="00780026" w:rsidRPr="006C513A" w:rsidRDefault="00780026" w:rsidP="00780026">
            <w:pPr>
              <w:spacing w:after="0" w:line="240" w:lineRule="auto"/>
              <w:jc w:val="right"/>
              <w:rPr>
                <w:rFonts w:cs="Arial"/>
                <w:color w:val="000000"/>
                <w:szCs w:val="20"/>
                <w:highlight w:val="yellow"/>
              </w:rPr>
            </w:pPr>
            <w:r w:rsidRPr="001F42C9">
              <w:t>1.600</w:t>
            </w:r>
          </w:p>
        </w:tc>
        <w:tc>
          <w:tcPr>
            <w:tcW w:w="1162" w:type="dxa"/>
            <w:tcBorders>
              <w:top w:val="nil"/>
              <w:left w:val="nil"/>
              <w:bottom w:val="single" w:sz="8" w:space="0" w:color="auto"/>
              <w:right w:val="single" w:sz="8" w:space="0" w:color="auto"/>
            </w:tcBorders>
            <w:shd w:val="clear" w:color="auto" w:fill="auto"/>
            <w:hideMark/>
          </w:tcPr>
          <w:p w14:paraId="213A7D99" w14:textId="77777777" w:rsidR="00780026" w:rsidRPr="006C513A" w:rsidRDefault="00780026" w:rsidP="00780026">
            <w:pPr>
              <w:spacing w:after="0" w:line="240" w:lineRule="auto"/>
              <w:jc w:val="right"/>
              <w:rPr>
                <w:rFonts w:cs="Arial"/>
                <w:color w:val="000000"/>
                <w:szCs w:val="20"/>
                <w:highlight w:val="yellow"/>
              </w:rPr>
            </w:pPr>
            <w:r w:rsidRPr="001F42C9">
              <w:t>1.861</w:t>
            </w:r>
          </w:p>
        </w:tc>
        <w:tc>
          <w:tcPr>
            <w:tcW w:w="1162" w:type="dxa"/>
            <w:tcBorders>
              <w:top w:val="nil"/>
              <w:left w:val="nil"/>
              <w:bottom w:val="single" w:sz="8" w:space="0" w:color="auto"/>
              <w:right w:val="single" w:sz="8" w:space="0" w:color="auto"/>
            </w:tcBorders>
            <w:shd w:val="clear" w:color="auto" w:fill="auto"/>
            <w:hideMark/>
          </w:tcPr>
          <w:p w14:paraId="5BF11C7D" w14:textId="77777777" w:rsidR="00780026" w:rsidRPr="006C513A" w:rsidRDefault="00780026" w:rsidP="00780026">
            <w:pPr>
              <w:spacing w:after="0" w:line="240" w:lineRule="auto"/>
              <w:jc w:val="right"/>
              <w:rPr>
                <w:rFonts w:cs="Arial"/>
                <w:color w:val="000000"/>
                <w:szCs w:val="20"/>
                <w:highlight w:val="yellow"/>
              </w:rPr>
            </w:pPr>
            <w:r w:rsidRPr="001F42C9">
              <w:t>1.600</w:t>
            </w:r>
          </w:p>
        </w:tc>
        <w:tc>
          <w:tcPr>
            <w:tcW w:w="1162" w:type="dxa"/>
            <w:tcBorders>
              <w:top w:val="nil"/>
              <w:left w:val="nil"/>
              <w:bottom w:val="single" w:sz="8" w:space="0" w:color="auto"/>
              <w:right w:val="single" w:sz="8" w:space="0" w:color="auto"/>
            </w:tcBorders>
            <w:shd w:val="clear" w:color="auto" w:fill="auto"/>
            <w:hideMark/>
          </w:tcPr>
          <w:p w14:paraId="4BDED34E" w14:textId="77777777" w:rsidR="00780026" w:rsidRPr="006C513A" w:rsidRDefault="00780026" w:rsidP="00780026">
            <w:pPr>
              <w:spacing w:after="0" w:line="240" w:lineRule="auto"/>
              <w:jc w:val="right"/>
              <w:rPr>
                <w:rFonts w:cs="Arial"/>
                <w:color w:val="000000"/>
                <w:szCs w:val="20"/>
                <w:highlight w:val="yellow"/>
              </w:rPr>
            </w:pPr>
            <w:r w:rsidRPr="001F42C9">
              <w:t>1.600</w:t>
            </w:r>
          </w:p>
        </w:tc>
        <w:tc>
          <w:tcPr>
            <w:tcW w:w="1163" w:type="dxa"/>
            <w:tcBorders>
              <w:top w:val="nil"/>
              <w:left w:val="nil"/>
              <w:bottom w:val="single" w:sz="8" w:space="0" w:color="auto"/>
              <w:right w:val="single" w:sz="8" w:space="0" w:color="auto"/>
            </w:tcBorders>
            <w:shd w:val="clear" w:color="auto" w:fill="auto"/>
            <w:hideMark/>
          </w:tcPr>
          <w:p w14:paraId="3E5D46C1" w14:textId="77777777" w:rsidR="00780026" w:rsidRPr="006C513A" w:rsidRDefault="00780026" w:rsidP="00780026">
            <w:pPr>
              <w:spacing w:after="0" w:line="240" w:lineRule="auto"/>
              <w:jc w:val="right"/>
              <w:rPr>
                <w:rFonts w:cs="Arial"/>
                <w:color w:val="000000"/>
                <w:szCs w:val="20"/>
                <w:highlight w:val="yellow"/>
              </w:rPr>
            </w:pPr>
            <w:r w:rsidRPr="001F42C9">
              <w:t>1.600</w:t>
            </w:r>
          </w:p>
        </w:tc>
      </w:tr>
      <w:tr w:rsidR="00780026" w:rsidRPr="005A5B87" w14:paraId="585FB90C" w14:textId="77777777" w:rsidTr="00593B36">
        <w:trPr>
          <w:trHeight w:val="525"/>
          <w:tblHeader/>
        </w:trPr>
        <w:tc>
          <w:tcPr>
            <w:tcW w:w="964" w:type="dxa"/>
            <w:tcBorders>
              <w:top w:val="nil"/>
              <w:left w:val="single" w:sz="8" w:space="0" w:color="auto"/>
              <w:bottom w:val="single" w:sz="8" w:space="0" w:color="auto"/>
              <w:right w:val="single" w:sz="8" w:space="0" w:color="auto"/>
            </w:tcBorders>
            <w:shd w:val="clear" w:color="auto" w:fill="auto"/>
          </w:tcPr>
          <w:p w14:paraId="3B1882B8" w14:textId="77777777" w:rsidR="00780026" w:rsidRPr="00687A04" w:rsidRDefault="00780026" w:rsidP="00780026">
            <w:pPr>
              <w:spacing w:after="0" w:line="240" w:lineRule="auto"/>
              <w:rPr>
                <w:rFonts w:cs="Arial"/>
                <w:color w:val="000000"/>
                <w:szCs w:val="20"/>
              </w:rPr>
            </w:pPr>
            <w:r w:rsidRPr="00687A04">
              <w:rPr>
                <w:rFonts w:cs="Arial"/>
                <w:color w:val="000000"/>
                <w:szCs w:val="20"/>
              </w:rPr>
              <w:t>15(1)(ca)</w:t>
            </w:r>
          </w:p>
        </w:tc>
        <w:tc>
          <w:tcPr>
            <w:tcW w:w="2287" w:type="dxa"/>
            <w:tcBorders>
              <w:top w:val="nil"/>
              <w:left w:val="nil"/>
              <w:bottom w:val="single" w:sz="8" w:space="0" w:color="auto"/>
              <w:right w:val="single" w:sz="8" w:space="0" w:color="auto"/>
            </w:tcBorders>
            <w:shd w:val="clear" w:color="auto" w:fill="auto"/>
          </w:tcPr>
          <w:p w14:paraId="365B93E0" w14:textId="77777777" w:rsidR="00780026" w:rsidRPr="00687A04" w:rsidRDefault="00780026" w:rsidP="00780026">
            <w:pPr>
              <w:spacing w:after="0" w:line="240" w:lineRule="auto"/>
              <w:rPr>
                <w:rFonts w:cs="Arial"/>
                <w:color w:val="000000"/>
                <w:szCs w:val="20"/>
              </w:rPr>
            </w:pPr>
            <w:r w:rsidRPr="00687A04">
              <w:rPr>
                <w:rFonts w:cs="Arial"/>
                <w:color w:val="000000"/>
                <w:szCs w:val="20"/>
              </w:rPr>
              <w:t>Development of consumer protection related industry codes</w:t>
            </w:r>
          </w:p>
        </w:tc>
        <w:tc>
          <w:tcPr>
            <w:tcW w:w="1162" w:type="dxa"/>
            <w:tcBorders>
              <w:top w:val="nil"/>
              <w:left w:val="nil"/>
              <w:bottom w:val="single" w:sz="8" w:space="0" w:color="auto"/>
              <w:right w:val="single" w:sz="8" w:space="0" w:color="auto"/>
            </w:tcBorders>
            <w:shd w:val="clear" w:color="auto" w:fill="auto"/>
          </w:tcPr>
          <w:p w14:paraId="7244D9B4" w14:textId="77777777" w:rsidR="00780026" w:rsidRPr="006C513A" w:rsidRDefault="005741DB" w:rsidP="00780026">
            <w:pPr>
              <w:spacing w:after="0" w:line="240" w:lineRule="auto"/>
              <w:jc w:val="right"/>
              <w:rPr>
                <w:rFonts w:cs="Arial"/>
                <w:color w:val="000000"/>
                <w:szCs w:val="20"/>
              </w:rPr>
            </w:pPr>
            <w:r>
              <w:rPr>
                <w:rFonts w:cs="Arial"/>
                <w:color w:val="000000"/>
                <w:szCs w:val="20"/>
              </w:rPr>
              <w:t>0.300</w:t>
            </w:r>
          </w:p>
        </w:tc>
        <w:tc>
          <w:tcPr>
            <w:tcW w:w="1162" w:type="dxa"/>
            <w:tcBorders>
              <w:top w:val="nil"/>
              <w:left w:val="nil"/>
              <w:bottom w:val="single" w:sz="8" w:space="0" w:color="auto"/>
              <w:right w:val="single" w:sz="8" w:space="0" w:color="auto"/>
            </w:tcBorders>
            <w:shd w:val="clear" w:color="auto" w:fill="auto"/>
          </w:tcPr>
          <w:p w14:paraId="5660CCB8" w14:textId="77777777" w:rsidR="00780026" w:rsidRPr="006C513A" w:rsidRDefault="005741DB" w:rsidP="00780026">
            <w:pPr>
              <w:spacing w:after="0" w:line="240" w:lineRule="auto"/>
              <w:jc w:val="right"/>
              <w:rPr>
                <w:rFonts w:cs="Arial"/>
                <w:color w:val="000000"/>
                <w:szCs w:val="20"/>
              </w:rPr>
            </w:pPr>
            <w:r>
              <w:rPr>
                <w:rFonts w:cs="Arial"/>
                <w:color w:val="000000"/>
                <w:szCs w:val="20"/>
              </w:rPr>
              <w:t>0.300</w:t>
            </w:r>
          </w:p>
        </w:tc>
        <w:tc>
          <w:tcPr>
            <w:tcW w:w="1162" w:type="dxa"/>
            <w:tcBorders>
              <w:top w:val="nil"/>
              <w:left w:val="nil"/>
              <w:bottom w:val="single" w:sz="8" w:space="0" w:color="auto"/>
              <w:right w:val="single" w:sz="8" w:space="0" w:color="auto"/>
            </w:tcBorders>
            <w:shd w:val="clear" w:color="auto" w:fill="auto"/>
          </w:tcPr>
          <w:p w14:paraId="5A9A9246" w14:textId="77777777" w:rsidR="00780026" w:rsidRPr="006C513A" w:rsidRDefault="005741DB" w:rsidP="00780026">
            <w:pPr>
              <w:spacing w:after="0" w:line="240" w:lineRule="auto"/>
              <w:jc w:val="right"/>
              <w:rPr>
                <w:rFonts w:cs="Arial"/>
                <w:color w:val="000000"/>
                <w:szCs w:val="20"/>
              </w:rPr>
            </w:pPr>
            <w:r>
              <w:rPr>
                <w:rFonts w:cs="Arial"/>
                <w:color w:val="000000"/>
                <w:szCs w:val="20"/>
              </w:rPr>
              <w:t>0.300</w:t>
            </w:r>
          </w:p>
        </w:tc>
        <w:tc>
          <w:tcPr>
            <w:tcW w:w="1162" w:type="dxa"/>
            <w:tcBorders>
              <w:top w:val="nil"/>
              <w:left w:val="nil"/>
              <w:bottom w:val="single" w:sz="8" w:space="0" w:color="auto"/>
              <w:right w:val="single" w:sz="8" w:space="0" w:color="auto"/>
            </w:tcBorders>
            <w:shd w:val="clear" w:color="auto" w:fill="auto"/>
          </w:tcPr>
          <w:p w14:paraId="76EA62B0" w14:textId="77777777" w:rsidR="00780026" w:rsidRPr="006C513A" w:rsidRDefault="005741DB" w:rsidP="00780026">
            <w:pPr>
              <w:spacing w:after="0" w:line="240" w:lineRule="auto"/>
              <w:jc w:val="right"/>
              <w:rPr>
                <w:rFonts w:cs="Arial"/>
                <w:color w:val="000000"/>
                <w:szCs w:val="20"/>
              </w:rPr>
            </w:pPr>
            <w:r>
              <w:rPr>
                <w:rFonts w:cs="Arial"/>
                <w:color w:val="000000"/>
                <w:szCs w:val="20"/>
              </w:rPr>
              <w:t>0.300</w:t>
            </w:r>
          </w:p>
        </w:tc>
        <w:tc>
          <w:tcPr>
            <w:tcW w:w="1163" w:type="dxa"/>
            <w:tcBorders>
              <w:top w:val="nil"/>
              <w:left w:val="nil"/>
              <w:bottom w:val="single" w:sz="8" w:space="0" w:color="auto"/>
              <w:right w:val="single" w:sz="8" w:space="0" w:color="auto"/>
            </w:tcBorders>
            <w:shd w:val="clear" w:color="auto" w:fill="auto"/>
          </w:tcPr>
          <w:p w14:paraId="18D90349" w14:textId="77777777" w:rsidR="00780026" w:rsidRPr="006C513A" w:rsidRDefault="005741DB" w:rsidP="00780026">
            <w:pPr>
              <w:spacing w:after="0" w:line="240" w:lineRule="auto"/>
              <w:jc w:val="right"/>
              <w:rPr>
                <w:rFonts w:cs="Arial"/>
                <w:color w:val="000000"/>
                <w:szCs w:val="20"/>
              </w:rPr>
            </w:pPr>
            <w:r>
              <w:rPr>
                <w:rFonts w:cs="Arial"/>
                <w:color w:val="000000"/>
                <w:szCs w:val="20"/>
              </w:rPr>
              <w:t>0.300</w:t>
            </w:r>
          </w:p>
        </w:tc>
      </w:tr>
      <w:tr w:rsidR="005741DB" w:rsidRPr="005A5B87" w14:paraId="7AA47308" w14:textId="77777777" w:rsidTr="00593B36">
        <w:trPr>
          <w:trHeight w:val="525"/>
          <w:tblHeader/>
        </w:trPr>
        <w:tc>
          <w:tcPr>
            <w:tcW w:w="964" w:type="dxa"/>
            <w:tcBorders>
              <w:top w:val="nil"/>
              <w:left w:val="single" w:sz="8" w:space="0" w:color="auto"/>
              <w:bottom w:val="single" w:sz="8" w:space="0" w:color="auto"/>
              <w:right w:val="single" w:sz="8" w:space="0" w:color="auto"/>
            </w:tcBorders>
            <w:shd w:val="clear" w:color="auto" w:fill="auto"/>
            <w:hideMark/>
          </w:tcPr>
          <w:p w14:paraId="6B4ADDAB" w14:textId="77777777" w:rsidR="005741DB" w:rsidRPr="00687A04" w:rsidRDefault="005741DB" w:rsidP="005741DB">
            <w:pPr>
              <w:spacing w:after="0" w:line="240" w:lineRule="auto"/>
              <w:rPr>
                <w:rFonts w:cs="Arial"/>
                <w:color w:val="000000"/>
                <w:szCs w:val="20"/>
              </w:rPr>
            </w:pPr>
            <w:r w:rsidRPr="00687A04">
              <w:rPr>
                <w:rFonts w:cs="Arial"/>
                <w:color w:val="000000"/>
                <w:szCs w:val="20"/>
              </w:rPr>
              <w:t>15(1)(d)</w:t>
            </w:r>
          </w:p>
        </w:tc>
        <w:tc>
          <w:tcPr>
            <w:tcW w:w="2287" w:type="dxa"/>
            <w:tcBorders>
              <w:top w:val="nil"/>
              <w:left w:val="nil"/>
              <w:bottom w:val="single" w:sz="8" w:space="0" w:color="auto"/>
              <w:right w:val="single" w:sz="8" w:space="0" w:color="auto"/>
            </w:tcBorders>
            <w:shd w:val="clear" w:color="auto" w:fill="auto"/>
            <w:hideMark/>
          </w:tcPr>
          <w:p w14:paraId="3226E0EF" w14:textId="0690A7FB" w:rsidR="005741DB" w:rsidRPr="00687A04" w:rsidRDefault="005741DB" w:rsidP="005741DB">
            <w:pPr>
              <w:spacing w:after="0" w:line="240" w:lineRule="auto"/>
              <w:rPr>
                <w:rFonts w:cs="Arial"/>
                <w:color w:val="000000"/>
                <w:szCs w:val="20"/>
              </w:rPr>
            </w:pPr>
            <w:r w:rsidRPr="00687A04">
              <w:rPr>
                <w:rFonts w:cs="Arial"/>
                <w:color w:val="000000"/>
                <w:szCs w:val="20"/>
              </w:rPr>
              <w:t xml:space="preserve">Government </w:t>
            </w:r>
            <w:r w:rsidR="004E3361">
              <w:rPr>
                <w:rFonts w:cs="Arial"/>
                <w:color w:val="000000"/>
                <w:szCs w:val="20"/>
              </w:rPr>
              <w:t>g</w:t>
            </w:r>
            <w:r w:rsidRPr="00687A04">
              <w:rPr>
                <w:rFonts w:cs="Arial"/>
                <w:color w:val="000000"/>
                <w:szCs w:val="20"/>
              </w:rPr>
              <w:t>rants—</w:t>
            </w:r>
            <w:r w:rsidR="00136A92">
              <w:rPr>
                <w:rFonts w:cs="Arial"/>
                <w:color w:val="000000"/>
                <w:szCs w:val="20"/>
              </w:rPr>
              <w:t>c</w:t>
            </w:r>
            <w:r w:rsidRPr="00687A04">
              <w:rPr>
                <w:rFonts w:cs="Arial"/>
                <w:color w:val="000000"/>
                <w:szCs w:val="20"/>
              </w:rPr>
              <w:t xml:space="preserve">onsumer </w:t>
            </w:r>
            <w:r w:rsidR="00136A92">
              <w:rPr>
                <w:rFonts w:cs="Arial"/>
                <w:color w:val="000000"/>
                <w:szCs w:val="20"/>
              </w:rPr>
              <w:t>r</w:t>
            </w:r>
            <w:r w:rsidRPr="00687A04">
              <w:rPr>
                <w:rFonts w:cs="Arial"/>
                <w:color w:val="000000"/>
                <w:szCs w:val="20"/>
              </w:rPr>
              <w:t xml:space="preserve">epresentation and </w:t>
            </w:r>
            <w:r w:rsidR="00136A92">
              <w:rPr>
                <w:rFonts w:cs="Arial"/>
                <w:color w:val="000000"/>
                <w:szCs w:val="20"/>
              </w:rPr>
              <w:t>r</w:t>
            </w:r>
            <w:r w:rsidRPr="00687A04">
              <w:rPr>
                <w:rFonts w:cs="Arial"/>
                <w:color w:val="000000"/>
                <w:szCs w:val="20"/>
              </w:rPr>
              <w:t>esearch</w:t>
            </w:r>
          </w:p>
        </w:tc>
        <w:tc>
          <w:tcPr>
            <w:tcW w:w="1162" w:type="dxa"/>
            <w:tcBorders>
              <w:top w:val="nil"/>
              <w:left w:val="nil"/>
              <w:bottom w:val="single" w:sz="8" w:space="0" w:color="auto"/>
              <w:right w:val="single" w:sz="8" w:space="0" w:color="auto"/>
            </w:tcBorders>
            <w:shd w:val="clear" w:color="auto" w:fill="auto"/>
            <w:hideMark/>
          </w:tcPr>
          <w:p w14:paraId="188FF563" w14:textId="77777777" w:rsidR="005741DB" w:rsidRPr="00687A04" w:rsidRDefault="005741DB" w:rsidP="005741DB">
            <w:pPr>
              <w:spacing w:after="0" w:line="240" w:lineRule="auto"/>
              <w:jc w:val="right"/>
              <w:rPr>
                <w:rFonts w:cs="Arial"/>
                <w:color w:val="000000"/>
                <w:szCs w:val="20"/>
              </w:rPr>
            </w:pPr>
            <w:r w:rsidRPr="001F42C9">
              <w:t>2.164</w:t>
            </w:r>
          </w:p>
        </w:tc>
        <w:tc>
          <w:tcPr>
            <w:tcW w:w="1162" w:type="dxa"/>
            <w:tcBorders>
              <w:top w:val="nil"/>
              <w:left w:val="nil"/>
              <w:bottom w:val="single" w:sz="8" w:space="0" w:color="auto"/>
              <w:right w:val="single" w:sz="8" w:space="0" w:color="auto"/>
            </w:tcBorders>
            <w:shd w:val="clear" w:color="auto" w:fill="auto"/>
            <w:hideMark/>
          </w:tcPr>
          <w:p w14:paraId="65C59228" w14:textId="77777777" w:rsidR="005741DB" w:rsidRPr="00687A04" w:rsidRDefault="005741DB" w:rsidP="005741DB">
            <w:pPr>
              <w:spacing w:after="0" w:line="240" w:lineRule="auto"/>
              <w:jc w:val="right"/>
              <w:rPr>
                <w:rFonts w:cs="Arial"/>
                <w:color w:val="000000"/>
                <w:szCs w:val="20"/>
              </w:rPr>
            </w:pPr>
            <w:r w:rsidRPr="001F42C9">
              <w:t>2.196</w:t>
            </w:r>
          </w:p>
        </w:tc>
        <w:tc>
          <w:tcPr>
            <w:tcW w:w="1162" w:type="dxa"/>
            <w:tcBorders>
              <w:top w:val="nil"/>
              <w:left w:val="nil"/>
              <w:bottom w:val="single" w:sz="8" w:space="0" w:color="auto"/>
              <w:right w:val="single" w:sz="8" w:space="0" w:color="auto"/>
            </w:tcBorders>
            <w:shd w:val="clear" w:color="auto" w:fill="auto"/>
            <w:hideMark/>
          </w:tcPr>
          <w:p w14:paraId="6784F566" w14:textId="77777777" w:rsidR="005741DB" w:rsidRPr="00687A04" w:rsidRDefault="005741DB" w:rsidP="005741DB">
            <w:pPr>
              <w:spacing w:after="0" w:line="240" w:lineRule="auto"/>
              <w:jc w:val="right"/>
              <w:rPr>
                <w:rFonts w:cs="Arial"/>
                <w:color w:val="000000"/>
                <w:szCs w:val="20"/>
              </w:rPr>
            </w:pPr>
            <w:r w:rsidRPr="001F42C9">
              <w:t>2.237</w:t>
            </w:r>
          </w:p>
        </w:tc>
        <w:tc>
          <w:tcPr>
            <w:tcW w:w="1162" w:type="dxa"/>
            <w:tcBorders>
              <w:top w:val="nil"/>
              <w:left w:val="nil"/>
              <w:bottom w:val="single" w:sz="8" w:space="0" w:color="auto"/>
              <w:right w:val="single" w:sz="8" w:space="0" w:color="auto"/>
            </w:tcBorders>
            <w:shd w:val="clear" w:color="auto" w:fill="auto"/>
            <w:hideMark/>
          </w:tcPr>
          <w:p w14:paraId="72C74755" w14:textId="77777777" w:rsidR="005741DB" w:rsidRPr="00687A04" w:rsidRDefault="005741DB" w:rsidP="005741DB">
            <w:pPr>
              <w:spacing w:after="0" w:line="240" w:lineRule="auto"/>
              <w:jc w:val="right"/>
              <w:rPr>
                <w:rFonts w:cs="Arial"/>
                <w:color w:val="000000"/>
                <w:szCs w:val="20"/>
              </w:rPr>
            </w:pPr>
            <w:r w:rsidRPr="001F42C9">
              <w:t>2.278</w:t>
            </w:r>
          </w:p>
        </w:tc>
        <w:tc>
          <w:tcPr>
            <w:tcW w:w="1163" w:type="dxa"/>
            <w:tcBorders>
              <w:top w:val="nil"/>
              <w:left w:val="nil"/>
              <w:bottom w:val="single" w:sz="8" w:space="0" w:color="auto"/>
              <w:right w:val="single" w:sz="8" w:space="0" w:color="auto"/>
            </w:tcBorders>
            <w:shd w:val="clear" w:color="auto" w:fill="auto"/>
            <w:hideMark/>
          </w:tcPr>
          <w:p w14:paraId="62087CB1" w14:textId="77777777" w:rsidR="005741DB" w:rsidRPr="00687A04" w:rsidRDefault="005741DB" w:rsidP="005741DB">
            <w:pPr>
              <w:spacing w:after="0" w:line="240" w:lineRule="auto"/>
              <w:jc w:val="right"/>
              <w:rPr>
                <w:rFonts w:cs="Arial"/>
                <w:color w:val="000000"/>
                <w:szCs w:val="20"/>
              </w:rPr>
            </w:pPr>
            <w:r w:rsidRPr="001F42C9">
              <w:t>2.318</w:t>
            </w:r>
          </w:p>
        </w:tc>
      </w:tr>
      <w:tr w:rsidR="00780026" w:rsidRPr="005A5B87" w14:paraId="073AD31A" w14:textId="77777777" w:rsidTr="00433B9E">
        <w:trPr>
          <w:trHeight w:val="315"/>
          <w:tblHeader/>
        </w:trPr>
        <w:tc>
          <w:tcPr>
            <w:tcW w:w="3251" w:type="dxa"/>
            <w:gridSpan w:val="2"/>
            <w:tcBorders>
              <w:top w:val="single" w:sz="8" w:space="0" w:color="auto"/>
              <w:left w:val="single" w:sz="8" w:space="0" w:color="auto"/>
              <w:bottom w:val="single" w:sz="8" w:space="0" w:color="auto"/>
              <w:right w:val="single" w:sz="8" w:space="0" w:color="000000"/>
            </w:tcBorders>
            <w:shd w:val="clear" w:color="000000" w:fill="D9D9D9"/>
            <w:hideMark/>
          </w:tcPr>
          <w:p w14:paraId="11DDE6DB" w14:textId="77777777" w:rsidR="00780026" w:rsidRPr="00687A04" w:rsidRDefault="00780026" w:rsidP="00780026">
            <w:pPr>
              <w:spacing w:after="0" w:line="240" w:lineRule="auto"/>
              <w:rPr>
                <w:rFonts w:cs="Arial"/>
                <w:b/>
                <w:bCs/>
                <w:color w:val="000000"/>
                <w:szCs w:val="20"/>
              </w:rPr>
            </w:pPr>
            <w:r w:rsidRPr="00687A04">
              <w:rPr>
                <w:rFonts w:cs="Arial"/>
                <w:b/>
                <w:bCs/>
                <w:color w:val="000000"/>
                <w:szCs w:val="20"/>
              </w:rPr>
              <w:t>Total revenue</w:t>
            </w:r>
          </w:p>
        </w:tc>
        <w:tc>
          <w:tcPr>
            <w:tcW w:w="1162" w:type="dxa"/>
            <w:tcBorders>
              <w:top w:val="nil"/>
              <w:left w:val="nil"/>
              <w:bottom w:val="single" w:sz="8" w:space="0" w:color="auto"/>
              <w:right w:val="single" w:sz="8" w:space="0" w:color="auto"/>
            </w:tcBorders>
            <w:shd w:val="clear" w:color="000000" w:fill="D9D9D9"/>
          </w:tcPr>
          <w:p w14:paraId="08EE173C" w14:textId="77777777" w:rsidR="00780026" w:rsidRPr="00E94F6D" w:rsidRDefault="00780026" w:rsidP="00780026">
            <w:pPr>
              <w:spacing w:after="0" w:line="240" w:lineRule="auto"/>
              <w:jc w:val="right"/>
              <w:rPr>
                <w:rFonts w:cs="Arial"/>
                <w:b/>
                <w:bCs/>
                <w:color w:val="000000"/>
                <w:szCs w:val="20"/>
                <w:highlight w:val="yellow"/>
              </w:rPr>
            </w:pPr>
            <w:r w:rsidRPr="00F44CA2">
              <w:t>38.671</w:t>
            </w:r>
          </w:p>
        </w:tc>
        <w:tc>
          <w:tcPr>
            <w:tcW w:w="1162" w:type="dxa"/>
            <w:tcBorders>
              <w:top w:val="nil"/>
              <w:left w:val="nil"/>
              <w:bottom w:val="single" w:sz="8" w:space="0" w:color="auto"/>
              <w:right w:val="single" w:sz="8" w:space="0" w:color="auto"/>
            </w:tcBorders>
            <w:shd w:val="clear" w:color="000000" w:fill="D9D9D9"/>
          </w:tcPr>
          <w:p w14:paraId="30FE0AB3" w14:textId="77777777" w:rsidR="00780026" w:rsidRPr="00E94F6D" w:rsidRDefault="00780026" w:rsidP="00780026">
            <w:pPr>
              <w:spacing w:after="0" w:line="240" w:lineRule="auto"/>
              <w:jc w:val="right"/>
              <w:rPr>
                <w:rFonts w:cs="Arial"/>
                <w:b/>
                <w:bCs/>
                <w:color w:val="000000"/>
                <w:szCs w:val="20"/>
                <w:highlight w:val="yellow"/>
              </w:rPr>
            </w:pPr>
            <w:r w:rsidRPr="00F44CA2">
              <w:t>36.736</w:t>
            </w:r>
          </w:p>
        </w:tc>
        <w:tc>
          <w:tcPr>
            <w:tcW w:w="1162" w:type="dxa"/>
            <w:tcBorders>
              <w:top w:val="nil"/>
              <w:left w:val="nil"/>
              <w:bottom w:val="single" w:sz="8" w:space="0" w:color="auto"/>
              <w:right w:val="single" w:sz="8" w:space="0" w:color="auto"/>
            </w:tcBorders>
            <w:shd w:val="clear" w:color="000000" w:fill="D9D9D9"/>
          </w:tcPr>
          <w:p w14:paraId="1CED4DD2" w14:textId="77777777" w:rsidR="00780026" w:rsidRPr="00E94F6D" w:rsidRDefault="00780026" w:rsidP="00780026">
            <w:pPr>
              <w:spacing w:after="0" w:line="240" w:lineRule="auto"/>
              <w:jc w:val="right"/>
              <w:rPr>
                <w:rFonts w:cs="Arial"/>
                <w:b/>
                <w:bCs/>
                <w:color w:val="000000"/>
                <w:szCs w:val="20"/>
                <w:highlight w:val="yellow"/>
              </w:rPr>
            </w:pPr>
            <w:r w:rsidRPr="00F44CA2">
              <w:t>35.507</w:t>
            </w:r>
          </w:p>
        </w:tc>
        <w:tc>
          <w:tcPr>
            <w:tcW w:w="1162" w:type="dxa"/>
            <w:tcBorders>
              <w:top w:val="nil"/>
              <w:left w:val="nil"/>
              <w:bottom w:val="single" w:sz="8" w:space="0" w:color="auto"/>
              <w:right w:val="single" w:sz="8" w:space="0" w:color="auto"/>
            </w:tcBorders>
            <w:shd w:val="clear" w:color="000000" w:fill="D9D9D9"/>
          </w:tcPr>
          <w:p w14:paraId="56CF2E21" w14:textId="77777777" w:rsidR="00780026" w:rsidRPr="00E94F6D" w:rsidRDefault="00780026" w:rsidP="00780026">
            <w:pPr>
              <w:spacing w:after="0" w:line="240" w:lineRule="auto"/>
              <w:jc w:val="right"/>
              <w:rPr>
                <w:rFonts w:cs="Arial"/>
                <w:b/>
                <w:bCs/>
                <w:color w:val="000000"/>
                <w:szCs w:val="20"/>
                <w:highlight w:val="yellow"/>
              </w:rPr>
            </w:pPr>
            <w:r w:rsidRPr="00F44CA2">
              <w:t>35.548</w:t>
            </w:r>
          </w:p>
        </w:tc>
        <w:tc>
          <w:tcPr>
            <w:tcW w:w="1163" w:type="dxa"/>
            <w:tcBorders>
              <w:top w:val="nil"/>
              <w:left w:val="nil"/>
              <w:bottom w:val="single" w:sz="8" w:space="0" w:color="auto"/>
              <w:right w:val="single" w:sz="8" w:space="0" w:color="auto"/>
            </w:tcBorders>
            <w:shd w:val="clear" w:color="000000" w:fill="D9D9D9"/>
          </w:tcPr>
          <w:p w14:paraId="652994B5" w14:textId="77777777" w:rsidR="00780026" w:rsidRPr="00E94F6D" w:rsidRDefault="00780026" w:rsidP="00780026">
            <w:pPr>
              <w:spacing w:after="0" w:line="240" w:lineRule="auto"/>
              <w:jc w:val="right"/>
              <w:rPr>
                <w:rFonts w:cs="Arial"/>
                <w:b/>
                <w:bCs/>
                <w:color w:val="000000"/>
                <w:szCs w:val="20"/>
                <w:highlight w:val="yellow"/>
              </w:rPr>
            </w:pPr>
            <w:r>
              <w:t>35.58</w:t>
            </w:r>
            <w:r w:rsidRPr="001F42C9">
              <w:t>8</w:t>
            </w:r>
          </w:p>
        </w:tc>
      </w:tr>
      <w:tr w:rsidR="00780026" w:rsidRPr="005A5B87" w14:paraId="4E6939E6" w14:textId="77777777" w:rsidTr="00433B9E">
        <w:trPr>
          <w:trHeight w:val="315"/>
          <w:tblHeader/>
        </w:trPr>
        <w:tc>
          <w:tcPr>
            <w:tcW w:w="3251" w:type="dxa"/>
            <w:gridSpan w:val="2"/>
            <w:tcBorders>
              <w:top w:val="single" w:sz="8" w:space="0" w:color="auto"/>
              <w:left w:val="single" w:sz="8" w:space="0" w:color="auto"/>
              <w:bottom w:val="single" w:sz="8" w:space="0" w:color="auto"/>
              <w:right w:val="single" w:sz="8" w:space="0" w:color="000000"/>
            </w:tcBorders>
            <w:shd w:val="clear" w:color="000000" w:fill="D9D9D9"/>
            <w:hideMark/>
          </w:tcPr>
          <w:p w14:paraId="76C13CC5" w14:textId="77777777" w:rsidR="00780026" w:rsidRPr="00687A04" w:rsidRDefault="00780026" w:rsidP="00780026">
            <w:pPr>
              <w:spacing w:after="0" w:line="240" w:lineRule="auto"/>
              <w:rPr>
                <w:rFonts w:cs="Arial"/>
                <w:b/>
                <w:bCs/>
                <w:color w:val="000000"/>
                <w:szCs w:val="20"/>
              </w:rPr>
            </w:pPr>
            <w:r w:rsidRPr="00687A04">
              <w:rPr>
                <w:rFonts w:cs="Arial"/>
                <w:b/>
                <w:bCs/>
                <w:color w:val="000000"/>
                <w:szCs w:val="20"/>
              </w:rPr>
              <w:t>Balance</w:t>
            </w:r>
          </w:p>
        </w:tc>
        <w:tc>
          <w:tcPr>
            <w:tcW w:w="1162" w:type="dxa"/>
            <w:tcBorders>
              <w:top w:val="single" w:sz="8" w:space="0" w:color="auto"/>
              <w:left w:val="nil"/>
              <w:bottom w:val="single" w:sz="8" w:space="0" w:color="auto"/>
              <w:right w:val="single" w:sz="8" w:space="0" w:color="auto"/>
            </w:tcBorders>
            <w:shd w:val="clear" w:color="000000" w:fill="D9D9D9"/>
          </w:tcPr>
          <w:p w14:paraId="6E4557D6" w14:textId="77777777" w:rsidR="00780026" w:rsidRPr="00E94F6D" w:rsidRDefault="00780026" w:rsidP="00780026">
            <w:pPr>
              <w:spacing w:after="0" w:line="240" w:lineRule="auto"/>
              <w:jc w:val="right"/>
              <w:rPr>
                <w:rFonts w:cs="Arial"/>
                <w:b/>
                <w:bCs/>
                <w:color w:val="000000"/>
                <w:szCs w:val="20"/>
                <w:highlight w:val="yellow"/>
              </w:rPr>
            </w:pPr>
            <w:r w:rsidRPr="00F44CA2">
              <w:t>0.000</w:t>
            </w:r>
          </w:p>
        </w:tc>
        <w:tc>
          <w:tcPr>
            <w:tcW w:w="1162" w:type="dxa"/>
            <w:tcBorders>
              <w:top w:val="single" w:sz="8" w:space="0" w:color="auto"/>
              <w:left w:val="nil"/>
              <w:bottom w:val="single" w:sz="8" w:space="0" w:color="auto"/>
              <w:right w:val="single" w:sz="8" w:space="0" w:color="auto"/>
            </w:tcBorders>
            <w:shd w:val="clear" w:color="000000" w:fill="D9D9D9"/>
          </w:tcPr>
          <w:p w14:paraId="754799C3" w14:textId="77777777" w:rsidR="00780026" w:rsidRPr="00E94F6D" w:rsidRDefault="00780026" w:rsidP="00780026">
            <w:pPr>
              <w:spacing w:after="0" w:line="240" w:lineRule="auto"/>
              <w:jc w:val="right"/>
              <w:rPr>
                <w:rFonts w:cs="Arial"/>
                <w:b/>
                <w:bCs/>
                <w:color w:val="000000"/>
                <w:szCs w:val="20"/>
                <w:highlight w:val="yellow"/>
              </w:rPr>
            </w:pPr>
            <w:r w:rsidRPr="00F44CA2">
              <w:t>1.140</w:t>
            </w:r>
          </w:p>
        </w:tc>
        <w:tc>
          <w:tcPr>
            <w:tcW w:w="1162" w:type="dxa"/>
            <w:tcBorders>
              <w:top w:val="single" w:sz="8" w:space="0" w:color="auto"/>
              <w:left w:val="nil"/>
              <w:bottom w:val="single" w:sz="8" w:space="0" w:color="auto"/>
              <w:right w:val="single" w:sz="8" w:space="0" w:color="auto"/>
            </w:tcBorders>
            <w:shd w:val="clear" w:color="000000" w:fill="D9D9D9"/>
          </w:tcPr>
          <w:p w14:paraId="56E2B2C4" w14:textId="77777777" w:rsidR="00780026" w:rsidRPr="00E94F6D" w:rsidRDefault="00780026" w:rsidP="00780026">
            <w:pPr>
              <w:spacing w:after="0" w:line="240" w:lineRule="auto"/>
              <w:jc w:val="right"/>
              <w:rPr>
                <w:rFonts w:cs="Arial"/>
                <w:b/>
                <w:bCs/>
                <w:color w:val="000000"/>
                <w:szCs w:val="20"/>
                <w:highlight w:val="yellow"/>
              </w:rPr>
            </w:pPr>
            <w:r w:rsidRPr="00F44CA2">
              <w:t>0.000</w:t>
            </w:r>
          </w:p>
        </w:tc>
        <w:tc>
          <w:tcPr>
            <w:tcW w:w="1162" w:type="dxa"/>
            <w:tcBorders>
              <w:top w:val="single" w:sz="8" w:space="0" w:color="auto"/>
              <w:left w:val="nil"/>
              <w:bottom w:val="single" w:sz="8" w:space="0" w:color="auto"/>
              <w:right w:val="single" w:sz="8" w:space="0" w:color="auto"/>
            </w:tcBorders>
            <w:shd w:val="clear" w:color="000000" w:fill="D9D9D9"/>
          </w:tcPr>
          <w:p w14:paraId="51F0FCD1" w14:textId="77777777" w:rsidR="00780026" w:rsidRPr="00E94F6D" w:rsidRDefault="00780026" w:rsidP="00780026">
            <w:pPr>
              <w:spacing w:after="0" w:line="240" w:lineRule="auto"/>
              <w:jc w:val="right"/>
              <w:rPr>
                <w:rFonts w:cs="Arial"/>
                <w:b/>
                <w:bCs/>
                <w:color w:val="000000"/>
                <w:szCs w:val="20"/>
                <w:highlight w:val="yellow"/>
              </w:rPr>
            </w:pPr>
            <w:r w:rsidRPr="00F44CA2">
              <w:t>0.000</w:t>
            </w:r>
          </w:p>
        </w:tc>
        <w:tc>
          <w:tcPr>
            <w:tcW w:w="1163" w:type="dxa"/>
            <w:tcBorders>
              <w:top w:val="single" w:sz="8" w:space="0" w:color="auto"/>
              <w:left w:val="nil"/>
              <w:bottom w:val="single" w:sz="8" w:space="0" w:color="auto"/>
              <w:right w:val="single" w:sz="8" w:space="0" w:color="auto"/>
            </w:tcBorders>
            <w:shd w:val="clear" w:color="000000" w:fill="D9D9D9"/>
          </w:tcPr>
          <w:p w14:paraId="251FC22F" w14:textId="77777777" w:rsidR="00780026" w:rsidRPr="00E94F6D" w:rsidRDefault="00780026" w:rsidP="00780026">
            <w:pPr>
              <w:spacing w:after="0" w:line="240" w:lineRule="auto"/>
              <w:jc w:val="right"/>
              <w:rPr>
                <w:rFonts w:cs="Arial"/>
                <w:b/>
                <w:bCs/>
                <w:color w:val="000000"/>
                <w:szCs w:val="20"/>
                <w:highlight w:val="yellow"/>
              </w:rPr>
            </w:pPr>
            <w:r w:rsidRPr="001F42C9">
              <w:t>0.000</w:t>
            </w:r>
          </w:p>
        </w:tc>
      </w:tr>
    </w:tbl>
    <w:p w14:paraId="35DF0891" w14:textId="77777777" w:rsidR="0090217E" w:rsidRDefault="0090217E" w:rsidP="00CE6BED">
      <w:pPr>
        <w:pStyle w:val="ACMASpaceaftertable"/>
      </w:pPr>
    </w:p>
    <w:p w14:paraId="48587E9D" w14:textId="7F37871D" w:rsidR="009B2A22" w:rsidRDefault="009B2A22" w:rsidP="009B2A22">
      <w:pPr>
        <w:rPr>
          <w:rFonts w:cs="Arial"/>
        </w:rPr>
      </w:pPr>
      <w:r w:rsidRPr="00720272">
        <w:rPr>
          <w:rFonts w:cs="Arial"/>
        </w:rPr>
        <w:t>The revenues have been calculated in accordance with the Act. The Act requires the components under paragraph 15(1)(a)</w:t>
      </w:r>
      <w:r>
        <w:rPr>
          <w:rFonts w:cs="Arial"/>
        </w:rPr>
        <w:t xml:space="preserve">, </w:t>
      </w:r>
      <w:r w:rsidRPr="00720272">
        <w:rPr>
          <w:rFonts w:cs="Arial"/>
        </w:rPr>
        <w:t xml:space="preserve">15(1)(b) and 15(1)(ca) to be calculated on the costs that are incurred in the financial year immediately preceding the financial year for which the charges are imposed. </w:t>
      </w:r>
      <w:r>
        <w:rPr>
          <w:rFonts w:cs="Arial"/>
        </w:rPr>
        <w:t xml:space="preserve">As a result, </w:t>
      </w:r>
      <w:r w:rsidRPr="009B2A22">
        <w:rPr>
          <w:rFonts w:cs="Arial"/>
        </w:rPr>
        <w:t xml:space="preserve">the revenues for 15(1)(a), 15(1)(b) and </w:t>
      </w:r>
      <w:r w:rsidRPr="00D35E14">
        <w:rPr>
          <w:rFonts w:cs="Arial"/>
        </w:rPr>
        <w:t xml:space="preserve">15(1)(ca) are based on the previous year’s expenditure. </w:t>
      </w:r>
      <w:r w:rsidR="001F572C">
        <w:rPr>
          <w:rFonts w:cs="Arial"/>
        </w:rPr>
        <w:t>Under</w:t>
      </w:r>
      <w:r w:rsidRPr="00D35E14">
        <w:rPr>
          <w:rFonts w:cs="Arial"/>
        </w:rPr>
        <w:t xml:space="preserve"> </w:t>
      </w:r>
      <w:r w:rsidR="000A40F6" w:rsidRPr="00D35E14">
        <w:rPr>
          <w:rFonts w:cs="Arial"/>
        </w:rPr>
        <w:t xml:space="preserve">the </w:t>
      </w:r>
      <w:r w:rsidRPr="00D35E14">
        <w:rPr>
          <w:rFonts w:cs="Arial"/>
        </w:rPr>
        <w:t>Act, t</w:t>
      </w:r>
      <w:r w:rsidRPr="00D35E14">
        <w:t xml:space="preserve">he cost component under paragraph 15(1)(c) relates to the calendar year in which the beginning of the financial year for imposing the ACLC occurs. </w:t>
      </w:r>
      <w:r w:rsidR="002850F8" w:rsidRPr="00D35E14">
        <w:t xml:space="preserve">In order to translate the expenditure incurred in the calendar year to the </w:t>
      </w:r>
      <w:r w:rsidR="00B27DA2" w:rsidRPr="00D35E14">
        <w:t xml:space="preserve">respective fiscal </w:t>
      </w:r>
      <w:r w:rsidR="002850F8" w:rsidRPr="00D35E14">
        <w:t>year, an average expe</w:t>
      </w:r>
      <w:r w:rsidR="00B27DA2" w:rsidRPr="00D35E14">
        <w:t>n</w:t>
      </w:r>
      <w:r w:rsidR="002B5531" w:rsidRPr="00D35E14">
        <w:t>diture of</w:t>
      </w:r>
      <w:r w:rsidR="00B27DA2" w:rsidRPr="00D35E14">
        <w:t xml:space="preserve"> two consecutive calendar years </w:t>
      </w:r>
      <w:r w:rsidR="002B5531" w:rsidRPr="00D35E14">
        <w:t>is used</w:t>
      </w:r>
      <w:r w:rsidR="00B27DA2" w:rsidRPr="00D35E14">
        <w:t>.</w:t>
      </w:r>
      <w:r w:rsidR="002B5531" w:rsidRPr="00D35E14">
        <w:t xml:space="preserve"> This</w:t>
      </w:r>
      <w:r w:rsidRPr="00D35E14">
        <w:t xml:space="preserve"> </w:t>
      </w:r>
      <w:r w:rsidRPr="00D35E14">
        <w:rPr>
          <w:rFonts w:cs="Arial"/>
        </w:rPr>
        <w:t xml:space="preserve">creates a lag in </w:t>
      </w:r>
      <w:r w:rsidRPr="00D35E14">
        <w:rPr>
          <w:rFonts w:cs="Arial"/>
        </w:rPr>
        <w:lastRenderedPageBreak/>
        <w:t>recognising the revenue, which has resulted in a surplus or deficit balance (that is, a</w:t>
      </w:r>
      <w:r w:rsidRPr="00720272">
        <w:rPr>
          <w:rFonts w:cs="Arial"/>
        </w:rPr>
        <w:t xml:space="preserve"> timing d</w:t>
      </w:r>
      <w:r>
        <w:rPr>
          <w:rFonts w:cs="Arial"/>
        </w:rPr>
        <w:t>i</w:t>
      </w:r>
      <w:r w:rsidRPr="00720272">
        <w:rPr>
          <w:rFonts w:cs="Arial"/>
        </w:rPr>
        <w:t>f</w:t>
      </w:r>
      <w:r>
        <w:rPr>
          <w:rFonts w:cs="Arial"/>
        </w:rPr>
        <w:t>f</w:t>
      </w:r>
      <w:r w:rsidRPr="00720272">
        <w:rPr>
          <w:rFonts w:cs="Arial"/>
        </w:rPr>
        <w:t>erence) for each financial year.</w:t>
      </w:r>
      <w:r>
        <w:rPr>
          <w:rFonts w:cs="Arial"/>
        </w:rPr>
        <w:t xml:space="preserve"> </w:t>
      </w:r>
    </w:p>
    <w:p w14:paraId="05FE2202" w14:textId="7850D883" w:rsidR="00B815BC" w:rsidRDefault="00977B43" w:rsidP="00B815BC">
      <w:r w:rsidRPr="00D35E14">
        <w:rPr>
          <w:rFonts w:cs="Arial"/>
          <w:iCs/>
        </w:rPr>
        <w:t xml:space="preserve">The level of expenditure for the ACMA </w:t>
      </w:r>
      <w:r w:rsidR="006D6ED5">
        <w:rPr>
          <w:rFonts w:cs="Arial"/>
          <w:iCs/>
        </w:rPr>
        <w:t xml:space="preserve">in future years </w:t>
      </w:r>
      <w:r w:rsidRPr="00D35E14">
        <w:rPr>
          <w:rFonts w:cs="Arial"/>
          <w:iCs/>
        </w:rPr>
        <w:t>is expected to remain at t</w:t>
      </w:r>
      <w:r w:rsidR="00D35E14" w:rsidRPr="00D35E14">
        <w:rPr>
          <w:rFonts w:cs="Arial"/>
          <w:iCs/>
        </w:rPr>
        <w:t xml:space="preserve">he 2014-15 financial </w:t>
      </w:r>
      <w:r w:rsidR="00D35E14" w:rsidRPr="0071508A">
        <w:rPr>
          <w:rFonts w:cs="Arial"/>
          <w:iCs/>
        </w:rPr>
        <w:t>year level.</w:t>
      </w:r>
      <w:r w:rsidRPr="0071508A">
        <w:rPr>
          <w:rFonts w:cs="Arial"/>
          <w:iCs/>
        </w:rPr>
        <w:t xml:space="preserve"> </w:t>
      </w:r>
      <w:r w:rsidR="00D35E14" w:rsidRPr="0071508A">
        <w:rPr>
          <w:rFonts w:cs="Arial"/>
          <w:iCs/>
        </w:rPr>
        <w:t>This</w:t>
      </w:r>
      <w:r w:rsidRPr="0071508A">
        <w:rPr>
          <w:rFonts w:cs="Arial"/>
          <w:iCs/>
        </w:rPr>
        <w:t xml:space="preserve"> has </w:t>
      </w:r>
      <w:r w:rsidR="00B815BC" w:rsidRPr="0071508A">
        <w:rPr>
          <w:rFonts w:cs="Arial"/>
          <w:iCs/>
        </w:rPr>
        <w:t xml:space="preserve">already </w:t>
      </w:r>
      <w:r w:rsidR="00D35E14" w:rsidRPr="0071508A">
        <w:rPr>
          <w:rFonts w:cs="Arial"/>
          <w:iCs/>
        </w:rPr>
        <w:t>decreased</w:t>
      </w:r>
      <w:r w:rsidRPr="0071508A">
        <w:rPr>
          <w:rFonts w:cs="Arial"/>
          <w:iCs/>
        </w:rPr>
        <w:t xml:space="preserve"> by </w:t>
      </w:r>
      <w:r w:rsidR="00D35E14" w:rsidRPr="00D372CC">
        <w:rPr>
          <w:rFonts w:cs="Arial"/>
          <w:iCs/>
        </w:rPr>
        <w:t>10.6</w:t>
      </w:r>
      <w:r w:rsidR="00B815BC" w:rsidRPr="0071508A">
        <w:rPr>
          <w:rFonts w:cs="Arial"/>
          <w:iCs/>
        </w:rPr>
        <w:t xml:space="preserve"> per cent</w:t>
      </w:r>
      <w:r w:rsidRPr="0071508A">
        <w:rPr>
          <w:rFonts w:cs="Arial"/>
          <w:iCs/>
        </w:rPr>
        <w:t xml:space="preserve"> from </w:t>
      </w:r>
      <w:r w:rsidR="00D35E14" w:rsidRPr="0071508A">
        <w:rPr>
          <w:rFonts w:cs="Arial"/>
          <w:iCs/>
        </w:rPr>
        <w:t xml:space="preserve">the </w:t>
      </w:r>
      <w:r w:rsidRPr="0071508A">
        <w:rPr>
          <w:rFonts w:cs="Arial"/>
          <w:iCs/>
        </w:rPr>
        <w:t>2013-14 financial</w:t>
      </w:r>
      <w:r w:rsidRPr="00D35E14">
        <w:rPr>
          <w:rFonts w:cs="Arial"/>
          <w:iCs/>
        </w:rPr>
        <w:t xml:space="preserve"> year. The estimated decrease for the ACCC from 2015</w:t>
      </w:r>
      <w:r w:rsidR="00C45ED9">
        <w:rPr>
          <w:rFonts w:cs="Arial"/>
          <w:iCs/>
        </w:rPr>
        <w:t>–</w:t>
      </w:r>
      <w:r w:rsidRPr="00D35E14">
        <w:rPr>
          <w:rFonts w:cs="Arial"/>
          <w:iCs/>
        </w:rPr>
        <w:t>16 reflects a reprioritisation of funds</w:t>
      </w:r>
      <w:r w:rsidRPr="00977B43">
        <w:rPr>
          <w:rFonts w:cs="Arial"/>
          <w:iCs/>
        </w:rPr>
        <w:t xml:space="preserve"> from corporate support services to the agency’s operational </w:t>
      </w:r>
      <w:r w:rsidR="00C45ED9">
        <w:rPr>
          <w:rFonts w:cs="Arial"/>
          <w:iCs/>
        </w:rPr>
        <w:t>d</w:t>
      </w:r>
      <w:r w:rsidRPr="00977B43">
        <w:rPr>
          <w:rFonts w:cs="Arial"/>
          <w:iCs/>
        </w:rPr>
        <w:t xml:space="preserve">ivisions. As a result, the overhead pool will be smaller in the budget and the forward estimates. </w:t>
      </w:r>
      <w:r w:rsidR="00B815BC">
        <w:t xml:space="preserve">As disclosed in </w:t>
      </w:r>
      <w:r w:rsidR="00B815BC" w:rsidRPr="00136A92">
        <w:t>the 2015</w:t>
      </w:r>
      <w:r w:rsidR="00C45ED9" w:rsidRPr="00136A92">
        <w:t>–</w:t>
      </w:r>
      <w:r w:rsidR="00B815BC" w:rsidRPr="00136A92">
        <w:t>16 Portfolio Additional Estimates Statements for the DoCA, the grant for consumer representation and research</w:t>
      </w:r>
      <w:r w:rsidR="00B815BC">
        <w:t xml:space="preserve"> will be subject to increase in accordance with the indexation</w:t>
      </w:r>
      <w:r w:rsidR="00C45ED9">
        <w:t>,</w:t>
      </w:r>
      <w:r w:rsidR="00B815BC">
        <w:t xml:space="preserve"> as the indexation pause was lifted in June 2015.</w:t>
      </w:r>
    </w:p>
    <w:p w14:paraId="016B5975" w14:textId="77777777" w:rsidR="009E783D" w:rsidRDefault="00977B43" w:rsidP="009E783D">
      <w:r>
        <w:t>T</w:t>
      </w:r>
      <w:r w:rsidR="009E783D" w:rsidRPr="004437BE">
        <w:t xml:space="preserve">he ACMA and other participating organisations have not budgeted for any additional activities that relate to telecommunications functions and powers for the forward financial years. </w:t>
      </w:r>
      <w:bookmarkStart w:id="86" w:name="_Toc355953994"/>
      <w:bookmarkStart w:id="87" w:name="_Toc385256323"/>
    </w:p>
    <w:p w14:paraId="0E538FDC" w14:textId="77777777" w:rsidR="009E783D" w:rsidRPr="00CC3F4B" w:rsidRDefault="009E783D" w:rsidP="009E783D">
      <w:pPr>
        <w:pStyle w:val="Heading1"/>
      </w:pPr>
      <w:bookmarkStart w:id="88" w:name="_Toc417990965"/>
      <w:bookmarkStart w:id="89" w:name="_Toc454268381"/>
      <w:r>
        <w:lastRenderedPageBreak/>
        <w:t xml:space="preserve">7A. </w:t>
      </w:r>
      <w:r w:rsidRPr="00CC3F4B">
        <w:t xml:space="preserve">Financial </w:t>
      </w:r>
      <w:r>
        <w:t>performance</w:t>
      </w:r>
      <w:bookmarkEnd w:id="88"/>
      <w:bookmarkEnd w:id="89"/>
    </w:p>
    <w:p w14:paraId="36C2A0CC" w14:textId="77777777" w:rsidR="003F4664" w:rsidRDefault="009E783D" w:rsidP="00D567BE">
      <w:pPr>
        <w:rPr>
          <w:rFonts w:cs="Arial"/>
          <w:iCs/>
        </w:rPr>
      </w:pPr>
      <w:r w:rsidRPr="001B4BD7">
        <w:rPr>
          <w:rFonts w:cs="Arial"/>
          <w:iCs/>
        </w:rPr>
        <w:t>Historical actual financial results for AC</w:t>
      </w:r>
      <w:r>
        <w:rPr>
          <w:rFonts w:cs="Arial"/>
          <w:iCs/>
        </w:rPr>
        <w:t>LC</w:t>
      </w:r>
      <w:r w:rsidRPr="001B4BD7">
        <w:rPr>
          <w:rFonts w:cs="Arial"/>
          <w:iCs/>
        </w:rPr>
        <w:t xml:space="preserve"> for </w:t>
      </w:r>
      <w:r>
        <w:rPr>
          <w:rFonts w:cs="Arial"/>
          <w:iCs/>
        </w:rPr>
        <w:t>2</w:t>
      </w:r>
      <w:r w:rsidR="0059546E">
        <w:rPr>
          <w:rFonts w:cs="Arial"/>
          <w:iCs/>
        </w:rPr>
        <w:t>014</w:t>
      </w:r>
      <w:r w:rsidR="003F4664">
        <w:rPr>
          <w:rFonts w:cs="Arial"/>
          <w:iCs/>
        </w:rPr>
        <w:t>–</w:t>
      </w:r>
      <w:r w:rsidR="0059546E">
        <w:rPr>
          <w:rFonts w:cs="Arial"/>
          <w:iCs/>
        </w:rPr>
        <w:t>15</w:t>
      </w:r>
      <w:r w:rsidRPr="003F4664">
        <w:rPr>
          <w:rFonts w:cs="Arial"/>
          <w:iCs/>
        </w:rPr>
        <w:t xml:space="preserve"> and</w:t>
      </w:r>
      <w:r w:rsidRPr="001B4BD7">
        <w:rPr>
          <w:rFonts w:cs="Arial"/>
          <w:iCs/>
        </w:rPr>
        <w:t xml:space="preserve"> previous </w:t>
      </w:r>
      <w:r w:rsidR="00D866D4">
        <w:rPr>
          <w:rFonts w:cs="Arial"/>
          <w:iCs/>
        </w:rPr>
        <w:t>financial years are in Table 13</w:t>
      </w:r>
      <w:r w:rsidR="003F4664">
        <w:rPr>
          <w:rFonts w:cs="Arial"/>
          <w:iCs/>
        </w:rPr>
        <w:t>.</w:t>
      </w:r>
    </w:p>
    <w:p w14:paraId="639F8816" w14:textId="77777777" w:rsidR="003F4664" w:rsidRPr="003F4664" w:rsidRDefault="00D866D4" w:rsidP="00D866D4">
      <w:pPr>
        <w:pStyle w:val="ACMATableHeader"/>
        <w:numPr>
          <w:ilvl w:val="0"/>
          <w:numId w:val="0"/>
        </w:numPr>
        <w:rPr>
          <w:rFonts w:cs="Arial"/>
          <w:iCs/>
        </w:rPr>
      </w:pPr>
      <w:r>
        <w:t>Table 13:</w:t>
      </w:r>
      <w:r>
        <w:tab/>
      </w:r>
      <w:r w:rsidR="003F4664">
        <w:t>Historical ACLC expenses and revenue</w:t>
      </w:r>
    </w:p>
    <w:tbl>
      <w:tblPr>
        <w:tblW w:w="9460" w:type="dxa"/>
        <w:tblLayout w:type="fixed"/>
        <w:tblCellMar>
          <w:top w:w="57" w:type="dxa"/>
          <w:left w:w="57" w:type="dxa"/>
          <w:bottom w:w="57" w:type="dxa"/>
          <w:right w:w="57" w:type="dxa"/>
        </w:tblCellMar>
        <w:tblLook w:val="04A0" w:firstRow="1" w:lastRow="0" w:firstColumn="1" w:lastColumn="0" w:noHBand="0" w:noVBand="1"/>
      </w:tblPr>
      <w:tblGrid>
        <w:gridCol w:w="955"/>
        <w:gridCol w:w="2551"/>
        <w:gridCol w:w="1190"/>
        <w:gridCol w:w="1191"/>
        <w:gridCol w:w="1191"/>
        <w:gridCol w:w="1191"/>
        <w:gridCol w:w="1191"/>
      </w:tblGrid>
      <w:tr w:rsidR="003F4664" w:rsidRPr="001431D5" w14:paraId="4420022E" w14:textId="77777777" w:rsidTr="00593B36">
        <w:trPr>
          <w:cantSplit/>
          <w:trHeight w:val="300"/>
          <w:tblHeader/>
        </w:trPr>
        <w:tc>
          <w:tcPr>
            <w:tcW w:w="955" w:type="dxa"/>
            <w:vMerge w:val="restart"/>
            <w:tcBorders>
              <w:top w:val="single" w:sz="8" w:space="0" w:color="auto"/>
              <w:left w:val="single" w:sz="8" w:space="0" w:color="auto"/>
              <w:bottom w:val="single" w:sz="8" w:space="0" w:color="000000"/>
              <w:right w:val="single" w:sz="8" w:space="0" w:color="auto"/>
            </w:tcBorders>
            <w:shd w:val="clear" w:color="000000" w:fill="404040"/>
            <w:hideMark/>
          </w:tcPr>
          <w:p w14:paraId="7A34B192" w14:textId="77777777" w:rsidR="003F4664" w:rsidRPr="00687A04" w:rsidRDefault="003F4664" w:rsidP="00593B36">
            <w:pPr>
              <w:spacing w:after="0" w:line="240" w:lineRule="auto"/>
              <w:rPr>
                <w:rFonts w:cs="Arial"/>
                <w:b/>
                <w:bCs/>
                <w:color w:val="FFFFFF"/>
                <w:szCs w:val="20"/>
              </w:rPr>
            </w:pPr>
            <w:r w:rsidRPr="00687A04">
              <w:rPr>
                <w:rFonts w:cs="Arial"/>
                <w:b/>
                <w:bCs/>
                <w:color w:val="FFFFFF"/>
                <w:szCs w:val="20"/>
              </w:rPr>
              <w:t>Ref</w:t>
            </w:r>
            <w:r>
              <w:rPr>
                <w:rFonts w:cs="Arial"/>
                <w:b/>
                <w:bCs/>
                <w:color w:val="FFFFFF"/>
                <w:szCs w:val="20"/>
              </w:rPr>
              <w:t>.</w:t>
            </w:r>
            <w:r w:rsidRPr="00687A04">
              <w:rPr>
                <w:rFonts w:cs="Arial"/>
                <w:b/>
                <w:bCs/>
                <w:color w:val="FFFFFF"/>
                <w:szCs w:val="20"/>
              </w:rPr>
              <w:t xml:space="preserve"> in the Act</w:t>
            </w:r>
          </w:p>
        </w:tc>
        <w:tc>
          <w:tcPr>
            <w:tcW w:w="2551" w:type="dxa"/>
            <w:vMerge w:val="restart"/>
            <w:tcBorders>
              <w:top w:val="single" w:sz="8" w:space="0" w:color="auto"/>
              <w:left w:val="single" w:sz="8" w:space="0" w:color="auto"/>
              <w:bottom w:val="single" w:sz="8" w:space="0" w:color="000000"/>
              <w:right w:val="single" w:sz="8" w:space="0" w:color="auto"/>
            </w:tcBorders>
            <w:shd w:val="clear" w:color="000000" w:fill="404040"/>
            <w:hideMark/>
          </w:tcPr>
          <w:p w14:paraId="528D185D" w14:textId="77777777" w:rsidR="003F4664" w:rsidRPr="00687A04" w:rsidRDefault="0059546E" w:rsidP="00593B36">
            <w:pPr>
              <w:spacing w:after="0" w:line="240" w:lineRule="auto"/>
              <w:rPr>
                <w:rFonts w:cs="Arial"/>
                <w:b/>
                <w:bCs/>
                <w:color w:val="FFFFFF"/>
                <w:szCs w:val="20"/>
              </w:rPr>
            </w:pPr>
            <w:r>
              <w:rPr>
                <w:rFonts w:cs="Arial"/>
                <w:b/>
                <w:bCs/>
                <w:color w:val="FFFFFF"/>
                <w:szCs w:val="20"/>
              </w:rPr>
              <w:t>Component</w:t>
            </w:r>
          </w:p>
        </w:tc>
        <w:tc>
          <w:tcPr>
            <w:tcW w:w="1190" w:type="dxa"/>
            <w:tcBorders>
              <w:top w:val="single" w:sz="8" w:space="0" w:color="auto"/>
              <w:left w:val="nil"/>
              <w:bottom w:val="nil"/>
              <w:right w:val="single" w:sz="8" w:space="0" w:color="auto"/>
            </w:tcBorders>
            <w:shd w:val="clear" w:color="000000" w:fill="404040"/>
            <w:hideMark/>
          </w:tcPr>
          <w:p w14:paraId="09EC7809" w14:textId="77777777" w:rsidR="003F4664" w:rsidRPr="00687A04" w:rsidRDefault="0090217E" w:rsidP="00F07C43">
            <w:pPr>
              <w:spacing w:after="120" w:line="240" w:lineRule="auto"/>
              <w:jc w:val="right"/>
              <w:rPr>
                <w:rFonts w:cs="Arial"/>
                <w:b/>
                <w:bCs/>
                <w:color w:val="FFFFFF"/>
                <w:szCs w:val="20"/>
              </w:rPr>
            </w:pPr>
            <w:r>
              <w:rPr>
                <w:rFonts w:cs="Arial"/>
                <w:b/>
                <w:bCs/>
                <w:color w:val="FFFFFF"/>
                <w:szCs w:val="20"/>
              </w:rPr>
              <w:t>2014</w:t>
            </w:r>
            <w:r w:rsidR="003F4664">
              <w:rPr>
                <w:rFonts w:cs="Arial"/>
                <w:b/>
                <w:bCs/>
                <w:color w:val="FFFFFF"/>
                <w:szCs w:val="20"/>
              </w:rPr>
              <w:t>–</w:t>
            </w:r>
            <w:r>
              <w:rPr>
                <w:rFonts w:cs="Arial"/>
                <w:b/>
                <w:bCs/>
                <w:color w:val="FFFFFF"/>
                <w:szCs w:val="20"/>
              </w:rPr>
              <w:t>15</w:t>
            </w:r>
          </w:p>
        </w:tc>
        <w:tc>
          <w:tcPr>
            <w:tcW w:w="1191" w:type="dxa"/>
            <w:tcBorders>
              <w:top w:val="single" w:sz="8" w:space="0" w:color="auto"/>
              <w:left w:val="nil"/>
              <w:bottom w:val="nil"/>
              <w:right w:val="single" w:sz="8" w:space="0" w:color="auto"/>
            </w:tcBorders>
            <w:shd w:val="clear" w:color="000000" w:fill="404040"/>
            <w:hideMark/>
          </w:tcPr>
          <w:p w14:paraId="4FC5B95A" w14:textId="77777777" w:rsidR="003F4664" w:rsidRPr="00687A04" w:rsidRDefault="0090217E" w:rsidP="00F07C43">
            <w:pPr>
              <w:spacing w:after="120" w:line="240" w:lineRule="auto"/>
              <w:jc w:val="right"/>
              <w:rPr>
                <w:rFonts w:cs="Arial"/>
                <w:b/>
                <w:bCs/>
                <w:color w:val="FFFFFF"/>
                <w:szCs w:val="20"/>
              </w:rPr>
            </w:pPr>
            <w:r>
              <w:rPr>
                <w:rFonts w:cs="Arial"/>
                <w:b/>
                <w:bCs/>
                <w:color w:val="FFFFFF"/>
                <w:szCs w:val="20"/>
              </w:rPr>
              <w:t>2013</w:t>
            </w:r>
            <w:r w:rsidR="003F4664">
              <w:rPr>
                <w:rFonts w:cs="Arial"/>
                <w:b/>
                <w:bCs/>
                <w:color w:val="FFFFFF"/>
                <w:szCs w:val="20"/>
              </w:rPr>
              <w:t>–</w:t>
            </w:r>
            <w:r>
              <w:rPr>
                <w:rFonts w:cs="Arial"/>
                <w:b/>
                <w:bCs/>
                <w:color w:val="FFFFFF"/>
                <w:szCs w:val="20"/>
              </w:rPr>
              <w:t>14</w:t>
            </w:r>
          </w:p>
        </w:tc>
        <w:tc>
          <w:tcPr>
            <w:tcW w:w="1191" w:type="dxa"/>
            <w:tcBorders>
              <w:top w:val="single" w:sz="8" w:space="0" w:color="auto"/>
              <w:left w:val="nil"/>
              <w:bottom w:val="nil"/>
              <w:right w:val="single" w:sz="8" w:space="0" w:color="auto"/>
            </w:tcBorders>
            <w:shd w:val="clear" w:color="000000" w:fill="404040"/>
            <w:hideMark/>
          </w:tcPr>
          <w:p w14:paraId="6F64817E" w14:textId="77777777" w:rsidR="003F4664" w:rsidRPr="00687A04" w:rsidRDefault="0090217E" w:rsidP="00F07C43">
            <w:pPr>
              <w:spacing w:after="120" w:line="240" w:lineRule="auto"/>
              <w:jc w:val="right"/>
              <w:rPr>
                <w:rFonts w:cs="Arial"/>
                <w:b/>
                <w:bCs/>
                <w:color w:val="FFFFFF"/>
                <w:szCs w:val="20"/>
              </w:rPr>
            </w:pPr>
            <w:r>
              <w:rPr>
                <w:rFonts w:cs="Arial"/>
                <w:b/>
                <w:bCs/>
                <w:color w:val="FFFFFF"/>
                <w:szCs w:val="20"/>
              </w:rPr>
              <w:t>2012</w:t>
            </w:r>
            <w:r w:rsidR="003F4664">
              <w:rPr>
                <w:rFonts w:cs="Arial"/>
                <w:b/>
                <w:bCs/>
                <w:color w:val="FFFFFF"/>
                <w:szCs w:val="20"/>
              </w:rPr>
              <w:t>–</w:t>
            </w:r>
            <w:r>
              <w:rPr>
                <w:rFonts w:cs="Arial"/>
                <w:b/>
                <w:bCs/>
                <w:color w:val="FFFFFF"/>
                <w:szCs w:val="20"/>
              </w:rPr>
              <w:t>13</w:t>
            </w:r>
          </w:p>
        </w:tc>
        <w:tc>
          <w:tcPr>
            <w:tcW w:w="1191" w:type="dxa"/>
            <w:tcBorders>
              <w:top w:val="single" w:sz="8" w:space="0" w:color="auto"/>
              <w:left w:val="nil"/>
              <w:bottom w:val="nil"/>
              <w:right w:val="single" w:sz="8" w:space="0" w:color="auto"/>
            </w:tcBorders>
            <w:shd w:val="clear" w:color="000000" w:fill="404040"/>
            <w:hideMark/>
          </w:tcPr>
          <w:p w14:paraId="7DC8A9C5" w14:textId="77777777" w:rsidR="003F4664" w:rsidRPr="00687A04" w:rsidRDefault="0090217E" w:rsidP="00F07C43">
            <w:pPr>
              <w:spacing w:after="120" w:line="240" w:lineRule="auto"/>
              <w:jc w:val="right"/>
              <w:rPr>
                <w:rFonts w:cs="Arial"/>
                <w:b/>
                <w:bCs/>
                <w:color w:val="FFFFFF"/>
                <w:szCs w:val="20"/>
              </w:rPr>
            </w:pPr>
            <w:r>
              <w:rPr>
                <w:rFonts w:cs="Arial"/>
                <w:b/>
                <w:bCs/>
                <w:color w:val="FFFFFF"/>
                <w:szCs w:val="20"/>
              </w:rPr>
              <w:t>2011</w:t>
            </w:r>
            <w:r w:rsidR="003F4664">
              <w:rPr>
                <w:rFonts w:cs="Arial"/>
                <w:b/>
                <w:bCs/>
                <w:color w:val="FFFFFF"/>
                <w:szCs w:val="20"/>
              </w:rPr>
              <w:t>–</w:t>
            </w:r>
            <w:r>
              <w:rPr>
                <w:rFonts w:cs="Arial"/>
                <w:b/>
                <w:bCs/>
                <w:color w:val="FFFFFF"/>
                <w:szCs w:val="20"/>
              </w:rPr>
              <w:t>12</w:t>
            </w:r>
          </w:p>
        </w:tc>
        <w:tc>
          <w:tcPr>
            <w:tcW w:w="1191" w:type="dxa"/>
            <w:tcBorders>
              <w:top w:val="single" w:sz="8" w:space="0" w:color="auto"/>
              <w:left w:val="nil"/>
              <w:bottom w:val="nil"/>
              <w:right w:val="single" w:sz="8" w:space="0" w:color="auto"/>
            </w:tcBorders>
            <w:shd w:val="clear" w:color="000000" w:fill="404040"/>
            <w:hideMark/>
          </w:tcPr>
          <w:p w14:paraId="1625D318" w14:textId="77777777" w:rsidR="003F4664" w:rsidRPr="00687A04" w:rsidRDefault="0090217E" w:rsidP="00F07C43">
            <w:pPr>
              <w:spacing w:after="120" w:line="240" w:lineRule="auto"/>
              <w:jc w:val="right"/>
              <w:rPr>
                <w:rFonts w:cs="Arial"/>
                <w:b/>
                <w:bCs/>
                <w:color w:val="FFFFFF"/>
                <w:szCs w:val="20"/>
              </w:rPr>
            </w:pPr>
            <w:r>
              <w:rPr>
                <w:rFonts w:cs="Arial"/>
                <w:b/>
                <w:bCs/>
                <w:color w:val="FFFFFF"/>
                <w:szCs w:val="20"/>
              </w:rPr>
              <w:t>2010</w:t>
            </w:r>
            <w:r w:rsidR="003F4664">
              <w:rPr>
                <w:rFonts w:cs="Arial"/>
                <w:b/>
                <w:bCs/>
                <w:color w:val="FFFFFF"/>
                <w:szCs w:val="20"/>
              </w:rPr>
              <w:t>–</w:t>
            </w:r>
            <w:r>
              <w:rPr>
                <w:rFonts w:cs="Arial"/>
                <w:b/>
                <w:bCs/>
                <w:color w:val="FFFFFF"/>
                <w:szCs w:val="20"/>
              </w:rPr>
              <w:t>11</w:t>
            </w:r>
          </w:p>
        </w:tc>
      </w:tr>
      <w:tr w:rsidR="003F4664" w:rsidRPr="001431D5" w14:paraId="4FE00866" w14:textId="77777777" w:rsidTr="00593B36">
        <w:trPr>
          <w:cantSplit/>
          <w:trHeight w:val="315"/>
          <w:tblHeader/>
        </w:trPr>
        <w:tc>
          <w:tcPr>
            <w:tcW w:w="955" w:type="dxa"/>
            <w:vMerge/>
            <w:tcBorders>
              <w:top w:val="single" w:sz="8" w:space="0" w:color="auto"/>
              <w:left w:val="single" w:sz="8" w:space="0" w:color="auto"/>
              <w:bottom w:val="single" w:sz="8" w:space="0" w:color="000000"/>
              <w:right w:val="single" w:sz="8" w:space="0" w:color="auto"/>
            </w:tcBorders>
            <w:hideMark/>
          </w:tcPr>
          <w:p w14:paraId="1B007CF9" w14:textId="77777777" w:rsidR="003F4664" w:rsidRPr="00687A04" w:rsidRDefault="003F4664" w:rsidP="00593B36">
            <w:pPr>
              <w:spacing w:after="0" w:line="240" w:lineRule="auto"/>
              <w:rPr>
                <w:rFonts w:cs="Arial"/>
                <w:b/>
                <w:bCs/>
                <w:color w:val="FFFFFF"/>
                <w:szCs w:val="20"/>
              </w:rPr>
            </w:pPr>
          </w:p>
        </w:tc>
        <w:tc>
          <w:tcPr>
            <w:tcW w:w="2551" w:type="dxa"/>
            <w:vMerge/>
            <w:tcBorders>
              <w:top w:val="single" w:sz="8" w:space="0" w:color="auto"/>
              <w:left w:val="single" w:sz="8" w:space="0" w:color="auto"/>
              <w:bottom w:val="single" w:sz="8" w:space="0" w:color="000000"/>
              <w:right w:val="single" w:sz="8" w:space="0" w:color="auto"/>
            </w:tcBorders>
            <w:hideMark/>
          </w:tcPr>
          <w:p w14:paraId="7CC72343" w14:textId="77777777" w:rsidR="003F4664" w:rsidRPr="00687A04" w:rsidRDefault="003F4664" w:rsidP="00593B36">
            <w:pPr>
              <w:spacing w:after="0" w:line="240" w:lineRule="auto"/>
              <w:rPr>
                <w:rFonts w:cs="Arial"/>
                <w:b/>
                <w:bCs/>
                <w:color w:val="FFFFFF"/>
                <w:szCs w:val="20"/>
              </w:rPr>
            </w:pPr>
          </w:p>
        </w:tc>
        <w:tc>
          <w:tcPr>
            <w:tcW w:w="1190" w:type="dxa"/>
            <w:tcBorders>
              <w:top w:val="nil"/>
              <w:left w:val="nil"/>
              <w:bottom w:val="single" w:sz="8" w:space="0" w:color="auto"/>
              <w:right w:val="single" w:sz="8" w:space="0" w:color="auto"/>
            </w:tcBorders>
            <w:shd w:val="clear" w:color="000000" w:fill="404040"/>
            <w:hideMark/>
          </w:tcPr>
          <w:p w14:paraId="7EA0B420" w14:textId="77777777" w:rsidR="003F4664" w:rsidRPr="00687A04" w:rsidRDefault="003F4664" w:rsidP="00F07C43">
            <w:pPr>
              <w:spacing w:after="120" w:line="240" w:lineRule="auto"/>
              <w:jc w:val="right"/>
              <w:rPr>
                <w:rFonts w:cs="Arial"/>
                <w:b/>
                <w:bCs/>
                <w:color w:val="FFFFFF"/>
                <w:szCs w:val="20"/>
              </w:rPr>
            </w:pPr>
            <w:r w:rsidRPr="00687A04">
              <w:rPr>
                <w:rFonts w:cs="Arial"/>
                <w:b/>
                <w:bCs/>
                <w:color w:val="FFFFFF"/>
                <w:szCs w:val="20"/>
              </w:rPr>
              <w:t>($million)</w:t>
            </w:r>
          </w:p>
        </w:tc>
        <w:tc>
          <w:tcPr>
            <w:tcW w:w="1191" w:type="dxa"/>
            <w:tcBorders>
              <w:top w:val="nil"/>
              <w:left w:val="nil"/>
              <w:bottom w:val="single" w:sz="8" w:space="0" w:color="auto"/>
              <w:right w:val="single" w:sz="8" w:space="0" w:color="auto"/>
            </w:tcBorders>
            <w:shd w:val="clear" w:color="000000" w:fill="404040"/>
            <w:hideMark/>
          </w:tcPr>
          <w:p w14:paraId="762B3A50" w14:textId="77777777" w:rsidR="003F4664" w:rsidRPr="00687A04" w:rsidRDefault="003F4664" w:rsidP="00F07C43">
            <w:pPr>
              <w:spacing w:after="120" w:line="240" w:lineRule="auto"/>
              <w:jc w:val="right"/>
              <w:rPr>
                <w:rFonts w:cs="Arial"/>
                <w:b/>
                <w:bCs/>
                <w:color w:val="FFFFFF"/>
                <w:szCs w:val="20"/>
              </w:rPr>
            </w:pPr>
            <w:r w:rsidRPr="00687A04">
              <w:rPr>
                <w:rFonts w:cs="Arial"/>
                <w:b/>
                <w:bCs/>
                <w:color w:val="FFFFFF"/>
                <w:szCs w:val="20"/>
              </w:rPr>
              <w:t>($million)</w:t>
            </w:r>
          </w:p>
        </w:tc>
        <w:tc>
          <w:tcPr>
            <w:tcW w:w="1191" w:type="dxa"/>
            <w:tcBorders>
              <w:top w:val="nil"/>
              <w:left w:val="nil"/>
              <w:bottom w:val="single" w:sz="8" w:space="0" w:color="auto"/>
              <w:right w:val="single" w:sz="8" w:space="0" w:color="auto"/>
            </w:tcBorders>
            <w:shd w:val="clear" w:color="000000" w:fill="404040"/>
            <w:hideMark/>
          </w:tcPr>
          <w:p w14:paraId="736917A7" w14:textId="77777777" w:rsidR="003F4664" w:rsidRPr="00687A04" w:rsidRDefault="003F4664" w:rsidP="00F07C43">
            <w:pPr>
              <w:spacing w:after="120" w:line="240" w:lineRule="auto"/>
              <w:jc w:val="right"/>
              <w:rPr>
                <w:rFonts w:cs="Arial"/>
                <w:b/>
                <w:bCs/>
                <w:color w:val="FFFFFF"/>
                <w:szCs w:val="20"/>
              </w:rPr>
            </w:pPr>
            <w:r w:rsidRPr="00687A04">
              <w:rPr>
                <w:rFonts w:cs="Arial"/>
                <w:b/>
                <w:bCs/>
                <w:color w:val="FFFFFF"/>
                <w:szCs w:val="20"/>
              </w:rPr>
              <w:t>($million)</w:t>
            </w:r>
          </w:p>
        </w:tc>
        <w:tc>
          <w:tcPr>
            <w:tcW w:w="1191" w:type="dxa"/>
            <w:tcBorders>
              <w:top w:val="nil"/>
              <w:left w:val="nil"/>
              <w:bottom w:val="single" w:sz="8" w:space="0" w:color="auto"/>
              <w:right w:val="single" w:sz="8" w:space="0" w:color="auto"/>
            </w:tcBorders>
            <w:shd w:val="clear" w:color="000000" w:fill="404040"/>
            <w:hideMark/>
          </w:tcPr>
          <w:p w14:paraId="21BD66F8" w14:textId="77777777" w:rsidR="003F4664" w:rsidRPr="00687A04" w:rsidRDefault="003F4664" w:rsidP="00F07C43">
            <w:pPr>
              <w:spacing w:after="120" w:line="240" w:lineRule="auto"/>
              <w:jc w:val="right"/>
              <w:rPr>
                <w:rFonts w:cs="Arial"/>
                <w:b/>
                <w:bCs/>
                <w:color w:val="FFFFFF"/>
                <w:szCs w:val="20"/>
              </w:rPr>
            </w:pPr>
            <w:r w:rsidRPr="00687A04">
              <w:rPr>
                <w:rFonts w:cs="Arial"/>
                <w:b/>
                <w:bCs/>
                <w:color w:val="FFFFFF"/>
                <w:szCs w:val="20"/>
              </w:rPr>
              <w:t>($million)</w:t>
            </w:r>
          </w:p>
        </w:tc>
        <w:tc>
          <w:tcPr>
            <w:tcW w:w="1191" w:type="dxa"/>
            <w:tcBorders>
              <w:top w:val="nil"/>
              <w:left w:val="nil"/>
              <w:bottom w:val="single" w:sz="8" w:space="0" w:color="auto"/>
              <w:right w:val="single" w:sz="8" w:space="0" w:color="auto"/>
            </w:tcBorders>
            <w:shd w:val="clear" w:color="000000" w:fill="404040"/>
            <w:hideMark/>
          </w:tcPr>
          <w:p w14:paraId="7A23F0F6" w14:textId="77777777" w:rsidR="003F4664" w:rsidRPr="00687A04" w:rsidRDefault="003F4664" w:rsidP="00F07C43">
            <w:pPr>
              <w:spacing w:after="120" w:line="240" w:lineRule="auto"/>
              <w:jc w:val="right"/>
              <w:rPr>
                <w:rFonts w:cs="Arial"/>
                <w:b/>
                <w:bCs/>
                <w:color w:val="FFFFFF"/>
                <w:szCs w:val="20"/>
              </w:rPr>
            </w:pPr>
            <w:r w:rsidRPr="00687A04">
              <w:rPr>
                <w:rFonts w:cs="Arial"/>
                <w:b/>
                <w:bCs/>
                <w:color w:val="FFFFFF"/>
                <w:szCs w:val="20"/>
              </w:rPr>
              <w:t>($million)</w:t>
            </w:r>
          </w:p>
        </w:tc>
      </w:tr>
      <w:tr w:rsidR="00DF2076" w:rsidRPr="001431D5" w14:paraId="203DE70B" w14:textId="77777777" w:rsidTr="00593B36">
        <w:trPr>
          <w:cantSplit/>
          <w:trHeight w:val="315"/>
          <w:tblHeader/>
        </w:trPr>
        <w:tc>
          <w:tcPr>
            <w:tcW w:w="955" w:type="dxa"/>
            <w:tcBorders>
              <w:top w:val="nil"/>
              <w:left w:val="single" w:sz="8" w:space="0" w:color="auto"/>
              <w:bottom w:val="single" w:sz="8" w:space="0" w:color="auto"/>
              <w:right w:val="single" w:sz="8" w:space="0" w:color="auto"/>
            </w:tcBorders>
            <w:shd w:val="clear" w:color="auto" w:fill="auto"/>
            <w:hideMark/>
          </w:tcPr>
          <w:p w14:paraId="60AF14C8" w14:textId="77777777" w:rsidR="00DF2076" w:rsidRPr="00687A04" w:rsidRDefault="00DF2076" w:rsidP="00DF2076">
            <w:pPr>
              <w:spacing w:after="0" w:line="240" w:lineRule="auto"/>
              <w:rPr>
                <w:rFonts w:cs="Arial"/>
                <w:color w:val="000000"/>
                <w:szCs w:val="20"/>
              </w:rPr>
            </w:pPr>
            <w:r w:rsidRPr="00687A04">
              <w:rPr>
                <w:rFonts w:cs="Arial"/>
                <w:color w:val="000000"/>
                <w:szCs w:val="20"/>
              </w:rPr>
              <w:t>15(1)(a)</w:t>
            </w:r>
          </w:p>
        </w:tc>
        <w:tc>
          <w:tcPr>
            <w:tcW w:w="2551" w:type="dxa"/>
            <w:tcBorders>
              <w:top w:val="nil"/>
              <w:left w:val="nil"/>
              <w:bottom w:val="single" w:sz="8" w:space="0" w:color="auto"/>
              <w:right w:val="single" w:sz="8" w:space="0" w:color="auto"/>
            </w:tcBorders>
            <w:shd w:val="clear" w:color="auto" w:fill="auto"/>
            <w:hideMark/>
          </w:tcPr>
          <w:p w14:paraId="37BD33CB" w14:textId="77777777" w:rsidR="00DF2076" w:rsidRPr="00687A04" w:rsidRDefault="00DF2076" w:rsidP="00DF2076">
            <w:pPr>
              <w:spacing w:after="0" w:line="240" w:lineRule="auto"/>
              <w:rPr>
                <w:rFonts w:cs="Arial"/>
                <w:color w:val="000000"/>
                <w:szCs w:val="20"/>
              </w:rPr>
            </w:pPr>
            <w:r w:rsidRPr="00687A04">
              <w:rPr>
                <w:rFonts w:cs="Arial"/>
                <w:color w:val="000000"/>
                <w:szCs w:val="20"/>
              </w:rPr>
              <w:t>ACMA expenses</w:t>
            </w:r>
          </w:p>
        </w:tc>
        <w:tc>
          <w:tcPr>
            <w:tcW w:w="1190" w:type="dxa"/>
            <w:tcBorders>
              <w:top w:val="nil"/>
              <w:left w:val="nil"/>
              <w:bottom w:val="single" w:sz="8" w:space="0" w:color="auto"/>
              <w:right w:val="single" w:sz="8" w:space="0" w:color="auto"/>
            </w:tcBorders>
            <w:shd w:val="clear" w:color="auto" w:fill="auto"/>
            <w:hideMark/>
          </w:tcPr>
          <w:p w14:paraId="7078C53D" w14:textId="77777777" w:rsidR="00DF2076" w:rsidRPr="00687A04" w:rsidRDefault="009737B2" w:rsidP="00DF2076">
            <w:pPr>
              <w:spacing w:after="0" w:line="240" w:lineRule="auto"/>
              <w:jc w:val="right"/>
              <w:rPr>
                <w:rFonts w:cs="Arial"/>
                <w:color w:val="000000"/>
                <w:szCs w:val="20"/>
              </w:rPr>
            </w:pPr>
            <w:r>
              <w:rPr>
                <w:rFonts w:cs="Arial"/>
                <w:color w:val="000000"/>
                <w:szCs w:val="20"/>
              </w:rPr>
              <w:t>17</w:t>
            </w:r>
            <w:r w:rsidR="008A648A">
              <w:rPr>
                <w:rFonts w:cs="Arial"/>
                <w:color w:val="000000"/>
                <w:szCs w:val="20"/>
              </w:rPr>
              <w:t>.</w:t>
            </w:r>
            <w:r>
              <w:rPr>
                <w:rFonts w:cs="Arial"/>
                <w:color w:val="000000"/>
                <w:szCs w:val="20"/>
              </w:rPr>
              <w:t>572</w:t>
            </w:r>
          </w:p>
        </w:tc>
        <w:tc>
          <w:tcPr>
            <w:tcW w:w="1191" w:type="dxa"/>
            <w:tcBorders>
              <w:top w:val="nil"/>
              <w:left w:val="nil"/>
              <w:bottom w:val="single" w:sz="8" w:space="0" w:color="auto"/>
              <w:right w:val="single" w:sz="8" w:space="0" w:color="auto"/>
            </w:tcBorders>
            <w:shd w:val="clear" w:color="auto" w:fill="auto"/>
            <w:hideMark/>
          </w:tcPr>
          <w:p w14:paraId="6433B4D6" w14:textId="77777777" w:rsidR="00DF2076" w:rsidRPr="00687A04" w:rsidRDefault="00DF2076" w:rsidP="00DF2076">
            <w:pPr>
              <w:spacing w:after="0" w:line="240" w:lineRule="auto"/>
              <w:jc w:val="right"/>
              <w:rPr>
                <w:rFonts w:cs="Arial"/>
                <w:color w:val="000000"/>
                <w:szCs w:val="20"/>
              </w:rPr>
            </w:pPr>
            <w:r w:rsidRPr="00687A04">
              <w:rPr>
                <w:rFonts w:cs="Arial"/>
                <w:color w:val="000000"/>
                <w:szCs w:val="20"/>
              </w:rPr>
              <w:t>19.654</w:t>
            </w:r>
          </w:p>
        </w:tc>
        <w:tc>
          <w:tcPr>
            <w:tcW w:w="1191" w:type="dxa"/>
            <w:tcBorders>
              <w:top w:val="nil"/>
              <w:left w:val="nil"/>
              <w:bottom w:val="single" w:sz="8" w:space="0" w:color="auto"/>
              <w:right w:val="single" w:sz="8" w:space="0" w:color="auto"/>
            </w:tcBorders>
            <w:shd w:val="clear" w:color="auto" w:fill="auto"/>
            <w:hideMark/>
          </w:tcPr>
          <w:p w14:paraId="2EAD635D" w14:textId="77777777" w:rsidR="00DF2076" w:rsidRPr="00687A04" w:rsidRDefault="00DF2076" w:rsidP="00DF2076">
            <w:pPr>
              <w:spacing w:after="0" w:line="240" w:lineRule="auto"/>
              <w:jc w:val="right"/>
              <w:rPr>
                <w:rFonts w:cs="Arial"/>
                <w:color w:val="000000"/>
                <w:szCs w:val="20"/>
              </w:rPr>
            </w:pPr>
            <w:r w:rsidRPr="00687A04">
              <w:rPr>
                <w:rFonts w:cs="Arial"/>
                <w:color w:val="000000"/>
                <w:szCs w:val="20"/>
              </w:rPr>
              <w:t>19.210</w:t>
            </w:r>
          </w:p>
        </w:tc>
        <w:tc>
          <w:tcPr>
            <w:tcW w:w="1191" w:type="dxa"/>
            <w:tcBorders>
              <w:top w:val="nil"/>
              <w:left w:val="nil"/>
              <w:bottom w:val="single" w:sz="8" w:space="0" w:color="auto"/>
              <w:right w:val="single" w:sz="8" w:space="0" w:color="auto"/>
            </w:tcBorders>
            <w:shd w:val="clear" w:color="auto" w:fill="auto"/>
            <w:hideMark/>
          </w:tcPr>
          <w:p w14:paraId="4CC9B6A9" w14:textId="77777777" w:rsidR="00DF2076" w:rsidRPr="00687A04" w:rsidRDefault="00DF2076" w:rsidP="00DF2076">
            <w:pPr>
              <w:spacing w:after="0" w:line="240" w:lineRule="auto"/>
              <w:jc w:val="right"/>
              <w:rPr>
                <w:rFonts w:cs="Arial"/>
                <w:color w:val="000000"/>
                <w:szCs w:val="20"/>
              </w:rPr>
            </w:pPr>
            <w:r w:rsidRPr="00687A04">
              <w:rPr>
                <w:rFonts w:cs="Arial"/>
                <w:color w:val="000000"/>
                <w:szCs w:val="20"/>
              </w:rPr>
              <w:t>21.053</w:t>
            </w:r>
          </w:p>
        </w:tc>
        <w:tc>
          <w:tcPr>
            <w:tcW w:w="1191" w:type="dxa"/>
            <w:tcBorders>
              <w:top w:val="nil"/>
              <w:left w:val="nil"/>
              <w:bottom w:val="single" w:sz="8" w:space="0" w:color="auto"/>
              <w:right w:val="single" w:sz="8" w:space="0" w:color="auto"/>
            </w:tcBorders>
            <w:shd w:val="clear" w:color="auto" w:fill="auto"/>
            <w:hideMark/>
          </w:tcPr>
          <w:p w14:paraId="71713CFF" w14:textId="77777777" w:rsidR="00DF2076" w:rsidRPr="00687A04" w:rsidRDefault="00DF2076" w:rsidP="00DF2076">
            <w:pPr>
              <w:spacing w:after="0" w:line="240" w:lineRule="auto"/>
              <w:jc w:val="right"/>
              <w:rPr>
                <w:rFonts w:cs="Arial"/>
                <w:color w:val="000000"/>
                <w:szCs w:val="20"/>
              </w:rPr>
            </w:pPr>
            <w:r w:rsidRPr="00687A04">
              <w:rPr>
                <w:rFonts w:cs="Arial"/>
                <w:color w:val="000000"/>
                <w:szCs w:val="20"/>
              </w:rPr>
              <w:t>21.519</w:t>
            </w:r>
          </w:p>
        </w:tc>
      </w:tr>
      <w:tr w:rsidR="003F4664" w:rsidRPr="001431D5" w14:paraId="317034ED" w14:textId="77777777" w:rsidTr="00593B36">
        <w:trPr>
          <w:cantSplit/>
          <w:trHeight w:val="315"/>
          <w:tblHeader/>
        </w:trPr>
        <w:tc>
          <w:tcPr>
            <w:tcW w:w="955" w:type="dxa"/>
            <w:tcBorders>
              <w:top w:val="nil"/>
              <w:left w:val="single" w:sz="8" w:space="0" w:color="auto"/>
              <w:bottom w:val="single" w:sz="8" w:space="0" w:color="auto"/>
              <w:right w:val="single" w:sz="8" w:space="0" w:color="auto"/>
            </w:tcBorders>
            <w:shd w:val="clear" w:color="auto" w:fill="auto"/>
            <w:hideMark/>
          </w:tcPr>
          <w:p w14:paraId="01D553C3" w14:textId="77777777" w:rsidR="003F4664" w:rsidRPr="00687A04" w:rsidRDefault="003F4664" w:rsidP="00593B36">
            <w:pPr>
              <w:spacing w:after="0" w:line="240" w:lineRule="auto"/>
              <w:rPr>
                <w:rFonts w:cs="Arial"/>
                <w:color w:val="000000"/>
                <w:szCs w:val="20"/>
              </w:rPr>
            </w:pPr>
            <w:r w:rsidRPr="00687A04">
              <w:rPr>
                <w:rFonts w:cs="Arial"/>
                <w:color w:val="000000"/>
                <w:szCs w:val="20"/>
              </w:rPr>
              <w:t>15(1)(b)</w:t>
            </w:r>
          </w:p>
        </w:tc>
        <w:tc>
          <w:tcPr>
            <w:tcW w:w="2551" w:type="dxa"/>
            <w:tcBorders>
              <w:top w:val="nil"/>
              <w:left w:val="nil"/>
              <w:bottom w:val="single" w:sz="8" w:space="0" w:color="auto"/>
              <w:right w:val="single" w:sz="8" w:space="0" w:color="auto"/>
            </w:tcBorders>
            <w:shd w:val="clear" w:color="auto" w:fill="auto"/>
            <w:hideMark/>
          </w:tcPr>
          <w:p w14:paraId="6FFB0D3E" w14:textId="77777777" w:rsidR="003F4664" w:rsidRPr="00687A04" w:rsidRDefault="003F4664" w:rsidP="00593B36">
            <w:pPr>
              <w:spacing w:after="0" w:line="240" w:lineRule="auto"/>
              <w:rPr>
                <w:rFonts w:cs="Arial"/>
                <w:color w:val="000000"/>
                <w:szCs w:val="20"/>
              </w:rPr>
            </w:pPr>
            <w:r w:rsidRPr="00687A04">
              <w:rPr>
                <w:rFonts w:cs="Arial"/>
                <w:color w:val="000000"/>
                <w:szCs w:val="20"/>
              </w:rPr>
              <w:t>ACCC expenses</w:t>
            </w:r>
          </w:p>
        </w:tc>
        <w:tc>
          <w:tcPr>
            <w:tcW w:w="1190" w:type="dxa"/>
            <w:tcBorders>
              <w:top w:val="nil"/>
              <w:left w:val="nil"/>
              <w:bottom w:val="single" w:sz="8" w:space="0" w:color="auto"/>
              <w:right w:val="single" w:sz="8" w:space="0" w:color="auto"/>
            </w:tcBorders>
            <w:shd w:val="clear" w:color="auto" w:fill="auto"/>
            <w:hideMark/>
          </w:tcPr>
          <w:p w14:paraId="0D380694" w14:textId="77777777" w:rsidR="003F4664" w:rsidRPr="00687A04" w:rsidRDefault="00DF2076" w:rsidP="00593B36">
            <w:pPr>
              <w:spacing w:after="0" w:line="240" w:lineRule="auto"/>
              <w:jc w:val="right"/>
              <w:rPr>
                <w:rFonts w:cs="Arial"/>
                <w:color w:val="000000"/>
                <w:szCs w:val="20"/>
              </w:rPr>
            </w:pPr>
            <w:r>
              <w:rPr>
                <w:rFonts w:cs="Arial"/>
                <w:color w:val="000000"/>
                <w:szCs w:val="20"/>
              </w:rPr>
              <w:t>15</w:t>
            </w:r>
            <w:r w:rsidR="008A648A">
              <w:rPr>
                <w:rFonts w:cs="Arial"/>
                <w:color w:val="000000"/>
                <w:szCs w:val="20"/>
              </w:rPr>
              <w:t>.</w:t>
            </w:r>
            <w:r>
              <w:rPr>
                <w:rFonts w:cs="Arial"/>
                <w:color w:val="000000"/>
                <w:szCs w:val="20"/>
              </w:rPr>
              <w:t>107</w:t>
            </w:r>
          </w:p>
        </w:tc>
        <w:tc>
          <w:tcPr>
            <w:tcW w:w="1191" w:type="dxa"/>
            <w:tcBorders>
              <w:top w:val="nil"/>
              <w:left w:val="nil"/>
              <w:bottom w:val="single" w:sz="8" w:space="0" w:color="auto"/>
              <w:right w:val="single" w:sz="8" w:space="0" w:color="auto"/>
            </w:tcBorders>
            <w:shd w:val="clear" w:color="auto" w:fill="auto"/>
            <w:hideMark/>
          </w:tcPr>
          <w:p w14:paraId="39611A55" w14:textId="77777777" w:rsidR="003F4664" w:rsidRPr="00687A04" w:rsidRDefault="0090217E" w:rsidP="00593B36">
            <w:pPr>
              <w:spacing w:after="0" w:line="240" w:lineRule="auto"/>
              <w:jc w:val="right"/>
              <w:rPr>
                <w:rFonts w:cs="Arial"/>
                <w:color w:val="000000"/>
                <w:szCs w:val="20"/>
              </w:rPr>
            </w:pPr>
            <w:r>
              <w:rPr>
                <w:rFonts w:cs="Arial"/>
                <w:color w:val="000000"/>
                <w:szCs w:val="20"/>
              </w:rPr>
              <w:t>14</w:t>
            </w:r>
            <w:r w:rsidR="008A648A">
              <w:rPr>
                <w:rFonts w:cs="Arial"/>
                <w:color w:val="000000"/>
                <w:szCs w:val="20"/>
              </w:rPr>
              <w:t>.</w:t>
            </w:r>
            <w:r>
              <w:rPr>
                <w:rFonts w:cs="Arial"/>
                <w:color w:val="000000"/>
                <w:szCs w:val="20"/>
              </w:rPr>
              <w:t>975</w:t>
            </w:r>
          </w:p>
        </w:tc>
        <w:tc>
          <w:tcPr>
            <w:tcW w:w="1191" w:type="dxa"/>
            <w:tcBorders>
              <w:top w:val="nil"/>
              <w:left w:val="nil"/>
              <w:bottom w:val="single" w:sz="8" w:space="0" w:color="auto"/>
              <w:right w:val="single" w:sz="8" w:space="0" w:color="auto"/>
            </w:tcBorders>
            <w:shd w:val="clear" w:color="auto" w:fill="auto"/>
            <w:hideMark/>
          </w:tcPr>
          <w:p w14:paraId="5D3BFC0E" w14:textId="77777777" w:rsidR="003F4664" w:rsidRPr="00687A04" w:rsidRDefault="0090217E" w:rsidP="00593B36">
            <w:pPr>
              <w:spacing w:after="0" w:line="240" w:lineRule="auto"/>
              <w:jc w:val="right"/>
              <w:rPr>
                <w:rFonts w:cs="Arial"/>
                <w:color w:val="000000"/>
                <w:szCs w:val="20"/>
              </w:rPr>
            </w:pPr>
            <w:r>
              <w:rPr>
                <w:rFonts w:cs="Arial"/>
                <w:color w:val="000000"/>
                <w:szCs w:val="20"/>
              </w:rPr>
              <w:t>15</w:t>
            </w:r>
            <w:r w:rsidR="008A648A">
              <w:rPr>
                <w:rFonts w:cs="Arial"/>
                <w:color w:val="000000"/>
                <w:szCs w:val="20"/>
              </w:rPr>
              <w:t>.</w:t>
            </w:r>
            <w:r>
              <w:rPr>
                <w:rFonts w:cs="Arial"/>
                <w:color w:val="000000"/>
                <w:szCs w:val="20"/>
              </w:rPr>
              <w:t>005</w:t>
            </w:r>
          </w:p>
        </w:tc>
        <w:tc>
          <w:tcPr>
            <w:tcW w:w="1191" w:type="dxa"/>
            <w:tcBorders>
              <w:top w:val="nil"/>
              <w:left w:val="nil"/>
              <w:bottom w:val="single" w:sz="8" w:space="0" w:color="auto"/>
              <w:right w:val="single" w:sz="8" w:space="0" w:color="auto"/>
            </w:tcBorders>
            <w:shd w:val="clear" w:color="auto" w:fill="auto"/>
            <w:hideMark/>
          </w:tcPr>
          <w:p w14:paraId="6141825F" w14:textId="77777777" w:rsidR="003F4664" w:rsidRPr="00687A04" w:rsidRDefault="0090217E" w:rsidP="00593B36">
            <w:pPr>
              <w:spacing w:after="0" w:line="240" w:lineRule="auto"/>
              <w:jc w:val="right"/>
              <w:rPr>
                <w:rFonts w:cs="Arial"/>
                <w:color w:val="000000"/>
                <w:szCs w:val="20"/>
              </w:rPr>
            </w:pPr>
            <w:r>
              <w:rPr>
                <w:rFonts w:cs="Arial"/>
                <w:color w:val="000000"/>
                <w:szCs w:val="20"/>
              </w:rPr>
              <w:t>13</w:t>
            </w:r>
            <w:r w:rsidR="008A648A">
              <w:rPr>
                <w:rFonts w:cs="Arial"/>
                <w:color w:val="000000"/>
                <w:szCs w:val="20"/>
              </w:rPr>
              <w:t>.</w:t>
            </w:r>
            <w:r>
              <w:rPr>
                <w:rFonts w:cs="Arial"/>
                <w:color w:val="000000"/>
                <w:szCs w:val="20"/>
              </w:rPr>
              <w:t>815</w:t>
            </w:r>
          </w:p>
        </w:tc>
        <w:tc>
          <w:tcPr>
            <w:tcW w:w="1191" w:type="dxa"/>
            <w:tcBorders>
              <w:top w:val="nil"/>
              <w:left w:val="nil"/>
              <w:bottom w:val="single" w:sz="8" w:space="0" w:color="auto"/>
              <w:right w:val="single" w:sz="8" w:space="0" w:color="auto"/>
            </w:tcBorders>
            <w:shd w:val="clear" w:color="auto" w:fill="auto"/>
            <w:hideMark/>
          </w:tcPr>
          <w:p w14:paraId="293355D2" w14:textId="77777777" w:rsidR="003F4664" w:rsidRPr="00687A04" w:rsidRDefault="0090217E" w:rsidP="00593B36">
            <w:pPr>
              <w:spacing w:after="0" w:line="240" w:lineRule="auto"/>
              <w:jc w:val="right"/>
              <w:rPr>
                <w:rFonts w:cs="Arial"/>
                <w:color w:val="000000"/>
                <w:szCs w:val="20"/>
              </w:rPr>
            </w:pPr>
            <w:r>
              <w:rPr>
                <w:rFonts w:cs="Arial"/>
                <w:color w:val="000000"/>
                <w:szCs w:val="20"/>
              </w:rPr>
              <w:t>12.947</w:t>
            </w:r>
          </w:p>
        </w:tc>
      </w:tr>
      <w:tr w:rsidR="009115AE" w:rsidRPr="006C513A" w14:paraId="423F5F45" w14:textId="77777777" w:rsidTr="00593B36">
        <w:trPr>
          <w:cantSplit/>
          <w:trHeight w:val="315"/>
          <w:tblHeader/>
        </w:trPr>
        <w:tc>
          <w:tcPr>
            <w:tcW w:w="955" w:type="dxa"/>
            <w:tcBorders>
              <w:top w:val="nil"/>
              <w:left w:val="single" w:sz="8" w:space="0" w:color="auto"/>
              <w:bottom w:val="single" w:sz="8" w:space="0" w:color="auto"/>
              <w:right w:val="single" w:sz="8" w:space="0" w:color="auto"/>
            </w:tcBorders>
            <w:shd w:val="clear" w:color="auto" w:fill="auto"/>
            <w:hideMark/>
          </w:tcPr>
          <w:p w14:paraId="38AB478F" w14:textId="77777777" w:rsidR="009115AE" w:rsidRPr="00687A04" w:rsidRDefault="009115AE" w:rsidP="009115AE">
            <w:pPr>
              <w:spacing w:after="0" w:line="240" w:lineRule="auto"/>
              <w:rPr>
                <w:rFonts w:cs="Arial"/>
                <w:color w:val="000000"/>
                <w:szCs w:val="20"/>
              </w:rPr>
            </w:pPr>
            <w:r w:rsidRPr="00687A04">
              <w:rPr>
                <w:rFonts w:cs="Arial"/>
                <w:color w:val="000000"/>
                <w:szCs w:val="20"/>
              </w:rPr>
              <w:t>15(1)(c)</w:t>
            </w:r>
          </w:p>
        </w:tc>
        <w:tc>
          <w:tcPr>
            <w:tcW w:w="2551" w:type="dxa"/>
            <w:tcBorders>
              <w:top w:val="nil"/>
              <w:left w:val="nil"/>
              <w:bottom w:val="single" w:sz="8" w:space="0" w:color="auto"/>
              <w:right w:val="single" w:sz="8" w:space="0" w:color="auto"/>
            </w:tcBorders>
            <w:shd w:val="clear" w:color="auto" w:fill="auto"/>
            <w:hideMark/>
          </w:tcPr>
          <w:p w14:paraId="1DE4FC2A" w14:textId="77777777" w:rsidR="009115AE" w:rsidRPr="00687A04" w:rsidRDefault="009115AE" w:rsidP="009115AE">
            <w:pPr>
              <w:spacing w:after="0" w:line="240" w:lineRule="auto"/>
              <w:rPr>
                <w:rFonts w:cs="Arial"/>
                <w:color w:val="000000"/>
                <w:szCs w:val="20"/>
              </w:rPr>
            </w:pPr>
            <w:r w:rsidRPr="00687A04">
              <w:rPr>
                <w:rFonts w:cs="Arial"/>
                <w:color w:val="000000"/>
                <w:szCs w:val="20"/>
              </w:rPr>
              <w:t>ITU contribution</w:t>
            </w:r>
          </w:p>
        </w:tc>
        <w:tc>
          <w:tcPr>
            <w:tcW w:w="1190" w:type="dxa"/>
            <w:tcBorders>
              <w:top w:val="nil"/>
              <w:left w:val="nil"/>
              <w:bottom w:val="single" w:sz="8" w:space="0" w:color="auto"/>
              <w:right w:val="single" w:sz="8" w:space="0" w:color="auto"/>
            </w:tcBorders>
            <w:shd w:val="clear" w:color="auto" w:fill="auto"/>
            <w:hideMark/>
          </w:tcPr>
          <w:p w14:paraId="74AA881C" w14:textId="77777777" w:rsidR="009115AE" w:rsidRPr="00C06581" w:rsidRDefault="009115AE" w:rsidP="009115AE">
            <w:pPr>
              <w:spacing w:after="0" w:line="240" w:lineRule="auto"/>
              <w:jc w:val="right"/>
              <w:rPr>
                <w:rFonts w:cs="Arial"/>
                <w:color w:val="000000"/>
                <w:szCs w:val="20"/>
              </w:rPr>
            </w:pPr>
            <w:r w:rsidRPr="00C06581">
              <w:rPr>
                <w:rFonts w:cs="Arial"/>
                <w:color w:val="000000"/>
                <w:szCs w:val="20"/>
              </w:rPr>
              <w:t>1</w:t>
            </w:r>
            <w:r w:rsidR="004210B2" w:rsidRPr="00C06581">
              <w:rPr>
                <w:rFonts w:cs="Arial"/>
                <w:color w:val="000000"/>
                <w:szCs w:val="20"/>
              </w:rPr>
              <w:t>.861</w:t>
            </w:r>
          </w:p>
        </w:tc>
        <w:tc>
          <w:tcPr>
            <w:tcW w:w="1191" w:type="dxa"/>
            <w:tcBorders>
              <w:top w:val="nil"/>
              <w:left w:val="nil"/>
              <w:bottom w:val="single" w:sz="8" w:space="0" w:color="auto"/>
              <w:right w:val="single" w:sz="8" w:space="0" w:color="auto"/>
            </w:tcBorders>
            <w:shd w:val="clear" w:color="auto" w:fill="auto"/>
            <w:hideMark/>
          </w:tcPr>
          <w:p w14:paraId="4D34847F" w14:textId="77777777" w:rsidR="009115AE" w:rsidRPr="00C06581" w:rsidRDefault="009115AE" w:rsidP="009115AE">
            <w:pPr>
              <w:spacing w:after="0" w:line="240" w:lineRule="auto"/>
              <w:jc w:val="right"/>
              <w:rPr>
                <w:rFonts w:cs="Arial"/>
                <w:color w:val="000000"/>
                <w:szCs w:val="20"/>
              </w:rPr>
            </w:pPr>
            <w:r w:rsidRPr="00C06581">
              <w:rPr>
                <w:rFonts w:cs="Arial"/>
                <w:color w:val="000000"/>
                <w:szCs w:val="20"/>
              </w:rPr>
              <w:t>1.731</w:t>
            </w:r>
          </w:p>
        </w:tc>
        <w:tc>
          <w:tcPr>
            <w:tcW w:w="1191" w:type="dxa"/>
            <w:tcBorders>
              <w:top w:val="nil"/>
              <w:left w:val="nil"/>
              <w:bottom w:val="single" w:sz="8" w:space="0" w:color="auto"/>
              <w:right w:val="single" w:sz="8" w:space="0" w:color="auto"/>
            </w:tcBorders>
            <w:shd w:val="clear" w:color="auto" w:fill="auto"/>
            <w:hideMark/>
          </w:tcPr>
          <w:p w14:paraId="72CBCC62" w14:textId="77777777" w:rsidR="009115AE" w:rsidRPr="00C06581" w:rsidRDefault="009115AE" w:rsidP="009115AE">
            <w:pPr>
              <w:spacing w:after="0" w:line="240" w:lineRule="auto"/>
              <w:jc w:val="right"/>
              <w:rPr>
                <w:rFonts w:cs="Arial"/>
                <w:color w:val="000000"/>
                <w:szCs w:val="20"/>
              </w:rPr>
            </w:pPr>
            <w:r w:rsidRPr="00C06581">
              <w:rPr>
                <w:rFonts w:cs="Arial"/>
                <w:color w:val="000000"/>
                <w:szCs w:val="20"/>
              </w:rPr>
              <w:t>1.641</w:t>
            </w:r>
          </w:p>
        </w:tc>
        <w:tc>
          <w:tcPr>
            <w:tcW w:w="1191" w:type="dxa"/>
            <w:tcBorders>
              <w:top w:val="nil"/>
              <w:left w:val="nil"/>
              <w:bottom w:val="single" w:sz="8" w:space="0" w:color="auto"/>
              <w:right w:val="single" w:sz="8" w:space="0" w:color="auto"/>
            </w:tcBorders>
            <w:shd w:val="clear" w:color="auto" w:fill="auto"/>
            <w:hideMark/>
          </w:tcPr>
          <w:p w14:paraId="0F6CBA0D" w14:textId="77777777" w:rsidR="009115AE" w:rsidRPr="00C06581" w:rsidRDefault="009115AE" w:rsidP="009115AE">
            <w:pPr>
              <w:spacing w:after="0" w:line="240" w:lineRule="auto"/>
              <w:jc w:val="right"/>
              <w:rPr>
                <w:rFonts w:cs="Arial"/>
                <w:color w:val="000000"/>
                <w:szCs w:val="20"/>
              </w:rPr>
            </w:pPr>
            <w:r w:rsidRPr="00C06581">
              <w:rPr>
                <w:rFonts w:cs="Arial"/>
                <w:color w:val="000000"/>
                <w:szCs w:val="20"/>
              </w:rPr>
              <w:t>1.596</w:t>
            </w:r>
          </w:p>
        </w:tc>
        <w:tc>
          <w:tcPr>
            <w:tcW w:w="1191" w:type="dxa"/>
            <w:tcBorders>
              <w:top w:val="nil"/>
              <w:left w:val="nil"/>
              <w:bottom w:val="single" w:sz="8" w:space="0" w:color="auto"/>
              <w:right w:val="single" w:sz="8" w:space="0" w:color="auto"/>
            </w:tcBorders>
            <w:shd w:val="clear" w:color="auto" w:fill="auto"/>
            <w:hideMark/>
          </w:tcPr>
          <w:p w14:paraId="592A2E4F" w14:textId="77777777" w:rsidR="009115AE" w:rsidRPr="00C06581" w:rsidRDefault="009115AE" w:rsidP="009115AE">
            <w:pPr>
              <w:spacing w:after="0" w:line="240" w:lineRule="auto"/>
              <w:jc w:val="right"/>
              <w:rPr>
                <w:rFonts w:cs="Arial"/>
                <w:color w:val="000000"/>
                <w:szCs w:val="20"/>
              </w:rPr>
            </w:pPr>
            <w:r w:rsidRPr="00C06581">
              <w:rPr>
                <w:rFonts w:cs="Arial"/>
                <w:color w:val="000000"/>
                <w:szCs w:val="20"/>
              </w:rPr>
              <w:t>1.558</w:t>
            </w:r>
          </w:p>
        </w:tc>
      </w:tr>
      <w:tr w:rsidR="006C513A" w:rsidRPr="001431D5" w14:paraId="37359ED3" w14:textId="77777777" w:rsidTr="00593B36">
        <w:trPr>
          <w:cantSplit/>
          <w:trHeight w:val="525"/>
          <w:tblHeader/>
        </w:trPr>
        <w:tc>
          <w:tcPr>
            <w:tcW w:w="955" w:type="dxa"/>
            <w:tcBorders>
              <w:top w:val="nil"/>
              <w:left w:val="single" w:sz="8" w:space="0" w:color="auto"/>
              <w:bottom w:val="single" w:sz="8" w:space="0" w:color="auto"/>
              <w:right w:val="single" w:sz="8" w:space="0" w:color="auto"/>
            </w:tcBorders>
            <w:shd w:val="clear" w:color="auto" w:fill="auto"/>
          </w:tcPr>
          <w:p w14:paraId="1436BA5A" w14:textId="77777777" w:rsidR="006C513A" w:rsidRPr="00687A04" w:rsidRDefault="006C513A" w:rsidP="006C513A">
            <w:pPr>
              <w:spacing w:after="0" w:line="240" w:lineRule="auto"/>
              <w:rPr>
                <w:rFonts w:cs="Arial"/>
                <w:color w:val="000000"/>
                <w:szCs w:val="20"/>
              </w:rPr>
            </w:pPr>
            <w:r w:rsidRPr="00687A04">
              <w:rPr>
                <w:rFonts w:cs="Arial"/>
                <w:color w:val="000000"/>
                <w:szCs w:val="20"/>
              </w:rPr>
              <w:t>15(1)(ca)</w:t>
            </w:r>
          </w:p>
        </w:tc>
        <w:tc>
          <w:tcPr>
            <w:tcW w:w="2551" w:type="dxa"/>
            <w:tcBorders>
              <w:top w:val="nil"/>
              <w:left w:val="nil"/>
              <w:bottom w:val="single" w:sz="8" w:space="0" w:color="auto"/>
              <w:right w:val="single" w:sz="8" w:space="0" w:color="auto"/>
            </w:tcBorders>
            <w:shd w:val="clear" w:color="auto" w:fill="auto"/>
          </w:tcPr>
          <w:p w14:paraId="1297D1D6" w14:textId="77777777" w:rsidR="006C513A" w:rsidRPr="00687A04" w:rsidRDefault="006C513A" w:rsidP="006C513A">
            <w:pPr>
              <w:spacing w:after="0" w:line="240" w:lineRule="auto"/>
              <w:rPr>
                <w:rFonts w:cs="Arial"/>
                <w:color w:val="000000"/>
                <w:szCs w:val="20"/>
              </w:rPr>
            </w:pPr>
            <w:r w:rsidRPr="00687A04">
              <w:rPr>
                <w:rFonts w:cs="Arial"/>
                <w:color w:val="000000"/>
                <w:szCs w:val="20"/>
              </w:rPr>
              <w:t>Development of consumer protection related industry codes</w:t>
            </w:r>
          </w:p>
        </w:tc>
        <w:tc>
          <w:tcPr>
            <w:tcW w:w="1190" w:type="dxa"/>
            <w:tcBorders>
              <w:top w:val="nil"/>
              <w:left w:val="nil"/>
              <w:bottom w:val="single" w:sz="8" w:space="0" w:color="auto"/>
              <w:right w:val="single" w:sz="8" w:space="0" w:color="auto"/>
            </w:tcBorders>
            <w:shd w:val="clear" w:color="auto" w:fill="auto"/>
          </w:tcPr>
          <w:p w14:paraId="6559A8A0" w14:textId="77777777" w:rsidR="006C513A" w:rsidRPr="00C06581" w:rsidRDefault="006C513A" w:rsidP="006C513A">
            <w:pPr>
              <w:spacing w:after="0" w:line="240" w:lineRule="auto"/>
              <w:jc w:val="right"/>
              <w:rPr>
                <w:rFonts w:cs="Arial"/>
                <w:color w:val="000000"/>
                <w:szCs w:val="20"/>
              </w:rPr>
            </w:pPr>
            <w:r w:rsidRPr="00C06581">
              <w:rPr>
                <w:rFonts w:cs="Arial"/>
                <w:color w:val="000000"/>
                <w:szCs w:val="20"/>
              </w:rPr>
              <w:t>0.0</w:t>
            </w:r>
          </w:p>
        </w:tc>
        <w:tc>
          <w:tcPr>
            <w:tcW w:w="1191" w:type="dxa"/>
            <w:tcBorders>
              <w:top w:val="nil"/>
              <w:left w:val="nil"/>
              <w:bottom w:val="single" w:sz="8" w:space="0" w:color="auto"/>
              <w:right w:val="single" w:sz="8" w:space="0" w:color="auto"/>
            </w:tcBorders>
            <w:shd w:val="clear" w:color="auto" w:fill="auto"/>
          </w:tcPr>
          <w:p w14:paraId="3BA6F092" w14:textId="77777777" w:rsidR="006C513A" w:rsidRPr="00C06581" w:rsidRDefault="006C513A" w:rsidP="006C513A">
            <w:pPr>
              <w:spacing w:after="0" w:line="240" w:lineRule="auto"/>
              <w:jc w:val="right"/>
              <w:rPr>
                <w:rFonts w:cs="Arial"/>
                <w:color w:val="000000"/>
                <w:szCs w:val="20"/>
              </w:rPr>
            </w:pPr>
            <w:r w:rsidRPr="00C06581">
              <w:rPr>
                <w:rFonts w:cs="Arial"/>
                <w:color w:val="000000"/>
                <w:szCs w:val="20"/>
              </w:rPr>
              <w:t>0.0</w:t>
            </w:r>
          </w:p>
        </w:tc>
        <w:tc>
          <w:tcPr>
            <w:tcW w:w="1191" w:type="dxa"/>
            <w:tcBorders>
              <w:top w:val="nil"/>
              <w:left w:val="nil"/>
              <w:bottom w:val="single" w:sz="8" w:space="0" w:color="auto"/>
              <w:right w:val="single" w:sz="8" w:space="0" w:color="auto"/>
            </w:tcBorders>
            <w:shd w:val="clear" w:color="auto" w:fill="auto"/>
          </w:tcPr>
          <w:p w14:paraId="0E67E0D7" w14:textId="77777777" w:rsidR="006C513A" w:rsidRPr="00C06581" w:rsidRDefault="006C513A" w:rsidP="006C513A">
            <w:pPr>
              <w:spacing w:after="0" w:line="240" w:lineRule="auto"/>
              <w:jc w:val="right"/>
              <w:rPr>
                <w:rFonts w:cs="Arial"/>
                <w:color w:val="000000"/>
                <w:szCs w:val="20"/>
              </w:rPr>
            </w:pPr>
            <w:r w:rsidRPr="00C06581">
              <w:rPr>
                <w:rFonts w:cs="Arial"/>
                <w:color w:val="000000"/>
                <w:szCs w:val="20"/>
              </w:rPr>
              <w:t>0.321</w:t>
            </w:r>
          </w:p>
        </w:tc>
        <w:tc>
          <w:tcPr>
            <w:tcW w:w="1191" w:type="dxa"/>
            <w:tcBorders>
              <w:top w:val="nil"/>
              <w:left w:val="nil"/>
              <w:bottom w:val="single" w:sz="8" w:space="0" w:color="auto"/>
              <w:right w:val="single" w:sz="8" w:space="0" w:color="auto"/>
            </w:tcBorders>
            <w:shd w:val="clear" w:color="auto" w:fill="auto"/>
          </w:tcPr>
          <w:p w14:paraId="42295CBD" w14:textId="77777777" w:rsidR="006C513A" w:rsidRPr="00C06581" w:rsidRDefault="006C513A" w:rsidP="006C513A">
            <w:pPr>
              <w:spacing w:after="0" w:line="240" w:lineRule="auto"/>
              <w:jc w:val="right"/>
              <w:rPr>
                <w:rFonts w:cs="Arial"/>
                <w:color w:val="000000"/>
                <w:szCs w:val="20"/>
              </w:rPr>
            </w:pPr>
            <w:r w:rsidRPr="00C06581">
              <w:rPr>
                <w:rFonts w:cs="Arial"/>
                <w:color w:val="000000"/>
                <w:szCs w:val="20"/>
              </w:rPr>
              <w:t>0.210</w:t>
            </w:r>
          </w:p>
        </w:tc>
        <w:tc>
          <w:tcPr>
            <w:tcW w:w="1191" w:type="dxa"/>
            <w:tcBorders>
              <w:top w:val="nil"/>
              <w:left w:val="nil"/>
              <w:bottom w:val="single" w:sz="8" w:space="0" w:color="auto"/>
              <w:right w:val="single" w:sz="8" w:space="0" w:color="auto"/>
            </w:tcBorders>
            <w:shd w:val="clear" w:color="auto" w:fill="auto"/>
          </w:tcPr>
          <w:p w14:paraId="47D7A72F" w14:textId="77777777" w:rsidR="006C513A" w:rsidRPr="00C06581" w:rsidRDefault="006C513A" w:rsidP="006C513A">
            <w:pPr>
              <w:spacing w:after="0" w:line="240" w:lineRule="auto"/>
              <w:jc w:val="right"/>
              <w:rPr>
                <w:rFonts w:cs="Arial"/>
                <w:color w:val="000000"/>
                <w:szCs w:val="20"/>
              </w:rPr>
            </w:pPr>
            <w:r w:rsidRPr="00C06581">
              <w:rPr>
                <w:rFonts w:cs="Arial"/>
                <w:color w:val="000000"/>
                <w:szCs w:val="20"/>
              </w:rPr>
              <w:t>0.0</w:t>
            </w:r>
          </w:p>
        </w:tc>
      </w:tr>
      <w:tr w:rsidR="000849B6" w:rsidRPr="001431D5" w14:paraId="26B8586F" w14:textId="77777777" w:rsidTr="00593B36">
        <w:trPr>
          <w:cantSplit/>
          <w:trHeight w:val="525"/>
          <w:tblHeader/>
        </w:trPr>
        <w:tc>
          <w:tcPr>
            <w:tcW w:w="955" w:type="dxa"/>
            <w:tcBorders>
              <w:top w:val="nil"/>
              <w:left w:val="single" w:sz="8" w:space="0" w:color="auto"/>
              <w:bottom w:val="single" w:sz="8" w:space="0" w:color="auto"/>
              <w:right w:val="single" w:sz="8" w:space="0" w:color="auto"/>
            </w:tcBorders>
            <w:shd w:val="clear" w:color="auto" w:fill="auto"/>
            <w:hideMark/>
          </w:tcPr>
          <w:p w14:paraId="1F1ADBF2" w14:textId="77777777" w:rsidR="000849B6" w:rsidRPr="00687A04" w:rsidRDefault="000849B6" w:rsidP="000849B6">
            <w:pPr>
              <w:spacing w:after="0" w:line="240" w:lineRule="auto"/>
              <w:rPr>
                <w:rFonts w:cs="Arial"/>
                <w:color w:val="000000"/>
                <w:szCs w:val="20"/>
              </w:rPr>
            </w:pPr>
            <w:r w:rsidRPr="00687A04">
              <w:rPr>
                <w:rFonts w:cs="Arial"/>
                <w:color w:val="000000"/>
                <w:szCs w:val="20"/>
              </w:rPr>
              <w:t>15(1)(d)</w:t>
            </w:r>
          </w:p>
        </w:tc>
        <w:tc>
          <w:tcPr>
            <w:tcW w:w="2551" w:type="dxa"/>
            <w:tcBorders>
              <w:top w:val="nil"/>
              <w:left w:val="nil"/>
              <w:bottom w:val="single" w:sz="8" w:space="0" w:color="auto"/>
              <w:right w:val="single" w:sz="8" w:space="0" w:color="auto"/>
            </w:tcBorders>
            <w:shd w:val="clear" w:color="auto" w:fill="auto"/>
            <w:hideMark/>
          </w:tcPr>
          <w:p w14:paraId="64749DD7" w14:textId="3F1B6E47" w:rsidR="000849B6" w:rsidRPr="00687A04" w:rsidRDefault="000849B6" w:rsidP="000849B6">
            <w:pPr>
              <w:spacing w:after="0" w:line="240" w:lineRule="auto"/>
              <w:rPr>
                <w:rFonts w:cs="Arial"/>
                <w:color w:val="000000"/>
                <w:szCs w:val="20"/>
              </w:rPr>
            </w:pPr>
            <w:r w:rsidRPr="00687A04">
              <w:rPr>
                <w:rFonts w:cs="Arial"/>
                <w:color w:val="000000"/>
                <w:szCs w:val="20"/>
              </w:rPr>
              <w:t xml:space="preserve">Government </w:t>
            </w:r>
            <w:r w:rsidR="00CE6BED">
              <w:rPr>
                <w:rFonts w:cs="Arial"/>
                <w:color w:val="000000"/>
                <w:szCs w:val="20"/>
              </w:rPr>
              <w:t>g</w:t>
            </w:r>
            <w:r w:rsidRPr="00687A04">
              <w:rPr>
                <w:rFonts w:cs="Arial"/>
                <w:color w:val="000000"/>
                <w:szCs w:val="20"/>
              </w:rPr>
              <w:t>rants—</w:t>
            </w:r>
            <w:r w:rsidR="00136A92">
              <w:rPr>
                <w:rFonts w:cs="Arial"/>
                <w:color w:val="000000"/>
                <w:szCs w:val="20"/>
              </w:rPr>
              <w:t>c</w:t>
            </w:r>
            <w:r w:rsidRPr="00687A04">
              <w:rPr>
                <w:rFonts w:cs="Arial"/>
                <w:color w:val="000000"/>
                <w:szCs w:val="20"/>
              </w:rPr>
              <w:t xml:space="preserve">onsumer </w:t>
            </w:r>
            <w:r w:rsidR="00136A92">
              <w:rPr>
                <w:rFonts w:cs="Arial"/>
                <w:color w:val="000000"/>
                <w:szCs w:val="20"/>
              </w:rPr>
              <w:t>r</w:t>
            </w:r>
            <w:r w:rsidRPr="00687A04">
              <w:rPr>
                <w:rFonts w:cs="Arial"/>
                <w:color w:val="000000"/>
                <w:szCs w:val="20"/>
              </w:rPr>
              <w:t xml:space="preserve">epresentation and </w:t>
            </w:r>
            <w:r w:rsidR="00136A92">
              <w:rPr>
                <w:rFonts w:cs="Arial"/>
                <w:color w:val="000000"/>
                <w:szCs w:val="20"/>
              </w:rPr>
              <w:t>r</w:t>
            </w:r>
            <w:r w:rsidRPr="00687A04">
              <w:rPr>
                <w:rFonts w:cs="Arial"/>
                <w:color w:val="000000"/>
                <w:szCs w:val="20"/>
              </w:rPr>
              <w:t>esearch</w:t>
            </w:r>
          </w:p>
        </w:tc>
        <w:tc>
          <w:tcPr>
            <w:tcW w:w="1190" w:type="dxa"/>
            <w:tcBorders>
              <w:top w:val="nil"/>
              <w:left w:val="nil"/>
              <w:bottom w:val="single" w:sz="8" w:space="0" w:color="auto"/>
              <w:right w:val="single" w:sz="8" w:space="0" w:color="auto"/>
            </w:tcBorders>
            <w:shd w:val="clear" w:color="auto" w:fill="auto"/>
            <w:hideMark/>
          </w:tcPr>
          <w:p w14:paraId="68D83385" w14:textId="77777777" w:rsidR="000849B6" w:rsidRPr="00C06581" w:rsidRDefault="000849B6" w:rsidP="000849B6">
            <w:pPr>
              <w:spacing w:after="0" w:line="240" w:lineRule="auto"/>
              <w:jc w:val="right"/>
              <w:rPr>
                <w:rFonts w:cs="Arial"/>
                <w:color w:val="000000"/>
                <w:szCs w:val="20"/>
              </w:rPr>
            </w:pPr>
            <w:r w:rsidRPr="00C06581">
              <w:rPr>
                <w:rFonts w:cs="Arial"/>
                <w:color w:val="000000"/>
                <w:szCs w:val="20"/>
              </w:rPr>
              <w:t>2.164</w:t>
            </w:r>
          </w:p>
        </w:tc>
        <w:tc>
          <w:tcPr>
            <w:tcW w:w="1191" w:type="dxa"/>
            <w:tcBorders>
              <w:top w:val="nil"/>
              <w:left w:val="nil"/>
              <w:bottom w:val="single" w:sz="8" w:space="0" w:color="auto"/>
              <w:right w:val="single" w:sz="8" w:space="0" w:color="auto"/>
            </w:tcBorders>
            <w:shd w:val="clear" w:color="auto" w:fill="auto"/>
            <w:hideMark/>
          </w:tcPr>
          <w:p w14:paraId="493D5D2B" w14:textId="77777777" w:rsidR="000849B6" w:rsidRPr="00C06581" w:rsidRDefault="000849B6" w:rsidP="000849B6">
            <w:pPr>
              <w:spacing w:after="0" w:line="240" w:lineRule="auto"/>
              <w:jc w:val="right"/>
              <w:rPr>
                <w:rFonts w:cs="Arial"/>
                <w:color w:val="000000"/>
                <w:szCs w:val="20"/>
              </w:rPr>
            </w:pPr>
            <w:r w:rsidRPr="00C06581">
              <w:rPr>
                <w:rFonts w:cs="Arial"/>
                <w:color w:val="000000"/>
                <w:szCs w:val="20"/>
              </w:rPr>
              <w:t>2.166</w:t>
            </w:r>
          </w:p>
        </w:tc>
        <w:tc>
          <w:tcPr>
            <w:tcW w:w="1191" w:type="dxa"/>
            <w:tcBorders>
              <w:top w:val="nil"/>
              <w:left w:val="nil"/>
              <w:bottom w:val="single" w:sz="8" w:space="0" w:color="auto"/>
              <w:right w:val="single" w:sz="8" w:space="0" w:color="auto"/>
            </w:tcBorders>
            <w:shd w:val="clear" w:color="auto" w:fill="auto"/>
            <w:hideMark/>
          </w:tcPr>
          <w:p w14:paraId="522C0B05" w14:textId="77777777" w:rsidR="000849B6" w:rsidRPr="00C06581" w:rsidRDefault="000849B6" w:rsidP="000849B6">
            <w:pPr>
              <w:spacing w:after="0" w:line="240" w:lineRule="auto"/>
              <w:jc w:val="right"/>
              <w:rPr>
                <w:rFonts w:cs="Arial"/>
                <w:color w:val="000000"/>
                <w:szCs w:val="20"/>
              </w:rPr>
            </w:pPr>
            <w:r w:rsidRPr="00C06581">
              <w:rPr>
                <w:rFonts w:cs="Arial"/>
                <w:color w:val="000000"/>
                <w:szCs w:val="20"/>
              </w:rPr>
              <w:t>2.127</w:t>
            </w:r>
          </w:p>
        </w:tc>
        <w:tc>
          <w:tcPr>
            <w:tcW w:w="1191" w:type="dxa"/>
            <w:tcBorders>
              <w:top w:val="nil"/>
              <w:left w:val="nil"/>
              <w:bottom w:val="single" w:sz="8" w:space="0" w:color="auto"/>
              <w:right w:val="single" w:sz="8" w:space="0" w:color="auto"/>
            </w:tcBorders>
            <w:shd w:val="clear" w:color="auto" w:fill="auto"/>
            <w:hideMark/>
          </w:tcPr>
          <w:p w14:paraId="7EAF94D5" w14:textId="77777777" w:rsidR="000849B6" w:rsidRPr="00C06581" w:rsidRDefault="000849B6" w:rsidP="000849B6">
            <w:pPr>
              <w:spacing w:after="0" w:line="240" w:lineRule="auto"/>
              <w:jc w:val="right"/>
              <w:rPr>
                <w:rFonts w:cs="Arial"/>
                <w:color w:val="000000"/>
                <w:szCs w:val="20"/>
              </w:rPr>
            </w:pPr>
            <w:r w:rsidRPr="00C06581">
              <w:rPr>
                <w:rFonts w:cs="Arial"/>
                <w:color w:val="000000"/>
                <w:szCs w:val="20"/>
              </w:rPr>
              <w:t>2.077</w:t>
            </w:r>
          </w:p>
        </w:tc>
        <w:tc>
          <w:tcPr>
            <w:tcW w:w="1191" w:type="dxa"/>
            <w:tcBorders>
              <w:top w:val="nil"/>
              <w:left w:val="nil"/>
              <w:bottom w:val="single" w:sz="8" w:space="0" w:color="auto"/>
              <w:right w:val="single" w:sz="8" w:space="0" w:color="auto"/>
            </w:tcBorders>
            <w:shd w:val="clear" w:color="auto" w:fill="auto"/>
            <w:hideMark/>
          </w:tcPr>
          <w:p w14:paraId="30ED9D4D" w14:textId="77777777" w:rsidR="000849B6" w:rsidRPr="00C06581" w:rsidRDefault="000849B6" w:rsidP="000849B6">
            <w:pPr>
              <w:spacing w:after="0" w:line="240" w:lineRule="auto"/>
              <w:jc w:val="right"/>
              <w:rPr>
                <w:rFonts w:cs="Arial"/>
                <w:color w:val="000000"/>
                <w:szCs w:val="20"/>
              </w:rPr>
            </w:pPr>
            <w:r w:rsidRPr="00C06581">
              <w:rPr>
                <w:rFonts w:cs="Arial"/>
                <w:color w:val="000000"/>
                <w:szCs w:val="20"/>
              </w:rPr>
              <w:t>2.032</w:t>
            </w:r>
          </w:p>
        </w:tc>
      </w:tr>
      <w:tr w:rsidR="003F4664" w:rsidRPr="001431D5" w14:paraId="67FD8F75" w14:textId="77777777" w:rsidTr="00593B36">
        <w:trPr>
          <w:cantSplit/>
          <w:trHeight w:val="315"/>
          <w:tblHeader/>
        </w:trPr>
        <w:tc>
          <w:tcPr>
            <w:tcW w:w="3506" w:type="dxa"/>
            <w:gridSpan w:val="2"/>
            <w:tcBorders>
              <w:top w:val="single" w:sz="8" w:space="0" w:color="auto"/>
              <w:left w:val="single" w:sz="8" w:space="0" w:color="auto"/>
              <w:bottom w:val="single" w:sz="8" w:space="0" w:color="auto"/>
              <w:right w:val="single" w:sz="8" w:space="0" w:color="000000"/>
            </w:tcBorders>
            <w:shd w:val="clear" w:color="000000" w:fill="D9D9D9"/>
            <w:hideMark/>
          </w:tcPr>
          <w:p w14:paraId="09255C6A" w14:textId="77777777" w:rsidR="003F4664" w:rsidRPr="00687A04" w:rsidRDefault="003F4664" w:rsidP="00593B36">
            <w:pPr>
              <w:spacing w:after="0" w:line="240" w:lineRule="auto"/>
              <w:rPr>
                <w:rFonts w:cs="Arial"/>
                <w:b/>
                <w:bCs/>
                <w:color w:val="000000"/>
                <w:szCs w:val="20"/>
              </w:rPr>
            </w:pPr>
            <w:r w:rsidRPr="00687A04">
              <w:rPr>
                <w:rFonts w:cs="Arial"/>
                <w:b/>
                <w:bCs/>
                <w:color w:val="000000"/>
                <w:szCs w:val="20"/>
              </w:rPr>
              <w:t>Total expenses</w:t>
            </w:r>
          </w:p>
        </w:tc>
        <w:tc>
          <w:tcPr>
            <w:tcW w:w="1190" w:type="dxa"/>
            <w:tcBorders>
              <w:top w:val="nil"/>
              <w:left w:val="nil"/>
              <w:bottom w:val="single" w:sz="8" w:space="0" w:color="auto"/>
              <w:right w:val="single" w:sz="8" w:space="0" w:color="auto"/>
            </w:tcBorders>
            <w:shd w:val="clear" w:color="000000" w:fill="D9D9D9"/>
            <w:hideMark/>
          </w:tcPr>
          <w:p w14:paraId="795709EC" w14:textId="77777777" w:rsidR="003F4664" w:rsidRPr="00C06581" w:rsidRDefault="009737B2" w:rsidP="00593B36">
            <w:pPr>
              <w:spacing w:after="0" w:line="240" w:lineRule="auto"/>
              <w:jc w:val="right"/>
              <w:rPr>
                <w:rFonts w:cs="Arial"/>
                <w:b/>
                <w:bCs/>
                <w:color w:val="000000"/>
                <w:szCs w:val="20"/>
              </w:rPr>
            </w:pPr>
            <w:r>
              <w:rPr>
                <w:rFonts w:cs="Arial"/>
                <w:b/>
                <w:bCs/>
                <w:color w:val="000000"/>
                <w:szCs w:val="20"/>
              </w:rPr>
              <w:t>36.704</w:t>
            </w:r>
          </w:p>
        </w:tc>
        <w:tc>
          <w:tcPr>
            <w:tcW w:w="1191" w:type="dxa"/>
            <w:tcBorders>
              <w:top w:val="nil"/>
              <w:left w:val="nil"/>
              <w:bottom w:val="single" w:sz="8" w:space="0" w:color="auto"/>
              <w:right w:val="single" w:sz="8" w:space="0" w:color="auto"/>
            </w:tcBorders>
            <w:shd w:val="clear" w:color="000000" w:fill="D9D9D9"/>
            <w:hideMark/>
          </w:tcPr>
          <w:p w14:paraId="1B24A483" w14:textId="77777777" w:rsidR="003F4664" w:rsidRPr="00C06581" w:rsidRDefault="002B2CE2" w:rsidP="00593B36">
            <w:pPr>
              <w:spacing w:after="0" w:line="240" w:lineRule="auto"/>
              <w:jc w:val="right"/>
              <w:rPr>
                <w:rFonts w:cs="Arial"/>
                <w:b/>
                <w:bCs/>
                <w:color w:val="000000"/>
                <w:szCs w:val="20"/>
              </w:rPr>
            </w:pPr>
            <w:r w:rsidRPr="00C06581">
              <w:rPr>
                <w:rFonts w:cs="Arial"/>
                <w:b/>
                <w:bCs/>
                <w:color w:val="000000"/>
                <w:szCs w:val="20"/>
              </w:rPr>
              <w:t>38.526</w:t>
            </w:r>
          </w:p>
        </w:tc>
        <w:tc>
          <w:tcPr>
            <w:tcW w:w="1191" w:type="dxa"/>
            <w:tcBorders>
              <w:top w:val="nil"/>
              <w:left w:val="nil"/>
              <w:bottom w:val="single" w:sz="8" w:space="0" w:color="auto"/>
              <w:right w:val="single" w:sz="8" w:space="0" w:color="auto"/>
            </w:tcBorders>
            <w:shd w:val="clear" w:color="000000" w:fill="D9D9D9"/>
            <w:hideMark/>
          </w:tcPr>
          <w:p w14:paraId="67C80024" w14:textId="77777777" w:rsidR="003F4664" w:rsidRPr="00C06581" w:rsidRDefault="002B2CE2" w:rsidP="00593B36">
            <w:pPr>
              <w:spacing w:after="0" w:line="240" w:lineRule="auto"/>
              <w:jc w:val="right"/>
              <w:rPr>
                <w:rFonts w:cs="Arial"/>
                <w:b/>
                <w:bCs/>
                <w:color w:val="000000"/>
                <w:szCs w:val="20"/>
              </w:rPr>
            </w:pPr>
            <w:r w:rsidRPr="00C06581">
              <w:rPr>
                <w:rFonts w:cs="Arial"/>
                <w:b/>
                <w:bCs/>
                <w:color w:val="000000"/>
                <w:szCs w:val="20"/>
              </w:rPr>
              <w:t>38.304</w:t>
            </w:r>
          </w:p>
        </w:tc>
        <w:tc>
          <w:tcPr>
            <w:tcW w:w="1191" w:type="dxa"/>
            <w:tcBorders>
              <w:top w:val="nil"/>
              <w:left w:val="nil"/>
              <w:bottom w:val="single" w:sz="8" w:space="0" w:color="auto"/>
              <w:right w:val="single" w:sz="8" w:space="0" w:color="auto"/>
            </w:tcBorders>
            <w:shd w:val="clear" w:color="000000" w:fill="D9D9D9"/>
            <w:hideMark/>
          </w:tcPr>
          <w:p w14:paraId="7EBA5B03" w14:textId="77777777" w:rsidR="003F4664" w:rsidRPr="00C06581" w:rsidRDefault="002B2CE2" w:rsidP="00593B36">
            <w:pPr>
              <w:spacing w:after="0" w:line="240" w:lineRule="auto"/>
              <w:jc w:val="right"/>
              <w:rPr>
                <w:rFonts w:cs="Arial"/>
                <w:b/>
                <w:bCs/>
                <w:color w:val="000000"/>
                <w:szCs w:val="20"/>
              </w:rPr>
            </w:pPr>
            <w:r w:rsidRPr="00C06581">
              <w:rPr>
                <w:rFonts w:cs="Arial"/>
                <w:b/>
                <w:bCs/>
                <w:color w:val="000000"/>
                <w:szCs w:val="20"/>
              </w:rPr>
              <w:t>38.751</w:t>
            </w:r>
          </w:p>
        </w:tc>
        <w:tc>
          <w:tcPr>
            <w:tcW w:w="1191" w:type="dxa"/>
            <w:tcBorders>
              <w:top w:val="nil"/>
              <w:left w:val="nil"/>
              <w:bottom w:val="single" w:sz="8" w:space="0" w:color="auto"/>
              <w:right w:val="single" w:sz="8" w:space="0" w:color="auto"/>
            </w:tcBorders>
            <w:shd w:val="clear" w:color="000000" w:fill="D9D9D9"/>
            <w:hideMark/>
          </w:tcPr>
          <w:p w14:paraId="4E427E8C" w14:textId="77777777" w:rsidR="003F4664" w:rsidRPr="00C06581" w:rsidRDefault="002B2CE2" w:rsidP="00593B36">
            <w:pPr>
              <w:spacing w:after="0" w:line="240" w:lineRule="auto"/>
              <w:jc w:val="right"/>
              <w:rPr>
                <w:rFonts w:cs="Arial"/>
                <w:b/>
                <w:bCs/>
                <w:color w:val="000000"/>
                <w:szCs w:val="20"/>
              </w:rPr>
            </w:pPr>
            <w:r w:rsidRPr="00C06581">
              <w:rPr>
                <w:rFonts w:cs="Arial"/>
                <w:b/>
                <w:bCs/>
                <w:color w:val="000000"/>
                <w:szCs w:val="20"/>
              </w:rPr>
              <w:t>38.056</w:t>
            </w:r>
          </w:p>
        </w:tc>
      </w:tr>
      <w:tr w:rsidR="00DF2076" w:rsidRPr="001431D5" w14:paraId="0128C188" w14:textId="77777777" w:rsidTr="00593B36">
        <w:trPr>
          <w:cantSplit/>
          <w:trHeight w:val="315"/>
          <w:tblHeader/>
        </w:trPr>
        <w:tc>
          <w:tcPr>
            <w:tcW w:w="955" w:type="dxa"/>
            <w:tcBorders>
              <w:top w:val="nil"/>
              <w:left w:val="single" w:sz="8" w:space="0" w:color="auto"/>
              <w:bottom w:val="single" w:sz="8" w:space="0" w:color="auto"/>
              <w:right w:val="single" w:sz="8" w:space="0" w:color="auto"/>
            </w:tcBorders>
            <w:shd w:val="clear" w:color="auto" w:fill="auto"/>
            <w:hideMark/>
          </w:tcPr>
          <w:p w14:paraId="05756A1A" w14:textId="77777777" w:rsidR="00DF2076" w:rsidRPr="00687A04" w:rsidRDefault="00DF2076" w:rsidP="00DF2076">
            <w:pPr>
              <w:spacing w:after="0" w:line="240" w:lineRule="auto"/>
              <w:rPr>
                <w:rFonts w:cs="Arial"/>
                <w:color w:val="000000"/>
                <w:szCs w:val="20"/>
              </w:rPr>
            </w:pPr>
            <w:r w:rsidRPr="00687A04">
              <w:rPr>
                <w:rFonts w:cs="Arial"/>
                <w:color w:val="000000"/>
                <w:szCs w:val="20"/>
              </w:rPr>
              <w:t>15(1)(a)</w:t>
            </w:r>
          </w:p>
        </w:tc>
        <w:tc>
          <w:tcPr>
            <w:tcW w:w="2551" w:type="dxa"/>
            <w:tcBorders>
              <w:top w:val="nil"/>
              <w:left w:val="nil"/>
              <w:bottom w:val="single" w:sz="8" w:space="0" w:color="auto"/>
              <w:right w:val="single" w:sz="8" w:space="0" w:color="auto"/>
            </w:tcBorders>
            <w:shd w:val="clear" w:color="auto" w:fill="auto"/>
            <w:hideMark/>
          </w:tcPr>
          <w:p w14:paraId="04741ED2" w14:textId="77777777" w:rsidR="00DF2076" w:rsidRPr="00687A04" w:rsidRDefault="00DF2076" w:rsidP="00DF2076">
            <w:pPr>
              <w:spacing w:after="0" w:line="240" w:lineRule="auto"/>
              <w:rPr>
                <w:rFonts w:cs="Arial"/>
                <w:color w:val="000000"/>
                <w:szCs w:val="20"/>
              </w:rPr>
            </w:pPr>
            <w:r w:rsidRPr="00687A04">
              <w:rPr>
                <w:rFonts w:cs="Arial"/>
                <w:color w:val="000000"/>
                <w:szCs w:val="20"/>
              </w:rPr>
              <w:t>ACMA revenue</w:t>
            </w:r>
          </w:p>
        </w:tc>
        <w:tc>
          <w:tcPr>
            <w:tcW w:w="1190" w:type="dxa"/>
            <w:tcBorders>
              <w:top w:val="nil"/>
              <w:left w:val="nil"/>
              <w:bottom w:val="single" w:sz="8" w:space="0" w:color="auto"/>
              <w:right w:val="single" w:sz="8" w:space="0" w:color="auto"/>
            </w:tcBorders>
            <w:shd w:val="clear" w:color="auto" w:fill="auto"/>
            <w:hideMark/>
          </w:tcPr>
          <w:p w14:paraId="75CF1AAE" w14:textId="77777777" w:rsidR="00DF2076" w:rsidRPr="00C06581" w:rsidRDefault="002B2CE2" w:rsidP="00DF2076">
            <w:pPr>
              <w:spacing w:after="0" w:line="240" w:lineRule="auto"/>
              <w:jc w:val="right"/>
              <w:rPr>
                <w:rFonts w:cs="Arial"/>
                <w:color w:val="000000"/>
                <w:szCs w:val="20"/>
              </w:rPr>
            </w:pPr>
            <w:r w:rsidRPr="00C06581">
              <w:rPr>
                <w:rFonts w:cs="Arial"/>
                <w:color w:val="000000"/>
                <w:szCs w:val="20"/>
              </w:rPr>
              <w:t>19.</w:t>
            </w:r>
            <w:r w:rsidR="00DF2076" w:rsidRPr="00C06581">
              <w:rPr>
                <w:rFonts w:cs="Arial"/>
                <w:color w:val="000000"/>
                <w:szCs w:val="20"/>
              </w:rPr>
              <w:t>654</w:t>
            </w:r>
          </w:p>
        </w:tc>
        <w:tc>
          <w:tcPr>
            <w:tcW w:w="1191" w:type="dxa"/>
            <w:tcBorders>
              <w:top w:val="nil"/>
              <w:left w:val="nil"/>
              <w:bottom w:val="single" w:sz="8" w:space="0" w:color="auto"/>
              <w:right w:val="single" w:sz="8" w:space="0" w:color="auto"/>
            </w:tcBorders>
            <w:shd w:val="clear" w:color="auto" w:fill="auto"/>
            <w:hideMark/>
          </w:tcPr>
          <w:p w14:paraId="253F6E7D" w14:textId="77777777" w:rsidR="00DF2076" w:rsidRPr="00C06581" w:rsidRDefault="00DF2076" w:rsidP="00DF2076">
            <w:pPr>
              <w:spacing w:after="0" w:line="240" w:lineRule="auto"/>
              <w:jc w:val="right"/>
              <w:rPr>
                <w:rFonts w:cs="Arial"/>
                <w:color w:val="000000"/>
                <w:szCs w:val="20"/>
              </w:rPr>
            </w:pPr>
            <w:r w:rsidRPr="00C06581">
              <w:rPr>
                <w:rFonts w:cs="Arial"/>
                <w:color w:val="000000"/>
                <w:szCs w:val="20"/>
              </w:rPr>
              <w:t>19.210</w:t>
            </w:r>
          </w:p>
        </w:tc>
        <w:tc>
          <w:tcPr>
            <w:tcW w:w="1191" w:type="dxa"/>
            <w:tcBorders>
              <w:top w:val="nil"/>
              <w:left w:val="nil"/>
              <w:bottom w:val="single" w:sz="8" w:space="0" w:color="auto"/>
              <w:right w:val="single" w:sz="8" w:space="0" w:color="auto"/>
            </w:tcBorders>
            <w:shd w:val="clear" w:color="auto" w:fill="auto"/>
            <w:hideMark/>
          </w:tcPr>
          <w:p w14:paraId="0D7E6CD5" w14:textId="77777777" w:rsidR="00DF2076" w:rsidRPr="00C06581" w:rsidRDefault="00DF2076" w:rsidP="00DF2076">
            <w:pPr>
              <w:spacing w:after="0" w:line="240" w:lineRule="auto"/>
              <w:jc w:val="right"/>
              <w:rPr>
                <w:rFonts w:cs="Arial"/>
                <w:color w:val="000000"/>
                <w:szCs w:val="20"/>
              </w:rPr>
            </w:pPr>
            <w:r w:rsidRPr="00C06581">
              <w:rPr>
                <w:rFonts w:cs="Arial"/>
                <w:color w:val="000000"/>
                <w:szCs w:val="20"/>
              </w:rPr>
              <w:t>21.053</w:t>
            </w:r>
          </w:p>
        </w:tc>
        <w:tc>
          <w:tcPr>
            <w:tcW w:w="1191" w:type="dxa"/>
            <w:tcBorders>
              <w:top w:val="nil"/>
              <w:left w:val="nil"/>
              <w:bottom w:val="single" w:sz="8" w:space="0" w:color="auto"/>
              <w:right w:val="single" w:sz="8" w:space="0" w:color="auto"/>
            </w:tcBorders>
            <w:shd w:val="clear" w:color="auto" w:fill="auto"/>
            <w:hideMark/>
          </w:tcPr>
          <w:p w14:paraId="4621DC6E" w14:textId="77777777" w:rsidR="00DF2076" w:rsidRPr="00C06581" w:rsidRDefault="00DF2076" w:rsidP="00DF2076">
            <w:pPr>
              <w:spacing w:after="0" w:line="240" w:lineRule="auto"/>
              <w:jc w:val="right"/>
              <w:rPr>
                <w:rFonts w:cs="Arial"/>
                <w:color w:val="000000"/>
                <w:szCs w:val="20"/>
              </w:rPr>
            </w:pPr>
            <w:r w:rsidRPr="00C06581">
              <w:rPr>
                <w:rFonts w:cs="Arial"/>
                <w:color w:val="000000"/>
                <w:szCs w:val="20"/>
              </w:rPr>
              <w:t>21.519</w:t>
            </w:r>
          </w:p>
        </w:tc>
        <w:tc>
          <w:tcPr>
            <w:tcW w:w="1191" w:type="dxa"/>
            <w:tcBorders>
              <w:top w:val="nil"/>
              <w:left w:val="nil"/>
              <w:bottom w:val="single" w:sz="8" w:space="0" w:color="auto"/>
              <w:right w:val="single" w:sz="8" w:space="0" w:color="auto"/>
            </w:tcBorders>
            <w:shd w:val="clear" w:color="auto" w:fill="auto"/>
            <w:hideMark/>
          </w:tcPr>
          <w:p w14:paraId="1C123284" w14:textId="77777777" w:rsidR="00DF2076" w:rsidRPr="00C06581" w:rsidRDefault="00DF2076" w:rsidP="00DF2076">
            <w:pPr>
              <w:spacing w:after="0" w:line="240" w:lineRule="auto"/>
              <w:jc w:val="right"/>
              <w:rPr>
                <w:rFonts w:cs="Arial"/>
                <w:color w:val="000000"/>
                <w:szCs w:val="20"/>
              </w:rPr>
            </w:pPr>
            <w:r w:rsidRPr="00C06581">
              <w:rPr>
                <w:rFonts w:cs="Arial"/>
                <w:color w:val="000000"/>
                <w:szCs w:val="20"/>
              </w:rPr>
              <w:t>21.839</w:t>
            </w:r>
          </w:p>
        </w:tc>
      </w:tr>
      <w:tr w:rsidR="00DF2076" w:rsidRPr="001431D5" w14:paraId="6CBC6704" w14:textId="77777777" w:rsidTr="00593B36">
        <w:trPr>
          <w:cantSplit/>
          <w:trHeight w:val="315"/>
          <w:tblHeader/>
        </w:trPr>
        <w:tc>
          <w:tcPr>
            <w:tcW w:w="955" w:type="dxa"/>
            <w:tcBorders>
              <w:top w:val="nil"/>
              <w:left w:val="single" w:sz="8" w:space="0" w:color="auto"/>
              <w:bottom w:val="single" w:sz="8" w:space="0" w:color="auto"/>
              <w:right w:val="single" w:sz="8" w:space="0" w:color="auto"/>
            </w:tcBorders>
            <w:shd w:val="clear" w:color="auto" w:fill="auto"/>
            <w:hideMark/>
          </w:tcPr>
          <w:p w14:paraId="13952E23" w14:textId="77777777" w:rsidR="00DF2076" w:rsidRPr="00687A04" w:rsidRDefault="00DF2076" w:rsidP="00DF2076">
            <w:pPr>
              <w:spacing w:after="0" w:line="240" w:lineRule="auto"/>
              <w:rPr>
                <w:rFonts w:cs="Arial"/>
                <w:color w:val="000000"/>
                <w:szCs w:val="20"/>
              </w:rPr>
            </w:pPr>
            <w:r w:rsidRPr="00687A04">
              <w:rPr>
                <w:rFonts w:cs="Arial"/>
                <w:color w:val="000000"/>
                <w:szCs w:val="20"/>
              </w:rPr>
              <w:t>15(1)(b)</w:t>
            </w:r>
          </w:p>
        </w:tc>
        <w:tc>
          <w:tcPr>
            <w:tcW w:w="2551" w:type="dxa"/>
            <w:tcBorders>
              <w:top w:val="nil"/>
              <w:left w:val="nil"/>
              <w:bottom w:val="single" w:sz="8" w:space="0" w:color="auto"/>
              <w:right w:val="single" w:sz="8" w:space="0" w:color="auto"/>
            </w:tcBorders>
            <w:shd w:val="clear" w:color="auto" w:fill="auto"/>
            <w:hideMark/>
          </w:tcPr>
          <w:p w14:paraId="5D17C33D" w14:textId="77777777" w:rsidR="00DF2076" w:rsidRPr="00687A04" w:rsidRDefault="00DF2076" w:rsidP="00DF2076">
            <w:pPr>
              <w:spacing w:after="0" w:line="240" w:lineRule="auto"/>
              <w:rPr>
                <w:rFonts w:cs="Arial"/>
                <w:color w:val="000000"/>
                <w:szCs w:val="20"/>
              </w:rPr>
            </w:pPr>
            <w:r w:rsidRPr="00687A04">
              <w:rPr>
                <w:rFonts w:cs="Arial"/>
                <w:color w:val="000000"/>
                <w:szCs w:val="20"/>
              </w:rPr>
              <w:t>ACCC revenue</w:t>
            </w:r>
          </w:p>
        </w:tc>
        <w:tc>
          <w:tcPr>
            <w:tcW w:w="1190" w:type="dxa"/>
            <w:tcBorders>
              <w:top w:val="nil"/>
              <w:left w:val="nil"/>
              <w:bottom w:val="single" w:sz="8" w:space="0" w:color="auto"/>
              <w:right w:val="single" w:sz="8" w:space="0" w:color="auto"/>
            </w:tcBorders>
            <w:shd w:val="clear" w:color="auto" w:fill="auto"/>
            <w:hideMark/>
          </w:tcPr>
          <w:p w14:paraId="73A9EE49" w14:textId="77777777" w:rsidR="00DF2076" w:rsidRPr="00C06581" w:rsidRDefault="002B2CE2" w:rsidP="00DF2076">
            <w:pPr>
              <w:spacing w:after="0" w:line="240" w:lineRule="auto"/>
              <w:jc w:val="right"/>
              <w:rPr>
                <w:rFonts w:cs="Arial"/>
                <w:color w:val="000000"/>
                <w:szCs w:val="20"/>
              </w:rPr>
            </w:pPr>
            <w:r w:rsidRPr="00C06581">
              <w:rPr>
                <w:rFonts w:cs="Arial"/>
                <w:color w:val="000000"/>
                <w:szCs w:val="20"/>
              </w:rPr>
              <w:t>14.</w:t>
            </w:r>
            <w:r w:rsidR="00DF2076" w:rsidRPr="00C06581">
              <w:rPr>
                <w:rFonts w:cs="Arial"/>
                <w:color w:val="000000"/>
                <w:szCs w:val="20"/>
              </w:rPr>
              <w:t>975</w:t>
            </w:r>
          </w:p>
        </w:tc>
        <w:tc>
          <w:tcPr>
            <w:tcW w:w="1191" w:type="dxa"/>
            <w:tcBorders>
              <w:top w:val="nil"/>
              <w:left w:val="nil"/>
              <w:bottom w:val="single" w:sz="8" w:space="0" w:color="auto"/>
              <w:right w:val="single" w:sz="8" w:space="0" w:color="auto"/>
            </w:tcBorders>
            <w:shd w:val="clear" w:color="auto" w:fill="auto"/>
            <w:hideMark/>
          </w:tcPr>
          <w:p w14:paraId="59275710" w14:textId="77777777" w:rsidR="00DF2076" w:rsidRPr="00C06581" w:rsidRDefault="00DF2076" w:rsidP="00DF2076">
            <w:pPr>
              <w:spacing w:after="0" w:line="240" w:lineRule="auto"/>
              <w:jc w:val="right"/>
              <w:rPr>
                <w:rFonts w:cs="Arial"/>
                <w:color w:val="000000"/>
                <w:szCs w:val="20"/>
              </w:rPr>
            </w:pPr>
            <w:r w:rsidRPr="00C06581">
              <w:rPr>
                <w:rFonts w:cs="Arial"/>
                <w:color w:val="000000"/>
                <w:szCs w:val="20"/>
              </w:rPr>
              <w:t>15.005</w:t>
            </w:r>
          </w:p>
        </w:tc>
        <w:tc>
          <w:tcPr>
            <w:tcW w:w="1191" w:type="dxa"/>
            <w:tcBorders>
              <w:top w:val="nil"/>
              <w:left w:val="nil"/>
              <w:bottom w:val="single" w:sz="8" w:space="0" w:color="auto"/>
              <w:right w:val="single" w:sz="8" w:space="0" w:color="auto"/>
            </w:tcBorders>
            <w:shd w:val="clear" w:color="auto" w:fill="auto"/>
            <w:hideMark/>
          </w:tcPr>
          <w:p w14:paraId="5543D40F" w14:textId="77777777" w:rsidR="00DF2076" w:rsidRPr="00C06581" w:rsidRDefault="00DF2076" w:rsidP="00DF2076">
            <w:pPr>
              <w:spacing w:after="0" w:line="240" w:lineRule="auto"/>
              <w:jc w:val="right"/>
              <w:rPr>
                <w:rFonts w:cs="Arial"/>
                <w:color w:val="000000"/>
                <w:szCs w:val="20"/>
              </w:rPr>
            </w:pPr>
            <w:r w:rsidRPr="00C06581">
              <w:rPr>
                <w:rFonts w:cs="Arial"/>
                <w:color w:val="000000"/>
                <w:szCs w:val="20"/>
              </w:rPr>
              <w:t>13.815</w:t>
            </w:r>
          </w:p>
        </w:tc>
        <w:tc>
          <w:tcPr>
            <w:tcW w:w="1191" w:type="dxa"/>
            <w:tcBorders>
              <w:top w:val="nil"/>
              <w:left w:val="nil"/>
              <w:bottom w:val="single" w:sz="8" w:space="0" w:color="auto"/>
              <w:right w:val="single" w:sz="8" w:space="0" w:color="auto"/>
            </w:tcBorders>
            <w:shd w:val="clear" w:color="auto" w:fill="auto"/>
            <w:hideMark/>
          </w:tcPr>
          <w:p w14:paraId="262B15B9" w14:textId="77777777" w:rsidR="00DF2076" w:rsidRPr="00C06581" w:rsidRDefault="00DF2076" w:rsidP="00DF2076">
            <w:pPr>
              <w:spacing w:after="0" w:line="240" w:lineRule="auto"/>
              <w:jc w:val="right"/>
              <w:rPr>
                <w:rFonts w:cs="Arial"/>
                <w:color w:val="000000"/>
                <w:szCs w:val="20"/>
              </w:rPr>
            </w:pPr>
            <w:r w:rsidRPr="00C06581">
              <w:rPr>
                <w:rFonts w:cs="Arial"/>
                <w:color w:val="000000"/>
                <w:szCs w:val="20"/>
              </w:rPr>
              <w:t>12.947</w:t>
            </w:r>
          </w:p>
        </w:tc>
        <w:tc>
          <w:tcPr>
            <w:tcW w:w="1191" w:type="dxa"/>
            <w:tcBorders>
              <w:top w:val="nil"/>
              <w:left w:val="nil"/>
              <w:bottom w:val="single" w:sz="8" w:space="0" w:color="auto"/>
              <w:right w:val="single" w:sz="8" w:space="0" w:color="auto"/>
            </w:tcBorders>
            <w:shd w:val="clear" w:color="auto" w:fill="auto"/>
            <w:hideMark/>
          </w:tcPr>
          <w:p w14:paraId="5DED1E9D" w14:textId="77777777" w:rsidR="00DF2076" w:rsidRPr="00C06581" w:rsidRDefault="00DF2076" w:rsidP="00DF2076">
            <w:pPr>
              <w:spacing w:after="0" w:line="240" w:lineRule="auto"/>
              <w:jc w:val="right"/>
              <w:rPr>
                <w:rFonts w:cs="Arial"/>
                <w:color w:val="000000"/>
                <w:szCs w:val="20"/>
              </w:rPr>
            </w:pPr>
            <w:r w:rsidRPr="00C06581">
              <w:rPr>
                <w:rFonts w:cs="Arial"/>
                <w:color w:val="000000"/>
                <w:szCs w:val="20"/>
              </w:rPr>
              <w:t>12.223</w:t>
            </w:r>
          </w:p>
        </w:tc>
      </w:tr>
      <w:tr w:rsidR="003F4664" w:rsidRPr="001431D5" w14:paraId="3074E8D1" w14:textId="77777777" w:rsidTr="00593B36">
        <w:trPr>
          <w:cantSplit/>
          <w:trHeight w:val="315"/>
          <w:tblHeader/>
        </w:trPr>
        <w:tc>
          <w:tcPr>
            <w:tcW w:w="955" w:type="dxa"/>
            <w:tcBorders>
              <w:top w:val="nil"/>
              <w:left w:val="single" w:sz="8" w:space="0" w:color="auto"/>
              <w:bottom w:val="single" w:sz="8" w:space="0" w:color="auto"/>
              <w:right w:val="single" w:sz="8" w:space="0" w:color="auto"/>
            </w:tcBorders>
            <w:shd w:val="clear" w:color="auto" w:fill="auto"/>
            <w:hideMark/>
          </w:tcPr>
          <w:p w14:paraId="12C8F992" w14:textId="77777777" w:rsidR="003F4664" w:rsidRPr="00687A04" w:rsidRDefault="003F4664" w:rsidP="00593B36">
            <w:pPr>
              <w:spacing w:after="0" w:line="240" w:lineRule="auto"/>
              <w:rPr>
                <w:rFonts w:cs="Arial"/>
                <w:color w:val="000000"/>
                <w:szCs w:val="20"/>
              </w:rPr>
            </w:pPr>
            <w:r w:rsidRPr="00687A04">
              <w:rPr>
                <w:rFonts w:cs="Arial"/>
                <w:color w:val="000000"/>
                <w:szCs w:val="20"/>
              </w:rPr>
              <w:t>15(1)(c)</w:t>
            </w:r>
          </w:p>
        </w:tc>
        <w:tc>
          <w:tcPr>
            <w:tcW w:w="2551" w:type="dxa"/>
            <w:tcBorders>
              <w:top w:val="nil"/>
              <w:left w:val="nil"/>
              <w:bottom w:val="single" w:sz="8" w:space="0" w:color="auto"/>
              <w:right w:val="single" w:sz="8" w:space="0" w:color="auto"/>
            </w:tcBorders>
            <w:shd w:val="clear" w:color="auto" w:fill="auto"/>
            <w:hideMark/>
          </w:tcPr>
          <w:p w14:paraId="431B05EB" w14:textId="77777777" w:rsidR="003F4664" w:rsidRPr="00687A04" w:rsidRDefault="003F4664" w:rsidP="00593B36">
            <w:pPr>
              <w:spacing w:after="0" w:line="240" w:lineRule="auto"/>
              <w:rPr>
                <w:rFonts w:cs="Arial"/>
                <w:color w:val="000000"/>
                <w:szCs w:val="20"/>
              </w:rPr>
            </w:pPr>
            <w:r w:rsidRPr="00687A04">
              <w:rPr>
                <w:rFonts w:cs="Arial"/>
                <w:color w:val="000000"/>
                <w:szCs w:val="20"/>
              </w:rPr>
              <w:t>ITU contribution</w:t>
            </w:r>
          </w:p>
        </w:tc>
        <w:tc>
          <w:tcPr>
            <w:tcW w:w="1190" w:type="dxa"/>
            <w:tcBorders>
              <w:top w:val="nil"/>
              <w:left w:val="nil"/>
              <w:bottom w:val="single" w:sz="8" w:space="0" w:color="auto"/>
              <w:right w:val="single" w:sz="8" w:space="0" w:color="auto"/>
            </w:tcBorders>
            <w:shd w:val="clear" w:color="auto" w:fill="auto"/>
            <w:hideMark/>
          </w:tcPr>
          <w:p w14:paraId="7EBEE4D4" w14:textId="77777777" w:rsidR="003F4664" w:rsidRPr="00C06581" w:rsidRDefault="004210B2" w:rsidP="00593B36">
            <w:pPr>
              <w:spacing w:after="0" w:line="240" w:lineRule="auto"/>
              <w:jc w:val="right"/>
              <w:rPr>
                <w:rFonts w:cs="Arial"/>
                <w:color w:val="000000"/>
                <w:szCs w:val="20"/>
              </w:rPr>
            </w:pPr>
            <w:r w:rsidRPr="00C06581">
              <w:rPr>
                <w:rFonts w:cs="Arial"/>
                <w:color w:val="000000"/>
                <w:szCs w:val="20"/>
              </w:rPr>
              <w:t>1.860</w:t>
            </w:r>
          </w:p>
        </w:tc>
        <w:tc>
          <w:tcPr>
            <w:tcW w:w="1191" w:type="dxa"/>
            <w:tcBorders>
              <w:top w:val="nil"/>
              <w:left w:val="nil"/>
              <w:bottom w:val="single" w:sz="8" w:space="0" w:color="auto"/>
              <w:right w:val="single" w:sz="8" w:space="0" w:color="auto"/>
            </w:tcBorders>
            <w:shd w:val="clear" w:color="auto" w:fill="auto"/>
            <w:hideMark/>
          </w:tcPr>
          <w:p w14:paraId="7C5D9EC2" w14:textId="77777777" w:rsidR="003F4664" w:rsidRPr="00C06581" w:rsidRDefault="004210B2" w:rsidP="004210B2">
            <w:pPr>
              <w:spacing w:after="0" w:line="240" w:lineRule="auto"/>
              <w:jc w:val="right"/>
              <w:rPr>
                <w:rFonts w:cs="Arial"/>
                <w:color w:val="000000"/>
                <w:szCs w:val="20"/>
              </w:rPr>
            </w:pPr>
            <w:r w:rsidRPr="00C06581">
              <w:rPr>
                <w:rFonts w:cs="Arial"/>
                <w:color w:val="000000"/>
                <w:szCs w:val="20"/>
              </w:rPr>
              <w:t>1.601</w:t>
            </w:r>
          </w:p>
        </w:tc>
        <w:tc>
          <w:tcPr>
            <w:tcW w:w="1191" w:type="dxa"/>
            <w:tcBorders>
              <w:top w:val="nil"/>
              <w:left w:val="nil"/>
              <w:bottom w:val="single" w:sz="8" w:space="0" w:color="auto"/>
              <w:right w:val="single" w:sz="8" w:space="0" w:color="auto"/>
            </w:tcBorders>
            <w:shd w:val="clear" w:color="auto" w:fill="auto"/>
            <w:hideMark/>
          </w:tcPr>
          <w:p w14:paraId="2EA08186" w14:textId="77777777" w:rsidR="003F4664" w:rsidRPr="00C06581" w:rsidRDefault="003F4664" w:rsidP="00593B36">
            <w:pPr>
              <w:spacing w:after="0" w:line="240" w:lineRule="auto"/>
              <w:jc w:val="right"/>
              <w:rPr>
                <w:rFonts w:cs="Arial"/>
                <w:color w:val="000000"/>
                <w:szCs w:val="20"/>
              </w:rPr>
            </w:pPr>
            <w:r w:rsidRPr="00C06581">
              <w:rPr>
                <w:rFonts w:cs="Arial"/>
                <w:color w:val="000000"/>
                <w:szCs w:val="20"/>
              </w:rPr>
              <w:t>1</w:t>
            </w:r>
            <w:r w:rsidR="00F94A46" w:rsidRPr="00C06581">
              <w:rPr>
                <w:rFonts w:cs="Arial"/>
                <w:color w:val="000000"/>
                <w:szCs w:val="20"/>
              </w:rPr>
              <w:t>.680</w:t>
            </w:r>
          </w:p>
        </w:tc>
        <w:tc>
          <w:tcPr>
            <w:tcW w:w="1191" w:type="dxa"/>
            <w:tcBorders>
              <w:top w:val="nil"/>
              <w:left w:val="nil"/>
              <w:bottom w:val="single" w:sz="8" w:space="0" w:color="auto"/>
              <w:right w:val="single" w:sz="8" w:space="0" w:color="auto"/>
            </w:tcBorders>
            <w:shd w:val="clear" w:color="auto" w:fill="auto"/>
            <w:hideMark/>
          </w:tcPr>
          <w:p w14:paraId="5E95ADB2" w14:textId="77777777" w:rsidR="003F4664" w:rsidRPr="00C06581" w:rsidRDefault="00F94A46" w:rsidP="00593B36">
            <w:pPr>
              <w:spacing w:after="0" w:line="240" w:lineRule="auto"/>
              <w:jc w:val="right"/>
              <w:rPr>
                <w:rFonts w:cs="Arial"/>
                <w:color w:val="000000"/>
                <w:szCs w:val="20"/>
              </w:rPr>
            </w:pPr>
            <w:r w:rsidRPr="00C06581">
              <w:rPr>
                <w:rFonts w:cs="Arial"/>
                <w:color w:val="000000"/>
                <w:szCs w:val="20"/>
              </w:rPr>
              <w:t>1.511</w:t>
            </w:r>
          </w:p>
        </w:tc>
        <w:tc>
          <w:tcPr>
            <w:tcW w:w="1191" w:type="dxa"/>
            <w:tcBorders>
              <w:top w:val="nil"/>
              <w:left w:val="nil"/>
              <w:bottom w:val="single" w:sz="8" w:space="0" w:color="auto"/>
              <w:right w:val="single" w:sz="8" w:space="0" w:color="auto"/>
            </w:tcBorders>
            <w:shd w:val="clear" w:color="auto" w:fill="auto"/>
            <w:hideMark/>
          </w:tcPr>
          <w:p w14:paraId="2F357276" w14:textId="77777777" w:rsidR="003F4664" w:rsidRPr="00C06581" w:rsidRDefault="00F94A46" w:rsidP="00593B36">
            <w:pPr>
              <w:spacing w:after="0" w:line="240" w:lineRule="auto"/>
              <w:jc w:val="right"/>
              <w:rPr>
                <w:rFonts w:cs="Arial"/>
                <w:color w:val="000000"/>
                <w:szCs w:val="20"/>
              </w:rPr>
            </w:pPr>
            <w:r w:rsidRPr="00C06581">
              <w:rPr>
                <w:rFonts w:cs="Arial"/>
                <w:color w:val="000000"/>
                <w:szCs w:val="20"/>
              </w:rPr>
              <w:t>1.604</w:t>
            </w:r>
          </w:p>
        </w:tc>
      </w:tr>
      <w:tr w:rsidR="006C513A" w:rsidRPr="001431D5" w14:paraId="41F95D09" w14:textId="77777777" w:rsidTr="00593B36">
        <w:trPr>
          <w:cantSplit/>
          <w:trHeight w:val="525"/>
          <w:tblHeader/>
        </w:trPr>
        <w:tc>
          <w:tcPr>
            <w:tcW w:w="955" w:type="dxa"/>
            <w:tcBorders>
              <w:top w:val="nil"/>
              <w:left w:val="single" w:sz="8" w:space="0" w:color="auto"/>
              <w:bottom w:val="single" w:sz="8" w:space="0" w:color="auto"/>
              <w:right w:val="single" w:sz="8" w:space="0" w:color="auto"/>
            </w:tcBorders>
            <w:shd w:val="clear" w:color="auto" w:fill="auto"/>
          </w:tcPr>
          <w:p w14:paraId="10146C80" w14:textId="77777777" w:rsidR="006C513A" w:rsidRPr="00687A04" w:rsidRDefault="006C513A" w:rsidP="006C513A">
            <w:pPr>
              <w:spacing w:after="0" w:line="240" w:lineRule="auto"/>
              <w:rPr>
                <w:rFonts w:cs="Arial"/>
                <w:color w:val="000000"/>
                <w:szCs w:val="20"/>
              </w:rPr>
            </w:pPr>
            <w:r w:rsidRPr="00687A04">
              <w:rPr>
                <w:rFonts w:cs="Arial"/>
                <w:color w:val="000000"/>
                <w:szCs w:val="20"/>
              </w:rPr>
              <w:t>15(1)(ca)</w:t>
            </w:r>
          </w:p>
        </w:tc>
        <w:tc>
          <w:tcPr>
            <w:tcW w:w="2551" w:type="dxa"/>
            <w:tcBorders>
              <w:top w:val="nil"/>
              <w:left w:val="nil"/>
              <w:bottom w:val="single" w:sz="8" w:space="0" w:color="auto"/>
              <w:right w:val="single" w:sz="8" w:space="0" w:color="auto"/>
            </w:tcBorders>
            <w:shd w:val="clear" w:color="auto" w:fill="auto"/>
          </w:tcPr>
          <w:p w14:paraId="7A93246B" w14:textId="77777777" w:rsidR="006C513A" w:rsidRPr="00687A04" w:rsidRDefault="006C513A" w:rsidP="006C513A">
            <w:pPr>
              <w:spacing w:after="0" w:line="240" w:lineRule="auto"/>
              <w:rPr>
                <w:rFonts w:cs="Arial"/>
                <w:color w:val="000000"/>
                <w:szCs w:val="20"/>
              </w:rPr>
            </w:pPr>
            <w:r w:rsidRPr="00687A04">
              <w:rPr>
                <w:rFonts w:cs="Arial"/>
                <w:color w:val="000000"/>
                <w:szCs w:val="20"/>
              </w:rPr>
              <w:t>Development of consumer protection related industry codes</w:t>
            </w:r>
          </w:p>
        </w:tc>
        <w:tc>
          <w:tcPr>
            <w:tcW w:w="1190" w:type="dxa"/>
            <w:tcBorders>
              <w:top w:val="nil"/>
              <w:left w:val="nil"/>
              <w:bottom w:val="single" w:sz="8" w:space="0" w:color="auto"/>
              <w:right w:val="single" w:sz="8" w:space="0" w:color="auto"/>
            </w:tcBorders>
            <w:shd w:val="clear" w:color="auto" w:fill="auto"/>
          </w:tcPr>
          <w:p w14:paraId="79E9065E" w14:textId="77777777" w:rsidR="006C513A" w:rsidRPr="00C06581" w:rsidRDefault="006C513A" w:rsidP="006C513A">
            <w:pPr>
              <w:spacing w:after="0" w:line="240" w:lineRule="auto"/>
              <w:jc w:val="right"/>
              <w:rPr>
                <w:rFonts w:cs="Arial"/>
                <w:color w:val="000000"/>
                <w:szCs w:val="20"/>
              </w:rPr>
            </w:pPr>
            <w:r w:rsidRPr="00C06581">
              <w:rPr>
                <w:rFonts w:cs="Arial"/>
                <w:color w:val="000000"/>
                <w:szCs w:val="20"/>
              </w:rPr>
              <w:t>0.</w:t>
            </w:r>
            <w:r w:rsidR="00F94A46" w:rsidRPr="00C06581">
              <w:rPr>
                <w:rFonts w:cs="Arial"/>
                <w:color w:val="000000"/>
                <w:szCs w:val="20"/>
              </w:rPr>
              <w:t>00</w:t>
            </w:r>
            <w:r w:rsidRPr="00C06581">
              <w:rPr>
                <w:rFonts w:cs="Arial"/>
                <w:color w:val="000000"/>
                <w:szCs w:val="20"/>
              </w:rPr>
              <w:t>0</w:t>
            </w:r>
          </w:p>
        </w:tc>
        <w:tc>
          <w:tcPr>
            <w:tcW w:w="1191" w:type="dxa"/>
            <w:tcBorders>
              <w:top w:val="nil"/>
              <w:left w:val="nil"/>
              <w:bottom w:val="single" w:sz="8" w:space="0" w:color="auto"/>
              <w:right w:val="single" w:sz="8" w:space="0" w:color="auto"/>
            </w:tcBorders>
            <w:shd w:val="clear" w:color="auto" w:fill="auto"/>
          </w:tcPr>
          <w:p w14:paraId="7BA63AC2" w14:textId="77777777" w:rsidR="006C513A" w:rsidRPr="00C06581" w:rsidRDefault="006C513A" w:rsidP="006C513A">
            <w:pPr>
              <w:spacing w:after="0" w:line="240" w:lineRule="auto"/>
              <w:jc w:val="right"/>
              <w:rPr>
                <w:rFonts w:cs="Arial"/>
                <w:color w:val="000000"/>
                <w:szCs w:val="20"/>
              </w:rPr>
            </w:pPr>
            <w:r w:rsidRPr="00C06581">
              <w:rPr>
                <w:rFonts w:cs="Arial"/>
                <w:color w:val="000000"/>
                <w:szCs w:val="20"/>
              </w:rPr>
              <w:t>0.321</w:t>
            </w:r>
          </w:p>
        </w:tc>
        <w:tc>
          <w:tcPr>
            <w:tcW w:w="1191" w:type="dxa"/>
            <w:tcBorders>
              <w:top w:val="nil"/>
              <w:left w:val="nil"/>
              <w:bottom w:val="single" w:sz="8" w:space="0" w:color="auto"/>
              <w:right w:val="single" w:sz="8" w:space="0" w:color="auto"/>
            </w:tcBorders>
            <w:shd w:val="clear" w:color="auto" w:fill="auto"/>
          </w:tcPr>
          <w:p w14:paraId="332912FF" w14:textId="77777777" w:rsidR="006C513A" w:rsidRPr="00C06581" w:rsidRDefault="006C513A" w:rsidP="006C513A">
            <w:pPr>
              <w:spacing w:after="0" w:line="240" w:lineRule="auto"/>
              <w:jc w:val="right"/>
              <w:rPr>
                <w:rFonts w:cs="Arial"/>
                <w:color w:val="000000"/>
                <w:szCs w:val="20"/>
              </w:rPr>
            </w:pPr>
            <w:r w:rsidRPr="00C06581">
              <w:rPr>
                <w:rFonts w:cs="Arial"/>
                <w:color w:val="000000"/>
                <w:szCs w:val="20"/>
              </w:rPr>
              <w:t>0.210</w:t>
            </w:r>
          </w:p>
        </w:tc>
        <w:tc>
          <w:tcPr>
            <w:tcW w:w="1191" w:type="dxa"/>
            <w:tcBorders>
              <w:top w:val="nil"/>
              <w:left w:val="nil"/>
              <w:bottom w:val="single" w:sz="8" w:space="0" w:color="auto"/>
              <w:right w:val="single" w:sz="8" w:space="0" w:color="auto"/>
            </w:tcBorders>
            <w:shd w:val="clear" w:color="auto" w:fill="auto"/>
          </w:tcPr>
          <w:p w14:paraId="49CA977A" w14:textId="77777777" w:rsidR="006C513A" w:rsidRPr="00C06581" w:rsidRDefault="006C513A" w:rsidP="006C513A">
            <w:pPr>
              <w:spacing w:after="0" w:line="240" w:lineRule="auto"/>
              <w:jc w:val="right"/>
              <w:rPr>
                <w:rFonts w:cs="Arial"/>
                <w:color w:val="000000"/>
                <w:szCs w:val="20"/>
              </w:rPr>
            </w:pPr>
            <w:r w:rsidRPr="00C06581">
              <w:rPr>
                <w:rFonts w:cs="Arial"/>
                <w:color w:val="000000"/>
                <w:szCs w:val="20"/>
              </w:rPr>
              <w:t>0.</w:t>
            </w:r>
            <w:r w:rsidR="00F94A46" w:rsidRPr="00C06581">
              <w:rPr>
                <w:rFonts w:cs="Arial"/>
                <w:color w:val="000000"/>
                <w:szCs w:val="20"/>
              </w:rPr>
              <w:t>00</w:t>
            </w:r>
            <w:r w:rsidRPr="00C06581">
              <w:rPr>
                <w:rFonts w:cs="Arial"/>
                <w:color w:val="000000"/>
                <w:szCs w:val="20"/>
              </w:rPr>
              <w:t>0</w:t>
            </w:r>
          </w:p>
        </w:tc>
        <w:tc>
          <w:tcPr>
            <w:tcW w:w="1191" w:type="dxa"/>
            <w:tcBorders>
              <w:top w:val="nil"/>
              <w:left w:val="nil"/>
              <w:bottom w:val="single" w:sz="8" w:space="0" w:color="auto"/>
              <w:right w:val="single" w:sz="8" w:space="0" w:color="auto"/>
            </w:tcBorders>
            <w:shd w:val="clear" w:color="auto" w:fill="auto"/>
          </w:tcPr>
          <w:p w14:paraId="7C221129" w14:textId="77777777" w:rsidR="006C513A" w:rsidRPr="00C06581" w:rsidRDefault="006C513A" w:rsidP="006C513A">
            <w:pPr>
              <w:spacing w:after="0" w:line="240" w:lineRule="auto"/>
              <w:jc w:val="right"/>
              <w:rPr>
                <w:rFonts w:cs="Arial"/>
                <w:color w:val="000000"/>
                <w:szCs w:val="20"/>
              </w:rPr>
            </w:pPr>
            <w:r w:rsidRPr="00C06581">
              <w:rPr>
                <w:rFonts w:cs="Arial"/>
                <w:color w:val="000000"/>
                <w:szCs w:val="20"/>
              </w:rPr>
              <w:t>0.</w:t>
            </w:r>
            <w:r w:rsidR="00F94A46" w:rsidRPr="00C06581">
              <w:rPr>
                <w:rFonts w:cs="Arial"/>
                <w:color w:val="000000"/>
                <w:szCs w:val="20"/>
              </w:rPr>
              <w:t>00</w:t>
            </w:r>
            <w:r w:rsidRPr="00C06581">
              <w:rPr>
                <w:rFonts w:cs="Arial"/>
                <w:color w:val="000000"/>
                <w:szCs w:val="20"/>
              </w:rPr>
              <w:t>0</w:t>
            </w:r>
          </w:p>
        </w:tc>
      </w:tr>
      <w:tr w:rsidR="000849B6" w:rsidRPr="001431D5" w14:paraId="0AD847F1" w14:textId="77777777" w:rsidTr="00593B36">
        <w:trPr>
          <w:cantSplit/>
          <w:trHeight w:val="525"/>
          <w:tblHeader/>
        </w:trPr>
        <w:tc>
          <w:tcPr>
            <w:tcW w:w="955" w:type="dxa"/>
            <w:tcBorders>
              <w:top w:val="nil"/>
              <w:left w:val="single" w:sz="8" w:space="0" w:color="auto"/>
              <w:bottom w:val="single" w:sz="8" w:space="0" w:color="auto"/>
              <w:right w:val="single" w:sz="8" w:space="0" w:color="auto"/>
            </w:tcBorders>
            <w:shd w:val="clear" w:color="auto" w:fill="auto"/>
            <w:hideMark/>
          </w:tcPr>
          <w:p w14:paraId="167307F3" w14:textId="77777777" w:rsidR="000849B6" w:rsidRPr="00687A04" w:rsidRDefault="000849B6" w:rsidP="000849B6">
            <w:pPr>
              <w:spacing w:after="0" w:line="240" w:lineRule="auto"/>
              <w:rPr>
                <w:rFonts w:cs="Arial"/>
                <w:color w:val="000000"/>
                <w:szCs w:val="20"/>
              </w:rPr>
            </w:pPr>
            <w:r w:rsidRPr="00687A04">
              <w:rPr>
                <w:rFonts w:cs="Arial"/>
                <w:color w:val="000000"/>
                <w:szCs w:val="20"/>
              </w:rPr>
              <w:t>15(1)(d)</w:t>
            </w:r>
          </w:p>
        </w:tc>
        <w:tc>
          <w:tcPr>
            <w:tcW w:w="2551" w:type="dxa"/>
            <w:tcBorders>
              <w:top w:val="nil"/>
              <w:left w:val="nil"/>
              <w:bottom w:val="single" w:sz="8" w:space="0" w:color="auto"/>
              <w:right w:val="single" w:sz="8" w:space="0" w:color="auto"/>
            </w:tcBorders>
            <w:shd w:val="clear" w:color="auto" w:fill="auto"/>
            <w:hideMark/>
          </w:tcPr>
          <w:p w14:paraId="5604BB69" w14:textId="2CDA6580" w:rsidR="000849B6" w:rsidRPr="00687A04" w:rsidRDefault="000849B6" w:rsidP="000849B6">
            <w:pPr>
              <w:spacing w:after="0" w:line="240" w:lineRule="auto"/>
              <w:rPr>
                <w:rFonts w:cs="Arial"/>
                <w:color w:val="000000"/>
                <w:szCs w:val="20"/>
              </w:rPr>
            </w:pPr>
            <w:r w:rsidRPr="00687A04">
              <w:rPr>
                <w:rFonts w:cs="Arial"/>
                <w:color w:val="000000"/>
                <w:szCs w:val="20"/>
              </w:rPr>
              <w:t xml:space="preserve">Government </w:t>
            </w:r>
            <w:r w:rsidR="001F572C">
              <w:rPr>
                <w:rFonts w:cs="Arial"/>
                <w:color w:val="000000"/>
                <w:szCs w:val="20"/>
              </w:rPr>
              <w:t>g</w:t>
            </w:r>
            <w:r w:rsidRPr="00687A04">
              <w:rPr>
                <w:rFonts w:cs="Arial"/>
                <w:color w:val="000000"/>
                <w:szCs w:val="20"/>
              </w:rPr>
              <w:t>rants—</w:t>
            </w:r>
            <w:r w:rsidR="00136A92">
              <w:rPr>
                <w:rFonts w:cs="Arial"/>
                <w:color w:val="000000"/>
                <w:szCs w:val="20"/>
              </w:rPr>
              <w:t>c</w:t>
            </w:r>
            <w:r w:rsidRPr="00687A04">
              <w:rPr>
                <w:rFonts w:cs="Arial"/>
                <w:color w:val="000000"/>
                <w:szCs w:val="20"/>
              </w:rPr>
              <w:t xml:space="preserve">onsumer </w:t>
            </w:r>
            <w:r w:rsidR="00136A92">
              <w:rPr>
                <w:rFonts w:cs="Arial"/>
                <w:color w:val="000000"/>
                <w:szCs w:val="20"/>
              </w:rPr>
              <w:t>r</w:t>
            </w:r>
            <w:r w:rsidRPr="00687A04">
              <w:rPr>
                <w:rFonts w:cs="Arial"/>
                <w:color w:val="000000"/>
                <w:szCs w:val="20"/>
              </w:rPr>
              <w:t xml:space="preserve">epresentation and </w:t>
            </w:r>
            <w:r w:rsidR="00136A92">
              <w:rPr>
                <w:rFonts w:cs="Arial"/>
                <w:color w:val="000000"/>
                <w:szCs w:val="20"/>
              </w:rPr>
              <w:t>r</w:t>
            </w:r>
            <w:r w:rsidRPr="00687A04">
              <w:rPr>
                <w:rFonts w:cs="Arial"/>
                <w:color w:val="000000"/>
                <w:szCs w:val="20"/>
              </w:rPr>
              <w:t>esearch</w:t>
            </w:r>
          </w:p>
        </w:tc>
        <w:tc>
          <w:tcPr>
            <w:tcW w:w="1190" w:type="dxa"/>
            <w:tcBorders>
              <w:top w:val="nil"/>
              <w:left w:val="nil"/>
              <w:bottom w:val="single" w:sz="8" w:space="0" w:color="auto"/>
              <w:right w:val="single" w:sz="8" w:space="0" w:color="auto"/>
            </w:tcBorders>
            <w:shd w:val="clear" w:color="auto" w:fill="auto"/>
            <w:hideMark/>
          </w:tcPr>
          <w:p w14:paraId="0E968596" w14:textId="77777777" w:rsidR="000849B6" w:rsidRPr="00C06581" w:rsidRDefault="000849B6" w:rsidP="000849B6">
            <w:pPr>
              <w:spacing w:after="0" w:line="240" w:lineRule="auto"/>
              <w:jc w:val="right"/>
              <w:rPr>
                <w:rFonts w:cs="Arial"/>
                <w:color w:val="000000"/>
                <w:szCs w:val="20"/>
              </w:rPr>
            </w:pPr>
            <w:r w:rsidRPr="00C06581">
              <w:rPr>
                <w:rFonts w:cs="Arial"/>
                <w:color w:val="000000"/>
                <w:szCs w:val="20"/>
              </w:rPr>
              <w:t>2.164</w:t>
            </w:r>
          </w:p>
        </w:tc>
        <w:tc>
          <w:tcPr>
            <w:tcW w:w="1191" w:type="dxa"/>
            <w:tcBorders>
              <w:top w:val="nil"/>
              <w:left w:val="nil"/>
              <w:bottom w:val="single" w:sz="8" w:space="0" w:color="auto"/>
              <w:right w:val="single" w:sz="8" w:space="0" w:color="auto"/>
            </w:tcBorders>
            <w:shd w:val="clear" w:color="auto" w:fill="auto"/>
            <w:hideMark/>
          </w:tcPr>
          <w:p w14:paraId="3F8F882F" w14:textId="77777777" w:rsidR="000849B6" w:rsidRPr="00C06581" w:rsidRDefault="000849B6" w:rsidP="000849B6">
            <w:pPr>
              <w:spacing w:after="0" w:line="240" w:lineRule="auto"/>
              <w:jc w:val="right"/>
              <w:rPr>
                <w:rFonts w:cs="Arial"/>
                <w:color w:val="000000"/>
                <w:szCs w:val="20"/>
              </w:rPr>
            </w:pPr>
            <w:r w:rsidRPr="00C06581">
              <w:rPr>
                <w:rFonts w:cs="Arial"/>
                <w:color w:val="000000"/>
                <w:szCs w:val="20"/>
              </w:rPr>
              <w:t>2.166</w:t>
            </w:r>
          </w:p>
        </w:tc>
        <w:tc>
          <w:tcPr>
            <w:tcW w:w="1191" w:type="dxa"/>
            <w:tcBorders>
              <w:top w:val="nil"/>
              <w:left w:val="nil"/>
              <w:bottom w:val="single" w:sz="8" w:space="0" w:color="auto"/>
              <w:right w:val="single" w:sz="8" w:space="0" w:color="auto"/>
            </w:tcBorders>
            <w:shd w:val="clear" w:color="auto" w:fill="auto"/>
            <w:hideMark/>
          </w:tcPr>
          <w:p w14:paraId="006851DD" w14:textId="77777777" w:rsidR="000849B6" w:rsidRPr="00C06581" w:rsidRDefault="000849B6" w:rsidP="000849B6">
            <w:pPr>
              <w:spacing w:after="0" w:line="240" w:lineRule="auto"/>
              <w:jc w:val="right"/>
              <w:rPr>
                <w:rFonts w:cs="Arial"/>
                <w:color w:val="000000"/>
                <w:szCs w:val="20"/>
              </w:rPr>
            </w:pPr>
            <w:r w:rsidRPr="00C06581">
              <w:rPr>
                <w:rFonts w:cs="Arial"/>
                <w:color w:val="000000"/>
                <w:szCs w:val="20"/>
              </w:rPr>
              <w:t>2.127</w:t>
            </w:r>
          </w:p>
        </w:tc>
        <w:tc>
          <w:tcPr>
            <w:tcW w:w="1191" w:type="dxa"/>
            <w:tcBorders>
              <w:top w:val="nil"/>
              <w:left w:val="nil"/>
              <w:bottom w:val="single" w:sz="8" w:space="0" w:color="auto"/>
              <w:right w:val="single" w:sz="8" w:space="0" w:color="auto"/>
            </w:tcBorders>
            <w:shd w:val="clear" w:color="auto" w:fill="auto"/>
            <w:hideMark/>
          </w:tcPr>
          <w:p w14:paraId="3D193625" w14:textId="77777777" w:rsidR="000849B6" w:rsidRPr="00C06581" w:rsidRDefault="000849B6" w:rsidP="000849B6">
            <w:pPr>
              <w:spacing w:after="0" w:line="240" w:lineRule="auto"/>
              <w:jc w:val="right"/>
              <w:rPr>
                <w:rFonts w:cs="Arial"/>
                <w:color w:val="000000"/>
                <w:szCs w:val="20"/>
              </w:rPr>
            </w:pPr>
            <w:r w:rsidRPr="00C06581">
              <w:rPr>
                <w:rFonts w:cs="Arial"/>
                <w:color w:val="000000"/>
                <w:szCs w:val="20"/>
              </w:rPr>
              <w:t>2.077</w:t>
            </w:r>
          </w:p>
        </w:tc>
        <w:tc>
          <w:tcPr>
            <w:tcW w:w="1191" w:type="dxa"/>
            <w:tcBorders>
              <w:top w:val="nil"/>
              <w:left w:val="nil"/>
              <w:bottom w:val="single" w:sz="8" w:space="0" w:color="auto"/>
              <w:right w:val="single" w:sz="8" w:space="0" w:color="auto"/>
            </w:tcBorders>
            <w:shd w:val="clear" w:color="auto" w:fill="auto"/>
            <w:hideMark/>
          </w:tcPr>
          <w:p w14:paraId="0B3EFF64" w14:textId="77777777" w:rsidR="000849B6" w:rsidRPr="00C06581" w:rsidRDefault="000849B6" w:rsidP="000849B6">
            <w:pPr>
              <w:spacing w:after="0" w:line="240" w:lineRule="auto"/>
              <w:jc w:val="right"/>
              <w:rPr>
                <w:rFonts w:cs="Arial"/>
                <w:color w:val="000000"/>
                <w:szCs w:val="20"/>
              </w:rPr>
            </w:pPr>
            <w:r w:rsidRPr="00C06581">
              <w:rPr>
                <w:rFonts w:cs="Arial"/>
                <w:color w:val="000000"/>
                <w:szCs w:val="20"/>
              </w:rPr>
              <w:t>2.032</w:t>
            </w:r>
          </w:p>
        </w:tc>
      </w:tr>
      <w:tr w:rsidR="003F4664" w:rsidRPr="001431D5" w14:paraId="605B9874" w14:textId="77777777" w:rsidTr="00593B36">
        <w:trPr>
          <w:cantSplit/>
          <w:trHeight w:val="315"/>
          <w:tblHeader/>
        </w:trPr>
        <w:tc>
          <w:tcPr>
            <w:tcW w:w="3506" w:type="dxa"/>
            <w:gridSpan w:val="2"/>
            <w:tcBorders>
              <w:top w:val="single" w:sz="8" w:space="0" w:color="auto"/>
              <w:left w:val="single" w:sz="8" w:space="0" w:color="auto"/>
              <w:bottom w:val="single" w:sz="8" w:space="0" w:color="auto"/>
              <w:right w:val="single" w:sz="8" w:space="0" w:color="000000"/>
            </w:tcBorders>
            <w:shd w:val="clear" w:color="000000" w:fill="D9D9D9"/>
            <w:hideMark/>
          </w:tcPr>
          <w:p w14:paraId="264CAD43" w14:textId="77777777" w:rsidR="003F4664" w:rsidRPr="00687A04" w:rsidRDefault="003F4664" w:rsidP="00593B36">
            <w:pPr>
              <w:spacing w:after="0" w:line="240" w:lineRule="auto"/>
              <w:rPr>
                <w:rFonts w:cs="Arial"/>
                <w:b/>
                <w:bCs/>
                <w:color w:val="000000"/>
                <w:szCs w:val="20"/>
              </w:rPr>
            </w:pPr>
            <w:r w:rsidRPr="00687A04">
              <w:rPr>
                <w:rFonts w:cs="Arial"/>
                <w:b/>
                <w:bCs/>
                <w:color w:val="000000"/>
                <w:szCs w:val="20"/>
              </w:rPr>
              <w:t>Total revenue</w:t>
            </w:r>
          </w:p>
        </w:tc>
        <w:tc>
          <w:tcPr>
            <w:tcW w:w="1190" w:type="dxa"/>
            <w:tcBorders>
              <w:top w:val="nil"/>
              <w:left w:val="nil"/>
              <w:bottom w:val="single" w:sz="8" w:space="0" w:color="auto"/>
              <w:right w:val="single" w:sz="8" w:space="0" w:color="auto"/>
            </w:tcBorders>
            <w:shd w:val="clear" w:color="000000" w:fill="D9D9D9"/>
            <w:hideMark/>
          </w:tcPr>
          <w:p w14:paraId="669FAC78" w14:textId="77777777" w:rsidR="003F4664" w:rsidRPr="00C06581" w:rsidRDefault="004210B2" w:rsidP="00593B36">
            <w:pPr>
              <w:spacing w:after="0" w:line="240" w:lineRule="auto"/>
              <w:jc w:val="right"/>
              <w:rPr>
                <w:rFonts w:cs="Arial"/>
                <w:b/>
                <w:bCs/>
                <w:color w:val="000000"/>
                <w:szCs w:val="20"/>
              </w:rPr>
            </w:pPr>
            <w:r w:rsidRPr="00C06581">
              <w:rPr>
                <w:rFonts w:cs="Arial"/>
                <w:b/>
                <w:bCs/>
                <w:color w:val="000000"/>
                <w:szCs w:val="20"/>
              </w:rPr>
              <w:t>38.65</w:t>
            </w:r>
            <w:r w:rsidR="003F4664" w:rsidRPr="00C06581">
              <w:rPr>
                <w:rFonts w:cs="Arial"/>
                <w:b/>
                <w:bCs/>
                <w:color w:val="000000"/>
                <w:szCs w:val="20"/>
              </w:rPr>
              <w:t>3</w:t>
            </w:r>
          </w:p>
        </w:tc>
        <w:tc>
          <w:tcPr>
            <w:tcW w:w="1191" w:type="dxa"/>
            <w:tcBorders>
              <w:top w:val="nil"/>
              <w:left w:val="nil"/>
              <w:bottom w:val="single" w:sz="8" w:space="0" w:color="auto"/>
              <w:right w:val="single" w:sz="8" w:space="0" w:color="auto"/>
            </w:tcBorders>
            <w:shd w:val="clear" w:color="000000" w:fill="D9D9D9"/>
            <w:hideMark/>
          </w:tcPr>
          <w:p w14:paraId="16A85C3A" w14:textId="77777777" w:rsidR="003F4664" w:rsidRPr="00C06581" w:rsidRDefault="004210B2" w:rsidP="00593B36">
            <w:pPr>
              <w:spacing w:after="0" w:line="240" w:lineRule="auto"/>
              <w:jc w:val="right"/>
              <w:rPr>
                <w:rFonts w:cs="Arial"/>
                <w:b/>
                <w:bCs/>
                <w:color w:val="000000"/>
                <w:szCs w:val="20"/>
              </w:rPr>
            </w:pPr>
            <w:r w:rsidRPr="00C06581">
              <w:rPr>
                <w:rFonts w:cs="Arial"/>
                <w:b/>
                <w:bCs/>
                <w:color w:val="000000"/>
                <w:szCs w:val="20"/>
              </w:rPr>
              <w:t>38.303</w:t>
            </w:r>
          </w:p>
        </w:tc>
        <w:tc>
          <w:tcPr>
            <w:tcW w:w="1191" w:type="dxa"/>
            <w:tcBorders>
              <w:top w:val="nil"/>
              <w:left w:val="nil"/>
              <w:bottom w:val="single" w:sz="8" w:space="0" w:color="auto"/>
              <w:right w:val="single" w:sz="8" w:space="0" w:color="auto"/>
            </w:tcBorders>
            <w:shd w:val="clear" w:color="000000" w:fill="D9D9D9"/>
            <w:hideMark/>
          </w:tcPr>
          <w:p w14:paraId="53E6CE5F" w14:textId="77777777" w:rsidR="003F4664" w:rsidRPr="00C06581" w:rsidRDefault="00F94A46" w:rsidP="00593B36">
            <w:pPr>
              <w:spacing w:after="0" w:line="240" w:lineRule="auto"/>
              <w:jc w:val="right"/>
              <w:rPr>
                <w:rFonts w:cs="Arial"/>
                <w:b/>
                <w:bCs/>
                <w:color w:val="000000"/>
                <w:szCs w:val="20"/>
              </w:rPr>
            </w:pPr>
            <w:r w:rsidRPr="00C06581">
              <w:rPr>
                <w:rFonts w:cs="Arial"/>
                <w:b/>
                <w:bCs/>
                <w:color w:val="000000"/>
                <w:szCs w:val="20"/>
              </w:rPr>
              <w:t>38.885</w:t>
            </w:r>
          </w:p>
        </w:tc>
        <w:tc>
          <w:tcPr>
            <w:tcW w:w="1191" w:type="dxa"/>
            <w:tcBorders>
              <w:top w:val="nil"/>
              <w:left w:val="nil"/>
              <w:bottom w:val="single" w:sz="8" w:space="0" w:color="auto"/>
              <w:right w:val="single" w:sz="8" w:space="0" w:color="auto"/>
            </w:tcBorders>
            <w:shd w:val="clear" w:color="000000" w:fill="D9D9D9"/>
            <w:hideMark/>
          </w:tcPr>
          <w:p w14:paraId="58880048" w14:textId="77777777" w:rsidR="003F4664" w:rsidRPr="00C06581" w:rsidRDefault="00F94A46" w:rsidP="00593B36">
            <w:pPr>
              <w:spacing w:after="0" w:line="240" w:lineRule="auto"/>
              <w:jc w:val="right"/>
              <w:rPr>
                <w:rFonts w:cs="Arial"/>
                <w:b/>
                <w:bCs/>
                <w:color w:val="000000"/>
                <w:szCs w:val="20"/>
              </w:rPr>
            </w:pPr>
            <w:r w:rsidRPr="00C06581">
              <w:rPr>
                <w:rFonts w:cs="Arial"/>
                <w:b/>
                <w:bCs/>
                <w:color w:val="000000"/>
                <w:szCs w:val="20"/>
              </w:rPr>
              <w:t>38.054</w:t>
            </w:r>
          </w:p>
        </w:tc>
        <w:tc>
          <w:tcPr>
            <w:tcW w:w="1191" w:type="dxa"/>
            <w:tcBorders>
              <w:top w:val="nil"/>
              <w:left w:val="nil"/>
              <w:bottom w:val="single" w:sz="8" w:space="0" w:color="auto"/>
              <w:right w:val="single" w:sz="8" w:space="0" w:color="auto"/>
            </w:tcBorders>
            <w:shd w:val="clear" w:color="000000" w:fill="D9D9D9"/>
            <w:hideMark/>
          </w:tcPr>
          <w:p w14:paraId="747FA7F7" w14:textId="77777777" w:rsidR="003F4664" w:rsidRPr="00C06581" w:rsidRDefault="00F94A46" w:rsidP="00593B36">
            <w:pPr>
              <w:spacing w:after="0" w:line="240" w:lineRule="auto"/>
              <w:jc w:val="right"/>
              <w:rPr>
                <w:rFonts w:cs="Arial"/>
                <w:b/>
                <w:bCs/>
                <w:color w:val="000000"/>
                <w:szCs w:val="20"/>
              </w:rPr>
            </w:pPr>
            <w:r w:rsidRPr="00C06581">
              <w:rPr>
                <w:rFonts w:cs="Arial"/>
                <w:b/>
                <w:bCs/>
                <w:color w:val="000000"/>
                <w:szCs w:val="20"/>
              </w:rPr>
              <w:t>37.69</w:t>
            </w:r>
            <w:r w:rsidR="003F4664" w:rsidRPr="00C06581">
              <w:rPr>
                <w:rFonts w:cs="Arial"/>
                <w:b/>
                <w:bCs/>
                <w:color w:val="000000"/>
                <w:szCs w:val="20"/>
              </w:rPr>
              <w:t>8</w:t>
            </w:r>
          </w:p>
        </w:tc>
      </w:tr>
      <w:tr w:rsidR="003F4664" w:rsidRPr="001431D5" w14:paraId="4FA7633C" w14:textId="77777777" w:rsidTr="00593B36">
        <w:trPr>
          <w:cantSplit/>
          <w:trHeight w:val="315"/>
          <w:tblHeader/>
        </w:trPr>
        <w:tc>
          <w:tcPr>
            <w:tcW w:w="3506" w:type="dxa"/>
            <w:gridSpan w:val="2"/>
            <w:tcBorders>
              <w:top w:val="single" w:sz="8" w:space="0" w:color="auto"/>
              <w:left w:val="single" w:sz="8" w:space="0" w:color="auto"/>
              <w:bottom w:val="single" w:sz="8" w:space="0" w:color="auto"/>
              <w:right w:val="single" w:sz="8" w:space="0" w:color="000000"/>
            </w:tcBorders>
            <w:shd w:val="clear" w:color="000000" w:fill="D9D9D9"/>
            <w:hideMark/>
          </w:tcPr>
          <w:p w14:paraId="34F47F5F" w14:textId="77777777" w:rsidR="003F4664" w:rsidRPr="00687A04" w:rsidRDefault="003F4664" w:rsidP="00593B36">
            <w:pPr>
              <w:spacing w:after="0" w:line="240" w:lineRule="auto"/>
              <w:rPr>
                <w:rFonts w:cs="Arial"/>
                <w:b/>
                <w:bCs/>
                <w:color w:val="000000"/>
                <w:szCs w:val="20"/>
              </w:rPr>
            </w:pPr>
            <w:r w:rsidRPr="00687A04">
              <w:rPr>
                <w:rFonts w:cs="Arial"/>
                <w:b/>
                <w:bCs/>
                <w:color w:val="000000"/>
                <w:szCs w:val="20"/>
              </w:rPr>
              <w:t>Balance</w:t>
            </w:r>
          </w:p>
        </w:tc>
        <w:tc>
          <w:tcPr>
            <w:tcW w:w="1190" w:type="dxa"/>
            <w:tcBorders>
              <w:top w:val="single" w:sz="8" w:space="0" w:color="auto"/>
              <w:left w:val="nil"/>
              <w:bottom w:val="single" w:sz="4" w:space="0" w:color="auto"/>
              <w:right w:val="single" w:sz="8" w:space="0" w:color="auto"/>
            </w:tcBorders>
            <w:shd w:val="clear" w:color="000000" w:fill="D9D9D9"/>
            <w:hideMark/>
          </w:tcPr>
          <w:p w14:paraId="22C72233" w14:textId="77777777" w:rsidR="003F4664" w:rsidRPr="00C06581" w:rsidRDefault="009737B2" w:rsidP="009737B2">
            <w:pPr>
              <w:spacing w:after="0" w:line="240" w:lineRule="auto"/>
              <w:jc w:val="right"/>
              <w:rPr>
                <w:rFonts w:cs="Arial"/>
                <w:b/>
                <w:bCs/>
                <w:szCs w:val="20"/>
              </w:rPr>
            </w:pPr>
            <w:r>
              <w:rPr>
                <w:rFonts w:cs="Arial"/>
                <w:b/>
                <w:bCs/>
                <w:szCs w:val="20"/>
              </w:rPr>
              <w:t>1.949</w:t>
            </w:r>
          </w:p>
        </w:tc>
        <w:tc>
          <w:tcPr>
            <w:tcW w:w="1191" w:type="dxa"/>
            <w:tcBorders>
              <w:top w:val="single" w:sz="8" w:space="0" w:color="auto"/>
              <w:left w:val="nil"/>
              <w:bottom w:val="single" w:sz="4" w:space="0" w:color="auto"/>
              <w:right w:val="single" w:sz="8" w:space="0" w:color="auto"/>
            </w:tcBorders>
            <w:shd w:val="clear" w:color="000000" w:fill="D9D9D9"/>
            <w:hideMark/>
          </w:tcPr>
          <w:p w14:paraId="4C77CB54" w14:textId="77777777" w:rsidR="003F4664" w:rsidRPr="00C06581" w:rsidRDefault="002B2CE2" w:rsidP="00593B36">
            <w:pPr>
              <w:spacing w:after="0" w:line="240" w:lineRule="auto"/>
              <w:jc w:val="right"/>
              <w:rPr>
                <w:rFonts w:cs="Arial"/>
                <w:b/>
                <w:bCs/>
                <w:szCs w:val="20"/>
              </w:rPr>
            </w:pPr>
            <w:r w:rsidRPr="00C06581">
              <w:rPr>
                <w:rFonts w:cs="Arial"/>
                <w:b/>
                <w:bCs/>
                <w:szCs w:val="20"/>
              </w:rPr>
              <w:t>(0.223)</w:t>
            </w:r>
          </w:p>
        </w:tc>
        <w:tc>
          <w:tcPr>
            <w:tcW w:w="1191" w:type="dxa"/>
            <w:tcBorders>
              <w:top w:val="single" w:sz="8" w:space="0" w:color="auto"/>
              <w:left w:val="nil"/>
              <w:bottom w:val="single" w:sz="4" w:space="0" w:color="auto"/>
              <w:right w:val="single" w:sz="8" w:space="0" w:color="auto"/>
            </w:tcBorders>
            <w:shd w:val="clear" w:color="000000" w:fill="D9D9D9"/>
            <w:hideMark/>
          </w:tcPr>
          <w:p w14:paraId="2AC03653" w14:textId="77777777" w:rsidR="003F4664" w:rsidRPr="00C06581" w:rsidRDefault="002B2CE2" w:rsidP="00593B36">
            <w:pPr>
              <w:spacing w:after="0" w:line="240" w:lineRule="auto"/>
              <w:jc w:val="right"/>
              <w:rPr>
                <w:rFonts w:cs="Arial"/>
                <w:b/>
                <w:bCs/>
                <w:szCs w:val="20"/>
              </w:rPr>
            </w:pPr>
            <w:r w:rsidRPr="00C06581">
              <w:rPr>
                <w:rFonts w:cs="Arial"/>
                <w:b/>
                <w:bCs/>
                <w:szCs w:val="20"/>
              </w:rPr>
              <w:t>0.581</w:t>
            </w:r>
          </w:p>
        </w:tc>
        <w:tc>
          <w:tcPr>
            <w:tcW w:w="1191" w:type="dxa"/>
            <w:tcBorders>
              <w:top w:val="single" w:sz="8" w:space="0" w:color="auto"/>
              <w:left w:val="nil"/>
              <w:bottom w:val="single" w:sz="4" w:space="0" w:color="auto"/>
              <w:right w:val="single" w:sz="8" w:space="0" w:color="auto"/>
            </w:tcBorders>
            <w:shd w:val="clear" w:color="000000" w:fill="D9D9D9"/>
            <w:hideMark/>
          </w:tcPr>
          <w:p w14:paraId="2AF0DBB4" w14:textId="77777777" w:rsidR="003F4664" w:rsidRPr="00C06581" w:rsidRDefault="002B2CE2" w:rsidP="00593B36">
            <w:pPr>
              <w:spacing w:after="0" w:line="240" w:lineRule="auto"/>
              <w:jc w:val="right"/>
              <w:rPr>
                <w:rFonts w:cs="Arial"/>
                <w:b/>
                <w:bCs/>
                <w:szCs w:val="20"/>
              </w:rPr>
            </w:pPr>
            <w:r w:rsidRPr="00C06581">
              <w:rPr>
                <w:rFonts w:cs="Arial"/>
                <w:b/>
                <w:bCs/>
                <w:szCs w:val="20"/>
              </w:rPr>
              <w:t>(0.697)</w:t>
            </w:r>
          </w:p>
        </w:tc>
        <w:tc>
          <w:tcPr>
            <w:tcW w:w="1191" w:type="dxa"/>
            <w:tcBorders>
              <w:top w:val="single" w:sz="8" w:space="0" w:color="auto"/>
              <w:left w:val="nil"/>
              <w:bottom w:val="single" w:sz="4" w:space="0" w:color="auto"/>
              <w:right w:val="single" w:sz="8" w:space="0" w:color="auto"/>
            </w:tcBorders>
            <w:shd w:val="clear" w:color="000000" w:fill="D9D9D9"/>
            <w:hideMark/>
          </w:tcPr>
          <w:p w14:paraId="75296227" w14:textId="77777777" w:rsidR="003F4664" w:rsidRPr="00C06581" w:rsidRDefault="002B2CE2" w:rsidP="002B2CE2">
            <w:pPr>
              <w:spacing w:after="0" w:line="240" w:lineRule="auto"/>
              <w:jc w:val="right"/>
              <w:rPr>
                <w:rFonts w:cs="Arial"/>
                <w:b/>
                <w:bCs/>
                <w:szCs w:val="20"/>
              </w:rPr>
            </w:pPr>
            <w:r w:rsidRPr="00C06581">
              <w:rPr>
                <w:rFonts w:cs="Arial"/>
                <w:b/>
                <w:bCs/>
                <w:szCs w:val="20"/>
              </w:rPr>
              <w:t>(0.</w:t>
            </w:r>
            <w:r w:rsidR="003F4664" w:rsidRPr="00C06581">
              <w:rPr>
                <w:rFonts w:cs="Arial"/>
                <w:b/>
                <w:bCs/>
                <w:szCs w:val="20"/>
              </w:rPr>
              <w:t>3</w:t>
            </w:r>
            <w:r w:rsidRPr="00C06581">
              <w:rPr>
                <w:rFonts w:cs="Arial"/>
                <w:b/>
                <w:bCs/>
                <w:szCs w:val="20"/>
              </w:rPr>
              <w:t>58)</w:t>
            </w:r>
          </w:p>
        </w:tc>
      </w:tr>
    </w:tbl>
    <w:p w14:paraId="6396D261" w14:textId="77777777" w:rsidR="003F4664" w:rsidRDefault="003F4664" w:rsidP="00593B36">
      <w:pPr>
        <w:spacing w:before="120" w:line="240" w:lineRule="auto"/>
        <w:rPr>
          <w:sz w:val="16"/>
        </w:rPr>
      </w:pPr>
      <w:r w:rsidRPr="002976D3">
        <w:rPr>
          <w:sz w:val="16"/>
        </w:rPr>
        <w:t>Note</w:t>
      </w:r>
      <w:r>
        <w:rPr>
          <w:sz w:val="16"/>
        </w:rPr>
        <w:t>: the revenues for 15(1)(a), 15(1)(b) and 15(1)(ca) are based on the previous year’s expenditure. The revenue for 15(1)(c) is derived by averaging the expenditure for the year in which the charges are made and the previous year. The revenue for 15(1)(d) is based on the same year’s expenditure. Further details can be obtained from section 6.</w:t>
      </w:r>
    </w:p>
    <w:p w14:paraId="2C11CE6C" w14:textId="05807DD7" w:rsidR="009E783D" w:rsidRDefault="009E783D" w:rsidP="00D567BE">
      <w:r w:rsidRPr="00A84CBD">
        <w:t xml:space="preserve">As the ACLC is set on an annual basis, the </w:t>
      </w:r>
      <w:r>
        <w:t>a</w:t>
      </w:r>
      <w:r w:rsidRPr="00A84CBD">
        <w:t xml:space="preserve">ctual costs of activities </w:t>
      </w:r>
      <w:r>
        <w:t xml:space="preserve">are ascertained </w:t>
      </w:r>
      <w:r w:rsidRPr="00A84CBD">
        <w:t xml:space="preserve">before they translate into the charges for the applicable period. This </w:t>
      </w:r>
      <w:r>
        <w:t>reduces</w:t>
      </w:r>
      <w:r w:rsidRPr="00A84CBD">
        <w:t xml:space="preserve"> the risk of over or under recovery from the telecommunications industry.</w:t>
      </w:r>
      <w:r>
        <w:t xml:space="preserve"> The balance reflects the surplus or deficit </w:t>
      </w:r>
      <w:r w:rsidR="001F572C">
        <w:t xml:space="preserve">that </w:t>
      </w:r>
      <w:r>
        <w:t>occurred due to the lag between the actual expenses incurred and the recognition of the corresponding revenu</w:t>
      </w:r>
      <w:r w:rsidR="00D567BE">
        <w:t>e</w:t>
      </w:r>
      <w:r w:rsidR="001F572C">
        <w:t>,</w:t>
      </w:r>
      <w:r w:rsidR="00D567BE">
        <w:t xml:space="preserve"> as noted in section 6 above. </w:t>
      </w:r>
    </w:p>
    <w:p w14:paraId="4228D063" w14:textId="1775FED0" w:rsidR="009E783D" w:rsidRPr="00D567BE" w:rsidRDefault="009E783D" w:rsidP="00D567BE">
      <w:r w:rsidRPr="00B815BC">
        <w:t>In 2012</w:t>
      </w:r>
      <w:r w:rsidR="003F4664" w:rsidRPr="00B815BC">
        <w:t>–</w:t>
      </w:r>
      <w:r w:rsidRPr="00B815BC">
        <w:t xml:space="preserve">13, the ACMA’s costs decreased by 8.8 per cent from the previous financial year. This was due to the streamlining of activities </w:t>
      </w:r>
      <w:r w:rsidR="00D372CC">
        <w:t>a</w:t>
      </w:r>
      <w:r w:rsidR="00050D45">
        <w:t>ligned to ACMA’s priorities</w:t>
      </w:r>
      <w:r w:rsidR="001F572C">
        <w:t>,</w:t>
      </w:r>
      <w:r w:rsidR="00050D45">
        <w:t xml:space="preserve"> along</w:t>
      </w:r>
      <w:r w:rsidR="00D372CC">
        <w:t xml:space="preserve"> with a review of resource requirements within the agency</w:t>
      </w:r>
      <w:r w:rsidRPr="00B815BC">
        <w:t xml:space="preserve"> following the transfer of telecommunications functions in relation to universal service obligations and national </w:t>
      </w:r>
      <w:r w:rsidRPr="00B815BC">
        <w:lastRenderedPageBreak/>
        <w:t>relay services to the TUSMA</w:t>
      </w:r>
      <w:r w:rsidR="006D6ED5">
        <w:rPr>
          <w:rStyle w:val="FootnoteReference"/>
        </w:rPr>
        <w:footnoteReference w:id="13"/>
      </w:r>
      <w:r w:rsidRPr="00B815BC">
        <w:t>, and the reduction in budget for the ACMA’s telecommunications activit</w:t>
      </w:r>
      <w:r w:rsidR="00D567BE" w:rsidRPr="00B815BC">
        <w:t>ies.</w:t>
      </w:r>
      <w:r w:rsidR="002219BD">
        <w:t xml:space="preserve"> As explained</w:t>
      </w:r>
      <w:r w:rsidR="00B815BC" w:rsidRPr="00B815BC">
        <w:t xml:space="preserve"> in section 3.1 of</w:t>
      </w:r>
      <w:r w:rsidR="00B815BC">
        <w:t xml:space="preserve"> this CRIS, the ACMA’s component decreased by </w:t>
      </w:r>
      <w:r w:rsidR="0039435F">
        <w:t>10.6 per cent</w:t>
      </w:r>
      <w:r w:rsidR="00B815BC">
        <w:t xml:space="preserve"> in 2014</w:t>
      </w:r>
      <w:r w:rsidR="001F572C">
        <w:t>–</w:t>
      </w:r>
      <w:r w:rsidR="00B815BC">
        <w:t>15.</w:t>
      </w:r>
    </w:p>
    <w:p w14:paraId="32CF46EC" w14:textId="77777777" w:rsidR="009E783D" w:rsidRDefault="009E783D" w:rsidP="009E783D">
      <w:pPr>
        <w:spacing w:line="240" w:lineRule="auto"/>
      </w:pPr>
      <w:r w:rsidRPr="00344D08">
        <w:t xml:space="preserve">The increase in the ACCC’s costs </w:t>
      </w:r>
      <w:r>
        <w:t>from</w:t>
      </w:r>
      <w:r w:rsidR="0081186A">
        <w:t xml:space="preserve"> 2010</w:t>
      </w:r>
      <w:r w:rsidR="003F4664">
        <w:t>–</w:t>
      </w:r>
      <w:r w:rsidR="0081186A">
        <w:t>11</w:t>
      </w:r>
      <w:r w:rsidRPr="00344D08">
        <w:t xml:space="preserve"> to 2011</w:t>
      </w:r>
      <w:r w:rsidR="003F4664">
        <w:t>–</w:t>
      </w:r>
      <w:r w:rsidRPr="00344D08">
        <w:t xml:space="preserve">12 was a result of additional staff costs incurred due to new </w:t>
      </w:r>
      <w:r>
        <w:t>activities</w:t>
      </w:r>
      <w:r w:rsidRPr="00344D08">
        <w:t xml:space="preserve"> in relation to the </w:t>
      </w:r>
      <w:r>
        <w:t xml:space="preserve">ACCC’s </w:t>
      </w:r>
      <w:r w:rsidRPr="00344D08">
        <w:t xml:space="preserve">telecommunications functions and powers. </w:t>
      </w:r>
      <w:r>
        <w:t>In</w:t>
      </w:r>
      <w:r w:rsidRPr="00344D08">
        <w:t xml:space="preserve"> 2012</w:t>
      </w:r>
      <w:r w:rsidR="003F4664">
        <w:t>–</w:t>
      </w:r>
      <w:r w:rsidRPr="00344D08">
        <w:t>13</w:t>
      </w:r>
      <w:r w:rsidR="003F4664">
        <w:t>,</w:t>
      </w:r>
      <w:r w:rsidRPr="00344D08">
        <w:t xml:space="preserve"> its component increased by 8.6 per cent</w:t>
      </w:r>
      <w:r>
        <w:t>, from</w:t>
      </w:r>
      <w:r w:rsidRPr="00344D08">
        <w:t xml:space="preserve"> the introduction of a new costing model recognis</w:t>
      </w:r>
      <w:r>
        <w:t>ing</w:t>
      </w:r>
      <w:r w:rsidRPr="00344D08">
        <w:t xml:space="preserve"> the consumption of overhead resources and accrual expenses relating to employees and depreciation.</w:t>
      </w:r>
    </w:p>
    <w:p w14:paraId="54E0A739" w14:textId="77777777" w:rsidR="009E783D" w:rsidRPr="00CC3F4B" w:rsidRDefault="009E783D" w:rsidP="009E783D">
      <w:pPr>
        <w:pStyle w:val="Heading1"/>
      </w:pPr>
      <w:bookmarkStart w:id="90" w:name="_Toc417990966"/>
      <w:bookmarkStart w:id="91" w:name="_Toc454268382"/>
      <w:r>
        <w:lastRenderedPageBreak/>
        <w:t>7B. Non-f</w:t>
      </w:r>
      <w:r w:rsidRPr="00CC3F4B">
        <w:t xml:space="preserve">inancial </w:t>
      </w:r>
      <w:r>
        <w:t>performance</w:t>
      </w:r>
      <w:bookmarkEnd w:id="90"/>
      <w:bookmarkEnd w:id="91"/>
    </w:p>
    <w:p w14:paraId="497C073B" w14:textId="77777777" w:rsidR="002219BD" w:rsidRPr="008757E2" w:rsidRDefault="002219BD" w:rsidP="009E783D">
      <w:pPr>
        <w:spacing w:line="240" w:lineRule="auto"/>
        <w:rPr>
          <w:u w:val="single"/>
        </w:rPr>
      </w:pPr>
      <w:r w:rsidRPr="008757E2">
        <w:rPr>
          <w:u w:val="single"/>
        </w:rPr>
        <w:t>ACMA’s cost component</w:t>
      </w:r>
    </w:p>
    <w:p w14:paraId="362E2DE3" w14:textId="77777777" w:rsidR="009E783D" w:rsidRDefault="009E783D" w:rsidP="009E783D">
      <w:pPr>
        <w:spacing w:line="240" w:lineRule="auto"/>
      </w:pPr>
      <w:r w:rsidRPr="001D062D">
        <w:t xml:space="preserve">The ACMA </w:t>
      </w:r>
      <w:r w:rsidR="003C7C8A" w:rsidRPr="001D062D">
        <w:t>is responsible for the regulation of broadcasting, the internet, radiocommunications and telecommunications. The ACMA’s performanc</w:t>
      </w:r>
      <w:r w:rsidR="003D7152" w:rsidRPr="001D062D">
        <w:t xml:space="preserve">e measures for its deliverables </w:t>
      </w:r>
      <w:r w:rsidR="001D062D" w:rsidRPr="001D062D">
        <w:t xml:space="preserve">in relation to telecommunications services </w:t>
      </w:r>
      <w:r w:rsidR="003C7C8A" w:rsidRPr="001D062D">
        <w:t>are provided in Table 14.</w:t>
      </w:r>
    </w:p>
    <w:p w14:paraId="24A333EF" w14:textId="77777777" w:rsidR="003C7C8A" w:rsidRPr="003F4664" w:rsidRDefault="003C7C8A" w:rsidP="003C7C8A">
      <w:pPr>
        <w:pStyle w:val="ACMATableHeader"/>
        <w:numPr>
          <w:ilvl w:val="0"/>
          <w:numId w:val="0"/>
        </w:numPr>
        <w:rPr>
          <w:rFonts w:cs="Arial"/>
          <w:iCs/>
        </w:rPr>
      </w:pPr>
      <w:r>
        <w:t>Table 14:</w:t>
      </w:r>
      <w:r>
        <w:tab/>
        <w:t>Deliverables and key performance indicators</w:t>
      </w:r>
      <w:r w:rsidR="000C7CC9">
        <w:t xml:space="preserve"> (KPIs)</w:t>
      </w:r>
    </w:p>
    <w:tbl>
      <w:tblPr>
        <w:tblW w:w="565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Caption w:val="Deliverables and key performance indicators (KPIs)"/>
      </w:tblPr>
      <w:tblGrid>
        <w:gridCol w:w="3694"/>
        <w:gridCol w:w="4962"/>
      </w:tblGrid>
      <w:tr w:rsidR="000C7CC9" w:rsidRPr="000D6F80" w14:paraId="39722700" w14:textId="77777777" w:rsidTr="00293B75">
        <w:trPr>
          <w:cantSplit/>
          <w:trHeight w:val="270"/>
          <w:tblHeader/>
        </w:trPr>
        <w:tc>
          <w:tcPr>
            <w:tcW w:w="2134" w:type="pct"/>
            <w:shd w:val="clear" w:color="auto" w:fill="404040" w:themeFill="text1" w:themeFillTint="BF"/>
            <w:vAlign w:val="center"/>
          </w:tcPr>
          <w:p w14:paraId="240C22D4" w14:textId="77777777" w:rsidR="000C7CC9" w:rsidRPr="00D72139" w:rsidRDefault="000C7CC9" w:rsidP="00D72139">
            <w:pPr>
              <w:pStyle w:val="TableHeading"/>
              <w:rPr>
                <w:b w:val="0"/>
                <w:color w:val="FFFFFF" w:themeColor="background1"/>
                <w:highlight w:val="yellow"/>
              </w:rPr>
            </w:pPr>
            <w:r w:rsidRPr="00D72139">
              <w:rPr>
                <w:color w:val="FFFFFF" w:themeColor="background1"/>
              </w:rPr>
              <w:t>Deliverable</w:t>
            </w:r>
          </w:p>
        </w:tc>
        <w:tc>
          <w:tcPr>
            <w:tcW w:w="2866" w:type="pct"/>
            <w:tcBorders>
              <w:top w:val="single" w:sz="6" w:space="0" w:color="auto"/>
            </w:tcBorders>
            <w:shd w:val="clear" w:color="auto" w:fill="404040" w:themeFill="text1" w:themeFillTint="BF"/>
            <w:vAlign w:val="center"/>
          </w:tcPr>
          <w:p w14:paraId="00A0F20A" w14:textId="77777777" w:rsidR="000C7CC9" w:rsidRPr="00D72139" w:rsidRDefault="000C7CC9" w:rsidP="00D72139">
            <w:pPr>
              <w:pStyle w:val="TableHeading"/>
              <w:rPr>
                <w:b w:val="0"/>
                <w:color w:val="FFFFFF" w:themeColor="background1"/>
              </w:rPr>
            </w:pPr>
            <w:r w:rsidRPr="00D72139">
              <w:rPr>
                <w:color w:val="FFFFFF" w:themeColor="background1"/>
              </w:rPr>
              <w:t>KPI</w:t>
            </w:r>
          </w:p>
        </w:tc>
      </w:tr>
      <w:tr w:rsidR="000C7CC9" w:rsidRPr="000D6F80" w14:paraId="1F4AD447" w14:textId="77777777" w:rsidTr="00293B75">
        <w:trPr>
          <w:cantSplit/>
          <w:trHeight w:val="344"/>
          <w:tblHeader/>
        </w:trPr>
        <w:tc>
          <w:tcPr>
            <w:tcW w:w="2134" w:type="pct"/>
            <w:vAlign w:val="center"/>
          </w:tcPr>
          <w:p w14:paraId="6B4EFBC6" w14:textId="77777777" w:rsidR="000C7CC9" w:rsidRPr="000D6F80" w:rsidRDefault="000C7CC9" w:rsidP="00142961">
            <w:pPr>
              <w:spacing w:after="0"/>
              <w:ind w:right="-142"/>
              <w:rPr>
                <w:rFonts w:cs="Arial"/>
                <w:szCs w:val="20"/>
              </w:rPr>
            </w:pPr>
            <w:r>
              <w:rPr>
                <w:rFonts w:cs="Arial"/>
                <w:szCs w:val="20"/>
              </w:rPr>
              <w:t>Promotion of competition, efficiency and innovation in the Australian Telecommunications industry</w:t>
            </w:r>
          </w:p>
        </w:tc>
        <w:tc>
          <w:tcPr>
            <w:tcW w:w="2866" w:type="pct"/>
            <w:vAlign w:val="center"/>
          </w:tcPr>
          <w:p w14:paraId="501DB8E4" w14:textId="77777777" w:rsidR="000C7CC9" w:rsidRDefault="000C7CC9" w:rsidP="00142961">
            <w:pPr>
              <w:spacing w:after="0"/>
              <w:ind w:right="35"/>
              <w:rPr>
                <w:rFonts w:cs="Arial"/>
                <w:szCs w:val="20"/>
              </w:rPr>
            </w:pPr>
            <w:r>
              <w:rPr>
                <w:rFonts w:cs="Arial"/>
                <w:szCs w:val="20"/>
              </w:rPr>
              <w:t>This is maximised, resulting in a simple and flexible numbering scheme</w:t>
            </w:r>
          </w:p>
        </w:tc>
      </w:tr>
      <w:tr w:rsidR="000C7CC9" w:rsidRPr="000D6F80" w14:paraId="62970C3A" w14:textId="77777777" w:rsidTr="00293B75">
        <w:trPr>
          <w:cantSplit/>
          <w:trHeight w:val="344"/>
          <w:tblHeader/>
        </w:trPr>
        <w:tc>
          <w:tcPr>
            <w:tcW w:w="2134" w:type="pct"/>
            <w:vAlign w:val="center"/>
          </w:tcPr>
          <w:p w14:paraId="14BE6C48" w14:textId="77777777" w:rsidR="000C7CC9" w:rsidRDefault="000C7CC9" w:rsidP="00142961">
            <w:pPr>
              <w:spacing w:after="0"/>
              <w:ind w:right="-142"/>
              <w:rPr>
                <w:rFonts w:cs="Arial"/>
                <w:szCs w:val="20"/>
              </w:rPr>
            </w:pPr>
            <w:r>
              <w:rPr>
                <w:rFonts w:cs="Arial"/>
                <w:szCs w:val="20"/>
              </w:rPr>
              <w:t>Administration of licensing and number allocation arrangements for telecommunications services</w:t>
            </w:r>
          </w:p>
        </w:tc>
        <w:tc>
          <w:tcPr>
            <w:tcW w:w="2866" w:type="pct"/>
            <w:vAlign w:val="center"/>
          </w:tcPr>
          <w:p w14:paraId="684CBA61" w14:textId="77777777" w:rsidR="000C7CC9" w:rsidRDefault="000C7CC9" w:rsidP="00142961">
            <w:pPr>
              <w:spacing w:after="0"/>
              <w:ind w:right="35"/>
              <w:rPr>
                <w:rFonts w:cs="Arial"/>
                <w:szCs w:val="20"/>
              </w:rPr>
            </w:pPr>
            <w:r>
              <w:rPr>
                <w:rFonts w:cs="Arial"/>
                <w:szCs w:val="20"/>
              </w:rPr>
              <w:t xml:space="preserve">Administrative costs on industry and citizens are minimised </w:t>
            </w:r>
          </w:p>
        </w:tc>
      </w:tr>
      <w:tr w:rsidR="000C7CC9" w:rsidRPr="000D6F80" w14:paraId="1D3073A6" w14:textId="77777777" w:rsidTr="00293B75">
        <w:trPr>
          <w:cantSplit/>
          <w:trHeight w:val="344"/>
          <w:tblHeader/>
        </w:trPr>
        <w:tc>
          <w:tcPr>
            <w:tcW w:w="2134" w:type="pct"/>
            <w:vAlign w:val="center"/>
          </w:tcPr>
          <w:p w14:paraId="57BD09FA" w14:textId="77777777" w:rsidR="000C7CC9" w:rsidRDefault="000C7CC9" w:rsidP="00142961">
            <w:pPr>
              <w:spacing w:after="0"/>
              <w:ind w:right="-142"/>
              <w:rPr>
                <w:rFonts w:cs="Arial"/>
                <w:szCs w:val="20"/>
              </w:rPr>
            </w:pPr>
            <w:r>
              <w:rPr>
                <w:rFonts w:cs="Arial"/>
                <w:szCs w:val="20"/>
              </w:rPr>
              <w:t xml:space="preserve">Provision of appropriate and reasonable support </w:t>
            </w:r>
            <w:r w:rsidR="009B074B">
              <w:rPr>
                <w:rFonts w:cs="Arial"/>
                <w:szCs w:val="20"/>
              </w:rPr>
              <w:t>to law enforcement, emergency services and national security</w:t>
            </w:r>
          </w:p>
        </w:tc>
        <w:tc>
          <w:tcPr>
            <w:tcW w:w="2866" w:type="pct"/>
            <w:vAlign w:val="center"/>
          </w:tcPr>
          <w:p w14:paraId="0A348DCC" w14:textId="77777777" w:rsidR="000C7CC9" w:rsidRDefault="009B074B" w:rsidP="009B074B">
            <w:pPr>
              <w:spacing w:after="0"/>
              <w:ind w:right="35"/>
              <w:rPr>
                <w:rFonts w:cs="Arial"/>
                <w:szCs w:val="20"/>
              </w:rPr>
            </w:pPr>
            <w:r>
              <w:rPr>
                <w:rFonts w:cs="Arial"/>
                <w:szCs w:val="20"/>
              </w:rPr>
              <w:t>Law enforcement, emergency and national security service providers are appropriately and reasonabl</w:t>
            </w:r>
            <w:r w:rsidR="00F65B5E">
              <w:rPr>
                <w:rFonts w:cs="Arial"/>
                <w:szCs w:val="20"/>
              </w:rPr>
              <w:t>y</w:t>
            </w:r>
            <w:r>
              <w:rPr>
                <w:rFonts w:cs="Arial"/>
                <w:szCs w:val="20"/>
              </w:rPr>
              <w:t xml:space="preserve"> supported by the ACMA and telecommunications industry</w:t>
            </w:r>
          </w:p>
        </w:tc>
      </w:tr>
      <w:tr w:rsidR="000C7CC9" w:rsidRPr="000D6F80" w14:paraId="472126ED" w14:textId="77777777" w:rsidTr="00293B75">
        <w:trPr>
          <w:cantSplit/>
          <w:trHeight w:val="344"/>
          <w:tblHeader/>
        </w:trPr>
        <w:tc>
          <w:tcPr>
            <w:tcW w:w="2134" w:type="pct"/>
            <w:vAlign w:val="center"/>
          </w:tcPr>
          <w:p w14:paraId="66D1650B" w14:textId="77777777" w:rsidR="000C7CC9" w:rsidRDefault="009B074B" w:rsidP="00142961">
            <w:pPr>
              <w:spacing w:after="0"/>
              <w:ind w:right="-142"/>
              <w:rPr>
                <w:rFonts w:cs="Arial"/>
                <w:szCs w:val="20"/>
              </w:rPr>
            </w:pPr>
            <w:r>
              <w:rPr>
                <w:rFonts w:cs="Arial"/>
                <w:szCs w:val="20"/>
              </w:rPr>
              <w:t>Future transition to the national broadband environment</w:t>
            </w:r>
          </w:p>
        </w:tc>
        <w:tc>
          <w:tcPr>
            <w:tcW w:w="2866" w:type="pct"/>
            <w:vAlign w:val="center"/>
          </w:tcPr>
          <w:p w14:paraId="0A1E4A9D" w14:textId="77777777" w:rsidR="000C7CC9" w:rsidRDefault="009B074B" w:rsidP="00142961">
            <w:pPr>
              <w:spacing w:after="0"/>
              <w:ind w:right="35"/>
              <w:rPr>
                <w:rFonts w:cs="Arial"/>
                <w:szCs w:val="20"/>
              </w:rPr>
            </w:pPr>
            <w:r>
              <w:rPr>
                <w:rFonts w:cs="Arial"/>
                <w:szCs w:val="20"/>
              </w:rPr>
              <w:t>Business and consumers confidently transition to a national broadband environment</w:t>
            </w:r>
          </w:p>
        </w:tc>
      </w:tr>
      <w:tr w:rsidR="000C7CC9" w:rsidRPr="000D6F80" w14:paraId="0681AE59" w14:textId="77777777" w:rsidTr="00293B75">
        <w:trPr>
          <w:cantSplit/>
          <w:trHeight w:val="344"/>
          <w:tblHeader/>
        </w:trPr>
        <w:tc>
          <w:tcPr>
            <w:tcW w:w="2134" w:type="pct"/>
            <w:vAlign w:val="center"/>
          </w:tcPr>
          <w:p w14:paraId="5DDF2D49" w14:textId="77777777" w:rsidR="000C7CC9" w:rsidRDefault="009B074B" w:rsidP="00142961">
            <w:pPr>
              <w:spacing w:after="0"/>
              <w:ind w:right="-142"/>
              <w:rPr>
                <w:rFonts w:cs="Arial"/>
                <w:szCs w:val="20"/>
              </w:rPr>
            </w:pPr>
            <w:r>
              <w:rPr>
                <w:rFonts w:cs="Arial"/>
                <w:szCs w:val="20"/>
              </w:rPr>
              <w:t>Maintain effective telecommunications safeguards</w:t>
            </w:r>
          </w:p>
        </w:tc>
        <w:tc>
          <w:tcPr>
            <w:tcW w:w="2866" w:type="pct"/>
            <w:vAlign w:val="center"/>
          </w:tcPr>
          <w:p w14:paraId="55D92588" w14:textId="1F4E27A0" w:rsidR="000C7CC9" w:rsidRDefault="009B074B" w:rsidP="00142961">
            <w:pPr>
              <w:spacing w:after="0"/>
              <w:ind w:right="35"/>
              <w:rPr>
                <w:rFonts w:cs="Arial"/>
                <w:szCs w:val="20"/>
              </w:rPr>
            </w:pPr>
            <w:r>
              <w:rPr>
                <w:rFonts w:cs="Arial"/>
                <w:szCs w:val="20"/>
              </w:rPr>
              <w:t>Consumer interest</w:t>
            </w:r>
            <w:r w:rsidR="00F65B5E">
              <w:rPr>
                <w:rFonts w:cs="Arial"/>
                <w:szCs w:val="20"/>
              </w:rPr>
              <w:t>s</w:t>
            </w:r>
            <w:r>
              <w:rPr>
                <w:rFonts w:cs="Arial"/>
                <w:szCs w:val="20"/>
              </w:rPr>
              <w:t xml:space="preserve"> are protected and promoted when telecommunications services are purchased and used</w:t>
            </w:r>
          </w:p>
        </w:tc>
      </w:tr>
      <w:tr w:rsidR="000C7CC9" w:rsidRPr="000D6F80" w14:paraId="0D8C9683" w14:textId="77777777" w:rsidTr="00293B75">
        <w:trPr>
          <w:cantSplit/>
          <w:trHeight w:val="344"/>
          <w:tblHeader/>
        </w:trPr>
        <w:tc>
          <w:tcPr>
            <w:tcW w:w="2134" w:type="pct"/>
            <w:vAlign w:val="center"/>
          </w:tcPr>
          <w:p w14:paraId="380A3AF0" w14:textId="77777777" w:rsidR="000C7CC9" w:rsidRDefault="009B074B" w:rsidP="00142961">
            <w:pPr>
              <w:spacing w:after="0"/>
              <w:ind w:right="-142"/>
              <w:rPr>
                <w:rFonts w:cs="Arial"/>
                <w:szCs w:val="20"/>
              </w:rPr>
            </w:pPr>
            <w:r>
              <w:rPr>
                <w:rFonts w:cs="Arial"/>
                <w:szCs w:val="20"/>
              </w:rPr>
              <w:t>Develop and maintain appropriate regulatory settings for an information economy and network society</w:t>
            </w:r>
          </w:p>
        </w:tc>
        <w:tc>
          <w:tcPr>
            <w:tcW w:w="2866" w:type="pct"/>
            <w:vAlign w:val="center"/>
          </w:tcPr>
          <w:p w14:paraId="7B83E246" w14:textId="1452EB69" w:rsidR="000C7CC9" w:rsidRDefault="00293B75" w:rsidP="00142961">
            <w:pPr>
              <w:spacing w:after="0"/>
              <w:ind w:right="35"/>
              <w:rPr>
                <w:rFonts w:cs="Arial"/>
                <w:szCs w:val="20"/>
              </w:rPr>
            </w:pPr>
            <w:r>
              <w:rPr>
                <w:rFonts w:cs="Arial"/>
                <w:szCs w:val="20"/>
              </w:rPr>
              <w:t>Industry and business have sufficient confidence in regulatory settings to continue development of innovative communications</w:t>
            </w:r>
          </w:p>
        </w:tc>
      </w:tr>
    </w:tbl>
    <w:p w14:paraId="6576D576" w14:textId="77777777" w:rsidR="003C7C8A" w:rsidRDefault="003C7C8A" w:rsidP="00D72139">
      <w:pPr>
        <w:pStyle w:val="ACMASpaceaftertable"/>
      </w:pPr>
    </w:p>
    <w:p w14:paraId="1AE800B6" w14:textId="6FC46980" w:rsidR="003C7C8A" w:rsidRDefault="00293B75" w:rsidP="009E783D">
      <w:pPr>
        <w:spacing w:line="240" w:lineRule="auto"/>
      </w:pPr>
      <w:r w:rsidRPr="001D062D">
        <w:t xml:space="preserve">The actual performance </w:t>
      </w:r>
      <w:r w:rsidR="000A40F6" w:rsidRPr="001D062D">
        <w:t xml:space="preserve">for </w:t>
      </w:r>
      <w:r w:rsidRPr="001D062D">
        <w:t>the ACMA’s deliverables for the 2014</w:t>
      </w:r>
      <w:r w:rsidR="001F572C">
        <w:t>–</w:t>
      </w:r>
      <w:r w:rsidRPr="001D062D">
        <w:t xml:space="preserve">15 financial year is published in the ACMA’s </w:t>
      </w:r>
      <w:r w:rsidRPr="00D72139">
        <w:rPr>
          <w:i/>
        </w:rPr>
        <w:t xml:space="preserve">Annual </w:t>
      </w:r>
      <w:r w:rsidR="001F572C" w:rsidRPr="00D72139">
        <w:rPr>
          <w:i/>
        </w:rPr>
        <w:t>r</w:t>
      </w:r>
      <w:r w:rsidRPr="00D72139">
        <w:rPr>
          <w:i/>
        </w:rPr>
        <w:t>eport</w:t>
      </w:r>
      <w:r w:rsidR="001F572C" w:rsidRPr="00D72139">
        <w:rPr>
          <w:i/>
        </w:rPr>
        <w:t xml:space="preserve"> </w:t>
      </w:r>
      <w:r w:rsidR="001F572C" w:rsidRPr="001F572C">
        <w:rPr>
          <w:i/>
        </w:rPr>
        <w:t>2014</w:t>
      </w:r>
      <w:r w:rsidR="001F572C">
        <w:rPr>
          <w:i/>
        </w:rPr>
        <w:t>–</w:t>
      </w:r>
      <w:r w:rsidR="001F572C" w:rsidRPr="00D72139">
        <w:rPr>
          <w:i/>
        </w:rPr>
        <w:t>15</w:t>
      </w:r>
      <w:r w:rsidRPr="001D062D">
        <w:t>.</w:t>
      </w:r>
      <w:r w:rsidRPr="001D062D">
        <w:rPr>
          <w:rStyle w:val="FootnoteReference"/>
        </w:rPr>
        <w:footnoteReference w:id="14"/>
      </w:r>
      <w:r>
        <w:t xml:space="preserve"> </w:t>
      </w:r>
    </w:p>
    <w:p w14:paraId="51700EB9" w14:textId="77777777" w:rsidR="002219BD" w:rsidRPr="002219BD" w:rsidRDefault="002219BD" w:rsidP="00364C70">
      <w:pPr>
        <w:spacing w:before="120" w:line="240" w:lineRule="auto"/>
        <w:rPr>
          <w:u w:val="single"/>
        </w:rPr>
      </w:pPr>
      <w:r w:rsidRPr="002219BD">
        <w:rPr>
          <w:u w:val="single"/>
        </w:rPr>
        <w:t>ACCC’s cost component</w:t>
      </w:r>
    </w:p>
    <w:p w14:paraId="52F1A96B" w14:textId="77777777" w:rsidR="00364C70" w:rsidRPr="00A74556" w:rsidRDefault="00364C70" w:rsidP="00D72139">
      <w:pPr>
        <w:spacing w:after="80" w:line="240" w:lineRule="auto"/>
      </w:pPr>
      <w:r w:rsidRPr="00A74556">
        <w:t>The ACCC is responsible for the economic regulation of the communications sector, this work includes:</w:t>
      </w:r>
    </w:p>
    <w:p w14:paraId="1BFD6263" w14:textId="77777777" w:rsidR="00364C70" w:rsidRPr="001F572C" w:rsidRDefault="00364C70" w:rsidP="001F572C">
      <w:pPr>
        <w:pStyle w:val="ListBullet"/>
      </w:pPr>
      <w:r w:rsidRPr="001F572C">
        <w:t>assessing and enforcing terms of access to the NBN in a SAU from NBN Co</w:t>
      </w:r>
    </w:p>
    <w:p w14:paraId="62B434BF" w14:textId="77777777" w:rsidR="00364C70" w:rsidRPr="001F572C" w:rsidRDefault="00364C70" w:rsidP="001F572C">
      <w:pPr>
        <w:pStyle w:val="ListBullet"/>
      </w:pPr>
      <w:r w:rsidRPr="001F572C">
        <w:t>assessing and enforcing Telstra’s SSU and plan to migrate its customers to the NBN</w:t>
      </w:r>
    </w:p>
    <w:p w14:paraId="365879D9" w14:textId="77777777" w:rsidR="00364C70" w:rsidRPr="001F572C" w:rsidRDefault="00364C70" w:rsidP="001F572C">
      <w:pPr>
        <w:pStyle w:val="ListBullet"/>
      </w:pPr>
      <w:r w:rsidRPr="001F572C">
        <w:t>setting wholesale prices and wholesale terms of access for declared services</w:t>
      </w:r>
    </w:p>
    <w:p w14:paraId="7B475A56" w14:textId="77777777" w:rsidR="00364C70" w:rsidRPr="001F572C" w:rsidRDefault="00364C70" w:rsidP="001F572C">
      <w:pPr>
        <w:pStyle w:val="ListBullet"/>
      </w:pPr>
      <w:r w:rsidRPr="001F572C">
        <w:t>monitoring and reporting on prices and competition in the communications sector</w:t>
      </w:r>
    </w:p>
    <w:p w14:paraId="696A0B43" w14:textId="5D10440A" w:rsidR="00364C70" w:rsidRDefault="00364C70" w:rsidP="00D72139">
      <w:pPr>
        <w:pStyle w:val="ListBulletLast"/>
      </w:pPr>
      <w:r w:rsidRPr="00534F91">
        <w:t xml:space="preserve">investigating claims of anti-competitive conduct in the communications sector. </w:t>
      </w:r>
    </w:p>
    <w:p w14:paraId="243EFFF4" w14:textId="77777777" w:rsidR="00364C70" w:rsidRPr="00A74556" w:rsidRDefault="009B074B" w:rsidP="00D72139">
      <w:pPr>
        <w:keepNext/>
        <w:spacing w:after="80" w:line="240" w:lineRule="auto"/>
      </w:pPr>
      <w:r>
        <w:lastRenderedPageBreak/>
        <w:t>The ACCC’s p</w:t>
      </w:r>
      <w:r w:rsidR="00364C70" w:rsidRPr="00A74556">
        <w:t xml:space="preserve">erformance measures for these deliverables include: </w:t>
      </w:r>
    </w:p>
    <w:p w14:paraId="1FEDFBB9" w14:textId="77777777" w:rsidR="00364C70" w:rsidRPr="00534F91" w:rsidRDefault="00364C70" w:rsidP="00364C70">
      <w:pPr>
        <w:pStyle w:val="ListBullet"/>
      </w:pPr>
      <w:r w:rsidRPr="00534F91">
        <w:t>completing inquiries within statutory timeframes</w:t>
      </w:r>
    </w:p>
    <w:p w14:paraId="07DEB802" w14:textId="77777777" w:rsidR="00364C70" w:rsidRPr="00534F91" w:rsidRDefault="00364C70" w:rsidP="00364C70">
      <w:pPr>
        <w:pStyle w:val="ListBullet"/>
      </w:pPr>
      <w:r w:rsidRPr="00534F91">
        <w:t xml:space="preserve">providing outcomes that improve consume welfare, are in the long term interests of telecommunications end users, protect competition and open markets to competition </w:t>
      </w:r>
    </w:p>
    <w:p w14:paraId="0645E95D" w14:textId="77777777" w:rsidR="00364C70" w:rsidRPr="00534F91" w:rsidRDefault="00364C70" w:rsidP="00364C70">
      <w:pPr>
        <w:pStyle w:val="ListBullet"/>
      </w:pPr>
      <w:r w:rsidRPr="00534F91">
        <w:t>contributing to market and competition analysis and investigations (especially under Part IV</w:t>
      </w:r>
      <w:r w:rsidR="00F65B5E">
        <w:t xml:space="preserve"> of the </w:t>
      </w:r>
      <w:r w:rsidR="00F65B5E">
        <w:rPr>
          <w:i/>
        </w:rPr>
        <w:t>Competition and Consumer Act 2010</w:t>
      </w:r>
      <w:r w:rsidRPr="00534F91">
        <w:t xml:space="preserve">) in relation to content, media and application services delivered over telecommunications networks  </w:t>
      </w:r>
    </w:p>
    <w:p w14:paraId="431656F2" w14:textId="07FCC569" w:rsidR="00364C70" w:rsidRPr="00534F91" w:rsidRDefault="00364C70" w:rsidP="00364C70">
      <w:pPr>
        <w:pStyle w:val="ListBullet"/>
      </w:pPr>
      <w:r w:rsidRPr="00534F91">
        <w:t>advising other areas of the ACCC on implications of convergent technologies in the context of mergers, adjudication and enforcement activities</w:t>
      </w:r>
    </w:p>
    <w:p w14:paraId="1C92D30D" w14:textId="072DF8FB" w:rsidR="0039435F" w:rsidRPr="00D72139" w:rsidRDefault="00364C70" w:rsidP="00D72139">
      <w:pPr>
        <w:pStyle w:val="ListBulletLast"/>
        <w:rPr>
          <w:szCs w:val="20"/>
          <w:u w:val="single"/>
        </w:rPr>
      </w:pPr>
      <w:r w:rsidRPr="00534F91">
        <w:t>formulating briefing material and submissions to major government reviews, such as inquiries regarding the N</w:t>
      </w:r>
      <w:r w:rsidR="00F65B5E">
        <w:t>BN</w:t>
      </w:r>
      <w:r w:rsidRPr="00534F91">
        <w:t xml:space="preserve">, </w:t>
      </w:r>
      <w:r w:rsidRPr="001071EB">
        <w:t>Senate</w:t>
      </w:r>
      <w:r w:rsidRPr="00534F91">
        <w:t xml:space="preserve"> estimates and other public inquiries.</w:t>
      </w:r>
    </w:p>
    <w:p w14:paraId="47B764A7" w14:textId="77777777" w:rsidR="002219BD" w:rsidRPr="002219BD" w:rsidRDefault="002219BD" w:rsidP="009E783D">
      <w:pPr>
        <w:spacing w:line="240" w:lineRule="auto"/>
        <w:rPr>
          <w:u w:val="single"/>
        </w:rPr>
      </w:pPr>
      <w:r w:rsidRPr="002219BD">
        <w:rPr>
          <w:rFonts w:cs="Arial"/>
          <w:szCs w:val="20"/>
          <w:u w:val="single"/>
        </w:rPr>
        <w:t>ITU contribution</w:t>
      </w:r>
    </w:p>
    <w:p w14:paraId="619D26B8" w14:textId="175813C3" w:rsidR="00142961" w:rsidRDefault="00DC53C1" w:rsidP="009E783D">
      <w:pPr>
        <w:spacing w:line="240" w:lineRule="auto"/>
      </w:pPr>
      <w:r w:rsidRPr="001D062D">
        <w:t>As th</w:t>
      </w:r>
      <w:r w:rsidR="003D7152" w:rsidRPr="001D062D">
        <w:t xml:space="preserve">e ITU is responsible for </w:t>
      </w:r>
      <w:r w:rsidR="00596FD7" w:rsidRPr="001D062D">
        <w:t>t</w:t>
      </w:r>
      <w:r w:rsidR="003D7152" w:rsidRPr="001D062D">
        <w:t>he Internationa</w:t>
      </w:r>
      <w:r w:rsidR="00596FD7" w:rsidRPr="001D062D">
        <w:t xml:space="preserve">l Telecommunication Regulations, </w:t>
      </w:r>
      <w:r w:rsidRPr="001D062D">
        <w:t>its main deliverables are to p</w:t>
      </w:r>
      <w:r w:rsidR="003D7152" w:rsidRPr="001D062D">
        <w:t>romote international cooperation, collaboratio</w:t>
      </w:r>
      <w:r w:rsidRPr="001D062D">
        <w:t>n and regulation as appropriate and</w:t>
      </w:r>
      <w:r w:rsidR="003D7152" w:rsidRPr="001D062D">
        <w:t xml:space="preserve"> to support domestic priorities in the telecommunications industry</w:t>
      </w:r>
      <w:r w:rsidRPr="001D062D">
        <w:t>, so that i</w:t>
      </w:r>
      <w:r w:rsidR="003D7152" w:rsidRPr="001D062D">
        <w:t>ndustry, business and government can effectively engage in the international telecommunications landscape</w:t>
      </w:r>
    </w:p>
    <w:p w14:paraId="64E348B1" w14:textId="49AC064E" w:rsidR="002219BD" w:rsidRPr="0023358A" w:rsidRDefault="002219BD" w:rsidP="00142961">
      <w:pPr>
        <w:spacing w:line="240" w:lineRule="auto"/>
        <w:rPr>
          <w:u w:val="single"/>
          <w:lang w:val="en-GB"/>
        </w:rPr>
      </w:pPr>
      <w:r w:rsidRPr="0023358A">
        <w:rPr>
          <w:rFonts w:cs="Arial"/>
          <w:szCs w:val="20"/>
          <w:u w:val="single"/>
        </w:rPr>
        <w:t xml:space="preserve">Government </w:t>
      </w:r>
      <w:r w:rsidR="001F572C" w:rsidRPr="0023358A">
        <w:rPr>
          <w:rFonts w:cs="Arial"/>
          <w:szCs w:val="20"/>
          <w:u w:val="single"/>
        </w:rPr>
        <w:t>g</w:t>
      </w:r>
      <w:r w:rsidRPr="0023358A">
        <w:rPr>
          <w:rFonts w:cs="Arial"/>
          <w:szCs w:val="20"/>
          <w:u w:val="single"/>
        </w:rPr>
        <w:t>rants—</w:t>
      </w:r>
      <w:r w:rsidR="00136A92">
        <w:rPr>
          <w:rFonts w:cs="Arial"/>
          <w:szCs w:val="20"/>
          <w:u w:val="single"/>
        </w:rPr>
        <w:t>c</w:t>
      </w:r>
      <w:r w:rsidRPr="0023358A">
        <w:rPr>
          <w:rFonts w:cs="Arial"/>
          <w:szCs w:val="20"/>
          <w:u w:val="single"/>
        </w:rPr>
        <w:t xml:space="preserve">onsumer </w:t>
      </w:r>
      <w:r w:rsidR="00136A92">
        <w:rPr>
          <w:rFonts w:cs="Arial"/>
          <w:szCs w:val="20"/>
          <w:u w:val="single"/>
        </w:rPr>
        <w:t>r</w:t>
      </w:r>
      <w:r w:rsidRPr="0023358A">
        <w:rPr>
          <w:rFonts w:cs="Arial"/>
          <w:szCs w:val="20"/>
          <w:u w:val="single"/>
        </w:rPr>
        <w:t xml:space="preserve">epresentation and </w:t>
      </w:r>
      <w:r w:rsidR="00136A92">
        <w:rPr>
          <w:rFonts w:cs="Arial"/>
          <w:szCs w:val="20"/>
          <w:u w:val="single"/>
        </w:rPr>
        <w:t>r</w:t>
      </w:r>
      <w:r w:rsidRPr="0023358A">
        <w:rPr>
          <w:rFonts w:cs="Arial"/>
          <w:szCs w:val="20"/>
          <w:u w:val="single"/>
        </w:rPr>
        <w:t>esearch</w:t>
      </w:r>
    </w:p>
    <w:p w14:paraId="7E68A50F" w14:textId="0ECD90BC" w:rsidR="00142961" w:rsidRPr="0023358A" w:rsidRDefault="00142961" w:rsidP="00142961">
      <w:pPr>
        <w:spacing w:line="240" w:lineRule="auto"/>
        <w:rPr>
          <w:lang w:val="en-GB"/>
        </w:rPr>
      </w:pPr>
      <w:r w:rsidRPr="0023358A">
        <w:rPr>
          <w:lang w:val="en-GB"/>
        </w:rPr>
        <w:t xml:space="preserve">The </w:t>
      </w:r>
      <w:r w:rsidR="0023358A">
        <w:rPr>
          <w:lang w:val="en-GB"/>
        </w:rPr>
        <w:t>s</w:t>
      </w:r>
      <w:r w:rsidRPr="0023358A">
        <w:rPr>
          <w:lang w:val="en-GB"/>
        </w:rPr>
        <w:t>ection 593 grant</w:t>
      </w:r>
      <w:r w:rsidR="00B60F85">
        <w:rPr>
          <w:lang w:val="en-GB"/>
        </w:rPr>
        <w:t>s of financial assistance</w:t>
      </w:r>
      <w:r w:rsidRPr="0023358A">
        <w:rPr>
          <w:lang w:val="en-GB"/>
        </w:rPr>
        <w:t xml:space="preserve"> to consumer </w:t>
      </w:r>
      <w:r w:rsidR="00B60F85" w:rsidRPr="0023358A">
        <w:rPr>
          <w:lang w:val="en-GB"/>
        </w:rPr>
        <w:t>bod</w:t>
      </w:r>
      <w:r w:rsidR="00B60F85">
        <w:rPr>
          <w:lang w:val="en-GB"/>
        </w:rPr>
        <w:t>ies</w:t>
      </w:r>
      <w:r w:rsidR="00B60F85" w:rsidRPr="0023358A">
        <w:rPr>
          <w:lang w:val="en-GB"/>
        </w:rPr>
        <w:t xml:space="preserve"> </w:t>
      </w:r>
      <w:r w:rsidR="00FB476B">
        <w:rPr>
          <w:lang w:val="en-GB"/>
        </w:rPr>
        <w:t xml:space="preserve">to support </w:t>
      </w:r>
      <w:r w:rsidRPr="0023358A">
        <w:rPr>
          <w:lang w:val="en-GB"/>
        </w:rPr>
        <w:t>consumer</w:t>
      </w:r>
      <w:r w:rsidR="00FB476B">
        <w:rPr>
          <w:lang w:val="en-GB"/>
        </w:rPr>
        <w:t xml:space="preserve"> representation</w:t>
      </w:r>
      <w:r w:rsidRPr="0023358A">
        <w:rPr>
          <w:lang w:val="en-GB"/>
        </w:rPr>
        <w:t xml:space="preserve"> in </w:t>
      </w:r>
      <w:r w:rsidR="00FB476B">
        <w:rPr>
          <w:lang w:val="en-GB"/>
        </w:rPr>
        <w:t>the</w:t>
      </w:r>
      <w:r w:rsidRPr="0023358A">
        <w:rPr>
          <w:lang w:val="en-GB"/>
        </w:rPr>
        <w:t xml:space="preserve"> telecommunications </w:t>
      </w:r>
      <w:r w:rsidR="00FB476B">
        <w:rPr>
          <w:lang w:val="en-GB"/>
        </w:rPr>
        <w:t>sector</w:t>
      </w:r>
      <w:r w:rsidR="00FB476B" w:rsidRPr="0023358A">
        <w:rPr>
          <w:lang w:val="en-GB"/>
        </w:rPr>
        <w:t xml:space="preserve"> </w:t>
      </w:r>
      <w:r w:rsidRPr="0023358A">
        <w:rPr>
          <w:lang w:val="en-GB"/>
        </w:rPr>
        <w:t>has been provided to ACCAN since 2009</w:t>
      </w:r>
      <w:r w:rsidR="0023358A">
        <w:rPr>
          <w:lang w:val="en-GB"/>
        </w:rPr>
        <w:t>–</w:t>
      </w:r>
      <w:r w:rsidRPr="0023358A">
        <w:rPr>
          <w:lang w:val="en-GB"/>
        </w:rPr>
        <w:t>10. ACCAN will continue to be resourced to a level that will enable it to conduct activities necessary for an effective peak communications consumer advocate, including representation, research, consumer education and participation in self-regulatory activities. ACCAN also operates a competitive Independent Grants Scheme, which allows individuals and organisations to undertake research or representation projects in the interest of the telecommunications consumer. ACCAN is measured on the delivery of these outcomes.</w:t>
      </w:r>
    </w:p>
    <w:p w14:paraId="5750F292" w14:textId="13092128" w:rsidR="00142961" w:rsidRDefault="00142961" w:rsidP="009E783D">
      <w:pPr>
        <w:spacing w:line="240" w:lineRule="auto"/>
      </w:pPr>
      <w:r w:rsidRPr="0023358A">
        <w:rPr>
          <w:lang w:val="en-GB"/>
        </w:rPr>
        <w:t>The mid-term review of ACCAN</w:t>
      </w:r>
      <w:r w:rsidR="0023358A">
        <w:rPr>
          <w:lang w:val="en-GB"/>
        </w:rPr>
        <w:t xml:space="preserve">, </w:t>
      </w:r>
      <w:r w:rsidRPr="0023358A">
        <w:rPr>
          <w:lang w:val="en-GB"/>
        </w:rPr>
        <w:t>undertaken in 2015, concluded that ACCAN has met all key performance indicators and is an effective organisation in representing the interests of consumers in the telecommunications sector.</w:t>
      </w:r>
    </w:p>
    <w:p w14:paraId="5776AC85" w14:textId="77777777" w:rsidR="009E783D" w:rsidRPr="00CC3F4B" w:rsidRDefault="00CD31CE" w:rsidP="009E783D">
      <w:pPr>
        <w:pStyle w:val="Heading1"/>
      </w:pPr>
      <w:bookmarkStart w:id="92" w:name="_Toc417990967"/>
      <w:bookmarkStart w:id="93" w:name="_Toc454268383"/>
      <w:r>
        <w:lastRenderedPageBreak/>
        <w:t>8</w:t>
      </w:r>
      <w:r w:rsidR="009E783D" w:rsidRPr="00CC3F4B">
        <w:t>.</w:t>
      </w:r>
      <w:r w:rsidR="009E783D" w:rsidRPr="00CC3F4B">
        <w:tab/>
      </w:r>
      <w:bookmarkEnd w:id="86"/>
      <w:r w:rsidR="009E783D">
        <w:t>K</w:t>
      </w:r>
      <w:r w:rsidR="009E783D" w:rsidRPr="00CC3F4B">
        <w:t>ey forward dates and events</w:t>
      </w:r>
      <w:bookmarkEnd w:id="87"/>
      <w:bookmarkEnd w:id="92"/>
      <w:bookmarkEnd w:id="93"/>
    </w:p>
    <w:p w14:paraId="7EC55037" w14:textId="77777777" w:rsidR="009E783D" w:rsidRDefault="009E783D" w:rsidP="009E783D">
      <w:r w:rsidRPr="00A84CBD">
        <w:t>Reflecting the annual nature of the ACLC, the CRIS is also updated on an annual basis. The key forward events and dates f</w:t>
      </w:r>
      <w:r w:rsidR="0081186A">
        <w:t>or the ACLC process for the 2015</w:t>
      </w:r>
      <w:r w:rsidRPr="00A84CBD">
        <w:t>–</w:t>
      </w:r>
      <w:r w:rsidR="0081186A">
        <w:t>16</w:t>
      </w:r>
      <w:r w:rsidRPr="00A84CBD">
        <w:t xml:space="preserve"> financial year are provided</w:t>
      </w:r>
      <w:r w:rsidR="00AD6427">
        <w:t xml:space="preserve"> in Table 15</w:t>
      </w:r>
      <w:r w:rsidRPr="00A84CBD">
        <w:t xml:space="preserve"> below.  </w:t>
      </w:r>
    </w:p>
    <w:p w14:paraId="72A34F61" w14:textId="77777777" w:rsidR="003F4664" w:rsidRDefault="003C7C8A" w:rsidP="00D866D4">
      <w:pPr>
        <w:pStyle w:val="ACMATableHeader"/>
        <w:numPr>
          <w:ilvl w:val="0"/>
          <w:numId w:val="0"/>
        </w:numPr>
      </w:pPr>
      <w:r>
        <w:t>Table 15</w:t>
      </w:r>
      <w:r w:rsidR="00D866D4">
        <w:t>:</w:t>
      </w:r>
      <w:r w:rsidR="00D866D4">
        <w:tab/>
      </w:r>
      <w:r w:rsidR="003F4664" w:rsidRPr="005A1AF4">
        <w:t>Key forward dates and events</w:t>
      </w:r>
    </w:p>
    <w:tbl>
      <w:tblPr>
        <w:tblW w:w="48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Caption w:val="Key forward dates and events"/>
        <w:tblDescription w:val="Update of forward financial estimates (section 6) in Dec 2016; Update of actual costs in May 2017."/>
      </w:tblPr>
      <w:tblGrid>
        <w:gridCol w:w="5255"/>
        <w:gridCol w:w="2126"/>
      </w:tblGrid>
      <w:tr w:rsidR="00222E46" w:rsidRPr="000D6F80" w14:paraId="703DC799" w14:textId="77777777" w:rsidTr="00E50A27">
        <w:trPr>
          <w:cantSplit/>
          <w:trHeight w:val="270"/>
          <w:tblHeader/>
        </w:trPr>
        <w:tc>
          <w:tcPr>
            <w:tcW w:w="3560" w:type="pct"/>
            <w:shd w:val="clear" w:color="auto" w:fill="404040" w:themeFill="text1" w:themeFillTint="BF"/>
            <w:vAlign w:val="center"/>
          </w:tcPr>
          <w:p w14:paraId="7E2930C0" w14:textId="77777777" w:rsidR="00222E46" w:rsidRPr="00E50A27" w:rsidRDefault="00222E46" w:rsidP="00E50A27">
            <w:pPr>
              <w:pStyle w:val="TableHeading"/>
              <w:rPr>
                <w:b w:val="0"/>
                <w:color w:val="FFFFFF" w:themeColor="background1"/>
                <w:highlight w:val="yellow"/>
              </w:rPr>
            </w:pPr>
            <w:r w:rsidRPr="00E50A27">
              <w:rPr>
                <w:color w:val="FFFFFF" w:themeColor="background1"/>
              </w:rPr>
              <w:t>Key events</w:t>
            </w:r>
          </w:p>
        </w:tc>
        <w:tc>
          <w:tcPr>
            <w:tcW w:w="1440" w:type="pct"/>
            <w:tcBorders>
              <w:top w:val="single" w:sz="6" w:space="0" w:color="auto"/>
            </w:tcBorders>
            <w:shd w:val="clear" w:color="auto" w:fill="404040" w:themeFill="text1" w:themeFillTint="BF"/>
            <w:vAlign w:val="center"/>
          </w:tcPr>
          <w:p w14:paraId="0D4020FA" w14:textId="77777777" w:rsidR="00222E46" w:rsidRPr="00E50A27" w:rsidRDefault="00222E46" w:rsidP="00E50A27">
            <w:pPr>
              <w:pStyle w:val="TableHeading"/>
              <w:rPr>
                <w:b w:val="0"/>
                <w:color w:val="FFFFFF" w:themeColor="background1"/>
              </w:rPr>
            </w:pPr>
            <w:r w:rsidRPr="00E50A27">
              <w:rPr>
                <w:color w:val="FFFFFF" w:themeColor="background1"/>
              </w:rPr>
              <w:t>Date</w:t>
            </w:r>
          </w:p>
        </w:tc>
      </w:tr>
      <w:tr w:rsidR="00222E46" w:rsidRPr="000D6F80" w14:paraId="235C0787" w14:textId="77777777" w:rsidTr="00222E46">
        <w:trPr>
          <w:cantSplit/>
          <w:trHeight w:val="344"/>
          <w:tblHeader/>
        </w:trPr>
        <w:tc>
          <w:tcPr>
            <w:tcW w:w="3560" w:type="pct"/>
            <w:vAlign w:val="center"/>
          </w:tcPr>
          <w:p w14:paraId="0D1F1BF1" w14:textId="77777777" w:rsidR="00222E46" w:rsidRPr="000D6F80" w:rsidRDefault="00222E46" w:rsidP="00593B36">
            <w:pPr>
              <w:spacing w:after="0"/>
              <w:ind w:right="-142"/>
              <w:rPr>
                <w:rFonts w:cs="Arial"/>
                <w:szCs w:val="20"/>
              </w:rPr>
            </w:pPr>
            <w:r>
              <w:rPr>
                <w:rFonts w:cs="Arial"/>
                <w:szCs w:val="20"/>
              </w:rPr>
              <w:t>Update of forward financial estimates (section 6)</w:t>
            </w:r>
          </w:p>
        </w:tc>
        <w:tc>
          <w:tcPr>
            <w:tcW w:w="1440" w:type="pct"/>
            <w:vAlign w:val="center"/>
          </w:tcPr>
          <w:p w14:paraId="7D7F9AA1" w14:textId="77777777" w:rsidR="00222E46" w:rsidRDefault="00222E46" w:rsidP="00681F59">
            <w:pPr>
              <w:spacing w:after="0"/>
              <w:rPr>
                <w:rFonts w:cs="Arial"/>
                <w:szCs w:val="20"/>
              </w:rPr>
            </w:pPr>
            <w:r w:rsidRPr="0039435F">
              <w:rPr>
                <w:rFonts w:cs="Arial"/>
                <w:szCs w:val="20"/>
              </w:rPr>
              <w:t>December 2016</w:t>
            </w:r>
          </w:p>
        </w:tc>
      </w:tr>
      <w:tr w:rsidR="00222E46" w:rsidRPr="000D6F80" w14:paraId="1A9906A1" w14:textId="77777777" w:rsidTr="00222E46">
        <w:trPr>
          <w:cantSplit/>
          <w:trHeight w:val="344"/>
          <w:tblHeader/>
        </w:trPr>
        <w:tc>
          <w:tcPr>
            <w:tcW w:w="3560" w:type="pct"/>
            <w:vAlign w:val="center"/>
          </w:tcPr>
          <w:p w14:paraId="1C999565" w14:textId="77777777" w:rsidR="00222E46" w:rsidRDefault="00222E46" w:rsidP="00593B36">
            <w:pPr>
              <w:spacing w:after="0"/>
              <w:ind w:right="-142"/>
              <w:rPr>
                <w:rFonts w:cs="Arial"/>
                <w:szCs w:val="20"/>
              </w:rPr>
            </w:pPr>
            <w:r>
              <w:rPr>
                <w:rFonts w:cs="Arial"/>
                <w:szCs w:val="20"/>
              </w:rPr>
              <w:t xml:space="preserve">Update of actual </w:t>
            </w:r>
            <w:r w:rsidR="00F65B5E">
              <w:rPr>
                <w:rFonts w:cs="Arial"/>
                <w:szCs w:val="20"/>
              </w:rPr>
              <w:t>costs</w:t>
            </w:r>
          </w:p>
        </w:tc>
        <w:tc>
          <w:tcPr>
            <w:tcW w:w="1440" w:type="pct"/>
            <w:vAlign w:val="center"/>
          </w:tcPr>
          <w:p w14:paraId="4B0504E1" w14:textId="77777777" w:rsidR="00222E46" w:rsidRDefault="00222E46" w:rsidP="00681F59">
            <w:pPr>
              <w:spacing w:after="0"/>
              <w:rPr>
                <w:rFonts w:cs="Arial"/>
                <w:szCs w:val="20"/>
                <w:highlight w:val="yellow"/>
              </w:rPr>
            </w:pPr>
            <w:r w:rsidRPr="0039435F">
              <w:rPr>
                <w:rFonts w:cs="Arial"/>
                <w:szCs w:val="20"/>
              </w:rPr>
              <w:t>May 2017</w:t>
            </w:r>
          </w:p>
        </w:tc>
      </w:tr>
    </w:tbl>
    <w:p w14:paraId="7BA00EA0" w14:textId="77777777" w:rsidR="009E783D" w:rsidRDefault="00CD31CE" w:rsidP="009E783D">
      <w:pPr>
        <w:pStyle w:val="Heading1"/>
      </w:pPr>
      <w:bookmarkStart w:id="94" w:name="_Toc355953995"/>
      <w:bookmarkStart w:id="95" w:name="_Toc385256324"/>
      <w:bookmarkStart w:id="96" w:name="_Toc417990968"/>
      <w:bookmarkStart w:id="97" w:name="_Toc454268384"/>
      <w:bookmarkEnd w:id="65"/>
      <w:r>
        <w:lastRenderedPageBreak/>
        <w:t>9</w:t>
      </w:r>
      <w:r w:rsidR="009E783D" w:rsidRPr="00CC3F4B">
        <w:t xml:space="preserve">. </w:t>
      </w:r>
      <w:r w:rsidR="009E783D" w:rsidRPr="00CC3F4B">
        <w:tab/>
      </w:r>
      <w:bookmarkEnd w:id="94"/>
      <w:r w:rsidR="009E783D">
        <w:t>CRIS</w:t>
      </w:r>
      <w:r w:rsidR="009E783D" w:rsidRPr="00CC3F4B">
        <w:t xml:space="preserve"> approval and change register</w:t>
      </w:r>
      <w:bookmarkEnd w:id="95"/>
      <w:bookmarkEnd w:id="96"/>
      <w:bookmarkEnd w:id="97"/>
    </w:p>
    <w:p w14:paraId="465DFC8C" w14:textId="3741E071" w:rsidR="009E783D" w:rsidRPr="00205C03" w:rsidRDefault="007C722C" w:rsidP="007C722C">
      <w:pPr>
        <w:pStyle w:val="ACMATableHeader"/>
        <w:numPr>
          <w:ilvl w:val="0"/>
          <w:numId w:val="0"/>
        </w:numPr>
        <w:rPr>
          <w:color w:val="808080"/>
        </w:rPr>
      </w:pPr>
      <w:r>
        <w:t>Table 16:</w:t>
      </w:r>
      <w:r>
        <w:tab/>
      </w:r>
      <w:r w:rsidR="009E783D" w:rsidRPr="005D0BC8">
        <w:t>Change register</w:t>
      </w:r>
    </w:p>
    <w:tbl>
      <w:tblPr>
        <w:tblStyle w:val="TableGrid"/>
        <w:tblW w:w="0" w:type="auto"/>
        <w:tblCellMar>
          <w:top w:w="57" w:type="dxa"/>
          <w:bottom w:w="57" w:type="dxa"/>
        </w:tblCellMar>
        <w:tblLook w:val="04A0" w:firstRow="1" w:lastRow="0" w:firstColumn="1" w:lastColumn="0" w:noHBand="0" w:noVBand="1"/>
        <w:tblCaption w:val="CRIS approval and change register"/>
      </w:tblPr>
      <w:tblGrid>
        <w:gridCol w:w="1870"/>
        <w:gridCol w:w="1922"/>
        <w:gridCol w:w="1952"/>
        <w:gridCol w:w="1917"/>
      </w:tblGrid>
      <w:tr w:rsidR="009E783D" w14:paraId="60B29AD6" w14:textId="77777777" w:rsidTr="00E50A27">
        <w:trPr>
          <w:tblHeader/>
        </w:trPr>
        <w:tc>
          <w:tcPr>
            <w:tcW w:w="1870" w:type="dxa"/>
            <w:shd w:val="clear" w:color="auto" w:fill="404040" w:themeFill="text1" w:themeFillTint="BF"/>
            <w:vAlign w:val="center"/>
          </w:tcPr>
          <w:p w14:paraId="1EAE5A68" w14:textId="77777777" w:rsidR="009E783D" w:rsidRPr="00E50A27" w:rsidRDefault="009E783D" w:rsidP="00E50A27">
            <w:pPr>
              <w:pStyle w:val="TableHeading"/>
              <w:rPr>
                <w:b w:val="0"/>
                <w:color w:val="FFFFFF" w:themeColor="background1"/>
              </w:rPr>
            </w:pPr>
            <w:r w:rsidRPr="00E50A27">
              <w:rPr>
                <w:color w:val="FFFFFF" w:themeColor="background1"/>
              </w:rPr>
              <w:t>Date</w:t>
            </w:r>
          </w:p>
        </w:tc>
        <w:tc>
          <w:tcPr>
            <w:tcW w:w="1922" w:type="dxa"/>
            <w:shd w:val="clear" w:color="auto" w:fill="404040" w:themeFill="text1" w:themeFillTint="BF"/>
            <w:vAlign w:val="center"/>
          </w:tcPr>
          <w:p w14:paraId="21CF0F91" w14:textId="77777777" w:rsidR="009E783D" w:rsidRPr="00E50A27" w:rsidRDefault="009E783D" w:rsidP="00E50A27">
            <w:pPr>
              <w:pStyle w:val="TableHeading"/>
              <w:rPr>
                <w:b w:val="0"/>
                <w:color w:val="FFFFFF" w:themeColor="background1"/>
              </w:rPr>
            </w:pPr>
            <w:r w:rsidRPr="00E50A27">
              <w:rPr>
                <w:color w:val="FFFFFF" w:themeColor="background1"/>
              </w:rPr>
              <w:t>Description</w:t>
            </w:r>
          </w:p>
        </w:tc>
        <w:tc>
          <w:tcPr>
            <w:tcW w:w="1952" w:type="dxa"/>
            <w:shd w:val="clear" w:color="auto" w:fill="404040" w:themeFill="text1" w:themeFillTint="BF"/>
            <w:vAlign w:val="center"/>
          </w:tcPr>
          <w:p w14:paraId="1F94E19A" w14:textId="77777777" w:rsidR="009E783D" w:rsidRPr="00E50A27" w:rsidRDefault="009E783D" w:rsidP="00E50A27">
            <w:pPr>
              <w:pStyle w:val="TableHeading"/>
              <w:rPr>
                <w:b w:val="0"/>
                <w:color w:val="FFFFFF" w:themeColor="background1"/>
              </w:rPr>
            </w:pPr>
            <w:r w:rsidRPr="00E50A27">
              <w:rPr>
                <w:color w:val="FFFFFF" w:themeColor="background1"/>
              </w:rPr>
              <w:t>Approved by</w:t>
            </w:r>
          </w:p>
        </w:tc>
        <w:tc>
          <w:tcPr>
            <w:tcW w:w="1917" w:type="dxa"/>
            <w:shd w:val="clear" w:color="auto" w:fill="404040" w:themeFill="text1" w:themeFillTint="BF"/>
            <w:vAlign w:val="center"/>
          </w:tcPr>
          <w:p w14:paraId="2D9FA611" w14:textId="77777777" w:rsidR="009E783D" w:rsidRPr="00E50A27" w:rsidRDefault="009E783D" w:rsidP="00E50A27">
            <w:pPr>
              <w:pStyle w:val="TableHeading"/>
              <w:rPr>
                <w:b w:val="0"/>
                <w:color w:val="FFFFFF" w:themeColor="background1"/>
              </w:rPr>
            </w:pPr>
            <w:r w:rsidRPr="00E50A27">
              <w:rPr>
                <w:color w:val="FFFFFF" w:themeColor="background1"/>
              </w:rPr>
              <w:t>Comments</w:t>
            </w:r>
          </w:p>
        </w:tc>
      </w:tr>
      <w:tr w:rsidR="008F7A47" w14:paraId="777FBC24" w14:textId="77777777" w:rsidTr="00681F59">
        <w:tc>
          <w:tcPr>
            <w:tcW w:w="1870" w:type="dxa"/>
            <w:vAlign w:val="center"/>
          </w:tcPr>
          <w:p w14:paraId="3EEAFA94" w14:textId="212D5563" w:rsidR="008F7A47" w:rsidRDefault="000B304E" w:rsidP="008F7A47">
            <w:pPr>
              <w:spacing w:after="0"/>
            </w:pPr>
            <w:r>
              <w:t xml:space="preserve">30 </w:t>
            </w:r>
            <w:r w:rsidR="008F7A47">
              <w:t>May 2016</w:t>
            </w:r>
          </w:p>
        </w:tc>
        <w:tc>
          <w:tcPr>
            <w:tcW w:w="1922" w:type="dxa"/>
            <w:vAlign w:val="center"/>
          </w:tcPr>
          <w:p w14:paraId="579BDCC0" w14:textId="623F7496" w:rsidR="008F7A47" w:rsidRPr="005D0BC8" w:rsidRDefault="008F7A47" w:rsidP="0023358A">
            <w:pPr>
              <w:spacing w:after="0"/>
            </w:pPr>
            <w:r>
              <w:t>Approval of the 2015-16 CRIS</w:t>
            </w:r>
            <w:r w:rsidR="0023358A">
              <w:t>—</w:t>
            </w:r>
            <w:r w:rsidR="00076712">
              <w:t>Version 2.0</w:t>
            </w:r>
          </w:p>
        </w:tc>
        <w:tc>
          <w:tcPr>
            <w:tcW w:w="1952" w:type="dxa"/>
            <w:vAlign w:val="center"/>
          </w:tcPr>
          <w:p w14:paraId="11709B8D" w14:textId="77777777" w:rsidR="008F7A47" w:rsidRPr="005D0BC8" w:rsidRDefault="008F7A47" w:rsidP="008F7A47">
            <w:pPr>
              <w:spacing w:after="0"/>
            </w:pPr>
            <w:r w:rsidRPr="005D0BC8">
              <w:t>The Minister for Communications</w:t>
            </w:r>
            <w:r>
              <w:t xml:space="preserve"> and the Arts</w:t>
            </w:r>
          </w:p>
        </w:tc>
        <w:tc>
          <w:tcPr>
            <w:tcW w:w="1917" w:type="dxa"/>
            <w:vAlign w:val="center"/>
          </w:tcPr>
          <w:p w14:paraId="280C35FC" w14:textId="77777777" w:rsidR="008F7A47" w:rsidRDefault="008F7A47" w:rsidP="008F7A47">
            <w:pPr>
              <w:rPr>
                <w:b/>
                <w:i/>
              </w:rPr>
            </w:pPr>
          </w:p>
        </w:tc>
      </w:tr>
      <w:tr w:rsidR="00295E8B" w14:paraId="635CD481" w14:textId="77777777" w:rsidTr="00681F59">
        <w:tc>
          <w:tcPr>
            <w:tcW w:w="1870" w:type="dxa"/>
            <w:vAlign w:val="center"/>
          </w:tcPr>
          <w:p w14:paraId="7A61A8BC" w14:textId="053A1B13" w:rsidR="00295E8B" w:rsidRDefault="000B304E" w:rsidP="00295E8B">
            <w:pPr>
              <w:spacing w:after="0"/>
            </w:pPr>
            <w:r>
              <w:t xml:space="preserve">18 </w:t>
            </w:r>
            <w:r w:rsidR="00F65B5E">
              <w:t>May</w:t>
            </w:r>
            <w:r w:rsidR="00295E8B">
              <w:t xml:space="preserve"> 2016</w:t>
            </w:r>
          </w:p>
        </w:tc>
        <w:tc>
          <w:tcPr>
            <w:tcW w:w="1922" w:type="dxa"/>
            <w:vAlign w:val="center"/>
          </w:tcPr>
          <w:p w14:paraId="0F9337A6" w14:textId="3F2D776C" w:rsidR="00295E8B" w:rsidRPr="005D0BC8" w:rsidRDefault="00295E8B" w:rsidP="0023358A">
            <w:pPr>
              <w:spacing w:after="0"/>
            </w:pPr>
            <w:r w:rsidRPr="005D0BC8">
              <w:t xml:space="preserve">Certification of the </w:t>
            </w:r>
            <w:r>
              <w:t xml:space="preserve">2015-16 </w:t>
            </w:r>
            <w:r w:rsidRPr="005D0BC8">
              <w:t>CRIS</w:t>
            </w:r>
            <w:r w:rsidR="0023358A">
              <w:t>—</w:t>
            </w:r>
            <w:r w:rsidR="00076712">
              <w:t>Version 2.0</w:t>
            </w:r>
          </w:p>
        </w:tc>
        <w:tc>
          <w:tcPr>
            <w:tcW w:w="1952" w:type="dxa"/>
            <w:vAlign w:val="center"/>
          </w:tcPr>
          <w:p w14:paraId="1DCA9ED1" w14:textId="4E4B2DD2" w:rsidR="00295E8B" w:rsidRPr="005D0BC8" w:rsidRDefault="00295E8B" w:rsidP="0023358A">
            <w:pPr>
              <w:spacing w:after="0"/>
            </w:pPr>
            <w:r w:rsidRPr="005D0BC8">
              <w:t xml:space="preserve">ACMA </w:t>
            </w:r>
            <w:r>
              <w:t>A</w:t>
            </w:r>
            <w:r w:rsidR="0023358A">
              <w:t>cting</w:t>
            </w:r>
            <w:r>
              <w:t xml:space="preserve"> </w:t>
            </w:r>
            <w:r w:rsidRPr="005D0BC8">
              <w:t>C</w:t>
            </w:r>
            <w:r w:rsidR="00F65B5E">
              <w:t>hair</w:t>
            </w:r>
          </w:p>
        </w:tc>
        <w:tc>
          <w:tcPr>
            <w:tcW w:w="1917" w:type="dxa"/>
            <w:vAlign w:val="center"/>
          </w:tcPr>
          <w:p w14:paraId="013B84A8" w14:textId="77777777" w:rsidR="00295E8B" w:rsidRDefault="00295E8B" w:rsidP="00295E8B">
            <w:pPr>
              <w:rPr>
                <w:b/>
                <w:i/>
              </w:rPr>
            </w:pPr>
          </w:p>
        </w:tc>
      </w:tr>
      <w:tr w:rsidR="00295E8B" w14:paraId="4DE3CC08" w14:textId="77777777" w:rsidTr="00681F59">
        <w:tc>
          <w:tcPr>
            <w:tcW w:w="1870" w:type="dxa"/>
            <w:vAlign w:val="center"/>
          </w:tcPr>
          <w:p w14:paraId="7B5150E5" w14:textId="77777777" w:rsidR="00295E8B" w:rsidRDefault="00295E8B" w:rsidP="00295E8B">
            <w:pPr>
              <w:spacing w:after="0"/>
            </w:pPr>
            <w:r>
              <w:t>24 June 2015</w:t>
            </w:r>
          </w:p>
        </w:tc>
        <w:tc>
          <w:tcPr>
            <w:tcW w:w="1922" w:type="dxa"/>
            <w:vAlign w:val="center"/>
          </w:tcPr>
          <w:p w14:paraId="79996C68" w14:textId="19AB2D44" w:rsidR="00295E8B" w:rsidRPr="005D0BC8" w:rsidRDefault="00295E8B" w:rsidP="0023358A">
            <w:pPr>
              <w:spacing w:after="0"/>
            </w:pPr>
            <w:r w:rsidRPr="005D0BC8">
              <w:t>A</w:t>
            </w:r>
            <w:r>
              <w:t>pproval</w:t>
            </w:r>
            <w:r w:rsidRPr="005D0BC8">
              <w:t xml:space="preserve"> o</w:t>
            </w:r>
            <w:r>
              <w:t>f</w:t>
            </w:r>
            <w:r w:rsidRPr="005D0BC8">
              <w:t xml:space="preserve"> the </w:t>
            </w:r>
            <w:r>
              <w:t xml:space="preserve">2014-15 </w:t>
            </w:r>
            <w:r w:rsidRPr="005D0BC8">
              <w:t>CRIS</w:t>
            </w:r>
            <w:r w:rsidR="0023358A">
              <w:t>—</w:t>
            </w:r>
            <w:r w:rsidR="00076712">
              <w:t>Version 1.0</w:t>
            </w:r>
          </w:p>
        </w:tc>
        <w:tc>
          <w:tcPr>
            <w:tcW w:w="1952" w:type="dxa"/>
            <w:vAlign w:val="center"/>
          </w:tcPr>
          <w:p w14:paraId="0DE0BE81" w14:textId="77777777" w:rsidR="00295E8B" w:rsidRPr="005D0BC8" w:rsidRDefault="00295E8B" w:rsidP="00295E8B">
            <w:pPr>
              <w:spacing w:after="0"/>
            </w:pPr>
            <w:r w:rsidRPr="005D0BC8">
              <w:t>The Minister for Communications</w:t>
            </w:r>
          </w:p>
        </w:tc>
        <w:tc>
          <w:tcPr>
            <w:tcW w:w="1917" w:type="dxa"/>
            <w:vAlign w:val="center"/>
          </w:tcPr>
          <w:p w14:paraId="01F923EC" w14:textId="77777777" w:rsidR="00295E8B" w:rsidRDefault="00295E8B" w:rsidP="00295E8B">
            <w:pPr>
              <w:rPr>
                <w:b/>
                <w:i/>
              </w:rPr>
            </w:pPr>
          </w:p>
        </w:tc>
      </w:tr>
      <w:tr w:rsidR="008F7A47" w14:paraId="6BDB7979" w14:textId="77777777" w:rsidTr="00681F59">
        <w:tc>
          <w:tcPr>
            <w:tcW w:w="1870" w:type="dxa"/>
            <w:vAlign w:val="center"/>
          </w:tcPr>
          <w:p w14:paraId="37172AB2" w14:textId="77777777" w:rsidR="008F7A47" w:rsidRDefault="008F7A47" w:rsidP="008F7A47">
            <w:pPr>
              <w:spacing w:after="0"/>
              <w:rPr>
                <w:b/>
                <w:i/>
              </w:rPr>
            </w:pPr>
            <w:r>
              <w:t>29 May 2015</w:t>
            </w:r>
          </w:p>
        </w:tc>
        <w:tc>
          <w:tcPr>
            <w:tcW w:w="1922" w:type="dxa"/>
            <w:vAlign w:val="center"/>
          </w:tcPr>
          <w:p w14:paraId="0ECDCCB4" w14:textId="7770AA9D" w:rsidR="008F7A47" w:rsidRDefault="008F7A47" w:rsidP="0023358A">
            <w:pPr>
              <w:spacing w:after="0"/>
              <w:rPr>
                <w:b/>
                <w:i/>
              </w:rPr>
            </w:pPr>
            <w:r w:rsidRPr="005D0BC8">
              <w:t xml:space="preserve">Certification of the </w:t>
            </w:r>
            <w:r>
              <w:t xml:space="preserve">2014-15 </w:t>
            </w:r>
            <w:r w:rsidRPr="005D0BC8">
              <w:t>CRIS</w:t>
            </w:r>
            <w:r w:rsidR="0023358A">
              <w:t>—</w:t>
            </w:r>
            <w:r w:rsidR="00076712">
              <w:t>Version 1.0</w:t>
            </w:r>
          </w:p>
        </w:tc>
        <w:tc>
          <w:tcPr>
            <w:tcW w:w="1952" w:type="dxa"/>
            <w:vAlign w:val="center"/>
          </w:tcPr>
          <w:p w14:paraId="0832C74C" w14:textId="77777777" w:rsidR="008F7A47" w:rsidRDefault="008F7A47" w:rsidP="008F7A47">
            <w:pPr>
              <w:spacing w:after="0"/>
              <w:rPr>
                <w:b/>
                <w:i/>
              </w:rPr>
            </w:pPr>
            <w:r w:rsidRPr="005D0BC8">
              <w:t>ACMA C</w:t>
            </w:r>
            <w:r w:rsidR="00F65B5E">
              <w:t>hair</w:t>
            </w:r>
          </w:p>
        </w:tc>
        <w:tc>
          <w:tcPr>
            <w:tcW w:w="1917" w:type="dxa"/>
            <w:vAlign w:val="center"/>
          </w:tcPr>
          <w:p w14:paraId="1F14610A" w14:textId="77777777" w:rsidR="008F7A47" w:rsidRDefault="008F7A47" w:rsidP="008F7A47">
            <w:pPr>
              <w:rPr>
                <w:b/>
                <w:i/>
              </w:rPr>
            </w:pPr>
          </w:p>
        </w:tc>
      </w:tr>
    </w:tbl>
    <w:p w14:paraId="1029F345" w14:textId="77777777" w:rsidR="009E783D" w:rsidRPr="00242066" w:rsidRDefault="009E783D" w:rsidP="00E50A27">
      <w:pPr>
        <w:pStyle w:val="ACMASpaceaftertable"/>
      </w:pPr>
    </w:p>
    <w:p w14:paraId="3466555D" w14:textId="77777777" w:rsidR="009E783D" w:rsidRPr="00C320F6" w:rsidRDefault="009E783D" w:rsidP="009E783D">
      <w:pPr>
        <w:pStyle w:val="Heading1"/>
        <w:ind w:right="-142"/>
      </w:pPr>
      <w:bookmarkStart w:id="98" w:name="_Toc324345102"/>
      <w:bookmarkStart w:id="99" w:name="_Toc355090786"/>
      <w:bookmarkStart w:id="100" w:name="_Toc385256325"/>
      <w:bookmarkStart w:id="101" w:name="_Toc417990969"/>
      <w:bookmarkStart w:id="102" w:name="_Toc454268385"/>
      <w:r w:rsidRPr="00C320F6">
        <w:lastRenderedPageBreak/>
        <w:t>Glossary</w:t>
      </w:r>
      <w:bookmarkEnd w:id="98"/>
      <w:bookmarkEnd w:id="99"/>
      <w:bookmarkEnd w:id="100"/>
      <w:bookmarkEnd w:id="101"/>
      <w:bookmarkEnd w:id="102"/>
    </w:p>
    <w:p w14:paraId="54E5AC92" w14:textId="221870BD" w:rsidR="009E783D" w:rsidRPr="00C320F6" w:rsidRDefault="009E783D" w:rsidP="00295E8B">
      <w:pPr>
        <w:pStyle w:val="ACMABodyText"/>
        <w:tabs>
          <w:tab w:val="left" w:pos="1843"/>
        </w:tabs>
        <w:spacing w:after="80"/>
        <w:ind w:right="-142"/>
        <w:rPr>
          <w:rFonts w:cs="Arial"/>
          <w:sz w:val="20"/>
          <w:szCs w:val="20"/>
        </w:rPr>
      </w:pPr>
      <w:r w:rsidRPr="00C320F6">
        <w:rPr>
          <w:rFonts w:cs="Arial"/>
          <w:sz w:val="20"/>
          <w:szCs w:val="20"/>
        </w:rPr>
        <w:t>ABC</w:t>
      </w:r>
      <w:r w:rsidRPr="00C320F6">
        <w:rPr>
          <w:rFonts w:cs="Arial"/>
          <w:sz w:val="20"/>
          <w:szCs w:val="20"/>
        </w:rPr>
        <w:tab/>
        <w:t>Activity Based Costing</w:t>
      </w:r>
    </w:p>
    <w:p w14:paraId="0A1A4A70" w14:textId="77777777" w:rsidR="009E783D" w:rsidRPr="00C320F6" w:rsidRDefault="009E783D" w:rsidP="00295E8B">
      <w:pPr>
        <w:pStyle w:val="ACMABodyText"/>
        <w:tabs>
          <w:tab w:val="left" w:pos="1843"/>
        </w:tabs>
        <w:spacing w:after="80"/>
        <w:ind w:right="-142"/>
        <w:rPr>
          <w:rFonts w:cs="Arial"/>
          <w:sz w:val="20"/>
          <w:szCs w:val="20"/>
        </w:rPr>
      </w:pPr>
      <w:r w:rsidRPr="00C320F6">
        <w:rPr>
          <w:rFonts w:cs="Arial"/>
          <w:sz w:val="20"/>
          <w:szCs w:val="20"/>
        </w:rPr>
        <w:t>ACCC</w:t>
      </w:r>
      <w:r w:rsidRPr="00C320F6">
        <w:rPr>
          <w:rFonts w:cs="Arial"/>
          <w:sz w:val="20"/>
          <w:szCs w:val="20"/>
        </w:rPr>
        <w:tab/>
        <w:t>Australian Competition and Consumer Commission</w:t>
      </w:r>
    </w:p>
    <w:p w14:paraId="2DA665A8" w14:textId="77777777" w:rsidR="009E783D" w:rsidRPr="00C320F6" w:rsidRDefault="009E783D" w:rsidP="00295E8B">
      <w:pPr>
        <w:pStyle w:val="ACMABodyText"/>
        <w:tabs>
          <w:tab w:val="left" w:pos="1843"/>
        </w:tabs>
        <w:spacing w:after="80"/>
        <w:ind w:right="-142"/>
        <w:rPr>
          <w:rFonts w:cs="Arial"/>
          <w:sz w:val="20"/>
          <w:szCs w:val="20"/>
        </w:rPr>
      </w:pPr>
      <w:r w:rsidRPr="00C320F6">
        <w:rPr>
          <w:rFonts w:cs="Arial"/>
          <w:sz w:val="20"/>
          <w:szCs w:val="20"/>
        </w:rPr>
        <w:t>ACCAN</w:t>
      </w:r>
      <w:r w:rsidRPr="00C320F6">
        <w:rPr>
          <w:rFonts w:cs="Arial"/>
          <w:sz w:val="20"/>
          <w:szCs w:val="20"/>
        </w:rPr>
        <w:tab/>
        <w:t>Australian Communications Consumer Action Network</w:t>
      </w:r>
    </w:p>
    <w:p w14:paraId="6396B5FF" w14:textId="77777777" w:rsidR="009E783D" w:rsidRPr="00C320F6" w:rsidRDefault="009E783D" w:rsidP="00295E8B">
      <w:pPr>
        <w:pStyle w:val="ACMABodyText"/>
        <w:tabs>
          <w:tab w:val="left" w:pos="1843"/>
        </w:tabs>
        <w:spacing w:after="80"/>
        <w:ind w:right="-142"/>
        <w:rPr>
          <w:rFonts w:cs="Arial"/>
          <w:sz w:val="20"/>
          <w:szCs w:val="20"/>
        </w:rPr>
      </w:pPr>
      <w:r w:rsidRPr="00C320F6">
        <w:rPr>
          <w:rFonts w:cs="Arial"/>
          <w:sz w:val="20"/>
          <w:szCs w:val="20"/>
        </w:rPr>
        <w:t>ACLC</w:t>
      </w:r>
      <w:r w:rsidRPr="00C320F6">
        <w:rPr>
          <w:rFonts w:cs="Arial"/>
          <w:sz w:val="20"/>
          <w:szCs w:val="20"/>
        </w:rPr>
        <w:tab/>
        <w:t>Annual Carrier Licence Charge</w:t>
      </w:r>
    </w:p>
    <w:p w14:paraId="27D0DAEB" w14:textId="77777777" w:rsidR="009E783D" w:rsidRPr="00C320F6" w:rsidRDefault="009E783D" w:rsidP="00295E8B">
      <w:pPr>
        <w:pStyle w:val="ACMABodyText"/>
        <w:tabs>
          <w:tab w:val="left" w:pos="1843"/>
        </w:tabs>
        <w:spacing w:after="80"/>
        <w:ind w:right="-142"/>
        <w:rPr>
          <w:rFonts w:cs="Arial"/>
          <w:sz w:val="20"/>
          <w:szCs w:val="20"/>
        </w:rPr>
      </w:pPr>
      <w:r w:rsidRPr="00C320F6">
        <w:rPr>
          <w:rFonts w:cs="Arial"/>
          <w:sz w:val="20"/>
          <w:szCs w:val="20"/>
        </w:rPr>
        <w:t xml:space="preserve">ACMA </w:t>
      </w:r>
      <w:r w:rsidRPr="00C320F6">
        <w:rPr>
          <w:rFonts w:cs="Arial"/>
          <w:sz w:val="20"/>
          <w:szCs w:val="20"/>
        </w:rPr>
        <w:tab/>
        <w:t>Australian Communications and Media Authority</w:t>
      </w:r>
    </w:p>
    <w:p w14:paraId="126B36B3" w14:textId="77777777" w:rsidR="009E783D" w:rsidRDefault="009E783D" w:rsidP="00295E8B">
      <w:pPr>
        <w:pStyle w:val="ACMABodyText"/>
        <w:tabs>
          <w:tab w:val="left" w:pos="1843"/>
        </w:tabs>
        <w:spacing w:after="80"/>
        <w:ind w:right="-142"/>
        <w:rPr>
          <w:rFonts w:cs="Arial"/>
          <w:sz w:val="20"/>
          <w:szCs w:val="20"/>
        </w:rPr>
      </w:pPr>
      <w:r w:rsidRPr="00C320F6">
        <w:rPr>
          <w:rFonts w:cs="Arial"/>
          <w:sz w:val="20"/>
          <w:szCs w:val="20"/>
        </w:rPr>
        <w:t>ACMA Act</w:t>
      </w:r>
      <w:r w:rsidRPr="00C320F6">
        <w:rPr>
          <w:rFonts w:cs="Arial"/>
          <w:sz w:val="20"/>
          <w:szCs w:val="20"/>
        </w:rPr>
        <w:tab/>
      </w:r>
      <w:r w:rsidRPr="00C320F6">
        <w:rPr>
          <w:rFonts w:cs="Arial"/>
          <w:i/>
          <w:sz w:val="20"/>
          <w:szCs w:val="20"/>
        </w:rPr>
        <w:t>Australian Communications and Media Authority Act 2005</w:t>
      </w:r>
    </w:p>
    <w:p w14:paraId="5DC12D23" w14:textId="443932DC" w:rsidR="00451B25" w:rsidRPr="00451B25" w:rsidRDefault="00451B25" w:rsidP="00295E8B">
      <w:pPr>
        <w:pStyle w:val="ACMABodyText"/>
        <w:tabs>
          <w:tab w:val="left" w:pos="1843"/>
        </w:tabs>
        <w:spacing w:after="80"/>
        <w:ind w:right="-142"/>
        <w:rPr>
          <w:rFonts w:cs="Arial"/>
          <w:sz w:val="20"/>
          <w:szCs w:val="20"/>
        </w:rPr>
      </w:pPr>
      <w:r>
        <w:rPr>
          <w:rFonts w:cs="Arial"/>
          <w:sz w:val="20"/>
          <w:szCs w:val="20"/>
        </w:rPr>
        <w:t>CA</w:t>
      </w:r>
      <w:r>
        <w:rPr>
          <w:rFonts w:cs="Arial"/>
          <w:sz w:val="20"/>
          <w:szCs w:val="20"/>
        </w:rPr>
        <w:tab/>
      </w:r>
      <w:r w:rsidRPr="00451B25">
        <w:rPr>
          <w:sz w:val="20"/>
        </w:rPr>
        <w:t>Communications Alliance Ltd.</w:t>
      </w:r>
    </w:p>
    <w:p w14:paraId="361E35E3" w14:textId="77777777" w:rsidR="009E783D" w:rsidRPr="00C320F6" w:rsidRDefault="009E783D" w:rsidP="00295E8B">
      <w:pPr>
        <w:pStyle w:val="ACMABodyText"/>
        <w:tabs>
          <w:tab w:val="left" w:pos="1843"/>
        </w:tabs>
        <w:spacing w:after="80"/>
        <w:ind w:right="-142"/>
        <w:rPr>
          <w:rFonts w:cs="Arial"/>
          <w:sz w:val="20"/>
          <w:szCs w:val="20"/>
        </w:rPr>
      </w:pPr>
      <w:r>
        <w:rPr>
          <w:rFonts w:cs="Arial"/>
          <w:sz w:val="20"/>
          <w:szCs w:val="20"/>
        </w:rPr>
        <w:t>CRIS</w:t>
      </w:r>
      <w:r>
        <w:rPr>
          <w:rFonts w:cs="Arial"/>
          <w:sz w:val="20"/>
          <w:szCs w:val="20"/>
        </w:rPr>
        <w:tab/>
        <w:t>Cost Recovery Implementation</w:t>
      </w:r>
      <w:r w:rsidRPr="00C320F6">
        <w:rPr>
          <w:rFonts w:cs="Arial"/>
          <w:sz w:val="20"/>
          <w:szCs w:val="20"/>
        </w:rPr>
        <w:t xml:space="preserve"> Statement</w:t>
      </w:r>
    </w:p>
    <w:p w14:paraId="458169CB" w14:textId="77777777" w:rsidR="009E783D" w:rsidRDefault="009E783D" w:rsidP="00295E8B">
      <w:pPr>
        <w:pStyle w:val="ACMABodyText"/>
        <w:tabs>
          <w:tab w:val="left" w:pos="1843"/>
        </w:tabs>
        <w:spacing w:after="80"/>
        <w:ind w:left="1843" w:right="-142" w:hanging="1843"/>
        <w:rPr>
          <w:rFonts w:cs="Arial"/>
          <w:sz w:val="20"/>
          <w:szCs w:val="20"/>
        </w:rPr>
      </w:pPr>
      <w:r w:rsidRPr="00C320F6">
        <w:rPr>
          <w:rFonts w:cs="Arial"/>
          <w:sz w:val="20"/>
          <w:szCs w:val="20"/>
        </w:rPr>
        <w:t>Direction</w:t>
      </w:r>
      <w:r>
        <w:rPr>
          <w:rFonts w:cs="Arial"/>
          <w:sz w:val="20"/>
          <w:szCs w:val="20"/>
        </w:rPr>
        <w:t xml:space="preserve"> 2013</w:t>
      </w:r>
      <w:r w:rsidRPr="00C320F6">
        <w:rPr>
          <w:rFonts w:cs="Arial"/>
          <w:sz w:val="20"/>
          <w:szCs w:val="20"/>
        </w:rPr>
        <w:tab/>
      </w:r>
      <w:r w:rsidRPr="007336F4">
        <w:rPr>
          <w:rFonts w:cs="Arial"/>
          <w:sz w:val="20"/>
          <w:szCs w:val="22"/>
        </w:rPr>
        <w:t>Australian Communications and Media Authority (Annual Carrie</w:t>
      </w:r>
      <w:r>
        <w:rPr>
          <w:rFonts w:cs="Arial"/>
          <w:sz w:val="20"/>
          <w:szCs w:val="22"/>
        </w:rPr>
        <w:t>r Licence Charge) Direction 2013</w:t>
      </w:r>
    </w:p>
    <w:p w14:paraId="10C4692A" w14:textId="77777777" w:rsidR="009E783D" w:rsidRDefault="009E783D" w:rsidP="00295E8B">
      <w:pPr>
        <w:pStyle w:val="ACMABodyText"/>
        <w:tabs>
          <w:tab w:val="left" w:pos="1843"/>
        </w:tabs>
        <w:spacing w:after="80"/>
        <w:ind w:right="-142"/>
        <w:rPr>
          <w:rFonts w:cs="Arial"/>
          <w:sz w:val="20"/>
          <w:szCs w:val="20"/>
        </w:rPr>
      </w:pPr>
      <w:r>
        <w:rPr>
          <w:rFonts w:cs="Arial"/>
          <w:sz w:val="20"/>
          <w:szCs w:val="20"/>
        </w:rPr>
        <w:t>DoC</w:t>
      </w:r>
      <w:r w:rsidR="000849B6">
        <w:rPr>
          <w:rFonts w:cs="Arial"/>
          <w:sz w:val="20"/>
          <w:szCs w:val="20"/>
        </w:rPr>
        <w:t>A</w:t>
      </w:r>
      <w:r>
        <w:rPr>
          <w:rFonts w:cs="Arial"/>
          <w:sz w:val="20"/>
          <w:szCs w:val="20"/>
        </w:rPr>
        <w:tab/>
        <w:t xml:space="preserve">Department of Communications </w:t>
      </w:r>
      <w:r w:rsidR="000849B6">
        <w:rPr>
          <w:rFonts w:cs="Arial"/>
          <w:sz w:val="20"/>
          <w:szCs w:val="20"/>
        </w:rPr>
        <w:t>and the Arts</w:t>
      </w:r>
    </w:p>
    <w:p w14:paraId="5A03309F" w14:textId="77777777" w:rsidR="009E783D" w:rsidRPr="00C320F6" w:rsidRDefault="009E783D" w:rsidP="00295E8B">
      <w:pPr>
        <w:pStyle w:val="ACMABodyText"/>
        <w:tabs>
          <w:tab w:val="left" w:pos="1843"/>
        </w:tabs>
        <w:spacing w:after="80"/>
        <w:ind w:right="-142"/>
        <w:rPr>
          <w:rFonts w:cs="Arial"/>
          <w:sz w:val="20"/>
          <w:szCs w:val="20"/>
        </w:rPr>
      </w:pPr>
      <w:r w:rsidRPr="00C320F6">
        <w:rPr>
          <w:rFonts w:cs="Arial"/>
          <w:sz w:val="20"/>
          <w:szCs w:val="20"/>
        </w:rPr>
        <w:t>ER</w:t>
      </w:r>
      <w:r w:rsidRPr="00C320F6">
        <w:rPr>
          <w:rFonts w:cs="Arial"/>
          <w:sz w:val="20"/>
          <w:szCs w:val="20"/>
        </w:rPr>
        <w:tab/>
        <w:t xml:space="preserve">eligible revenue </w:t>
      </w:r>
    </w:p>
    <w:p w14:paraId="40408CAD" w14:textId="77777777" w:rsidR="009E783D" w:rsidRDefault="009E783D" w:rsidP="00295E8B">
      <w:pPr>
        <w:pStyle w:val="ACMABodyText"/>
        <w:tabs>
          <w:tab w:val="left" w:pos="1843"/>
        </w:tabs>
        <w:spacing w:after="80"/>
        <w:ind w:right="-142"/>
        <w:rPr>
          <w:rFonts w:cs="Arial"/>
          <w:sz w:val="20"/>
          <w:szCs w:val="20"/>
        </w:rPr>
      </w:pPr>
      <w:r w:rsidRPr="00C320F6">
        <w:rPr>
          <w:rFonts w:cs="Arial"/>
          <w:sz w:val="20"/>
          <w:szCs w:val="20"/>
        </w:rPr>
        <w:t>Guidelines</w:t>
      </w:r>
      <w:r w:rsidRPr="00C320F6">
        <w:rPr>
          <w:rFonts w:cs="Arial"/>
          <w:sz w:val="20"/>
          <w:szCs w:val="20"/>
        </w:rPr>
        <w:tab/>
        <w:t>Australian Government Co</w:t>
      </w:r>
      <w:r>
        <w:rPr>
          <w:rFonts w:cs="Arial"/>
          <w:sz w:val="20"/>
          <w:szCs w:val="20"/>
        </w:rPr>
        <w:t>st Recovery Guidelines July 2014</w:t>
      </w:r>
    </w:p>
    <w:p w14:paraId="0761B127" w14:textId="71F2E7F5" w:rsidR="0071508A" w:rsidRDefault="0071508A" w:rsidP="00295E8B">
      <w:pPr>
        <w:pStyle w:val="ACMABodyText"/>
        <w:tabs>
          <w:tab w:val="left" w:pos="1843"/>
        </w:tabs>
        <w:spacing w:after="80"/>
        <w:ind w:right="-142"/>
        <w:rPr>
          <w:rFonts w:cs="Arial"/>
          <w:sz w:val="20"/>
          <w:szCs w:val="20"/>
        </w:rPr>
      </w:pPr>
      <w:r w:rsidRPr="0071508A">
        <w:rPr>
          <w:rFonts w:cs="Arial"/>
          <w:sz w:val="20"/>
          <w:szCs w:val="20"/>
        </w:rPr>
        <w:t>HFC</w:t>
      </w:r>
      <w:r w:rsidRPr="0071508A">
        <w:rPr>
          <w:rFonts w:cs="Arial"/>
          <w:sz w:val="20"/>
          <w:szCs w:val="20"/>
        </w:rPr>
        <w:tab/>
        <w:t xml:space="preserve">Hybrid </w:t>
      </w:r>
      <w:r w:rsidR="0023358A">
        <w:rPr>
          <w:rFonts w:cs="Arial"/>
          <w:sz w:val="20"/>
          <w:szCs w:val="20"/>
        </w:rPr>
        <w:t>f</w:t>
      </w:r>
      <w:r w:rsidRPr="0071508A">
        <w:rPr>
          <w:rFonts w:cs="Arial"/>
          <w:sz w:val="20"/>
          <w:szCs w:val="20"/>
        </w:rPr>
        <w:t>iber-</w:t>
      </w:r>
      <w:r w:rsidR="0023358A">
        <w:rPr>
          <w:rFonts w:cs="Arial"/>
          <w:sz w:val="20"/>
          <w:szCs w:val="20"/>
        </w:rPr>
        <w:t>c</w:t>
      </w:r>
      <w:r w:rsidRPr="0071508A">
        <w:rPr>
          <w:rFonts w:cs="Arial"/>
          <w:sz w:val="20"/>
          <w:szCs w:val="20"/>
        </w:rPr>
        <w:t>oaxial</w:t>
      </w:r>
    </w:p>
    <w:p w14:paraId="49D5D2A6" w14:textId="0EB99685" w:rsidR="009E783D" w:rsidRPr="00C320F6" w:rsidRDefault="009E783D" w:rsidP="00295E8B">
      <w:pPr>
        <w:pStyle w:val="ACMABodyText"/>
        <w:tabs>
          <w:tab w:val="left" w:pos="1843"/>
        </w:tabs>
        <w:spacing w:after="80"/>
        <w:ind w:right="-142"/>
        <w:rPr>
          <w:rFonts w:cs="Arial"/>
          <w:sz w:val="20"/>
          <w:szCs w:val="20"/>
        </w:rPr>
      </w:pPr>
      <w:r>
        <w:rPr>
          <w:rFonts w:cs="Arial"/>
          <w:sz w:val="20"/>
          <w:szCs w:val="20"/>
        </w:rPr>
        <w:t>IT</w:t>
      </w:r>
      <w:r>
        <w:rPr>
          <w:rFonts w:cs="Arial"/>
          <w:sz w:val="20"/>
          <w:szCs w:val="20"/>
        </w:rPr>
        <w:tab/>
        <w:t xml:space="preserve">Information </w:t>
      </w:r>
      <w:r w:rsidR="0023358A">
        <w:rPr>
          <w:rFonts w:cs="Arial"/>
          <w:sz w:val="20"/>
          <w:szCs w:val="20"/>
        </w:rPr>
        <w:t>t</w:t>
      </w:r>
      <w:r>
        <w:rPr>
          <w:rFonts w:cs="Arial"/>
          <w:sz w:val="20"/>
          <w:szCs w:val="20"/>
        </w:rPr>
        <w:t>echnology</w:t>
      </w:r>
    </w:p>
    <w:p w14:paraId="2AFF0DF6" w14:textId="77777777" w:rsidR="009E783D" w:rsidRPr="00C320F6" w:rsidRDefault="009E783D" w:rsidP="00295E8B">
      <w:pPr>
        <w:pStyle w:val="ACMABodyText"/>
        <w:tabs>
          <w:tab w:val="left" w:pos="1843"/>
        </w:tabs>
        <w:spacing w:after="80"/>
        <w:ind w:right="-142"/>
        <w:rPr>
          <w:rFonts w:cs="Arial"/>
          <w:sz w:val="20"/>
          <w:szCs w:val="20"/>
        </w:rPr>
      </w:pPr>
      <w:r w:rsidRPr="00C320F6">
        <w:rPr>
          <w:rFonts w:cs="Arial"/>
          <w:sz w:val="20"/>
          <w:szCs w:val="20"/>
        </w:rPr>
        <w:t>ITU</w:t>
      </w:r>
      <w:r w:rsidRPr="00C320F6">
        <w:rPr>
          <w:rFonts w:cs="Arial"/>
          <w:sz w:val="20"/>
          <w:szCs w:val="20"/>
        </w:rPr>
        <w:tab/>
        <w:t>International Telecommunication Union</w:t>
      </w:r>
    </w:p>
    <w:p w14:paraId="15C7602D" w14:textId="77777777" w:rsidR="0071508A" w:rsidRPr="0071508A" w:rsidRDefault="0071508A" w:rsidP="00295E8B">
      <w:pPr>
        <w:pStyle w:val="ACMABodyText"/>
        <w:tabs>
          <w:tab w:val="left" w:pos="1843"/>
        </w:tabs>
        <w:spacing w:after="80"/>
        <w:ind w:right="-142"/>
        <w:rPr>
          <w:rFonts w:cs="Arial"/>
          <w:sz w:val="20"/>
          <w:szCs w:val="20"/>
        </w:rPr>
      </w:pPr>
      <w:r w:rsidRPr="0071508A">
        <w:rPr>
          <w:rFonts w:cs="Arial"/>
          <w:sz w:val="20"/>
          <w:szCs w:val="20"/>
        </w:rPr>
        <w:t>ITU-D</w:t>
      </w:r>
      <w:r w:rsidRPr="0071508A">
        <w:rPr>
          <w:rFonts w:cs="Arial"/>
          <w:sz w:val="20"/>
          <w:szCs w:val="20"/>
        </w:rPr>
        <w:tab/>
        <w:t>International Telecommunication Union – Development Sector</w:t>
      </w:r>
    </w:p>
    <w:p w14:paraId="1CC14E9B" w14:textId="77777777" w:rsidR="0071508A" w:rsidRPr="0071508A" w:rsidRDefault="0071508A" w:rsidP="00295E8B">
      <w:pPr>
        <w:pStyle w:val="ACMABodyText"/>
        <w:tabs>
          <w:tab w:val="left" w:pos="1843"/>
        </w:tabs>
        <w:spacing w:after="80"/>
        <w:ind w:left="1843" w:right="-142" w:hanging="1843"/>
        <w:rPr>
          <w:rFonts w:cs="Arial"/>
          <w:sz w:val="20"/>
          <w:szCs w:val="20"/>
        </w:rPr>
      </w:pPr>
      <w:r w:rsidRPr="0071508A">
        <w:rPr>
          <w:rFonts w:cs="Arial"/>
          <w:sz w:val="20"/>
          <w:szCs w:val="20"/>
        </w:rPr>
        <w:t>ITU-R</w:t>
      </w:r>
      <w:r w:rsidRPr="0071508A">
        <w:rPr>
          <w:rFonts w:cs="Arial"/>
          <w:sz w:val="20"/>
          <w:szCs w:val="20"/>
        </w:rPr>
        <w:tab/>
        <w:t>International Telecommunication Union – Radiocommunication Sector</w:t>
      </w:r>
    </w:p>
    <w:p w14:paraId="3EF142E3" w14:textId="00D0312E" w:rsidR="0071508A" w:rsidRDefault="0071508A" w:rsidP="00295E8B">
      <w:pPr>
        <w:pStyle w:val="ACMABodyText"/>
        <w:tabs>
          <w:tab w:val="left" w:pos="1843"/>
        </w:tabs>
        <w:spacing w:after="80"/>
        <w:ind w:left="1843" w:right="-142" w:hanging="1843"/>
        <w:rPr>
          <w:rFonts w:cs="Arial"/>
          <w:sz w:val="20"/>
          <w:szCs w:val="20"/>
        </w:rPr>
      </w:pPr>
      <w:r w:rsidRPr="0071508A">
        <w:rPr>
          <w:rFonts w:cs="Arial"/>
          <w:sz w:val="20"/>
          <w:szCs w:val="20"/>
        </w:rPr>
        <w:t>ITU-T</w:t>
      </w:r>
      <w:r w:rsidRPr="0071508A">
        <w:rPr>
          <w:rFonts w:cs="Arial"/>
          <w:sz w:val="20"/>
          <w:szCs w:val="20"/>
        </w:rPr>
        <w:tab/>
        <w:t>International Telecommunication Union – Telecommunication Standardi</w:t>
      </w:r>
      <w:r w:rsidR="0023358A">
        <w:rPr>
          <w:rFonts w:cs="Arial"/>
          <w:sz w:val="20"/>
          <w:szCs w:val="20"/>
        </w:rPr>
        <w:t>z</w:t>
      </w:r>
      <w:r w:rsidRPr="0071508A">
        <w:rPr>
          <w:rFonts w:cs="Arial"/>
          <w:sz w:val="20"/>
          <w:szCs w:val="20"/>
        </w:rPr>
        <w:t>ation Sector</w:t>
      </w:r>
    </w:p>
    <w:p w14:paraId="489FC93E" w14:textId="77777777" w:rsidR="009E783D" w:rsidRPr="00C320F6" w:rsidRDefault="009E783D" w:rsidP="00295E8B">
      <w:pPr>
        <w:pStyle w:val="ACMABodyText"/>
        <w:tabs>
          <w:tab w:val="left" w:pos="1843"/>
        </w:tabs>
        <w:spacing w:after="80"/>
        <w:ind w:right="-142"/>
        <w:rPr>
          <w:rFonts w:cs="Arial"/>
          <w:sz w:val="20"/>
          <w:szCs w:val="20"/>
        </w:rPr>
      </w:pPr>
      <w:r w:rsidRPr="00C320F6">
        <w:rPr>
          <w:rFonts w:cs="Arial"/>
          <w:sz w:val="20"/>
          <w:szCs w:val="20"/>
        </w:rPr>
        <w:t>MCA</w:t>
      </w:r>
      <w:r w:rsidRPr="00C320F6">
        <w:rPr>
          <w:rFonts w:cs="Arial"/>
          <w:sz w:val="20"/>
          <w:szCs w:val="20"/>
        </w:rPr>
        <w:tab/>
        <w:t>maximum charge amount</w:t>
      </w:r>
    </w:p>
    <w:p w14:paraId="34F83401" w14:textId="77777777" w:rsidR="009E783D" w:rsidRPr="00C320F6" w:rsidRDefault="009E783D" w:rsidP="00295E8B">
      <w:pPr>
        <w:pStyle w:val="ACMABodyText"/>
        <w:tabs>
          <w:tab w:val="left" w:pos="1843"/>
        </w:tabs>
        <w:spacing w:after="80"/>
        <w:ind w:right="-142"/>
        <w:rPr>
          <w:rFonts w:cs="Arial"/>
          <w:sz w:val="20"/>
          <w:szCs w:val="20"/>
        </w:rPr>
      </w:pPr>
      <w:r w:rsidRPr="00C320F6">
        <w:rPr>
          <w:rFonts w:cs="Arial"/>
          <w:sz w:val="20"/>
          <w:szCs w:val="20"/>
        </w:rPr>
        <w:t>NBN</w:t>
      </w:r>
      <w:r w:rsidRPr="00C320F6">
        <w:rPr>
          <w:rFonts w:cs="Arial"/>
          <w:sz w:val="20"/>
          <w:szCs w:val="20"/>
        </w:rPr>
        <w:tab/>
        <w:t>National Broadband Network</w:t>
      </w:r>
    </w:p>
    <w:p w14:paraId="30EFD418" w14:textId="77777777" w:rsidR="0071508A" w:rsidRDefault="0071508A" w:rsidP="00295E8B">
      <w:pPr>
        <w:pStyle w:val="ACMABodyText"/>
        <w:tabs>
          <w:tab w:val="left" w:pos="1843"/>
        </w:tabs>
        <w:spacing w:after="80"/>
        <w:ind w:right="-142"/>
        <w:rPr>
          <w:rFonts w:cs="Arial"/>
          <w:sz w:val="20"/>
          <w:szCs w:val="20"/>
        </w:rPr>
      </w:pPr>
      <w:r w:rsidRPr="0071508A">
        <w:rPr>
          <w:rFonts w:cs="Arial"/>
          <w:sz w:val="20"/>
          <w:szCs w:val="20"/>
        </w:rPr>
        <w:t>NBN Co</w:t>
      </w:r>
      <w:r w:rsidRPr="0071508A">
        <w:rPr>
          <w:rFonts w:cs="Arial"/>
          <w:sz w:val="20"/>
          <w:szCs w:val="20"/>
        </w:rPr>
        <w:tab/>
        <w:t>NBN Co Limited</w:t>
      </w:r>
    </w:p>
    <w:p w14:paraId="7BA86C5D" w14:textId="77777777" w:rsidR="009E783D" w:rsidRDefault="009E783D" w:rsidP="00295E8B">
      <w:pPr>
        <w:pStyle w:val="ACMABodyText"/>
        <w:tabs>
          <w:tab w:val="left" w:pos="1843"/>
        </w:tabs>
        <w:spacing w:after="80"/>
        <w:ind w:right="-142"/>
        <w:rPr>
          <w:rFonts w:cs="Arial"/>
          <w:sz w:val="20"/>
          <w:szCs w:val="20"/>
        </w:rPr>
      </w:pPr>
      <w:r w:rsidRPr="00C320F6">
        <w:rPr>
          <w:rFonts w:cs="Arial"/>
          <w:sz w:val="20"/>
          <w:szCs w:val="20"/>
        </w:rPr>
        <w:t>OTC</w:t>
      </w:r>
      <w:r w:rsidRPr="00C320F6">
        <w:rPr>
          <w:rFonts w:cs="Arial"/>
          <w:sz w:val="20"/>
          <w:szCs w:val="20"/>
        </w:rPr>
        <w:tab/>
        <w:t>other telecommunications charges</w:t>
      </w:r>
    </w:p>
    <w:p w14:paraId="07522F37" w14:textId="77777777" w:rsidR="0071508A" w:rsidRDefault="0071508A" w:rsidP="00295E8B">
      <w:pPr>
        <w:pStyle w:val="ACMABodyText"/>
        <w:tabs>
          <w:tab w:val="left" w:pos="1843"/>
        </w:tabs>
        <w:spacing w:after="80"/>
        <w:ind w:right="-142"/>
        <w:rPr>
          <w:rFonts w:eastAsia="SimSun" w:cs="Arial"/>
          <w:sz w:val="20"/>
        </w:rPr>
      </w:pPr>
      <w:r w:rsidRPr="0071508A">
        <w:rPr>
          <w:rFonts w:eastAsia="SimSun" w:cs="Arial"/>
          <w:sz w:val="20"/>
        </w:rPr>
        <w:t>POI</w:t>
      </w:r>
      <w:r w:rsidRPr="0071508A">
        <w:rPr>
          <w:rFonts w:eastAsia="SimSun" w:cs="Arial"/>
          <w:sz w:val="20"/>
        </w:rPr>
        <w:tab/>
        <w:t>Point of Interconnection</w:t>
      </w:r>
    </w:p>
    <w:p w14:paraId="76E9F52B" w14:textId="77777777" w:rsidR="009E783D" w:rsidRDefault="009E783D" w:rsidP="00295E8B">
      <w:pPr>
        <w:pStyle w:val="ACMABodyText"/>
        <w:tabs>
          <w:tab w:val="left" w:pos="1843"/>
        </w:tabs>
        <w:spacing w:after="80"/>
        <w:ind w:right="-142"/>
        <w:rPr>
          <w:rFonts w:eastAsia="SimSun" w:cs="Arial"/>
          <w:sz w:val="20"/>
        </w:rPr>
      </w:pPr>
      <w:r w:rsidRPr="000149E1">
        <w:rPr>
          <w:rFonts w:eastAsia="SimSun" w:cs="Arial"/>
          <w:sz w:val="20"/>
        </w:rPr>
        <w:t>SAU</w:t>
      </w:r>
      <w:r w:rsidRPr="000149E1">
        <w:rPr>
          <w:rFonts w:eastAsia="SimSun" w:cs="Arial"/>
          <w:sz w:val="20"/>
        </w:rPr>
        <w:tab/>
        <w:t>special access undertaking</w:t>
      </w:r>
    </w:p>
    <w:p w14:paraId="086F6890" w14:textId="77777777" w:rsidR="009E783D" w:rsidRPr="000149E1" w:rsidRDefault="009E783D" w:rsidP="00295E8B">
      <w:pPr>
        <w:pStyle w:val="ACMABodyText"/>
        <w:tabs>
          <w:tab w:val="left" w:pos="1843"/>
        </w:tabs>
        <w:spacing w:after="80"/>
        <w:ind w:right="-142"/>
        <w:rPr>
          <w:rFonts w:cs="Arial"/>
          <w:sz w:val="20"/>
          <w:szCs w:val="20"/>
        </w:rPr>
      </w:pPr>
      <w:r w:rsidRPr="000149E1">
        <w:rPr>
          <w:rFonts w:eastAsia="SimSun" w:cs="Arial"/>
          <w:sz w:val="20"/>
          <w:szCs w:val="20"/>
        </w:rPr>
        <w:t>SSU</w:t>
      </w:r>
      <w:r w:rsidRPr="000149E1">
        <w:rPr>
          <w:rFonts w:eastAsia="SimSun" w:cs="Arial"/>
          <w:sz w:val="20"/>
          <w:szCs w:val="20"/>
        </w:rPr>
        <w:tab/>
      </w:r>
      <w:r w:rsidRPr="000149E1">
        <w:rPr>
          <w:rFonts w:cs="Arial"/>
          <w:iCs/>
          <w:sz w:val="20"/>
          <w:szCs w:val="20"/>
        </w:rPr>
        <w:t>structural separation undertaking</w:t>
      </w:r>
    </w:p>
    <w:p w14:paraId="350B0C31" w14:textId="77777777" w:rsidR="009E783D" w:rsidRPr="00C320F6" w:rsidRDefault="009E783D" w:rsidP="00295E8B">
      <w:pPr>
        <w:pStyle w:val="ACMABodyText"/>
        <w:tabs>
          <w:tab w:val="left" w:pos="1843"/>
        </w:tabs>
        <w:spacing w:after="80"/>
        <w:ind w:right="-142"/>
        <w:rPr>
          <w:rFonts w:cs="Arial"/>
          <w:sz w:val="20"/>
          <w:szCs w:val="20"/>
        </w:rPr>
      </w:pPr>
      <w:r w:rsidRPr="00C320F6">
        <w:rPr>
          <w:rFonts w:cs="Arial"/>
          <w:sz w:val="20"/>
          <w:szCs w:val="20"/>
        </w:rPr>
        <w:t>TER</w:t>
      </w:r>
      <w:r w:rsidRPr="00C320F6">
        <w:rPr>
          <w:rFonts w:cs="Arial"/>
          <w:sz w:val="20"/>
          <w:szCs w:val="20"/>
        </w:rPr>
        <w:tab/>
        <w:t>total eligible revenue</w:t>
      </w:r>
    </w:p>
    <w:p w14:paraId="03DF9044" w14:textId="77777777" w:rsidR="009E783D" w:rsidRPr="00C320F6" w:rsidRDefault="009E783D" w:rsidP="00295E8B">
      <w:pPr>
        <w:pStyle w:val="ACMABodyText"/>
        <w:tabs>
          <w:tab w:val="left" w:pos="1843"/>
        </w:tabs>
        <w:spacing w:after="80"/>
        <w:ind w:right="-142"/>
        <w:rPr>
          <w:rFonts w:cs="Arial"/>
          <w:sz w:val="20"/>
          <w:szCs w:val="20"/>
        </w:rPr>
      </w:pPr>
      <w:r w:rsidRPr="00C320F6">
        <w:rPr>
          <w:rFonts w:cs="Arial"/>
          <w:sz w:val="20"/>
          <w:szCs w:val="20"/>
        </w:rPr>
        <w:t>the Act</w:t>
      </w:r>
      <w:r w:rsidRPr="00C320F6">
        <w:rPr>
          <w:rFonts w:cs="Arial"/>
          <w:sz w:val="20"/>
          <w:szCs w:val="20"/>
        </w:rPr>
        <w:tab/>
      </w:r>
      <w:r w:rsidRPr="00C320F6">
        <w:rPr>
          <w:rFonts w:cs="Arial"/>
          <w:i/>
          <w:sz w:val="20"/>
        </w:rPr>
        <w:t>Telecommunications (</w:t>
      </w:r>
      <w:r w:rsidRPr="00C320F6">
        <w:rPr>
          <w:rFonts w:cs="Arial"/>
          <w:i/>
          <w:iCs/>
          <w:sz w:val="20"/>
        </w:rPr>
        <w:t>Carrier Licence Charges) Act 1997</w:t>
      </w:r>
    </w:p>
    <w:p w14:paraId="60E950D0" w14:textId="7B928931" w:rsidR="009E783D" w:rsidRPr="00136A92" w:rsidRDefault="009E783D" w:rsidP="00136A92">
      <w:pPr>
        <w:pStyle w:val="ACMABodyText"/>
        <w:tabs>
          <w:tab w:val="left" w:pos="1843"/>
        </w:tabs>
        <w:spacing w:after="80"/>
        <w:ind w:left="1843" w:right="-142" w:hanging="1843"/>
        <w:rPr>
          <w:rFonts w:cs="Arial"/>
          <w:sz w:val="16"/>
          <w:szCs w:val="20"/>
        </w:rPr>
      </w:pPr>
      <w:r w:rsidRPr="008F7A47">
        <w:rPr>
          <w:rFonts w:cs="Arial"/>
          <w:sz w:val="20"/>
          <w:szCs w:val="20"/>
        </w:rPr>
        <w:t>TUSMA Act</w:t>
      </w:r>
      <w:r w:rsidRPr="008F7A47">
        <w:rPr>
          <w:rFonts w:cs="Arial"/>
          <w:sz w:val="20"/>
          <w:szCs w:val="20"/>
        </w:rPr>
        <w:tab/>
      </w:r>
      <w:r w:rsidRPr="008F7A47">
        <w:rPr>
          <w:rFonts w:cs="Arial"/>
          <w:i/>
          <w:sz w:val="20"/>
        </w:rPr>
        <w:t>Telecommunications Universal Service Management Agency Act</w:t>
      </w:r>
      <w:r w:rsidR="00C46D75" w:rsidRPr="008F7A47">
        <w:rPr>
          <w:rFonts w:cs="Arial"/>
          <w:i/>
          <w:sz w:val="20"/>
        </w:rPr>
        <w:t> </w:t>
      </w:r>
      <w:r w:rsidRPr="008F7A47">
        <w:rPr>
          <w:rFonts w:cs="Arial"/>
          <w:i/>
          <w:sz w:val="20"/>
        </w:rPr>
        <w:t>2012</w:t>
      </w:r>
    </w:p>
    <w:p w14:paraId="71CE16E6" w14:textId="77777777" w:rsidR="009E783D" w:rsidRPr="000D6F80" w:rsidRDefault="009E783D" w:rsidP="009E783D">
      <w:pPr>
        <w:pStyle w:val="Heading1"/>
        <w:ind w:right="-142"/>
      </w:pPr>
      <w:bookmarkStart w:id="103" w:name="_Toc385256326"/>
      <w:bookmarkStart w:id="104" w:name="_Toc417990970"/>
      <w:bookmarkStart w:id="105" w:name="_Toc454268386"/>
      <w:r w:rsidRPr="000D6F80">
        <w:lastRenderedPageBreak/>
        <w:t>Attachment A</w:t>
      </w:r>
      <w:bookmarkEnd w:id="103"/>
      <w:bookmarkEnd w:id="104"/>
      <w:bookmarkEnd w:id="105"/>
    </w:p>
    <w:p w14:paraId="0A515F82" w14:textId="77777777" w:rsidR="009E783D" w:rsidRPr="00C320F6" w:rsidRDefault="009E783D" w:rsidP="00C46D75">
      <w:pPr>
        <w:pStyle w:val="Heading2"/>
        <w:spacing w:after="120"/>
      </w:pPr>
      <w:bookmarkStart w:id="106" w:name="_Toc417990971"/>
      <w:bookmarkStart w:id="107" w:name="_Toc454268387"/>
      <w:r w:rsidRPr="00C320F6">
        <w:t>A</w:t>
      </w:r>
      <w:r w:rsidR="0071508A">
        <w:t>CLC for 2015</w:t>
      </w:r>
      <w:r>
        <w:t>–1</w:t>
      </w:r>
      <w:bookmarkEnd w:id="106"/>
      <w:r w:rsidR="0071508A">
        <w:t>6</w:t>
      </w:r>
      <w:bookmarkEnd w:id="107"/>
    </w:p>
    <w:tbl>
      <w:tblPr>
        <w:tblW w:w="8097" w:type="dxa"/>
        <w:tblInd w:w="110" w:type="dxa"/>
        <w:tblCellMar>
          <w:top w:w="57" w:type="dxa"/>
          <w:bottom w:w="57" w:type="dxa"/>
        </w:tblCellMar>
        <w:tblLook w:val="04A0" w:firstRow="1" w:lastRow="0" w:firstColumn="1" w:lastColumn="0" w:noHBand="0" w:noVBand="1"/>
        <w:tblCaption w:val="ALC for 2015-16"/>
        <w:tblDescription w:val="Table lists carrier licence in force at 1 July 2015, ER/TER in percentages and the dollar amount of the ACLC."/>
      </w:tblPr>
      <w:tblGrid>
        <w:gridCol w:w="539"/>
        <w:gridCol w:w="4444"/>
        <w:gridCol w:w="1785"/>
        <w:gridCol w:w="1329"/>
      </w:tblGrid>
      <w:tr w:rsidR="009E783D" w:rsidRPr="00F07C43" w14:paraId="744754E9" w14:textId="77777777" w:rsidTr="00C46D75">
        <w:trPr>
          <w:trHeight w:val="368"/>
          <w:tblHeader/>
        </w:trPr>
        <w:tc>
          <w:tcPr>
            <w:tcW w:w="539" w:type="dxa"/>
            <w:tcBorders>
              <w:top w:val="single" w:sz="8" w:space="0" w:color="auto"/>
              <w:left w:val="single" w:sz="8" w:space="0" w:color="auto"/>
              <w:bottom w:val="single" w:sz="4" w:space="0" w:color="auto"/>
              <w:right w:val="single" w:sz="4" w:space="0" w:color="auto"/>
            </w:tcBorders>
            <w:shd w:val="clear" w:color="auto" w:fill="404040" w:themeFill="text1" w:themeFillTint="BF"/>
            <w:noWrap/>
            <w:hideMark/>
          </w:tcPr>
          <w:p w14:paraId="6EC9ABB5" w14:textId="77777777" w:rsidR="009E783D" w:rsidRPr="00E50A27" w:rsidRDefault="009E783D" w:rsidP="00E50A27">
            <w:pPr>
              <w:pStyle w:val="TableHeading"/>
              <w:rPr>
                <w:b w:val="0"/>
                <w:color w:val="FFFFFF" w:themeColor="background1"/>
              </w:rPr>
            </w:pPr>
            <w:r w:rsidRPr="00E50A27">
              <w:rPr>
                <w:color w:val="FFFFFF" w:themeColor="background1"/>
              </w:rPr>
              <w:t>No.</w:t>
            </w:r>
          </w:p>
        </w:tc>
        <w:tc>
          <w:tcPr>
            <w:tcW w:w="4444" w:type="dxa"/>
            <w:tcBorders>
              <w:top w:val="single" w:sz="8" w:space="0" w:color="auto"/>
              <w:left w:val="nil"/>
              <w:bottom w:val="single" w:sz="4" w:space="0" w:color="auto"/>
              <w:right w:val="single" w:sz="4" w:space="0" w:color="auto"/>
            </w:tcBorders>
            <w:shd w:val="clear" w:color="auto" w:fill="404040" w:themeFill="text1" w:themeFillTint="BF"/>
            <w:hideMark/>
          </w:tcPr>
          <w:p w14:paraId="49CD2269" w14:textId="77777777" w:rsidR="009E783D" w:rsidRPr="00E50A27" w:rsidRDefault="009E783D" w:rsidP="00E50A27">
            <w:pPr>
              <w:pStyle w:val="TableHeading"/>
              <w:rPr>
                <w:b w:val="0"/>
                <w:color w:val="FFFFFF" w:themeColor="background1"/>
              </w:rPr>
            </w:pPr>
            <w:r w:rsidRPr="00E50A27">
              <w:rPr>
                <w:color w:val="FFFFFF" w:themeColor="background1"/>
              </w:rPr>
              <w:t>Carrier</w:t>
            </w:r>
            <w:r w:rsidR="0071508A" w:rsidRPr="00E50A27">
              <w:rPr>
                <w:color w:val="FFFFFF" w:themeColor="background1"/>
              </w:rPr>
              <w:t xml:space="preserve"> licence in force at 1 July 2015</w:t>
            </w:r>
          </w:p>
        </w:tc>
        <w:tc>
          <w:tcPr>
            <w:tcW w:w="1785" w:type="dxa"/>
            <w:tcBorders>
              <w:top w:val="single" w:sz="8" w:space="0" w:color="auto"/>
              <w:left w:val="nil"/>
              <w:bottom w:val="single" w:sz="4" w:space="0" w:color="auto"/>
              <w:right w:val="single" w:sz="8" w:space="0" w:color="auto"/>
            </w:tcBorders>
            <w:shd w:val="clear" w:color="auto" w:fill="404040" w:themeFill="text1" w:themeFillTint="BF"/>
            <w:noWrap/>
            <w:hideMark/>
          </w:tcPr>
          <w:p w14:paraId="5DADE019" w14:textId="3FBD3437" w:rsidR="009E783D" w:rsidRPr="00E50A27" w:rsidRDefault="009E783D" w:rsidP="00E50A27">
            <w:pPr>
              <w:pStyle w:val="TableHeading"/>
              <w:rPr>
                <w:b w:val="0"/>
                <w:color w:val="FFFFFF" w:themeColor="background1"/>
              </w:rPr>
            </w:pPr>
            <w:r w:rsidRPr="00E50A27">
              <w:rPr>
                <w:color w:val="FFFFFF" w:themeColor="background1"/>
              </w:rPr>
              <w:t xml:space="preserve">ER/TER </w:t>
            </w:r>
            <w:r w:rsidR="0023358A" w:rsidRPr="00E50A27">
              <w:rPr>
                <w:color w:val="FFFFFF" w:themeColor="background1"/>
              </w:rPr>
              <w:t>(</w:t>
            </w:r>
            <w:r w:rsidRPr="00E50A27">
              <w:rPr>
                <w:color w:val="FFFFFF" w:themeColor="background1"/>
              </w:rPr>
              <w:t>%</w:t>
            </w:r>
            <w:r w:rsidR="0023358A" w:rsidRPr="00E50A27">
              <w:rPr>
                <w:color w:val="FFFFFF" w:themeColor="background1"/>
              </w:rPr>
              <w:t>)</w:t>
            </w:r>
          </w:p>
        </w:tc>
        <w:tc>
          <w:tcPr>
            <w:tcW w:w="1329" w:type="dxa"/>
            <w:tcBorders>
              <w:top w:val="single" w:sz="8" w:space="0" w:color="auto"/>
              <w:left w:val="nil"/>
              <w:bottom w:val="single" w:sz="4" w:space="0" w:color="auto"/>
              <w:right w:val="single" w:sz="8" w:space="0" w:color="auto"/>
            </w:tcBorders>
            <w:shd w:val="clear" w:color="auto" w:fill="404040" w:themeFill="text1" w:themeFillTint="BF"/>
          </w:tcPr>
          <w:p w14:paraId="727B03A2" w14:textId="77777777" w:rsidR="009E783D" w:rsidRPr="00E50A27" w:rsidRDefault="009E783D" w:rsidP="00E50A27">
            <w:pPr>
              <w:pStyle w:val="TableHeading"/>
              <w:rPr>
                <w:b w:val="0"/>
                <w:color w:val="FFFFFF" w:themeColor="background1"/>
              </w:rPr>
            </w:pPr>
            <w:r w:rsidRPr="00E50A27">
              <w:rPr>
                <w:color w:val="FFFFFF" w:themeColor="background1"/>
              </w:rPr>
              <w:t>ACLC ($)</w:t>
            </w:r>
          </w:p>
        </w:tc>
      </w:tr>
      <w:tr w:rsidR="0084754A" w:rsidRPr="00F07C43" w14:paraId="5F7BFED7"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6F91609C" w14:textId="77777777" w:rsidR="0084754A" w:rsidRPr="00F07C43" w:rsidRDefault="0084754A" w:rsidP="00D110A8">
            <w:pPr>
              <w:spacing w:after="0"/>
              <w:rPr>
                <w:rFonts w:cs="Arial"/>
                <w:color w:val="000000"/>
                <w:szCs w:val="20"/>
              </w:rPr>
            </w:pPr>
            <w:r w:rsidRPr="007B1BA7">
              <w:rPr>
                <w:rFonts w:cs="Arial"/>
                <w:color w:val="000000"/>
                <w:sz w:val="18"/>
                <w:szCs w:val="20"/>
              </w:rPr>
              <w:t>1</w:t>
            </w:r>
          </w:p>
        </w:tc>
        <w:tc>
          <w:tcPr>
            <w:tcW w:w="4444" w:type="dxa"/>
            <w:tcBorders>
              <w:top w:val="nil"/>
              <w:left w:val="nil"/>
              <w:bottom w:val="single" w:sz="4" w:space="0" w:color="auto"/>
              <w:right w:val="single" w:sz="4" w:space="0" w:color="auto"/>
            </w:tcBorders>
            <w:shd w:val="clear" w:color="000000" w:fill="FFFFFF"/>
            <w:noWrap/>
            <w:vAlign w:val="bottom"/>
          </w:tcPr>
          <w:p w14:paraId="37342527" w14:textId="77777777" w:rsidR="0084754A" w:rsidRPr="00F07C43" w:rsidRDefault="0084754A" w:rsidP="00D110A8">
            <w:pPr>
              <w:spacing w:after="0"/>
              <w:rPr>
                <w:rFonts w:cs="Arial"/>
                <w:color w:val="000000"/>
                <w:szCs w:val="20"/>
              </w:rPr>
            </w:pPr>
            <w:r w:rsidRPr="007B1BA7">
              <w:rPr>
                <w:rFonts w:cs="Arial"/>
                <w:color w:val="000000"/>
                <w:sz w:val="18"/>
                <w:szCs w:val="20"/>
              </w:rPr>
              <w:t>A.C.N 088 889 230 Ltd</w:t>
            </w:r>
          </w:p>
        </w:tc>
        <w:tc>
          <w:tcPr>
            <w:tcW w:w="1785" w:type="dxa"/>
            <w:tcBorders>
              <w:top w:val="nil"/>
              <w:left w:val="nil"/>
              <w:bottom w:val="single" w:sz="4" w:space="0" w:color="auto"/>
              <w:right w:val="single" w:sz="8" w:space="0" w:color="auto"/>
            </w:tcBorders>
            <w:shd w:val="clear" w:color="auto" w:fill="auto"/>
            <w:noWrap/>
            <w:vAlign w:val="bottom"/>
          </w:tcPr>
          <w:p w14:paraId="668212F8" w14:textId="7163EA3F" w:rsidR="0084754A" w:rsidRPr="00F07C43" w:rsidRDefault="0084754A" w:rsidP="00D110A8">
            <w:pPr>
              <w:spacing w:after="0"/>
              <w:jc w:val="right"/>
              <w:rPr>
                <w:rFonts w:cs="Arial"/>
                <w:color w:val="000000"/>
                <w:szCs w:val="20"/>
              </w:rPr>
            </w:pPr>
            <w:r w:rsidRPr="007B1BA7">
              <w:rPr>
                <w:rFonts w:cs="Arial"/>
                <w:color w:val="000000"/>
                <w:sz w:val="18"/>
                <w:szCs w:val="20"/>
              </w:rPr>
              <w:t>0.0341983124</w:t>
            </w:r>
          </w:p>
        </w:tc>
        <w:tc>
          <w:tcPr>
            <w:tcW w:w="1329" w:type="dxa"/>
            <w:tcBorders>
              <w:top w:val="nil"/>
              <w:left w:val="nil"/>
              <w:bottom w:val="single" w:sz="4" w:space="0" w:color="auto"/>
              <w:right w:val="single" w:sz="8" w:space="0" w:color="auto"/>
            </w:tcBorders>
            <w:shd w:val="clear" w:color="auto" w:fill="auto"/>
            <w:vAlign w:val="bottom"/>
          </w:tcPr>
          <w:p w14:paraId="271EB113" w14:textId="77777777" w:rsidR="0084754A" w:rsidRPr="00F07C43" w:rsidRDefault="0084754A" w:rsidP="00D110A8">
            <w:pPr>
              <w:spacing w:after="0"/>
              <w:jc w:val="right"/>
              <w:rPr>
                <w:rFonts w:cs="Arial"/>
                <w:color w:val="000000"/>
                <w:szCs w:val="20"/>
              </w:rPr>
            </w:pPr>
            <w:r w:rsidRPr="007B1BA7">
              <w:rPr>
                <w:rFonts w:cs="Arial"/>
                <w:color w:val="000000"/>
                <w:sz w:val="18"/>
                <w:szCs w:val="18"/>
              </w:rPr>
              <w:t>12,563</w:t>
            </w:r>
          </w:p>
        </w:tc>
      </w:tr>
      <w:tr w:rsidR="0084754A" w:rsidRPr="00F07C43" w14:paraId="7F501D06"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32EC6F40" w14:textId="77777777" w:rsidR="0084754A" w:rsidRPr="00F07C43" w:rsidRDefault="0084754A" w:rsidP="00D110A8">
            <w:pPr>
              <w:spacing w:after="0"/>
              <w:rPr>
                <w:rFonts w:cs="Arial"/>
                <w:color w:val="000000"/>
                <w:szCs w:val="20"/>
              </w:rPr>
            </w:pPr>
            <w:r w:rsidRPr="007B1BA7">
              <w:rPr>
                <w:rFonts w:cs="Arial"/>
                <w:color w:val="000000"/>
                <w:sz w:val="18"/>
                <w:szCs w:val="20"/>
              </w:rPr>
              <w:t>2</w:t>
            </w:r>
          </w:p>
        </w:tc>
        <w:tc>
          <w:tcPr>
            <w:tcW w:w="4444" w:type="dxa"/>
            <w:tcBorders>
              <w:top w:val="nil"/>
              <w:left w:val="nil"/>
              <w:bottom w:val="single" w:sz="4" w:space="0" w:color="auto"/>
              <w:right w:val="single" w:sz="4" w:space="0" w:color="auto"/>
            </w:tcBorders>
            <w:shd w:val="clear" w:color="000000" w:fill="FFFFFF"/>
            <w:noWrap/>
            <w:vAlign w:val="bottom"/>
          </w:tcPr>
          <w:p w14:paraId="3374A85E" w14:textId="77777777" w:rsidR="0084754A" w:rsidRPr="00F07C43" w:rsidRDefault="0084754A" w:rsidP="00D110A8">
            <w:pPr>
              <w:spacing w:after="0"/>
              <w:rPr>
                <w:rFonts w:cs="Arial"/>
                <w:color w:val="000000"/>
                <w:szCs w:val="20"/>
              </w:rPr>
            </w:pPr>
            <w:r w:rsidRPr="007B1BA7">
              <w:rPr>
                <w:rFonts w:cs="Arial"/>
                <w:color w:val="000000"/>
                <w:sz w:val="18"/>
                <w:szCs w:val="20"/>
              </w:rPr>
              <w:t>AAPT Ltd</w:t>
            </w:r>
          </w:p>
        </w:tc>
        <w:tc>
          <w:tcPr>
            <w:tcW w:w="1785" w:type="dxa"/>
            <w:tcBorders>
              <w:top w:val="nil"/>
              <w:left w:val="nil"/>
              <w:bottom w:val="single" w:sz="4" w:space="0" w:color="auto"/>
              <w:right w:val="single" w:sz="8" w:space="0" w:color="auto"/>
            </w:tcBorders>
            <w:shd w:val="clear" w:color="auto" w:fill="auto"/>
            <w:noWrap/>
            <w:vAlign w:val="bottom"/>
          </w:tcPr>
          <w:p w14:paraId="1D6BE7E1" w14:textId="211E6382" w:rsidR="0084754A" w:rsidRPr="00F07C43" w:rsidRDefault="0084754A" w:rsidP="00D110A8">
            <w:pPr>
              <w:spacing w:after="0"/>
              <w:jc w:val="right"/>
              <w:rPr>
                <w:rFonts w:cs="Arial"/>
                <w:color w:val="000000"/>
                <w:szCs w:val="20"/>
              </w:rPr>
            </w:pPr>
            <w:r w:rsidRPr="007B1BA7">
              <w:rPr>
                <w:rFonts w:cs="Arial"/>
                <w:color w:val="000000"/>
                <w:sz w:val="18"/>
                <w:szCs w:val="20"/>
              </w:rPr>
              <w:t>0.6809450687</w:t>
            </w:r>
          </w:p>
        </w:tc>
        <w:tc>
          <w:tcPr>
            <w:tcW w:w="1329" w:type="dxa"/>
            <w:tcBorders>
              <w:top w:val="nil"/>
              <w:left w:val="nil"/>
              <w:bottom w:val="single" w:sz="4" w:space="0" w:color="auto"/>
              <w:right w:val="single" w:sz="8" w:space="0" w:color="auto"/>
            </w:tcBorders>
            <w:shd w:val="clear" w:color="auto" w:fill="auto"/>
            <w:vAlign w:val="bottom"/>
          </w:tcPr>
          <w:p w14:paraId="4FAB7263" w14:textId="77777777" w:rsidR="0084754A" w:rsidRPr="00F07C43" w:rsidRDefault="0084754A" w:rsidP="00D110A8">
            <w:pPr>
              <w:spacing w:after="0"/>
              <w:jc w:val="right"/>
              <w:rPr>
                <w:rFonts w:cs="Arial"/>
                <w:color w:val="000000"/>
                <w:szCs w:val="20"/>
              </w:rPr>
            </w:pPr>
            <w:r w:rsidRPr="007B1BA7">
              <w:rPr>
                <w:rFonts w:cs="Arial"/>
                <w:color w:val="000000"/>
                <w:sz w:val="18"/>
                <w:szCs w:val="18"/>
              </w:rPr>
              <w:t>250,151</w:t>
            </w:r>
          </w:p>
        </w:tc>
      </w:tr>
      <w:tr w:rsidR="0084754A" w:rsidRPr="00F07C43" w14:paraId="11F4ADE6"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3F765FF2" w14:textId="77777777" w:rsidR="0084754A" w:rsidRPr="00F07C43" w:rsidRDefault="0084754A" w:rsidP="00D110A8">
            <w:pPr>
              <w:spacing w:after="0"/>
              <w:rPr>
                <w:rFonts w:cs="Arial"/>
                <w:color w:val="000000"/>
                <w:szCs w:val="20"/>
              </w:rPr>
            </w:pPr>
            <w:r w:rsidRPr="007B1BA7">
              <w:rPr>
                <w:rFonts w:cs="Arial"/>
                <w:color w:val="000000"/>
                <w:sz w:val="18"/>
                <w:szCs w:val="20"/>
              </w:rPr>
              <w:t>3</w:t>
            </w:r>
          </w:p>
        </w:tc>
        <w:tc>
          <w:tcPr>
            <w:tcW w:w="4444" w:type="dxa"/>
            <w:tcBorders>
              <w:top w:val="nil"/>
              <w:left w:val="nil"/>
              <w:bottom w:val="single" w:sz="4" w:space="0" w:color="auto"/>
              <w:right w:val="single" w:sz="4" w:space="0" w:color="auto"/>
            </w:tcBorders>
            <w:shd w:val="clear" w:color="000000" w:fill="FFFFFF"/>
            <w:noWrap/>
            <w:vAlign w:val="bottom"/>
          </w:tcPr>
          <w:p w14:paraId="3B4BAEFD" w14:textId="77777777" w:rsidR="0084754A" w:rsidRPr="00F07C43" w:rsidRDefault="0084754A" w:rsidP="00D110A8">
            <w:pPr>
              <w:spacing w:after="0"/>
              <w:rPr>
                <w:rFonts w:cs="Arial"/>
                <w:color w:val="000000"/>
                <w:szCs w:val="20"/>
              </w:rPr>
            </w:pPr>
            <w:r w:rsidRPr="007B1BA7">
              <w:rPr>
                <w:rFonts w:cs="Arial"/>
                <w:color w:val="000000"/>
                <w:sz w:val="18"/>
                <w:szCs w:val="20"/>
              </w:rPr>
              <w:t>AARNet Pty Ltd</w:t>
            </w:r>
          </w:p>
        </w:tc>
        <w:tc>
          <w:tcPr>
            <w:tcW w:w="1785" w:type="dxa"/>
            <w:tcBorders>
              <w:top w:val="nil"/>
              <w:left w:val="nil"/>
              <w:bottom w:val="single" w:sz="4" w:space="0" w:color="auto"/>
              <w:right w:val="single" w:sz="8" w:space="0" w:color="auto"/>
            </w:tcBorders>
            <w:shd w:val="clear" w:color="auto" w:fill="auto"/>
            <w:noWrap/>
            <w:vAlign w:val="bottom"/>
          </w:tcPr>
          <w:p w14:paraId="61850536" w14:textId="25DC2601" w:rsidR="0084754A" w:rsidRPr="00F07C43" w:rsidRDefault="0084754A" w:rsidP="00D110A8">
            <w:pPr>
              <w:spacing w:after="0"/>
              <w:jc w:val="right"/>
              <w:rPr>
                <w:rFonts w:cs="Arial"/>
                <w:color w:val="000000"/>
                <w:szCs w:val="20"/>
              </w:rPr>
            </w:pPr>
            <w:r w:rsidRPr="007B1BA7">
              <w:rPr>
                <w:rFonts w:cs="Arial"/>
                <w:color w:val="000000"/>
                <w:sz w:val="18"/>
                <w:szCs w:val="20"/>
              </w:rPr>
              <w:t>0.1588987219</w:t>
            </w:r>
          </w:p>
        </w:tc>
        <w:tc>
          <w:tcPr>
            <w:tcW w:w="1329" w:type="dxa"/>
            <w:tcBorders>
              <w:top w:val="nil"/>
              <w:left w:val="nil"/>
              <w:bottom w:val="single" w:sz="4" w:space="0" w:color="auto"/>
              <w:right w:val="single" w:sz="8" w:space="0" w:color="auto"/>
            </w:tcBorders>
            <w:shd w:val="clear" w:color="auto" w:fill="auto"/>
            <w:vAlign w:val="bottom"/>
          </w:tcPr>
          <w:p w14:paraId="4725D8A3" w14:textId="77777777" w:rsidR="0084754A" w:rsidRPr="00F07C43" w:rsidRDefault="0084754A" w:rsidP="00D110A8">
            <w:pPr>
              <w:spacing w:after="0"/>
              <w:jc w:val="right"/>
              <w:rPr>
                <w:rFonts w:cs="Arial"/>
                <w:color w:val="000000"/>
                <w:szCs w:val="20"/>
              </w:rPr>
            </w:pPr>
            <w:r w:rsidRPr="007B1BA7">
              <w:rPr>
                <w:rFonts w:cs="Arial"/>
                <w:color w:val="000000"/>
                <w:sz w:val="18"/>
                <w:szCs w:val="18"/>
              </w:rPr>
              <w:t>58,373</w:t>
            </w:r>
          </w:p>
        </w:tc>
      </w:tr>
      <w:tr w:rsidR="0084754A" w:rsidRPr="00F07C43" w14:paraId="5F494364"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72C00B5F" w14:textId="77777777" w:rsidR="0084754A" w:rsidRPr="00F07C43" w:rsidRDefault="0084754A" w:rsidP="00D110A8">
            <w:pPr>
              <w:spacing w:after="0"/>
              <w:rPr>
                <w:rFonts w:cs="Arial"/>
                <w:color w:val="000000"/>
                <w:szCs w:val="20"/>
              </w:rPr>
            </w:pPr>
            <w:r w:rsidRPr="007B1BA7">
              <w:rPr>
                <w:rFonts w:cs="Arial"/>
                <w:color w:val="000000"/>
                <w:sz w:val="18"/>
                <w:szCs w:val="20"/>
              </w:rPr>
              <w:t>4</w:t>
            </w:r>
          </w:p>
        </w:tc>
        <w:tc>
          <w:tcPr>
            <w:tcW w:w="4444" w:type="dxa"/>
            <w:tcBorders>
              <w:top w:val="nil"/>
              <w:left w:val="nil"/>
              <w:bottom w:val="single" w:sz="4" w:space="0" w:color="auto"/>
              <w:right w:val="single" w:sz="4" w:space="0" w:color="auto"/>
            </w:tcBorders>
            <w:shd w:val="clear" w:color="000000" w:fill="FFFFFF"/>
            <w:noWrap/>
            <w:vAlign w:val="bottom"/>
          </w:tcPr>
          <w:p w14:paraId="4C812BE7" w14:textId="77777777" w:rsidR="0084754A" w:rsidRPr="00F07C43" w:rsidRDefault="0084754A" w:rsidP="00D110A8">
            <w:pPr>
              <w:spacing w:after="0"/>
              <w:rPr>
                <w:rFonts w:cs="Arial"/>
                <w:color w:val="000000"/>
                <w:szCs w:val="20"/>
              </w:rPr>
            </w:pPr>
            <w:r w:rsidRPr="007B1BA7">
              <w:rPr>
                <w:rFonts w:cs="Arial"/>
                <w:color w:val="000000"/>
                <w:sz w:val="18"/>
                <w:szCs w:val="20"/>
              </w:rPr>
              <w:t>Adam Internet Pty Ltd</w:t>
            </w:r>
          </w:p>
        </w:tc>
        <w:tc>
          <w:tcPr>
            <w:tcW w:w="1785" w:type="dxa"/>
            <w:tcBorders>
              <w:top w:val="nil"/>
              <w:left w:val="nil"/>
              <w:bottom w:val="single" w:sz="4" w:space="0" w:color="auto"/>
              <w:right w:val="single" w:sz="8" w:space="0" w:color="auto"/>
            </w:tcBorders>
            <w:shd w:val="clear" w:color="auto" w:fill="auto"/>
            <w:noWrap/>
            <w:vAlign w:val="bottom"/>
          </w:tcPr>
          <w:p w14:paraId="127E2871" w14:textId="09AABB8C" w:rsidR="0084754A" w:rsidRPr="00F07C43" w:rsidRDefault="0084754A" w:rsidP="00D110A8">
            <w:pPr>
              <w:spacing w:after="0"/>
              <w:jc w:val="right"/>
              <w:rPr>
                <w:rFonts w:cs="Arial"/>
                <w:color w:val="000000"/>
                <w:szCs w:val="20"/>
              </w:rPr>
            </w:pPr>
            <w:r w:rsidRPr="007B1BA7">
              <w:rPr>
                <w:rFonts w:cs="Arial"/>
                <w:color w:val="000000"/>
                <w:sz w:val="18"/>
                <w:szCs w:val="20"/>
              </w:rPr>
              <w:t>0.1484692677</w:t>
            </w:r>
          </w:p>
        </w:tc>
        <w:tc>
          <w:tcPr>
            <w:tcW w:w="1329" w:type="dxa"/>
            <w:tcBorders>
              <w:top w:val="nil"/>
              <w:left w:val="nil"/>
              <w:bottom w:val="single" w:sz="4" w:space="0" w:color="auto"/>
              <w:right w:val="single" w:sz="8" w:space="0" w:color="auto"/>
            </w:tcBorders>
            <w:shd w:val="clear" w:color="auto" w:fill="auto"/>
            <w:vAlign w:val="bottom"/>
          </w:tcPr>
          <w:p w14:paraId="0CE243A2" w14:textId="77777777" w:rsidR="0084754A" w:rsidRPr="00F07C43" w:rsidRDefault="0084754A" w:rsidP="00D110A8">
            <w:pPr>
              <w:spacing w:after="0"/>
              <w:jc w:val="right"/>
              <w:rPr>
                <w:rFonts w:cs="Arial"/>
                <w:color w:val="000000"/>
                <w:szCs w:val="20"/>
              </w:rPr>
            </w:pPr>
            <w:r w:rsidRPr="007B1BA7">
              <w:rPr>
                <w:rFonts w:cs="Arial"/>
                <w:color w:val="000000"/>
                <w:sz w:val="18"/>
                <w:szCs w:val="18"/>
              </w:rPr>
              <w:t>54,541</w:t>
            </w:r>
          </w:p>
        </w:tc>
      </w:tr>
      <w:tr w:rsidR="0084754A" w:rsidRPr="00F07C43" w14:paraId="6CC712E9"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18AB2D3F" w14:textId="77777777" w:rsidR="0084754A" w:rsidRPr="00F07C43" w:rsidRDefault="0084754A" w:rsidP="00D110A8">
            <w:pPr>
              <w:spacing w:after="0"/>
              <w:rPr>
                <w:rFonts w:cs="Arial"/>
                <w:color w:val="000000"/>
                <w:szCs w:val="20"/>
              </w:rPr>
            </w:pPr>
            <w:r w:rsidRPr="007B1BA7">
              <w:rPr>
                <w:rFonts w:cs="Arial"/>
                <w:color w:val="000000"/>
                <w:sz w:val="18"/>
                <w:szCs w:val="20"/>
              </w:rPr>
              <w:t>5</w:t>
            </w:r>
          </w:p>
        </w:tc>
        <w:tc>
          <w:tcPr>
            <w:tcW w:w="4444" w:type="dxa"/>
            <w:tcBorders>
              <w:top w:val="nil"/>
              <w:left w:val="nil"/>
              <w:bottom w:val="single" w:sz="4" w:space="0" w:color="auto"/>
              <w:right w:val="single" w:sz="4" w:space="0" w:color="auto"/>
            </w:tcBorders>
            <w:shd w:val="clear" w:color="000000" w:fill="FFFFFF"/>
            <w:noWrap/>
            <w:vAlign w:val="bottom"/>
          </w:tcPr>
          <w:p w14:paraId="79F37C29" w14:textId="77777777" w:rsidR="0084754A" w:rsidRPr="00F07C43" w:rsidRDefault="0084754A" w:rsidP="00D110A8">
            <w:pPr>
              <w:spacing w:after="0"/>
              <w:rPr>
                <w:rFonts w:cs="Arial"/>
                <w:color w:val="000000"/>
                <w:szCs w:val="20"/>
              </w:rPr>
            </w:pPr>
            <w:r w:rsidRPr="007B1BA7">
              <w:rPr>
                <w:rFonts w:cs="Arial"/>
                <w:color w:val="000000"/>
                <w:sz w:val="18"/>
                <w:szCs w:val="20"/>
              </w:rPr>
              <w:t>Agile Pty Ltd</w:t>
            </w:r>
          </w:p>
        </w:tc>
        <w:tc>
          <w:tcPr>
            <w:tcW w:w="1785" w:type="dxa"/>
            <w:tcBorders>
              <w:top w:val="nil"/>
              <w:left w:val="nil"/>
              <w:bottom w:val="single" w:sz="4" w:space="0" w:color="auto"/>
              <w:right w:val="single" w:sz="8" w:space="0" w:color="auto"/>
            </w:tcBorders>
            <w:shd w:val="clear" w:color="auto" w:fill="auto"/>
            <w:noWrap/>
            <w:vAlign w:val="bottom"/>
          </w:tcPr>
          <w:p w14:paraId="0CEF2C88" w14:textId="75E9B2C3" w:rsidR="0084754A" w:rsidRPr="00F07C43" w:rsidRDefault="0084754A" w:rsidP="00D110A8">
            <w:pPr>
              <w:spacing w:after="0"/>
              <w:jc w:val="right"/>
              <w:rPr>
                <w:rFonts w:cs="Arial"/>
                <w:color w:val="000000"/>
                <w:szCs w:val="20"/>
              </w:rPr>
            </w:pPr>
            <w:r w:rsidRPr="007B1BA7">
              <w:rPr>
                <w:rFonts w:cs="Arial"/>
                <w:color w:val="000000"/>
                <w:sz w:val="18"/>
                <w:szCs w:val="20"/>
              </w:rPr>
              <w:t>0.4572724939</w:t>
            </w:r>
          </w:p>
        </w:tc>
        <w:tc>
          <w:tcPr>
            <w:tcW w:w="1329" w:type="dxa"/>
            <w:tcBorders>
              <w:top w:val="nil"/>
              <w:left w:val="nil"/>
              <w:bottom w:val="single" w:sz="4" w:space="0" w:color="auto"/>
              <w:right w:val="single" w:sz="8" w:space="0" w:color="auto"/>
            </w:tcBorders>
            <w:shd w:val="clear" w:color="auto" w:fill="auto"/>
            <w:vAlign w:val="bottom"/>
          </w:tcPr>
          <w:p w14:paraId="4E8C05CB" w14:textId="77777777" w:rsidR="0084754A" w:rsidRPr="00F07C43" w:rsidRDefault="0084754A" w:rsidP="00D110A8">
            <w:pPr>
              <w:spacing w:after="0"/>
              <w:jc w:val="right"/>
              <w:rPr>
                <w:rFonts w:cs="Arial"/>
                <w:color w:val="000000"/>
                <w:szCs w:val="20"/>
              </w:rPr>
            </w:pPr>
            <w:r w:rsidRPr="007B1BA7">
              <w:rPr>
                <w:rFonts w:cs="Arial"/>
                <w:color w:val="000000"/>
                <w:sz w:val="18"/>
                <w:szCs w:val="18"/>
              </w:rPr>
              <w:t>167,983</w:t>
            </w:r>
          </w:p>
        </w:tc>
      </w:tr>
      <w:tr w:rsidR="0084754A" w:rsidRPr="00F07C43" w14:paraId="5DEF87A8"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2C2D7081" w14:textId="77777777" w:rsidR="0084754A" w:rsidRPr="00F07C43" w:rsidRDefault="0084754A" w:rsidP="00D110A8">
            <w:pPr>
              <w:spacing w:after="0"/>
              <w:rPr>
                <w:rFonts w:cs="Arial"/>
                <w:color w:val="000000"/>
                <w:szCs w:val="20"/>
              </w:rPr>
            </w:pPr>
            <w:r w:rsidRPr="007B1BA7">
              <w:rPr>
                <w:rFonts w:cs="Arial"/>
                <w:color w:val="000000"/>
                <w:sz w:val="18"/>
                <w:szCs w:val="20"/>
              </w:rPr>
              <w:t>6</w:t>
            </w:r>
          </w:p>
        </w:tc>
        <w:tc>
          <w:tcPr>
            <w:tcW w:w="4444" w:type="dxa"/>
            <w:tcBorders>
              <w:top w:val="nil"/>
              <w:left w:val="nil"/>
              <w:bottom w:val="single" w:sz="4" w:space="0" w:color="auto"/>
              <w:right w:val="single" w:sz="4" w:space="0" w:color="auto"/>
            </w:tcBorders>
            <w:shd w:val="clear" w:color="000000" w:fill="FFFFFF"/>
            <w:noWrap/>
            <w:vAlign w:val="bottom"/>
          </w:tcPr>
          <w:p w14:paraId="6641C214" w14:textId="77777777" w:rsidR="0084754A" w:rsidRPr="00F07C43" w:rsidRDefault="0084754A" w:rsidP="00D110A8">
            <w:pPr>
              <w:spacing w:after="0"/>
              <w:rPr>
                <w:rFonts w:cs="Arial"/>
                <w:color w:val="000000"/>
                <w:szCs w:val="20"/>
              </w:rPr>
            </w:pPr>
            <w:r w:rsidRPr="007B1BA7">
              <w:rPr>
                <w:rFonts w:cs="Arial"/>
                <w:color w:val="000000"/>
                <w:sz w:val="18"/>
                <w:szCs w:val="20"/>
              </w:rPr>
              <w:t>Allegro Networks Pty Ltd</w:t>
            </w:r>
          </w:p>
        </w:tc>
        <w:tc>
          <w:tcPr>
            <w:tcW w:w="1785" w:type="dxa"/>
            <w:tcBorders>
              <w:top w:val="nil"/>
              <w:left w:val="nil"/>
              <w:bottom w:val="single" w:sz="4" w:space="0" w:color="auto"/>
              <w:right w:val="single" w:sz="8" w:space="0" w:color="auto"/>
            </w:tcBorders>
            <w:shd w:val="clear" w:color="auto" w:fill="auto"/>
            <w:noWrap/>
            <w:vAlign w:val="bottom"/>
          </w:tcPr>
          <w:p w14:paraId="03BF6278" w14:textId="217BD8EE" w:rsidR="0084754A" w:rsidRPr="00F07C43" w:rsidRDefault="0084754A" w:rsidP="00D110A8">
            <w:pPr>
              <w:spacing w:after="0"/>
              <w:jc w:val="right"/>
              <w:rPr>
                <w:rFonts w:cs="Arial"/>
                <w:color w:val="000000"/>
                <w:szCs w:val="20"/>
              </w:rPr>
            </w:pPr>
            <w:r w:rsidRPr="007B1BA7">
              <w:rPr>
                <w:rFonts w:cs="Arial"/>
                <w:color w:val="000000"/>
                <w:sz w:val="18"/>
                <w:szCs w:val="20"/>
              </w:rPr>
              <w:t>0.0098310632</w:t>
            </w:r>
          </w:p>
        </w:tc>
        <w:tc>
          <w:tcPr>
            <w:tcW w:w="1329" w:type="dxa"/>
            <w:tcBorders>
              <w:top w:val="nil"/>
              <w:left w:val="nil"/>
              <w:bottom w:val="single" w:sz="4" w:space="0" w:color="auto"/>
              <w:right w:val="single" w:sz="8" w:space="0" w:color="auto"/>
            </w:tcBorders>
            <w:shd w:val="clear" w:color="auto" w:fill="auto"/>
            <w:vAlign w:val="bottom"/>
          </w:tcPr>
          <w:p w14:paraId="603149F8" w14:textId="77777777" w:rsidR="0084754A" w:rsidRPr="00F07C43" w:rsidRDefault="0084754A" w:rsidP="00D110A8">
            <w:pPr>
              <w:spacing w:after="0"/>
              <w:jc w:val="right"/>
              <w:rPr>
                <w:rFonts w:cs="Arial"/>
                <w:color w:val="000000"/>
                <w:szCs w:val="20"/>
              </w:rPr>
            </w:pPr>
            <w:r w:rsidRPr="007B1BA7">
              <w:rPr>
                <w:rFonts w:cs="Arial"/>
                <w:color w:val="000000"/>
                <w:sz w:val="18"/>
                <w:szCs w:val="18"/>
              </w:rPr>
              <w:t>3,612</w:t>
            </w:r>
          </w:p>
        </w:tc>
      </w:tr>
      <w:tr w:rsidR="0084754A" w:rsidRPr="00F07C43" w14:paraId="2F57ACBB"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49342CB2" w14:textId="77777777" w:rsidR="0084754A" w:rsidRPr="00F07C43" w:rsidRDefault="0084754A" w:rsidP="00D110A8">
            <w:pPr>
              <w:spacing w:after="0"/>
              <w:rPr>
                <w:rFonts w:cs="Arial"/>
                <w:color w:val="000000"/>
                <w:szCs w:val="20"/>
              </w:rPr>
            </w:pPr>
            <w:r w:rsidRPr="007B1BA7">
              <w:rPr>
                <w:rFonts w:cs="Arial"/>
                <w:color w:val="000000"/>
                <w:sz w:val="18"/>
                <w:szCs w:val="20"/>
              </w:rPr>
              <w:t>7</w:t>
            </w:r>
          </w:p>
        </w:tc>
        <w:tc>
          <w:tcPr>
            <w:tcW w:w="4444" w:type="dxa"/>
            <w:tcBorders>
              <w:top w:val="nil"/>
              <w:left w:val="nil"/>
              <w:bottom w:val="single" w:sz="4" w:space="0" w:color="auto"/>
              <w:right w:val="single" w:sz="4" w:space="0" w:color="auto"/>
            </w:tcBorders>
            <w:shd w:val="clear" w:color="000000" w:fill="FFFFFF"/>
            <w:noWrap/>
            <w:vAlign w:val="bottom"/>
          </w:tcPr>
          <w:p w14:paraId="71A37B62" w14:textId="77777777" w:rsidR="0084754A" w:rsidRPr="00F07C43" w:rsidRDefault="0084754A" w:rsidP="00D110A8">
            <w:pPr>
              <w:spacing w:after="0"/>
              <w:rPr>
                <w:rFonts w:cs="Arial"/>
                <w:color w:val="000000"/>
                <w:szCs w:val="20"/>
              </w:rPr>
            </w:pPr>
            <w:r w:rsidRPr="007B1BA7">
              <w:rPr>
                <w:rFonts w:cs="Arial"/>
                <w:color w:val="000000"/>
                <w:sz w:val="18"/>
                <w:szCs w:val="20"/>
              </w:rPr>
              <w:t>Amcom Pty Ltd</w:t>
            </w:r>
          </w:p>
        </w:tc>
        <w:tc>
          <w:tcPr>
            <w:tcW w:w="1785" w:type="dxa"/>
            <w:tcBorders>
              <w:top w:val="nil"/>
              <w:left w:val="nil"/>
              <w:bottom w:val="single" w:sz="4" w:space="0" w:color="auto"/>
              <w:right w:val="single" w:sz="8" w:space="0" w:color="auto"/>
            </w:tcBorders>
            <w:shd w:val="clear" w:color="auto" w:fill="auto"/>
            <w:noWrap/>
            <w:vAlign w:val="bottom"/>
          </w:tcPr>
          <w:p w14:paraId="27C14CD3" w14:textId="273DE021" w:rsidR="0084754A" w:rsidRPr="00F07C43" w:rsidRDefault="0084754A" w:rsidP="00D110A8">
            <w:pPr>
              <w:spacing w:after="0"/>
              <w:jc w:val="right"/>
              <w:rPr>
                <w:rFonts w:cs="Arial"/>
                <w:color w:val="000000"/>
                <w:szCs w:val="20"/>
              </w:rPr>
            </w:pPr>
            <w:r w:rsidRPr="007B1BA7">
              <w:rPr>
                <w:rFonts w:cs="Arial"/>
                <w:color w:val="000000"/>
                <w:sz w:val="18"/>
                <w:szCs w:val="20"/>
              </w:rPr>
              <w:t>0.2687373644</w:t>
            </w:r>
          </w:p>
        </w:tc>
        <w:tc>
          <w:tcPr>
            <w:tcW w:w="1329" w:type="dxa"/>
            <w:tcBorders>
              <w:top w:val="nil"/>
              <w:left w:val="nil"/>
              <w:bottom w:val="single" w:sz="4" w:space="0" w:color="auto"/>
              <w:right w:val="single" w:sz="8" w:space="0" w:color="auto"/>
            </w:tcBorders>
            <w:shd w:val="clear" w:color="auto" w:fill="auto"/>
            <w:vAlign w:val="bottom"/>
          </w:tcPr>
          <w:p w14:paraId="3DACF59F" w14:textId="77777777" w:rsidR="0084754A" w:rsidRPr="00F07C43" w:rsidRDefault="0084754A" w:rsidP="00D110A8">
            <w:pPr>
              <w:spacing w:after="0"/>
              <w:jc w:val="right"/>
              <w:rPr>
                <w:rFonts w:cs="Arial"/>
                <w:color w:val="000000"/>
                <w:szCs w:val="20"/>
              </w:rPr>
            </w:pPr>
            <w:r w:rsidRPr="007B1BA7">
              <w:rPr>
                <w:rFonts w:cs="Arial"/>
                <w:color w:val="000000"/>
                <w:sz w:val="18"/>
                <w:szCs w:val="18"/>
              </w:rPr>
              <w:t>98,723</w:t>
            </w:r>
          </w:p>
        </w:tc>
      </w:tr>
      <w:tr w:rsidR="0084754A" w:rsidRPr="00F07C43" w14:paraId="4A7128EA"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518A3ED9" w14:textId="77777777" w:rsidR="0084754A" w:rsidRPr="00F07C43" w:rsidRDefault="0084754A" w:rsidP="00D110A8">
            <w:pPr>
              <w:spacing w:after="0"/>
              <w:rPr>
                <w:rFonts w:cs="Arial"/>
                <w:color w:val="000000"/>
                <w:szCs w:val="20"/>
              </w:rPr>
            </w:pPr>
            <w:r w:rsidRPr="007B1BA7">
              <w:rPr>
                <w:rFonts w:cs="Arial"/>
                <w:color w:val="000000"/>
                <w:sz w:val="18"/>
                <w:szCs w:val="20"/>
              </w:rPr>
              <w:t>8</w:t>
            </w:r>
          </w:p>
        </w:tc>
        <w:tc>
          <w:tcPr>
            <w:tcW w:w="4444" w:type="dxa"/>
            <w:tcBorders>
              <w:top w:val="nil"/>
              <w:left w:val="nil"/>
              <w:bottom w:val="single" w:sz="4" w:space="0" w:color="auto"/>
              <w:right w:val="single" w:sz="4" w:space="0" w:color="auto"/>
            </w:tcBorders>
            <w:shd w:val="clear" w:color="000000" w:fill="FFFFFF"/>
            <w:noWrap/>
            <w:vAlign w:val="bottom"/>
          </w:tcPr>
          <w:p w14:paraId="3F99FE86" w14:textId="77777777" w:rsidR="0084754A" w:rsidRPr="00F07C43" w:rsidRDefault="0084754A" w:rsidP="00D110A8">
            <w:pPr>
              <w:spacing w:after="0"/>
              <w:rPr>
                <w:rFonts w:cs="Arial"/>
                <w:color w:val="000000"/>
                <w:szCs w:val="20"/>
              </w:rPr>
            </w:pPr>
            <w:r w:rsidRPr="007B1BA7">
              <w:rPr>
                <w:rFonts w:cs="Arial"/>
                <w:color w:val="000000"/>
                <w:sz w:val="18"/>
                <w:szCs w:val="20"/>
              </w:rPr>
              <w:t>BigAir Cloud Managed Services Pty Ltd</w:t>
            </w:r>
          </w:p>
        </w:tc>
        <w:tc>
          <w:tcPr>
            <w:tcW w:w="1785" w:type="dxa"/>
            <w:tcBorders>
              <w:top w:val="nil"/>
              <w:left w:val="nil"/>
              <w:bottom w:val="single" w:sz="4" w:space="0" w:color="auto"/>
              <w:right w:val="single" w:sz="8" w:space="0" w:color="auto"/>
            </w:tcBorders>
            <w:shd w:val="clear" w:color="auto" w:fill="auto"/>
            <w:noWrap/>
            <w:vAlign w:val="bottom"/>
          </w:tcPr>
          <w:p w14:paraId="11C61F8B" w14:textId="0BCC1846" w:rsidR="0084754A" w:rsidRPr="00F07C43" w:rsidRDefault="0084754A" w:rsidP="00D110A8">
            <w:pPr>
              <w:spacing w:after="0"/>
              <w:jc w:val="right"/>
              <w:rPr>
                <w:rFonts w:cs="Arial"/>
                <w:color w:val="000000"/>
                <w:szCs w:val="20"/>
              </w:rPr>
            </w:pPr>
            <w:r w:rsidRPr="007B1BA7">
              <w:rPr>
                <w:rFonts w:cs="Arial"/>
                <w:color w:val="000000"/>
                <w:sz w:val="18"/>
                <w:szCs w:val="20"/>
              </w:rPr>
              <w:t>0.0208057496</w:t>
            </w:r>
          </w:p>
        </w:tc>
        <w:tc>
          <w:tcPr>
            <w:tcW w:w="1329" w:type="dxa"/>
            <w:tcBorders>
              <w:top w:val="nil"/>
              <w:left w:val="nil"/>
              <w:bottom w:val="single" w:sz="4" w:space="0" w:color="auto"/>
              <w:right w:val="single" w:sz="8" w:space="0" w:color="auto"/>
            </w:tcBorders>
            <w:shd w:val="clear" w:color="auto" w:fill="auto"/>
            <w:vAlign w:val="bottom"/>
          </w:tcPr>
          <w:p w14:paraId="78B4C832" w14:textId="77777777" w:rsidR="0084754A" w:rsidRPr="00F07C43" w:rsidRDefault="0084754A" w:rsidP="00D110A8">
            <w:pPr>
              <w:spacing w:after="0"/>
              <w:jc w:val="right"/>
              <w:rPr>
                <w:rFonts w:cs="Arial"/>
                <w:color w:val="000000"/>
                <w:szCs w:val="20"/>
              </w:rPr>
            </w:pPr>
            <w:r w:rsidRPr="007B1BA7">
              <w:rPr>
                <w:rFonts w:cs="Arial"/>
                <w:color w:val="000000"/>
                <w:sz w:val="18"/>
                <w:szCs w:val="18"/>
              </w:rPr>
              <w:t>7,643</w:t>
            </w:r>
          </w:p>
        </w:tc>
      </w:tr>
      <w:tr w:rsidR="0084754A" w:rsidRPr="00F07C43" w14:paraId="76661C15"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723B717F" w14:textId="77777777" w:rsidR="0084754A" w:rsidRPr="00F07C43" w:rsidRDefault="0084754A" w:rsidP="00D110A8">
            <w:pPr>
              <w:spacing w:after="0"/>
              <w:rPr>
                <w:rFonts w:cs="Arial"/>
                <w:color w:val="000000"/>
                <w:szCs w:val="20"/>
              </w:rPr>
            </w:pPr>
            <w:r w:rsidRPr="007B1BA7">
              <w:rPr>
                <w:rFonts w:cs="Arial"/>
                <w:color w:val="000000"/>
                <w:sz w:val="18"/>
                <w:szCs w:val="20"/>
              </w:rPr>
              <w:t>9</w:t>
            </w:r>
          </w:p>
        </w:tc>
        <w:tc>
          <w:tcPr>
            <w:tcW w:w="4444" w:type="dxa"/>
            <w:tcBorders>
              <w:top w:val="nil"/>
              <w:left w:val="nil"/>
              <w:bottom w:val="single" w:sz="4" w:space="0" w:color="auto"/>
              <w:right w:val="single" w:sz="4" w:space="0" w:color="auto"/>
            </w:tcBorders>
            <w:shd w:val="clear" w:color="000000" w:fill="FFFFFF"/>
            <w:noWrap/>
            <w:vAlign w:val="bottom"/>
          </w:tcPr>
          <w:p w14:paraId="6D7E02D4" w14:textId="77777777" w:rsidR="0084754A" w:rsidRPr="00F07C43" w:rsidRDefault="0084754A" w:rsidP="00D110A8">
            <w:pPr>
              <w:spacing w:after="0"/>
              <w:rPr>
                <w:rFonts w:cs="Arial"/>
                <w:color w:val="000000"/>
                <w:szCs w:val="20"/>
              </w:rPr>
            </w:pPr>
            <w:r w:rsidRPr="007B1BA7">
              <w:rPr>
                <w:rFonts w:cs="Arial"/>
                <w:color w:val="000000"/>
                <w:sz w:val="18"/>
                <w:szCs w:val="20"/>
              </w:rPr>
              <w:t>BigAir Group Ltd</w:t>
            </w:r>
          </w:p>
        </w:tc>
        <w:tc>
          <w:tcPr>
            <w:tcW w:w="1785" w:type="dxa"/>
            <w:tcBorders>
              <w:top w:val="nil"/>
              <w:left w:val="nil"/>
              <w:bottom w:val="single" w:sz="4" w:space="0" w:color="auto"/>
              <w:right w:val="single" w:sz="8" w:space="0" w:color="auto"/>
            </w:tcBorders>
            <w:shd w:val="clear" w:color="auto" w:fill="auto"/>
            <w:noWrap/>
            <w:vAlign w:val="bottom"/>
          </w:tcPr>
          <w:p w14:paraId="163F7C39" w14:textId="2FCBF771" w:rsidR="0084754A" w:rsidRPr="00F07C43" w:rsidRDefault="0084754A" w:rsidP="00D110A8">
            <w:pPr>
              <w:spacing w:after="0"/>
              <w:jc w:val="right"/>
              <w:rPr>
                <w:rFonts w:cs="Arial"/>
                <w:color w:val="000000"/>
                <w:szCs w:val="20"/>
              </w:rPr>
            </w:pPr>
            <w:r w:rsidRPr="007B1BA7">
              <w:rPr>
                <w:rFonts w:cs="Arial"/>
                <w:color w:val="000000"/>
                <w:sz w:val="18"/>
                <w:szCs w:val="20"/>
              </w:rPr>
              <w:t>0.0741958508</w:t>
            </w:r>
          </w:p>
        </w:tc>
        <w:tc>
          <w:tcPr>
            <w:tcW w:w="1329" w:type="dxa"/>
            <w:tcBorders>
              <w:top w:val="nil"/>
              <w:left w:val="nil"/>
              <w:bottom w:val="single" w:sz="4" w:space="0" w:color="auto"/>
              <w:right w:val="single" w:sz="8" w:space="0" w:color="auto"/>
            </w:tcBorders>
            <w:shd w:val="clear" w:color="auto" w:fill="auto"/>
            <w:vAlign w:val="bottom"/>
          </w:tcPr>
          <w:p w14:paraId="1C8D5E44" w14:textId="77777777" w:rsidR="0084754A" w:rsidRPr="00F07C43" w:rsidRDefault="0084754A" w:rsidP="00D110A8">
            <w:pPr>
              <w:spacing w:after="0"/>
              <w:jc w:val="right"/>
              <w:rPr>
                <w:rFonts w:cs="Arial"/>
                <w:color w:val="000000"/>
                <w:szCs w:val="20"/>
              </w:rPr>
            </w:pPr>
            <w:r w:rsidRPr="007B1BA7">
              <w:rPr>
                <w:rFonts w:cs="Arial"/>
                <w:color w:val="000000"/>
                <w:sz w:val="18"/>
                <w:szCs w:val="18"/>
              </w:rPr>
              <w:t>27,256</w:t>
            </w:r>
          </w:p>
        </w:tc>
      </w:tr>
      <w:tr w:rsidR="0084754A" w:rsidRPr="00F07C43" w14:paraId="1D55F083"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46505979" w14:textId="77777777" w:rsidR="0084754A" w:rsidRPr="00F07C43" w:rsidRDefault="0084754A" w:rsidP="00D110A8">
            <w:pPr>
              <w:spacing w:after="0"/>
              <w:rPr>
                <w:rFonts w:cs="Arial"/>
                <w:color w:val="000000"/>
                <w:szCs w:val="20"/>
              </w:rPr>
            </w:pPr>
            <w:r w:rsidRPr="007B1BA7">
              <w:rPr>
                <w:rFonts w:cs="Arial"/>
                <w:color w:val="000000"/>
                <w:sz w:val="18"/>
                <w:szCs w:val="20"/>
              </w:rPr>
              <w:t>10</w:t>
            </w:r>
          </w:p>
        </w:tc>
        <w:tc>
          <w:tcPr>
            <w:tcW w:w="4444" w:type="dxa"/>
            <w:tcBorders>
              <w:top w:val="nil"/>
              <w:left w:val="nil"/>
              <w:bottom w:val="single" w:sz="4" w:space="0" w:color="auto"/>
              <w:right w:val="single" w:sz="4" w:space="0" w:color="auto"/>
            </w:tcBorders>
            <w:shd w:val="clear" w:color="000000" w:fill="FFFFFF"/>
            <w:noWrap/>
            <w:vAlign w:val="bottom"/>
          </w:tcPr>
          <w:p w14:paraId="13855CF0" w14:textId="77777777" w:rsidR="0084754A" w:rsidRPr="00F07C43" w:rsidRDefault="0084754A" w:rsidP="00D110A8">
            <w:pPr>
              <w:spacing w:after="0"/>
              <w:rPr>
                <w:rFonts w:cs="Arial"/>
                <w:color w:val="000000"/>
                <w:szCs w:val="20"/>
              </w:rPr>
            </w:pPr>
            <w:r w:rsidRPr="007B1BA7">
              <w:rPr>
                <w:rFonts w:cs="Arial"/>
                <w:color w:val="000000"/>
                <w:sz w:val="18"/>
                <w:szCs w:val="20"/>
              </w:rPr>
              <w:t xml:space="preserve">Chime Communications Pty Ltd </w:t>
            </w:r>
          </w:p>
        </w:tc>
        <w:tc>
          <w:tcPr>
            <w:tcW w:w="1785" w:type="dxa"/>
            <w:tcBorders>
              <w:top w:val="nil"/>
              <w:left w:val="nil"/>
              <w:bottom w:val="single" w:sz="4" w:space="0" w:color="auto"/>
              <w:right w:val="single" w:sz="8" w:space="0" w:color="auto"/>
            </w:tcBorders>
            <w:shd w:val="clear" w:color="auto" w:fill="auto"/>
            <w:noWrap/>
            <w:vAlign w:val="bottom"/>
          </w:tcPr>
          <w:p w14:paraId="7E4B1ED4" w14:textId="3EE084DD" w:rsidR="0084754A" w:rsidRPr="00F07C43" w:rsidRDefault="0084754A" w:rsidP="00D110A8">
            <w:pPr>
              <w:spacing w:after="0"/>
              <w:jc w:val="right"/>
              <w:rPr>
                <w:rFonts w:cs="Arial"/>
                <w:color w:val="000000"/>
                <w:szCs w:val="20"/>
              </w:rPr>
            </w:pPr>
            <w:r w:rsidRPr="007B1BA7">
              <w:rPr>
                <w:rFonts w:cs="Arial"/>
                <w:color w:val="000000"/>
                <w:sz w:val="18"/>
                <w:szCs w:val="20"/>
              </w:rPr>
              <w:t>0.7740427995</w:t>
            </w:r>
          </w:p>
        </w:tc>
        <w:tc>
          <w:tcPr>
            <w:tcW w:w="1329" w:type="dxa"/>
            <w:tcBorders>
              <w:top w:val="nil"/>
              <w:left w:val="nil"/>
              <w:bottom w:val="single" w:sz="4" w:space="0" w:color="auto"/>
              <w:right w:val="single" w:sz="8" w:space="0" w:color="auto"/>
            </w:tcBorders>
            <w:shd w:val="clear" w:color="auto" w:fill="auto"/>
            <w:vAlign w:val="bottom"/>
          </w:tcPr>
          <w:p w14:paraId="22EA9B56" w14:textId="77777777" w:rsidR="0084754A" w:rsidRPr="00F07C43" w:rsidRDefault="0084754A" w:rsidP="00D110A8">
            <w:pPr>
              <w:spacing w:after="0"/>
              <w:jc w:val="right"/>
              <w:rPr>
                <w:rFonts w:cs="Arial"/>
                <w:color w:val="000000"/>
                <w:szCs w:val="20"/>
              </w:rPr>
            </w:pPr>
            <w:r w:rsidRPr="007B1BA7">
              <w:rPr>
                <w:rFonts w:cs="Arial"/>
                <w:color w:val="000000"/>
                <w:sz w:val="18"/>
                <w:szCs w:val="18"/>
              </w:rPr>
              <w:t>284,351</w:t>
            </w:r>
          </w:p>
        </w:tc>
      </w:tr>
      <w:tr w:rsidR="0084754A" w:rsidRPr="00F07C43" w14:paraId="2F2A62E1"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04F882E6" w14:textId="77777777" w:rsidR="0084754A" w:rsidRPr="00F07C43" w:rsidRDefault="0084754A" w:rsidP="00D110A8">
            <w:pPr>
              <w:spacing w:after="0"/>
              <w:rPr>
                <w:rFonts w:cs="Arial"/>
                <w:color w:val="000000"/>
                <w:szCs w:val="20"/>
              </w:rPr>
            </w:pPr>
            <w:r w:rsidRPr="007B1BA7">
              <w:rPr>
                <w:rFonts w:cs="Arial"/>
                <w:color w:val="000000"/>
                <w:sz w:val="18"/>
                <w:szCs w:val="20"/>
              </w:rPr>
              <w:t>11</w:t>
            </w:r>
          </w:p>
        </w:tc>
        <w:tc>
          <w:tcPr>
            <w:tcW w:w="4444" w:type="dxa"/>
            <w:tcBorders>
              <w:top w:val="nil"/>
              <w:left w:val="nil"/>
              <w:bottom w:val="single" w:sz="4" w:space="0" w:color="auto"/>
              <w:right w:val="single" w:sz="4" w:space="0" w:color="auto"/>
            </w:tcBorders>
            <w:shd w:val="clear" w:color="000000" w:fill="FFFFFF"/>
            <w:noWrap/>
            <w:vAlign w:val="bottom"/>
          </w:tcPr>
          <w:p w14:paraId="4CC25299" w14:textId="77777777" w:rsidR="0084754A" w:rsidRPr="00F07C43" w:rsidRDefault="0084754A" w:rsidP="00D110A8">
            <w:pPr>
              <w:spacing w:after="0"/>
              <w:rPr>
                <w:rFonts w:cs="Arial"/>
                <w:color w:val="000000"/>
                <w:szCs w:val="20"/>
              </w:rPr>
            </w:pPr>
            <w:r w:rsidRPr="007B1BA7">
              <w:rPr>
                <w:rFonts w:cs="Arial"/>
                <w:color w:val="000000"/>
                <w:sz w:val="18"/>
                <w:szCs w:val="20"/>
              </w:rPr>
              <w:t>Integrated Data Labs Pty Ltd</w:t>
            </w:r>
          </w:p>
        </w:tc>
        <w:tc>
          <w:tcPr>
            <w:tcW w:w="1785" w:type="dxa"/>
            <w:tcBorders>
              <w:top w:val="nil"/>
              <w:left w:val="nil"/>
              <w:bottom w:val="single" w:sz="4" w:space="0" w:color="auto"/>
              <w:right w:val="single" w:sz="8" w:space="0" w:color="auto"/>
            </w:tcBorders>
            <w:shd w:val="clear" w:color="auto" w:fill="auto"/>
            <w:noWrap/>
            <w:vAlign w:val="bottom"/>
          </w:tcPr>
          <w:p w14:paraId="55E79564" w14:textId="4655F1D2" w:rsidR="0084754A" w:rsidRPr="00F07C43" w:rsidRDefault="0084754A" w:rsidP="00D110A8">
            <w:pPr>
              <w:spacing w:after="0"/>
              <w:jc w:val="right"/>
              <w:rPr>
                <w:rFonts w:cs="Arial"/>
                <w:color w:val="000000"/>
                <w:szCs w:val="20"/>
              </w:rPr>
            </w:pPr>
            <w:r w:rsidRPr="007B1BA7">
              <w:rPr>
                <w:rFonts w:cs="Arial"/>
                <w:color w:val="000000"/>
                <w:sz w:val="18"/>
                <w:szCs w:val="20"/>
              </w:rPr>
              <w:t>0.0052068061</w:t>
            </w:r>
          </w:p>
        </w:tc>
        <w:tc>
          <w:tcPr>
            <w:tcW w:w="1329" w:type="dxa"/>
            <w:tcBorders>
              <w:top w:val="nil"/>
              <w:left w:val="nil"/>
              <w:bottom w:val="single" w:sz="4" w:space="0" w:color="auto"/>
              <w:right w:val="single" w:sz="8" w:space="0" w:color="auto"/>
            </w:tcBorders>
            <w:shd w:val="clear" w:color="auto" w:fill="auto"/>
            <w:vAlign w:val="bottom"/>
          </w:tcPr>
          <w:p w14:paraId="305B070E" w14:textId="77777777" w:rsidR="0084754A" w:rsidRPr="00F07C43" w:rsidRDefault="0084754A" w:rsidP="00D110A8">
            <w:pPr>
              <w:spacing w:after="0"/>
              <w:jc w:val="right"/>
              <w:rPr>
                <w:rFonts w:cs="Arial"/>
                <w:color w:val="000000"/>
                <w:szCs w:val="20"/>
              </w:rPr>
            </w:pPr>
            <w:r w:rsidRPr="007B1BA7">
              <w:rPr>
                <w:rFonts w:cs="Arial"/>
                <w:color w:val="000000"/>
                <w:sz w:val="18"/>
                <w:szCs w:val="18"/>
              </w:rPr>
              <w:t>1,913</w:t>
            </w:r>
          </w:p>
        </w:tc>
      </w:tr>
      <w:tr w:rsidR="0084754A" w:rsidRPr="00F07C43" w14:paraId="680E3C30"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08200D76" w14:textId="77777777" w:rsidR="0084754A" w:rsidRPr="00F07C43" w:rsidRDefault="0084754A" w:rsidP="00D110A8">
            <w:pPr>
              <w:spacing w:after="0"/>
              <w:rPr>
                <w:rFonts w:cs="Arial"/>
                <w:color w:val="000000"/>
                <w:szCs w:val="20"/>
              </w:rPr>
            </w:pPr>
            <w:r w:rsidRPr="007B1BA7">
              <w:rPr>
                <w:rFonts w:cs="Arial"/>
                <w:color w:val="000000"/>
                <w:sz w:val="18"/>
                <w:szCs w:val="20"/>
              </w:rPr>
              <w:t>12</w:t>
            </w:r>
          </w:p>
        </w:tc>
        <w:tc>
          <w:tcPr>
            <w:tcW w:w="4444" w:type="dxa"/>
            <w:tcBorders>
              <w:top w:val="nil"/>
              <w:left w:val="nil"/>
              <w:bottom w:val="single" w:sz="4" w:space="0" w:color="auto"/>
              <w:right w:val="single" w:sz="4" w:space="0" w:color="auto"/>
            </w:tcBorders>
            <w:shd w:val="clear" w:color="000000" w:fill="FFFFFF"/>
            <w:noWrap/>
            <w:vAlign w:val="bottom"/>
          </w:tcPr>
          <w:p w14:paraId="50B1126D" w14:textId="77777777" w:rsidR="0084754A" w:rsidRPr="00F07C43" w:rsidRDefault="0084754A" w:rsidP="00D110A8">
            <w:pPr>
              <w:spacing w:after="0"/>
              <w:rPr>
                <w:rFonts w:cs="Arial"/>
                <w:color w:val="000000"/>
                <w:szCs w:val="20"/>
              </w:rPr>
            </w:pPr>
            <w:r w:rsidRPr="007B1BA7">
              <w:rPr>
                <w:rFonts w:cs="Arial"/>
                <w:color w:val="000000"/>
                <w:sz w:val="18"/>
                <w:szCs w:val="20"/>
              </w:rPr>
              <w:t>Intelligent IP Communications Pty Ltd</w:t>
            </w:r>
          </w:p>
        </w:tc>
        <w:tc>
          <w:tcPr>
            <w:tcW w:w="1785" w:type="dxa"/>
            <w:tcBorders>
              <w:top w:val="nil"/>
              <w:left w:val="nil"/>
              <w:bottom w:val="single" w:sz="4" w:space="0" w:color="auto"/>
              <w:right w:val="single" w:sz="8" w:space="0" w:color="auto"/>
            </w:tcBorders>
            <w:shd w:val="clear" w:color="auto" w:fill="auto"/>
            <w:noWrap/>
            <w:vAlign w:val="bottom"/>
          </w:tcPr>
          <w:p w14:paraId="341CC008" w14:textId="6A2ACF77" w:rsidR="0084754A" w:rsidRPr="00F07C43" w:rsidRDefault="0084754A" w:rsidP="00D110A8">
            <w:pPr>
              <w:spacing w:after="0"/>
              <w:jc w:val="right"/>
              <w:rPr>
                <w:rFonts w:cs="Arial"/>
                <w:color w:val="000000"/>
                <w:szCs w:val="20"/>
              </w:rPr>
            </w:pPr>
            <w:r w:rsidRPr="007B1BA7">
              <w:rPr>
                <w:rFonts w:cs="Arial"/>
                <w:color w:val="000000"/>
                <w:sz w:val="18"/>
                <w:szCs w:val="20"/>
              </w:rPr>
              <w:t>0.0137871800</w:t>
            </w:r>
          </w:p>
        </w:tc>
        <w:tc>
          <w:tcPr>
            <w:tcW w:w="1329" w:type="dxa"/>
            <w:tcBorders>
              <w:top w:val="nil"/>
              <w:left w:val="nil"/>
              <w:bottom w:val="single" w:sz="4" w:space="0" w:color="auto"/>
              <w:right w:val="single" w:sz="8" w:space="0" w:color="auto"/>
            </w:tcBorders>
            <w:shd w:val="clear" w:color="auto" w:fill="auto"/>
            <w:vAlign w:val="bottom"/>
          </w:tcPr>
          <w:p w14:paraId="4DFFC3FA" w14:textId="77777777" w:rsidR="0084754A" w:rsidRPr="00F07C43" w:rsidRDefault="0084754A" w:rsidP="00D110A8">
            <w:pPr>
              <w:spacing w:after="0"/>
              <w:jc w:val="right"/>
              <w:rPr>
                <w:rFonts w:cs="Arial"/>
                <w:color w:val="000000"/>
                <w:szCs w:val="20"/>
              </w:rPr>
            </w:pPr>
            <w:r w:rsidRPr="007B1BA7">
              <w:rPr>
                <w:rFonts w:cs="Arial"/>
                <w:color w:val="000000"/>
                <w:sz w:val="18"/>
                <w:szCs w:val="18"/>
              </w:rPr>
              <w:t>5,065</w:t>
            </w:r>
          </w:p>
        </w:tc>
      </w:tr>
      <w:tr w:rsidR="0084754A" w:rsidRPr="00F07C43" w14:paraId="72E864D3"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0527ECA3" w14:textId="77777777" w:rsidR="0084754A" w:rsidRPr="00F07C43" w:rsidRDefault="0084754A" w:rsidP="00D110A8">
            <w:pPr>
              <w:spacing w:after="0"/>
              <w:rPr>
                <w:rFonts w:cs="Arial"/>
                <w:color w:val="000000"/>
                <w:szCs w:val="20"/>
              </w:rPr>
            </w:pPr>
            <w:r w:rsidRPr="007B1BA7">
              <w:rPr>
                <w:rFonts w:cs="Arial"/>
                <w:color w:val="000000"/>
                <w:sz w:val="18"/>
                <w:szCs w:val="20"/>
              </w:rPr>
              <w:t>13</w:t>
            </w:r>
          </w:p>
        </w:tc>
        <w:tc>
          <w:tcPr>
            <w:tcW w:w="4444" w:type="dxa"/>
            <w:tcBorders>
              <w:top w:val="nil"/>
              <w:left w:val="nil"/>
              <w:bottom w:val="single" w:sz="4" w:space="0" w:color="auto"/>
              <w:right w:val="single" w:sz="4" w:space="0" w:color="auto"/>
            </w:tcBorders>
            <w:shd w:val="clear" w:color="000000" w:fill="FFFFFF"/>
            <w:noWrap/>
            <w:vAlign w:val="bottom"/>
          </w:tcPr>
          <w:p w14:paraId="67ADCB9B" w14:textId="77777777" w:rsidR="0084754A" w:rsidRPr="00F07C43" w:rsidRDefault="0084754A" w:rsidP="00D110A8">
            <w:pPr>
              <w:spacing w:after="0"/>
              <w:rPr>
                <w:rFonts w:cs="Arial"/>
                <w:color w:val="000000"/>
                <w:szCs w:val="20"/>
              </w:rPr>
            </w:pPr>
            <w:r w:rsidRPr="007B1BA7">
              <w:rPr>
                <w:rFonts w:cs="Arial"/>
                <w:color w:val="000000"/>
                <w:sz w:val="18"/>
                <w:szCs w:val="20"/>
              </w:rPr>
              <w:t>iPSTAR Australia Pty Ltd</w:t>
            </w:r>
          </w:p>
        </w:tc>
        <w:tc>
          <w:tcPr>
            <w:tcW w:w="1785" w:type="dxa"/>
            <w:tcBorders>
              <w:top w:val="nil"/>
              <w:left w:val="nil"/>
              <w:bottom w:val="single" w:sz="4" w:space="0" w:color="auto"/>
              <w:right w:val="single" w:sz="8" w:space="0" w:color="auto"/>
            </w:tcBorders>
            <w:shd w:val="clear" w:color="auto" w:fill="auto"/>
            <w:noWrap/>
            <w:vAlign w:val="bottom"/>
          </w:tcPr>
          <w:p w14:paraId="1168E176" w14:textId="076601B1" w:rsidR="0084754A" w:rsidRPr="00F07C43" w:rsidRDefault="0084754A" w:rsidP="00D110A8">
            <w:pPr>
              <w:spacing w:after="0"/>
              <w:jc w:val="right"/>
              <w:rPr>
                <w:rFonts w:cs="Arial"/>
                <w:color w:val="000000"/>
                <w:szCs w:val="20"/>
              </w:rPr>
            </w:pPr>
            <w:r w:rsidRPr="007B1BA7">
              <w:rPr>
                <w:rFonts w:cs="Arial"/>
                <w:color w:val="000000"/>
                <w:sz w:val="18"/>
                <w:szCs w:val="20"/>
              </w:rPr>
              <w:t>0.1451462471</w:t>
            </w:r>
          </w:p>
        </w:tc>
        <w:tc>
          <w:tcPr>
            <w:tcW w:w="1329" w:type="dxa"/>
            <w:tcBorders>
              <w:top w:val="nil"/>
              <w:left w:val="nil"/>
              <w:bottom w:val="single" w:sz="4" w:space="0" w:color="auto"/>
              <w:right w:val="single" w:sz="8" w:space="0" w:color="auto"/>
            </w:tcBorders>
            <w:shd w:val="clear" w:color="auto" w:fill="auto"/>
            <w:vAlign w:val="bottom"/>
          </w:tcPr>
          <w:p w14:paraId="7F9E31C6" w14:textId="77777777" w:rsidR="0084754A" w:rsidRPr="00F07C43" w:rsidRDefault="0084754A" w:rsidP="00D110A8">
            <w:pPr>
              <w:spacing w:after="0"/>
              <w:jc w:val="right"/>
              <w:rPr>
                <w:rFonts w:cs="Arial"/>
                <w:color w:val="000000"/>
                <w:szCs w:val="20"/>
              </w:rPr>
            </w:pPr>
            <w:r w:rsidRPr="007B1BA7">
              <w:rPr>
                <w:rFonts w:cs="Arial"/>
                <w:color w:val="000000"/>
                <w:sz w:val="18"/>
                <w:szCs w:val="18"/>
              </w:rPr>
              <w:t>53,321</w:t>
            </w:r>
          </w:p>
        </w:tc>
      </w:tr>
      <w:tr w:rsidR="0084754A" w:rsidRPr="00F07C43" w14:paraId="4DB64DC8"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5870E212" w14:textId="77777777" w:rsidR="0084754A" w:rsidRPr="00F07C43" w:rsidRDefault="0084754A" w:rsidP="00D110A8">
            <w:pPr>
              <w:spacing w:after="0"/>
              <w:rPr>
                <w:rFonts w:cs="Arial"/>
                <w:color w:val="000000"/>
                <w:szCs w:val="20"/>
              </w:rPr>
            </w:pPr>
            <w:r w:rsidRPr="007B1BA7">
              <w:rPr>
                <w:rFonts w:cs="Arial"/>
                <w:color w:val="000000"/>
                <w:sz w:val="18"/>
                <w:szCs w:val="20"/>
              </w:rPr>
              <w:t>14</w:t>
            </w:r>
          </w:p>
        </w:tc>
        <w:tc>
          <w:tcPr>
            <w:tcW w:w="4444" w:type="dxa"/>
            <w:tcBorders>
              <w:top w:val="nil"/>
              <w:left w:val="nil"/>
              <w:bottom w:val="single" w:sz="4" w:space="0" w:color="auto"/>
              <w:right w:val="single" w:sz="4" w:space="0" w:color="auto"/>
            </w:tcBorders>
            <w:shd w:val="clear" w:color="000000" w:fill="FFFFFF"/>
            <w:noWrap/>
            <w:vAlign w:val="bottom"/>
          </w:tcPr>
          <w:p w14:paraId="7D9DAA45" w14:textId="77777777" w:rsidR="0084754A" w:rsidRPr="00F07C43" w:rsidRDefault="0084754A" w:rsidP="00D110A8">
            <w:pPr>
              <w:spacing w:after="0"/>
              <w:rPr>
                <w:rFonts w:cs="Arial"/>
                <w:color w:val="000000"/>
                <w:szCs w:val="20"/>
              </w:rPr>
            </w:pPr>
            <w:r w:rsidRPr="007B1BA7">
              <w:rPr>
                <w:rFonts w:cs="Arial"/>
                <w:color w:val="000000"/>
                <w:sz w:val="18"/>
                <w:szCs w:val="20"/>
              </w:rPr>
              <w:t>Macquarie Telecom Pty Ltd</w:t>
            </w:r>
          </w:p>
        </w:tc>
        <w:tc>
          <w:tcPr>
            <w:tcW w:w="1785" w:type="dxa"/>
            <w:tcBorders>
              <w:top w:val="nil"/>
              <w:left w:val="nil"/>
              <w:bottom w:val="single" w:sz="4" w:space="0" w:color="auto"/>
              <w:right w:val="single" w:sz="8" w:space="0" w:color="auto"/>
            </w:tcBorders>
            <w:shd w:val="clear" w:color="auto" w:fill="auto"/>
            <w:noWrap/>
            <w:vAlign w:val="bottom"/>
          </w:tcPr>
          <w:p w14:paraId="249A2230" w14:textId="6F5BA7A2" w:rsidR="0084754A" w:rsidRPr="00F07C43" w:rsidRDefault="0084754A" w:rsidP="00D110A8">
            <w:pPr>
              <w:spacing w:after="0"/>
              <w:jc w:val="right"/>
              <w:rPr>
                <w:rFonts w:cs="Arial"/>
                <w:color w:val="000000"/>
                <w:szCs w:val="20"/>
              </w:rPr>
            </w:pPr>
            <w:r w:rsidRPr="007B1BA7">
              <w:rPr>
                <w:rFonts w:cs="Arial"/>
                <w:color w:val="000000"/>
                <w:sz w:val="18"/>
                <w:szCs w:val="20"/>
              </w:rPr>
              <w:t>0.2492185867</w:t>
            </w:r>
          </w:p>
        </w:tc>
        <w:tc>
          <w:tcPr>
            <w:tcW w:w="1329" w:type="dxa"/>
            <w:tcBorders>
              <w:top w:val="nil"/>
              <w:left w:val="nil"/>
              <w:bottom w:val="single" w:sz="4" w:space="0" w:color="auto"/>
              <w:right w:val="single" w:sz="8" w:space="0" w:color="auto"/>
            </w:tcBorders>
            <w:shd w:val="clear" w:color="auto" w:fill="auto"/>
            <w:vAlign w:val="bottom"/>
          </w:tcPr>
          <w:p w14:paraId="481E4E80" w14:textId="77777777" w:rsidR="0084754A" w:rsidRPr="00F07C43" w:rsidRDefault="0084754A" w:rsidP="00D110A8">
            <w:pPr>
              <w:spacing w:after="0"/>
              <w:jc w:val="right"/>
              <w:rPr>
                <w:rFonts w:cs="Arial"/>
                <w:color w:val="000000"/>
                <w:szCs w:val="20"/>
              </w:rPr>
            </w:pPr>
            <w:r w:rsidRPr="007B1BA7">
              <w:rPr>
                <w:rFonts w:cs="Arial"/>
                <w:color w:val="000000"/>
                <w:sz w:val="18"/>
                <w:szCs w:val="18"/>
              </w:rPr>
              <w:t>91,552</w:t>
            </w:r>
          </w:p>
        </w:tc>
      </w:tr>
      <w:tr w:rsidR="0084754A" w:rsidRPr="00F07C43" w14:paraId="72536D39"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65D2BDDB" w14:textId="77777777" w:rsidR="0084754A" w:rsidRPr="00F07C43" w:rsidRDefault="0084754A" w:rsidP="00D110A8">
            <w:pPr>
              <w:spacing w:after="0"/>
              <w:rPr>
                <w:rFonts w:cs="Arial"/>
                <w:color w:val="000000"/>
                <w:szCs w:val="20"/>
              </w:rPr>
            </w:pPr>
            <w:r w:rsidRPr="007B1BA7">
              <w:rPr>
                <w:rFonts w:cs="Arial"/>
                <w:color w:val="000000"/>
                <w:sz w:val="18"/>
                <w:szCs w:val="20"/>
              </w:rPr>
              <w:t>15</w:t>
            </w:r>
          </w:p>
        </w:tc>
        <w:tc>
          <w:tcPr>
            <w:tcW w:w="4444" w:type="dxa"/>
            <w:tcBorders>
              <w:top w:val="nil"/>
              <w:left w:val="nil"/>
              <w:bottom w:val="single" w:sz="4" w:space="0" w:color="auto"/>
              <w:right w:val="single" w:sz="4" w:space="0" w:color="auto"/>
            </w:tcBorders>
            <w:shd w:val="clear" w:color="000000" w:fill="FFFFFF"/>
            <w:noWrap/>
            <w:vAlign w:val="bottom"/>
          </w:tcPr>
          <w:p w14:paraId="60CA7058" w14:textId="77777777" w:rsidR="0084754A" w:rsidRPr="00F07C43" w:rsidRDefault="0084754A" w:rsidP="00D110A8">
            <w:pPr>
              <w:spacing w:after="0"/>
              <w:rPr>
                <w:rFonts w:cs="Arial"/>
                <w:color w:val="000000"/>
                <w:szCs w:val="20"/>
              </w:rPr>
            </w:pPr>
            <w:r w:rsidRPr="007B1BA7">
              <w:rPr>
                <w:rFonts w:cs="Arial"/>
                <w:color w:val="000000"/>
                <w:sz w:val="18"/>
                <w:szCs w:val="20"/>
              </w:rPr>
              <w:t>New Skies Satellites Australia Pty Ltd</w:t>
            </w:r>
          </w:p>
        </w:tc>
        <w:tc>
          <w:tcPr>
            <w:tcW w:w="1785" w:type="dxa"/>
            <w:tcBorders>
              <w:top w:val="nil"/>
              <w:left w:val="nil"/>
              <w:bottom w:val="single" w:sz="4" w:space="0" w:color="auto"/>
              <w:right w:val="single" w:sz="8" w:space="0" w:color="auto"/>
            </w:tcBorders>
            <w:shd w:val="clear" w:color="auto" w:fill="auto"/>
            <w:noWrap/>
            <w:vAlign w:val="bottom"/>
          </w:tcPr>
          <w:p w14:paraId="5144CE7D" w14:textId="2A3AE4DE" w:rsidR="0084754A" w:rsidRPr="00F07C43" w:rsidRDefault="0084754A" w:rsidP="00D110A8">
            <w:pPr>
              <w:spacing w:after="0"/>
              <w:jc w:val="right"/>
              <w:rPr>
                <w:rFonts w:cs="Arial"/>
                <w:color w:val="000000"/>
                <w:szCs w:val="20"/>
              </w:rPr>
            </w:pPr>
            <w:r w:rsidRPr="007B1BA7">
              <w:rPr>
                <w:rFonts w:cs="Arial"/>
                <w:color w:val="000000"/>
                <w:sz w:val="18"/>
                <w:szCs w:val="20"/>
              </w:rPr>
              <w:t>0.1243193335</w:t>
            </w:r>
          </w:p>
        </w:tc>
        <w:tc>
          <w:tcPr>
            <w:tcW w:w="1329" w:type="dxa"/>
            <w:tcBorders>
              <w:top w:val="nil"/>
              <w:left w:val="nil"/>
              <w:bottom w:val="single" w:sz="4" w:space="0" w:color="auto"/>
              <w:right w:val="single" w:sz="8" w:space="0" w:color="auto"/>
            </w:tcBorders>
            <w:shd w:val="clear" w:color="auto" w:fill="auto"/>
            <w:vAlign w:val="bottom"/>
          </w:tcPr>
          <w:p w14:paraId="57B2682D" w14:textId="77777777" w:rsidR="0084754A" w:rsidRPr="00F07C43" w:rsidRDefault="0084754A" w:rsidP="00D110A8">
            <w:pPr>
              <w:spacing w:after="0"/>
              <w:jc w:val="right"/>
              <w:rPr>
                <w:rFonts w:cs="Arial"/>
                <w:color w:val="000000"/>
                <w:szCs w:val="20"/>
              </w:rPr>
            </w:pPr>
            <w:r w:rsidRPr="007B1BA7">
              <w:rPr>
                <w:rFonts w:cs="Arial"/>
                <w:color w:val="000000"/>
                <w:sz w:val="18"/>
                <w:szCs w:val="18"/>
              </w:rPr>
              <w:t>45,670</w:t>
            </w:r>
          </w:p>
        </w:tc>
      </w:tr>
      <w:tr w:rsidR="0084754A" w:rsidRPr="00F07C43" w14:paraId="3550BB3D"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05920C9C" w14:textId="77777777" w:rsidR="0084754A" w:rsidRPr="00F07C43" w:rsidRDefault="0084754A" w:rsidP="00D110A8">
            <w:pPr>
              <w:spacing w:after="0"/>
              <w:rPr>
                <w:rFonts w:cs="Arial"/>
                <w:color w:val="000000"/>
                <w:szCs w:val="20"/>
              </w:rPr>
            </w:pPr>
            <w:r w:rsidRPr="007B1BA7">
              <w:rPr>
                <w:rFonts w:cs="Arial"/>
                <w:color w:val="000000"/>
                <w:sz w:val="18"/>
                <w:szCs w:val="20"/>
              </w:rPr>
              <w:t>16</w:t>
            </w:r>
          </w:p>
        </w:tc>
        <w:tc>
          <w:tcPr>
            <w:tcW w:w="4444" w:type="dxa"/>
            <w:tcBorders>
              <w:top w:val="nil"/>
              <w:left w:val="nil"/>
              <w:bottom w:val="single" w:sz="4" w:space="0" w:color="auto"/>
              <w:right w:val="single" w:sz="4" w:space="0" w:color="auto"/>
            </w:tcBorders>
            <w:shd w:val="clear" w:color="000000" w:fill="FFFFFF"/>
            <w:noWrap/>
            <w:vAlign w:val="bottom"/>
          </w:tcPr>
          <w:p w14:paraId="4EFA7B89" w14:textId="77777777" w:rsidR="0084754A" w:rsidRPr="00F07C43" w:rsidRDefault="0084754A" w:rsidP="00D110A8">
            <w:pPr>
              <w:spacing w:after="0"/>
              <w:rPr>
                <w:rFonts w:cs="Arial"/>
                <w:color w:val="000000"/>
                <w:szCs w:val="20"/>
              </w:rPr>
            </w:pPr>
            <w:r w:rsidRPr="007B1BA7">
              <w:rPr>
                <w:rFonts w:cs="Arial"/>
                <w:color w:val="000000"/>
                <w:sz w:val="18"/>
                <w:szCs w:val="20"/>
              </w:rPr>
              <w:t>Nextgen Networks Pty Ltd</w:t>
            </w:r>
          </w:p>
        </w:tc>
        <w:tc>
          <w:tcPr>
            <w:tcW w:w="1785" w:type="dxa"/>
            <w:tcBorders>
              <w:top w:val="nil"/>
              <w:left w:val="nil"/>
              <w:bottom w:val="single" w:sz="4" w:space="0" w:color="auto"/>
              <w:right w:val="single" w:sz="8" w:space="0" w:color="auto"/>
            </w:tcBorders>
            <w:shd w:val="clear" w:color="auto" w:fill="auto"/>
            <w:noWrap/>
            <w:vAlign w:val="bottom"/>
          </w:tcPr>
          <w:p w14:paraId="7A621FD1" w14:textId="306AEB98" w:rsidR="0084754A" w:rsidRPr="00F07C43" w:rsidRDefault="0084754A" w:rsidP="00D110A8">
            <w:pPr>
              <w:spacing w:after="0"/>
              <w:jc w:val="right"/>
              <w:rPr>
                <w:rFonts w:cs="Arial"/>
                <w:color w:val="000000"/>
                <w:szCs w:val="20"/>
              </w:rPr>
            </w:pPr>
            <w:r w:rsidRPr="007B1BA7">
              <w:rPr>
                <w:rFonts w:cs="Arial"/>
                <w:color w:val="000000"/>
                <w:sz w:val="18"/>
                <w:szCs w:val="20"/>
              </w:rPr>
              <w:t>0.5648903533</w:t>
            </w:r>
          </w:p>
        </w:tc>
        <w:tc>
          <w:tcPr>
            <w:tcW w:w="1329" w:type="dxa"/>
            <w:tcBorders>
              <w:top w:val="nil"/>
              <w:left w:val="nil"/>
              <w:bottom w:val="single" w:sz="4" w:space="0" w:color="auto"/>
              <w:right w:val="single" w:sz="8" w:space="0" w:color="auto"/>
            </w:tcBorders>
            <w:shd w:val="clear" w:color="auto" w:fill="auto"/>
            <w:vAlign w:val="bottom"/>
          </w:tcPr>
          <w:p w14:paraId="216B8818" w14:textId="77777777" w:rsidR="0084754A" w:rsidRPr="00F07C43" w:rsidRDefault="0084754A" w:rsidP="00D110A8">
            <w:pPr>
              <w:spacing w:after="0"/>
              <w:jc w:val="right"/>
              <w:rPr>
                <w:rFonts w:cs="Arial"/>
                <w:color w:val="000000"/>
                <w:szCs w:val="20"/>
              </w:rPr>
            </w:pPr>
            <w:r w:rsidRPr="007B1BA7">
              <w:rPr>
                <w:rFonts w:cs="Arial"/>
                <w:color w:val="000000"/>
                <w:sz w:val="18"/>
                <w:szCs w:val="18"/>
              </w:rPr>
              <w:t>207,517</w:t>
            </w:r>
          </w:p>
        </w:tc>
      </w:tr>
      <w:tr w:rsidR="0084754A" w:rsidRPr="00F07C43" w14:paraId="2D367A64"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752BE7AD" w14:textId="77777777" w:rsidR="0084754A" w:rsidRPr="00F07C43" w:rsidRDefault="0084754A" w:rsidP="00D110A8">
            <w:pPr>
              <w:spacing w:after="0"/>
              <w:rPr>
                <w:rFonts w:cs="Arial"/>
                <w:color w:val="000000"/>
                <w:szCs w:val="20"/>
              </w:rPr>
            </w:pPr>
            <w:r w:rsidRPr="007B1BA7">
              <w:rPr>
                <w:rFonts w:cs="Arial"/>
                <w:color w:val="000000"/>
                <w:sz w:val="18"/>
                <w:szCs w:val="20"/>
              </w:rPr>
              <w:t>17</w:t>
            </w:r>
          </w:p>
        </w:tc>
        <w:tc>
          <w:tcPr>
            <w:tcW w:w="4444" w:type="dxa"/>
            <w:tcBorders>
              <w:top w:val="nil"/>
              <w:left w:val="nil"/>
              <w:bottom w:val="single" w:sz="4" w:space="0" w:color="auto"/>
              <w:right w:val="single" w:sz="4" w:space="0" w:color="auto"/>
            </w:tcBorders>
            <w:shd w:val="clear" w:color="000000" w:fill="FFFFFF"/>
            <w:noWrap/>
            <w:vAlign w:val="bottom"/>
          </w:tcPr>
          <w:p w14:paraId="3063D3DB" w14:textId="77777777" w:rsidR="0084754A" w:rsidRPr="00F07C43" w:rsidRDefault="0084754A" w:rsidP="00D110A8">
            <w:pPr>
              <w:spacing w:after="0"/>
              <w:rPr>
                <w:rFonts w:cs="Arial"/>
                <w:color w:val="000000"/>
                <w:szCs w:val="20"/>
              </w:rPr>
            </w:pPr>
            <w:r w:rsidRPr="007B1BA7">
              <w:rPr>
                <w:rFonts w:cs="Arial"/>
                <w:color w:val="000000"/>
                <w:sz w:val="18"/>
                <w:szCs w:val="20"/>
              </w:rPr>
              <w:t>Nextgen Telecom (WA) Pty Ltd</w:t>
            </w:r>
          </w:p>
        </w:tc>
        <w:tc>
          <w:tcPr>
            <w:tcW w:w="1785" w:type="dxa"/>
            <w:tcBorders>
              <w:top w:val="nil"/>
              <w:left w:val="nil"/>
              <w:bottom w:val="single" w:sz="4" w:space="0" w:color="auto"/>
              <w:right w:val="single" w:sz="8" w:space="0" w:color="auto"/>
            </w:tcBorders>
            <w:shd w:val="clear" w:color="auto" w:fill="auto"/>
            <w:noWrap/>
            <w:vAlign w:val="bottom"/>
          </w:tcPr>
          <w:p w14:paraId="00C343B7" w14:textId="38CE79D2" w:rsidR="0084754A" w:rsidRPr="00F07C43" w:rsidRDefault="00E50A27" w:rsidP="00D110A8">
            <w:pPr>
              <w:spacing w:after="0"/>
              <w:jc w:val="right"/>
              <w:rPr>
                <w:rFonts w:cs="Arial"/>
                <w:color w:val="000000"/>
                <w:szCs w:val="20"/>
              </w:rPr>
            </w:pPr>
            <w:r>
              <w:rPr>
                <w:rFonts w:cs="Arial"/>
                <w:color w:val="000000"/>
                <w:sz w:val="18"/>
                <w:szCs w:val="20"/>
              </w:rPr>
              <w:t>0.000032990</w:t>
            </w:r>
          </w:p>
        </w:tc>
        <w:tc>
          <w:tcPr>
            <w:tcW w:w="1329" w:type="dxa"/>
            <w:tcBorders>
              <w:top w:val="nil"/>
              <w:left w:val="nil"/>
              <w:bottom w:val="single" w:sz="4" w:space="0" w:color="auto"/>
              <w:right w:val="single" w:sz="8" w:space="0" w:color="auto"/>
            </w:tcBorders>
            <w:shd w:val="clear" w:color="auto" w:fill="auto"/>
            <w:vAlign w:val="bottom"/>
          </w:tcPr>
          <w:p w14:paraId="5E097E13" w14:textId="77777777" w:rsidR="0084754A" w:rsidRPr="00F07C43" w:rsidRDefault="0084754A" w:rsidP="00D110A8">
            <w:pPr>
              <w:spacing w:after="0"/>
              <w:jc w:val="right"/>
              <w:rPr>
                <w:rFonts w:cs="Arial"/>
                <w:color w:val="000000"/>
                <w:szCs w:val="20"/>
              </w:rPr>
            </w:pPr>
            <w:r w:rsidRPr="007B1BA7">
              <w:rPr>
                <w:rFonts w:cs="Arial"/>
                <w:color w:val="000000"/>
                <w:sz w:val="18"/>
                <w:szCs w:val="18"/>
              </w:rPr>
              <w:t>12</w:t>
            </w:r>
          </w:p>
        </w:tc>
      </w:tr>
      <w:tr w:rsidR="0084754A" w:rsidRPr="00F07C43" w14:paraId="3783BC4D"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1E022B51" w14:textId="77777777" w:rsidR="0084754A" w:rsidRPr="00F07C43" w:rsidRDefault="0084754A" w:rsidP="00D110A8">
            <w:pPr>
              <w:spacing w:after="0"/>
              <w:rPr>
                <w:rFonts w:cs="Arial"/>
                <w:color w:val="000000"/>
                <w:szCs w:val="20"/>
              </w:rPr>
            </w:pPr>
            <w:r w:rsidRPr="007B1BA7">
              <w:rPr>
                <w:rFonts w:cs="Arial"/>
                <w:color w:val="000000"/>
                <w:sz w:val="18"/>
                <w:szCs w:val="20"/>
              </w:rPr>
              <w:t>18</w:t>
            </w:r>
          </w:p>
        </w:tc>
        <w:tc>
          <w:tcPr>
            <w:tcW w:w="4444" w:type="dxa"/>
            <w:tcBorders>
              <w:top w:val="nil"/>
              <w:left w:val="nil"/>
              <w:bottom w:val="single" w:sz="4" w:space="0" w:color="auto"/>
              <w:right w:val="single" w:sz="4" w:space="0" w:color="auto"/>
            </w:tcBorders>
            <w:shd w:val="clear" w:color="000000" w:fill="FFFFFF"/>
            <w:noWrap/>
            <w:vAlign w:val="bottom"/>
          </w:tcPr>
          <w:p w14:paraId="544485DC" w14:textId="77777777" w:rsidR="0084754A" w:rsidRPr="00F07C43" w:rsidRDefault="0084754A" w:rsidP="00D110A8">
            <w:pPr>
              <w:spacing w:after="0"/>
              <w:rPr>
                <w:rFonts w:cs="Arial"/>
                <w:color w:val="000000"/>
                <w:szCs w:val="20"/>
              </w:rPr>
            </w:pPr>
            <w:r w:rsidRPr="007B1BA7">
              <w:rPr>
                <w:rFonts w:cs="Arial"/>
                <w:color w:val="000000"/>
                <w:sz w:val="18"/>
                <w:szCs w:val="20"/>
              </w:rPr>
              <w:t>Nextgen Telecom Pty Ltd</w:t>
            </w:r>
          </w:p>
        </w:tc>
        <w:tc>
          <w:tcPr>
            <w:tcW w:w="1785" w:type="dxa"/>
            <w:tcBorders>
              <w:top w:val="nil"/>
              <w:left w:val="nil"/>
              <w:bottom w:val="single" w:sz="4" w:space="0" w:color="auto"/>
              <w:right w:val="single" w:sz="8" w:space="0" w:color="auto"/>
            </w:tcBorders>
            <w:shd w:val="clear" w:color="auto" w:fill="auto"/>
            <w:noWrap/>
            <w:vAlign w:val="bottom"/>
          </w:tcPr>
          <w:p w14:paraId="63D0350B" w14:textId="10DD02FC" w:rsidR="0084754A" w:rsidRPr="00F07C43" w:rsidRDefault="0084754A" w:rsidP="00D110A8">
            <w:pPr>
              <w:spacing w:after="0"/>
              <w:jc w:val="right"/>
              <w:rPr>
                <w:rFonts w:cs="Arial"/>
                <w:color w:val="000000"/>
                <w:szCs w:val="20"/>
              </w:rPr>
            </w:pPr>
            <w:r w:rsidRPr="007B1BA7">
              <w:rPr>
                <w:rFonts w:cs="Arial"/>
                <w:color w:val="000000"/>
                <w:sz w:val="18"/>
                <w:szCs w:val="20"/>
              </w:rPr>
              <w:t>0.0018654695</w:t>
            </w:r>
          </w:p>
        </w:tc>
        <w:tc>
          <w:tcPr>
            <w:tcW w:w="1329" w:type="dxa"/>
            <w:tcBorders>
              <w:top w:val="nil"/>
              <w:left w:val="nil"/>
              <w:bottom w:val="single" w:sz="4" w:space="0" w:color="auto"/>
              <w:right w:val="single" w:sz="8" w:space="0" w:color="auto"/>
            </w:tcBorders>
            <w:shd w:val="clear" w:color="auto" w:fill="auto"/>
            <w:vAlign w:val="bottom"/>
          </w:tcPr>
          <w:p w14:paraId="458FC4F5" w14:textId="77777777" w:rsidR="0084754A" w:rsidRPr="00F07C43" w:rsidRDefault="0084754A" w:rsidP="00D110A8">
            <w:pPr>
              <w:spacing w:after="0"/>
              <w:jc w:val="right"/>
              <w:rPr>
                <w:rFonts w:cs="Arial"/>
                <w:color w:val="000000"/>
                <w:szCs w:val="20"/>
              </w:rPr>
            </w:pPr>
            <w:r w:rsidRPr="007B1BA7">
              <w:rPr>
                <w:rFonts w:cs="Arial"/>
                <w:color w:val="000000"/>
                <w:sz w:val="18"/>
                <w:szCs w:val="18"/>
              </w:rPr>
              <w:t>685</w:t>
            </w:r>
          </w:p>
        </w:tc>
      </w:tr>
      <w:tr w:rsidR="0084754A" w:rsidRPr="00F07C43" w14:paraId="6C2E05A3"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53DBB2E2" w14:textId="77777777" w:rsidR="0084754A" w:rsidRPr="00F07C43" w:rsidRDefault="0084754A" w:rsidP="00D110A8">
            <w:pPr>
              <w:spacing w:after="0"/>
              <w:rPr>
                <w:rFonts w:cs="Arial"/>
                <w:color w:val="000000"/>
                <w:szCs w:val="20"/>
              </w:rPr>
            </w:pPr>
            <w:r w:rsidRPr="007B1BA7">
              <w:rPr>
                <w:rFonts w:cs="Arial"/>
                <w:color w:val="000000"/>
                <w:sz w:val="18"/>
                <w:szCs w:val="20"/>
              </w:rPr>
              <w:t>19</w:t>
            </w:r>
          </w:p>
        </w:tc>
        <w:tc>
          <w:tcPr>
            <w:tcW w:w="4444" w:type="dxa"/>
            <w:tcBorders>
              <w:top w:val="nil"/>
              <w:left w:val="nil"/>
              <w:bottom w:val="single" w:sz="4" w:space="0" w:color="auto"/>
              <w:right w:val="single" w:sz="4" w:space="0" w:color="auto"/>
            </w:tcBorders>
            <w:shd w:val="clear" w:color="000000" w:fill="FFFFFF"/>
            <w:noWrap/>
            <w:vAlign w:val="bottom"/>
          </w:tcPr>
          <w:p w14:paraId="2E6A6AEF" w14:textId="77777777" w:rsidR="0084754A" w:rsidRPr="00F07C43" w:rsidRDefault="0084754A" w:rsidP="00D110A8">
            <w:pPr>
              <w:spacing w:after="0"/>
              <w:rPr>
                <w:rFonts w:cs="Arial"/>
                <w:color w:val="000000"/>
                <w:szCs w:val="20"/>
              </w:rPr>
            </w:pPr>
            <w:r w:rsidRPr="007B1BA7">
              <w:rPr>
                <w:rFonts w:cs="Arial"/>
                <w:color w:val="000000"/>
                <w:sz w:val="18"/>
                <w:szCs w:val="20"/>
              </w:rPr>
              <w:t>Office des Postes et Telecommunications</w:t>
            </w:r>
          </w:p>
        </w:tc>
        <w:tc>
          <w:tcPr>
            <w:tcW w:w="1785" w:type="dxa"/>
            <w:tcBorders>
              <w:top w:val="nil"/>
              <w:left w:val="nil"/>
              <w:bottom w:val="single" w:sz="4" w:space="0" w:color="auto"/>
              <w:right w:val="single" w:sz="8" w:space="0" w:color="auto"/>
            </w:tcBorders>
            <w:shd w:val="clear" w:color="auto" w:fill="auto"/>
            <w:noWrap/>
            <w:vAlign w:val="bottom"/>
          </w:tcPr>
          <w:p w14:paraId="43951CB4" w14:textId="343646E4" w:rsidR="0084754A" w:rsidRPr="00F07C43" w:rsidRDefault="00E50A27" w:rsidP="00D110A8">
            <w:pPr>
              <w:spacing w:after="0"/>
              <w:jc w:val="right"/>
              <w:rPr>
                <w:rFonts w:cs="Arial"/>
                <w:color w:val="000000"/>
                <w:szCs w:val="20"/>
              </w:rPr>
            </w:pPr>
            <w:r>
              <w:rPr>
                <w:rFonts w:cs="Arial"/>
                <w:color w:val="000000"/>
                <w:sz w:val="18"/>
                <w:szCs w:val="20"/>
              </w:rPr>
              <w:t>0.108103629</w:t>
            </w:r>
          </w:p>
        </w:tc>
        <w:tc>
          <w:tcPr>
            <w:tcW w:w="1329" w:type="dxa"/>
            <w:tcBorders>
              <w:top w:val="nil"/>
              <w:left w:val="nil"/>
              <w:bottom w:val="single" w:sz="4" w:space="0" w:color="auto"/>
              <w:right w:val="single" w:sz="8" w:space="0" w:color="auto"/>
            </w:tcBorders>
            <w:shd w:val="clear" w:color="auto" w:fill="auto"/>
            <w:vAlign w:val="bottom"/>
          </w:tcPr>
          <w:p w14:paraId="4A7B02FA" w14:textId="77777777" w:rsidR="0084754A" w:rsidRPr="00F07C43" w:rsidRDefault="0084754A" w:rsidP="00D110A8">
            <w:pPr>
              <w:spacing w:after="0"/>
              <w:jc w:val="right"/>
              <w:rPr>
                <w:rFonts w:cs="Arial"/>
                <w:color w:val="000000"/>
                <w:szCs w:val="20"/>
              </w:rPr>
            </w:pPr>
            <w:r w:rsidRPr="007B1BA7">
              <w:rPr>
                <w:rFonts w:cs="Arial"/>
                <w:color w:val="000000"/>
                <w:sz w:val="18"/>
                <w:szCs w:val="18"/>
              </w:rPr>
              <w:t>39,713</w:t>
            </w:r>
          </w:p>
        </w:tc>
      </w:tr>
      <w:tr w:rsidR="0084754A" w:rsidRPr="00F07C43" w14:paraId="0C36BCF0"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3C9B2FBB" w14:textId="77777777" w:rsidR="0084754A" w:rsidRPr="00F07C43" w:rsidRDefault="0084754A" w:rsidP="00D110A8">
            <w:pPr>
              <w:spacing w:after="0"/>
              <w:rPr>
                <w:rFonts w:cs="Arial"/>
                <w:color w:val="000000"/>
                <w:szCs w:val="20"/>
              </w:rPr>
            </w:pPr>
            <w:r w:rsidRPr="007B1BA7">
              <w:rPr>
                <w:rFonts w:cs="Arial"/>
                <w:color w:val="000000"/>
                <w:sz w:val="18"/>
                <w:szCs w:val="20"/>
              </w:rPr>
              <w:t>20</w:t>
            </w:r>
          </w:p>
        </w:tc>
        <w:tc>
          <w:tcPr>
            <w:tcW w:w="4444" w:type="dxa"/>
            <w:tcBorders>
              <w:top w:val="nil"/>
              <w:left w:val="nil"/>
              <w:bottom w:val="single" w:sz="4" w:space="0" w:color="auto"/>
              <w:right w:val="single" w:sz="4" w:space="0" w:color="auto"/>
            </w:tcBorders>
            <w:shd w:val="clear" w:color="000000" w:fill="FFFFFF"/>
            <w:noWrap/>
            <w:vAlign w:val="bottom"/>
          </w:tcPr>
          <w:p w14:paraId="2882F9F8" w14:textId="77777777" w:rsidR="0084754A" w:rsidRPr="00F07C43" w:rsidRDefault="0084754A" w:rsidP="00D110A8">
            <w:pPr>
              <w:spacing w:after="0"/>
              <w:rPr>
                <w:rFonts w:cs="Arial"/>
                <w:color w:val="000000"/>
                <w:szCs w:val="20"/>
              </w:rPr>
            </w:pPr>
            <w:r w:rsidRPr="007B1BA7">
              <w:rPr>
                <w:rFonts w:cs="Arial"/>
                <w:color w:val="000000"/>
                <w:sz w:val="18"/>
                <w:szCs w:val="20"/>
              </w:rPr>
              <w:t>Optus Fixed Infrastructure Pty Ltd (formerly XYZed Pty Ltd)</w:t>
            </w:r>
          </w:p>
        </w:tc>
        <w:tc>
          <w:tcPr>
            <w:tcW w:w="1785" w:type="dxa"/>
            <w:tcBorders>
              <w:top w:val="nil"/>
              <w:left w:val="nil"/>
              <w:bottom w:val="single" w:sz="4" w:space="0" w:color="auto"/>
              <w:right w:val="single" w:sz="8" w:space="0" w:color="auto"/>
            </w:tcBorders>
            <w:shd w:val="clear" w:color="auto" w:fill="auto"/>
            <w:noWrap/>
            <w:vAlign w:val="bottom"/>
          </w:tcPr>
          <w:p w14:paraId="43BC5B30" w14:textId="09C82C15" w:rsidR="0084754A" w:rsidRPr="00F07C43" w:rsidRDefault="0084754A" w:rsidP="00D110A8">
            <w:pPr>
              <w:spacing w:after="0"/>
              <w:jc w:val="right"/>
              <w:rPr>
                <w:rFonts w:cs="Arial"/>
                <w:color w:val="000000"/>
                <w:szCs w:val="20"/>
              </w:rPr>
            </w:pPr>
            <w:r w:rsidRPr="007B1BA7">
              <w:rPr>
                <w:rFonts w:cs="Arial"/>
                <w:color w:val="000000"/>
                <w:sz w:val="18"/>
                <w:szCs w:val="20"/>
              </w:rPr>
              <w:t>0.0290353061</w:t>
            </w:r>
          </w:p>
        </w:tc>
        <w:tc>
          <w:tcPr>
            <w:tcW w:w="1329" w:type="dxa"/>
            <w:tcBorders>
              <w:top w:val="nil"/>
              <w:left w:val="nil"/>
              <w:bottom w:val="single" w:sz="4" w:space="0" w:color="auto"/>
              <w:right w:val="single" w:sz="8" w:space="0" w:color="auto"/>
            </w:tcBorders>
            <w:shd w:val="clear" w:color="auto" w:fill="auto"/>
            <w:vAlign w:val="bottom"/>
          </w:tcPr>
          <w:p w14:paraId="2C030DD7" w14:textId="77777777" w:rsidR="0084754A" w:rsidRPr="00F07C43" w:rsidRDefault="0084754A" w:rsidP="00D110A8">
            <w:pPr>
              <w:spacing w:after="0"/>
              <w:jc w:val="right"/>
              <w:rPr>
                <w:rFonts w:cs="Arial"/>
                <w:color w:val="000000"/>
                <w:szCs w:val="20"/>
              </w:rPr>
            </w:pPr>
            <w:r w:rsidRPr="007B1BA7">
              <w:rPr>
                <w:rFonts w:cs="Arial"/>
                <w:color w:val="000000"/>
                <w:sz w:val="18"/>
                <w:szCs w:val="18"/>
              </w:rPr>
              <w:t>10,666</w:t>
            </w:r>
          </w:p>
        </w:tc>
      </w:tr>
      <w:tr w:rsidR="0084754A" w:rsidRPr="00F07C43" w14:paraId="68EB8F68"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2AFAEFC5" w14:textId="77777777" w:rsidR="0084754A" w:rsidRPr="00F07C43" w:rsidRDefault="0084754A" w:rsidP="00D110A8">
            <w:pPr>
              <w:spacing w:after="0"/>
              <w:rPr>
                <w:rFonts w:cs="Arial"/>
                <w:color w:val="000000"/>
                <w:szCs w:val="20"/>
              </w:rPr>
            </w:pPr>
            <w:r w:rsidRPr="007B1BA7">
              <w:rPr>
                <w:rFonts w:cs="Arial"/>
                <w:color w:val="000000"/>
                <w:sz w:val="18"/>
                <w:szCs w:val="20"/>
              </w:rPr>
              <w:t>21</w:t>
            </w:r>
          </w:p>
        </w:tc>
        <w:tc>
          <w:tcPr>
            <w:tcW w:w="4444" w:type="dxa"/>
            <w:tcBorders>
              <w:top w:val="nil"/>
              <w:left w:val="nil"/>
              <w:bottom w:val="single" w:sz="4" w:space="0" w:color="auto"/>
              <w:right w:val="single" w:sz="4" w:space="0" w:color="auto"/>
            </w:tcBorders>
            <w:shd w:val="clear" w:color="000000" w:fill="FFFFFF"/>
            <w:noWrap/>
            <w:vAlign w:val="bottom"/>
          </w:tcPr>
          <w:p w14:paraId="77CD3553" w14:textId="77777777" w:rsidR="0084754A" w:rsidRPr="00F07C43" w:rsidRDefault="0084754A" w:rsidP="00D110A8">
            <w:pPr>
              <w:spacing w:after="0"/>
              <w:rPr>
                <w:rFonts w:cs="Arial"/>
                <w:color w:val="000000"/>
                <w:szCs w:val="20"/>
              </w:rPr>
            </w:pPr>
            <w:r w:rsidRPr="007B1BA7">
              <w:rPr>
                <w:rFonts w:cs="Arial"/>
                <w:color w:val="000000"/>
                <w:sz w:val="18"/>
                <w:szCs w:val="20"/>
              </w:rPr>
              <w:t>Optus Mobile Pty Ltd</w:t>
            </w:r>
          </w:p>
        </w:tc>
        <w:tc>
          <w:tcPr>
            <w:tcW w:w="1785" w:type="dxa"/>
            <w:tcBorders>
              <w:top w:val="nil"/>
              <w:left w:val="nil"/>
              <w:bottom w:val="single" w:sz="4" w:space="0" w:color="auto"/>
              <w:right w:val="single" w:sz="8" w:space="0" w:color="auto"/>
            </w:tcBorders>
            <w:shd w:val="clear" w:color="auto" w:fill="auto"/>
            <w:noWrap/>
            <w:vAlign w:val="bottom"/>
          </w:tcPr>
          <w:p w14:paraId="1683AC6A" w14:textId="5F4FCD63" w:rsidR="0084754A" w:rsidRPr="00F07C43" w:rsidRDefault="0084754A" w:rsidP="00D110A8">
            <w:pPr>
              <w:spacing w:after="0"/>
              <w:jc w:val="right"/>
              <w:rPr>
                <w:rFonts w:cs="Arial"/>
                <w:color w:val="000000"/>
                <w:szCs w:val="20"/>
              </w:rPr>
            </w:pPr>
            <w:r w:rsidRPr="007B1BA7">
              <w:rPr>
                <w:rFonts w:cs="Arial"/>
                <w:color w:val="000000"/>
                <w:sz w:val="18"/>
                <w:szCs w:val="20"/>
              </w:rPr>
              <w:t>15.3376522311</w:t>
            </w:r>
          </w:p>
        </w:tc>
        <w:tc>
          <w:tcPr>
            <w:tcW w:w="1329" w:type="dxa"/>
            <w:tcBorders>
              <w:top w:val="nil"/>
              <w:left w:val="nil"/>
              <w:bottom w:val="single" w:sz="4" w:space="0" w:color="auto"/>
              <w:right w:val="single" w:sz="8" w:space="0" w:color="auto"/>
            </w:tcBorders>
            <w:shd w:val="clear" w:color="auto" w:fill="auto"/>
            <w:vAlign w:val="bottom"/>
          </w:tcPr>
          <w:p w14:paraId="547A0A57" w14:textId="77777777" w:rsidR="0084754A" w:rsidRPr="00F07C43" w:rsidRDefault="0084754A" w:rsidP="00D110A8">
            <w:pPr>
              <w:spacing w:after="0"/>
              <w:jc w:val="right"/>
              <w:rPr>
                <w:rFonts w:cs="Arial"/>
                <w:color w:val="000000"/>
                <w:szCs w:val="20"/>
              </w:rPr>
            </w:pPr>
            <w:r w:rsidRPr="007B1BA7">
              <w:rPr>
                <w:rFonts w:cs="Arial"/>
                <w:color w:val="000000"/>
                <w:sz w:val="18"/>
                <w:szCs w:val="18"/>
              </w:rPr>
              <w:t>5,634,409</w:t>
            </w:r>
          </w:p>
        </w:tc>
      </w:tr>
      <w:tr w:rsidR="0084754A" w:rsidRPr="00F07C43" w14:paraId="3802FA1A"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2FE986E3" w14:textId="77777777" w:rsidR="0084754A" w:rsidRPr="00F07C43" w:rsidRDefault="0084754A" w:rsidP="00D110A8">
            <w:pPr>
              <w:spacing w:after="0"/>
              <w:rPr>
                <w:rFonts w:cs="Arial"/>
                <w:color w:val="000000"/>
                <w:szCs w:val="20"/>
              </w:rPr>
            </w:pPr>
            <w:r w:rsidRPr="007B1BA7">
              <w:rPr>
                <w:rFonts w:cs="Arial"/>
                <w:color w:val="000000"/>
                <w:sz w:val="18"/>
                <w:szCs w:val="20"/>
              </w:rPr>
              <w:t>22</w:t>
            </w:r>
          </w:p>
        </w:tc>
        <w:tc>
          <w:tcPr>
            <w:tcW w:w="4444" w:type="dxa"/>
            <w:tcBorders>
              <w:top w:val="nil"/>
              <w:left w:val="nil"/>
              <w:bottom w:val="single" w:sz="4" w:space="0" w:color="auto"/>
              <w:right w:val="single" w:sz="4" w:space="0" w:color="auto"/>
            </w:tcBorders>
            <w:shd w:val="clear" w:color="000000" w:fill="FFFFFF"/>
            <w:noWrap/>
            <w:vAlign w:val="bottom"/>
          </w:tcPr>
          <w:p w14:paraId="2CE880D7" w14:textId="77777777" w:rsidR="0084754A" w:rsidRPr="00F07C43" w:rsidRDefault="0084754A" w:rsidP="00D110A8">
            <w:pPr>
              <w:spacing w:after="0"/>
              <w:rPr>
                <w:rFonts w:cs="Arial"/>
                <w:color w:val="000000"/>
                <w:szCs w:val="20"/>
              </w:rPr>
            </w:pPr>
            <w:r w:rsidRPr="007B1BA7">
              <w:rPr>
                <w:rFonts w:cs="Arial"/>
                <w:color w:val="000000"/>
                <w:sz w:val="18"/>
                <w:szCs w:val="20"/>
              </w:rPr>
              <w:t>Optus Networks Pty Ltd</w:t>
            </w:r>
          </w:p>
        </w:tc>
        <w:tc>
          <w:tcPr>
            <w:tcW w:w="1785" w:type="dxa"/>
            <w:tcBorders>
              <w:top w:val="nil"/>
              <w:left w:val="nil"/>
              <w:bottom w:val="single" w:sz="4" w:space="0" w:color="auto"/>
              <w:right w:val="single" w:sz="8" w:space="0" w:color="auto"/>
            </w:tcBorders>
            <w:shd w:val="clear" w:color="auto" w:fill="auto"/>
            <w:noWrap/>
            <w:vAlign w:val="bottom"/>
          </w:tcPr>
          <w:p w14:paraId="6EA391CB" w14:textId="13872BCE" w:rsidR="0084754A" w:rsidRPr="00F07C43" w:rsidRDefault="0084754A" w:rsidP="00D110A8">
            <w:pPr>
              <w:spacing w:after="0"/>
              <w:jc w:val="right"/>
              <w:rPr>
                <w:rFonts w:cs="Arial"/>
                <w:color w:val="000000"/>
                <w:szCs w:val="20"/>
              </w:rPr>
            </w:pPr>
            <w:r w:rsidRPr="007B1BA7">
              <w:rPr>
                <w:rFonts w:cs="Arial"/>
                <w:color w:val="000000"/>
                <w:sz w:val="18"/>
                <w:szCs w:val="20"/>
              </w:rPr>
              <w:t>4.6490883817</w:t>
            </w:r>
          </w:p>
        </w:tc>
        <w:tc>
          <w:tcPr>
            <w:tcW w:w="1329" w:type="dxa"/>
            <w:tcBorders>
              <w:top w:val="nil"/>
              <w:left w:val="nil"/>
              <w:bottom w:val="single" w:sz="4" w:space="0" w:color="auto"/>
              <w:right w:val="single" w:sz="8" w:space="0" w:color="auto"/>
            </w:tcBorders>
            <w:shd w:val="clear" w:color="auto" w:fill="auto"/>
            <w:vAlign w:val="bottom"/>
          </w:tcPr>
          <w:p w14:paraId="141D02D9" w14:textId="77777777" w:rsidR="0084754A" w:rsidRPr="00F07C43" w:rsidRDefault="0084754A" w:rsidP="00D110A8">
            <w:pPr>
              <w:spacing w:after="0"/>
              <w:jc w:val="right"/>
              <w:rPr>
                <w:rFonts w:cs="Arial"/>
                <w:color w:val="000000"/>
                <w:szCs w:val="20"/>
              </w:rPr>
            </w:pPr>
            <w:r w:rsidRPr="007B1BA7">
              <w:rPr>
                <w:rFonts w:cs="Arial"/>
                <w:color w:val="000000"/>
                <w:sz w:val="18"/>
                <w:szCs w:val="18"/>
              </w:rPr>
              <w:t>1,707,880</w:t>
            </w:r>
          </w:p>
        </w:tc>
      </w:tr>
      <w:tr w:rsidR="0084754A" w:rsidRPr="00F07C43" w14:paraId="0C457A7D"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654184EB" w14:textId="77777777" w:rsidR="0084754A" w:rsidRPr="00F07C43" w:rsidRDefault="0084754A" w:rsidP="00D110A8">
            <w:pPr>
              <w:spacing w:after="0"/>
              <w:rPr>
                <w:rFonts w:cs="Arial"/>
                <w:color w:val="000000"/>
                <w:szCs w:val="20"/>
              </w:rPr>
            </w:pPr>
            <w:r w:rsidRPr="007B1BA7">
              <w:rPr>
                <w:rFonts w:cs="Arial"/>
                <w:color w:val="000000"/>
                <w:sz w:val="18"/>
                <w:szCs w:val="20"/>
              </w:rPr>
              <w:t>23</w:t>
            </w:r>
          </w:p>
        </w:tc>
        <w:tc>
          <w:tcPr>
            <w:tcW w:w="4444" w:type="dxa"/>
            <w:tcBorders>
              <w:top w:val="nil"/>
              <w:left w:val="nil"/>
              <w:bottom w:val="single" w:sz="4" w:space="0" w:color="auto"/>
              <w:right w:val="single" w:sz="4" w:space="0" w:color="auto"/>
            </w:tcBorders>
            <w:shd w:val="clear" w:color="000000" w:fill="FFFFFF"/>
            <w:noWrap/>
            <w:vAlign w:val="bottom"/>
          </w:tcPr>
          <w:p w14:paraId="1D952488" w14:textId="77777777" w:rsidR="0084754A" w:rsidRPr="00F07C43" w:rsidRDefault="0084754A" w:rsidP="00D110A8">
            <w:pPr>
              <w:spacing w:after="0"/>
              <w:rPr>
                <w:rFonts w:cs="Arial"/>
                <w:color w:val="000000"/>
                <w:szCs w:val="20"/>
              </w:rPr>
            </w:pPr>
            <w:r w:rsidRPr="007B1BA7">
              <w:rPr>
                <w:rFonts w:cs="Arial"/>
                <w:color w:val="000000"/>
                <w:sz w:val="18"/>
                <w:szCs w:val="20"/>
              </w:rPr>
              <w:t>Orion Satellite Systems Pty Ltd</w:t>
            </w:r>
          </w:p>
        </w:tc>
        <w:tc>
          <w:tcPr>
            <w:tcW w:w="1785" w:type="dxa"/>
            <w:tcBorders>
              <w:top w:val="nil"/>
              <w:left w:val="nil"/>
              <w:bottom w:val="single" w:sz="4" w:space="0" w:color="auto"/>
              <w:right w:val="single" w:sz="8" w:space="0" w:color="auto"/>
            </w:tcBorders>
            <w:shd w:val="clear" w:color="auto" w:fill="auto"/>
            <w:noWrap/>
            <w:vAlign w:val="bottom"/>
          </w:tcPr>
          <w:p w14:paraId="7DA7443A" w14:textId="43A83356" w:rsidR="0084754A" w:rsidRPr="00F07C43" w:rsidRDefault="0084754A" w:rsidP="00D110A8">
            <w:pPr>
              <w:spacing w:after="0"/>
              <w:jc w:val="right"/>
              <w:rPr>
                <w:rFonts w:cs="Arial"/>
                <w:color w:val="000000"/>
                <w:szCs w:val="20"/>
              </w:rPr>
            </w:pPr>
            <w:r w:rsidRPr="007B1BA7">
              <w:rPr>
                <w:rFonts w:cs="Arial"/>
                <w:color w:val="000000"/>
                <w:sz w:val="18"/>
                <w:szCs w:val="20"/>
              </w:rPr>
              <w:t>0.0095584647</w:t>
            </w:r>
          </w:p>
        </w:tc>
        <w:tc>
          <w:tcPr>
            <w:tcW w:w="1329" w:type="dxa"/>
            <w:tcBorders>
              <w:top w:val="nil"/>
              <w:left w:val="nil"/>
              <w:bottom w:val="single" w:sz="4" w:space="0" w:color="auto"/>
              <w:right w:val="single" w:sz="8" w:space="0" w:color="auto"/>
            </w:tcBorders>
            <w:shd w:val="clear" w:color="auto" w:fill="auto"/>
            <w:vAlign w:val="bottom"/>
          </w:tcPr>
          <w:p w14:paraId="14F16893" w14:textId="77777777" w:rsidR="0084754A" w:rsidRPr="00F07C43" w:rsidRDefault="0084754A" w:rsidP="00D110A8">
            <w:pPr>
              <w:spacing w:after="0"/>
              <w:jc w:val="right"/>
              <w:rPr>
                <w:rFonts w:cs="Arial"/>
                <w:color w:val="000000"/>
                <w:szCs w:val="20"/>
              </w:rPr>
            </w:pPr>
            <w:r w:rsidRPr="007B1BA7">
              <w:rPr>
                <w:rFonts w:cs="Arial"/>
                <w:color w:val="000000"/>
                <w:sz w:val="18"/>
                <w:szCs w:val="18"/>
              </w:rPr>
              <w:t>3,511</w:t>
            </w:r>
          </w:p>
        </w:tc>
      </w:tr>
      <w:tr w:rsidR="0084754A" w:rsidRPr="00F07C43" w14:paraId="2F0415C9"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6078D1E5" w14:textId="77777777" w:rsidR="0084754A" w:rsidRPr="00F07C43" w:rsidRDefault="0084754A" w:rsidP="00D110A8">
            <w:pPr>
              <w:spacing w:after="0"/>
              <w:rPr>
                <w:rFonts w:cs="Arial"/>
                <w:color w:val="000000"/>
                <w:szCs w:val="20"/>
              </w:rPr>
            </w:pPr>
            <w:r w:rsidRPr="007B1BA7">
              <w:rPr>
                <w:rFonts w:cs="Arial"/>
                <w:color w:val="000000"/>
                <w:sz w:val="18"/>
                <w:szCs w:val="20"/>
              </w:rPr>
              <w:t>24</w:t>
            </w:r>
          </w:p>
        </w:tc>
        <w:tc>
          <w:tcPr>
            <w:tcW w:w="4444" w:type="dxa"/>
            <w:tcBorders>
              <w:top w:val="nil"/>
              <w:left w:val="nil"/>
              <w:bottom w:val="single" w:sz="4" w:space="0" w:color="auto"/>
              <w:right w:val="single" w:sz="4" w:space="0" w:color="auto"/>
            </w:tcBorders>
            <w:shd w:val="clear" w:color="000000" w:fill="FFFFFF"/>
            <w:noWrap/>
            <w:vAlign w:val="bottom"/>
          </w:tcPr>
          <w:p w14:paraId="161918C8" w14:textId="77777777" w:rsidR="0084754A" w:rsidRPr="00F07C43" w:rsidRDefault="0084754A" w:rsidP="00D110A8">
            <w:pPr>
              <w:spacing w:after="0"/>
              <w:rPr>
                <w:rFonts w:cs="Arial"/>
                <w:color w:val="000000"/>
                <w:szCs w:val="20"/>
              </w:rPr>
            </w:pPr>
            <w:r w:rsidRPr="007B1BA7">
              <w:rPr>
                <w:rFonts w:cs="Arial"/>
                <w:color w:val="000000"/>
                <w:sz w:val="18"/>
                <w:szCs w:val="20"/>
              </w:rPr>
              <w:t>Pipe International (Australia) Pty Ltd</w:t>
            </w:r>
          </w:p>
        </w:tc>
        <w:tc>
          <w:tcPr>
            <w:tcW w:w="1785" w:type="dxa"/>
            <w:tcBorders>
              <w:top w:val="nil"/>
              <w:left w:val="nil"/>
              <w:bottom w:val="single" w:sz="4" w:space="0" w:color="auto"/>
              <w:right w:val="single" w:sz="8" w:space="0" w:color="auto"/>
            </w:tcBorders>
            <w:shd w:val="clear" w:color="auto" w:fill="auto"/>
            <w:noWrap/>
            <w:vAlign w:val="bottom"/>
          </w:tcPr>
          <w:p w14:paraId="5BD87B49" w14:textId="26C6383F" w:rsidR="0084754A" w:rsidRPr="00F07C43" w:rsidRDefault="0084754A" w:rsidP="00D110A8">
            <w:pPr>
              <w:spacing w:after="0"/>
              <w:jc w:val="right"/>
              <w:rPr>
                <w:rFonts w:cs="Arial"/>
                <w:color w:val="000000"/>
                <w:szCs w:val="20"/>
              </w:rPr>
            </w:pPr>
            <w:r w:rsidRPr="007B1BA7">
              <w:rPr>
                <w:rFonts w:cs="Arial"/>
                <w:color w:val="000000"/>
                <w:sz w:val="18"/>
                <w:szCs w:val="20"/>
              </w:rPr>
              <w:t>0.0618066506</w:t>
            </w:r>
          </w:p>
        </w:tc>
        <w:tc>
          <w:tcPr>
            <w:tcW w:w="1329" w:type="dxa"/>
            <w:tcBorders>
              <w:top w:val="nil"/>
              <w:left w:val="nil"/>
              <w:bottom w:val="single" w:sz="4" w:space="0" w:color="auto"/>
              <w:right w:val="single" w:sz="8" w:space="0" w:color="auto"/>
            </w:tcBorders>
            <w:shd w:val="clear" w:color="auto" w:fill="auto"/>
            <w:vAlign w:val="bottom"/>
          </w:tcPr>
          <w:p w14:paraId="1AFE7610" w14:textId="77777777" w:rsidR="0084754A" w:rsidRPr="00F07C43" w:rsidRDefault="0084754A" w:rsidP="00D110A8">
            <w:pPr>
              <w:spacing w:after="0"/>
              <w:jc w:val="right"/>
              <w:rPr>
                <w:rFonts w:cs="Arial"/>
                <w:color w:val="000000"/>
                <w:szCs w:val="20"/>
              </w:rPr>
            </w:pPr>
            <w:r w:rsidRPr="007B1BA7">
              <w:rPr>
                <w:rFonts w:cs="Arial"/>
                <w:color w:val="000000"/>
                <w:sz w:val="18"/>
                <w:szCs w:val="18"/>
              </w:rPr>
              <w:t>22,705</w:t>
            </w:r>
          </w:p>
        </w:tc>
      </w:tr>
      <w:tr w:rsidR="0084754A" w:rsidRPr="00F07C43" w14:paraId="46857B4E"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4AC48EEB" w14:textId="77777777" w:rsidR="0084754A" w:rsidRPr="00F07C43" w:rsidRDefault="0084754A" w:rsidP="00D110A8">
            <w:pPr>
              <w:spacing w:after="0"/>
              <w:rPr>
                <w:rFonts w:cs="Arial"/>
                <w:color w:val="000000"/>
                <w:szCs w:val="20"/>
              </w:rPr>
            </w:pPr>
            <w:r w:rsidRPr="007B1BA7">
              <w:rPr>
                <w:rFonts w:cs="Arial"/>
                <w:color w:val="000000"/>
                <w:sz w:val="18"/>
                <w:szCs w:val="20"/>
              </w:rPr>
              <w:t>25</w:t>
            </w:r>
          </w:p>
        </w:tc>
        <w:tc>
          <w:tcPr>
            <w:tcW w:w="4444" w:type="dxa"/>
            <w:tcBorders>
              <w:top w:val="nil"/>
              <w:left w:val="nil"/>
              <w:bottom w:val="single" w:sz="4" w:space="0" w:color="auto"/>
              <w:right w:val="single" w:sz="4" w:space="0" w:color="auto"/>
            </w:tcBorders>
            <w:shd w:val="clear" w:color="000000" w:fill="FFFFFF"/>
            <w:noWrap/>
            <w:vAlign w:val="bottom"/>
          </w:tcPr>
          <w:p w14:paraId="71ABB179" w14:textId="77777777" w:rsidR="0084754A" w:rsidRPr="00F07C43" w:rsidRDefault="0084754A" w:rsidP="00D110A8">
            <w:pPr>
              <w:spacing w:after="0"/>
              <w:rPr>
                <w:rFonts w:cs="Arial"/>
                <w:color w:val="000000"/>
                <w:szCs w:val="20"/>
              </w:rPr>
            </w:pPr>
            <w:r w:rsidRPr="007B1BA7">
              <w:rPr>
                <w:rFonts w:cs="Arial"/>
                <w:color w:val="000000"/>
                <w:sz w:val="18"/>
                <w:szCs w:val="20"/>
              </w:rPr>
              <w:t>Pipe Networks Pty Ltd</w:t>
            </w:r>
          </w:p>
        </w:tc>
        <w:tc>
          <w:tcPr>
            <w:tcW w:w="1785" w:type="dxa"/>
            <w:tcBorders>
              <w:top w:val="nil"/>
              <w:left w:val="nil"/>
              <w:bottom w:val="single" w:sz="4" w:space="0" w:color="auto"/>
              <w:right w:val="single" w:sz="8" w:space="0" w:color="auto"/>
            </w:tcBorders>
            <w:shd w:val="clear" w:color="auto" w:fill="auto"/>
            <w:noWrap/>
            <w:vAlign w:val="bottom"/>
          </w:tcPr>
          <w:p w14:paraId="62C46292" w14:textId="1D687FBD" w:rsidR="0084754A" w:rsidRPr="00F07C43" w:rsidRDefault="0084754A" w:rsidP="00D110A8">
            <w:pPr>
              <w:spacing w:after="0"/>
              <w:jc w:val="right"/>
              <w:rPr>
                <w:rFonts w:cs="Arial"/>
                <w:color w:val="000000"/>
                <w:szCs w:val="20"/>
              </w:rPr>
            </w:pPr>
            <w:r w:rsidRPr="007B1BA7">
              <w:rPr>
                <w:rFonts w:cs="Arial"/>
                <w:color w:val="000000"/>
                <w:sz w:val="18"/>
                <w:szCs w:val="20"/>
              </w:rPr>
              <w:t>0.3236173538</w:t>
            </w:r>
          </w:p>
        </w:tc>
        <w:tc>
          <w:tcPr>
            <w:tcW w:w="1329" w:type="dxa"/>
            <w:tcBorders>
              <w:top w:val="nil"/>
              <w:left w:val="nil"/>
              <w:bottom w:val="single" w:sz="4" w:space="0" w:color="auto"/>
              <w:right w:val="single" w:sz="8" w:space="0" w:color="auto"/>
            </w:tcBorders>
            <w:shd w:val="clear" w:color="auto" w:fill="auto"/>
            <w:vAlign w:val="bottom"/>
          </w:tcPr>
          <w:p w14:paraId="23065F5F" w14:textId="77777777" w:rsidR="0084754A" w:rsidRPr="00F07C43" w:rsidRDefault="0084754A" w:rsidP="00D110A8">
            <w:pPr>
              <w:spacing w:after="0"/>
              <w:jc w:val="right"/>
              <w:rPr>
                <w:rFonts w:cs="Arial"/>
                <w:color w:val="000000"/>
                <w:szCs w:val="20"/>
              </w:rPr>
            </w:pPr>
            <w:r w:rsidRPr="007B1BA7">
              <w:rPr>
                <w:rFonts w:cs="Arial"/>
                <w:color w:val="000000"/>
                <w:sz w:val="18"/>
                <w:szCs w:val="18"/>
              </w:rPr>
              <w:t>118,883</w:t>
            </w:r>
          </w:p>
        </w:tc>
      </w:tr>
      <w:tr w:rsidR="0084754A" w:rsidRPr="00F07C43" w14:paraId="70A637D7"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09D8373B" w14:textId="77777777" w:rsidR="0084754A" w:rsidRPr="00F07C43" w:rsidRDefault="0084754A" w:rsidP="00D110A8">
            <w:pPr>
              <w:spacing w:after="0"/>
              <w:rPr>
                <w:rFonts w:cs="Arial"/>
                <w:color w:val="000000"/>
                <w:szCs w:val="20"/>
              </w:rPr>
            </w:pPr>
            <w:r w:rsidRPr="007B1BA7">
              <w:rPr>
                <w:rFonts w:cs="Arial"/>
                <w:color w:val="000000"/>
                <w:sz w:val="18"/>
                <w:szCs w:val="20"/>
              </w:rPr>
              <w:t>26</w:t>
            </w:r>
          </w:p>
        </w:tc>
        <w:tc>
          <w:tcPr>
            <w:tcW w:w="4444" w:type="dxa"/>
            <w:tcBorders>
              <w:top w:val="nil"/>
              <w:left w:val="nil"/>
              <w:bottom w:val="single" w:sz="4" w:space="0" w:color="auto"/>
              <w:right w:val="single" w:sz="4" w:space="0" w:color="auto"/>
            </w:tcBorders>
            <w:shd w:val="clear" w:color="000000" w:fill="FFFFFF"/>
            <w:noWrap/>
            <w:vAlign w:val="bottom"/>
          </w:tcPr>
          <w:p w14:paraId="46CB8862" w14:textId="77777777" w:rsidR="0084754A" w:rsidRPr="00F07C43" w:rsidRDefault="0084754A" w:rsidP="00D110A8">
            <w:pPr>
              <w:spacing w:after="0"/>
              <w:rPr>
                <w:rFonts w:cs="Arial"/>
                <w:color w:val="000000"/>
                <w:szCs w:val="20"/>
              </w:rPr>
            </w:pPr>
            <w:r w:rsidRPr="007B1BA7">
              <w:rPr>
                <w:rFonts w:cs="Arial"/>
                <w:color w:val="000000"/>
                <w:sz w:val="18"/>
                <w:szCs w:val="20"/>
              </w:rPr>
              <w:t>Primus Telecommunications Pty Ltd</w:t>
            </w:r>
          </w:p>
        </w:tc>
        <w:tc>
          <w:tcPr>
            <w:tcW w:w="1785" w:type="dxa"/>
            <w:tcBorders>
              <w:top w:val="nil"/>
              <w:left w:val="nil"/>
              <w:bottom w:val="single" w:sz="4" w:space="0" w:color="auto"/>
              <w:right w:val="single" w:sz="8" w:space="0" w:color="auto"/>
            </w:tcBorders>
            <w:shd w:val="clear" w:color="auto" w:fill="auto"/>
            <w:noWrap/>
            <w:vAlign w:val="bottom"/>
          </w:tcPr>
          <w:p w14:paraId="093BE90D" w14:textId="4CF927A3" w:rsidR="0084754A" w:rsidRPr="00F07C43" w:rsidRDefault="0084754A" w:rsidP="00D110A8">
            <w:pPr>
              <w:spacing w:after="0"/>
              <w:jc w:val="right"/>
              <w:rPr>
                <w:rFonts w:cs="Arial"/>
                <w:color w:val="000000"/>
                <w:szCs w:val="20"/>
              </w:rPr>
            </w:pPr>
            <w:r w:rsidRPr="007B1BA7">
              <w:rPr>
                <w:rFonts w:cs="Arial"/>
                <w:color w:val="000000"/>
                <w:sz w:val="18"/>
                <w:szCs w:val="20"/>
              </w:rPr>
              <w:t>0.9844619499</w:t>
            </w:r>
          </w:p>
        </w:tc>
        <w:tc>
          <w:tcPr>
            <w:tcW w:w="1329" w:type="dxa"/>
            <w:tcBorders>
              <w:top w:val="nil"/>
              <w:left w:val="nil"/>
              <w:bottom w:val="single" w:sz="4" w:space="0" w:color="auto"/>
              <w:right w:val="single" w:sz="8" w:space="0" w:color="auto"/>
            </w:tcBorders>
            <w:shd w:val="clear" w:color="auto" w:fill="auto"/>
            <w:vAlign w:val="bottom"/>
          </w:tcPr>
          <w:p w14:paraId="5A685C35" w14:textId="77777777" w:rsidR="0084754A" w:rsidRPr="00F07C43" w:rsidRDefault="0084754A" w:rsidP="00D110A8">
            <w:pPr>
              <w:spacing w:after="0"/>
              <w:jc w:val="right"/>
              <w:rPr>
                <w:rFonts w:cs="Arial"/>
                <w:color w:val="000000"/>
                <w:szCs w:val="20"/>
              </w:rPr>
            </w:pPr>
            <w:r w:rsidRPr="007B1BA7">
              <w:rPr>
                <w:rFonts w:cs="Arial"/>
                <w:color w:val="000000"/>
                <w:sz w:val="18"/>
                <w:szCs w:val="18"/>
              </w:rPr>
              <w:t>361,650</w:t>
            </w:r>
          </w:p>
        </w:tc>
      </w:tr>
      <w:tr w:rsidR="0084754A" w:rsidRPr="00F07C43" w14:paraId="1601334A"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33B92419" w14:textId="77777777" w:rsidR="0084754A" w:rsidRPr="00F07C43" w:rsidRDefault="0084754A" w:rsidP="00D110A8">
            <w:pPr>
              <w:spacing w:after="0"/>
              <w:rPr>
                <w:rFonts w:cs="Arial"/>
                <w:color w:val="000000"/>
                <w:szCs w:val="20"/>
              </w:rPr>
            </w:pPr>
            <w:r w:rsidRPr="007B1BA7">
              <w:rPr>
                <w:rFonts w:cs="Arial"/>
                <w:color w:val="000000"/>
                <w:sz w:val="18"/>
                <w:szCs w:val="20"/>
              </w:rPr>
              <w:t>27</w:t>
            </w:r>
          </w:p>
        </w:tc>
        <w:tc>
          <w:tcPr>
            <w:tcW w:w="4444" w:type="dxa"/>
            <w:tcBorders>
              <w:top w:val="nil"/>
              <w:left w:val="nil"/>
              <w:bottom w:val="single" w:sz="4" w:space="0" w:color="auto"/>
              <w:right w:val="single" w:sz="4" w:space="0" w:color="auto"/>
            </w:tcBorders>
            <w:shd w:val="clear" w:color="000000" w:fill="FFFFFF"/>
            <w:noWrap/>
            <w:vAlign w:val="bottom"/>
          </w:tcPr>
          <w:p w14:paraId="60AAA99F" w14:textId="77777777" w:rsidR="0084754A" w:rsidRPr="00F07C43" w:rsidRDefault="0084754A" w:rsidP="00D110A8">
            <w:pPr>
              <w:spacing w:after="0"/>
              <w:rPr>
                <w:rFonts w:cs="Arial"/>
                <w:color w:val="000000"/>
                <w:szCs w:val="20"/>
              </w:rPr>
            </w:pPr>
            <w:r w:rsidRPr="007B1BA7">
              <w:rPr>
                <w:rFonts w:cs="Arial"/>
                <w:color w:val="000000"/>
                <w:sz w:val="18"/>
                <w:szCs w:val="20"/>
              </w:rPr>
              <w:t>Soul Pattinson Telecommunications Pty Ltd</w:t>
            </w:r>
          </w:p>
        </w:tc>
        <w:tc>
          <w:tcPr>
            <w:tcW w:w="1785" w:type="dxa"/>
            <w:tcBorders>
              <w:top w:val="nil"/>
              <w:left w:val="nil"/>
              <w:bottom w:val="single" w:sz="4" w:space="0" w:color="auto"/>
              <w:right w:val="single" w:sz="8" w:space="0" w:color="auto"/>
            </w:tcBorders>
            <w:shd w:val="clear" w:color="auto" w:fill="auto"/>
            <w:noWrap/>
            <w:vAlign w:val="bottom"/>
          </w:tcPr>
          <w:p w14:paraId="0E3A311A" w14:textId="0D7277FA" w:rsidR="0084754A" w:rsidRPr="00F07C43" w:rsidRDefault="0084754A" w:rsidP="00D110A8">
            <w:pPr>
              <w:spacing w:after="0"/>
              <w:jc w:val="right"/>
              <w:rPr>
                <w:rFonts w:cs="Arial"/>
                <w:color w:val="000000"/>
                <w:szCs w:val="20"/>
              </w:rPr>
            </w:pPr>
            <w:r w:rsidRPr="007B1BA7">
              <w:rPr>
                <w:rFonts w:cs="Arial"/>
                <w:color w:val="000000"/>
                <w:sz w:val="18"/>
                <w:szCs w:val="20"/>
              </w:rPr>
              <w:t>1.3065714277</w:t>
            </w:r>
          </w:p>
        </w:tc>
        <w:tc>
          <w:tcPr>
            <w:tcW w:w="1329" w:type="dxa"/>
            <w:tcBorders>
              <w:top w:val="nil"/>
              <w:left w:val="nil"/>
              <w:bottom w:val="single" w:sz="4" w:space="0" w:color="auto"/>
              <w:right w:val="single" w:sz="8" w:space="0" w:color="auto"/>
            </w:tcBorders>
            <w:shd w:val="clear" w:color="auto" w:fill="auto"/>
            <w:vAlign w:val="bottom"/>
          </w:tcPr>
          <w:p w14:paraId="697A5AFB" w14:textId="77777777" w:rsidR="0084754A" w:rsidRPr="00F07C43" w:rsidRDefault="0084754A" w:rsidP="00D110A8">
            <w:pPr>
              <w:spacing w:after="0"/>
              <w:jc w:val="right"/>
              <w:rPr>
                <w:rFonts w:cs="Arial"/>
                <w:color w:val="000000"/>
                <w:szCs w:val="20"/>
              </w:rPr>
            </w:pPr>
            <w:r w:rsidRPr="007B1BA7">
              <w:rPr>
                <w:rFonts w:cs="Arial"/>
                <w:color w:val="000000"/>
                <w:sz w:val="18"/>
                <w:szCs w:val="18"/>
              </w:rPr>
              <w:t>479,979</w:t>
            </w:r>
          </w:p>
        </w:tc>
      </w:tr>
      <w:tr w:rsidR="0084754A" w:rsidRPr="00F07C43" w14:paraId="3D5D25BE"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47196B22" w14:textId="77777777" w:rsidR="0084754A" w:rsidRPr="00F07C43" w:rsidRDefault="0084754A" w:rsidP="00D110A8">
            <w:pPr>
              <w:spacing w:after="0"/>
              <w:rPr>
                <w:rFonts w:cs="Arial"/>
                <w:color w:val="000000"/>
                <w:szCs w:val="20"/>
              </w:rPr>
            </w:pPr>
            <w:r w:rsidRPr="007B1BA7">
              <w:rPr>
                <w:rFonts w:cs="Arial"/>
                <w:color w:val="000000"/>
                <w:sz w:val="18"/>
                <w:szCs w:val="20"/>
              </w:rPr>
              <w:t>28</w:t>
            </w:r>
          </w:p>
        </w:tc>
        <w:tc>
          <w:tcPr>
            <w:tcW w:w="4444" w:type="dxa"/>
            <w:tcBorders>
              <w:top w:val="nil"/>
              <w:left w:val="nil"/>
              <w:bottom w:val="single" w:sz="4" w:space="0" w:color="auto"/>
              <w:right w:val="single" w:sz="4" w:space="0" w:color="auto"/>
            </w:tcBorders>
            <w:shd w:val="clear" w:color="000000" w:fill="FFFFFF"/>
            <w:noWrap/>
            <w:vAlign w:val="bottom"/>
          </w:tcPr>
          <w:p w14:paraId="352FDB9B" w14:textId="77777777" w:rsidR="0084754A" w:rsidRPr="00F07C43" w:rsidRDefault="0084754A" w:rsidP="00D110A8">
            <w:pPr>
              <w:spacing w:after="0"/>
              <w:rPr>
                <w:rFonts w:cs="Arial"/>
                <w:color w:val="000000"/>
                <w:szCs w:val="20"/>
              </w:rPr>
            </w:pPr>
            <w:r w:rsidRPr="007B1BA7">
              <w:rPr>
                <w:rFonts w:cs="Arial"/>
                <w:color w:val="000000"/>
                <w:sz w:val="18"/>
                <w:szCs w:val="20"/>
              </w:rPr>
              <w:t>Telstra Corporation Ltd</w:t>
            </w:r>
          </w:p>
        </w:tc>
        <w:tc>
          <w:tcPr>
            <w:tcW w:w="1785" w:type="dxa"/>
            <w:tcBorders>
              <w:top w:val="nil"/>
              <w:left w:val="nil"/>
              <w:bottom w:val="single" w:sz="4" w:space="0" w:color="auto"/>
              <w:right w:val="single" w:sz="8" w:space="0" w:color="auto"/>
            </w:tcBorders>
            <w:shd w:val="clear" w:color="auto" w:fill="auto"/>
            <w:noWrap/>
            <w:vAlign w:val="bottom"/>
          </w:tcPr>
          <w:p w14:paraId="0808A480" w14:textId="7B716A8A" w:rsidR="0084754A" w:rsidRPr="00F07C43" w:rsidRDefault="0084754A" w:rsidP="00D110A8">
            <w:pPr>
              <w:spacing w:after="0"/>
              <w:jc w:val="right"/>
              <w:rPr>
                <w:rFonts w:cs="Arial"/>
                <w:color w:val="000000"/>
                <w:szCs w:val="20"/>
              </w:rPr>
            </w:pPr>
            <w:r w:rsidRPr="007B1BA7">
              <w:rPr>
                <w:rFonts w:cs="Arial"/>
                <w:color w:val="000000"/>
                <w:sz w:val="18"/>
                <w:szCs w:val="20"/>
              </w:rPr>
              <w:t>65.0705252261</w:t>
            </w:r>
          </w:p>
        </w:tc>
        <w:tc>
          <w:tcPr>
            <w:tcW w:w="1329" w:type="dxa"/>
            <w:tcBorders>
              <w:top w:val="nil"/>
              <w:left w:val="nil"/>
              <w:bottom w:val="single" w:sz="4" w:space="0" w:color="auto"/>
              <w:right w:val="single" w:sz="8" w:space="0" w:color="auto"/>
            </w:tcBorders>
            <w:shd w:val="clear" w:color="auto" w:fill="auto"/>
            <w:vAlign w:val="bottom"/>
          </w:tcPr>
          <w:p w14:paraId="4E9B7826" w14:textId="77777777" w:rsidR="0084754A" w:rsidRPr="00F07C43" w:rsidRDefault="0084754A" w:rsidP="00D110A8">
            <w:pPr>
              <w:spacing w:after="0"/>
              <w:jc w:val="right"/>
              <w:rPr>
                <w:rFonts w:cs="Arial"/>
                <w:color w:val="000000"/>
                <w:szCs w:val="20"/>
              </w:rPr>
            </w:pPr>
            <w:r w:rsidRPr="007B1BA7">
              <w:rPr>
                <w:rFonts w:cs="Arial"/>
                <w:color w:val="000000"/>
                <w:sz w:val="18"/>
                <w:szCs w:val="18"/>
              </w:rPr>
              <w:t>23,904,179</w:t>
            </w:r>
          </w:p>
        </w:tc>
      </w:tr>
      <w:tr w:rsidR="0084754A" w:rsidRPr="00F07C43" w14:paraId="1D187224"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397DBEFE" w14:textId="77777777" w:rsidR="0084754A" w:rsidRPr="00F07C43" w:rsidRDefault="0084754A" w:rsidP="00D110A8">
            <w:pPr>
              <w:spacing w:after="0"/>
              <w:rPr>
                <w:rFonts w:cs="Arial"/>
                <w:color w:val="000000"/>
                <w:szCs w:val="20"/>
              </w:rPr>
            </w:pPr>
            <w:r w:rsidRPr="007B1BA7">
              <w:rPr>
                <w:rFonts w:cs="Arial"/>
                <w:color w:val="000000"/>
                <w:sz w:val="18"/>
                <w:szCs w:val="20"/>
              </w:rPr>
              <w:lastRenderedPageBreak/>
              <w:t>29</w:t>
            </w:r>
          </w:p>
        </w:tc>
        <w:tc>
          <w:tcPr>
            <w:tcW w:w="4444" w:type="dxa"/>
            <w:tcBorders>
              <w:top w:val="nil"/>
              <w:left w:val="nil"/>
              <w:bottom w:val="single" w:sz="4" w:space="0" w:color="auto"/>
              <w:right w:val="single" w:sz="4" w:space="0" w:color="auto"/>
            </w:tcBorders>
            <w:shd w:val="clear" w:color="000000" w:fill="FFFFFF"/>
            <w:noWrap/>
            <w:vAlign w:val="bottom"/>
          </w:tcPr>
          <w:p w14:paraId="2814EF5D" w14:textId="77777777" w:rsidR="0084754A" w:rsidRPr="00F07C43" w:rsidRDefault="0084754A" w:rsidP="00D110A8">
            <w:pPr>
              <w:spacing w:after="0"/>
              <w:rPr>
                <w:rFonts w:cs="Arial"/>
                <w:color w:val="000000"/>
                <w:szCs w:val="20"/>
              </w:rPr>
            </w:pPr>
            <w:r w:rsidRPr="007B1BA7">
              <w:rPr>
                <w:rFonts w:cs="Arial"/>
                <w:color w:val="000000"/>
                <w:sz w:val="18"/>
                <w:szCs w:val="20"/>
              </w:rPr>
              <w:t>Telstra Multimedia Pty Ltd</w:t>
            </w:r>
          </w:p>
        </w:tc>
        <w:tc>
          <w:tcPr>
            <w:tcW w:w="1785" w:type="dxa"/>
            <w:tcBorders>
              <w:top w:val="nil"/>
              <w:left w:val="nil"/>
              <w:bottom w:val="single" w:sz="4" w:space="0" w:color="auto"/>
              <w:right w:val="single" w:sz="8" w:space="0" w:color="auto"/>
            </w:tcBorders>
            <w:shd w:val="clear" w:color="auto" w:fill="auto"/>
            <w:noWrap/>
            <w:vAlign w:val="bottom"/>
          </w:tcPr>
          <w:p w14:paraId="462F9B80" w14:textId="49111D3A" w:rsidR="0084754A" w:rsidRPr="00F07C43" w:rsidRDefault="0084754A" w:rsidP="00D110A8">
            <w:pPr>
              <w:spacing w:after="0"/>
              <w:jc w:val="right"/>
              <w:rPr>
                <w:rFonts w:cs="Arial"/>
                <w:color w:val="000000"/>
                <w:szCs w:val="20"/>
              </w:rPr>
            </w:pPr>
            <w:r w:rsidRPr="007B1BA7">
              <w:rPr>
                <w:rFonts w:cs="Arial"/>
                <w:color w:val="000000"/>
                <w:sz w:val="18"/>
                <w:szCs w:val="20"/>
              </w:rPr>
              <w:t>1.1923561264</w:t>
            </w:r>
          </w:p>
        </w:tc>
        <w:tc>
          <w:tcPr>
            <w:tcW w:w="1329" w:type="dxa"/>
            <w:tcBorders>
              <w:top w:val="nil"/>
              <w:left w:val="nil"/>
              <w:bottom w:val="single" w:sz="4" w:space="0" w:color="auto"/>
              <w:right w:val="single" w:sz="8" w:space="0" w:color="auto"/>
            </w:tcBorders>
            <w:shd w:val="clear" w:color="auto" w:fill="auto"/>
            <w:vAlign w:val="bottom"/>
          </w:tcPr>
          <w:p w14:paraId="2B6D59BD" w14:textId="77777777" w:rsidR="0084754A" w:rsidRPr="00F07C43" w:rsidRDefault="0084754A" w:rsidP="00D110A8">
            <w:pPr>
              <w:spacing w:after="0"/>
              <w:jc w:val="right"/>
              <w:rPr>
                <w:rFonts w:cs="Arial"/>
                <w:color w:val="000000"/>
                <w:szCs w:val="20"/>
              </w:rPr>
            </w:pPr>
            <w:r w:rsidRPr="007B1BA7">
              <w:rPr>
                <w:rFonts w:cs="Arial"/>
                <w:color w:val="000000"/>
                <w:sz w:val="18"/>
                <w:szCs w:val="18"/>
              </w:rPr>
              <w:t>438,022</w:t>
            </w:r>
          </w:p>
        </w:tc>
      </w:tr>
      <w:tr w:rsidR="0084754A" w:rsidRPr="00F07C43" w14:paraId="574244AF"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4DDF97AF" w14:textId="77777777" w:rsidR="0084754A" w:rsidRPr="00F07C43" w:rsidRDefault="0084754A" w:rsidP="00D110A8">
            <w:pPr>
              <w:spacing w:after="0"/>
              <w:rPr>
                <w:rFonts w:cs="Arial"/>
                <w:color w:val="000000"/>
                <w:szCs w:val="20"/>
              </w:rPr>
            </w:pPr>
            <w:r w:rsidRPr="007B1BA7">
              <w:rPr>
                <w:rFonts w:cs="Arial"/>
                <w:color w:val="000000"/>
                <w:sz w:val="18"/>
                <w:szCs w:val="20"/>
              </w:rPr>
              <w:t>30</w:t>
            </w:r>
          </w:p>
        </w:tc>
        <w:tc>
          <w:tcPr>
            <w:tcW w:w="4444" w:type="dxa"/>
            <w:tcBorders>
              <w:top w:val="nil"/>
              <w:left w:val="nil"/>
              <w:bottom w:val="single" w:sz="4" w:space="0" w:color="auto"/>
              <w:right w:val="single" w:sz="4" w:space="0" w:color="auto"/>
            </w:tcBorders>
            <w:shd w:val="clear" w:color="000000" w:fill="FFFFFF"/>
            <w:noWrap/>
            <w:vAlign w:val="bottom"/>
          </w:tcPr>
          <w:p w14:paraId="15CAEECA" w14:textId="77777777" w:rsidR="0084754A" w:rsidRPr="00F07C43" w:rsidRDefault="0084754A" w:rsidP="00D110A8">
            <w:pPr>
              <w:spacing w:after="0"/>
              <w:rPr>
                <w:rFonts w:cs="Arial"/>
                <w:color w:val="000000"/>
                <w:szCs w:val="20"/>
              </w:rPr>
            </w:pPr>
            <w:r w:rsidRPr="007B1BA7">
              <w:rPr>
                <w:rFonts w:cs="Arial"/>
                <w:color w:val="000000"/>
                <w:sz w:val="18"/>
                <w:szCs w:val="20"/>
              </w:rPr>
              <w:t>Transact Capital Communications Pty Ltd</w:t>
            </w:r>
          </w:p>
        </w:tc>
        <w:tc>
          <w:tcPr>
            <w:tcW w:w="1785" w:type="dxa"/>
            <w:tcBorders>
              <w:top w:val="nil"/>
              <w:left w:val="nil"/>
              <w:bottom w:val="single" w:sz="4" w:space="0" w:color="auto"/>
              <w:right w:val="single" w:sz="8" w:space="0" w:color="auto"/>
            </w:tcBorders>
            <w:shd w:val="clear" w:color="auto" w:fill="auto"/>
            <w:noWrap/>
            <w:vAlign w:val="bottom"/>
          </w:tcPr>
          <w:p w14:paraId="25378989" w14:textId="309B25E5" w:rsidR="0084754A" w:rsidRPr="00F07C43" w:rsidRDefault="0084754A" w:rsidP="00D110A8">
            <w:pPr>
              <w:spacing w:after="0"/>
              <w:jc w:val="right"/>
              <w:rPr>
                <w:rFonts w:cs="Arial"/>
                <w:color w:val="000000"/>
                <w:szCs w:val="20"/>
              </w:rPr>
            </w:pPr>
            <w:r w:rsidRPr="007B1BA7">
              <w:rPr>
                <w:rFonts w:cs="Arial"/>
                <w:color w:val="000000"/>
                <w:sz w:val="18"/>
                <w:szCs w:val="20"/>
              </w:rPr>
              <w:t>0.1620313192</w:t>
            </w:r>
          </w:p>
        </w:tc>
        <w:tc>
          <w:tcPr>
            <w:tcW w:w="1329" w:type="dxa"/>
            <w:tcBorders>
              <w:top w:val="nil"/>
              <w:left w:val="nil"/>
              <w:bottom w:val="single" w:sz="4" w:space="0" w:color="auto"/>
              <w:right w:val="single" w:sz="8" w:space="0" w:color="auto"/>
            </w:tcBorders>
            <w:shd w:val="clear" w:color="auto" w:fill="auto"/>
            <w:vAlign w:val="bottom"/>
          </w:tcPr>
          <w:p w14:paraId="5EA4118D" w14:textId="77777777" w:rsidR="0084754A" w:rsidRPr="00F07C43" w:rsidRDefault="0084754A" w:rsidP="00D110A8">
            <w:pPr>
              <w:spacing w:after="0"/>
              <w:jc w:val="right"/>
              <w:rPr>
                <w:rFonts w:cs="Arial"/>
                <w:color w:val="000000"/>
                <w:szCs w:val="20"/>
              </w:rPr>
            </w:pPr>
            <w:r w:rsidRPr="007B1BA7">
              <w:rPr>
                <w:rFonts w:cs="Arial"/>
                <w:color w:val="000000"/>
                <w:sz w:val="18"/>
                <w:szCs w:val="18"/>
              </w:rPr>
              <w:t>59,524</w:t>
            </w:r>
          </w:p>
        </w:tc>
      </w:tr>
      <w:tr w:rsidR="0084754A" w:rsidRPr="00F07C43" w14:paraId="0E8461E6"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2451CE15" w14:textId="77777777" w:rsidR="0084754A" w:rsidRPr="00F07C43" w:rsidRDefault="0084754A" w:rsidP="00D110A8">
            <w:pPr>
              <w:spacing w:after="0"/>
              <w:rPr>
                <w:rFonts w:cs="Arial"/>
                <w:color w:val="000000"/>
                <w:szCs w:val="20"/>
              </w:rPr>
            </w:pPr>
            <w:r w:rsidRPr="007B1BA7">
              <w:rPr>
                <w:rFonts w:cs="Arial"/>
                <w:color w:val="000000"/>
                <w:sz w:val="18"/>
                <w:szCs w:val="20"/>
              </w:rPr>
              <w:t>31</w:t>
            </w:r>
          </w:p>
        </w:tc>
        <w:tc>
          <w:tcPr>
            <w:tcW w:w="4444" w:type="dxa"/>
            <w:tcBorders>
              <w:top w:val="nil"/>
              <w:left w:val="nil"/>
              <w:bottom w:val="single" w:sz="4" w:space="0" w:color="auto"/>
              <w:right w:val="single" w:sz="4" w:space="0" w:color="auto"/>
            </w:tcBorders>
            <w:shd w:val="clear" w:color="000000" w:fill="FFFFFF"/>
            <w:noWrap/>
            <w:vAlign w:val="bottom"/>
          </w:tcPr>
          <w:p w14:paraId="715BD3AB" w14:textId="77777777" w:rsidR="0084754A" w:rsidRPr="00F07C43" w:rsidRDefault="0084754A" w:rsidP="00D110A8">
            <w:pPr>
              <w:spacing w:after="0"/>
              <w:rPr>
                <w:rFonts w:cs="Arial"/>
                <w:color w:val="000000"/>
                <w:szCs w:val="20"/>
              </w:rPr>
            </w:pPr>
            <w:r w:rsidRPr="007B1BA7">
              <w:rPr>
                <w:rFonts w:cs="Arial"/>
                <w:color w:val="000000"/>
                <w:sz w:val="18"/>
                <w:szCs w:val="20"/>
              </w:rPr>
              <w:t>Uecomm Pty Ltd</w:t>
            </w:r>
          </w:p>
        </w:tc>
        <w:tc>
          <w:tcPr>
            <w:tcW w:w="1785" w:type="dxa"/>
            <w:tcBorders>
              <w:top w:val="nil"/>
              <w:left w:val="nil"/>
              <w:bottom w:val="single" w:sz="4" w:space="0" w:color="auto"/>
              <w:right w:val="single" w:sz="8" w:space="0" w:color="auto"/>
            </w:tcBorders>
            <w:shd w:val="clear" w:color="auto" w:fill="auto"/>
            <w:noWrap/>
            <w:vAlign w:val="bottom"/>
          </w:tcPr>
          <w:p w14:paraId="6AD4315E" w14:textId="4B098447" w:rsidR="0084754A" w:rsidRPr="00F07C43" w:rsidRDefault="0084754A" w:rsidP="00D110A8">
            <w:pPr>
              <w:spacing w:after="0"/>
              <w:jc w:val="right"/>
              <w:rPr>
                <w:rFonts w:cs="Arial"/>
                <w:color w:val="000000"/>
                <w:szCs w:val="20"/>
              </w:rPr>
            </w:pPr>
            <w:r w:rsidRPr="007B1BA7">
              <w:rPr>
                <w:rFonts w:cs="Arial"/>
                <w:color w:val="000000"/>
                <w:sz w:val="18"/>
                <w:szCs w:val="20"/>
              </w:rPr>
              <w:t>0.3591933573</w:t>
            </w:r>
          </w:p>
        </w:tc>
        <w:tc>
          <w:tcPr>
            <w:tcW w:w="1329" w:type="dxa"/>
            <w:tcBorders>
              <w:top w:val="nil"/>
              <w:left w:val="nil"/>
              <w:bottom w:val="single" w:sz="4" w:space="0" w:color="auto"/>
              <w:right w:val="single" w:sz="8" w:space="0" w:color="auto"/>
            </w:tcBorders>
            <w:shd w:val="clear" w:color="auto" w:fill="auto"/>
            <w:vAlign w:val="bottom"/>
          </w:tcPr>
          <w:p w14:paraId="6976D2DD" w14:textId="77777777" w:rsidR="0084754A" w:rsidRPr="00F07C43" w:rsidRDefault="0084754A" w:rsidP="00D110A8">
            <w:pPr>
              <w:spacing w:after="0"/>
              <w:jc w:val="right"/>
              <w:rPr>
                <w:rFonts w:cs="Arial"/>
                <w:color w:val="000000"/>
                <w:szCs w:val="20"/>
              </w:rPr>
            </w:pPr>
            <w:r w:rsidRPr="007B1BA7">
              <w:rPr>
                <w:rFonts w:cs="Arial"/>
                <w:color w:val="000000"/>
                <w:sz w:val="18"/>
                <w:szCs w:val="18"/>
              </w:rPr>
              <w:t>131,953</w:t>
            </w:r>
          </w:p>
        </w:tc>
      </w:tr>
      <w:tr w:rsidR="0084754A" w:rsidRPr="00F07C43" w14:paraId="697B7CF5"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07AC6077" w14:textId="77777777" w:rsidR="0084754A" w:rsidRPr="00F07C43" w:rsidRDefault="0084754A" w:rsidP="00D110A8">
            <w:pPr>
              <w:spacing w:after="0"/>
              <w:rPr>
                <w:rFonts w:cs="Arial"/>
                <w:color w:val="000000"/>
                <w:szCs w:val="20"/>
              </w:rPr>
            </w:pPr>
            <w:r w:rsidRPr="007B1BA7">
              <w:rPr>
                <w:rFonts w:cs="Arial"/>
                <w:color w:val="000000"/>
                <w:sz w:val="18"/>
                <w:szCs w:val="20"/>
              </w:rPr>
              <w:t>32</w:t>
            </w:r>
          </w:p>
        </w:tc>
        <w:tc>
          <w:tcPr>
            <w:tcW w:w="4444" w:type="dxa"/>
            <w:tcBorders>
              <w:top w:val="nil"/>
              <w:left w:val="nil"/>
              <w:bottom w:val="single" w:sz="4" w:space="0" w:color="auto"/>
              <w:right w:val="single" w:sz="4" w:space="0" w:color="auto"/>
            </w:tcBorders>
            <w:shd w:val="clear" w:color="000000" w:fill="FFFFFF"/>
            <w:noWrap/>
            <w:vAlign w:val="bottom"/>
          </w:tcPr>
          <w:p w14:paraId="7AFD79A3" w14:textId="77777777" w:rsidR="0084754A" w:rsidRPr="00F07C43" w:rsidRDefault="0084754A" w:rsidP="00D110A8">
            <w:pPr>
              <w:spacing w:after="0"/>
              <w:rPr>
                <w:rFonts w:cs="Arial"/>
                <w:color w:val="000000"/>
                <w:szCs w:val="20"/>
              </w:rPr>
            </w:pPr>
            <w:r w:rsidRPr="007B1BA7">
              <w:rPr>
                <w:rFonts w:cs="Arial"/>
                <w:color w:val="000000"/>
                <w:sz w:val="18"/>
                <w:szCs w:val="20"/>
              </w:rPr>
              <w:t>Verizon Australia Pty Ltd</w:t>
            </w:r>
          </w:p>
        </w:tc>
        <w:tc>
          <w:tcPr>
            <w:tcW w:w="1785" w:type="dxa"/>
            <w:tcBorders>
              <w:top w:val="nil"/>
              <w:left w:val="nil"/>
              <w:bottom w:val="single" w:sz="4" w:space="0" w:color="auto"/>
              <w:right w:val="single" w:sz="8" w:space="0" w:color="auto"/>
            </w:tcBorders>
            <w:shd w:val="clear" w:color="auto" w:fill="auto"/>
            <w:noWrap/>
            <w:vAlign w:val="bottom"/>
          </w:tcPr>
          <w:p w14:paraId="69305C32" w14:textId="47247993" w:rsidR="0084754A" w:rsidRPr="00F07C43" w:rsidRDefault="0084754A" w:rsidP="00D110A8">
            <w:pPr>
              <w:spacing w:after="0"/>
              <w:jc w:val="right"/>
              <w:rPr>
                <w:rFonts w:cs="Arial"/>
                <w:color w:val="000000"/>
                <w:szCs w:val="20"/>
              </w:rPr>
            </w:pPr>
            <w:r w:rsidRPr="007B1BA7">
              <w:rPr>
                <w:rFonts w:cs="Arial"/>
                <w:color w:val="000000"/>
                <w:sz w:val="18"/>
                <w:szCs w:val="20"/>
              </w:rPr>
              <w:t>0.1168563793</w:t>
            </w:r>
          </w:p>
        </w:tc>
        <w:tc>
          <w:tcPr>
            <w:tcW w:w="1329" w:type="dxa"/>
            <w:tcBorders>
              <w:top w:val="nil"/>
              <w:left w:val="nil"/>
              <w:bottom w:val="single" w:sz="4" w:space="0" w:color="auto"/>
              <w:right w:val="single" w:sz="8" w:space="0" w:color="auto"/>
            </w:tcBorders>
            <w:shd w:val="clear" w:color="auto" w:fill="auto"/>
            <w:vAlign w:val="bottom"/>
          </w:tcPr>
          <w:p w14:paraId="7F4DDF46" w14:textId="77777777" w:rsidR="0084754A" w:rsidRPr="00F07C43" w:rsidRDefault="0084754A" w:rsidP="00D110A8">
            <w:pPr>
              <w:spacing w:after="0"/>
              <w:jc w:val="right"/>
              <w:rPr>
                <w:rFonts w:cs="Arial"/>
                <w:color w:val="000000"/>
                <w:szCs w:val="20"/>
              </w:rPr>
            </w:pPr>
            <w:r w:rsidRPr="007B1BA7">
              <w:rPr>
                <w:rFonts w:cs="Arial"/>
                <w:color w:val="000000"/>
                <w:sz w:val="18"/>
                <w:szCs w:val="18"/>
              </w:rPr>
              <w:t>42,928</w:t>
            </w:r>
          </w:p>
        </w:tc>
      </w:tr>
      <w:tr w:rsidR="0084754A" w:rsidRPr="00F07C43" w14:paraId="78F3E34D"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4175BF03" w14:textId="77777777" w:rsidR="0084754A" w:rsidRPr="00F07C43" w:rsidRDefault="0084754A" w:rsidP="00D110A8">
            <w:pPr>
              <w:spacing w:after="0"/>
              <w:rPr>
                <w:rFonts w:cs="Arial"/>
                <w:color w:val="000000"/>
                <w:szCs w:val="20"/>
              </w:rPr>
            </w:pPr>
            <w:r w:rsidRPr="007B1BA7">
              <w:rPr>
                <w:rFonts w:cs="Arial"/>
                <w:color w:val="000000"/>
                <w:sz w:val="18"/>
                <w:szCs w:val="20"/>
              </w:rPr>
              <w:t>33</w:t>
            </w:r>
          </w:p>
        </w:tc>
        <w:tc>
          <w:tcPr>
            <w:tcW w:w="4444" w:type="dxa"/>
            <w:tcBorders>
              <w:top w:val="nil"/>
              <w:left w:val="nil"/>
              <w:bottom w:val="single" w:sz="4" w:space="0" w:color="auto"/>
              <w:right w:val="single" w:sz="4" w:space="0" w:color="auto"/>
            </w:tcBorders>
            <w:shd w:val="clear" w:color="000000" w:fill="FFFFFF"/>
            <w:noWrap/>
            <w:vAlign w:val="bottom"/>
          </w:tcPr>
          <w:p w14:paraId="5D2DA12B" w14:textId="77777777" w:rsidR="0084754A" w:rsidRPr="00F07C43" w:rsidRDefault="0084754A" w:rsidP="00D110A8">
            <w:pPr>
              <w:spacing w:after="0"/>
              <w:rPr>
                <w:rFonts w:cs="Arial"/>
                <w:color w:val="000000"/>
                <w:szCs w:val="20"/>
              </w:rPr>
            </w:pPr>
            <w:r w:rsidRPr="007B1BA7">
              <w:rPr>
                <w:rFonts w:cs="Arial"/>
                <w:color w:val="000000"/>
                <w:sz w:val="18"/>
                <w:szCs w:val="20"/>
              </w:rPr>
              <w:t>Victorian Rail Track</w:t>
            </w:r>
          </w:p>
        </w:tc>
        <w:tc>
          <w:tcPr>
            <w:tcW w:w="1785" w:type="dxa"/>
            <w:tcBorders>
              <w:top w:val="nil"/>
              <w:left w:val="nil"/>
              <w:bottom w:val="single" w:sz="4" w:space="0" w:color="auto"/>
              <w:right w:val="single" w:sz="8" w:space="0" w:color="auto"/>
            </w:tcBorders>
            <w:shd w:val="clear" w:color="auto" w:fill="auto"/>
            <w:noWrap/>
            <w:vAlign w:val="bottom"/>
          </w:tcPr>
          <w:p w14:paraId="3A8CC89C" w14:textId="5D58D7D0" w:rsidR="0084754A" w:rsidRPr="00F07C43" w:rsidRDefault="0084754A" w:rsidP="00D110A8">
            <w:pPr>
              <w:spacing w:after="0"/>
              <w:jc w:val="right"/>
              <w:rPr>
                <w:rFonts w:cs="Arial"/>
                <w:color w:val="000000"/>
                <w:szCs w:val="20"/>
              </w:rPr>
            </w:pPr>
            <w:r w:rsidRPr="007B1BA7">
              <w:rPr>
                <w:rFonts w:cs="Arial"/>
                <w:color w:val="000000"/>
                <w:sz w:val="18"/>
                <w:szCs w:val="20"/>
              </w:rPr>
              <w:t>0.1064364571</w:t>
            </w:r>
          </w:p>
        </w:tc>
        <w:tc>
          <w:tcPr>
            <w:tcW w:w="1329" w:type="dxa"/>
            <w:tcBorders>
              <w:top w:val="nil"/>
              <w:left w:val="nil"/>
              <w:bottom w:val="single" w:sz="4" w:space="0" w:color="auto"/>
              <w:right w:val="single" w:sz="8" w:space="0" w:color="auto"/>
            </w:tcBorders>
            <w:shd w:val="clear" w:color="auto" w:fill="auto"/>
            <w:vAlign w:val="bottom"/>
          </w:tcPr>
          <w:p w14:paraId="45F8E848" w14:textId="77777777" w:rsidR="0084754A" w:rsidRPr="00F07C43" w:rsidRDefault="0084754A" w:rsidP="00D110A8">
            <w:pPr>
              <w:spacing w:after="0"/>
              <w:jc w:val="right"/>
              <w:rPr>
                <w:rFonts w:cs="Arial"/>
                <w:color w:val="000000"/>
                <w:szCs w:val="20"/>
              </w:rPr>
            </w:pPr>
            <w:r w:rsidRPr="007B1BA7">
              <w:rPr>
                <w:rFonts w:cs="Arial"/>
                <w:color w:val="000000"/>
                <w:sz w:val="18"/>
                <w:szCs w:val="18"/>
              </w:rPr>
              <w:t>39,100</w:t>
            </w:r>
          </w:p>
        </w:tc>
      </w:tr>
      <w:tr w:rsidR="0084754A" w:rsidRPr="00F07C43" w14:paraId="5716C314"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3F63F650" w14:textId="77777777" w:rsidR="0084754A" w:rsidRPr="00F07C43" w:rsidRDefault="0084754A" w:rsidP="00D110A8">
            <w:pPr>
              <w:spacing w:after="0"/>
              <w:rPr>
                <w:rFonts w:cs="Arial"/>
                <w:color w:val="000000"/>
                <w:szCs w:val="20"/>
              </w:rPr>
            </w:pPr>
            <w:r w:rsidRPr="007B1BA7">
              <w:rPr>
                <w:rFonts w:cs="Arial"/>
                <w:color w:val="000000"/>
                <w:sz w:val="18"/>
                <w:szCs w:val="20"/>
              </w:rPr>
              <w:t>34</w:t>
            </w:r>
          </w:p>
        </w:tc>
        <w:tc>
          <w:tcPr>
            <w:tcW w:w="4444" w:type="dxa"/>
            <w:tcBorders>
              <w:top w:val="nil"/>
              <w:left w:val="nil"/>
              <w:bottom w:val="single" w:sz="4" w:space="0" w:color="auto"/>
              <w:right w:val="single" w:sz="4" w:space="0" w:color="auto"/>
            </w:tcBorders>
            <w:shd w:val="clear" w:color="000000" w:fill="FFFFFF"/>
            <w:noWrap/>
            <w:vAlign w:val="bottom"/>
          </w:tcPr>
          <w:p w14:paraId="78ED1FEB" w14:textId="77777777" w:rsidR="0084754A" w:rsidRPr="00F07C43" w:rsidRDefault="0084754A" w:rsidP="00D110A8">
            <w:pPr>
              <w:spacing w:after="0"/>
              <w:rPr>
                <w:rFonts w:cs="Arial"/>
                <w:color w:val="000000"/>
                <w:szCs w:val="20"/>
              </w:rPr>
            </w:pPr>
            <w:r w:rsidRPr="007B1BA7">
              <w:rPr>
                <w:rFonts w:cs="Arial"/>
                <w:color w:val="000000"/>
                <w:sz w:val="18"/>
                <w:szCs w:val="20"/>
              </w:rPr>
              <w:t>VIVIDWIRELESS Pty Ltd</w:t>
            </w:r>
          </w:p>
        </w:tc>
        <w:tc>
          <w:tcPr>
            <w:tcW w:w="1785" w:type="dxa"/>
            <w:tcBorders>
              <w:top w:val="nil"/>
              <w:left w:val="nil"/>
              <w:bottom w:val="single" w:sz="4" w:space="0" w:color="auto"/>
              <w:right w:val="single" w:sz="8" w:space="0" w:color="auto"/>
            </w:tcBorders>
            <w:shd w:val="clear" w:color="auto" w:fill="auto"/>
            <w:noWrap/>
            <w:vAlign w:val="bottom"/>
          </w:tcPr>
          <w:p w14:paraId="3BEE77CD" w14:textId="345C377B" w:rsidR="0084754A" w:rsidRPr="00F07C43" w:rsidRDefault="0084754A" w:rsidP="00D110A8">
            <w:pPr>
              <w:spacing w:after="0"/>
              <w:jc w:val="right"/>
              <w:rPr>
                <w:rFonts w:cs="Arial"/>
                <w:color w:val="000000"/>
                <w:szCs w:val="20"/>
              </w:rPr>
            </w:pPr>
            <w:r w:rsidRPr="007B1BA7">
              <w:rPr>
                <w:rFonts w:cs="Arial"/>
                <w:color w:val="000000"/>
                <w:sz w:val="18"/>
                <w:szCs w:val="20"/>
              </w:rPr>
              <w:t>0.1005884767</w:t>
            </w:r>
          </w:p>
        </w:tc>
        <w:tc>
          <w:tcPr>
            <w:tcW w:w="1329" w:type="dxa"/>
            <w:tcBorders>
              <w:top w:val="nil"/>
              <w:left w:val="nil"/>
              <w:bottom w:val="single" w:sz="4" w:space="0" w:color="auto"/>
              <w:right w:val="single" w:sz="8" w:space="0" w:color="auto"/>
            </w:tcBorders>
            <w:shd w:val="clear" w:color="auto" w:fill="auto"/>
            <w:vAlign w:val="bottom"/>
          </w:tcPr>
          <w:p w14:paraId="4676D002" w14:textId="77777777" w:rsidR="0084754A" w:rsidRPr="00F07C43" w:rsidRDefault="0084754A" w:rsidP="00D110A8">
            <w:pPr>
              <w:spacing w:after="0"/>
              <w:jc w:val="right"/>
              <w:rPr>
                <w:rFonts w:cs="Arial"/>
                <w:color w:val="000000"/>
                <w:szCs w:val="20"/>
              </w:rPr>
            </w:pPr>
            <w:r w:rsidRPr="007B1BA7">
              <w:rPr>
                <w:rFonts w:cs="Arial"/>
                <w:color w:val="000000"/>
                <w:sz w:val="18"/>
                <w:szCs w:val="18"/>
              </w:rPr>
              <w:t>36,952</w:t>
            </w:r>
          </w:p>
        </w:tc>
      </w:tr>
      <w:tr w:rsidR="0084754A" w:rsidRPr="00F07C43" w14:paraId="4DBBFA7D"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1F46B4C1" w14:textId="77777777" w:rsidR="0084754A" w:rsidRPr="00F07C43" w:rsidRDefault="0084754A" w:rsidP="00D110A8">
            <w:pPr>
              <w:spacing w:after="0"/>
              <w:rPr>
                <w:rFonts w:cs="Arial"/>
                <w:color w:val="000000"/>
                <w:szCs w:val="20"/>
              </w:rPr>
            </w:pPr>
            <w:r w:rsidRPr="007B1BA7">
              <w:rPr>
                <w:rFonts w:cs="Arial"/>
                <w:color w:val="000000"/>
                <w:sz w:val="18"/>
                <w:szCs w:val="20"/>
              </w:rPr>
              <w:t>35</w:t>
            </w:r>
          </w:p>
        </w:tc>
        <w:tc>
          <w:tcPr>
            <w:tcW w:w="4444" w:type="dxa"/>
            <w:tcBorders>
              <w:top w:val="nil"/>
              <w:left w:val="nil"/>
              <w:bottom w:val="single" w:sz="4" w:space="0" w:color="auto"/>
              <w:right w:val="single" w:sz="4" w:space="0" w:color="auto"/>
            </w:tcBorders>
            <w:shd w:val="clear" w:color="000000" w:fill="FFFFFF"/>
            <w:noWrap/>
            <w:vAlign w:val="bottom"/>
          </w:tcPr>
          <w:p w14:paraId="76910576" w14:textId="77777777" w:rsidR="0084754A" w:rsidRPr="00F07C43" w:rsidRDefault="0084754A" w:rsidP="00D110A8">
            <w:pPr>
              <w:spacing w:after="0"/>
              <w:rPr>
                <w:rFonts w:cs="Arial"/>
                <w:color w:val="000000"/>
                <w:szCs w:val="20"/>
              </w:rPr>
            </w:pPr>
            <w:r w:rsidRPr="007B1BA7">
              <w:rPr>
                <w:rFonts w:cs="Arial"/>
                <w:color w:val="000000"/>
                <w:sz w:val="18"/>
                <w:szCs w:val="20"/>
              </w:rPr>
              <w:t>Vocus Fibre Pty Ltd</w:t>
            </w:r>
          </w:p>
        </w:tc>
        <w:tc>
          <w:tcPr>
            <w:tcW w:w="1785" w:type="dxa"/>
            <w:tcBorders>
              <w:top w:val="nil"/>
              <w:left w:val="nil"/>
              <w:bottom w:val="single" w:sz="4" w:space="0" w:color="auto"/>
              <w:right w:val="single" w:sz="8" w:space="0" w:color="auto"/>
            </w:tcBorders>
            <w:shd w:val="clear" w:color="auto" w:fill="auto"/>
            <w:noWrap/>
            <w:vAlign w:val="bottom"/>
          </w:tcPr>
          <w:p w14:paraId="348B664C" w14:textId="50C93942" w:rsidR="0084754A" w:rsidRPr="00F07C43" w:rsidRDefault="0084754A" w:rsidP="00D110A8">
            <w:pPr>
              <w:spacing w:after="0"/>
              <w:jc w:val="right"/>
              <w:rPr>
                <w:rFonts w:cs="Arial"/>
                <w:color w:val="000000"/>
                <w:szCs w:val="20"/>
              </w:rPr>
            </w:pPr>
            <w:r w:rsidRPr="007B1BA7">
              <w:rPr>
                <w:rFonts w:cs="Arial"/>
                <w:color w:val="000000"/>
                <w:sz w:val="18"/>
                <w:szCs w:val="20"/>
              </w:rPr>
              <w:t>0.1179107374</w:t>
            </w:r>
          </w:p>
        </w:tc>
        <w:tc>
          <w:tcPr>
            <w:tcW w:w="1329" w:type="dxa"/>
            <w:tcBorders>
              <w:top w:val="nil"/>
              <w:left w:val="nil"/>
              <w:bottom w:val="single" w:sz="4" w:space="0" w:color="auto"/>
              <w:right w:val="single" w:sz="8" w:space="0" w:color="auto"/>
            </w:tcBorders>
            <w:shd w:val="clear" w:color="auto" w:fill="auto"/>
            <w:vAlign w:val="bottom"/>
          </w:tcPr>
          <w:p w14:paraId="62E030C6" w14:textId="77777777" w:rsidR="0084754A" w:rsidRPr="00F07C43" w:rsidRDefault="0084754A" w:rsidP="00D110A8">
            <w:pPr>
              <w:spacing w:after="0"/>
              <w:jc w:val="right"/>
              <w:rPr>
                <w:rFonts w:cs="Arial"/>
                <w:color w:val="000000"/>
                <w:szCs w:val="20"/>
              </w:rPr>
            </w:pPr>
            <w:r w:rsidRPr="007B1BA7">
              <w:rPr>
                <w:rFonts w:cs="Arial"/>
                <w:color w:val="000000"/>
                <w:sz w:val="18"/>
                <w:szCs w:val="18"/>
              </w:rPr>
              <w:t>43,315</w:t>
            </w:r>
          </w:p>
        </w:tc>
      </w:tr>
      <w:tr w:rsidR="0084754A" w:rsidRPr="00F07C43" w14:paraId="3EEE7F5C" w14:textId="77777777" w:rsidTr="00D110A8">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3F857017" w14:textId="77777777" w:rsidR="0084754A" w:rsidRPr="00F07C43" w:rsidRDefault="0084754A" w:rsidP="00D110A8">
            <w:pPr>
              <w:spacing w:after="0"/>
              <w:rPr>
                <w:rFonts w:cs="Arial"/>
                <w:color w:val="000000"/>
                <w:szCs w:val="20"/>
              </w:rPr>
            </w:pPr>
            <w:r w:rsidRPr="007B1BA7">
              <w:rPr>
                <w:rFonts w:cs="Arial"/>
                <w:color w:val="000000"/>
                <w:sz w:val="18"/>
                <w:szCs w:val="20"/>
              </w:rPr>
              <w:t>36</w:t>
            </w:r>
          </w:p>
        </w:tc>
        <w:tc>
          <w:tcPr>
            <w:tcW w:w="4444" w:type="dxa"/>
            <w:tcBorders>
              <w:top w:val="nil"/>
              <w:left w:val="nil"/>
              <w:bottom w:val="single" w:sz="4" w:space="0" w:color="auto"/>
              <w:right w:val="single" w:sz="4" w:space="0" w:color="auto"/>
            </w:tcBorders>
            <w:shd w:val="clear" w:color="000000" w:fill="FFFFFF"/>
            <w:noWrap/>
            <w:vAlign w:val="bottom"/>
          </w:tcPr>
          <w:p w14:paraId="7D2A04A8" w14:textId="77777777" w:rsidR="0084754A" w:rsidRPr="00F07C43" w:rsidRDefault="0084754A" w:rsidP="00D110A8">
            <w:pPr>
              <w:spacing w:after="0"/>
              <w:rPr>
                <w:rFonts w:cs="Arial"/>
                <w:color w:val="000000"/>
                <w:szCs w:val="20"/>
              </w:rPr>
            </w:pPr>
            <w:r w:rsidRPr="007B1BA7">
              <w:rPr>
                <w:rFonts w:cs="Arial"/>
                <w:color w:val="000000"/>
                <w:sz w:val="18"/>
                <w:szCs w:val="20"/>
              </w:rPr>
              <w:t>Vodafone Australia Pty Ltd</w:t>
            </w:r>
          </w:p>
        </w:tc>
        <w:tc>
          <w:tcPr>
            <w:tcW w:w="1785" w:type="dxa"/>
            <w:tcBorders>
              <w:top w:val="nil"/>
              <w:left w:val="nil"/>
              <w:bottom w:val="single" w:sz="4" w:space="0" w:color="auto"/>
              <w:right w:val="single" w:sz="8" w:space="0" w:color="auto"/>
            </w:tcBorders>
            <w:shd w:val="clear" w:color="auto" w:fill="auto"/>
            <w:noWrap/>
            <w:vAlign w:val="bottom"/>
          </w:tcPr>
          <w:p w14:paraId="5001AD39" w14:textId="52A66F11" w:rsidR="0084754A" w:rsidRPr="00F07C43" w:rsidRDefault="0084754A" w:rsidP="00D110A8">
            <w:pPr>
              <w:spacing w:after="0"/>
              <w:jc w:val="right"/>
              <w:rPr>
                <w:rFonts w:cs="Arial"/>
                <w:color w:val="000000"/>
                <w:szCs w:val="20"/>
              </w:rPr>
            </w:pPr>
            <w:r w:rsidRPr="007B1BA7">
              <w:rPr>
                <w:rFonts w:cs="Arial"/>
                <w:color w:val="000000"/>
                <w:sz w:val="18"/>
                <w:szCs w:val="20"/>
              </w:rPr>
              <w:t>6.2323428669</w:t>
            </w:r>
          </w:p>
        </w:tc>
        <w:tc>
          <w:tcPr>
            <w:tcW w:w="1329" w:type="dxa"/>
            <w:tcBorders>
              <w:top w:val="nil"/>
              <w:left w:val="nil"/>
              <w:bottom w:val="single" w:sz="4" w:space="0" w:color="auto"/>
              <w:right w:val="single" w:sz="8" w:space="0" w:color="auto"/>
            </w:tcBorders>
            <w:shd w:val="clear" w:color="auto" w:fill="auto"/>
            <w:vAlign w:val="bottom"/>
          </w:tcPr>
          <w:p w14:paraId="6B5F37D9" w14:textId="77777777" w:rsidR="0084754A" w:rsidRPr="00F07C43" w:rsidRDefault="0084754A" w:rsidP="00D110A8">
            <w:pPr>
              <w:spacing w:after="0"/>
              <w:jc w:val="right"/>
              <w:rPr>
                <w:rFonts w:cs="Arial"/>
                <w:color w:val="000000"/>
                <w:szCs w:val="20"/>
              </w:rPr>
            </w:pPr>
            <w:r w:rsidRPr="007B1BA7">
              <w:rPr>
                <w:rFonts w:cs="Arial"/>
                <w:color w:val="000000"/>
                <w:sz w:val="18"/>
                <w:szCs w:val="18"/>
              </w:rPr>
              <w:t>2,289,501</w:t>
            </w:r>
          </w:p>
        </w:tc>
      </w:tr>
      <w:tr w:rsidR="007B57F4" w:rsidRPr="00F07C43" w14:paraId="1725C5BC" w14:textId="77777777" w:rsidTr="00593B36">
        <w:trPr>
          <w:trHeight w:val="301"/>
        </w:trPr>
        <w:tc>
          <w:tcPr>
            <w:tcW w:w="6768" w:type="dxa"/>
            <w:gridSpan w:val="3"/>
            <w:tcBorders>
              <w:top w:val="nil"/>
              <w:left w:val="single" w:sz="8" w:space="0" w:color="auto"/>
              <w:bottom w:val="single" w:sz="8" w:space="0" w:color="auto"/>
              <w:right w:val="single" w:sz="8" w:space="0" w:color="auto"/>
            </w:tcBorders>
            <w:shd w:val="clear" w:color="auto" w:fill="D9D9D9" w:themeFill="background1" w:themeFillShade="D9"/>
            <w:noWrap/>
            <w:hideMark/>
          </w:tcPr>
          <w:p w14:paraId="5E98CC41" w14:textId="77777777" w:rsidR="007B57F4" w:rsidRPr="00F07C43" w:rsidRDefault="007B57F4" w:rsidP="00C46D75">
            <w:pPr>
              <w:spacing w:after="0" w:line="240" w:lineRule="auto"/>
              <w:rPr>
                <w:rFonts w:cs="Arial"/>
                <w:b/>
                <w:bCs/>
                <w:color w:val="000000"/>
                <w:szCs w:val="20"/>
              </w:rPr>
            </w:pPr>
            <w:r w:rsidRPr="00F07C43">
              <w:rPr>
                <w:rFonts w:cs="Arial"/>
                <w:b/>
                <w:bCs/>
                <w:color w:val="000000"/>
                <w:szCs w:val="20"/>
              </w:rPr>
              <w:t>Total</w:t>
            </w:r>
          </w:p>
        </w:tc>
        <w:tc>
          <w:tcPr>
            <w:tcW w:w="1329" w:type="dxa"/>
            <w:tcBorders>
              <w:top w:val="nil"/>
              <w:left w:val="nil"/>
              <w:bottom w:val="single" w:sz="8" w:space="0" w:color="auto"/>
              <w:right w:val="single" w:sz="8" w:space="0" w:color="auto"/>
            </w:tcBorders>
            <w:shd w:val="clear" w:color="auto" w:fill="D9D9D9" w:themeFill="background1" w:themeFillShade="D9"/>
          </w:tcPr>
          <w:p w14:paraId="26E0BFAB" w14:textId="77777777" w:rsidR="007B57F4" w:rsidRPr="00F07C43" w:rsidRDefault="0071508A" w:rsidP="00C46D75">
            <w:pPr>
              <w:spacing w:after="0" w:line="240" w:lineRule="auto"/>
              <w:jc w:val="right"/>
              <w:rPr>
                <w:rFonts w:cs="Arial"/>
                <w:b/>
                <w:bCs/>
                <w:color w:val="000000"/>
                <w:szCs w:val="20"/>
              </w:rPr>
            </w:pPr>
            <w:r>
              <w:rPr>
                <w:rFonts w:cs="Arial"/>
                <w:b/>
                <w:szCs w:val="20"/>
              </w:rPr>
              <w:t>36,735,801</w:t>
            </w:r>
          </w:p>
        </w:tc>
      </w:tr>
    </w:tbl>
    <w:p w14:paraId="1F1F8322" w14:textId="77777777" w:rsidR="009E783D" w:rsidRPr="007336F4" w:rsidRDefault="009E783D" w:rsidP="009E783D">
      <w:pPr>
        <w:pStyle w:val="Heading1"/>
        <w:ind w:right="-142"/>
      </w:pPr>
      <w:bookmarkStart w:id="108" w:name="_Toc385256327"/>
      <w:bookmarkStart w:id="109" w:name="_Toc417990972"/>
      <w:bookmarkStart w:id="110" w:name="_Toc454268388"/>
      <w:r w:rsidRPr="007336F4">
        <w:lastRenderedPageBreak/>
        <w:t>Attachment B</w:t>
      </w:r>
      <w:bookmarkEnd w:id="108"/>
      <w:bookmarkEnd w:id="109"/>
      <w:bookmarkEnd w:id="110"/>
    </w:p>
    <w:p w14:paraId="16F66DEB" w14:textId="77777777" w:rsidR="009E783D" w:rsidRPr="00D567BE" w:rsidRDefault="009E783D" w:rsidP="00D567BE">
      <w:pPr>
        <w:pStyle w:val="Heading2"/>
        <w:spacing w:after="240"/>
      </w:pPr>
      <w:bookmarkStart w:id="111" w:name="_Toc417990973"/>
      <w:bookmarkStart w:id="112" w:name="_Toc454268389"/>
      <w:r w:rsidRPr="00D567BE">
        <w:t>Telecommunications activities not included in the ACLC</w:t>
      </w:r>
      <w:bookmarkEnd w:id="111"/>
      <w:bookmarkEnd w:id="112"/>
    </w:p>
    <w:p w14:paraId="06E39D8D" w14:textId="77777777" w:rsidR="009E783D" w:rsidRPr="001B69DC" w:rsidRDefault="009E783D" w:rsidP="00D567BE">
      <w:pPr>
        <w:pStyle w:val="Bodysubheader0"/>
      </w:pPr>
      <w:r w:rsidRPr="001B69DC">
        <w:t>Smartnumbers auction activities</w:t>
      </w:r>
    </w:p>
    <w:p w14:paraId="651FE125" w14:textId="214A6110" w:rsidR="009E783D" w:rsidRPr="00C320F6" w:rsidRDefault="009E783D" w:rsidP="00D567BE">
      <w:bookmarkStart w:id="113" w:name="_Toc260128306"/>
      <w:bookmarkStart w:id="114" w:name="_Toc261431675"/>
      <w:bookmarkStart w:id="115" w:name="_Toc261431807"/>
      <w:bookmarkStart w:id="116" w:name="_Toc316465912"/>
      <w:r w:rsidRPr="00C320F6">
        <w:t>The costs associated with numbers auctioned under the smartnumbers auction system are not recovered from industry on the basis that costs would be offset by auction proceeds</w:t>
      </w:r>
      <w:bookmarkEnd w:id="113"/>
      <w:bookmarkEnd w:id="114"/>
      <w:bookmarkEnd w:id="115"/>
      <w:r w:rsidRPr="00C320F6">
        <w:t xml:space="preserve">, except for an application charge to register for the auction </w:t>
      </w:r>
      <w:r w:rsidR="008F54DA">
        <w:t>that</w:t>
      </w:r>
      <w:r w:rsidR="008F54DA" w:rsidRPr="00C320F6">
        <w:t xml:space="preserve"> </w:t>
      </w:r>
      <w:r w:rsidRPr="00C320F6">
        <w:t>is cost recovered on a fee basis.</w:t>
      </w:r>
      <w:bookmarkEnd w:id="116"/>
    </w:p>
    <w:p w14:paraId="130D27C1" w14:textId="77777777" w:rsidR="009E783D" w:rsidRPr="001B69DC" w:rsidRDefault="009E783D" w:rsidP="00D567BE">
      <w:pPr>
        <w:pStyle w:val="Bodysubheader0"/>
        <w:rPr>
          <w:rFonts w:cs="Arial"/>
          <w:i w:val="0"/>
          <w:u w:val="single"/>
        </w:rPr>
      </w:pPr>
      <w:r w:rsidRPr="00D567BE">
        <w:t>Spam and e-security activities</w:t>
      </w:r>
    </w:p>
    <w:p w14:paraId="7ABACC62" w14:textId="40D8464D" w:rsidR="009E783D" w:rsidRPr="00C320F6" w:rsidRDefault="009E783D" w:rsidP="007B57F4">
      <w:bookmarkStart w:id="117" w:name="_Toc260128307"/>
      <w:bookmarkStart w:id="118" w:name="_Toc261431676"/>
      <w:bookmarkStart w:id="119" w:name="_Toc261431808"/>
      <w:bookmarkStart w:id="120" w:name="_Toc316465913"/>
      <w:r w:rsidRPr="00C320F6">
        <w:t xml:space="preserve">These activities include anti-spam activities carried out in accordance with the </w:t>
      </w:r>
      <w:r w:rsidRPr="000E0EFD">
        <w:rPr>
          <w:i/>
        </w:rPr>
        <w:t>Spam Act 2003</w:t>
      </w:r>
      <w:r w:rsidRPr="00C320F6">
        <w:t xml:space="preserve"> and e-security </w:t>
      </w:r>
      <w:r w:rsidRPr="00D567BE">
        <w:t>activities</w:t>
      </w:r>
      <w:r w:rsidRPr="00C320F6">
        <w:t xml:space="preserve">. The costs associated with these activities are considered not appropriate to recover from the telecommunications </w:t>
      </w:r>
      <w:r w:rsidR="008F54DA" w:rsidRPr="00C320F6">
        <w:t>carriers,</w:t>
      </w:r>
      <w:r w:rsidRPr="00C320F6">
        <w:t xml:space="preserve"> as the direct beneficiaries are the members of the public. </w:t>
      </w:r>
      <w:bookmarkEnd w:id="117"/>
      <w:bookmarkEnd w:id="118"/>
      <w:bookmarkEnd w:id="119"/>
      <w:bookmarkEnd w:id="120"/>
    </w:p>
    <w:p w14:paraId="6B3FD16C" w14:textId="77777777" w:rsidR="009E783D" w:rsidRPr="00D567BE" w:rsidRDefault="009E783D" w:rsidP="00D567BE">
      <w:pPr>
        <w:pStyle w:val="Bodysubheader0"/>
      </w:pPr>
      <w:r w:rsidRPr="00D567BE">
        <w:t>Do Not Call Register and telemarketing related activities</w:t>
      </w:r>
    </w:p>
    <w:p w14:paraId="0A5205F6" w14:textId="77777777" w:rsidR="009E783D" w:rsidRPr="00D567BE" w:rsidRDefault="009E783D" w:rsidP="00D567BE">
      <w:pPr>
        <w:rPr>
          <w:rFonts w:cs="Arial"/>
        </w:rPr>
      </w:pPr>
      <w:r w:rsidRPr="00D567BE">
        <w:rPr>
          <w:rFonts w:cs="Arial"/>
        </w:rPr>
        <w:t>In accordance with subsection 15(4) of the</w:t>
      </w:r>
      <w:r w:rsidRPr="00D567BE">
        <w:rPr>
          <w:rFonts w:cs="Arial"/>
          <w:i/>
        </w:rPr>
        <w:t xml:space="preserve"> Telecommunications (Carrier Licence Charge) Act 1997</w:t>
      </w:r>
      <w:r w:rsidRPr="00D567BE">
        <w:rPr>
          <w:rFonts w:cs="Arial"/>
        </w:rPr>
        <w:t xml:space="preserve">, the activities conducted under the </w:t>
      </w:r>
      <w:r w:rsidRPr="00D567BE">
        <w:rPr>
          <w:rFonts w:cs="Arial"/>
          <w:i/>
        </w:rPr>
        <w:t>Do Not Call Register Act 2006</w:t>
      </w:r>
      <w:r w:rsidRPr="00D567BE">
        <w:rPr>
          <w:rFonts w:cs="Arial"/>
        </w:rPr>
        <w:t xml:space="preserve"> and the </w:t>
      </w:r>
      <w:r w:rsidRPr="00D567BE">
        <w:rPr>
          <w:rFonts w:cs="Arial"/>
          <w:i/>
        </w:rPr>
        <w:t>Telecommunications Act 1997</w:t>
      </w:r>
      <w:r w:rsidRPr="00D567BE">
        <w:rPr>
          <w:rFonts w:cs="Arial"/>
        </w:rPr>
        <w:t xml:space="preserve"> to the extent that they relate to telemarketing do not form part of </w:t>
      </w:r>
      <w:r w:rsidRPr="00D567BE">
        <w:t>the</w:t>
      </w:r>
      <w:r w:rsidRPr="00D567BE">
        <w:rPr>
          <w:rFonts w:cs="Arial"/>
        </w:rPr>
        <w:t xml:space="preserve"> ACMA’s telecommu</w:t>
      </w:r>
      <w:r w:rsidR="00D567BE">
        <w:rPr>
          <w:rFonts w:cs="Arial"/>
        </w:rPr>
        <w:t>nications functions and powers.</w:t>
      </w:r>
    </w:p>
    <w:p w14:paraId="07BB6D3C" w14:textId="77777777" w:rsidR="009E783D" w:rsidRPr="00D567BE" w:rsidRDefault="009E783D" w:rsidP="00D567BE">
      <w:pPr>
        <w:pStyle w:val="Bodysubheader0"/>
      </w:pPr>
      <w:r w:rsidRPr="00D567BE">
        <w:t>Public information activities</w:t>
      </w:r>
    </w:p>
    <w:p w14:paraId="3C5A597C" w14:textId="77777777" w:rsidR="009E783D" w:rsidRPr="00D567BE" w:rsidRDefault="009E783D" w:rsidP="00D567BE">
      <w:pPr>
        <w:rPr>
          <w:rFonts w:cs="Arial"/>
        </w:rPr>
      </w:pPr>
      <w:r w:rsidRPr="00D567BE">
        <w:rPr>
          <w:rFonts w:cs="Arial"/>
        </w:rPr>
        <w:t>These activities include the production of information for the general public on consumer awareness. The costs of these activities are considered to be more appropriately met through budget funding.</w:t>
      </w:r>
      <w:r w:rsidR="00D567BE">
        <w:rPr>
          <w:rFonts w:cs="Arial"/>
        </w:rPr>
        <w:t xml:space="preserve">  </w:t>
      </w:r>
    </w:p>
    <w:p w14:paraId="7127B6D8" w14:textId="77777777" w:rsidR="009E783D" w:rsidRPr="00D567BE" w:rsidRDefault="009E783D" w:rsidP="00D567BE">
      <w:pPr>
        <w:pStyle w:val="Bodysubheader0"/>
      </w:pPr>
      <w:r w:rsidRPr="00D567BE">
        <w:t>Other telecommunications activities</w:t>
      </w:r>
    </w:p>
    <w:p w14:paraId="1B9E83A4" w14:textId="77777777" w:rsidR="009E783D" w:rsidRPr="00C320F6" w:rsidRDefault="009E783D" w:rsidP="009E783D">
      <w:pPr>
        <w:pStyle w:val="BodyText"/>
        <w:spacing w:after="80" w:line="240" w:lineRule="atLeast"/>
        <w:ind w:right="-142"/>
        <w:rPr>
          <w:rFonts w:cs="Arial"/>
          <w:i w:val="0"/>
          <w:color w:val="auto"/>
        </w:rPr>
      </w:pPr>
      <w:r w:rsidRPr="00C320F6">
        <w:rPr>
          <w:rFonts w:cs="Arial"/>
          <w:i w:val="0"/>
          <w:color w:val="auto"/>
        </w:rPr>
        <w:t>The following activities are delivered on a fee</w:t>
      </w:r>
      <w:r>
        <w:rPr>
          <w:rFonts w:cs="Arial"/>
          <w:i w:val="0"/>
          <w:color w:val="auto"/>
        </w:rPr>
        <w:t>-</w:t>
      </w:r>
      <w:r w:rsidRPr="00C320F6">
        <w:rPr>
          <w:rFonts w:cs="Arial"/>
          <w:i w:val="0"/>
          <w:color w:val="auto"/>
        </w:rPr>
        <w:t>for</w:t>
      </w:r>
      <w:r>
        <w:rPr>
          <w:rFonts w:cs="Arial"/>
          <w:i w:val="0"/>
          <w:color w:val="auto"/>
        </w:rPr>
        <w:t>-</w:t>
      </w:r>
      <w:r w:rsidRPr="00C320F6">
        <w:rPr>
          <w:rFonts w:cs="Arial"/>
          <w:i w:val="0"/>
          <w:color w:val="auto"/>
        </w:rPr>
        <w:t>service basis</w:t>
      </w:r>
      <w:r>
        <w:rPr>
          <w:rFonts w:cs="Arial"/>
          <w:i w:val="0"/>
          <w:color w:val="auto"/>
        </w:rPr>
        <w:t>:</w:t>
      </w:r>
    </w:p>
    <w:p w14:paraId="2B2CF821" w14:textId="77777777" w:rsidR="009E783D" w:rsidRDefault="009E783D" w:rsidP="00D567BE">
      <w:pPr>
        <w:pStyle w:val="ListBullet"/>
      </w:pPr>
      <w:r>
        <w:t>c</w:t>
      </w:r>
      <w:r w:rsidRPr="00C320F6">
        <w:t xml:space="preserve">arrier </w:t>
      </w:r>
      <w:r>
        <w:t>l</w:t>
      </w:r>
      <w:r w:rsidRPr="00C320F6">
        <w:t xml:space="preserve">icence </w:t>
      </w:r>
      <w:r>
        <w:t>a</w:t>
      </w:r>
      <w:r w:rsidRPr="00C320F6">
        <w:t>pplications</w:t>
      </w:r>
    </w:p>
    <w:p w14:paraId="7737E3C0" w14:textId="77777777" w:rsidR="009E783D" w:rsidRDefault="009E783D" w:rsidP="00D567BE">
      <w:pPr>
        <w:pStyle w:val="ListBullet"/>
      </w:pPr>
      <w:r>
        <w:t>n</w:t>
      </w:r>
      <w:r w:rsidRPr="00C320F6">
        <w:t xml:space="preserve">ominated </w:t>
      </w:r>
      <w:r>
        <w:t>c</w:t>
      </w:r>
      <w:r w:rsidRPr="00C320F6">
        <w:t xml:space="preserve">arrier </w:t>
      </w:r>
      <w:r>
        <w:t>d</w:t>
      </w:r>
      <w:r w:rsidRPr="00C320F6">
        <w:t xml:space="preserve">eclaration </w:t>
      </w:r>
      <w:r>
        <w:t>l</w:t>
      </w:r>
      <w:r w:rsidRPr="00C320F6">
        <w:t xml:space="preserve">icence </w:t>
      </w:r>
      <w:r>
        <w:t>a</w:t>
      </w:r>
      <w:r w:rsidRPr="00C320F6">
        <w:t>pplications</w:t>
      </w:r>
    </w:p>
    <w:p w14:paraId="36292DD1" w14:textId="77777777" w:rsidR="009E783D" w:rsidRDefault="009E783D" w:rsidP="00D567BE">
      <w:pPr>
        <w:pStyle w:val="ListBullet"/>
      </w:pPr>
      <w:r>
        <w:t>n</w:t>
      </w:r>
      <w:r w:rsidRPr="00C320F6">
        <w:t xml:space="preserve">umbering </w:t>
      </w:r>
      <w:r>
        <w:t>a</w:t>
      </w:r>
      <w:r w:rsidRPr="00C320F6">
        <w:t>pplications</w:t>
      </w:r>
    </w:p>
    <w:p w14:paraId="64CF8882" w14:textId="77777777" w:rsidR="009E783D" w:rsidRDefault="009E783D" w:rsidP="00D567BE">
      <w:pPr>
        <w:pStyle w:val="ListBullet"/>
      </w:pPr>
      <w:r>
        <w:t>s</w:t>
      </w:r>
      <w:r w:rsidRPr="00C320F6">
        <w:t>mart</w:t>
      </w:r>
      <w:r>
        <w:t>n</w:t>
      </w:r>
      <w:r w:rsidRPr="00C320F6">
        <w:t xml:space="preserve">umber </w:t>
      </w:r>
      <w:r>
        <w:t>r</w:t>
      </w:r>
      <w:r w:rsidRPr="00C320F6">
        <w:t>egistrations</w:t>
      </w:r>
    </w:p>
    <w:p w14:paraId="08B4DE6A" w14:textId="77777777" w:rsidR="009E783D" w:rsidRDefault="009E783D" w:rsidP="00D567BE">
      <w:pPr>
        <w:pStyle w:val="ListBullet"/>
      </w:pPr>
      <w:r>
        <w:t>s</w:t>
      </w:r>
      <w:r w:rsidRPr="00C320F6">
        <w:t xml:space="preserve">ubmarine </w:t>
      </w:r>
      <w:r>
        <w:t>c</w:t>
      </w:r>
      <w:r w:rsidRPr="00C320F6">
        <w:t xml:space="preserve">able </w:t>
      </w:r>
      <w:r>
        <w:t>i</w:t>
      </w:r>
      <w:r w:rsidRPr="00C320F6">
        <w:t xml:space="preserve">nstallation </w:t>
      </w:r>
      <w:r>
        <w:t>p</w:t>
      </w:r>
      <w:r w:rsidRPr="00C320F6">
        <w:t xml:space="preserve">ermit </w:t>
      </w:r>
      <w:r>
        <w:t>a</w:t>
      </w:r>
      <w:r w:rsidRPr="00C320F6">
        <w:t>pplications</w:t>
      </w:r>
    </w:p>
    <w:p w14:paraId="1DC52D4D" w14:textId="77777777" w:rsidR="00FF3C69" w:rsidRPr="009E783D" w:rsidRDefault="009E783D" w:rsidP="009E783D">
      <w:pPr>
        <w:pStyle w:val="BodyText"/>
        <w:numPr>
          <w:ilvl w:val="1"/>
          <w:numId w:val="14"/>
        </w:numPr>
        <w:spacing w:after="80" w:line="240" w:lineRule="atLeast"/>
        <w:ind w:left="0" w:right="-142" w:firstLine="0"/>
        <w:rPr>
          <w:rFonts w:cs="Arial"/>
          <w:i w:val="0"/>
          <w:color w:val="auto"/>
        </w:rPr>
      </w:pPr>
      <w:r>
        <w:rPr>
          <w:rFonts w:cs="Arial"/>
          <w:i w:val="0"/>
          <w:color w:val="auto"/>
        </w:rPr>
        <w:t>c</w:t>
      </w:r>
      <w:r w:rsidRPr="00C320F6">
        <w:rPr>
          <w:rFonts w:cs="Arial"/>
          <w:i w:val="0"/>
          <w:color w:val="auto"/>
        </w:rPr>
        <w:t xml:space="preserve">onnection </w:t>
      </w:r>
      <w:r>
        <w:rPr>
          <w:rFonts w:cs="Arial"/>
          <w:i w:val="0"/>
          <w:color w:val="auto"/>
        </w:rPr>
        <w:t>p</w:t>
      </w:r>
      <w:r w:rsidRPr="00C320F6">
        <w:rPr>
          <w:rFonts w:cs="Arial"/>
          <w:i w:val="0"/>
          <w:color w:val="auto"/>
        </w:rPr>
        <w:t xml:space="preserve">ermit </w:t>
      </w:r>
      <w:r>
        <w:rPr>
          <w:rFonts w:cs="Arial"/>
          <w:i w:val="0"/>
          <w:color w:val="auto"/>
        </w:rPr>
        <w:t>a</w:t>
      </w:r>
      <w:r w:rsidRPr="00C320F6">
        <w:rPr>
          <w:rFonts w:cs="Arial"/>
          <w:i w:val="0"/>
          <w:color w:val="auto"/>
        </w:rPr>
        <w:t>pplications.</w:t>
      </w:r>
    </w:p>
    <w:sectPr w:rsidR="00FF3C69" w:rsidRPr="009E783D" w:rsidSect="00C77380">
      <w:headerReference w:type="even" r:id="rId24"/>
      <w:headerReference w:type="default" r:id="rId25"/>
      <w:footerReference w:type="even" r:id="rId26"/>
      <w:footerReference w:type="default" r:id="rId27"/>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51ADE" w14:textId="77777777" w:rsidR="007C722C" w:rsidRDefault="007C722C">
      <w:r>
        <w:separator/>
      </w:r>
    </w:p>
  </w:endnote>
  <w:endnote w:type="continuationSeparator" w:id="0">
    <w:p w14:paraId="7D8C3216" w14:textId="77777777" w:rsidR="007C722C" w:rsidRDefault="007C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E75DE" w14:textId="77777777" w:rsidR="007C722C" w:rsidRPr="00A5474E" w:rsidRDefault="007C722C" w:rsidP="00A5474E">
    <w:pPr>
      <w:pStyle w:val="Footer"/>
    </w:pPr>
    <w:r>
      <w:rPr>
        <w:noProof/>
      </w:rPr>
      <w:drawing>
        <wp:inline distT="0" distB="0" distL="0" distR="0" wp14:anchorId="1C72D4E4" wp14:editId="6B8A74F1">
          <wp:extent cx="3483864" cy="249613"/>
          <wp:effectExtent l="0" t="0" r="2540" b="0"/>
          <wp:docPr id="24" name="Picture 24" descr="communicating facilitating regulating" title="ACMA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6F8BD" w14:textId="77777777" w:rsidR="007C722C" w:rsidRDefault="007C72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B760A" w14:textId="77777777" w:rsidR="007C722C" w:rsidRDefault="007C722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B9FBD" w14:textId="77777777" w:rsidR="007C722C" w:rsidRPr="00622A3B" w:rsidRDefault="007C722C" w:rsidP="006D3409">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7E76AB">
      <w:rPr>
        <w:noProof/>
        <w:color w:val="505050"/>
      </w:rPr>
      <w:t>iv</w:t>
    </w:r>
    <w:r w:rsidRPr="002E4DDC">
      <w:rPr>
        <w:color w:val="505050"/>
      </w:rPr>
      <w:fldChar w:fldCharType="end"/>
    </w:r>
  </w:p>
  <w:p w14:paraId="51DBBE32" w14:textId="77777777" w:rsidR="007C722C" w:rsidRPr="00A5474E" w:rsidRDefault="007C722C" w:rsidP="00A5474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8EC51" w14:textId="77777777" w:rsidR="007C722C" w:rsidRPr="00A5474E" w:rsidRDefault="007C722C" w:rsidP="00A547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8A546" w14:textId="77777777" w:rsidR="007C722C" w:rsidRPr="00622A3B" w:rsidRDefault="007C722C"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7E76AB">
      <w:rPr>
        <w:noProof/>
        <w:color w:val="505050"/>
      </w:rPr>
      <w:t>iii</w:t>
    </w:r>
    <w:r w:rsidRPr="002E4DDC">
      <w:rPr>
        <w:color w:val="505050"/>
      </w:rPr>
      <w:fldChar w:fldCharType="end"/>
    </w:r>
  </w:p>
  <w:p w14:paraId="4A491FF5" w14:textId="77777777" w:rsidR="007C722C" w:rsidRPr="00A5474E" w:rsidRDefault="007C722C" w:rsidP="00A5474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CA42A" w14:textId="77777777" w:rsidR="007C722C" w:rsidRPr="00622A3B" w:rsidRDefault="007C722C" w:rsidP="00B43262">
    <w:pPr>
      <w:pStyle w:val="FooterLeft"/>
      <w:framePr w:wrap="around" w:x="1141" w:y="16166"/>
      <w:tabs>
        <w:tab w:val="clear" w:pos="113"/>
        <w:tab w:val="right" w:pos="397"/>
      </w:tabs>
    </w:pPr>
    <w:r>
      <w:fldChar w:fldCharType="begin"/>
    </w:r>
    <w:r>
      <w:instrText xml:space="preserve"> PAGE  \* Arabic  \* MERGEFORMAT </w:instrText>
    </w:r>
    <w:r>
      <w:fldChar w:fldCharType="separate"/>
    </w:r>
    <w:r w:rsidR="007E76AB">
      <w:rPr>
        <w:noProof/>
      </w:rPr>
      <w:t>32</w:t>
    </w:r>
    <w:r>
      <w:rPr>
        <w:noProof/>
      </w:rPr>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0672B4AE" w14:textId="77777777" w:rsidR="007C722C" w:rsidRPr="00A5474E" w:rsidRDefault="007C722C" w:rsidP="00A5474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BEEF4" w14:textId="77777777" w:rsidR="007C722C" w:rsidRPr="00622A3B" w:rsidRDefault="007C722C"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7E76AB">
      <w:rPr>
        <w:noProof/>
        <w:color w:val="505050"/>
      </w:rPr>
      <w:t>31</w:t>
    </w:r>
    <w:r w:rsidRPr="00575AC5">
      <w:rPr>
        <w:color w:val="505050"/>
      </w:rPr>
      <w:fldChar w:fldCharType="end"/>
    </w:r>
  </w:p>
  <w:p w14:paraId="100AE547" w14:textId="77777777" w:rsidR="007C722C" w:rsidRPr="00A5474E" w:rsidRDefault="007C722C" w:rsidP="00A54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A6F0C" w14:textId="77777777" w:rsidR="007C722C" w:rsidRDefault="007C722C">
      <w:r>
        <w:separator/>
      </w:r>
    </w:p>
  </w:footnote>
  <w:footnote w:type="continuationSeparator" w:id="0">
    <w:p w14:paraId="0D09E3E7" w14:textId="77777777" w:rsidR="007C722C" w:rsidRDefault="007C722C">
      <w:r>
        <w:continuationSeparator/>
      </w:r>
    </w:p>
  </w:footnote>
  <w:footnote w:id="1">
    <w:p w14:paraId="39462CD7" w14:textId="5F155A8D" w:rsidR="007C722C" w:rsidRDefault="007C722C">
      <w:pPr>
        <w:pStyle w:val="FootnoteText"/>
      </w:pPr>
      <w:r>
        <w:rPr>
          <w:rStyle w:val="FootnoteReference"/>
        </w:rPr>
        <w:footnoteRef/>
      </w:r>
      <w:r>
        <w:t xml:space="preserve"> The </w:t>
      </w:r>
      <w:r>
        <w:rPr>
          <w:i/>
        </w:rPr>
        <w:t xml:space="preserve">Australian Communications and Media Authority (Annual Carrier Licence Charge) Direction 2013 </w:t>
      </w:r>
      <w:r>
        <w:t xml:space="preserve">directs the ACMA to determine the ACLC of non-participating persons to be $0. </w:t>
      </w:r>
    </w:p>
  </w:footnote>
  <w:footnote w:id="2">
    <w:p w14:paraId="54331729" w14:textId="77777777" w:rsidR="007C722C" w:rsidRDefault="007C722C" w:rsidP="00AA7B15">
      <w:pPr>
        <w:pStyle w:val="FootnoteText"/>
      </w:pPr>
      <w:r w:rsidRPr="00E648E5">
        <w:rPr>
          <w:rStyle w:val="FootnoteReference"/>
        </w:rPr>
        <w:footnoteRef/>
      </w:r>
      <w:r w:rsidRPr="00E648E5">
        <w:t xml:space="preserve"> More information can be obtained from: </w:t>
      </w:r>
      <w:hyperlink r:id="rId1" w:history="1">
        <w:r>
          <w:rPr>
            <w:rStyle w:val="Hyperlink"/>
          </w:rPr>
          <w:t>www.acma.gov.au/Industry/Telco/Carriers-and-service-providers/Licence-fees-annual-levies-and-charges/eligible-revenue-portal-current-year</w:t>
        </w:r>
      </w:hyperlink>
      <w:r w:rsidRPr="00B9480B">
        <w:rPr>
          <w:rStyle w:val="Hyperlink"/>
          <w:color w:val="auto"/>
          <w:u w:val="none"/>
        </w:rPr>
        <w:t>.</w:t>
      </w:r>
    </w:p>
  </w:footnote>
  <w:footnote w:id="3">
    <w:p w14:paraId="470C5EAE" w14:textId="7CCD8C6F" w:rsidR="007C722C" w:rsidRPr="00400A7F" w:rsidRDefault="007C722C" w:rsidP="00400A7F">
      <w:pPr>
        <w:pStyle w:val="FootnoteText"/>
        <w:rPr>
          <w:rFonts w:cs="Arial"/>
        </w:rPr>
      </w:pPr>
      <w:r w:rsidRPr="003A2CEA">
        <w:rPr>
          <w:rStyle w:val="FootnoteReference"/>
          <w:rFonts w:cs="Arial"/>
        </w:rPr>
        <w:footnoteRef/>
      </w:r>
      <w:r>
        <w:t xml:space="preserve"> </w:t>
      </w:r>
      <w:hyperlink r:id="rId2" w:history="1">
        <w:r w:rsidRPr="00B9480B">
          <w:rPr>
            <w:rStyle w:val="Hyperlink"/>
            <w:rFonts w:cs="Arial"/>
          </w:rPr>
          <w:t>www.budget.gov.au/1996-97/STATE4/STATE4.asp</w:t>
        </w:r>
      </w:hyperlink>
    </w:p>
    <w:p w14:paraId="40990A6F" w14:textId="21787402" w:rsidR="007C722C" w:rsidRPr="00400A7F" w:rsidRDefault="007E76AB" w:rsidP="00400A7F">
      <w:pPr>
        <w:pStyle w:val="FootnoteText"/>
        <w:rPr>
          <w:rFonts w:cs="Arial"/>
        </w:rPr>
      </w:pPr>
      <w:hyperlink r:id="rId3" w:history="1">
        <w:r w:rsidR="007C722C" w:rsidRPr="00B9480B">
          <w:rPr>
            <w:rStyle w:val="Hyperlink"/>
            <w:rFonts w:cs="Arial"/>
          </w:rPr>
          <w:t>www.budget.gov.au/2005-06/myefo/html/11_appendix_a-08.htm</w:t>
        </w:r>
      </w:hyperlink>
    </w:p>
    <w:p w14:paraId="4A321A44" w14:textId="2CED1FD4" w:rsidR="007C722C" w:rsidRPr="00B9480B" w:rsidRDefault="007C722C" w:rsidP="00400A7F">
      <w:pPr>
        <w:pStyle w:val="FootnoteText"/>
        <w:rPr>
          <w:rStyle w:val="Hyperlink"/>
          <w:rFonts w:cs="Arial"/>
        </w:rPr>
      </w:pPr>
      <w:r>
        <w:fldChar w:fldCharType="begin"/>
      </w:r>
      <w:r>
        <w:instrText xml:space="preserve"> HYPERLINK "http://www.budget.gov.au/2009-10/content/bp2/html/bp2_expense-07.htm" </w:instrText>
      </w:r>
      <w:r>
        <w:fldChar w:fldCharType="separate"/>
      </w:r>
      <w:r w:rsidRPr="00B9480B">
        <w:rPr>
          <w:rStyle w:val="Hyperlink"/>
        </w:rPr>
        <w:t>www.budget.gov.au/2009-10/content/bp2/html/bp2_expense-07.htm</w:t>
      </w:r>
    </w:p>
    <w:p w14:paraId="1C11AEA2" w14:textId="77777777" w:rsidR="007C722C" w:rsidRDefault="007C722C" w:rsidP="00400A7F">
      <w:pPr>
        <w:pStyle w:val="FootnoteText"/>
      </w:pPr>
      <w:r>
        <w:fldChar w:fldCharType="end"/>
      </w:r>
      <w:hyperlink r:id="rId4" w:history="1">
        <w:r w:rsidRPr="00B9480B">
          <w:rPr>
            <w:rStyle w:val="Hyperlink"/>
          </w:rPr>
          <w:t>www.budget.gov.au/2009-10/content/myefo/html/appendix_a_07.htm</w:t>
        </w:r>
      </w:hyperlink>
    </w:p>
    <w:p w14:paraId="047BBB8A" w14:textId="425516A3" w:rsidR="007C722C" w:rsidRPr="00B9480B" w:rsidRDefault="007C722C" w:rsidP="00400A7F">
      <w:pPr>
        <w:pStyle w:val="FootnoteText"/>
        <w:rPr>
          <w:rStyle w:val="Hyperlink"/>
          <w:rFonts w:cs="Arial"/>
        </w:rPr>
      </w:pPr>
      <w:r>
        <w:fldChar w:fldCharType="begin"/>
      </w:r>
      <w:r>
        <w:instrText xml:space="preserve"> HYPERLINK "http://www.budget.gov.au/2010-11/content/bp2/html/bp2_expense-04.htm" </w:instrText>
      </w:r>
      <w:r>
        <w:fldChar w:fldCharType="separate"/>
      </w:r>
      <w:r w:rsidRPr="00B9480B">
        <w:rPr>
          <w:rStyle w:val="Hyperlink"/>
        </w:rPr>
        <w:t>www.budget.gov.au/2010-11/content/bp2/html/bp2_expense-04.htm</w:t>
      </w:r>
    </w:p>
    <w:p w14:paraId="19D657F4" w14:textId="7A717097" w:rsidR="007C722C" w:rsidRPr="00B9480B" w:rsidRDefault="007C722C" w:rsidP="00400A7F">
      <w:pPr>
        <w:pStyle w:val="FootnoteText"/>
        <w:rPr>
          <w:rStyle w:val="Hyperlink"/>
          <w:rFonts w:cs="Arial"/>
        </w:rPr>
      </w:pPr>
      <w:r>
        <w:fldChar w:fldCharType="end"/>
      </w:r>
      <w:r>
        <w:fldChar w:fldCharType="begin"/>
      </w:r>
      <w:r>
        <w:instrText xml:space="preserve"> HYPERLINK "http://www.budget.gov.au/2011-12/content/bp2/html/bp2_expense-04.htm" </w:instrText>
      </w:r>
      <w:r>
        <w:fldChar w:fldCharType="separate"/>
      </w:r>
      <w:r w:rsidRPr="00B9480B">
        <w:rPr>
          <w:rStyle w:val="Hyperlink"/>
        </w:rPr>
        <w:t>www.budget.gov.au/2011-12/content/bp2/html/bp2_expense-04.htm</w:t>
      </w:r>
    </w:p>
    <w:p w14:paraId="4BB6717F" w14:textId="77777777" w:rsidR="007C722C" w:rsidRDefault="007C722C" w:rsidP="00400A7F">
      <w:pPr>
        <w:pStyle w:val="FootnoteText"/>
      </w:pPr>
      <w:r>
        <w:fldChar w:fldCharType="end"/>
      </w:r>
      <w:hyperlink r:id="rId5" w:history="1">
        <w:r w:rsidRPr="00B9480B">
          <w:rPr>
            <w:rStyle w:val="Hyperlink"/>
          </w:rPr>
          <w:t>www.budget.gov.au/2013-14/content/bp2/html/bp2_expense-23.htm</w:t>
        </w:r>
      </w:hyperlink>
    </w:p>
    <w:p w14:paraId="3FF58CA5" w14:textId="419AECC1" w:rsidR="007C722C" w:rsidRPr="00400A7F" w:rsidRDefault="007E76AB" w:rsidP="00400A7F">
      <w:pPr>
        <w:pStyle w:val="FootnoteText"/>
        <w:rPr>
          <w:rFonts w:cs="Arial"/>
        </w:rPr>
      </w:pPr>
      <w:hyperlink r:id="rId6" w:history="1">
        <w:r w:rsidR="007C722C" w:rsidRPr="00B9480B">
          <w:rPr>
            <w:rStyle w:val="Hyperlink"/>
          </w:rPr>
          <w:t>www.budget.gov.au/2014-15/content/bp2/download/BP2_consolidated.pdf</w:t>
        </w:r>
      </w:hyperlink>
    </w:p>
    <w:p w14:paraId="7DCD5437" w14:textId="435A6696" w:rsidR="007C722C" w:rsidRPr="003A2CEA" w:rsidRDefault="007E76AB" w:rsidP="003A2CEA">
      <w:pPr>
        <w:pStyle w:val="FootnoteText"/>
        <w:rPr>
          <w:rFonts w:cs="Arial"/>
        </w:rPr>
      </w:pPr>
      <w:hyperlink r:id="rId7" w:history="1">
        <w:r w:rsidR="007C722C" w:rsidRPr="00B9480B">
          <w:rPr>
            <w:rStyle w:val="Hyperlink"/>
          </w:rPr>
          <w:t>www.communications.gov.au/documents/2015-16-dept-comms-and-arts-paes</w:t>
        </w:r>
      </w:hyperlink>
    </w:p>
  </w:footnote>
  <w:footnote w:id="4">
    <w:p w14:paraId="4924C242" w14:textId="77777777" w:rsidR="007C722C" w:rsidRPr="00FA26AF" w:rsidRDefault="007C722C" w:rsidP="00AA7B15">
      <w:pPr>
        <w:pStyle w:val="FootnoteText"/>
        <w:rPr>
          <w:rFonts w:cs="Arial"/>
        </w:rPr>
      </w:pPr>
      <w:r w:rsidRPr="00FA26AF">
        <w:rPr>
          <w:rStyle w:val="FootnoteReference"/>
          <w:rFonts w:cs="Arial"/>
        </w:rPr>
        <w:footnoteRef/>
      </w:r>
      <w:r w:rsidRPr="00FA26AF">
        <w:rPr>
          <w:rFonts w:cs="Arial"/>
        </w:rPr>
        <w:t xml:space="preserve"> Available at </w:t>
      </w:r>
      <w:hyperlink r:id="rId8" w:history="1">
        <w:r w:rsidRPr="00FA26AF">
          <w:rPr>
            <w:rStyle w:val="Hyperlink"/>
            <w:rFonts w:cs="Arial"/>
          </w:rPr>
          <w:t>www.comlaw.gov.au/Details/F2013L01300</w:t>
        </w:r>
      </w:hyperlink>
      <w:r w:rsidRPr="00FA26AF">
        <w:rPr>
          <w:rFonts w:cs="Arial"/>
        </w:rPr>
        <w:t>. The Direction 2013 is in similar terms to an earlier direction made in 2011 by the then Minister for Broadband, Communications and the Digital Economy (see the Australian Communications and Media Authority (Annual Carrier Licence Charge) Direction 2011)</w:t>
      </w:r>
      <w:r>
        <w:rPr>
          <w:rFonts w:cs="Arial"/>
        </w:rPr>
        <w:t xml:space="preserve">, </w:t>
      </w:r>
      <w:r w:rsidRPr="00FA26AF">
        <w:rPr>
          <w:rFonts w:cs="Arial"/>
        </w:rPr>
        <w:t xml:space="preserve">which required the ACMA to make determinations under subsection 14(1) of the Act that, in effect, exempted carriers who were ‘USO non-participating persons’ within the meaning of the </w:t>
      </w:r>
      <w:r w:rsidRPr="00FA26AF">
        <w:rPr>
          <w:rFonts w:cs="Arial"/>
          <w:i/>
        </w:rPr>
        <w:t>Telecommunications (Consumer Protection and Service Standards) Act 1999</w:t>
      </w:r>
      <w:r w:rsidRPr="00FA26AF">
        <w:rPr>
          <w:rFonts w:cs="Arial"/>
        </w:rPr>
        <w:t>, for the eligible revenue period immediately preceding the relevant financial year, from the liability to pay the ACLC.</w:t>
      </w:r>
    </w:p>
  </w:footnote>
  <w:footnote w:id="5">
    <w:p w14:paraId="223D369E" w14:textId="77777777" w:rsidR="007C722C" w:rsidRPr="00DB4233" w:rsidRDefault="007C722C" w:rsidP="00AA7B15">
      <w:pPr>
        <w:pStyle w:val="FootnoteText"/>
      </w:pPr>
      <w:r w:rsidRPr="00FA26AF">
        <w:rPr>
          <w:rStyle w:val="FootnoteReference"/>
        </w:rPr>
        <w:footnoteRef/>
      </w:r>
      <w:r w:rsidRPr="00FA26AF">
        <w:t xml:space="preserve"> </w:t>
      </w:r>
      <w:r w:rsidRPr="00FA26AF">
        <w:rPr>
          <w:rFonts w:cs="Arial"/>
          <w:iCs/>
        </w:rPr>
        <w:t>The Direction 2013 defines relevant financial year as the financial year that begins on 1 July 2013 and each later financial year.</w:t>
      </w:r>
    </w:p>
  </w:footnote>
  <w:footnote w:id="6">
    <w:p w14:paraId="216520AB" w14:textId="77777777" w:rsidR="007C722C" w:rsidRDefault="007C722C" w:rsidP="00AA7B15">
      <w:pPr>
        <w:pStyle w:val="FootnoteText"/>
      </w:pPr>
      <w:r>
        <w:rPr>
          <w:rStyle w:val="FootnoteReference"/>
        </w:rPr>
        <w:footnoteRef/>
      </w:r>
      <w:r>
        <w:t xml:space="preserve"> ACMA </w:t>
      </w:r>
      <w:r>
        <w:rPr>
          <w:i/>
        </w:rPr>
        <w:t>Annual report 2014–15</w:t>
      </w:r>
      <w:r>
        <w:t xml:space="preserve">, can be accessed from: </w:t>
      </w:r>
      <w:hyperlink r:id="rId9" w:history="1">
        <w:r>
          <w:rPr>
            <w:rStyle w:val="Hyperlink"/>
          </w:rPr>
          <w:t>www.acma.gov.au/theACMA/Library/Corporate-library/Corporate-publications/annual-report</w:t>
        </w:r>
      </w:hyperlink>
      <w:r>
        <w:t>.</w:t>
      </w:r>
    </w:p>
  </w:footnote>
  <w:footnote w:id="7">
    <w:p w14:paraId="3FA30EB9" w14:textId="77F3DD52" w:rsidR="007C722C" w:rsidRDefault="007C722C" w:rsidP="009E783D">
      <w:pPr>
        <w:pStyle w:val="FootnoteText"/>
      </w:pPr>
      <w:r>
        <w:rPr>
          <w:rStyle w:val="FootnoteReference"/>
        </w:rPr>
        <w:footnoteRef/>
      </w:r>
      <w:r>
        <w:t xml:space="preserve"> Relates to the Communications Infrastructure Division; Content, Consumer and Citizen Division and Strategy and Research Branch of the ACMA.</w:t>
      </w:r>
    </w:p>
  </w:footnote>
  <w:footnote w:id="8">
    <w:p w14:paraId="6D78976F" w14:textId="77777777" w:rsidR="007C722C" w:rsidRDefault="007C722C">
      <w:pPr>
        <w:pStyle w:val="FootnoteText"/>
      </w:pPr>
      <w:r>
        <w:rPr>
          <w:rStyle w:val="FootnoteReference"/>
        </w:rPr>
        <w:footnoteRef/>
      </w:r>
      <w:r>
        <w:t xml:space="preserve"> The </w:t>
      </w:r>
      <w:r>
        <w:rPr>
          <w:i/>
        </w:rPr>
        <w:t xml:space="preserve">Telecommunications (Consumer Protection and Service Standards) Act 1999 </w:t>
      </w:r>
      <w:r>
        <w:t>was amended in 2015, following the abolition of the Telecommunications Universal Service Management Agency.</w:t>
      </w:r>
    </w:p>
  </w:footnote>
  <w:footnote w:id="9">
    <w:p w14:paraId="4656816C" w14:textId="77777777" w:rsidR="007C722C" w:rsidRPr="00C320F6" w:rsidRDefault="007C722C" w:rsidP="00681F59">
      <w:pPr>
        <w:pStyle w:val="FootnoteText"/>
      </w:pPr>
      <w:r w:rsidRPr="00C320F6">
        <w:rPr>
          <w:rStyle w:val="FootnoteReference"/>
          <w:rFonts w:cs="Arial"/>
        </w:rPr>
        <w:footnoteRef/>
      </w:r>
      <w:r w:rsidRPr="00C320F6">
        <w:t xml:space="preserve"> This is the amount of the ACMA’s costs for the immediately preceding financial year that is attributable to the ACMA’s telecommunications functions and powers, but has been met from telecommunications charges other than the ACLC (see Attachment B)</w:t>
      </w:r>
      <w:r>
        <w:t>.</w:t>
      </w:r>
    </w:p>
  </w:footnote>
  <w:footnote w:id="10">
    <w:p w14:paraId="7FAFEF10" w14:textId="20B81528" w:rsidR="007C722C" w:rsidRDefault="007C722C">
      <w:pPr>
        <w:pStyle w:val="FootnoteText"/>
      </w:pPr>
      <w:r>
        <w:rPr>
          <w:rStyle w:val="FootnoteReference"/>
        </w:rPr>
        <w:footnoteRef/>
      </w:r>
      <w:r>
        <w:t xml:space="preserve"> </w:t>
      </w:r>
      <w:r w:rsidRPr="00720272">
        <w:rPr>
          <w:rFonts w:cs="Arial"/>
        </w:rPr>
        <w:t>The Act requires the components under paragraph 15(1)(a)</w:t>
      </w:r>
      <w:r>
        <w:rPr>
          <w:rFonts w:cs="Arial"/>
        </w:rPr>
        <w:t xml:space="preserve">, </w:t>
      </w:r>
      <w:r w:rsidRPr="00720272">
        <w:rPr>
          <w:rFonts w:cs="Arial"/>
        </w:rPr>
        <w:t xml:space="preserve">15(1)(b) and 15(1)(ca) to be calculated on the costs that are incurred in the financial year immediately preceding the financial year </w:t>
      </w:r>
      <w:r>
        <w:rPr>
          <w:rFonts w:cs="Arial"/>
        </w:rPr>
        <w:t xml:space="preserve">(that is 2014–15 financial year) </w:t>
      </w:r>
      <w:r w:rsidRPr="00720272">
        <w:rPr>
          <w:rFonts w:cs="Arial"/>
        </w:rPr>
        <w:t>for which the charges are imposed</w:t>
      </w:r>
      <w:r>
        <w:rPr>
          <w:rFonts w:cs="Arial"/>
        </w:rPr>
        <w:t>. T</w:t>
      </w:r>
      <w:r w:rsidRPr="00D35E14">
        <w:t xml:space="preserve">he cost component under paragraph 15(1)(c) relates to the calendar year </w:t>
      </w:r>
      <w:r>
        <w:t xml:space="preserve">(that is 2015 calendar year) </w:t>
      </w:r>
      <w:r w:rsidRPr="00D35E14">
        <w:t>in which the beginning of the financial year for imposing the ACLC occurs.</w:t>
      </w:r>
      <w:r>
        <w:t xml:space="preserve"> The component under paragraph 15(1)(d) relates to the 2015–16 financial year.</w:t>
      </w:r>
    </w:p>
  </w:footnote>
  <w:footnote w:id="11">
    <w:p w14:paraId="1B73290F" w14:textId="77777777" w:rsidR="007C722C" w:rsidRDefault="007C722C">
      <w:pPr>
        <w:pStyle w:val="FootnoteText"/>
      </w:pPr>
      <w:r>
        <w:rPr>
          <w:rStyle w:val="FootnoteReference"/>
        </w:rPr>
        <w:footnoteRef/>
      </w:r>
      <w:r>
        <w:t xml:space="preserve"> This is available on </w:t>
      </w:r>
      <w:hyperlink r:id="rId10" w:history="1">
        <w:r w:rsidRPr="00E8234D">
          <w:rPr>
            <w:rStyle w:val="Hyperlink"/>
          </w:rPr>
          <w:t>http://www.finance.gov.au/resource-management/charging-framework/risk-assessment-template/</w:t>
        </w:r>
      </w:hyperlink>
      <w:r>
        <w:t xml:space="preserve"> </w:t>
      </w:r>
    </w:p>
  </w:footnote>
  <w:footnote w:id="12">
    <w:p w14:paraId="2BFADBD3" w14:textId="5E131917" w:rsidR="007C722C" w:rsidRDefault="007C722C">
      <w:pPr>
        <w:pStyle w:val="FootnoteText"/>
      </w:pPr>
      <w:r>
        <w:rPr>
          <w:rStyle w:val="FootnoteReference"/>
        </w:rPr>
        <w:footnoteRef/>
      </w:r>
      <w:r>
        <w:t xml:space="preserve"> The DoCA has been conducting a review into the ACMA during the 2015–16 financial year. A report will be made available once the review has been completed. </w:t>
      </w:r>
    </w:p>
  </w:footnote>
  <w:footnote w:id="13">
    <w:p w14:paraId="51CFEA0B" w14:textId="24BD1F92" w:rsidR="007C722C" w:rsidRDefault="007C722C">
      <w:pPr>
        <w:pStyle w:val="FootnoteText"/>
      </w:pPr>
      <w:r>
        <w:rPr>
          <w:rStyle w:val="FootnoteReference"/>
        </w:rPr>
        <w:footnoteRef/>
      </w:r>
      <w:r>
        <w:t xml:space="preserve"> The Telecommunications Universal Service Management Agency (TUSMA) was abolished on 1 July 2015 and its functions transferred to the DoCA.</w:t>
      </w:r>
    </w:p>
  </w:footnote>
  <w:footnote w:id="14">
    <w:p w14:paraId="30529146" w14:textId="1A8C8894" w:rsidR="007C722C" w:rsidRDefault="007C722C">
      <w:pPr>
        <w:pStyle w:val="FootnoteText"/>
      </w:pPr>
      <w:r>
        <w:rPr>
          <w:rStyle w:val="FootnoteReference"/>
        </w:rPr>
        <w:footnoteRef/>
      </w:r>
      <w:r>
        <w:t xml:space="preserve"> ACMA </w:t>
      </w:r>
      <w:r>
        <w:rPr>
          <w:i/>
        </w:rPr>
        <w:t>Annual report 2014–15</w:t>
      </w:r>
      <w:r>
        <w:t xml:space="preserve">, can be accessed from: </w:t>
      </w:r>
      <w:hyperlink r:id="rId11" w:history="1">
        <w:r>
          <w:rPr>
            <w:rStyle w:val="Hyperlink"/>
          </w:rPr>
          <w:t>www.acma.gov.au/theACMA/Library/Corporate-library/Corporate-publications/annual-report</w:t>
        </w:r>
      </w:hyperlink>
      <w:r w:rsidRPr="001F572C">
        <w:rPr>
          <w:rStyle w:val="Hyperlink"/>
          <w:u w:val="non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63739" w14:textId="77777777" w:rsidR="007C722C" w:rsidRPr="00A5474E" w:rsidRDefault="007C722C" w:rsidP="00A5474E">
    <w:pPr>
      <w:pStyle w:val="Header"/>
    </w:pPr>
    <w:r>
      <w:rPr>
        <w:noProof/>
      </w:rPr>
      <w:drawing>
        <wp:inline distT="0" distB="0" distL="0" distR="0" wp14:anchorId="4238C2FB" wp14:editId="16C92032">
          <wp:extent cx="6388100" cy="520700"/>
          <wp:effectExtent l="0" t="0" r="0" b="0"/>
          <wp:docPr id="4" name="Picture 4" descr="logo and strapline" title="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21F66" w14:textId="77777777" w:rsidR="007C722C" w:rsidRPr="00A5474E" w:rsidRDefault="007C722C" w:rsidP="00594E9C">
    <w:pPr>
      <w:pStyle w:val="TOCHeading"/>
    </w:pPr>
    <w:r w:rsidRPr="0029593B">
      <w:t>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16B33" w14:textId="77777777" w:rsidR="007C722C" w:rsidRDefault="007C72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91EA8" w14:textId="77777777" w:rsidR="007C722C" w:rsidRDefault="007C722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78" w:type="dxa"/>
      <w:tblLayout w:type="fixed"/>
      <w:tblCellMar>
        <w:left w:w="0" w:type="dxa"/>
        <w:right w:w="0" w:type="dxa"/>
      </w:tblCellMar>
      <w:tblLook w:val="01E0" w:firstRow="1" w:lastRow="1" w:firstColumn="1" w:lastColumn="1" w:noHBand="0" w:noVBand="0"/>
    </w:tblPr>
    <w:tblGrid>
      <w:gridCol w:w="7678"/>
    </w:tblGrid>
    <w:tr w:rsidR="007C722C" w14:paraId="4B772A10" w14:textId="77777777" w:rsidTr="00997A48">
      <w:trPr>
        <w:trHeight w:hRule="exact" w:val="988"/>
      </w:trPr>
      <w:tc>
        <w:tcPr>
          <w:tcW w:w="7678" w:type="dxa"/>
          <w:shd w:val="clear" w:color="auto" w:fill="auto"/>
        </w:tcPr>
        <w:p w14:paraId="600F7137" w14:textId="77777777" w:rsidR="007C722C" w:rsidRDefault="007C722C" w:rsidP="006D3409">
          <w:pPr>
            <w:pStyle w:val="Header"/>
          </w:pPr>
        </w:p>
      </w:tc>
    </w:tr>
    <w:tr w:rsidR="007C722C" w14:paraId="467E741A" w14:textId="77777777" w:rsidTr="00997A48">
      <w:tc>
        <w:tcPr>
          <w:tcW w:w="7678" w:type="dxa"/>
          <w:shd w:val="clear" w:color="auto" w:fill="auto"/>
        </w:tcPr>
        <w:p w14:paraId="359594E9" w14:textId="77777777" w:rsidR="007C722C" w:rsidRDefault="007C722C" w:rsidP="006D3409">
          <w:pPr>
            <w:pStyle w:val="GridTable31"/>
          </w:pPr>
          <w:r>
            <w:t xml:space="preserve">Contents </w:t>
          </w:r>
          <w:r w:rsidRPr="00915B1C">
            <w:rPr>
              <w:b w:val="0"/>
              <w:spacing w:val="0"/>
              <w:sz w:val="28"/>
              <w:szCs w:val="28"/>
            </w:rPr>
            <w:t>(Continued)</w:t>
          </w:r>
        </w:p>
      </w:tc>
    </w:tr>
    <w:tr w:rsidR="007C722C" w14:paraId="2FA4BFF9" w14:textId="77777777" w:rsidTr="00997A48">
      <w:trPr>
        <w:trHeight w:val="1220"/>
      </w:trPr>
      <w:tc>
        <w:tcPr>
          <w:tcW w:w="7678" w:type="dxa"/>
          <w:shd w:val="clear" w:color="auto" w:fill="auto"/>
        </w:tcPr>
        <w:p w14:paraId="7C38F1E4" w14:textId="77777777" w:rsidR="007C722C" w:rsidRDefault="007C722C" w:rsidP="006D3409"/>
      </w:tc>
    </w:tr>
  </w:tbl>
  <w:p w14:paraId="5E658EF1" w14:textId="77777777" w:rsidR="007C722C" w:rsidRPr="00A5474E" w:rsidRDefault="007C722C" w:rsidP="00A547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2B324" w14:textId="77777777" w:rsidR="007C722C" w:rsidRPr="00A5474E" w:rsidRDefault="007C722C" w:rsidP="00A5474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9B2DF" w14:textId="77777777" w:rsidR="007C722C" w:rsidRDefault="007C722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A5561" w14:textId="77777777" w:rsidR="007C722C" w:rsidRDefault="007C72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2904F0E"/>
    <w:lvl w:ilvl="0">
      <w:start w:val="1"/>
      <w:numFmt w:val="decimal"/>
      <w:lvlText w:val="%1."/>
      <w:lvlJc w:val="left"/>
      <w:pPr>
        <w:tabs>
          <w:tab w:val="num" w:pos="1492"/>
        </w:tabs>
        <w:ind w:left="1492" w:hanging="360"/>
      </w:pPr>
    </w:lvl>
  </w:abstractNum>
  <w:abstractNum w:abstractNumId="1">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4">
    <w:nsid w:val="FFFFFF89"/>
    <w:multiLevelType w:val="singleLevel"/>
    <w:tmpl w:val="8D465DE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5">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62322C5"/>
    <w:multiLevelType w:val="hybridMultilevel"/>
    <w:tmpl w:val="2F02BFBC"/>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86C3E54"/>
    <w:multiLevelType w:val="hybridMultilevel"/>
    <w:tmpl w:val="B9463184"/>
    <w:lvl w:ilvl="0" w:tplc="2D48A7E4">
      <w:start w:val="1"/>
      <w:numFmt w:val="bullet"/>
      <w:lvlText w:val="-"/>
      <w:lvlJc w:val="left"/>
      <w:pPr>
        <w:ind w:left="360" w:hanging="360"/>
      </w:pPr>
      <w:rPr>
        <w:rFonts w:ascii="Calibri" w:eastAsia="SimSun" w:hAnsi="Calibri" w:cs="Times New Roman" w:hint="default"/>
      </w:rPr>
    </w:lvl>
    <w:lvl w:ilvl="1" w:tplc="C3A08136">
      <w:start w:val="1"/>
      <w:numFmt w:val="bullet"/>
      <w:lvlText w:val="&gt;"/>
      <w:lvlJc w:val="left"/>
      <w:pPr>
        <w:ind w:left="1080" w:hanging="360"/>
      </w:pPr>
      <w:rPr>
        <w:rFonts w:ascii="Arial"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EB55F81"/>
    <w:multiLevelType w:val="hybridMultilevel"/>
    <w:tmpl w:val="884A1BC8"/>
    <w:lvl w:ilvl="0" w:tplc="32204036">
      <w:start w:val="1"/>
      <w:numFmt w:val="decimal"/>
      <w:pStyle w:val="LegislationLvl1"/>
      <w:lvlText w:val="%1"/>
      <w:lvlJc w:val="left"/>
      <w:pPr>
        <w:tabs>
          <w:tab w:val="num" w:pos="1176"/>
        </w:tabs>
        <w:ind w:left="1176" w:hanging="720"/>
      </w:pPr>
      <w:rPr>
        <w:rFonts w:hint="default"/>
      </w:rPr>
    </w:lvl>
    <w:lvl w:ilvl="1" w:tplc="93C69154">
      <w:start w:val="1"/>
      <w:numFmt w:val="decimal"/>
      <w:pStyle w:val="LegislationLvl2"/>
      <w:lvlText w:val="(%2)"/>
      <w:lvlJc w:val="left"/>
      <w:pPr>
        <w:tabs>
          <w:tab w:val="num" w:pos="1536"/>
        </w:tabs>
        <w:ind w:left="1536" w:hanging="360"/>
      </w:pPr>
      <w:rPr>
        <w:rFonts w:hint="default"/>
      </w:rPr>
    </w:lvl>
    <w:lvl w:ilvl="2" w:tplc="BD8A0056">
      <w:start w:val="1"/>
      <w:numFmt w:val="lowerLetter"/>
      <w:pStyle w:val="LegislationLvl1"/>
      <w:lvlText w:val="(%3)"/>
      <w:lvlJc w:val="left"/>
      <w:pPr>
        <w:tabs>
          <w:tab w:val="num" w:pos="2436"/>
        </w:tabs>
        <w:ind w:left="2436" w:hanging="360"/>
      </w:pPr>
      <w:rPr>
        <w:rFonts w:hint="default"/>
      </w:rPr>
    </w:lvl>
    <w:lvl w:ilvl="3" w:tplc="BF665EE0">
      <w:start w:val="1"/>
      <w:numFmt w:val="lowerRoman"/>
      <w:pStyle w:val="LegislationLvl2"/>
      <w:lvlText w:val="(%4)"/>
      <w:lvlJc w:val="right"/>
      <w:pPr>
        <w:tabs>
          <w:tab w:val="num" w:pos="2796"/>
        </w:tabs>
        <w:ind w:left="2796" w:hanging="180"/>
      </w:pPr>
      <w:rPr>
        <w:rFonts w:hint="default"/>
      </w:rPr>
    </w:lvl>
    <w:lvl w:ilvl="4" w:tplc="04090019">
      <w:start w:val="1"/>
      <w:numFmt w:val="lowerLetter"/>
      <w:lvlText w:val="%5."/>
      <w:lvlJc w:val="left"/>
      <w:pPr>
        <w:tabs>
          <w:tab w:val="num" w:pos="3696"/>
        </w:tabs>
        <w:ind w:left="3696" w:hanging="360"/>
      </w:pPr>
    </w:lvl>
    <w:lvl w:ilvl="5" w:tplc="0409001B">
      <w:start w:val="1"/>
      <w:numFmt w:val="lowerRoman"/>
      <w:lvlText w:val="%6."/>
      <w:lvlJc w:val="right"/>
      <w:pPr>
        <w:tabs>
          <w:tab w:val="num" w:pos="4416"/>
        </w:tabs>
        <w:ind w:left="4416" w:hanging="180"/>
      </w:pPr>
    </w:lvl>
    <w:lvl w:ilvl="6" w:tplc="0409000F">
      <w:start w:val="1"/>
      <w:numFmt w:val="decimal"/>
      <w:lvlText w:val="%7."/>
      <w:lvlJc w:val="left"/>
      <w:pPr>
        <w:tabs>
          <w:tab w:val="num" w:pos="5136"/>
        </w:tabs>
        <w:ind w:left="5136" w:hanging="360"/>
      </w:pPr>
    </w:lvl>
    <w:lvl w:ilvl="7" w:tplc="04090019">
      <w:start w:val="1"/>
      <w:numFmt w:val="lowerLetter"/>
      <w:lvlText w:val="%8."/>
      <w:lvlJc w:val="left"/>
      <w:pPr>
        <w:tabs>
          <w:tab w:val="num" w:pos="5856"/>
        </w:tabs>
        <w:ind w:left="5856" w:hanging="360"/>
      </w:pPr>
    </w:lvl>
    <w:lvl w:ilvl="8" w:tplc="0409001B">
      <w:start w:val="1"/>
      <w:numFmt w:val="lowerRoman"/>
      <w:lvlText w:val="%9."/>
      <w:lvlJc w:val="right"/>
      <w:pPr>
        <w:tabs>
          <w:tab w:val="num" w:pos="6576"/>
        </w:tabs>
        <w:ind w:left="6576" w:hanging="180"/>
      </w:pPr>
    </w:lvl>
  </w:abstractNum>
  <w:abstractNum w:abstractNumId="10">
    <w:nsid w:val="10E60C7B"/>
    <w:multiLevelType w:val="hybridMultilevel"/>
    <w:tmpl w:val="0CD0EB8A"/>
    <w:lvl w:ilvl="0" w:tplc="C3A08136">
      <w:start w:val="1"/>
      <w:numFmt w:val="bullet"/>
      <w:lvlText w:val="&gt;"/>
      <w:lvlJc w:val="left"/>
      <w:pPr>
        <w:ind w:left="720" w:hanging="72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3D33187"/>
    <w:multiLevelType w:val="hybridMultilevel"/>
    <w:tmpl w:val="7660A08E"/>
    <w:lvl w:ilvl="0" w:tplc="C3A08136">
      <w:start w:val="1"/>
      <w:numFmt w:val="bullet"/>
      <w:lvlText w:val="&gt;"/>
      <w:lvlJc w:val="left"/>
      <w:pPr>
        <w:ind w:left="720" w:hanging="72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43A2BC8"/>
    <w:multiLevelType w:val="hybridMultilevel"/>
    <w:tmpl w:val="9B8A92EC"/>
    <w:lvl w:ilvl="0" w:tplc="C3A08136">
      <w:start w:val="1"/>
      <w:numFmt w:val="bullet"/>
      <w:lvlText w:val="&gt;"/>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97F4445"/>
    <w:multiLevelType w:val="hybridMultilevel"/>
    <w:tmpl w:val="A7C230FC"/>
    <w:lvl w:ilvl="0" w:tplc="C3A08136">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AF84165"/>
    <w:multiLevelType w:val="hybridMultilevel"/>
    <w:tmpl w:val="186AD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FB80937"/>
    <w:multiLevelType w:val="hybridMultilevel"/>
    <w:tmpl w:val="792E6198"/>
    <w:lvl w:ilvl="0" w:tplc="C3A08136">
      <w:start w:val="1"/>
      <w:numFmt w:val="bullet"/>
      <w:lvlText w:val="&gt;"/>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7E40FB2"/>
    <w:multiLevelType w:val="hybridMultilevel"/>
    <w:tmpl w:val="866AF4EA"/>
    <w:lvl w:ilvl="0" w:tplc="C3A08136">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AF23551"/>
    <w:multiLevelType w:val="hybridMultilevel"/>
    <w:tmpl w:val="4A8EAE0C"/>
    <w:lvl w:ilvl="0" w:tplc="C3A08136">
      <w:start w:val="1"/>
      <w:numFmt w:val="bullet"/>
      <w:lvlText w:val="&gt;"/>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20">
    <w:nsid w:val="3E7B2354"/>
    <w:multiLevelType w:val="hybridMultilevel"/>
    <w:tmpl w:val="0DC0C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F433134"/>
    <w:multiLevelType w:val="hybridMultilevel"/>
    <w:tmpl w:val="C8444E24"/>
    <w:lvl w:ilvl="0" w:tplc="C3A08136">
      <w:start w:val="1"/>
      <w:numFmt w:val="bullet"/>
      <w:lvlText w:val="&gt;"/>
      <w:lvlJc w:val="left"/>
      <w:pPr>
        <w:ind w:left="720" w:hanging="72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5AA21F0"/>
    <w:multiLevelType w:val="hybridMultilevel"/>
    <w:tmpl w:val="FA62408E"/>
    <w:lvl w:ilvl="0" w:tplc="030419D2">
      <w:start w:val="1"/>
      <w:numFmt w:val="decimal"/>
      <w:pStyle w:val="ACMATableHeader"/>
      <w:lvlText w:val="Table %1:"/>
      <w:lvlJc w:val="left"/>
      <w:pPr>
        <w:tabs>
          <w:tab w:val="num" w:pos="964"/>
        </w:tabs>
        <w:ind w:left="964" w:hanging="96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D74925"/>
    <w:multiLevelType w:val="hybridMultilevel"/>
    <w:tmpl w:val="AD18102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4">
    <w:nsid w:val="5EA1110B"/>
    <w:multiLevelType w:val="hybridMultilevel"/>
    <w:tmpl w:val="1B4ECB0A"/>
    <w:lvl w:ilvl="0" w:tplc="C3A08136">
      <w:start w:val="1"/>
      <w:numFmt w:val="bullet"/>
      <w:lvlText w:val="&gt;"/>
      <w:lvlJc w:val="left"/>
      <w:pPr>
        <w:ind w:left="720" w:hanging="72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DC4133"/>
    <w:multiLevelType w:val="hybridMultilevel"/>
    <w:tmpl w:val="24ECBA46"/>
    <w:lvl w:ilvl="0" w:tplc="C3A08136">
      <w:start w:val="1"/>
      <w:numFmt w:val="bullet"/>
      <w:lvlText w:val="&gt;"/>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18"/>
  </w:num>
  <w:num w:numId="6">
    <w:abstractNumId w:val="26"/>
  </w:num>
  <w:num w:numId="7">
    <w:abstractNumId w:val="22"/>
  </w:num>
  <w:num w:numId="8">
    <w:abstractNumId w:val="25"/>
  </w:num>
  <w:num w:numId="9">
    <w:abstractNumId w:val="27"/>
  </w:num>
  <w:num w:numId="10">
    <w:abstractNumId w:val="8"/>
  </w:num>
  <w:num w:numId="11">
    <w:abstractNumId w:val="5"/>
  </w:num>
  <w:num w:numId="12">
    <w:abstractNumId w:val="19"/>
  </w:num>
  <w:num w:numId="13">
    <w:abstractNumId w:val="9"/>
    <w:lvlOverride w:ilvl="0">
      <w:startOverride w:val="1"/>
    </w:lvlOverride>
  </w:num>
  <w:num w:numId="14">
    <w:abstractNumId w:val="7"/>
  </w:num>
  <w:num w:numId="15">
    <w:abstractNumId w:val="12"/>
  </w:num>
  <w:num w:numId="16">
    <w:abstractNumId w:val="10"/>
  </w:num>
  <w:num w:numId="17">
    <w:abstractNumId w:val="21"/>
  </w:num>
  <w:num w:numId="18">
    <w:abstractNumId w:val="24"/>
  </w:num>
  <w:num w:numId="19">
    <w:abstractNumId w:val="11"/>
  </w:num>
  <w:num w:numId="20">
    <w:abstractNumId w:val="28"/>
  </w:num>
  <w:num w:numId="21">
    <w:abstractNumId w:val="17"/>
  </w:num>
  <w:num w:numId="22">
    <w:abstractNumId w:val="0"/>
  </w:num>
  <w:num w:numId="23">
    <w:abstractNumId w:val="20"/>
  </w:num>
  <w:num w:numId="24">
    <w:abstractNumId w:val="6"/>
  </w:num>
  <w:num w:numId="25">
    <w:abstractNumId w:val="16"/>
  </w:num>
  <w:num w:numId="26">
    <w:abstractNumId w:val="13"/>
  </w:num>
  <w:num w:numId="27">
    <w:abstractNumId w:val="22"/>
    <w:lvlOverride w:ilvl="0">
      <w:startOverride w:val="1"/>
    </w:lvlOverride>
  </w:num>
  <w:num w:numId="28">
    <w:abstractNumId w:val="15"/>
  </w:num>
  <w:num w:numId="29">
    <w:abstractNumId w:val="14"/>
  </w:num>
  <w:num w:numId="30">
    <w:abstractNumId w:val="23"/>
  </w:num>
  <w:num w:numId="31">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24577">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A5"/>
    <w:rsid w:val="00005B6A"/>
    <w:rsid w:val="00005F61"/>
    <w:rsid w:val="00010667"/>
    <w:rsid w:val="000109E0"/>
    <w:rsid w:val="000129D5"/>
    <w:rsid w:val="00015AE7"/>
    <w:rsid w:val="0001676E"/>
    <w:rsid w:val="00016E21"/>
    <w:rsid w:val="0001719C"/>
    <w:rsid w:val="00026185"/>
    <w:rsid w:val="00026F91"/>
    <w:rsid w:val="000321B5"/>
    <w:rsid w:val="00034407"/>
    <w:rsid w:val="0005011A"/>
    <w:rsid w:val="0005045A"/>
    <w:rsid w:val="00050D45"/>
    <w:rsid w:val="00051C1E"/>
    <w:rsid w:val="000539F9"/>
    <w:rsid w:val="00054C27"/>
    <w:rsid w:val="00055EC3"/>
    <w:rsid w:val="000563CE"/>
    <w:rsid w:val="000648BF"/>
    <w:rsid w:val="000659B6"/>
    <w:rsid w:val="0006722A"/>
    <w:rsid w:val="000732CF"/>
    <w:rsid w:val="00075B96"/>
    <w:rsid w:val="00076712"/>
    <w:rsid w:val="0008196A"/>
    <w:rsid w:val="000849B6"/>
    <w:rsid w:val="000915ED"/>
    <w:rsid w:val="0009209D"/>
    <w:rsid w:val="000969BD"/>
    <w:rsid w:val="000969BF"/>
    <w:rsid w:val="000A0C22"/>
    <w:rsid w:val="000A3C43"/>
    <w:rsid w:val="000A40F6"/>
    <w:rsid w:val="000A4A51"/>
    <w:rsid w:val="000A5D2B"/>
    <w:rsid w:val="000B304E"/>
    <w:rsid w:val="000B5DE3"/>
    <w:rsid w:val="000B6B41"/>
    <w:rsid w:val="000C0A57"/>
    <w:rsid w:val="000C230C"/>
    <w:rsid w:val="000C38F8"/>
    <w:rsid w:val="000C50DA"/>
    <w:rsid w:val="000C7CC9"/>
    <w:rsid w:val="000D2EE7"/>
    <w:rsid w:val="000D4779"/>
    <w:rsid w:val="000D5F25"/>
    <w:rsid w:val="000D71D9"/>
    <w:rsid w:val="000D76E0"/>
    <w:rsid w:val="000D7E8B"/>
    <w:rsid w:val="000E0EFD"/>
    <w:rsid w:val="000E1864"/>
    <w:rsid w:val="000E4449"/>
    <w:rsid w:val="000E6097"/>
    <w:rsid w:val="00103829"/>
    <w:rsid w:val="00104923"/>
    <w:rsid w:val="00106630"/>
    <w:rsid w:val="001071EB"/>
    <w:rsid w:val="00111FCE"/>
    <w:rsid w:val="00113856"/>
    <w:rsid w:val="00121F33"/>
    <w:rsid w:val="001229A5"/>
    <w:rsid w:val="0012489B"/>
    <w:rsid w:val="00130017"/>
    <w:rsid w:val="00130F91"/>
    <w:rsid w:val="001365CE"/>
    <w:rsid w:val="00136A92"/>
    <w:rsid w:val="00137424"/>
    <w:rsid w:val="00140318"/>
    <w:rsid w:val="00140B7C"/>
    <w:rsid w:val="00141AD9"/>
    <w:rsid w:val="00142961"/>
    <w:rsid w:val="00145727"/>
    <w:rsid w:val="00146CE6"/>
    <w:rsid w:val="00152903"/>
    <w:rsid w:val="00155697"/>
    <w:rsid w:val="0015614F"/>
    <w:rsid w:val="001577C2"/>
    <w:rsid w:val="00157B12"/>
    <w:rsid w:val="001633C4"/>
    <w:rsid w:val="00171591"/>
    <w:rsid w:val="00173819"/>
    <w:rsid w:val="00173981"/>
    <w:rsid w:val="00176CB9"/>
    <w:rsid w:val="0017719D"/>
    <w:rsid w:val="00181743"/>
    <w:rsid w:val="00185CAB"/>
    <w:rsid w:val="001875B7"/>
    <w:rsid w:val="00187CB3"/>
    <w:rsid w:val="0019050A"/>
    <w:rsid w:val="001910D4"/>
    <w:rsid w:val="00192225"/>
    <w:rsid w:val="00194FDF"/>
    <w:rsid w:val="001976E3"/>
    <w:rsid w:val="001A0139"/>
    <w:rsid w:val="001A3BDB"/>
    <w:rsid w:val="001A44EC"/>
    <w:rsid w:val="001B038E"/>
    <w:rsid w:val="001B277A"/>
    <w:rsid w:val="001B58AA"/>
    <w:rsid w:val="001B7E48"/>
    <w:rsid w:val="001C0FA9"/>
    <w:rsid w:val="001C17CE"/>
    <w:rsid w:val="001C36CA"/>
    <w:rsid w:val="001C44D1"/>
    <w:rsid w:val="001C6AEE"/>
    <w:rsid w:val="001C7630"/>
    <w:rsid w:val="001D062D"/>
    <w:rsid w:val="001D49A2"/>
    <w:rsid w:val="001D4C7C"/>
    <w:rsid w:val="001D5C0F"/>
    <w:rsid w:val="001D61BD"/>
    <w:rsid w:val="001D6D15"/>
    <w:rsid w:val="001E0589"/>
    <w:rsid w:val="001E48CF"/>
    <w:rsid w:val="001E6B67"/>
    <w:rsid w:val="001F572C"/>
    <w:rsid w:val="001F7558"/>
    <w:rsid w:val="00205178"/>
    <w:rsid w:val="00205B57"/>
    <w:rsid w:val="00205C03"/>
    <w:rsid w:val="002157E0"/>
    <w:rsid w:val="00216A57"/>
    <w:rsid w:val="002219BD"/>
    <w:rsid w:val="00222E46"/>
    <w:rsid w:val="0022334F"/>
    <w:rsid w:val="002237C2"/>
    <w:rsid w:val="00223DBD"/>
    <w:rsid w:val="00226819"/>
    <w:rsid w:val="00233101"/>
    <w:rsid w:val="0023358A"/>
    <w:rsid w:val="00233817"/>
    <w:rsid w:val="002367FF"/>
    <w:rsid w:val="00240CE9"/>
    <w:rsid w:val="002434BA"/>
    <w:rsid w:val="00246089"/>
    <w:rsid w:val="00246093"/>
    <w:rsid w:val="00246702"/>
    <w:rsid w:val="00247C59"/>
    <w:rsid w:val="00247F2E"/>
    <w:rsid w:val="00250ADC"/>
    <w:rsid w:val="00250B07"/>
    <w:rsid w:val="002534A7"/>
    <w:rsid w:val="00257553"/>
    <w:rsid w:val="00260FB2"/>
    <w:rsid w:val="00261225"/>
    <w:rsid w:val="00261921"/>
    <w:rsid w:val="00262128"/>
    <w:rsid w:val="0027165D"/>
    <w:rsid w:val="00273CEB"/>
    <w:rsid w:val="00280208"/>
    <w:rsid w:val="00281C89"/>
    <w:rsid w:val="0028282F"/>
    <w:rsid w:val="00285099"/>
    <w:rsid w:val="002850F8"/>
    <w:rsid w:val="00291F05"/>
    <w:rsid w:val="00293B75"/>
    <w:rsid w:val="0029593B"/>
    <w:rsid w:val="00295CB7"/>
    <w:rsid w:val="00295E8B"/>
    <w:rsid w:val="00297FC5"/>
    <w:rsid w:val="002A0417"/>
    <w:rsid w:val="002A16D8"/>
    <w:rsid w:val="002A1BC8"/>
    <w:rsid w:val="002A3EF2"/>
    <w:rsid w:val="002B0DED"/>
    <w:rsid w:val="002B19A2"/>
    <w:rsid w:val="002B2CE2"/>
    <w:rsid w:val="002B381A"/>
    <w:rsid w:val="002B4FCC"/>
    <w:rsid w:val="002B5531"/>
    <w:rsid w:val="002B7408"/>
    <w:rsid w:val="002B7CFD"/>
    <w:rsid w:val="002C210F"/>
    <w:rsid w:val="002C5D95"/>
    <w:rsid w:val="002D3600"/>
    <w:rsid w:val="002D7B26"/>
    <w:rsid w:val="002E37B0"/>
    <w:rsid w:val="002E4DDC"/>
    <w:rsid w:val="002F33E4"/>
    <w:rsid w:val="003011D7"/>
    <w:rsid w:val="00302480"/>
    <w:rsid w:val="003165E6"/>
    <w:rsid w:val="00320BCB"/>
    <w:rsid w:val="003221CF"/>
    <w:rsid w:val="003233ED"/>
    <w:rsid w:val="00323846"/>
    <w:rsid w:val="00324D9F"/>
    <w:rsid w:val="00327948"/>
    <w:rsid w:val="0033000F"/>
    <w:rsid w:val="00332011"/>
    <w:rsid w:val="00332518"/>
    <w:rsid w:val="003327AC"/>
    <w:rsid w:val="00332925"/>
    <w:rsid w:val="003332ED"/>
    <w:rsid w:val="003368DC"/>
    <w:rsid w:val="00341387"/>
    <w:rsid w:val="00345927"/>
    <w:rsid w:val="00345C89"/>
    <w:rsid w:val="00347085"/>
    <w:rsid w:val="00350584"/>
    <w:rsid w:val="00351857"/>
    <w:rsid w:val="003610E1"/>
    <w:rsid w:val="00364C70"/>
    <w:rsid w:val="003671BE"/>
    <w:rsid w:val="00372371"/>
    <w:rsid w:val="00372485"/>
    <w:rsid w:val="00372EAE"/>
    <w:rsid w:val="00373200"/>
    <w:rsid w:val="003751CA"/>
    <w:rsid w:val="00375EF5"/>
    <w:rsid w:val="003767A5"/>
    <w:rsid w:val="00385254"/>
    <w:rsid w:val="00387831"/>
    <w:rsid w:val="0039435F"/>
    <w:rsid w:val="00397F1C"/>
    <w:rsid w:val="003A2CEA"/>
    <w:rsid w:val="003A2E6F"/>
    <w:rsid w:val="003A5F5B"/>
    <w:rsid w:val="003A789A"/>
    <w:rsid w:val="003A7931"/>
    <w:rsid w:val="003A7E79"/>
    <w:rsid w:val="003B0551"/>
    <w:rsid w:val="003B12EC"/>
    <w:rsid w:val="003C77E0"/>
    <w:rsid w:val="003C7C8A"/>
    <w:rsid w:val="003D1412"/>
    <w:rsid w:val="003D177E"/>
    <w:rsid w:val="003D17D7"/>
    <w:rsid w:val="003D2678"/>
    <w:rsid w:val="003D3005"/>
    <w:rsid w:val="003D7152"/>
    <w:rsid w:val="003D71A3"/>
    <w:rsid w:val="003E2B8A"/>
    <w:rsid w:val="003E45EE"/>
    <w:rsid w:val="003E5D16"/>
    <w:rsid w:val="003F10EE"/>
    <w:rsid w:val="003F16F6"/>
    <w:rsid w:val="003F4664"/>
    <w:rsid w:val="003F4DC7"/>
    <w:rsid w:val="003F5235"/>
    <w:rsid w:val="003F6205"/>
    <w:rsid w:val="003F7E3A"/>
    <w:rsid w:val="00400A7F"/>
    <w:rsid w:val="004027E4"/>
    <w:rsid w:val="00403B50"/>
    <w:rsid w:val="0041071D"/>
    <w:rsid w:val="00414AFC"/>
    <w:rsid w:val="004151A7"/>
    <w:rsid w:val="00415310"/>
    <w:rsid w:val="00415539"/>
    <w:rsid w:val="004210B2"/>
    <w:rsid w:val="00421709"/>
    <w:rsid w:val="00423763"/>
    <w:rsid w:val="0042762F"/>
    <w:rsid w:val="00427DC7"/>
    <w:rsid w:val="00430D74"/>
    <w:rsid w:val="00431613"/>
    <w:rsid w:val="00431792"/>
    <w:rsid w:val="0043297A"/>
    <w:rsid w:val="00432EB2"/>
    <w:rsid w:val="00433B9E"/>
    <w:rsid w:val="00434461"/>
    <w:rsid w:val="0043714F"/>
    <w:rsid w:val="004438B5"/>
    <w:rsid w:val="00447037"/>
    <w:rsid w:val="0045124D"/>
    <w:rsid w:val="00451B25"/>
    <w:rsid w:val="00454596"/>
    <w:rsid w:val="0045605D"/>
    <w:rsid w:val="00461070"/>
    <w:rsid w:val="0046135B"/>
    <w:rsid w:val="00462477"/>
    <w:rsid w:val="004643B8"/>
    <w:rsid w:val="0047093B"/>
    <w:rsid w:val="004718CC"/>
    <w:rsid w:val="00481695"/>
    <w:rsid w:val="00493029"/>
    <w:rsid w:val="00493DFE"/>
    <w:rsid w:val="00495A96"/>
    <w:rsid w:val="00495BB3"/>
    <w:rsid w:val="004A38F0"/>
    <w:rsid w:val="004A56BB"/>
    <w:rsid w:val="004B0306"/>
    <w:rsid w:val="004B1751"/>
    <w:rsid w:val="004C0253"/>
    <w:rsid w:val="004D0E2A"/>
    <w:rsid w:val="004D56FF"/>
    <w:rsid w:val="004D642B"/>
    <w:rsid w:val="004E2F7E"/>
    <w:rsid w:val="004E3361"/>
    <w:rsid w:val="004E39D3"/>
    <w:rsid w:val="004E508A"/>
    <w:rsid w:val="004E616D"/>
    <w:rsid w:val="004E68CD"/>
    <w:rsid w:val="004F1BDE"/>
    <w:rsid w:val="004F2CEE"/>
    <w:rsid w:val="004F556E"/>
    <w:rsid w:val="004F7F44"/>
    <w:rsid w:val="005037B4"/>
    <w:rsid w:val="005079BF"/>
    <w:rsid w:val="00514762"/>
    <w:rsid w:val="005219E7"/>
    <w:rsid w:val="00531B9A"/>
    <w:rsid w:val="00531D15"/>
    <w:rsid w:val="0053725B"/>
    <w:rsid w:val="00537604"/>
    <w:rsid w:val="00542377"/>
    <w:rsid w:val="005476EB"/>
    <w:rsid w:val="005516C2"/>
    <w:rsid w:val="00551782"/>
    <w:rsid w:val="00563EF1"/>
    <w:rsid w:val="00566AB4"/>
    <w:rsid w:val="00571289"/>
    <w:rsid w:val="005741DB"/>
    <w:rsid w:val="00575AC5"/>
    <w:rsid w:val="0057605D"/>
    <w:rsid w:val="00581347"/>
    <w:rsid w:val="00581AC9"/>
    <w:rsid w:val="005822FA"/>
    <w:rsid w:val="005849F8"/>
    <w:rsid w:val="005938DF"/>
    <w:rsid w:val="00593B36"/>
    <w:rsid w:val="00594C25"/>
    <w:rsid w:val="00594E9C"/>
    <w:rsid w:val="0059546E"/>
    <w:rsid w:val="00596FD7"/>
    <w:rsid w:val="005A099B"/>
    <w:rsid w:val="005A2D9C"/>
    <w:rsid w:val="005A55FE"/>
    <w:rsid w:val="005A5B87"/>
    <w:rsid w:val="005A6A11"/>
    <w:rsid w:val="005B7841"/>
    <w:rsid w:val="005B7E00"/>
    <w:rsid w:val="005D2502"/>
    <w:rsid w:val="005D47F3"/>
    <w:rsid w:val="005D49BF"/>
    <w:rsid w:val="005D6DD6"/>
    <w:rsid w:val="005D6F4E"/>
    <w:rsid w:val="005E3ACD"/>
    <w:rsid w:val="005E7226"/>
    <w:rsid w:val="005E7A57"/>
    <w:rsid w:val="005E7C6B"/>
    <w:rsid w:val="005F0356"/>
    <w:rsid w:val="005F1396"/>
    <w:rsid w:val="005F24B0"/>
    <w:rsid w:val="00601985"/>
    <w:rsid w:val="00603395"/>
    <w:rsid w:val="00604315"/>
    <w:rsid w:val="00604E26"/>
    <w:rsid w:val="006052CF"/>
    <w:rsid w:val="00607B8D"/>
    <w:rsid w:val="00611F5C"/>
    <w:rsid w:val="00616E09"/>
    <w:rsid w:val="006174BB"/>
    <w:rsid w:val="00620438"/>
    <w:rsid w:val="00622A3B"/>
    <w:rsid w:val="00622EEA"/>
    <w:rsid w:val="0062396C"/>
    <w:rsid w:val="00623FF9"/>
    <w:rsid w:val="00626841"/>
    <w:rsid w:val="00627D4E"/>
    <w:rsid w:val="00634478"/>
    <w:rsid w:val="00644373"/>
    <w:rsid w:val="00645915"/>
    <w:rsid w:val="006519C3"/>
    <w:rsid w:val="00651B6A"/>
    <w:rsid w:val="00652B30"/>
    <w:rsid w:val="00654359"/>
    <w:rsid w:val="00656345"/>
    <w:rsid w:val="00656DC6"/>
    <w:rsid w:val="00664110"/>
    <w:rsid w:val="00664D17"/>
    <w:rsid w:val="00666520"/>
    <w:rsid w:val="00666F7C"/>
    <w:rsid w:val="00667C5B"/>
    <w:rsid w:val="00676B65"/>
    <w:rsid w:val="00681F59"/>
    <w:rsid w:val="00692CDE"/>
    <w:rsid w:val="00693073"/>
    <w:rsid w:val="00694C07"/>
    <w:rsid w:val="006977FF"/>
    <w:rsid w:val="006A01FA"/>
    <w:rsid w:val="006A088D"/>
    <w:rsid w:val="006A0E9E"/>
    <w:rsid w:val="006A25C7"/>
    <w:rsid w:val="006A3F76"/>
    <w:rsid w:val="006A4AAD"/>
    <w:rsid w:val="006A6DA2"/>
    <w:rsid w:val="006A7AB2"/>
    <w:rsid w:val="006B519D"/>
    <w:rsid w:val="006B5717"/>
    <w:rsid w:val="006B582F"/>
    <w:rsid w:val="006C0CEB"/>
    <w:rsid w:val="006C23CD"/>
    <w:rsid w:val="006C3B1E"/>
    <w:rsid w:val="006C47FD"/>
    <w:rsid w:val="006C513A"/>
    <w:rsid w:val="006C70A0"/>
    <w:rsid w:val="006D27CB"/>
    <w:rsid w:val="006D2F08"/>
    <w:rsid w:val="006D3408"/>
    <w:rsid w:val="006D3409"/>
    <w:rsid w:val="006D576C"/>
    <w:rsid w:val="006D5865"/>
    <w:rsid w:val="006D67FF"/>
    <w:rsid w:val="006D6ED5"/>
    <w:rsid w:val="006E30E3"/>
    <w:rsid w:val="006E423A"/>
    <w:rsid w:val="006E4B1B"/>
    <w:rsid w:val="006E5445"/>
    <w:rsid w:val="006E7D93"/>
    <w:rsid w:val="006F66CC"/>
    <w:rsid w:val="007029A3"/>
    <w:rsid w:val="00706DBA"/>
    <w:rsid w:val="00706E4E"/>
    <w:rsid w:val="0070791C"/>
    <w:rsid w:val="0071383C"/>
    <w:rsid w:val="0071397C"/>
    <w:rsid w:val="007141A7"/>
    <w:rsid w:val="0071508A"/>
    <w:rsid w:val="00715A9E"/>
    <w:rsid w:val="00721032"/>
    <w:rsid w:val="00721B55"/>
    <w:rsid w:val="00726CE4"/>
    <w:rsid w:val="00726F21"/>
    <w:rsid w:val="00734143"/>
    <w:rsid w:val="00737E47"/>
    <w:rsid w:val="00740EAC"/>
    <w:rsid w:val="00744956"/>
    <w:rsid w:val="00745A5C"/>
    <w:rsid w:val="0074605F"/>
    <w:rsid w:val="00747E94"/>
    <w:rsid w:val="00760660"/>
    <w:rsid w:val="00766749"/>
    <w:rsid w:val="00767C1B"/>
    <w:rsid w:val="00767C1C"/>
    <w:rsid w:val="0077141D"/>
    <w:rsid w:val="007714A9"/>
    <w:rsid w:val="00774F88"/>
    <w:rsid w:val="00774FDB"/>
    <w:rsid w:val="00777BA2"/>
    <w:rsid w:val="00777FE2"/>
    <w:rsid w:val="00780026"/>
    <w:rsid w:val="00781408"/>
    <w:rsid w:val="00784F7A"/>
    <w:rsid w:val="00784F7F"/>
    <w:rsid w:val="00796908"/>
    <w:rsid w:val="00796F25"/>
    <w:rsid w:val="007A2E98"/>
    <w:rsid w:val="007A3BA3"/>
    <w:rsid w:val="007A6CC0"/>
    <w:rsid w:val="007A7B4C"/>
    <w:rsid w:val="007A7FEC"/>
    <w:rsid w:val="007B1499"/>
    <w:rsid w:val="007B1BBF"/>
    <w:rsid w:val="007B2960"/>
    <w:rsid w:val="007B355D"/>
    <w:rsid w:val="007B3E93"/>
    <w:rsid w:val="007B57F4"/>
    <w:rsid w:val="007B7292"/>
    <w:rsid w:val="007B7980"/>
    <w:rsid w:val="007C3E84"/>
    <w:rsid w:val="007C4199"/>
    <w:rsid w:val="007C5D5A"/>
    <w:rsid w:val="007C607F"/>
    <w:rsid w:val="007C722C"/>
    <w:rsid w:val="007C79DD"/>
    <w:rsid w:val="007D1A97"/>
    <w:rsid w:val="007D2CD6"/>
    <w:rsid w:val="007D3063"/>
    <w:rsid w:val="007D3CEB"/>
    <w:rsid w:val="007E5D83"/>
    <w:rsid w:val="007E7683"/>
    <w:rsid w:val="007E76AB"/>
    <w:rsid w:val="007F49FA"/>
    <w:rsid w:val="007F54C4"/>
    <w:rsid w:val="007F6E9A"/>
    <w:rsid w:val="008044D4"/>
    <w:rsid w:val="00806A36"/>
    <w:rsid w:val="00810073"/>
    <w:rsid w:val="00810AB4"/>
    <w:rsid w:val="0081186A"/>
    <w:rsid w:val="00817B56"/>
    <w:rsid w:val="00821566"/>
    <w:rsid w:val="00821A88"/>
    <w:rsid w:val="0082468A"/>
    <w:rsid w:val="0082495D"/>
    <w:rsid w:val="00831AC3"/>
    <w:rsid w:val="008408FF"/>
    <w:rsid w:val="00844DDC"/>
    <w:rsid w:val="0084754A"/>
    <w:rsid w:val="00851BD7"/>
    <w:rsid w:val="00851F3F"/>
    <w:rsid w:val="00856EDC"/>
    <w:rsid w:val="008623B5"/>
    <w:rsid w:val="008644DF"/>
    <w:rsid w:val="0086526B"/>
    <w:rsid w:val="00870ABA"/>
    <w:rsid w:val="008710E1"/>
    <w:rsid w:val="008716E5"/>
    <w:rsid w:val="008757E2"/>
    <w:rsid w:val="008779EF"/>
    <w:rsid w:val="00877AD7"/>
    <w:rsid w:val="00881CA9"/>
    <w:rsid w:val="00883628"/>
    <w:rsid w:val="00885544"/>
    <w:rsid w:val="0088634E"/>
    <w:rsid w:val="00891345"/>
    <w:rsid w:val="00893AB8"/>
    <w:rsid w:val="00894923"/>
    <w:rsid w:val="008A04C8"/>
    <w:rsid w:val="008A648A"/>
    <w:rsid w:val="008A6913"/>
    <w:rsid w:val="008B1F63"/>
    <w:rsid w:val="008B70F3"/>
    <w:rsid w:val="008B76DF"/>
    <w:rsid w:val="008C10F4"/>
    <w:rsid w:val="008C13EF"/>
    <w:rsid w:val="008C65F7"/>
    <w:rsid w:val="008D0406"/>
    <w:rsid w:val="008E2D5F"/>
    <w:rsid w:val="008E4767"/>
    <w:rsid w:val="008E7A8C"/>
    <w:rsid w:val="008F54DA"/>
    <w:rsid w:val="008F7A47"/>
    <w:rsid w:val="0090217E"/>
    <w:rsid w:val="00903285"/>
    <w:rsid w:val="00903992"/>
    <w:rsid w:val="00906F40"/>
    <w:rsid w:val="0090731E"/>
    <w:rsid w:val="009115AE"/>
    <w:rsid w:val="00915B1C"/>
    <w:rsid w:val="009174F3"/>
    <w:rsid w:val="0091797D"/>
    <w:rsid w:val="009215DD"/>
    <w:rsid w:val="00923CBA"/>
    <w:rsid w:val="00926703"/>
    <w:rsid w:val="00927691"/>
    <w:rsid w:val="00927A5F"/>
    <w:rsid w:val="00935B63"/>
    <w:rsid w:val="0094078F"/>
    <w:rsid w:val="00940FA3"/>
    <w:rsid w:val="00941FB0"/>
    <w:rsid w:val="009426D4"/>
    <w:rsid w:val="0094737E"/>
    <w:rsid w:val="00947F25"/>
    <w:rsid w:val="00950159"/>
    <w:rsid w:val="00953BCE"/>
    <w:rsid w:val="0095490B"/>
    <w:rsid w:val="009737B2"/>
    <w:rsid w:val="00974363"/>
    <w:rsid w:val="00977B43"/>
    <w:rsid w:val="00981898"/>
    <w:rsid w:val="00990463"/>
    <w:rsid w:val="009945B4"/>
    <w:rsid w:val="0099577C"/>
    <w:rsid w:val="00995F09"/>
    <w:rsid w:val="00997A48"/>
    <w:rsid w:val="009A378C"/>
    <w:rsid w:val="009A775E"/>
    <w:rsid w:val="009B074B"/>
    <w:rsid w:val="009B23F5"/>
    <w:rsid w:val="009B2786"/>
    <w:rsid w:val="009B2A22"/>
    <w:rsid w:val="009B41C3"/>
    <w:rsid w:val="009B4E9E"/>
    <w:rsid w:val="009B7F58"/>
    <w:rsid w:val="009C1690"/>
    <w:rsid w:val="009C6881"/>
    <w:rsid w:val="009C7759"/>
    <w:rsid w:val="009D043D"/>
    <w:rsid w:val="009D1B0C"/>
    <w:rsid w:val="009D258D"/>
    <w:rsid w:val="009D3C4F"/>
    <w:rsid w:val="009D6C71"/>
    <w:rsid w:val="009E0631"/>
    <w:rsid w:val="009E16D0"/>
    <w:rsid w:val="009E26EB"/>
    <w:rsid w:val="009E38FD"/>
    <w:rsid w:val="009E5CB7"/>
    <w:rsid w:val="009E783D"/>
    <w:rsid w:val="009E7B6E"/>
    <w:rsid w:val="009F13D6"/>
    <w:rsid w:val="009F4C6B"/>
    <w:rsid w:val="009F53A3"/>
    <w:rsid w:val="009F78A8"/>
    <w:rsid w:val="00A0125E"/>
    <w:rsid w:val="00A02AD6"/>
    <w:rsid w:val="00A0351A"/>
    <w:rsid w:val="00A07096"/>
    <w:rsid w:val="00A07318"/>
    <w:rsid w:val="00A11370"/>
    <w:rsid w:val="00A224CE"/>
    <w:rsid w:val="00A22522"/>
    <w:rsid w:val="00A24AFD"/>
    <w:rsid w:val="00A24F5C"/>
    <w:rsid w:val="00A261CF"/>
    <w:rsid w:val="00A32F96"/>
    <w:rsid w:val="00A34B80"/>
    <w:rsid w:val="00A35C59"/>
    <w:rsid w:val="00A372F1"/>
    <w:rsid w:val="00A37EF7"/>
    <w:rsid w:val="00A40871"/>
    <w:rsid w:val="00A412AB"/>
    <w:rsid w:val="00A4193E"/>
    <w:rsid w:val="00A440E0"/>
    <w:rsid w:val="00A442EF"/>
    <w:rsid w:val="00A51D1A"/>
    <w:rsid w:val="00A5418D"/>
    <w:rsid w:val="00A5474E"/>
    <w:rsid w:val="00A622CC"/>
    <w:rsid w:val="00A6254F"/>
    <w:rsid w:val="00A62F57"/>
    <w:rsid w:val="00A70ADF"/>
    <w:rsid w:val="00A71466"/>
    <w:rsid w:val="00A74B5E"/>
    <w:rsid w:val="00A75447"/>
    <w:rsid w:val="00A80792"/>
    <w:rsid w:val="00A81BED"/>
    <w:rsid w:val="00A81EC4"/>
    <w:rsid w:val="00A85056"/>
    <w:rsid w:val="00A90C13"/>
    <w:rsid w:val="00A945DA"/>
    <w:rsid w:val="00A95E6B"/>
    <w:rsid w:val="00A967FD"/>
    <w:rsid w:val="00AA7B15"/>
    <w:rsid w:val="00AB0869"/>
    <w:rsid w:val="00AB156C"/>
    <w:rsid w:val="00AB6814"/>
    <w:rsid w:val="00AB6C70"/>
    <w:rsid w:val="00AC04BA"/>
    <w:rsid w:val="00AC0CFF"/>
    <w:rsid w:val="00AC0E39"/>
    <w:rsid w:val="00AD3082"/>
    <w:rsid w:val="00AD4693"/>
    <w:rsid w:val="00AD4AD0"/>
    <w:rsid w:val="00AD5436"/>
    <w:rsid w:val="00AD60CD"/>
    <w:rsid w:val="00AD6427"/>
    <w:rsid w:val="00AD6C8C"/>
    <w:rsid w:val="00AD7622"/>
    <w:rsid w:val="00AE091D"/>
    <w:rsid w:val="00AE2FD7"/>
    <w:rsid w:val="00AE3B60"/>
    <w:rsid w:val="00AE53A1"/>
    <w:rsid w:val="00AE7A7C"/>
    <w:rsid w:val="00AF1BE6"/>
    <w:rsid w:val="00AF2484"/>
    <w:rsid w:val="00AF63E7"/>
    <w:rsid w:val="00B0165D"/>
    <w:rsid w:val="00B030F0"/>
    <w:rsid w:val="00B031F3"/>
    <w:rsid w:val="00B052A4"/>
    <w:rsid w:val="00B1182A"/>
    <w:rsid w:val="00B125DE"/>
    <w:rsid w:val="00B13FDD"/>
    <w:rsid w:val="00B15F8A"/>
    <w:rsid w:val="00B22EB2"/>
    <w:rsid w:val="00B27442"/>
    <w:rsid w:val="00B27DA2"/>
    <w:rsid w:val="00B306A8"/>
    <w:rsid w:val="00B31167"/>
    <w:rsid w:val="00B329D8"/>
    <w:rsid w:val="00B32BB9"/>
    <w:rsid w:val="00B33AE1"/>
    <w:rsid w:val="00B363A6"/>
    <w:rsid w:val="00B37C38"/>
    <w:rsid w:val="00B4288C"/>
    <w:rsid w:val="00B43262"/>
    <w:rsid w:val="00B435F0"/>
    <w:rsid w:val="00B44100"/>
    <w:rsid w:val="00B44A86"/>
    <w:rsid w:val="00B46902"/>
    <w:rsid w:val="00B46CBA"/>
    <w:rsid w:val="00B46F94"/>
    <w:rsid w:val="00B4734C"/>
    <w:rsid w:val="00B53E20"/>
    <w:rsid w:val="00B60F85"/>
    <w:rsid w:val="00B61F03"/>
    <w:rsid w:val="00B626E4"/>
    <w:rsid w:val="00B64534"/>
    <w:rsid w:val="00B72F4A"/>
    <w:rsid w:val="00B774DF"/>
    <w:rsid w:val="00B815BC"/>
    <w:rsid w:val="00B83C27"/>
    <w:rsid w:val="00B84BC3"/>
    <w:rsid w:val="00B84BDD"/>
    <w:rsid w:val="00B86433"/>
    <w:rsid w:val="00B90EBA"/>
    <w:rsid w:val="00B92812"/>
    <w:rsid w:val="00B9480B"/>
    <w:rsid w:val="00BA6431"/>
    <w:rsid w:val="00BB21BB"/>
    <w:rsid w:val="00BB45A1"/>
    <w:rsid w:val="00BB7686"/>
    <w:rsid w:val="00BC23F9"/>
    <w:rsid w:val="00BC3421"/>
    <w:rsid w:val="00BC732C"/>
    <w:rsid w:val="00BC77EA"/>
    <w:rsid w:val="00BE2580"/>
    <w:rsid w:val="00BE266D"/>
    <w:rsid w:val="00BE3938"/>
    <w:rsid w:val="00BE4C11"/>
    <w:rsid w:val="00BE71C0"/>
    <w:rsid w:val="00BF610C"/>
    <w:rsid w:val="00C0060B"/>
    <w:rsid w:val="00C0277D"/>
    <w:rsid w:val="00C03710"/>
    <w:rsid w:val="00C053A1"/>
    <w:rsid w:val="00C05F92"/>
    <w:rsid w:val="00C06581"/>
    <w:rsid w:val="00C16198"/>
    <w:rsid w:val="00C16337"/>
    <w:rsid w:val="00C2083D"/>
    <w:rsid w:val="00C24A53"/>
    <w:rsid w:val="00C36801"/>
    <w:rsid w:val="00C4032F"/>
    <w:rsid w:val="00C44047"/>
    <w:rsid w:val="00C45155"/>
    <w:rsid w:val="00C45ED9"/>
    <w:rsid w:val="00C46D75"/>
    <w:rsid w:val="00C5498F"/>
    <w:rsid w:val="00C55235"/>
    <w:rsid w:val="00C61C2A"/>
    <w:rsid w:val="00C64CD0"/>
    <w:rsid w:val="00C66479"/>
    <w:rsid w:val="00C6684F"/>
    <w:rsid w:val="00C70E70"/>
    <w:rsid w:val="00C75F8D"/>
    <w:rsid w:val="00C77380"/>
    <w:rsid w:val="00C90E75"/>
    <w:rsid w:val="00C95AC0"/>
    <w:rsid w:val="00C97736"/>
    <w:rsid w:val="00CA345A"/>
    <w:rsid w:val="00CB1E82"/>
    <w:rsid w:val="00CB4BA8"/>
    <w:rsid w:val="00CB52D7"/>
    <w:rsid w:val="00CB6DEB"/>
    <w:rsid w:val="00CC1182"/>
    <w:rsid w:val="00CC6732"/>
    <w:rsid w:val="00CD0711"/>
    <w:rsid w:val="00CD31CE"/>
    <w:rsid w:val="00CD6E7B"/>
    <w:rsid w:val="00CE0559"/>
    <w:rsid w:val="00CE3C96"/>
    <w:rsid w:val="00CE51A8"/>
    <w:rsid w:val="00CE6BED"/>
    <w:rsid w:val="00CF0CAD"/>
    <w:rsid w:val="00CF369B"/>
    <w:rsid w:val="00CF5341"/>
    <w:rsid w:val="00CF7BD8"/>
    <w:rsid w:val="00D00E28"/>
    <w:rsid w:val="00D0269E"/>
    <w:rsid w:val="00D07871"/>
    <w:rsid w:val="00D110A8"/>
    <w:rsid w:val="00D12CFD"/>
    <w:rsid w:val="00D15810"/>
    <w:rsid w:val="00D16D4E"/>
    <w:rsid w:val="00D16FE3"/>
    <w:rsid w:val="00D172BB"/>
    <w:rsid w:val="00D20A7D"/>
    <w:rsid w:val="00D27102"/>
    <w:rsid w:val="00D27F41"/>
    <w:rsid w:val="00D35E14"/>
    <w:rsid w:val="00D36441"/>
    <w:rsid w:val="00D372CC"/>
    <w:rsid w:val="00D4064E"/>
    <w:rsid w:val="00D44E9B"/>
    <w:rsid w:val="00D47AEB"/>
    <w:rsid w:val="00D50DB9"/>
    <w:rsid w:val="00D522C8"/>
    <w:rsid w:val="00D52C43"/>
    <w:rsid w:val="00D54D9E"/>
    <w:rsid w:val="00D567BE"/>
    <w:rsid w:val="00D57A1B"/>
    <w:rsid w:val="00D64D7D"/>
    <w:rsid w:val="00D6507F"/>
    <w:rsid w:val="00D72139"/>
    <w:rsid w:val="00D730BC"/>
    <w:rsid w:val="00D73912"/>
    <w:rsid w:val="00D7442A"/>
    <w:rsid w:val="00D85226"/>
    <w:rsid w:val="00D866D4"/>
    <w:rsid w:val="00D87B94"/>
    <w:rsid w:val="00D92D49"/>
    <w:rsid w:val="00D92EC1"/>
    <w:rsid w:val="00D96DEA"/>
    <w:rsid w:val="00D972FA"/>
    <w:rsid w:val="00DA3847"/>
    <w:rsid w:val="00DA4E41"/>
    <w:rsid w:val="00DA5037"/>
    <w:rsid w:val="00DA572C"/>
    <w:rsid w:val="00DA7C60"/>
    <w:rsid w:val="00DB117A"/>
    <w:rsid w:val="00DB3415"/>
    <w:rsid w:val="00DB3E21"/>
    <w:rsid w:val="00DB4418"/>
    <w:rsid w:val="00DB47B5"/>
    <w:rsid w:val="00DB5173"/>
    <w:rsid w:val="00DB7873"/>
    <w:rsid w:val="00DC187B"/>
    <w:rsid w:val="00DC5161"/>
    <w:rsid w:val="00DC53C1"/>
    <w:rsid w:val="00DD6F3C"/>
    <w:rsid w:val="00DD73C2"/>
    <w:rsid w:val="00DE319B"/>
    <w:rsid w:val="00DF2076"/>
    <w:rsid w:val="00DF34FE"/>
    <w:rsid w:val="00DF56AA"/>
    <w:rsid w:val="00DF78E7"/>
    <w:rsid w:val="00E110E0"/>
    <w:rsid w:val="00E1418A"/>
    <w:rsid w:val="00E15371"/>
    <w:rsid w:val="00E22916"/>
    <w:rsid w:val="00E22EB6"/>
    <w:rsid w:val="00E24104"/>
    <w:rsid w:val="00E25B3D"/>
    <w:rsid w:val="00E27462"/>
    <w:rsid w:val="00E302D0"/>
    <w:rsid w:val="00E31CF2"/>
    <w:rsid w:val="00E34299"/>
    <w:rsid w:val="00E35707"/>
    <w:rsid w:val="00E36AA1"/>
    <w:rsid w:val="00E41ECB"/>
    <w:rsid w:val="00E44904"/>
    <w:rsid w:val="00E50A27"/>
    <w:rsid w:val="00E54FDB"/>
    <w:rsid w:val="00E5617D"/>
    <w:rsid w:val="00E563D7"/>
    <w:rsid w:val="00E663F4"/>
    <w:rsid w:val="00E666F2"/>
    <w:rsid w:val="00E66DD4"/>
    <w:rsid w:val="00E748CC"/>
    <w:rsid w:val="00E75415"/>
    <w:rsid w:val="00E775B1"/>
    <w:rsid w:val="00E8152A"/>
    <w:rsid w:val="00E851D5"/>
    <w:rsid w:val="00E87055"/>
    <w:rsid w:val="00E93629"/>
    <w:rsid w:val="00E93B5C"/>
    <w:rsid w:val="00E94CEC"/>
    <w:rsid w:val="00E94F6D"/>
    <w:rsid w:val="00EA04EF"/>
    <w:rsid w:val="00EA3B0D"/>
    <w:rsid w:val="00EA6F19"/>
    <w:rsid w:val="00EA782A"/>
    <w:rsid w:val="00EB0111"/>
    <w:rsid w:val="00EB6DAE"/>
    <w:rsid w:val="00EB7090"/>
    <w:rsid w:val="00EC1BBE"/>
    <w:rsid w:val="00EC20B7"/>
    <w:rsid w:val="00EC5CD7"/>
    <w:rsid w:val="00EE5FB3"/>
    <w:rsid w:val="00EE7F79"/>
    <w:rsid w:val="00EF4320"/>
    <w:rsid w:val="00EF715A"/>
    <w:rsid w:val="00F024FD"/>
    <w:rsid w:val="00F05F67"/>
    <w:rsid w:val="00F06E14"/>
    <w:rsid w:val="00F071C8"/>
    <w:rsid w:val="00F07C43"/>
    <w:rsid w:val="00F179D4"/>
    <w:rsid w:val="00F250B5"/>
    <w:rsid w:val="00F25B6A"/>
    <w:rsid w:val="00F33C56"/>
    <w:rsid w:val="00F347C7"/>
    <w:rsid w:val="00F34848"/>
    <w:rsid w:val="00F42D46"/>
    <w:rsid w:val="00F438BB"/>
    <w:rsid w:val="00F4496C"/>
    <w:rsid w:val="00F44F3A"/>
    <w:rsid w:val="00F47C96"/>
    <w:rsid w:val="00F51F10"/>
    <w:rsid w:val="00F529A5"/>
    <w:rsid w:val="00F52E7B"/>
    <w:rsid w:val="00F60F00"/>
    <w:rsid w:val="00F614C0"/>
    <w:rsid w:val="00F65B5E"/>
    <w:rsid w:val="00F6658E"/>
    <w:rsid w:val="00F83848"/>
    <w:rsid w:val="00F85B22"/>
    <w:rsid w:val="00F94A46"/>
    <w:rsid w:val="00F975E9"/>
    <w:rsid w:val="00FA1B7D"/>
    <w:rsid w:val="00FA253E"/>
    <w:rsid w:val="00FA4114"/>
    <w:rsid w:val="00FB476B"/>
    <w:rsid w:val="00FB67DA"/>
    <w:rsid w:val="00FC040B"/>
    <w:rsid w:val="00FC07B9"/>
    <w:rsid w:val="00FC4E21"/>
    <w:rsid w:val="00FC5F6D"/>
    <w:rsid w:val="00FC770E"/>
    <w:rsid w:val="00FD0107"/>
    <w:rsid w:val="00FD2C2F"/>
    <w:rsid w:val="00FD3B31"/>
    <w:rsid w:val="00FD404F"/>
    <w:rsid w:val="00FE1823"/>
    <w:rsid w:val="00FE487A"/>
    <w:rsid w:val="00FE52D2"/>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colormru v:ext="edit" colors="red,#4d4d4f"/>
    </o:shapedefaults>
    <o:shapelayout v:ext="edit">
      <o:idmap v:ext="edit" data="1"/>
    </o:shapelayout>
  </w:shapeDefaults>
  <w:decimalSymbol w:val="."/>
  <w:listSeparator w:val=","/>
  <w14:docId w14:val="7003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unhideWhenUsed="1" w:qFormat="1"/>
    <w:lsdException w:name="heading 8" w:uiPriority="99" w:unhideWhenUsed="1" w:qFormat="1"/>
    <w:lsdException w:name="heading 9" w:uiPriority="9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qFormat="1"/>
    <w:lsdException w:name="FollowedHyperlink"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uiPriority w:val="99"/>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uiPriority w:val="99"/>
    <w:qFormat/>
    <w:rsid w:val="00C55235"/>
    <w:pPr>
      <w:keepNext/>
      <w:spacing w:before="320" w:after="60"/>
      <w:outlineLvl w:val="1"/>
    </w:pPr>
    <w:rPr>
      <w:rFonts w:cs="Arial"/>
      <w:b/>
      <w:bCs/>
      <w:iCs/>
      <w:sz w:val="28"/>
      <w:szCs w:val="28"/>
    </w:rPr>
  </w:style>
  <w:style w:type="paragraph" w:styleId="Heading3">
    <w:name w:val="heading 3"/>
    <w:basedOn w:val="Normal"/>
    <w:next w:val="Normal"/>
    <w:uiPriority w:val="99"/>
    <w:qFormat/>
    <w:rsid w:val="00C55235"/>
    <w:pPr>
      <w:keepNext/>
      <w:spacing w:before="60" w:after="60"/>
      <w:outlineLvl w:val="2"/>
    </w:pPr>
    <w:rPr>
      <w:rFonts w:cs="Arial"/>
      <w:b/>
      <w:bCs/>
      <w:szCs w:val="26"/>
    </w:rPr>
  </w:style>
  <w:style w:type="paragraph" w:styleId="Heading4">
    <w:name w:val="heading 4"/>
    <w:basedOn w:val="Normal"/>
    <w:next w:val="Normal"/>
    <w:uiPriority w:val="99"/>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uiPriority w:val="99"/>
    <w:qFormat/>
    <w:rsid w:val="00AD5436"/>
    <w:pPr>
      <w:numPr>
        <w:ilvl w:val="4"/>
        <w:numId w:val="5"/>
      </w:numPr>
      <w:spacing w:before="240" w:after="60"/>
      <w:outlineLvl w:val="4"/>
    </w:pPr>
    <w:rPr>
      <w:b/>
      <w:bCs/>
      <w:i/>
      <w:iCs/>
      <w:sz w:val="26"/>
      <w:szCs w:val="26"/>
    </w:rPr>
  </w:style>
  <w:style w:type="paragraph" w:styleId="Heading6">
    <w:name w:val="heading 6"/>
    <w:basedOn w:val="Normal"/>
    <w:next w:val="Normal"/>
    <w:uiPriority w:val="99"/>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uiPriority w:val="99"/>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uiPriority w:val="99"/>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uiPriority w:val="99"/>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uiPriority w:val="39"/>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basedOn w:val="DefaultParagraphFont"/>
    <w:rsid w:val="00566AB4"/>
    <w:rPr>
      <w:rFonts w:ascii="Arial" w:hAnsi="Arial"/>
      <w:vertAlign w:val="superscript"/>
    </w:rPr>
  </w:style>
  <w:style w:type="paragraph" w:styleId="FootnoteText">
    <w:name w:val="footnote text"/>
    <w:aliases w:val="ACMA Footnote Text,ABA Footnote Text"/>
    <w:basedOn w:val="Normal"/>
    <w:link w:val="FootnoteTextChar"/>
    <w:rsid w:val="00AA7B15"/>
    <w:pPr>
      <w:spacing w:after="0" w:line="200" w:lineRule="atLeast"/>
    </w:pPr>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character" w:customStyle="1" w:styleId="HeaderChar">
    <w:name w:val="Header Char"/>
    <w:basedOn w:val="DefaultParagraphFont"/>
    <w:link w:val="Header"/>
    <w:rsid w:val="009E783D"/>
    <w:rPr>
      <w:rFonts w:ascii="Arial" w:hAnsi="Arial"/>
      <w:sz w:val="16"/>
    </w:rPr>
  </w:style>
  <w:style w:type="paragraph" w:customStyle="1" w:styleId="ReportTitle">
    <w:name w:val="Report Title"/>
    <w:basedOn w:val="Normal"/>
    <w:rsid w:val="009E783D"/>
    <w:pPr>
      <w:spacing w:after="0" w:line="560" w:lineRule="exact"/>
    </w:pPr>
    <w:rPr>
      <w:b/>
      <w:color w:val="4D4D4F"/>
      <w:spacing w:val="-28"/>
      <w:sz w:val="53"/>
    </w:rPr>
  </w:style>
  <w:style w:type="paragraph" w:customStyle="1" w:styleId="ReportSubtitle">
    <w:name w:val="Report Sub title"/>
    <w:basedOn w:val="Normal"/>
    <w:rsid w:val="009E783D"/>
    <w:pPr>
      <w:spacing w:after="0" w:line="560" w:lineRule="exact"/>
    </w:pPr>
    <w:rPr>
      <w:color w:val="808285"/>
      <w:spacing w:val="-28"/>
      <w:sz w:val="53"/>
    </w:rPr>
  </w:style>
  <w:style w:type="paragraph" w:customStyle="1" w:styleId="ReportDate">
    <w:name w:val="Report Date"/>
    <w:basedOn w:val="ReportSubtitle"/>
    <w:rsid w:val="009E783D"/>
    <w:pPr>
      <w:spacing w:line="240" w:lineRule="auto"/>
    </w:pPr>
    <w:rPr>
      <w:caps/>
      <w:spacing w:val="-10"/>
      <w:sz w:val="20"/>
    </w:rPr>
  </w:style>
  <w:style w:type="paragraph" w:customStyle="1" w:styleId="Bodysubheader0">
    <w:name w:val="Body sub header"/>
    <w:basedOn w:val="Normal"/>
    <w:next w:val="Normal"/>
    <w:rsid w:val="003F7E3A"/>
    <w:pPr>
      <w:spacing w:after="40"/>
    </w:pPr>
    <w:rPr>
      <w:b/>
      <w:i/>
    </w:rPr>
  </w:style>
  <w:style w:type="paragraph" w:customStyle="1" w:styleId="ExecSummaryHeading">
    <w:name w:val="Exec Summary Heading"/>
    <w:basedOn w:val="Normal"/>
    <w:rsid w:val="009E783D"/>
    <w:pPr>
      <w:spacing w:after="1440" w:line="550" w:lineRule="exact"/>
    </w:pPr>
    <w:rPr>
      <w:b/>
      <w:color w:val="4D4D4F"/>
      <w:spacing w:val="-18"/>
      <w:sz w:val="53"/>
    </w:rPr>
  </w:style>
  <w:style w:type="character" w:customStyle="1" w:styleId="FootnoteTextChar">
    <w:name w:val="Footnote Text Char"/>
    <w:aliases w:val="ACMA Footnote Text Char,ABA Footnote Text Char"/>
    <w:basedOn w:val="DefaultParagraphFont"/>
    <w:link w:val="FootnoteText"/>
    <w:rsid w:val="00AA7B15"/>
    <w:rPr>
      <w:rFonts w:ascii="Arial" w:hAnsi="Arial"/>
      <w:sz w:val="16"/>
      <w:szCs w:val="16"/>
    </w:rPr>
  </w:style>
  <w:style w:type="paragraph" w:styleId="TOC9">
    <w:name w:val="toc 9"/>
    <w:aliases w:val="TOC ExecSumm"/>
    <w:basedOn w:val="Normal"/>
    <w:next w:val="Normal"/>
    <w:rsid w:val="009E783D"/>
    <w:pPr>
      <w:tabs>
        <w:tab w:val="right" w:pos="7660"/>
      </w:tabs>
      <w:spacing w:before="280" w:after="0" w:line="320" w:lineRule="exact"/>
    </w:pPr>
    <w:rPr>
      <w:b/>
      <w:noProof/>
      <w:color w:val="808285"/>
      <w:sz w:val="28"/>
      <w:szCs w:val="28"/>
    </w:rPr>
  </w:style>
  <w:style w:type="paragraph" w:customStyle="1" w:styleId="ChapterHeading">
    <w:name w:val="Chapter Heading"/>
    <w:basedOn w:val="Normal"/>
    <w:rsid w:val="009E783D"/>
    <w:pPr>
      <w:spacing w:after="0" w:line="560" w:lineRule="exact"/>
    </w:pPr>
    <w:rPr>
      <w:color w:val="808285"/>
      <w:spacing w:val="-28"/>
      <w:sz w:val="53"/>
    </w:rPr>
  </w:style>
  <w:style w:type="character" w:customStyle="1" w:styleId="apple-style-span">
    <w:name w:val="apple-style-span"/>
    <w:basedOn w:val="DefaultParagraphFont"/>
    <w:rsid w:val="009E783D"/>
  </w:style>
  <w:style w:type="paragraph" w:customStyle="1" w:styleId="ACMABodyText">
    <w:name w:val="ACMA Body Text"/>
    <w:link w:val="ACMABodyTextChar"/>
    <w:rsid w:val="009E783D"/>
    <w:pPr>
      <w:suppressAutoHyphens/>
      <w:spacing w:before="80" w:after="120" w:line="280" w:lineRule="atLeast"/>
    </w:pPr>
    <w:rPr>
      <w:rFonts w:ascii="Arial" w:hAnsi="Arial"/>
      <w:lang w:eastAsia="en-US"/>
    </w:rPr>
  </w:style>
  <w:style w:type="character" w:customStyle="1" w:styleId="ACMABodyTextChar">
    <w:name w:val="ACMA Body Text Char"/>
    <w:basedOn w:val="DefaultParagraphFont"/>
    <w:link w:val="ACMABodyText"/>
    <w:locked/>
    <w:rsid w:val="009E783D"/>
    <w:rPr>
      <w:rFonts w:ascii="Arial" w:hAnsi="Arial"/>
      <w:lang w:eastAsia="en-US"/>
    </w:rPr>
  </w:style>
  <w:style w:type="paragraph" w:customStyle="1" w:styleId="ACMABulletLevel1">
    <w:name w:val="ACMA Bullet Level 1"/>
    <w:uiPriority w:val="99"/>
    <w:rsid w:val="009E783D"/>
    <w:pPr>
      <w:numPr>
        <w:numId w:val="12"/>
      </w:numPr>
      <w:spacing w:after="120"/>
    </w:pPr>
    <w:rPr>
      <w:rFonts w:ascii="Arial" w:hAnsi="Arial"/>
      <w:lang w:eastAsia="en-US"/>
    </w:rPr>
  </w:style>
  <w:style w:type="paragraph" w:customStyle="1" w:styleId="ACMAHeading2">
    <w:name w:val="ACMA Heading 2"/>
    <w:next w:val="ACMABodyText"/>
    <w:uiPriority w:val="99"/>
    <w:rsid w:val="009E783D"/>
    <w:pPr>
      <w:keepNext/>
      <w:suppressAutoHyphens/>
      <w:spacing w:before="240"/>
      <w:outlineLvl w:val="2"/>
    </w:pPr>
    <w:rPr>
      <w:rFonts w:ascii="Arial" w:hAnsi="Arial" w:cs="Arial"/>
      <w:b/>
      <w:bCs/>
      <w:caps/>
      <w:sz w:val="26"/>
      <w:szCs w:val="26"/>
      <w:lang w:val="en-US" w:eastAsia="en-US"/>
    </w:rPr>
  </w:style>
  <w:style w:type="paragraph" w:customStyle="1" w:styleId="Pa11">
    <w:name w:val="Pa11"/>
    <w:basedOn w:val="Normal"/>
    <w:next w:val="Normal"/>
    <w:uiPriority w:val="99"/>
    <w:rsid w:val="009E783D"/>
    <w:pPr>
      <w:widowControl w:val="0"/>
      <w:autoSpaceDE w:val="0"/>
      <w:autoSpaceDN w:val="0"/>
      <w:adjustRightInd w:val="0"/>
      <w:spacing w:after="160" w:line="201" w:lineRule="atLeast"/>
    </w:pPr>
    <w:rPr>
      <w:rFonts w:ascii="Univers" w:eastAsia="SimSun" w:hAnsi="Univers" w:cs="Univers"/>
      <w:sz w:val="24"/>
      <w:lang w:val="en-US" w:eastAsia="en-US"/>
    </w:rPr>
  </w:style>
  <w:style w:type="paragraph" w:customStyle="1" w:styleId="Pa12">
    <w:name w:val="Pa12"/>
    <w:basedOn w:val="Normal"/>
    <w:next w:val="Normal"/>
    <w:uiPriority w:val="99"/>
    <w:rsid w:val="009E783D"/>
    <w:pPr>
      <w:widowControl w:val="0"/>
      <w:autoSpaceDE w:val="0"/>
      <w:autoSpaceDN w:val="0"/>
      <w:adjustRightInd w:val="0"/>
      <w:spacing w:after="160" w:line="241" w:lineRule="atLeast"/>
    </w:pPr>
    <w:rPr>
      <w:rFonts w:ascii="Univers" w:eastAsia="SimSun" w:hAnsi="Univers" w:cs="Univers"/>
      <w:sz w:val="24"/>
      <w:lang w:val="en-US" w:eastAsia="en-US"/>
    </w:rPr>
  </w:style>
  <w:style w:type="paragraph" w:styleId="BodyText">
    <w:name w:val="Body Text"/>
    <w:basedOn w:val="Normal"/>
    <w:link w:val="BodyTextChar"/>
    <w:uiPriority w:val="99"/>
    <w:rsid w:val="009E783D"/>
    <w:pPr>
      <w:spacing w:after="0" w:line="240" w:lineRule="auto"/>
    </w:pPr>
    <w:rPr>
      <w:i/>
      <w:iCs/>
      <w:color w:val="999999"/>
      <w:lang w:eastAsia="en-US"/>
    </w:rPr>
  </w:style>
  <w:style w:type="character" w:customStyle="1" w:styleId="BodyTextChar">
    <w:name w:val="Body Text Char"/>
    <w:basedOn w:val="DefaultParagraphFont"/>
    <w:link w:val="BodyText"/>
    <w:uiPriority w:val="99"/>
    <w:rsid w:val="009E783D"/>
    <w:rPr>
      <w:rFonts w:ascii="Arial" w:hAnsi="Arial"/>
      <w:i/>
      <w:iCs/>
      <w:color w:val="999999"/>
      <w:sz w:val="20"/>
      <w:lang w:eastAsia="en-US"/>
    </w:rPr>
  </w:style>
  <w:style w:type="paragraph" w:customStyle="1" w:styleId="LegislationLvl1">
    <w:name w:val="Legislation Lvl 1"/>
    <w:uiPriority w:val="99"/>
    <w:rsid w:val="009E783D"/>
    <w:pPr>
      <w:numPr>
        <w:ilvl w:val="2"/>
        <w:numId w:val="13"/>
      </w:numPr>
      <w:tabs>
        <w:tab w:val="clear" w:pos="2436"/>
        <w:tab w:val="num" w:pos="851"/>
        <w:tab w:val="num" w:pos="1176"/>
      </w:tabs>
      <w:ind w:left="850" w:hanging="493"/>
    </w:pPr>
    <w:rPr>
      <w:rFonts w:ascii="Arial" w:hAnsi="Arial"/>
      <w:sz w:val="22"/>
      <w:szCs w:val="22"/>
      <w:lang w:eastAsia="en-US"/>
    </w:rPr>
  </w:style>
  <w:style w:type="paragraph" w:customStyle="1" w:styleId="LegislationLvl2">
    <w:name w:val="Legislation Lvl 2"/>
    <w:uiPriority w:val="99"/>
    <w:rsid w:val="009E783D"/>
    <w:pPr>
      <w:numPr>
        <w:ilvl w:val="3"/>
        <w:numId w:val="13"/>
      </w:numPr>
      <w:tabs>
        <w:tab w:val="clear" w:pos="2796"/>
        <w:tab w:val="num" w:pos="1418"/>
        <w:tab w:val="num" w:pos="1536"/>
      </w:tabs>
      <w:ind w:left="1418" w:hanging="567"/>
    </w:pPr>
    <w:rPr>
      <w:rFonts w:ascii="Arial" w:hAnsi="Arial"/>
      <w:sz w:val="22"/>
      <w:szCs w:val="22"/>
      <w:lang w:eastAsia="en-US"/>
    </w:rPr>
  </w:style>
  <w:style w:type="paragraph" w:customStyle="1" w:styleId="LegislationLvl3">
    <w:name w:val="Legislation Lvl 3"/>
    <w:uiPriority w:val="99"/>
    <w:rsid w:val="009E783D"/>
    <w:pPr>
      <w:tabs>
        <w:tab w:val="num" w:pos="1985"/>
        <w:tab w:val="num" w:pos="2436"/>
      </w:tabs>
      <w:ind w:left="1985" w:hanging="567"/>
    </w:pPr>
    <w:rPr>
      <w:rFonts w:ascii="Arial" w:hAnsi="Arial"/>
      <w:sz w:val="22"/>
      <w:szCs w:val="22"/>
      <w:lang w:eastAsia="en-US"/>
    </w:rPr>
  </w:style>
  <w:style w:type="paragraph" w:customStyle="1" w:styleId="LegislationLvl4">
    <w:name w:val="Legislation Lvl 4"/>
    <w:uiPriority w:val="99"/>
    <w:rsid w:val="009E783D"/>
    <w:pPr>
      <w:tabs>
        <w:tab w:val="num" w:pos="2694"/>
        <w:tab w:val="num" w:pos="2796"/>
      </w:tabs>
      <w:ind w:left="2694" w:hanging="426"/>
    </w:pPr>
    <w:rPr>
      <w:rFonts w:ascii="Arial" w:hAnsi="Arial"/>
      <w:sz w:val="22"/>
      <w:szCs w:val="22"/>
      <w:lang w:eastAsia="en-US"/>
    </w:rPr>
  </w:style>
  <w:style w:type="paragraph" w:styleId="ListParagraph">
    <w:name w:val="List Paragraph"/>
    <w:basedOn w:val="Normal"/>
    <w:uiPriority w:val="34"/>
    <w:qFormat/>
    <w:rsid w:val="009E783D"/>
    <w:pPr>
      <w:spacing w:after="0"/>
      <w:ind w:left="720"/>
      <w:contextualSpacing/>
    </w:pPr>
    <w:rPr>
      <w:rFonts w:ascii="HelveticaNeueLT Std Lt" w:hAnsi="HelveticaNeueLT Std Lt"/>
    </w:rPr>
  </w:style>
  <w:style w:type="paragraph" w:customStyle="1" w:styleId="ExampleText">
    <w:name w:val="Example Text"/>
    <w:basedOn w:val="Normal"/>
    <w:rsid w:val="009E783D"/>
    <w:pPr>
      <w:spacing w:line="260" w:lineRule="exact"/>
    </w:pPr>
    <w:rPr>
      <w:rFonts w:ascii="Book Antiqua" w:hAnsi="Book Antiqua"/>
      <w:i/>
      <w:color w:val="FF0000"/>
      <w:lang w:eastAsia="en-US"/>
    </w:rPr>
  </w:style>
  <w:style w:type="paragraph" w:customStyle="1" w:styleId="Default">
    <w:name w:val="Default"/>
    <w:rsid w:val="009E783D"/>
    <w:pPr>
      <w:autoSpaceDE w:val="0"/>
      <w:autoSpaceDN w:val="0"/>
      <w:adjustRightInd w:val="0"/>
    </w:pPr>
    <w:rPr>
      <w:rFonts w:ascii="Symbol" w:hAnsi="Symbol" w:cs="Symbol"/>
      <w:color w:val="000000"/>
    </w:rPr>
  </w:style>
  <w:style w:type="character" w:customStyle="1" w:styleId="EndnoteTextChar">
    <w:name w:val="Endnote Text Char"/>
    <w:basedOn w:val="DefaultParagraphFont"/>
    <w:link w:val="EndnoteText"/>
    <w:semiHidden/>
    <w:rsid w:val="009E783D"/>
    <w:rPr>
      <w:rFonts w:ascii="HelveticaNeueLT Std Lt" w:hAnsi="HelveticaNeueLT Std Lt"/>
    </w:rPr>
  </w:style>
  <w:style w:type="paragraph" w:styleId="EndnoteText">
    <w:name w:val="endnote text"/>
    <w:basedOn w:val="Normal"/>
    <w:link w:val="EndnoteTextChar"/>
    <w:semiHidden/>
    <w:rsid w:val="009E783D"/>
    <w:pPr>
      <w:spacing w:after="0" w:line="240" w:lineRule="auto"/>
    </w:pPr>
    <w:rPr>
      <w:rFonts w:ascii="HelveticaNeueLT Std Lt" w:hAnsi="HelveticaNeueLT Std Lt"/>
      <w:sz w:val="24"/>
    </w:rPr>
  </w:style>
  <w:style w:type="character" w:customStyle="1" w:styleId="EndnoteTextChar1">
    <w:name w:val="Endnote Text Char1"/>
    <w:basedOn w:val="DefaultParagraphFont"/>
    <w:semiHidden/>
    <w:rsid w:val="009E783D"/>
    <w:rPr>
      <w:rFonts w:ascii="Arial" w:hAnsi="Arial"/>
      <w:sz w:val="20"/>
      <w:szCs w:val="20"/>
    </w:rPr>
  </w:style>
  <w:style w:type="paragraph" w:customStyle="1" w:styleId="R1">
    <w:name w:val="R1"/>
    <w:aliases w:val="1. or 1.(1)"/>
    <w:basedOn w:val="Normal"/>
    <w:next w:val="P1"/>
    <w:rsid w:val="009E783D"/>
    <w:pPr>
      <w:tabs>
        <w:tab w:val="right" w:pos="1080"/>
        <w:tab w:val="left" w:pos="1260"/>
        <w:tab w:val="left" w:pos="1800"/>
      </w:tabs>
      <w:autoSpaceDE w:val="0"/>
      <w:autoSpaceDN w:val="0"/>
      <w:spacing w:before="120" w:after="0" w:line="240" w:lineRule="auto"/>
      <w:jc w:val="both"/>
    </w:pPr>
    <w:rPr>
      <w:rFonts w:ascii="Times" w:hAnsi="Times" w:cs="Times"/>
      <w:sz w:val="26"/>
      <w:szCs w:val="26"/>
    </w:rPr>
  </w:style>
  <w:style w:type="paragraph" w:customStyle="1" w:styleId="P1">
    <w:name w:val="P1"/>
    <w:aliases w:val="(a)"/>
    <w:basedOn w:val="Normal"/>
    <w:rsid w:val="009E783D"/>
    <w:pPr>
      <w:tabs>
        <w:tab w:val="right" w:pos="1080"/>
      </w:tabs>
      <w:autoSpaceDE w:val="0"/>
      <w:autoSpaceDN w:val="0"/>
      <w:spacing w:before="40" w:after="0" w:line="260" w:lineRule="atLeast"/>
      <w:ind w:left="1276" w:hanging="1280"/>
      <w:jc w:val="both"/>
    </w:pPr>
    <w:rPr>
      <w:rFonts w:ascii="Times" w:hAnsi="Times" w:cs="Times"/>
      <w:sz w:val="26"/>
      <w:szCs w:val="26"/>
    </w:rPr>
  </w:style>
  <w:style w:type="paragraph" w:styleId="Revision">
    <w:name w:val="Revision"/>
    <w:hidden/>
    <w:uiPriority w:val="99"/>
    <w:semiHidden/>
    <w:rsid w:val="009E783D"/>
    <w:rPr>
      <w:rFonts w:ascii="Arial" w:hAnsi="Arial"/>
      <w:sz w:val="20"/>
    </w:rPr>
  </w:style>
  <w:style w:type="table" w:customStyle="1" w:styleId="TableGrid1">
    <w:name w:val="Table Grid1"/>
    <w:basedOn w:val="TableNormal"/>
    <w:next w:val="TableGrid"/>
    <w:uiPriority w:val="59"/>
    <w:rsid w:val="009E78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aliases w:val="a"/>
    <w:basedOn w:val="Normal"/>
    <w:link w:val="paragraphChar"/>
    <w:rsid w:val="009E783D"/>
    <w:pPr>
      <w:tabs>
        <w:tab w:val="right" w:pos="1531"/>
      </w:tabs>
      <w:spacing w:before="40" w:after="0" w:line="240" w:lineRule="auto"/>
      <w:ind w:left="1644" w:hanging="1644"/>
    </w:pPr>
    <w:rPr>
      <w:rFonts w:ascii="Times New Roman" w:hAnsi="Times New Roman"/>
      <w:sz w:val="22"/>
      <w:szCs w:val="20"/>
    </w:rPr>
  </w:style>
  <w:style w:type="paragraph" w:customStyle="1" w:styleId="Definition">
    <w:name w:val="Definition"/>
    <w:aliases w:val="dd"/>
    <w:basedOn w:val="Normal"/>
    <w:rsid w:val="009E783D"/>
    <w:pPr>
      <w:spacing w:before="180" w:after="0" w:line="240" w:lineRule="auto"/>
      <w:ind w:left="1134"/>
    </w:pPr>
    <w:rPr>
      <w:rFonts w:ascii="Times New Roman" w:hAnsi="Times New Roman"/>
      <w:sz w:val="22"/>
      <w:szCs w:val="20"/>
    </w:rPr>
  </w:style>
  <w:style w:type="character" w:customStyle="1" w:styleId="paragraphChar">
    <w:name w:val="paragraph Char"/>
    <w:aliases w:val="a Char"/>
    <w:basedOn w:val="DefaultParagraphFont"/>
    <w:link w:val="paragraph"/>
    <w:rsid w:val="009E783D"/>
    <w:rPr>
      <w:sz w:val="22"/>
      <w:szCs w:val="20"/>
    </w:rPr>
  </w:style>
  <w:style w:type="table" w:customStyle="1" w:styleId="TableGrid2">
    <w:name w:val="Table Grid2"/>
    <w:basedOn w:val="TableNormal"/>
    <w:next w:val="TableGrid"/>
    <w:uiPriority w:val="59"/>
    <w:rsid w:val="009E78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idTable31">
    <w:name w:val="Grid Table 31"/>
    <w:basedOn w:val="Normal"/>
    <w:qFormat/>
    <w:rsid w:val="006D3409"/>
    <w:pPr>
      <w:spacing w:after="0" w:line="240" w:lineRule="auto"/>
    </w:pPr>
    <w:rPr>
      <w:b/>
      <w:color w:val="4D4D4F"/>
      <w:spacing w:val="-28"/>
      <w:sz w:val="53"/>
    </w:rPr>
  </w:style>
  <w:style w:type="character" w:styleId="EndnoteReference">
    <w:name w:val="endnote reference"/>
    <w:basedOn w:val="DefaultParagraphFont"/>
    <w:semiHidden/>
    <w:unhideWhenUsed/>
    <w:rsid w:val="00995F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337755">
      <w:bodyDiv w:val="1"/>
      <w:marLeft w:val="0"/>
      <w:marRight w:val="0"/>
      <w:marTop w:val="0"/>
      <w:marBottom w:val="0"/>
      <w:divBdr>
        <w:top w:val="none" w:sz="0" w:space="0" w:color="auto"/>
        <w:left w:val="none" w:sz="0" w:space="0" w:color="auto"/>
        <w:bottom w:val="none" w:sz="0" w:space="0" w:color="auto"/>
        <w:right w:val="none" w:sz="0" w:space="0" w:color="auto"/>
      </w:divBdr>
    </w:div>
    <w:div w:id="143590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andinfo@acma.gov.au" TargetMode="Externa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hyperlink" Target="http://creativecommons.org/licenses/by/3.0/au/" TargetMode="Externa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accan.org.au" TargetMode="External"/><Relationship Id="rId28" Type="http://schemas.openxmlformats.org/officeDocument/2006/relationships/fontTable" Target="fontTable.xml"/><Relationship Id="rId10" Type="http://schemas.openxmlformats.org/officeDocument/2006/relationships/hyperlink" Target="http://i.creativecommons.org/l/by/3.0/88x31.png"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www.comlaw.gov.au/Details/F2013L01300" TargetMode="External"/><Relationship Id="rId3" Type="http://schemas.openxmlformats.org/officeDocument/2006/relationships/hyperlink" Target="http://www.budget.gov.au/2005-06/myefo/html/11_appendix_a-08.htm" TargetMode="External"/><Relationship Id="rId7" Type="http://schemas.openxmlformats.org/officeDocument/2006/relationships/hyperlink" Target="file:///C:\Users\jjeyalin\AppData\Local\Microsoft\Windows\Temporary%20Internet%20Files\Content.Outlook\PBL3VPYI\www.communications.gov.au\documents\2015-16-dept-comms-and-arts-paes" TargetMode="External"/><Relationship Id="rId2" Type="http://schemas.openxmlformats.org/officeDocument/2006/relationships/hyperlink" Target="http://www.budget.gov.au/1996-97/STATE4/STATE4.asp" TargetMode="External"/><Relationship Id="rId1" Type="http://schemas.openxmlformats.org/officeDocument/2006/relationships/hyperlink" Target="http://www.acma.gov.au/Industry/Telco/Carriers-and-service-providers/Licence-fees-annual-levies-and-charges/eligible-revenue-portal-current-year" TargetMode="External"/><Relationship Id="rId6" Type="http://schemas.openxmlformats.org/officeDocument/2006/relationships/hyperlink" Target="http://www.budget.gov.au/2014-15/content/bp2/download/BP2_consolidated.pdf" TargetMode="External"/><Relationship Id="rId11" Type="http://schemas.openxmlformats.org/officeDocument/2006/relationships/hyperlink" Target="http://www.acma.gov.au/theACMA/Library/Corporate-library/Corporate-publications/annual-report" TargetMode="External"/><Relationship Id="rId5" Type="http://schemas.openxmlformats.org/officeDocument/2006/relationships/hyperlink" Target="http://www.budget.gov.au/2013-14/content/bp2/html/bp2_expense-23.htm" TargetMode="External"/><Relationship Id="rId10" Type="http://schemas.openxmlformats.org/officeDocument/2006/relationships/hyperlink" Target="http://www.finance.gov.au/resource-management/charging-framework/risk-assessment-template/" TargetMode="External"/><Relationship Id="rId4" Type="http://schemas.openxmlformats.org/officeDocument/2006/relationships/hyperlink" Target="http://www.budget.gov.au/2009-10/content/myefo/html/appendix_a_07.htm" TargetMode="External"/><Relationship Id="rId9" Type="http://schemas.openxmlformats.org/officeDocument/2006/relationships/hyperlink" Target="http://www.acma.gov.au/theACMA/Library/Corporate-library/Corporate-publications/annual-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9588</Words>
  <Characters>54652</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64112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2016-06-21T07:24:00Z</dcterms:created>
  <dcterms:modified xsi:type="dcterms:W3CDTF">2016-07-13T06:15:00Z</dcterms:modified>
</cp:coreProperties>
</file>